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1F0F0E">
      <w:pPr>
        <w:keepNext/>
        <w:widowControl w:val="0"/>
        <w:numPr>
          <w:ilvl w:val="0"/>
          <w:numId w:val="1"/>
        </w:numPr>
        <w:bidi w:val="0"/>
        <w:jc w:val="center"/>
        <w:outlineLvl w:val="0"/>
        <w:rPr>
          <w:rFonts w:hint="eastAsia" w:ascii="Calibri" w:hAnsi="Calibri" w:eastAsia="宋体" w:cs="Times New Roman"/>
          <w:b/>
          <w:bCs/>
          <w:color w:val="000000"/>
          <w:kern w:val="1"/>
          <w:sz w:val="30"/>
          <w:szCs w:val="30"/>
          <w:lang w:val="en-US" w:eastAsia="zh-CN" w:bidi="ar-SA"/>
        </w:rPr>
      </w:pPr>
      <w:bookmarkStart w:id="0" w:name="_Toc17316"/>
      <w:bookmarkStart w:id="1" w:name="_Toc13930"/>
      <w:r>
        <w:rPr>
          <w:rFonts w:hint="eastAsia" w:ascii="Calibri" w:hAnsi="Calibri" w:eastAsia="宋体" w:cs="Times New Roman"/>
          <w:b/>
          <w:bCs/>
          <w:color w:val="000000"/>
          <w:kern w:val="1"/>
          <w:sz w:val="30"/>
          <w:szCs w:val="30"/>
          <w:lang w:val="en-US" w:eastAsia="zh-CN" w:bidi="ar-SA"/>
        </w:rPr>
        <w:t>采购需求</w:t>
      </w:r>
      <w:bookmarkEnd w:id="0"/>
      <w:bookmarkEnd w:id="1"/>
    </w:p>
    <w:p w14:paraId="59E8E5F8">
      <w:pPr>
        <w:widowControl w:val="0"/>
        <w:autoSpaceDE w:val="0"/>
        <w:autoSpaceDN w:val="0"/>
        <w:adjustRightInd w:val="0"/>
        <w:rPr>
          <w:rFonts w:hint="eastAsia" w:ascii="黑体" w:hAnsi="Times New Roman" w:eastAsia="黑体" w:cs="Times New Roman"/>
          <w:color w:val="auto"/>
          <w:kern w:val="2"/>
          <w:lang w:val="en-US" w:eastAsia="zh-CN" w:bidi="ar-SA"/>
        </w:rPr>
      </w:pPr>
      <w:bookmarkStart w:id="2" w:name="_Toc519518700"/>
      <w:bookmarkEnd w:id="2"/>
      <w:bookmarkStart w:id="3" w:name="_Toc519518699"/>
      <w:bookmarkEnd w:id="3"/>
      <w:bookmarkStart w:id="4" w:name="_Toc519518690"/>
      <w:bookmarkEnd w:id="4"/>
      <w:bookmarkStart w:id="5" w:name="_Toc413143797"/>
      <w:bookmarkEnd w:id="5"/>
    </w:p>
    <w:p w14:paraId="5C898C2D">
      <w:pPr>
        <w:widowControl/>
        <w:kinsoku w:val="0"/>
        <w:autoSpaceDE w:val="0"/>
        <w:autoSpaceDN w:val="0"/>
        <w:adjustRightInd w:val="0"/>
        <w:snapToGrid w:val="0"/>
        <w:spacing w:before="137" w:line="219" w:lineRule="auto"/>
        <w:ind w:left="3348"/>
        <w:jc w:val="left"/>
        <w:textAlignment w:val="baseline"/>
        <w:rPr>
          <w:rFonts w:ascii="宋体" w:hAnsi="宋体" w:eastAsia="宋体" w:cs="宋体"/>
          <w:snapToGrid w:val="0"/>
          <w:color w:val="000000"/>
          <w:kern w:val="0"/>
          <w:sz w:val="28"/>
          <w:szCs w:val="28"/>
          <w:lang w:eastAsia="en-US"/>
        </w:rPr>
      </w:pPr>
      <w:r>
        <w:rPr>
          <w:rFonts w:ascii="宋体" w:hAnsi="宋体" w:eastAsia="宋体" w:cs="宋体"/>
          <w:b/>
          <w:bCs/>
          <w:snapToGrid w:val="0"/>
          <w:color w:val="000000"/>
          <w:spacing w:val="9"/>
          <w:kern w:val="0"/>
          <w:sz w:val="28"/>
          <w:szCs w:val="28"/>
          <w:lang w:eastAsia="en-US"/>
        </w:rPr>
        <w:t>第一节采购清单一览表</w:t>
      </w:r>
    </w:p>
    <w:p w14:paraId="66835FA1">
      <w:pPr>
        <w:widowControl/>
        <w:kinsoku w:val="0"/>
        <w:autoSpaceDE w:val="0"/>
        <w:autoSpaceDN w:val="0"/>
        <w:adjustRightInd w:val="0"/>
        <w:snapToGrid w:val="0"/>
        <w:spacing w:line="177" w:lineRule="exact"/>
        <w:jc w:val="left"/>
        <w:textAlignment w:val="baseline"/>
        <w:rPr>
          <w:rFonts w:ascii="Arial" w:hAnsi="Arial" w:eastAsia="Arial" w:cs="Arial"/>
          <w:snapToGrid w:val="0"/>
          <w:color w:val="000000"/>
          <w:kern w:val="0"/>
          <w:szCs w:val="21"/>
          <w:lang w:eastAsia="en-US"/>
        </w:rPr>
      </w:pPr>
    </w:p>
    <w:tbl>
      <w:tblPr>
        <w:tblStyle w:val="5"/>
        <w:tblW w:w="10020" w:type="dxa"/>
        <w:tblInd w:w="-5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0"/>
        <w:gridCol w:w="753"/>
        <w:gridCol w:w="840"/>
        <w:gridCol w:w="2385"/>
        <w:gridCol w:w="610"/>
        <w:gridCol w:w="814"/>
        <w:gridCol w:w="1124"/>
        <w:gridCol w:w="1279"/>
        <w:gridCol w:w="601"/>
        <w:gridCol w:w="1044"/>
      </w:tblGrid>
      <w:tr w14:paraId="73FA3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3" w:hRule="atLeast"/>
        </w:trPr>
        <w:tc>
          <w:tcPr>
            <w:tcW w:w="570" w:type="dxa"/>
            <w:vMerge w:val="restart"/>
            <w:tcBorders>
              <w:bottom w:val="nil"/>
            </w:tcBorders>
            <w:vAlign w:val="top"/>
          </w:tcPr>
          <w:p w14:paraId="7F20D86A">
            <w:pPr>
              <w:widowControl/>
              <w:kinsoku w:val="0"/>
              <w:autoSpaceDE w:val="0"/>
              <w:autoSpaceDN w:val="0"/>
              <w:adjustRightInd w:val="0"/>
              <w:snapToGrid w:val="0"/>
              <w:spacing w:line="361" w:lineRule="auto"/>
              <w:jc w:val="left"/>
              <w:textAlignment w:val="baseline"/>
              <w:rPr>
                <w:rFonts w:ascii="Arial" w:hAnsi="Arial" w:eastAsia="Arial" w:cs="Arial"/>
                <w:snapToGrid w:val="0"/>
                <w:color w:val="000000"/>
                <w:kern w:val="0"/>
                <w:sz w:val="24"/>
                <w:szCs w:val="24"/>
                <w:lang w:eastAsia="en-US"/>
              </w:rPr>
            </w:pPr>
          </w:p>
          <w:p w14:paraId="05996E58">
            <w:pPr>
              <w:kinsoku w:val="0"/>
              <w:autoSpaceDE w:val="0"/>
              <w:autoSpaceDN w:val="0"/>
              <w:adjustRightInd w:val="0"/>
              <w:snapToGrid w:val="0"/>
              <w:spacing w:before="68" w:line="221" w:lineRule="auto"/>
              <w:ind w:left="11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包号</w:t>
            </w:r>
          </w:p>
        </w:tc>
        <w:tc>
          <w:tcPr>
            <w:tcW w:w="753" w:type="dxa"/>
            <w:vMerge w:val="restart"/>
            <w:tcBorders>
              <w:bottom w:val="nil"/>
            </w:tcBorders>
            <w:vAlign w:val="top"/>
          </w:tcPr>
          <w:p w14:paraId="0F3AEA55">
            <w:pPr>
              <w:kinsoku w:val="0"/>
              <w:autoSpaceDE w:val="0"/>
              <w:autoSpaceDN w:val="0"/>
              <w:adjustRightInd w:val="0"/>
              <w:snapToGrid w:val="0"/>
              <w:spacing w:before="68" w:line="219" w:lineRule="auto"/>
              <w:ind w:left="239"/>
              <w:jc w:val="center"/>
              <w:textAlignment w:val="baseline"/>
              <w:rPr>
                <w:rFonts w:ascii="宋体" w:hAnsi="宋体" w:eastAsia="宋体" w:cs="宋体"/>
                <w:b/>
                <w:bCs/>
                <w:snapToGrid w:val="0"/>
                <w:color w:val="000000"/>
                <w:spacing w:val="-5"/>
                <w:kern w:val="0"/>
                <w:sz w:val="24"/>
                <w:szCs w:val="24"/>
                <w:lang w:val="en-US" w:eastAsia="en-US" w:bidi="ar-SA"/>
              </w:rPr>
            </w:pPr>
          </w:p>
          <w:p w14:paraId="62112AA1">
            <w:pPr>
              <w:kinsoku w:val="0"/>
              <w:autoSpaceDE w:val="0"/>
              <w:autoSpaceDN w:val="0"/>
              <w:adjustRightInd w:val="0"/>
              <w:snapToGrid w:val="0"/>
              <w:spacing w:before="68" w:line="219" w:lineRule="auto"/>
              <w:ind w:left="239"/>
              <w:jc w:val="center"/>
              <w:textAlignment w:val="baseline"/>
              <w:rPr>
                <w:rFonts w:ascii="宋体" w:hAnsi="宋体" w:eastAsia="宋体" w:cs="宋体"/>
                <w:b/>
                <w:bCs/>
                <w:snapToGrid w:val="0"/>
                <w:color w:val="000000"/>
                <w:spacing w:val="-5"/>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包名称</w:t>
            </w:r>
          </w:p>
        </w:tc>
        <w:tc>
          <w:tcPr>
            <w:tcW w:w="3225" w:type="dxa"/>
            <w:gridSpan w:val="2"/>
            <w:vMerge w:val="restart"/>
            <w:tcBorders>
              <w:bottom w:val="nil"/>
            </w:tcBorders>
            <w:vAlign w:val="top"/>
          </w:tcPr>
          <w:p w14:paraId="0A9985EF">
            <w:pPr>
              <w:kinsoku w:val="0"/>
              <w:autoSpaceDE w:val="0"/>
              <w:autoSpaceDN w:val="0"/>
              <w:adjustRightInd w:val="0"/>
              <w:snapToGrid w:val="0"/>
              <w:spacing w:before="68" w:line="219" w:lineRule="auto"/>
              <w:ind w:left="239"/>
              <w:jc w:val="center"/>
              <w:textAlignment w:val="baseline"/>
              <w:rPr>
                <w:rFonts w:ascii="宋体" w:hAnsi="宋体" w:eastAsia="宋体" w:cs="宋体"/>
                <w:b/>
                <w:bCs/>
                <w:snapToGrid w:val="0"/>
                <w:color w:val="000000"/>
                <w:spacing w:val="-5"/>
                <w:kern w:val="0"/>
                <w:sz w:val="24"/>
                <w:szCs w:val="24"/>
                <w:lang w:val="en-US" w:eastAsia="en-US" w:bidi="ar-SA"/>
              </w:rPr>
            </w:pPr>
          </w:p>
          <w:p w14:paraId="27FA77CE">
            <w:pPr>
              <w:kinsoku w:val="0"/>
              <w:autoSpaceDE w:val="0"/>
              <w:autoSpaceDN w:val="0"/>
              <w:adjustRightInd w:val="0"/>
              <w:snapToGrid w:val="0"/>
              <w:spacing w:before="68" w:line="219" w:lineRule="auto"/>
              <w:ind w:left="239"/>
              <w:jc w:val="center"/>
              <w:textAlignment w:val="baseline"/>
              <w:rPr>
                <w:rFonts w:ascii="宋体" w:hAnsi="宋体" w:eastAsia="宋体" w:cs="宋体"/>
                <w:b/>
                <w:bCs/>
                <w:snapToGrid w:val="0"/>
                <w:color w:val="000000"/>
                <w:spacing w:val="-5"/>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分项项目名称</w:t>
            </w:r>
          </w:p>
        </w:tc>
        <w:tc>
          <w:tcPr>
            <w:tcW w:w="610" w:type="dxa"/>
            <w:vMerge w:val="restart"/>
            <w:vAlign w:val="top"/>
          </w:tcPr>
          <w:p w14:paraId="16ECE2F7">
            <w:pPr>
              <w:kinsoku w:val="0"/>
              <w:autoSpaceDE w:val="0"/>
              <w:autoSpaceDN w:val="0"/>
              <w:adjustRightInd w:val="0"/>
              <w:snapToGrid w:val="0"/>
              <w:spacing w:before="68" w:line="219" w:lineRule="auto"/>
              <w:ind w:left="239"/>
              <w:jc w:val="center"/>
              <w:textAlignment w:val="baseline"/>
              <w:rPr>
                <w:rFonts w:ascii="宋体" w:hAnsi="宋体" w:eastAsia="宋体" w:cs="宋体"/>
                <w:b/>
                <w:bCs/>
                <w:snapToGrid w:val="0"/>
                <w:color w:val="000000"/>
                <w:spacing w:val="-5"/>
                <w:kern w:val="0"/>
                <w:sz w:val="24"/>
                <w:szCs w:val="24"/>
                <w:lang w:val="en-US" w:eastAsia="en-US" w:bidi="ar-SA"/>
              </w:rPr>
            </w:pPr>
          </w:p>
          <w:p w14:paraId="6D51B18F">
            <w:pPr>
              <w:kinsoku w:val="0"/>
              <w:autoSpaceDE w:val="0"/>
              <w:autoSpaceDN w:val="0"/>
              <w:adjustRightInd w:val="0"/>
              <w:snapToGrid w:val="0"/>
              <w:spacing w:before="68" w:line="219" w:lineRule="auto"/>
              <w:jc w:val="both"/>
              <w:textAlignment w:val="baseline"/>
              <w:rPr>
                <w:rFonts w:hint="default" w:ascii="宋体" w:hAnsi="宋体" w:eastAsia="宋体" w:cs="宋体"/>
                <w:b/>
                <w:bCs/>
                <w:snapToGrid w:val="0"/>
                <w:color w:val="000000"/>
                <w:spacing w:val="-5"/>
                <w:kern w:val="0"/>
                <w:sz w:val="24"/>
                <w:szCs w:val="24"/>
                <w:lang w:val="en-US" w:eastAsia="zh-CN" w:bidi="ar-SA"/>
              </w:rPr>
            </w:pPr>
            <w:r>
              <w:rPr>
                <w:rFonts w:hint="eastAsia" w:ascii="宋体" w:hAnsi="宋体" w:eastAsia="宋体" w:cs="宋体"/>
                <w:b/>
                <w:bCs/>
                <w:snapToGrid w:val="0"/>
                <w:color w:val="000000"/>
                <w:spacing w:val="-5"/>
                <w:kern w:val="0"/>
                <w:sz w:val="24"/>
                <w:szCs w:val="24"/>
                <w:lang w:val="en-US" w:eastAsia="zh-CN" w:bidi="ar-SA"/>
              </w:rPr>
              <w:t>单位</w:t>
            </w:r>
          </w:p>
        </w:tc>
        <w:tc>
          <w:tcPr>
            <w:tcW w:w="814" w:type="dxa"/>
            <w:vMerge w:val="restart"/>
            <w:tcBorders>
              <w:bottom w:val="nil"/>
            </w:tcBorders>
            <w:vAlign w:val="top"/>
          </w:tcPr>
          <w:p w14:paraId="03B39C8A">
            <w:pPr>
              <w:kinsoku w:val="0"/>
              <w:autoSpaceDE w:val="0"/>
              <w:autoSpaceDN w:val="0"/>
              <w:adjustRightInd w:val="0"/>
              <w:snapToGrid w:val="0"/>
              <w:spacing w:before="68" w:line="219" w:lineRule="auto"/>
              <w:ind w:left="239"/>
              <w:jc w:val="center"/>
              <w:textAlignment w:val="baseline"/>
              <w:rPr>
                <w:rFonts w:ascii="宋体" w:hAnsi="宋体" w:eastAsia="宋体" w:cs="宋体"/>
                <w:b/>
                <w:bCs/>
                <w:snapToGrid w:val="0"/>
                <w:color w:val="000000"/>
                <w:spacing w:val="-5"/>
                <w:kern w:val="0"/>
                <w:sz w:val="24"/>
                <w:szCs w:val="24"/>
                <w:lang w:val="en-US" w:eastAsia="en-US" w:bidi="ar-SA"/>
              </w:rPr>
            </w:pPr>
          </w:p>
          <w:p w14:paraId="1DA24A6E">
            <w:pPr>
              <w:kinsoku w:val="0"/>
              <w:autoSpaceDE w:val="0"/>
              <w:autoSpaceDN w:val="0"/>
              <w:adjustRightInd w:val="0"/>
              <w:snapToGrid w:val="0"/>
              <w:spacing w:before="68" w:line="219" w:lineRule="auto"/>
              <w:jc w:val="both"/>
              <w:textAlignment w:val="baseline"/>
              <w:rPr>
                <w:rFonts w:ascii="宋体" w:hAnsi="宋体" w:eastAsia="宋体" w:cs="宋体"/>
                <w:b/>
                <w:bCs/>
                <w:snapToGrid w:val="0"/>
                <w:color w:val="000000"/>
                <w:spacing w:val="-5"/>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数量</w:t>
            </w:r>
          </w:p>
        </w:tc>
        <w:tc>
          <w:tcPr>
            <w:tcW w:w="1124" w:type="dxa"/>
            <w:vMerge w:val="restart"/>
            <w:vAlign w:val="top"/>
          </w:tcPr>
          <w:p w14:paraId="0C8C6887">
            <w:pPr>
              <w:kinsoku w:val="0"/>
              <w:autoSpaceDE w:val="0"/>
              <w:autoSpaceDN w:val="0"/>
              <w:adjustRightInd w:val="0"/>
              <w:snapToGrid w:val="0"/>
              <w:spacing w:before="68" w:line="219" w:lineRule="auto"/>
              <w:jc w:val="both"/>
              <w:textAlignment w:val="baseline"/>
              <w:rPr>
                <w:rFonts w:ascii="宋体" w:hAnsi="宋体" w:eastAsia="宋体" w:cs="宋体"/>
                <w:b/>
                <w:bCs/>
                <w:snapToGrid w:val="0"/>
                <w:color w:val="000000"/>
                <w:spacing w:val="-5"/>
                <w:kern w:val="0"/>
                <w:sz w:val="24"/>
                <w:szCs w:val="24"/>
                <w:lang w:val="en-US" w:eastAsia="en-US" w:bidi="ar-SA"/>
              </w:rPr>
            </w:pPr>
            <w:r>
              <w:rPr>
                <w:rFonts w:hint="eastAsia" w:ascii="宋体" w:hAnsi="宋体" w:eastAsia="宋体" w:cs="宋体"/>
                <w:b/>
                <w:bCs/>
                <w:snapToGrid w:val="0"/>
                <w:color w:val="000000"/>
                <w:spacing w:val="-5"/>
                <w:kern w:val="0"/>
                <w:sz w:val="24"/>
                <w:szCs w:val="24"/>
                <w:lang w:val="en-US" w:eastAsia="zh-CN" w:bidi="ar-SA"/>
              </w:rPr>
              <w:t>采购预算（元）</w:t>
            </w:r>
          </w:p>
        </w:tc>
        <w:tc>
          <w:tcPr>
            <w:tcW w:w="1279" w:type="dxa"/>
            <w:vMerge w:val="restart"/>
            <w:vAlign w:val="top"/>
          </w:tcPr>
          <w:p w14:paraId="15F28757">
            <w:pPr>
              <w:kinsoku w:val="0"/>
              <w:autoSpaceDE w:val="0"/>
              <w:autoSpaceDN w:val="0"/>
              <w:adjustRightInd w:val="0"/>
              <w:snapToGrid w:val="0"/>
              <w:spacing w:before="68" w:line="219" w:lineRule="auto"/>
              <w:jc w:val="both"/>
              <w:textAlignment w:val="baseline"/>
              <w:rPr>
                <w:rFonts w:ascii="宋体" w:hAnsi="宋体" w:eastAsia="宋体" w:cs="宋体"/>
                <w:b/>
                <w:bCs/>
                <w:snapToGrid w:val="0"/>
                <w:color w:val="000000"/>
                <w:spacing w:val="-5"/>
                <w:kern w:val="0"/>
                <w:sz w:val="24"/>
                <w:szCs w:val="24"/>
                <w:lang w:val="en-US" w:eastAsia="en-US" w:bidi="ar-SA"/>
              </w:rPr>
            </w:pPr>
            <w:r>
              <w:rPr>
                <w:rFonts w:hint="eastAsia" w:ascii="宋体" w:hAnsi="宋体" w:eastAsia="宋体" w:cs="宋体"/>
                <w:b/>
                <w:bCs/>
                <w:snapToGrid w:val="0"/>
                <w:color w:val="000000"/>
                <w:spacing w:val="-5"/>
                <w:kern w:val="0"/>
                <w:sz w:val="24"/>
                <w:szCs w:val="24"/>
                <w:lang w:val="en-US" w:eastAsia="zh-CN" w:bidi="ar-SA"/>
              </w:rPr>
              <w:t>最高限价（元）</w:t>
            </w:r>
          </w:p>
        </w:tc>
        <w:tc>
          <w:tcPr>
            <w:tcW w:w="1645" w:type="dxa"/>
            <w:gridSpan w:val="2"/>
            <w:vAlign w:val="top"/>
          </w:tcPr>
          <w:p w14:paraId="4D7BDEEA">
            <w:pPr>
              <w:kinsoku w:val="0"/>
              <w:autoSpaceDE w:val="0"/>
              <w:autoSpaceDN w:val="0"/>
              <w:adjustRightInd w:val="0"/>
              <w:snapToGrid w:val="0"/>
              <w:spacing w:before="129" w:line="219" w:lineRule="auto"/>
              <w:jc w:val="center"/>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交货要求</w:t>
            </w:r>
          </w:p>
        </w:tc>
      </w:tr>
      <w:tr w14:paraId="2202B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570" w:type="dxa"/>
            <w:vMerge w:val="continue"/>
            <w:tcBorders>
              <w:top w:val="nil"/>
            </w:tcBorders>
            <w:vAlign w:val="top"/>
          </w:tcPr>
          <w:p w14:paraId="0C5838B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753" w:type="dxa"/>
            <w:vMerge w:val="continue"/>
            <w:tcBorders>
              <w:top w:val="nil"/>
            </w:tcBorders>
            <w:vAlign w:val="top"/>
          </w:tcPr>
          <w:p w14:paraId="64A72F6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3225" w:type="dxa"/>
            <w:gridSpan w:val="2"/>
            <w:vMerge w:val="continue"/>
            <w:tcBorders>
              <w:top w:val="nil"/>
            </w:tcBorders>
            <w:vAlign w:val="top"/>
          </w:tcPr>
          <w:p w14:paraId="767103F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610" w:type="dxa"/>
            <w:vMerge w:val="continue"/>
            <w:vAlign w:val="top"/>
          </w:tcPr>
          <w:p w14:paraId="513E892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814" w:type="dxa"/>
            <w:vMerge w:val="continue"/>
            <w:tcBorders>
              <w:top w:val="nil"/>
            </w:tcBorders>
            <w:vAlign w:val="top"/>
          </w:tcPr>
          <w:p w14:paraId="394EAD4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1124" w:type="dxa"/>
            <w:vMerge w:val="continue"/>
            <w:tcBorders>
              <w:bottom w:val="single" w:color="auto" w:sz="4" w:space="0"/>
            </w:tcBorders>
            <w:vAlign w:val="top"/>
          </w:tcPr>
          <w:p w14:paraId="6A0B475A">
            <w:pPr>
              <w:kinsoku w:val="0"/>
              <w:autoSpaceDE w:val="0"/>
              <w:autoSpaceDN w:val="0"/>
              <w:adjustRightInd w:val="0"/>
              <w:snapToGrid w:val="0"/>
              <w:spacing w:before="189" w:line="221" w:lineRule="auto"/>
              <w:ind w:left="321"/>
              <w:jc w:val="left"/>
              <w:textAlignment w:val="baseline"/>
              <w:rPr>
                <w:rFonts w:ascii="宋体" w:hAnsi="宋体" w:eastAsia="宋体" w:cs="宋体"/>
                <w:b/>
                <w:bCs/>
                <w:snapToGrid w:val="0"/>
                <w:color w:val="000000"/>
                <w:spacing w:val="5"/>
                <w:kern w:val="0"/>
                <w:sz w:val="24"/>
                <w:szCs w:val="24"/>
                <w:lang w:val="en-US" w:eastAsia="en-US" w:bidi="ar-SA"/>
              </w:rPr>
            </w:pPr>
          </w:p>
        </w:tc>
        <w:tc>
          <w:tcPr>
            <w:tcW w:w="1279" w:type="dxa"/>
            <w:vMerge w:val="continue"/>
            <w:tcBorders>
              <w:bottom w:val="single" w:color="auto" w:sz="4" w:space="0"/>
            </w:tcBorders>
            <w:vAlign w:val="top"/>
          </w:tcPr>
          <w:p w14:paraId="6A8CDBBC">
            <w:pPr>
              <w:kinsoku w:val="0"/>
              <w:autoSpaceDE w:val="0"/>
              <w:autoSpaceDN w:val="0"/>
              <w:adjustRightInd w:val="0"/>
              <w:snapToGrid w:val="0"/>
              <w:spacing w:before="189" w:line="221" w:lineRule="auto"/>
              <w:ind w:left="321"/>
              <w:jc w:val="left"/>
              <w:textAlignment w:val="baseline"/>
              <w:rPr>
                <w:rFonts w:ascii="宋体" w:hAnsi="宋体" w:eastAsia="宋体" w:cs="宋体"/>
                <w:b/>
                <w:bCs/>
                <w:snapToGrid w:val="0"/>
                <w:color w:val="000000"/>
                <w:spacing w:val="5"/>
                <w:kern w:val="0"/>
                <w:sz w:val="24"/>
                <w:szCs w:val="24"/>
                <w:lang w:val="en-US" w:eastAsia="en-US" w:bidi="ar-SA"/>
              </w:rPr>
            </w:pPr>
          </w:p>
        </w:tc>
        <w:tc>
          <w:tcPr>
            <w:tcW w:w="601" w:type="dxa"/>
            <w:vAlign w:val="top"/>
          </w:tcPr>
          <w:p w14:paraId="1C210A3D">
            <w:pPr>
              <w:kinsoku w:val="0"/>
              <w:autoSpaceDE w:val="0"/>
              <w:autoSpaceDN w:val="0"/>
              <w:adjustRightInd w:val="0"/>
              <w:snapToGrid w:val="0"/>
              <w:spacing w:before="189" w:line="221" w:lineRule="auto"/>
              <w:jc w:val="center"/>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时间</w:t>
            </w:r>
          </w:p>
        </w:tc>
        <w:tc>
          <w:tcPr>
            <w:tcW w:w="1044" w:type="dxa"/>
            <w:vAlign w:val="top"/>
          </w:tcPr>
          <w:p w14:paraId="223B95A1">
            <w:pPr>
              <w:kinsoku w:val="0"/>
              <w:autoSpaceDE w:val="0"/>
              <w:autoSpaceDN w:val="0"/>
              <w:adjustRightInd w:val="0"/>
              <w:snapToGrid w:val="0"/>
              <w:spacing w:before="191" w:line="224" w:lineRule="auto"/>
              <w:jc w:val="center"/>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地点</w:t>
            </w:r>
          </w:p>
        </w:tc>
      </w:tr>
      <w:tr w14:paraId="2B9E2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570" w:type="dxa"/>
            <w:vMerge w:val="restart"/>
            <w:tcBorders>
              <w:bottom w:val="nil"/>
            </w:tcBorders>
            <w:vAlign w:val="top"/>
          </w:tcPr>
          <w:p w14:paraId="228B3555">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p w14:paraId="4E306282">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p w14:paraId="0802012A">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p w14:paraId="17EBE875">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p w14:paraId="1E9159E1">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p w14:paraId="3173CAE2">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p w14:paraId="3516E233">
            <w:pPr>
              <w:kinsoku w:val="0"/>
              <w:autoSpaceDE w:val="0"/>
              <w:autoSpaceDN w:val="0"/>
              <w:adjustRightInd w:val="0"/>
              <w:snapToGrid w:val="0"/>
              <w:spacing w:before="68" w:line="242" w:lineRule="auto"/>
              <w:ind w:right="164"/>
              <w:jc w:val="both"/>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en-US" w:bidi="ar-SA"/>
              </w:rPr>
              <w:t>包1</w:t>
            </w:r>
          </w:p>
        </w:tc>
        <w:tc>
          <w:tcPr>
            <w:tcW w:w="753" w:type="dxa"/>
            <w:vMerge w:val="restart"/>
            <w:tcBorders>
              <w:bottom w:val="nil"/>
            </w:tcBorders>
            <w:vAlign w:val="top"/>
          </w:tcPr>
          <w:p w14:paraId="3D8B9A1E">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p w14:paraId="1DCFA0B1">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p w14:paraId="5A51D27B">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p w14:paraId="120A3275">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p w14:paraId="41A74B1A">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en-US" w:bidi="ar-SA"/>
              </w:rPr>
              <w:t>衡山县2026年城乡饮用水水质监测能力提升项目</w:t>
            </w:r>
          </w:p>
        </w:tc>
        <w:tc>
          <w:tcPr>
            <w:tcW w:w="840" w:type="dxa"/>
            <w:vAlign w:val="top"/>
          </w:tcPr>
          <w:p w14:paraId="31B3F576">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en-US" w:bidi="ar-SA"/>
              </w:rPr>
              <w:t>1</w:t>
            </w:r>
          </w:p>
        </w:tc>
        <w:tc>
          <w:tcPr>
            <w:tcW w:w="2385" w:type="dxa"/>
            <w:vAlign w:val="center"/>
          </w:tcPr>
          <w:p w14:paraId="318D3410">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多参数水质分析仪（65参数型）</w:t>
            </w:r>
          </w:p>
        </w:tc>
        <w:tc>
          <w:tcPr>
            <w:tcW w:w="610" w:type="dxa"/>
            <w:vAlign w:val="center"/>
          </w:tcPr>
          <w:p w14:paraId="45A5ABC4">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台</w:t>
            </w:r>
          </w:p>
        </w:tc>
        <w:tc>
          <w:tcPr>
            <w:tcW w:w="814" w:type="dxa"/>
            <w:tcBorders>
              <w:right w:val="single" w:color="auto" w:sz="4" w:space="0"/>
            </w:tcBorders>
            <w:vAlign w:val="center"/>
          </w:tcPr>
          <w:p w14:paraId="176F89B5">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2</w:t>
            </w:r>
          </w:p>
        </w:tc>
        <w:tc>
          <w:tcPr>
            <w:tcW w:w="1124" w:type="dxa"/>
            <w:tcBorders>
              <w:top w:val="single" w:color="auto" w:sz="4" w:space="0"/>
              <w:left w:val="single" w:color="auto" w:sz="4" w:space="0"/>
              <w:bottom w:val="single" w:color="auto" w:sz="4" w:space="0"/>
              <w:right w:val="single" w:color="auto" w:sz="4" w:space="0"/>
            </w:tcBorders>
            <w:vAlign w:val="center"/>
          </w:tcPr>
          <w:p w14:paraId="52F0F7E6">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80000</w:t>
            </w:r>
          </w:p>
        </w:tc>
        <w:tc>
          <w:tcPr>
            <w:tcW w:w="1279" w:type="dxa"/>
            <w:vMerge w:val="restart"/>
            <w:tcBorders>
              <w:top w:val="single" w:color="auto" w:sz="4" w:space="0"/>
              <w:left w:val="single" w:color="auto" w:sz="4" w:space="0"/>
              <w:right w:val="single" w:color="auto" w:sz="4" w:space="0"/>
            </w:tcBorders>
            <w:vAlign w:val="top"/>
          </w:tcPr>
          <w:p w14:paraId="1A58A5C1">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p>
          <w:p w14:paraId="4D8B4654">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p>
          <w:p w14:paraId="40D6F8B4">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p>
          <w:p w14:paraId="48F87BC1">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p>
          <w:p w14:paraId="55B90AC8">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p>
          <w:p w14:paraId="3B0420C8">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p>
          <w:p w14:paraId="49540162">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p>
          <w:p w14:paraId="2496C726">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p>
          <w:p w14:paraId="4874EA98">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p>
          <w:p w14:paraId="637BA425">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p>
          <w:p w14:paraId="5E719D44">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p>
          <w:p w14:paraId="654684B8">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p>
          <w:p w14:paraId="2BA93D69">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p>
          <w:p w14:paraId="5E1AA19D">
            <w:pPr>
              <w:kinsoku w:val="0"/>
              <w:autoSpaceDE w:val="0"/>
              <w:autoSpaceDN w:val="0"/>
              <w:adjustRightInd w:val="0"/>
              <w:snapToGrid w:val="0"/>
              <w:spacing w:before="68" w:line="242" w:lineRule="auto"/>
              <w:ind w:left="120" w:right="164" w:firstLine="50"/>
              <w:jc w:val="center"/>
              <w:textAlignment w:val="baseline"/>
              <w:rPr>
                <w:rFonts w:hint="default"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850525.00</w:t>
            </w:r>
          </w:p>
        </w:tc>
        <w:tc>
          <w:tcPr>
            <w:tcW w:w="601" w:type="dxa"/>
            <w:vMerge w:val="restart"/>
            <w:tcBorders>
              <w:left w:val="single" w:color="auto" w:sz="4" w:space="0"/>
              <w:bottom w:val="nil"/>
            </w:tcBorders>
            <w:vAlign w:val="top"/>
          </w:tcPr>
          <w:p w14:paraId="55B6BE55">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p w14:paraId="2B932B24">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p w14:paraId="374ABF19">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p w14:paraId="0B58F7DA">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p w14:paraId="5416CE14">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p w14:paraId="1B0155C4">
            <w:pPr>
              <w:kinsoku w:val="0"/>
              <w:autoSpaceDE w:val="0"/>
              <w:autoSpaceDN w:val="0"/>
              <w:adjustRightInd w:val="0"/>
              <w:snapToGrid w:val="0"/>
              <w:spacing w:before="68" w:line="242" w:lineRule="auto"/>
              <w:ind w:right="164"/>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en-US" w:bidi="ar-SA"/>
              </w:rPr>
              <w:t>自合同签订之日起30日内</w:t>
            </w:r>
          </w:p>
        </w:tc>
        <w:tc>
          <w:tcPr>
            <w:tcW w:w="1044" w:type="dxa"/>
            <w:vMerge w:val="restart"/>
            <w:tcBorders>
              <w:bottom w:val="nil"/>
            </w:tcBorders>
            <w:vAlign w:val="top"/>
          </w:tcPr>
          <w:p w14:paraId="01303184">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p w14:paraId="1AC0FCDB">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p w14:paraId="54F62C81">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p w14:paraId="158C1566">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p w14:paraId="786A92AE">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p w14:paraId="27C47528">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r>
              <w:rPr>
                <w:rFonts w:hint="eastAsia" w:ascii="宋体" w:hAnsi="宋体" w:eastAsia="宋体" w:cs="宋体"/>
                <w:snapToGrid w:val="0"/>
                <w:color w:val="000000"/>
                <w:spacing w:val="2"/>
                <w:kern w:val="0"/>
                <w:sz w:val="24"/>
                <w:szCs w:val="24"/>
                <w:lang w:val="en-US" w:eastAsia="zh-CN" w:bidi="ar-SA"/>
              </w:rPr>
              <w:t>衡山县疾病预防控制中心（衡山县卫生综合监督执法局）</w:t>
            </w:r>
          </w:p>
        </w:tc>
      </w:tr>
      <w:tr w14:paraId="440F9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1" w:hRule="atLeast"/>
        </w:trPr>
        <w:tc>
          <w:tcPr>
            <w:tcW w:w="570" w:type="dxa"/>
            <w:vMerge w:val="continue"/>
            <w:tcBorders>
              <w:top w:val="nil"/>
              <w:bottom w:val="nil"/>
            </w:tcBorders>
            <w:vAlign w:val="top"/>
          </w:tcPr>
          <w:p w14:paraId="39F10877">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tc>
        <w:tc>
          <w:tcPr>
            <w:tcW w:w="753" w:type="dxa"/>
            <w:vMerge w:val="continue"/>
            <w:tcBorders>
              <w:top w:val="nil"/>
              <w:bottom w:val="nil"/>
            </w:tcBorders>
            <w:vAlign w:val="top"/>
          </w:tcPr>
          <w:p w14:paraId="76E03CF3">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tc>
        <w:tc>
          <w:tcPr>
            <w:tcW w:w="840" w:type="dxa"/>
            <w:vAlign w:val="top"/>
          </w:tcPr>
          <w:p w14:paraId="63F1F0A8">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en-US" w:bidi="ar-SA"/>
              </w:rPr>
              <w:t>2</w:t>
            </w:r>
          </w:p>
        </w:tc>
        <w:tc>
          <w:tcPr>
            <w:tcW w:w="2385" w:type="dxa"/>
            <w:vAlign w:val="center"/>
          </w:tcPr>
          <w:p w14:paraId="14FBBD87">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便携式微生物快速水质检测箱</w:t>
            </w:r>
          </w:p>
        </w:tc>
        <w:tc>
          <w:tcPr>
            <w:tcW w:w="610" w:type="dxa"/>
            <w:vAlign w:val="center"/>
          </w:tcPr>
          <w:p w14:paraId="36113E53">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台</w:t>
            </w:r>
          </w:p>
        </w:tc>
        <w:tc>
          <w:tcPr>
            <w:tcW w:w="814" w:type="dxa"/>
            <w:tcBorders>
              <w:right w:val="single" w:color="auto" w:sz="4" w:space="0"/>
            </w:tcBorders>
            <w:vAlign w:val="center"/>
          </w:tcPr>
          <w:p w14:paraId="6B65B088">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2</w:t>
            </w:r>
          </w:p>
        </w:tc>
        <w:tc>
          <w:tcPr>
            <w:tcW w:w="1124" w:type="dxa"/>
            <w:tcBorders>
              <w:top w:val="single" w:color="auto" w:sz="4" w:space="0"/>
              <w:left w:val="single" w:color="auto" w:sz="4" w:space="0"/>
              <w:bottom w:val="single" w:color="auto" w:sz="4" w:space="0"/>
              <w:right w:val="single" w:color="auto" w:sz="4" w:space="0"/>
            </w:tcBorders>
            <w:vAlign w:val="center"/>
          </w:tcPr>
          <w:p w14:paraId="3D279F31">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p>
          <w:p w14:paraId="3CE6209F">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r>
              <w:rPr>
                <w:rFonts w:hint="eastAsia" w:ascii="宋体" w:hAnsi="宋体" w:eastAsia="宋体" w:cs="宋体"/>
                <w:snapToGrid w:val="0"/>
                <w:color w:val="000000"/>
                <w:spacing w:val="2"/>
                <w:kern w:val="0"/>
                <w:sz w:val="24"/>
                <w:szCs w:val="24"/>
                <w:lang w:val="en-US" w:eastAsia="zh-CN" w:bidi="ar-SA"/>
              </w:rPr>
              <w:t>24000</w:t>
            </w:r>
          </w:p>
          <w:p w14:paraId="526C4B2F">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tc>
        <w:tc>
          <w:tcPr>
            <w:tcW w:w="1279" w:type="dxa"/>
            <w:vMerge w:val="continue"/>
            <w:tcBorders>
              <w:left w:val="single" w:color="auto" w:sz="4" w:space="0"/>
              <w:right w:val="single" w:color="auto" w:sz="4" w:space="0"/>
            </w:tcBorders>
            <w:vAlign w:val="top"/>
          </w:tcPr>
          <w:p w14:paraId="00F1CE22">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tc>
        <w:tc>
          <w:tcPr>
            <w:tcW w:w="601" w:type="dxa"/>
            <w:vMerge w:val="continue"/>
            <w:tcBorders>
              <w:top w:val="nil"/>
              <w:left w:val="single" w:color="auto" w:sz="4" w:space="0"/>
              <w:bottom w:val="nil"/>
            </w:tcBorders>
            <w:vAlign w:val="top"/>
          </w:tcPr>
          <w:p w14:paraId="6FB01CA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1044" w:type="dxa"/>
            <w:vMerge w:val="continue"/>
            <w:tcBorders>
              <w:top w:val="nil"/>
              <w:bottom w:val="nil"/>
            </w:tcBorders>
            <w:vAlign w:val="top"/>
          </w:tcPr>
          <w:p w14:paraId="4CEB8E4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r>
      <w:tr w14:paraId="09C43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 w:hRule="atLeast"/>
        </w:trPr>
        <w:tc>
          <w:tcPr>
            <w:tcW w:w="570" w:type="dxa"/>
            <w:vMerge w:val="continue"/>
            <w:tcBorders>
              <w:top w:val="nil"/>
              <w:bottom w:val="nil"/>
            </w:tcBorders>
            <w:vAlign w:val="top"/>
          </w:tcPr>
          <w:p w14:paraId="56264532">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tc>
        <w:tc>
          <w:tcPr>
            <w:tcW w:w="753" w:type="dxa"/>
            <w:vMerge w:val="continue"/>
            <w:tcBorders>
              <w:top w:val="nil"/>
              <w:bottom w:val="nil"/>
            </w:tcBorders>
            <w:vAlign w:val="top"/>
          </w:tcPr>
          <w:p w14:paraId="57134269">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tc>
        <w:tc>
          <w:tcPr>
            <w:tcW w:w="840" w:type="dxa"/>
            <w:vAlign w:val="top"/>
          </w:tcPr>
          <w:p w14:paraId="743465BF">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en-US" w:bidi="ar-SA"/>
              </w:rPr>
              <w:t>3</w:t>
            </w:r>
          </w:p>
        </w:tc>
        <w:tc>
          <w:tcPr>
            <w:tcW w:w="2385" w:type="dxa"/>
            <w:vAlign w:val="center"/>
          </w:tcPr>
          <w:p w14:paraId="5412A4BA">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低本底αβ测量仪</w:t>
            </w:r>
          </w:p>
        </w:tc>
        <w:tc>
          <w:tcPr>
            <w:tcW w:w="610" w:type="dxa"/>
            <w:vAlign w:val="center"/>
          </w:tcPr>
          <w:p w14:paraId="4E73F700">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台</w:t>
            </w:r>
          </w:p>
        </w:tc>
        <w:tc>
          <w:tcPr>
            <w:tcW w:w="814" w:type="dxa"/>
            <w:tcBorders>
              <w:right w:val="single" w:color="auto" w:sz="4" w:space="0"/>
            </w:tcBorders>
            <w:vAlign w:val="center"/>
          </w:tcPr>
          <w:p w14:paraId="17AF8C9E">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1</w:t>
            </w:r>
          </w:p>
        </w:tc>
        <w:tc>
          <w:tcPr>
            <w:tcW w:w="1124" w:type="dxa"/>
            <w:tcBorders>
              <w:top w:val="single" w:color="auto" w:sz="4" w:space="0"/>
              <w:left w:val="single" w:color="auto" w:sz="4" w:space="0"/>
              <w:bottom w:val="single" w:color="auto" w:sz="4" w:space="0"/>
              <w:right w:val="single" w:color="auto" w:sz="4" w:space="0"/>
            </w:tcBorders>
            <w:vAlign w:val="center"/>
          </w:tcPr>
          <w:p w14:paraId="6AD9B70F">
            <w:pPr>
              <w:kinsoku w:val="0"/>
              <w:autoSpaceDE w:val="0"/>
              <w:autoSpaceDN w:val="0"/>
              <w:adjustRightInd w:val="0"/>
              <w:snapToGrid w:val="0"/>
              <w:spacing w:before="68" w:line="242" w:lineRule="auto"/>
              <w:ind w:left="120" w:right="164" w:firstLine="50"/>
              <w:jc w:val="center"/>
              <w:textAlignment w:val="baseline"/>
              <w:rPr>
                <w:rFonts w:hint="default"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177800</w:t>
            </w:r>
          </w:p>
        </w:tc>
        <w:tc>
          <w:tcPr>
            <w:tcW w:w="1279" w:type="dxa"/>
            <w:vMerge w:val="continue"/>
            <w:tcBorders>
              <w:left w:val="single" w:color="auto" w:sz="4" w:space="0"/>
              <w:right w:val="single" w:color="auto" w:sz="4" w:space="0"/>
            </w:tcBorders>
            <w:vAlign w:val="top"/>
          </w:tcPr>
          <w:p w14:paraId="2289CDC0">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tc>
        <w:tc>
          <w:tcPr>
            <w:tcW w:w="601" w:type="dxa"/>
            <w:vMerge w:val="continue"/>
            <w:tcBorders>
              <w:top w:val="nil"/>
              <w:left w:val="single" w:color="auto" w:sz="4" w:space="0"/>
              <w:bottom w:val="nil"/>
            </w:tcBorders>
            <w:vAlign w:val="top"/>
          </w:tcPr>
          <w:p w14:paraId="3F88652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1044" w:type="dxa"/>
            <w:vMerge w:val="continue"/>
            <w:tcBorders>
              <w:top w:val="nil"/>
              <w:bottom w:val="nil"/>
            </w:tcBorders>
            <w:vAlign w:val="top"/>
          </w:tcPr>
          <w:p w14:paraId="48027A1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r>
      <w:tr w14:paraId="58DEC9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 w:hRule="atLeast"/>
        </w:trPr>
        <w:tc>
          <w:tcPr>
            <w:tcW w:w="570" w:type="dxa"/>
            <w:vMerge w:val="continue"/>
            <w:tcBorders>
              <w:top w:val="nil"/>
              <w:bottom w:val="nil"/>
            </w:tcBorders>
            <w:vAlign w:val="top"/>
          </w:tcPr>
          <w:p w14:paraId="6FD0C530">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tc>
        <w:tc>
          <w:tcPr>
            <w:tcW w:w="753" w:type="dxa"/>
            <w:vMerge w:val="continue"/>
            <w:tcBorders>
              <w:top w:val="nil"/>
              <w:bottom w:val="nil"/>
            </w:tcBorders>
            <w:vAlign w:val="top"/>
          </w:tcPr>
          <w:p w14:paraId="17F67AB2">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tc>
        <w:tc>
          <w:tcPr>
            <w:tcW w:w="840" w:type="dxa"/>
            <w:tcBorders>
              <w:bottom w:val="single" w:color="auto" w:sz="4" w:space="0"/>
            </w:tcBorders>
            <w:vAlign w:val="top"/>
          </w:tcPr>
          <w:p w14:paraId="43E12A89">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en-US" w:bidi="ar-SA"/>
              </w:rPr>
              <w:t>4</w:t>
            </w:r>
          </w:p>
        </w:tc>
        <w:tc>
          <w:tcPr>
            <w:tcW w:w="2385" w:type="dxa"/>
            <w:tcBorders>
              <w:bottom w:val="single" w:color="auto" w:sz="4" w:space="0"/>
            </w:tcBorders>
            <w:vAlign w:val="center"/>
          </w:tcPr>
          <w:p w14:paraId="6F962149">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水样蒸发仪</w:t>
            </w:r>
          </w:p>
        </w:tc>
        <w:tc>
          <w:tcPr>
            <w:tcW w:w="610" w:type="dxa"/>
            <w:tcBorders>
              <w:bottom w:val="single" w:color="auto" w:sz="4" w:space="0"/>
            </w:tcBorders>
            <w:vAlign w:val="center"/>
          </w:tcPr>
          <w:p w14:paraId="749CA82A">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台</w:t>
            </w:r>
          </w:p>
        </w:tc>
        <w:tc>
          <w:tcPr>
            <w:tcW w:w="814" w:type="dxa"/>
            <w:tcBorders>
              <w:bottom w:val="single" w:color="auto" w:sz="4" w:space="0"/>
              <w:right w:val="single" w:color="auto" w:sz="4" w:space="0"/>
            </w:tcBorders>
            <w:vAlign w:val="center"/>
          </w:tcPr>
          <w:p w14:paraId="71510757">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1</w:t>
            </w:r>
          </w:p>
        </w:tc>
        <w:tc>
          <w:tcPr>
            <w:tcW w:w="1124" w:type="dxa"/>
            <w:tcBorders>
              <w:top w:val="single" w:color="auto" w:sz="4" w:space="0"/>
              <w:left w:val="single" w:color="auto" w:sz="4" w:space="0"/>
              <w:bottom w:val="single" w:color="auto" w:sz="4" w:space="0"/>
              <w:right w:val="single" w:color="auto" w:sz="4" w:space="0"/>
            </w:tcBorders>
            <w:vAlign w:val="center"/>
          </w:tcPr>
          <w:p w14:paraId="5DF963DA">
            <w:pPr>
              <w:kinsoku w:val="0"/>
              <w:autoSpaceDE w:val="0"/>
              <w:autoSpaceDN w:val="0"/>
              <w:adjustRightInd w:val="0"/>
              <w:snapToGrid w:val="0"/>
              <w:spacing w:before="68" w:line="242" w:lineRule="auto"/>
              <w:ind w:left="120" w:right="164" w:firstLine="50"/>
              <w:jc w:val="center"/>
              <w:textAlignment w:val="baseline"/>
              <w:rPr>
                <w:rFonts w:hint="default"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118925</w:t>
            </w:r>
          </w:p>
        </w:tc>
        <w:tc>
          <w:tcPr>
            <w:tcW w:w="1279" w:type="dxa"/>
            <w:vMerge w:val="continue"/>
            <w:tcBorders>
              <w:left w:val="single" w:color="auto" w:sz="4" w:space="0"/>
              <w:right w:val="single" w:color="auto" w:sz="4" w:space="0"/>
            </w:tcBorders>
            <w:vAlign w:val="top"/>
          </w:tcPr>
          <w:p w14:paraId="11125F8F">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tc>
        <w:tc>
          <w:tcPr>
            <w:tcW w:w="601" w:type="dxa"/>
            <w:vMerge w:val="continue"/>
            <w:tcBorders>
              <w:top w:val="nil"/>
              <w:left w:val="single" w:color="auto" w:sz="4" w:space="0"/>
              <w:bottom w:val="nil"/>
            </w:tcBorders>
            <w:vAlign w:val="top"/>
          </w:tcPr>
          <w:p w14:paraId="6369D89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1044" w:type="dxa"/>
            <w:vMerge w:val="continue"/>
            <w:tcBorders>
              <w:top w:val="nil"/>
              <w:bottom w:val="nil"/>
            </w:tcBorders>
            <w:vAlign w:val="top"/>
          </w:tcPr>
          <w:p w14:paraId="7151637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r>
      <w:tr w14:paraId="06ED3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570" w:type="dxa"/>
            <w:vMerge w:val="continue"/>
            <w:vAlign w:val="top"/>
          </w:tcPr>
          <w:p w14:paraId="607B5859">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tc>
        <w:tc>
          <w:tcPr>
            <w:tcW w:w="753" w:type="dxa"/>
            <w:vMerge w:val="continue"/>
            <w:vAlign w:val="top"/>
          </w:tcPr>
          <w:p w14:paraId="7508C206">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tc>
        <w:tc>
          <w:tcPr>
            <w:tcW w:w="840" w:type="dxa"/>
            <w:tcBorders>
              <w:top w:val="single" w:color="auto" w:sz="4" w:space="0"/>
              <w:bottom w:val="single" w:color="auto" w:sz="4" w:space="0"/>
            </w:tcBorders>
            <w:vAlign w:val="top"/>
          </w:tcPr>
          <w:p w14:paraId="5F8973A3">
            <w:pPr>
              <w:kinsoku w:val="0"/>
              <w:autoSpaceDE w:val="0"/>
              <w:autoSpaceDN w:val="0"/>
              <w:adjustRightInd w:val="0"/>
              <w:snapToGrid w:val="0"/>
              <w:spacing w:before="68" w:line="242" w:lineRule="auto"/>
              <w:ind w:left="120" w:right="164" w:firstLine="50"/>
              <w:jc w:val="center"/>
              <w:textAlignment w:val="baseline"/>
              <w:rPr>
                <w:rFonts w:hint="default" w:ascii="宋体" w:hAnsi="宋体" w:eastAsia="宋体" w:cs="宋体"/>
                <w:snapToGrid w:val="0"/>
                <w:color w:val="000000"/>
                <w:spacing w:val="2"/>
                <w:kern w:val="0"/>
                <w:sz w:val="24"/>
                <w:szCs w:val="24"/>
                <w:lang w:val="en-US" w:eastAsia="zh-CN" w:bidi="ar-SA"/>
              </w:rPr>
            </w:pPr>
            <w:r>
              <w:rPr>
                <w:rFonts w:hint="eastAsia" w:ascii="宋体" w:hAnsi="宋体" w:eastAsia="宋体" w:cs="宋体"/>
                <w:snapToGrid w:val="0"/>
                <w:color w:val="000000"/>
                <w:spacing w:val="2"/>
                <w:kern w:val="0"/>
                <w:sz w:val="24"/>
                <w:szCs w:val="24"/>
                <w:lang w:val="en-US" w:eastAsia="zh-CN" w:bidi="ar-SA"/>
              </w:rPr>
              <w:t>5</w:t>
            </w:r>
          </w:p>
        </w:tc>
        <w:tc>
          <w:tcPr>
            <w:tcW w:w="2385" w:type="dxa"/>
            <w:tcBorders>
              <w:top w:val="single" w:color="auto" w:sz="4" w:space="0"/>
              <w:bottom w:val="single" w:color="auto" w:sz="4" w:space="0"/>
            </w:tcBorders>
            <w:vAlign w:val="center"/>
          </w:tcPr>
          <w:p w14:paraId="77E164A8">
            <w:pPr>
              <w:kinsoku w:val="0"/>
              <w:autoSpaceDE w:val="0"/>
              <w:autoSpaceDN w:val="0"/>
              <w:adjustRightInd w:val="0"/>
              <w:snapToGrid w:val="0"/>
              <w:spacing w:before="68" w:line="242" w:lineRule="auto"/>
              <w:ind w:right="164"/>
              <w:jc w:val="both"/>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全自动高锰酸盐指数分析仪</w:t>
            </w:r>
          </w:p>
        </w:tc>
        <w:tc>
          <w:tcPr>
            <w:tcW w:w="610" w:type="dxa"/>
            <w:tcBorders>
              <w:top w:val="single" w:color="auto" w:sz="4" w:space="0"/>
              <w:bottom w:val="single" w:color="auto" w:sz="4" w:space="0"/>
            </w:tcBorders>
            <w:vAlign w:val="center"/>
          </w:tcPr>
          <w:p w14:paraId="51884F15">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台</w:t>
            </w:r>
          </w:p>
        </w:tc>
        <w:tc>
          <w:tcPr>
            <w:tcW w:w="814" w:type="dxa"/>
            <w:tcBorders>
              <w:top w:val="single" w:color="auto" w:sz="4" w:space="0"/>
              <w:bottom w:val="single" w:color="auto" w:sz="4" w:space="0"/>
            </w:tcBorders>
            <w:vAlign w:val="center"/>
          </w:tcPr>
          <w:p w14:paraId="14440C66">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1</w:t>
            </w:r>
          </w:p>
        </w:tc>
        <w:tc>
          <w:tcPr>
            <w:tcW w:w="1124" w:type="dxa"/>
            <w:tcBorders>
              <w:top w:val="single" w:color="auto" w:sz="4" w:space="0"/>
            </w:tcBorders>
            <w:vAlign w:val="center"/>
          </w:tcPr>
          <w:p w14:paraId="6035C079">
            <w:pPr>
              <w:kinsoku w:val="0"/>
              <w:autoSpaceDE w:val="0"/>
              <w:autoSpaceDN w:val="0"/>
              <w:adjustRightInd w:val="0"/>
              <w:snapToGrid w:val="0"/>
              <w:spacing w:before="68" w:line="242" w:lineRule="auto"/>
              <w:ind w:left="120" w:right="164" w:firstLine="50"/>
              <w:jc w:val="center"/>
              <w:textAlignment w:val="baseline"/>
              <w:rPr>
                <w:rFonts w:hint="default"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296200</w:t>
            </w:r>
          </w:p>
        </w:tc>
        <w:tc>
          <w:tcPr>
            <w:tcW w:w="1279" w:type="dxa"/>
            <w:vMerge w:val="continue"/>
            <w:tcBorders>
              <w:left w:val="single" w:color="auto" w:sz="4" w:space="0"/>
              <w:right w:val="single" w:color="auto" w:sz="4" w:space="0"/>
            </w:tcBorders>
            <w:vAlign w:val="top"/>
          </w:tcPr>
          <w:p w14:paraId="0DA63750">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tc>
        <w:tc>
          <w:tcPr>
            <w:tcW w:w="601" w:type="dxa"/>
            <w:vMerge w:val="continue"/>
            <w:vAlign w:val="top"/>
          </w:tcPr>
          <w:p w14:paraId="577104A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1044" w:type="dxa"/>
            <w:vMerge w:val="continue"/>
            <w:vAlign w:val="top"/>
          </w:tcPr>
          <w:p w14:paraId="0AFAE17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r>
      <w:tr w14:paraId="3F4DB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570" w:type="dxa"/>
            <w:vMerge w:val="continue"/>
            <w:vAlign w:val="top"/>
          </w:tcPr>
          <w:p w14:paraId="17DFEDD1">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tc>
        <w:tc>
          <w:tcPr>
            <w:tcW w:w="753" w:type="dxa"/>
            <w:vMerge w:val="continue"/>
            <w:vAlign w:val="top"/>
          </w:tcPr>
          <w:p w14:paraId="7EF99804">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tc>
        <w:tc>
          <w:tcPr>
            <w:tcW w:w="840" w:type="dxa"/>
            <w:tcBorders>
              <w:top w:val="single" w:color="auto" w:sz="4" w:space="0"/>
              <w:bottom w:val="single" w:color="auto" w:sz="4" w:space="0"/>
            </w:tcBorders>
            <w:vAlign w:val="top"/>
          </w:tcPr>
          <w:p w14:paraId="4576B6B6">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r>
              <w:rPr>
                <w:rFonts w:hint="eastAsia" w:ascii="宋体" w:hAnsi="宋体" w:eastAsia="宋体" w:cs="宋体"/>
                <w:snapToGrid w:val="0"/>
                <w:color w:val="000000"/>
                <w:spacing w:val="2"/>
                <w:kern w:val="0"/>
                <w:sz w:val="24"/>
                <w:szCs w:val="24"/>
                <w:lang w:val="en-US" w:eastAsia="zh-CN" w:bidi="ar-SA"/>
              </w:rPr>
              <w:t>6</w:t>
            </w:r>
          </w:p>
        </w:tc>
        <w:tc>
          <w:tcPr>
            <w:tcW w:w="2385" w:type="dxa"/>
            <w:tcBorders>
              <w:top w:val="single" w:color="auto" w:sz="4" w:space="0"/>
              <w:bottom w:val="single" w:color="auto" w:sz="4" w:space="0"/>
            </w:tcBorders>
            <w:vAlign w:val="center"/>
          </w:tcPr>
          <w:p w14:paraId="51F43CFA">
            <w:pPr>
              <w:kinsoku w:val="0"/>
              <w:autoSpaceDE w:val="0"/>
              <w:autoSpaceDN w:val="0"/>
              <w:adjustRightInd w:val="0"/>
              <w:snapToGrid w:val="0"/>
              <w:spacing w:before="68" w:line="242" w:lineRule="auto"/>
              <w:ind w:left="120" w:right="164" w:firstLine="50"/>
              <w:jc w:val="center"/>
              <w:textAlignment w:val="baseline"/>
              <w:rPr>
                <w:rFonts w:hint="default"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紫外可见分光光度计</w:t>
            </w:r>
          </w:p>
        </w:tc>
        <w:tc>
          <w:tcPr>
            <w:tcW w:w="610" w:type="dxa"/>
            <w:tcBorders>
              <w:top w:val="single" w:color="auto" w:sz="4" w:space="0"/>
              <w:bottom w:val="single" w:color="auto" w:sz="4" w:space="0"/>
            </w:tcBorders>
            <w:vAlign w:val="center"/>
          </w:tcPr>
          <w:p w14:paraId="5AC12044">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台</w:t>
            </w:r>
          </w:p>
        </w:tc>
        <w:tc>
          <w:tcPr>
            <w:tcW w:w="814" w:type="dxa"/>
            <w:tcBorders>
              <w:top w:val="single" w:color="auto" w:sz="4" w:space="0"/>
              <w:bottom w:val="single" w:color="auto" w:sz="4" w:space="0"/>
            </w:tcBorders>
            <w:vAlign w:val="center"/>
          </w:tcPr>
          <w:p w14:paraId="0E0DFA1B">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1</w:t>
            </w:r>
          </w:p>
        </w:tc>
        <w:tc>
          <w:tcPr>
            <w:tcW w:w="1124" w:type="dxa"/>
            <w:vAlign w:val="center"/>
          </w:tcPr>
          <w:p w14:paraId="4A4E5126">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50000</w:t>
            </w:r>
          </w:p>
        </w:tc>
        <w:tc>
          <w:tcPr>
            <w:tcW w:w="1279" w:type="dxa"/>
            <w:vMerge w:val="continue"/>
            <w:tcBorders>
              <w:left w:val="single" w:color="auto" w:sz="4" w:space="0"/>
              <w:right w:val="single" w:color="auto" w:sz="4" w:space="0"/>
            </w:tcBorders>
            <w:vAlign w:val="top"/>
          </w:tcPr>
          <w:p w14:paraId="418DC795">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tc>
        <w:tc>
          <w:tcPr>
            <w:tcW w:w="601" w:type="dxa"/>
            <w:vMerge w:val="continue"/>
            <w:vAlign w:val="top"/>
          </w:tcPr>
          <w:p w14:paraId="2A3DB9E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1044" w:type="dxa"/>
            <w:vMerge w:val="continue"/>
            <w:vAlign w:val="top"/>
          </w:tcPr>
          <w:p w14:paraId="563C22F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r>
      <w:tr w14:paraId="067BAE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4" w:hRule="atLeast"/>
        </w:trPr>
        <w:tc>
          <w:tcPr>
            <w:tcW w:w="570" w:type="dxa"/>
            <w:vMerge w:val="continue"/>
            <w:vAlign w:val="top"/>
          </w:tcPr>
          <w:p w14:paraId="753AC544">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tc>
        <w:tc>
          <w:tcPr>
            <w:tcW w:w="753" w:type="dxa"/>
            <w:vMerge w:val="continue"/>
            <w:vAlign w:val="top"/>
          </w:tcPr>
          <w:p w14:paraId="6C91E64E">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tc>
        <w:tc>
          <w:tcPr>
            <w:tcW w:w="840" w:type="dxa"/>
            <w:tcBorders>
              <w:top w:val="single" w:color="auto" w:sz="4" w:space="0"/>
              <w:bottom w:val="single" w:color="auto" w:sz="4" w:space="0"/>
            </w:tcBorders>
            <w:vAlign w:val="top"/>
          </w:tcPr>
          <w:p w14:paraId="30DB7D20">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r>
              <w:rPr>
                <w:rFonts w:hint="eastAsia" w:ascii="宋体" w:hAnsi="宋体" w:eastAsia="宋体" w:cs="宋体"/>
                <w:snapToGrid w:val="0"/>
                <w:color w:val="000000"/>
                <w:spacing w:val="2"/>
                <w:kern w:val="0"/>
                <w:sz w:val="24"/>
                <w:szCs w:val="24"/>
                <w:lang w:val="en-US" w:eastAsia="zh-CN" w:bidi="ar-SA"/>
              </w:rPr>
              <w:t>7</w:t>
            </w:r>
          </w:p>
        </w:tc>
        <w:tc>
          <w:tcPr>
            <w:tcW w:w="2385" w:type="dxa"/>
            <w:tcBorders>
              <w:top w:val="single" w:color="auto" w:sz="4" w:space="0"/>
              <w:bottom w:val="single" w:color="auto" w:sz="4" w:space="0"/>
            </w:tcBorders>
            <w:vAlign w:val="center"/>
          </w:tcPr>
          <w:p w14:paraId="501BD78C">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高速离心机（标配6×50mL角转子，转子额定转速≥12000r/min）</w:t>
            </w:r>
          </w:p>
        </w:tc>
        <w:tc>
          <w:tcPr>
            <w:tcW w:w="610" w:type="dxa"/>
            <w:tcBorders>
              <w:top w:val="single" w:color="auto" w:sz="4" w:space="0"/>
              <w:bottom w:val="single" w:color="auto" w:sz="4" w:space="0"/>
            </w:tcBorders>
            <w:vAlign w:val="center"/>
          </w:tcPr>
          <w:p w14:paraId="798E072F">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台</w:t>
            </w:r>
          </w:p>
        </w:tc>
        <w:tc>
          <w:tcPr>
            <w:tcW w:w="814" w:type="dxa"/>
            <w:tcBorders>
              <w:top w:val="single" w:color="auto" w:sz="4" w:space="0"/>
              <w:bottom w:val="single" w:color="auto" w:sz="4" w:space="0"/>
            </w:tcBorders>
            <w:vAlign w:val="center"/>
          </w:tcPr>
          <w:p w14:paraId="3143D3A1">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1</w:t>
            </w:r>
          </w:p>
        </w:tc>
        <w:tc>
          <w:tcPr>
            <w:tcW w:w="1124" w:type="dxa"/>
            <w:vAlign w:val="center"/>
          </w:tcPr>
          <w:p w14:paraId="1E8CB86B">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8800</w:t>
            </w:r>
          </w:p>
        </w:tc>
        <w:tc>
          <w:tcPr>
            <w:tcW w:w="1279" w:type="dxa"/>
            <w:vMerge w:val="continue"/>
            <w:tcBorders>
              <w:left w:val="single" w:color="auto" w:sz="4" w:space="0"/>
              <w:right w:val="single" w:color="auto" w:sz="4" w:space="0"/>
            </w:tcBorders>
            <w:vAlign w:val="top"/>
          </w:tcPr>
          <w:p w14:paraId="524D6C7A">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tc>
        <w:tc>
          <w:tcPr>
            <w:tcW w:w="601" w:type="dxa"/>
            <w:vMerge w:val="continue"/>
            <w:vAlign w:val="top"/>
          </w:tcPr>
          <w:p w14:paraId="7640D7D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1044" w:type="dxa"/>
            <w:vMerge w:val="continue"/>
            <w:vAlign w:val="top"/>
          </w:tcPr>
          <w:p w14:paraId="467873A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r>
      <w:tr w14:paraId="37812B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70" w:type="dxa"/>
            <w:vMerge w:val="continue"/>
            <w:vAlign w:val="top"/>
          </w:tcPr>
          <w:p w14:paraId="1D11860D">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tc>
        <w:tc>
          <w:tcPr>
            <w:tcW w:w="753" w:type="dxa"/>
            <w:vMerge w:val="continue"/>
            <w:vAlign w:val="top"/>
          </w:tcPr>
          <w:p w14:paraId="424BF45B">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tc>
        <w:tc>
          <w:tcPr>
            <w:tcW w:w="840" w:type="dxa"/>
            <w:tcBorders>
              <w:top w:val="single" w:color="auto" w:sz="4" w:space="0"/>
              <w:bottom w:val="single" w:color="auto" w:sz="4" w:space="0"/>
            </w:tcBorders>
            <w:vAlign w:val="top"/>
          </w:tcPr>
          <w:p w14:paraId="3AD35583">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r>
              <w:rPr>
                <w:rFonts w:hint="eastAsia" w:ascii="宋体" w:hAnsi="宋体" w:eastAsia="宋体" w:cs="宋体"/>
                <w:snapToGrid w:val="0"/>
                <w:color w:val="000000"/>
                <w:spacing w:val="2"/>
                <w:kern w:val="0"/>
                <w:sz w:val="24"/>
                <w:szCs w:val="24"/>
                <w:lang w:val="en-US" w:eastAsia="zh-CN" w:bidi="ar-SA"/>
              </w:rPr>
              <w:t>8</w:t>
            </w:r>
          </w:p>
        </w:tc>
        <w:tc>
          <w:tcPr>
            <w:tcW w:w="2385" w:type="dxa"/>
            <w:tcBorders>
              <w:top w:val="single" w:color="auto" w:sz="4" w:space="0"/>
              <w:bottom w:val="single" w:color="auto" w:sz="4" w:space="0"/>
            </w:tcBorders>
            <w:vAlign w:val="center"/>
          </w:tcPr>
          <w:p w14:paraId="6C439F89">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ICP-MS检测器</w:t>
            </w:r>
          </w:p>
        </w:tc>
        <w:tc>
          <w:tcPr>
            <w:tcW w:w="610" w:type="dxa"/>
            <w:tcBorders>
              <w:top w:val="single" w:color="auto" w:sz="4" w:space="0"/>
              <w:bottom w:val="single" w:color="auto" w:sz="4" w:space="0"/>
            </w:tcBorders>
            <w:vAlign w:val="center"/>
          </w:tcPr>
          <w:p w14:paraId="5469CD19">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个</w:t>
            </w:r>
          </w:p>
        </w:tc>
        <w:tc>
          <w:tcPr>
            <w:tcW w:w="814" w:type="dxa"/>
            <w:tcBorders>
              <w:top w:val="single" w:color="auto" w:sz="4" w:space="0"/>
              <w:bottom w:val="single" w:color="auto" w:sz="4" w:space="0"/>
            </w:tcBorders>
            <w:vAlign w:val="center"/>
          </w:tcPr>
          <w:p w14:paraId="2B09C740">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1</w:t>
            </w:r>
          </w:p>
        </w:tc>
        <w:tc>
          <w:tcPr>
            <w:tcW w:w="1124" w:type="dxa"/>
            <w:vAlign w:val="center"/>
          </w:tcPr>
          <w:p w14:paraId="23234BEA">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36000</w:t>
            </w:r>
          </w:p>
        </w:tc>
        <w:tc>
          <w:tcPr>
            <w:tcW w:w="1279" w:type="dxa"/>
            <w:vMerge w:val="continue"/>
            <w:tcBorders>
              <w:left w:val="single" w:color="auto" w:sz="4" w:space="0"/>
              <w:right w:val="single" w:color="auto" w:sz="4" w:space="0"/>
            </w:tcBorders>
            <w:vAlign w:val="top"/>
          </w:tcPr>
          <w:p w14:paraId="7E1A33BA">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tc>
        <w:tc>
          <w:tcPr>
            <w:tcW w:w="601" w:type="dxa"/>
            <w:vMerge w:val="continue"/>
            <w:vAlign w:val="top"/>
          </w:tcPr>
          <w:p w14:paraId="7C5FAA8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1044" w:type="dxa"/>
            <w:vMerge w:val="continue"/>
            <w:vAlign w:val="top"/>
          </w:tcPr>
          <w:p w14:paraId="6DA9C5A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r>
      <w:tr w14:paraId="3FCE15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70" w:type="dxa"/>
            <w:vMerge w:val="continue"/>
            <w:vAlign w:val="top"/>
          </w:tcPr>
          <w:p w14:paraId="042C2B51">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tc>
        <w:tc>
          <w:tcPr>
            <w:tcW w:w="753" w:type="dxa"/>
            <w:vMerge w:val="continue"/>
            <w:vAlign w:val="top"/>
          </w:tcPr>
          <w:p w14:paraId="54A2A373">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tc>
        <w:tc>
          <w:tcPr>
            <w:tcW w:w="840" w:type="dxa"/>
            <w:tcBorders>
              <w:top w:val="single" w:color="auto" w:sz="4" w:space="0"/>
              <w:bottom w:val="single" w:color="auto" w:sz="4" w:space="0"/>
            </w:tcBorders>
            <w:vAlign w:val="top"/>
          </w:tcPr>
          <w:p w14:paraId="550AF96F">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zh-CN" w:bidi="ar-SA"/>
              </w:rPr>
            </w:pPr>
            <w:r>
              <w:rPr>
                <w:rFonts w:hint="eastAsia" w:ascii="宋体" w:hAnsi="宋体" w:eastAsia="宋体" w:cs="宋体"/>
                <w:snapToGrid w:val="0"/>
                <w:color w:val="000000"/>
                <w:spacing w:val="2"/>
                <w:kern w:val="0"/>
                <w:sz w:val="24"/>
                <w:szCs w:val="24"/>
                <w:lang w:val="en-US" w:eastAsia="zh-CN" w:bidi="ar-SA"/>
              </w:rPr>
              <w:t>9</w:t>
            </w:r>
          </w:p>
        </w:tc>
        <w:tc>
          <w:tcPr>
            <w:tcW w:w="2385" w:type="dxa"/>
            <w:tcBorders>
              <w:top w:val="single" w:color="auto" w:sz="4" w:space="0"/>
              <w:bottom w:val="single" w:color="auto" w:sz="4" w:space="0"/>
            </w:tcBorders>
            <w:vAlign w:val="center"/>
          </w:tcPr>
          <w:p w14:paraId="4CF8745B">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ICP-MS样品锥</w:t>
            </w:r>
          </w:p>
        </w:tc>
        <w:tc>
          <w:tcPr>
            <w:tcW w:w="610" w:type="dxa"/>
            <w:tcBorders>
              <w:top w:val="single" w:color="auto" w:sz="4" w:space="0"/>
              <w:bottom w:val="single" w:color="auto" w:sz="4" w:space="0"/>
            </w:tcBorders>
            <w:vAlign w:val="center"/>
          </w:tcPr>
          <w:p w14:paraId="1CF1D7F2">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个</w:t>
            </w:r>
          </w:p>
        </w:tc>
        <w:tc>
          <w:tcPr>
            <w:tcW w:w="814" w:type="dxa"/>
            <w:tcBorders>
              <w:top w:val="single" w:color="auto" w:sz="4" w:space="0"/>
              <w:bottom w:val="single" w:color="auto" w:sz="4" w:space="0"/>
            </w:tcBorders>
            <w:vAlign w:val="center"/>
          </w:tcPr>
          <w:p w14:paraId="71EC30D5">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1</w:t>
            </w:r>
          </w:p>
        </w:tc>
        <w:tc>
          <w:tcPr>
            <w:tcW w:w="1124" w:type="dxa"/>
            <w:vAlign w:val="center"/>
          </w:tcPr>
          <w:p w14:paraId="389DB2A5">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8500</w:t>
            </w:r>
          </w:p>
        </w:tc>
        <w:tc>
          <w:tcPr>
            <w:tcW w:w="1279" w:type="dxa"/>
            <w:vMerge w:val="continue"/>
            <w:tcBorders>
              <w:left w:val="single" w:color="auto" w:sz="4" w:space="0"/>
              <w:right w:val="single" w:color="auto" w:sz="4" w:space="0"/>
            </w:tcBorders>
            <w:vAlign w:val="top"/>
          </w:tcPr>
          <w:p w14:paraId="442B686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601" w:type="dxa"/>
            <w:vMerge w:val="continue"/>
            <w:vAlign w:val="top"/>
          </w:tcPr>
          <w:p w14:paraId="26C25DE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1044" w:type="dxa"/>
            <w:vMerge w:val="continue"/>
            <w:vAlign w:val="top"/>
          </w:tcPr>
          <w:p w14:paraId="0BF121D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r>
      <w:tr w14:paraId="0E9E35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70" w:type="dxa"/>
            <w:vMerge w:val="continue"/>
            <w:vAlign w:val="top"/>
          </w:tcPr>
          <w:p w14:paraId="7136AF49">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tc>
        <w:tc>
          <w:tcPr>
            <w:tcW w:w="753" w:type="dxa"/>
            <w:vMerge w:val="continue"/>
            <w:vAlign w:val="top"/>
          </w:tcPr>
          <w:p w14:paraId="39A6C239">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tc>
        <w:tc>
          <w:tcPr>
            <w:tcW w:w="840" w:type="dxa"/>
            <w:tcBorders>
              <w:top w:val="single" w:color="auto" w:sz="4" w:space="0"/>
              <w:bottom w:val="single" w:color="auto" w:sz="4" w:space="0"/>
            </w:tcBorders>
            <w:vAlign w:val="top"/>
          </w:tcPr>
          <w:p w14:paraId="2E08E9D1">
            <w:pPr>
              <w:kinsoku w:val="0"/>
              <w:autoSpaceDE w:val="0"/>
              <w:autoSpaceDN w:val="0"/>
              <w:adjustRightInd w:val="0"/>
              <w:snapToGrid w:val="0"/>
              <w:spacing w:before="68" w:line="242" w:lineRule="auto"/>
              <w:ind w:left="120" w:right="164" w:firstLine="50"/>
              <w:jc w:val="center"/>
              <w:textAlignment w:val="baseline"/>
              <w:rPr>
                <w:rFonts w:hint="default" w:ascii="宋体" w:hAnsi="宋体" w:eastAsia="宋体" w:cs="宋体"/>
                <w:snapToGrid w:val="0"/>
                <w:color w:val="000000"/>
                <w:spacing w:val="2"/>
                <w:kern w:val="0"/>
                <w:sz w:val="24"/>
                <w:szCs w:val="24"/>
                <w:lang w:val="en-US" w:eastAsia="zh-CN" w:bidi="ar-SA"/>
              </w:rPr>
            </w:pPr>
            <w:r>
              <w:rPr>
                <w:rFonts w:hint="eastAsia" w:ascii="宋体" w:hAnsi="宋体" w:eastAsia="宋体" w:cs="宋体"/>
                <w:snapToGrid w:val="0"/>
                <w:color w:val="000000"/>
                <w:spacing w:val="2"/>
                <w:kern w:val="0"/>
                <w:sz w:val="24"/>
                <w:szCs w:val="24"/>
                <w:lang w:val="en-US" w:eastAsia="zh-CN" w:bidi="ar-SA"/>
              </w:rPr>
              <w:t>10</w:t>
            </w:r>
          </w:p>
        </w:tc>
        <w:tc>
          <w:tcPr>
            <w:tcW w:w="2385" w:type="dxa"/>
            <w:tcBorders>
              <w:top w:val="single" w:color="auto" w:sz="4" w:space="0"/>
              <w:bottom w:val="single" w:color="auto" w:sz="4" w:space="0"/>
            </w:tcBorders>
            <w:vAlign w:val="center"/>
          </w:tcPr>
          <w:p w14:paraId="7F0124A1">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ICP-MS截取锥</w:t>
            </w:r>
          </w:p>
        </w:tc>
        <w:tc>
          <w:tcPr>
            <w:tcW w:w="610" w:type="dxa"/>
            <w:tcBorders>
              <w:top w:val="single" w:color="auto" w:sz="4" w:space="0"/>
              <w:bottom w:val="single" w:color="auto" w:sz="4" w:space="0"/>
            </w:tcBorders>
            <w:vAlign w:val="center"/>
          </w:tcPr>
          <w:p w14:paraId="2C526F24">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个</w:t>
            </w:r>
          </w:p>
        </w:tc>
        <w:tc>
          <w:tcPr>
            <w:tcW w:w="814" w:type="dxa"/>
            <w:tcBorders>
              <w:top w:val="single" w:color="auto" w:sz="4" w:space="0"/>
              <w:bottom w:val="single" w:color="auto" w:sz="4" w:space="0"/>
            </w:tcBorders>
            <w:vAlign w:val="center"/>
          </w:tcPr>
          <w:p w14:paraId="6543122E">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1</w:t>
            </w:r>
          </w:p>
        </w:tc>
        <w:tc>
          <w:tcPr>
            <w:tcW w:w="1124" w:type="dxa"/>
            <w:vAlign w:val="center"/>
          </w:tcPr>
          <w:p w14:paraId="22BFD653">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6500</w:t>
            </w:r>
          </w:p>
        </w:tc>
        <w:tc>
          <w:tcPr>
            <w:tcW w:w="1279" w:type="dxa"/>
            <w:vMerge w:val="continue"/>
            <w:tcBorders>
              <w:left w:val="single" w:color="auto" w:sz="4" w:space="0"/>
              <w:right w:val="single" w:color="auto" w:sz="4" w:space="0"/>
            </w:tcBorders>
            <w:vAlign w:val="top"/>
          </w:tcPr>
          <w:p w14:paraId="2B43881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601" w:type="dxa"/>
            <w:vMerge w:val="continue"/>
            <w:vAlign w:val="top"/>
          </w:tcPr>
          <w:p w14:paraId="6251751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1044" w:type="dxa"/>
            <w:vMerge w:val="continue"/>
            <w:vAlign w:val="top"/>
          </w:tcPr>
          <w:p w14:paraId="26E370F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r>
      <w:tr w14:paraId="784AA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570" w:type="dxa"/>
            <w:vMerge w:val="continue"/>
            <w:vAlign w:val="top"/>
          </w:tcPr>
          <w:p w14:paraId="64B2AC66">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tc>
        <w:tc>
          <w:tcPr>
            <w:tcW w:w="753" w:type="dxa"/>
            <w:vMerge w:val="continue"/>
            <w:vAlign w:val="top"/>
          </w:tcPr>
          <w:p w14:paraId="475EC99D">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p>
        </w:tc>
        <w:tc>
          <w:tcPr>
            <w:tcW w:w="840" w:type="dxa"/>
            <w:tcBorders>
              <w:top w:val="single" w:color="auto" w:sz="4" w:space="0"/>
              <w:bottom w:val="single" w:color="auto" w:sz="4" w:space="0"/>
            </w:tcBorders>
            <w:vAlign w:val="top"/>
          </w:tcPr>
          <w:p w14:paraId="531F3875">
            <w:pPr>
              <w:kinsoku w:val="0"/>
              <w:autoSpaceDE w:val="0"/>
              <w:autoSpaceDN w:val="0"/>
              <w:adjustRightInd w:val="0"/>
              <w:snapToGrid w:val="0"/>
              <w:spacing w:before="68" w:line="242" w:lineRule="auto"/>
              <w:ind w:left="120" w:right="164" w:firstLine="50"/>
              <w:jc w:val="center"/>
              <w:textAlignment w:val="baseline"/>
              <w:rPr>
                <w:rFonts w:hint="default" w:ascii="宋体" w:hAnsi="宋体" w:eastAsia="宋体" w:cs="宋体"/>
                <w:snapToGrid w:val="0"/>
                <w:color w:val="000000"/>
                <w:spacing w:val="2"/>
                <w:kern w:val="0"/>
                <w:sz w:val="24"/>
                <w:szCs w:val="24"/>
                <w:lang w:val="en-US" w:eastAsia="zh-CN" w:bidi="ar-SA"/>
              </w:rPr>
            </w:pPr>
            <w:r>
              <w:rPr>
                <w:rFonts w:hint="eastAsia" w:ascii="宋体" w:hAnsi="宋体" w:eastAsia="宋体" w:cs="宋体"/>
                <w:snapToGrid w:val="0"/>
                <w:color w:val="000000"/>
                <w:spacing w:val="2"/>
                <w:kern w:val="0"/>
                <w:sz w:val="24"/>
                <w:szCs w:val="24"/>
                <w:lang w:val="en-US" w:eastAsia="zh-CN" w:bidi="ar-SA"/>
              </w:rPr>
              <w:t>11</w:t>
            </w:r>
          </w:p>
        </w:tc>
        <w:tc>
          <w:tcPr>
            <w:tcW w:w="2385" w:type="dxa"/>
            <w:tcBorders>
              <w:top w:val="single" w:color="auto" w:sz="4" w:space="0"/>
              <w:bottom w:val="single" w:color="auto" w:sz="4" w:space="0"/>
            </w:tcBorders>
            <w:vAlign w:val="center"/>
          </w:tcPr>
          <w:p w14:paraId="3F97B711">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ICP-MS泵管</w:t>
            </w:r>
          </w:p>
        </w:tc>
        <w:tc>
          <w:tcPr>
            <w:tcW w:w="610" w:type="dxa"/>
            <w:tcBorders>
              <w:top w:val="single" w:color="auto" w:sz="4" w:space="0"/>
              <w:bottom w:val="single" w:color="auto" w:sz="4" w:space="0"/>
            </w:tcBorders>
            <w:vAlign w:val="center"/>
          </w:tcPr>
          <w:p w14:paraId="214CEF44">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套</w:t>
            </w:r>
          </w:p>
        </w:tc>
        <w:tc>
          <w:tcPr>
            <w:tcW w:w="814" w:type="dxa"/>
            <w:tcBorders>
              <w:top w:val="single" w:color="auto" w:sz="4" w:space="0"/>
              <w:bottom w:val="single" w:color="auto" w:sz="4" w:space="0"/>
            </w:tcBorders>
            <w:vAlign w:val="center"/>
          </w:tcPr>
          <w:p w14:paraId="37CC50F1">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1</w:t>
            </w:r>
          </w:p>
        </w:tc>
        <w:tc>
          <w:tcPr>
            <w:tcW w:w="1124" w:type="dxa"/>
            <w:vAlign w:val="center"/>
          </w:tcPr>
          <w:p w14:paraId="7F6158A6">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1500</w:t>
            </w:r>
          </w:p>
        </w:tc>
        <w:tc>
          <w:tcPr>
            <w:tcW w:w="1279" w:type="dxa"/>
            <w:vMerge w:val="continue"/>
            <w:tcBorders>
              <w:left w:val="single" w:color="auto" w:sz="4" w:space="0"/>
              <w:right w:val="single" w:color="auto" w:sz="4" w:space="0"/>
            </w:tcBorders>
            <w:vAlign w:val="top"/>
          </w:tcPr>
          <w:p w14:paraId="3B2E4FE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601" w:type="dxa"/>
            <w:vMerge w:val="continue"/>
            <w:vAlign w:val="top"/>
          </w:tcPr>
          <w:p w14:paraId="39D5876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1044" w:type="dxa"/>
            <w:vMerge w:val="continue"/>
            <w:vAlign w:val="top"/>
          </w:tcPr>
          <w:p w14:paraId="35D07BD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r>
      <w:tr w14:paraId="085DA5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 w:hRule="atLeast"/>
        </w:trPr>
        <w:tc>
          <w:tcPr>
            <w:tcW w:w="570" w:type="dxa"/>
            <w:vMerge w:val="continue"/>
            <w:vAlign w:val="top"/>
          </w:tcPr>
          <w:p w14:paraId="69706B62">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tc>
        <w:tc>
          <w:tcPr>
            <w:tcW w:w="753" w:type="dxa"/>
            <w:vMerge w:val="continue"/>
            <w:vAlign w:val="top"/>
          </w:tcPr>
          <w:p w14:paraId="77A2822A">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tc>
        <w:tc>
          <w:tcPr>
            <w:tcW w:w="840" w:type="dxa"/>
            <w:tcBorders>
              <w:top w:val="single" w:color="auto" w:sz="4" w:space="0"/>
              <w:bottom w:val="single" w:color="auto" w:sz="4" w:space="0"/>
            </w:tcBorders>
            <w:vAlign w:val="top"/>
          </w:tcPr>
          <w:p w14:paraId="453543E4">
            <w:pPr>
              <w:kinsoku w:val="0"/>
              <w:autoSpaceDE w:val="0"/>
              <w:autoSpaceDN w:val="0"/>
              <w:adjustRightInd w:val="0"/>
              <w:snapToGrid w:val="0"/>
              <w:spacing w:before="68" w:line="242" w:lineRule="auto"/>
              <w:ind w:left="120" w:right="164" w:firstLine="50"/>
              <w:jc w:val="center"/>
              <w:textAlignment w:val="baseline"/>
              <w:rPr>
                <w:rFonts w:hint="default" w:ascii="宋体" w:hAnsi="宋体" w:eastAsia="宋体" w:cs="宋体"/>
                <w:snapToGrid w:val="0"/>
                <w:color w:val="000000"/>
                <w:spacing w:val="2"/>
                <w:kern w:val="0"/>
                <w:sz w:val="24"/>
                <w:szCs w:val="24"/>
                <w:lang w:val="en-US" w:eastAsia="zh-CN" w:bidi="ar-SA"/>
              </w:rPr>
            </w:pPr>
            <w:r>
              <w:rPr>
                <w:rFonts w:hint="eastAsia" w:ascii="宋体" w:hAnsi="宋体" w:eastAsia="宋体" w:cs="宋体"/>
                <w:snapToGrid w:val="0"/>
                <w:color w:val="000000"/>
                <w:spacing w:val="2"/>
                <w:kern w:val="0"/>
                <w:sz w:val="24"/>
                <w:szCs w:val="24"/>
                <w:lang w:val="en-US" w:eastAsia="zh-CN" w:bidi="ar-SA"/>
              </w:rPr>
              <w:t>12</w:t>
            </w:r>
          </w:p>
        </w:tc>
        <w:tc>
          <w:tcPr>
            <w:tcW w:w="2385" w:type="dxa"/>
            <w:tcBorders>
              <w:top w:val="single" w:color="auto" w:sz="4" w:space="0"/>
              <w:bottom w:val="single" w:color="auto" w:sz="4" w:space="0"/>
            </w:tcBorders>
            <w:vAlign w:val="center"/>
          </w:tcPr>
          <w:p w14:paraId="5E04C669">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ICP-MS调谐液</w:t>
            </w:r>
          </w:p>
        </w:tc>
        <w:tc>
          <w:tcPr>
            <w:tcW w:w="610" w:type="dxa"/>
            <w:tcBorders>
              <w:top w:val="single" w:color="auto" w:sz="4" w:space="0"/>
              <w:bottom w:val="single" w:color="auto" w:sz="4" w:space="0"/>
            </w:tcBorders>
            <w:vAlign w:val="center"/>
          </w:tcPr>
          <w:p w14:paraId="3F7AA1EE">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瓶</w:t>
            </w:r>
          </w:p>
        </w:tc>
        <w:tc>
          <w:tcPr>
            <w:tcW w:w="814" w:type="dxa"/>
            <w:tcBorders>
              <w:top w:val="single" w:color="auto" w:sz="4" w:space="0"/>
              <w:bottom w:val="single" w:color="auto" w:sz="4" w:space="0"/>
            </w:tcBorders>
            <w:vAlign w:val="center"/>
          </w:tcPr>
          <w:p w14:paraId="5A8683BF">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1</w:t>
            </w:r>
          </w:p>
        </w:tc>
        <w:tc>
          <w:tcPr>
            <w:tcW w:w="1124" w:type="dxa"/>
            <w:vAlign w:val="center"/>
          </w:tcPr>
          <w:p w14:paraId="00B81975">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3800</w:t>
            </w:r>
          </w:p>
        </w:tc>
        <w:tc>
          <w:tcPr>
            <w:tcW w:w="1279" w:type="dxa"/>
            <w:vMerge w:val="continue"/>
            <w:tcBorders>
              <w:left w:val="single" w:color="auto" w:sz="4" w:space="0"/>
              <w:right w:val="single" w:color="auto" w:sz="4" w:space="0"/>
            </w:tcBorders>
            <w:vAlign w:val="top"/>
          </w:tcPr>
          <w:p w14:paraId="076E896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601" w:type="dxa"/>
            <w:vMerge w:val="continue"/>
            <w:vAlign w:val="top"/>
          </w:tcPr>
          <w:p w14:paraId="0292DE6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1044" w:type="dxa"/>
            <w:vMerge w:val="continue"/>
            <w:vAlign w:val="top"/>
          </w:tcPr>
          <w:p w14:paraId="09AF059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r>
      <w:tr w14:paraId="3D805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5" w:hRule="atLeast"/>
        </w:trPr>
        <w:tc>
          <w:tcPr>
            <w:tcW w:w="570" w:type="dxa"/>
            <w:vMerge w:val="continue"/>
            <w:vAlign w:val="top"/>
          </w:tcPr>
          <w:p w14:paraId="27AE8AA5">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tc>
        <w:tc>
          <w:tcPr>
            <w:tcW w:w="753" w:type="dxa"/>
            <w:vMerge w:val="continue"/>
            <w:vAlign w:val="top"/>
          </w:tcPr>
          <w:p w14:paraId="3CC912A9">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tc>
        <w:tc>
          <w:tcPr>
            <w:tcW w:w="840" w:type="dxa"/>
            <w:tcBorders>
              <w:top w:val="single" w:color="auto" w:sz="4" w:space="0"/>
              <w:bottom w:val="single" w:color="auto" w:sz="4" w:space="0"/>
            </w:tcBorders>
            <w:vAlign w:val="top"/>
          </w:tcPr>
          <w:p w14:paraId="2261B6FC">
            <w:pPr>
              <w:kinsoku w:val="0"/>
              <w:autoSpaceDE w:val="0"/>
              <w:autoSpaceDN w:val="0"/>
              <w:adjustRightInd w:val="0"/>
              <w:snapToGrid w:val="0"/>
              <w:spacing w:before="68" w:line="242" w:lineRule="auto"/>
              <w:ind w:left="120" w:right="164" w:firstLine="50"/>
              <w:jc w:val="center"/>
              <w:textAlignment w:val="baseline"/>
              <w:rPr>
                <w:rFonts w:hint="default" w:ascii="宋体" w:hAnsi="宋体" w:eastAsia="宋体" w:cs="宋体"/>
                <w:snapToGrid w:val="0"/>
                <w:color w:val="000000"/>
                <w:spacing w:val="2"/>
                <w:kern w:val="0"/>
                <w:sz w:val="24"/>
                <w:szCs w:val="24"/>
                <w:lang w:val="en-US" w:eastAsia="zh-CN" w:bidi="ar-SA"/>
              </w:rPr>
            </w:pPr>
            <w:r>
              <w:rPr>
                <w:rFonts w:hint="eastAsia" w:ascii="宋体" w:hAnsi="宋体" w:eastAsia="宋体" w:cs="宋体"/>
                <w:snapToGrid w:val="0"/>
                <w:color w:val="000000"/>
                <w:spacing w:val="2"/>
                <w:kern w:val="0"/>
                <w:sz w:val="24"/>
                <w:szCs w:val="24"/>
                <w:lang w:val="en-US" w:eastAsia="zh-CN" w:bidi="ar-SA"/>
              </w:rPr>
              <w:t>13</w:t>
            </w:r>
          </w:p>
        </w:tc>
        <w:tc>
          <w:tcPr>
            <w:tcW w:w="2385" w:type="dxa"/>
            <w:tcBorders>
              <w:top w:val="single" w:color="auto" w:sz="4" w:space="0"/>
              <w:bottom w:val="single" w:color="auto" w:sz="4" w:space="0"/>
            </w:tcBorders>
            <w:vAlign w:val="center"/>
          </w:tcPr>
          <w:p w14:paraId="3C29584E">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阴阳离子A18色谱柱+配套保护柱整套</w:t>
            </w:r>
          </w:p>
        </w:tc>
        <w:tc>
          <w:tcPr>
            <w:tcW w:w="610" w:type="dxa"/>
            <w:tcBorders>
              <w:top w:val="single" w:color="auto" w:sz="4" w:space="0"/>
              <w:bottom w:val="single" w:color="auto" w:sz="4" w:space="0"/>
            </w:tcBorders>
            <w:vAlign w:val="center"/>
          </w:tcPr>
          <w:p w14:paraId="4BBCC7AF">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套</w:t>
            </w:r>
          </w:p>
        </w:tc>
        <w:tc>
          <w:tcPr>
            <w:tcW w:w="814" w:type="dxa"/>
            <w:tcBorders>
              <w:top w:val="single" w:color="auto" w:sz="4" w:space="0"/>
              <w:bottom w:val="single" w:color="auto" w:sz="4" w:space="0"/>
            </w:tcBorders>
            <w:vAlign w:val="center"/>
          </w:tcPr>
          <w:p w14:paraId="60D574A8">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1</w:t>
            </w:r>
          </w:p>
        </w:tc>
        <w:tc>
          <w:tcPr>
            <w:tcW w:w="1124" w:type="dxa"/>
            <w:vAlign w:val="center"/>
          </w:tcPr>
          <w:p w14:paraId="52D9DA19">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34000</w:t>
            </w:r>
          </w:p>
        </w:tc>
        <w:tc>
          <w:tcPr>
            <w:tcW w:w="1279" w:type="dxa"/>
            <w:vMerge w:val="continue"/>
            <w:tcBorders>
              <w:left w:val="single" w:color="auto" w:sz="4" w:space="0"/>
              <w:right w:val="single" w:color="auto" w:sz="4" w:space="0"/>
            </w:tcBorders>
            <w:vAlign w:val="top"/>
          </w:tcPr>
          <w:p w14:paraId="5170537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601" w:type="dxa"/>
            <w:vMerge w:val="continue"/>
            <w:vAlign w:val="top"/>
          </w:tcPr>
          <w:p w14:paraId="3208744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1044" w:type="dxa"/>
            <w:vMerge w:val="continue"/>
            <w:vAlign w:val="top"/>
          </w:tcPr>
          <w:p w14:paraId="56D7749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r>
      <w:tr w14:paraId="7DA38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70" w:type="dxa"/>
            <w:vMerge w:val="continue"/>
            <w:vAlign w:val="top"/>
          </w:tcPr>
          <w:p w14:paraId="7207812F">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zh-CN" w:bidi="ar-SA"/>
              </w:rPr>
            </w:pPr>
            <w:r>
              <w:rPr>
                <w:rFonts w:hint="eastAsia" w:ascii="宋体" w:hAnsi="宋体" w:eastAsia="宋体" w:cs="宋体"/>
                <w:snapToGrid w:val="0"/>
                <w:color w:val="000000"/>
                <w:spacing w:val="2"/>
                <w:kern w:val="0"/>
                <w:sz w:val="24"/>
                <w:szCs w:val="24"/>
                <w:lang w:val="en-US" w:eastAsia="zh-CN" w:bidi="ar-SA"/>
              </w:rPr>
              <w:t xml:space="preserve"> </w:t>
            </w:r>
          </w:p>
        </w:tc>
        <w:tc>
          <w:tcPr>
            <w:tcW w:w="753" w:type="dxa"/>
            <w:vMerge w:val="continue"/>
            <w:vAlign w:val="top"/>
          </w:tcPr>
          <w:p w14:paraId="36C8452A">
            <w:pPr>
              <w:kinsoku w:val="0"/>
              <w:autoSpaceDE w:val="0"/>
              <w:autoSpaceDN w:val="0"/>
              <w:adjustRightInd w:val="0"/>
              <w:snapToGrid w:val="0"/>
              <w:spacing w:before="68" w:line="242" w:lineRule="auto"/>
              <w:ind w:left="120" w:right="164" w:firstLine="50"/>
              <w:jc w:val="both"/>
              <w:textAlignment w:val="baseline"/>
              <w:rPr>
                <w:rFonts w:hint="eastAsia" w:ascii="宋体" w:hAnsi="宋体" w:eastAsia="宋体" w:cs="宋体"/>
                <w:snapToGrid w:val="0"/>
                <w:color w:val="000000"/>
                <w:spacing w:val="2"/>
                <w:kern w:val="0"/>
                <w:sz w:val="24"/>
                <w:szCs w:val="24"/>
                <w:lang w:val="en-US" w:eastAsia="en-US" w:bidi="ar-SA"/>
              </w:rPr>
            </w:pPr>
          </w:p>
        </w:tc>
        <w:tc>
          <w:tcPr>
            <w:tcW w:w="840" w:type="dxa"/>
            <w:tcBorders>
              <w:top w:val="single" w:color="auto" w:sz="4" w:space="0"/>
              <w:bottom w:val="single" w:color="auto" w:sz="4" w:space="0"/>
            </w:tcBorders>
            <w:vAlign w:val="top"/>
          </w:tcPr>
          <w:p w14:paraId="67C4420D">
            <w:pPr>
              <w:kinsoku w:val="0"/>
              <w:autoSpaceDE w:val="0"/>
              <w:autoSpaceDN w:val="0"/>
              <w:adjustRightInd w:val="0"/>
              <w:snapToGrid w:val="0"/>
              <w:spacing w:before="68" w:line="242" w:lineRule="auto"/>
              <w:ind w:left="120" w:right="164" w:firstLine="50"/>
              <w:jc w:val="center"/>
              <w:textAlignment w:val="baseline"/>
              <w:rPr>
                <w:rFonts w:hint="default" w:ascii="宋体" w:hAnsi="宋体" w:eastAsia="宋体" w:cs="宋体"/>
                <w:snapToGrid w:val="0"/>
                <w:color w:val="000000"/>
                <w:spacing w:val="2"/>
                <w:kern w:val="0"/>
                <w:sz w:val="24"/>
                <w:szCs w:val="24"/>
                <w:lang w:val="en-US" w:eastAsia="zh-CN" w:bidi="ar-SA"/>
              </w:rPr>
            </w:pPr>
            <w:r>
              <w:rPr>
                <w:rFonts w:hint="eastAsia" w:ascii="宋体" w:hAnsi="宋体" w:eastAsia="宋体" w:cs="宋体"/>
                <w:snapToGrid w:val="0"/>
                <w:color w:val="000000"/>
                <w:spacing w:val="2"/>
                <w:kern w:val="0"/>
                <w:sz w:val="24"/>
                <w:szCs w:val="24"/>
                <w:lang w:val="en-US" w:eastAsia="zh-CN" w:bidi="ar-SA"/>
              </w:rPr>
              <w:t>14</w:t>
            </w:r>
          </w:p>
        </w:tc>
        <w:tc>
          <w:tcPr>
            <w:tcW w:w="2385" w:type="dxa"/>
            <w:tcBorders>
              <w:top w:val="single" w:color="auto" w:sz="4" w:space="0"/>
              <w:bottom w:val="single" w:color="auto" w:sz="4" w:space="0"/>
            </w:tcBorders>
            <w:vAlign w:val="center"/>
          </w:tcPr>
          <w:p w14:paraId="1937FA83">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顶空瓶瓶盖垫片</w:t>
            </w:r>
          </w:p>
        </w:tc>
        <w:tc>
          <w:tcPr>
            <w:tcW w:w="610" w:type="dxa"/>
            <w:tcBorders>
              <w:top w:val="single" w:color="auto" w:sz="4" w:space="0"/>
              <w:bottom w:val="single" w:color="auto" w:sz="4" w:space="0"/>
            </w:tcBorders>
            <w:vAlign w:val="center"/>
          </w:tcPr>
          <w:p w14:paraId="30896363">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片</w:t>
            </w:r>
          </w:p>
        </w:tc>
        <w:tc>
          <w:tcPr>
            <w:tcW w:w="814" w:type="dxa"/>
            <w:tcBorders>
              <w:top w:val="single" w:color="auto" w:sz="4" w:space="0"/>
              <w:bottom w:val="single" w:color="auto" w:sz="4" w:space="0"/>
            </w:tcBorders>
            <w:vAlign w:val="center"/>
          </w:tcPr>
          <w:p w14:paraId="5860319E">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500</w:t>
            </w:r>
          </w:p>
        </w:tc>
        <w:tc>
          <w:tcPr>
            <w:tcW w:w="1124" w:type="dxa"/>
            <w:vAlign w:val="center"/>
          </w:tcPr>
          <w:p w14:paraId="4AA807FB">
            <w:pPr>
              <w:kinsoku w:val="0"/>
              <w:autoSpaceDE w:val="0"/>
              <w:autoSpaceDN w:val="0"/>
              <w:adjustRightInd w:val="0"/>
              <w:snapToGrid w:val="0"/>
              <w:spacing w:before="68" w:line="242" w:lineRule="auto"/>
              <w:ind w:left="120" w:right="164" w:firstLine="50"/>
              <w:jc w:val="center"/>
              <w:textAlignment w:val="baseline"/>
              <w:rPr>
                <w:rFonts w:hint="eastAsia" w:ascii="宋体" w:hAnsi="宋体" w:eastAsia="宋体" w:cs="宋体"/>
                <w:snapToGrid w:val="0"/>
                <w:color w:val="000000"/>
                <w:spacing w:val="2"/>
                <w:kern w:val="0"/>
                <w:sz w:val="24"/>
                <w:szCs w:val="24"/>
                <w:lang w:val="en-US" w:eastAsia="en-US" w:bidi="ar-SA"/>
              </w:rPr>
            </w:pPr>
            <w:r>
              <w:rPr>
                <w:rFonts w:hint="eastAsia" w:ascii="宋体" w:hAnsi="宋体" w:eastAsia="宋体" w:cs="宋体"/>
                <w:snapToGrid w:val="0"/>
                <w:color w:val="000000"/>
                <w:spacing w:val="2"/>
                <w:kern w:val="0"/>
                <w:sz w:val="24"/>
                <w:szCs w:val="24"/>
                <w:lang w:val="en-US" w:eastAsia="zh-CN" w:bidi="ar-SA"/>
              </w:rPr>
              <w:t>4500</w:t>
            </w:r>
          </w:p>
        </w:tc>
        <w:tc>
          <w:tcPr>
            <w:tcW w:w="1279" w:type="dxa"/>
            <w:vMerge w:val="continue"/>
            <w:tcBorders>
              <w:left w:val="single" w:color="auto" w:sz="4" w:space="0"/>
              <w:right w:val="single" w:color="auto" w:sz="4" w:space="0"/>
            </w:tcBorders>
            <w:vAlign w:val="top"/>
          </w:tcPr>
          <w:p w14:paraId="40E1C32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601" w:type="dxa"/>
            <w:vMerge w:val="continue"/>
            <w:vAlign w:val="top"/>
          </w:tcPr>
          <w:p w14:paraId="0FD5D14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c>
          <w:tcPr>
            <w:tcW w:w="1044" w:type="dxa"/>
            <w:vMerge w:val="continue"/>
            <w:vAlign w:val="top"/>
          </w:tcPr>
          <w:p w14:paraId="36C26BA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4"/>
                <w:szCs w:val="24"/>
                <w:lang w:eastAsia="en-US"/>
              </w:rPr>
            </w:pPr>
          </w:p>
        </w:tc>
      </w:tr>
      <w:tr w14:paraId="5D3908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0020" w:type="dxa"/>
            <w:gridSpan w:val="10"/>
            <w:vAlign w:val="top"/>
          </w:tcPr>
          <w:p w14:paraId="6F87FA8C">
            <w:pPr>
              <w:widowControl/>
              <w:kinsoku w:val="0"/>
              <w:autoSpaceDE w:val="0"/>
              <w:autoSpaceDN w:val="0"/>
              <w:adjustRightInd w:val="0"/>
              <w:snapToGrid w:val="0"/>
              <w:spacing w:before="154" w:line="219" w:lineRule="auto"/>
              <w:ind w:left="504"/>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10"/>
                <w:kern w:val="0"/>
                <w:sz w:val="22"/>
                <w:szCs w:val="22"/>
                <w:lang w:eastAsia="en-US"/>
              </w:rPr>
              <w:t>注：1</w:t>
            </w:r>
            <w:r>
              <w:rPr>
                <w:rFonts w:ascii="宋体" w:hAnsi="宋体" w:eastAsia="宋体" w:cs="宋体"/>
                <w:snapToGrid w:val="0"/>
                <w:color w:val="000000"/>
                <w:kern w:val="0"/>
                <w:sz w:val="24"/>
                <w:szCs w:val="24"/>
                <w:lang w:eastAsia="en-US"/>
              </w:rPr>
              <w:t>.“包”为最小合同单位。每“包”内容应细化到具体的标的。</w:t>
            </w:r>
          </w:p>
          <w:p w14:paraId="510B3021">
            <w:pPr>
              <w:widowControl/>
              <w:kinsoku w:val="0"/>
              <w:autoSpaceDE w:val="0"/>
              <w:autoSpaceDN w:val="0"/>
              <w:adjustRightInd w:val="0"/>
              <w:snapToGrid w:val="0"/>
              <w:spacing w:before="277" w:line="219" w:lineRule="auto"/>
              <w:ind w:left="914"/>
              <w:jc w:val="left"/>
              <w:textAlignment w:val="baseline"/>
              <w:rPr>
                <w:rFonts w:ascii="宋体" w:hAnsi="宋体" w:eastAsia="宋体" w:cs="宋体"/>
                <w:snapToGrid w:val="0"/>
                <w:color w:val="000000"/>
                <w:kern w:val="0"/>
                <w:sz w:val="24"/>
                <w:szCs w:val="24"/>
                <w:lang w:eastAsia="en-US"/>
              </w:rPr>
            </w:pPr>
            <w:r>
              <w:rPr>
                <w:rFonts w:ascii="Times New Roman" w:hAnsi="Times New Roman" w:eastAsia="Times New Roman" w:cs="Times New Roman"/>
                <w:snapToGrid w:val="0"/>
                <w:color w:val="000000"/>
                <w:kern w:val="0"/>
                <w:sz w:val="24"/>
                <w:szCs w:val="24"/>
                <w:lang w:eastAsia="en-US"/>
              </w:rPr>
              <w:t>2.</w:t>
            </w:r>
            <w:r>
              <w:rPr>
                <w:rFonts w:ascii="宋体" w:hAnsi="宋体" w:eastAsia="宋体" w:cs="宋体"/>
                <w:snapToGrid w:val="0"/>
                <w:color w:val="000000"/>
                <w:kern w:val="0"/>
                <w:sz w:val="24"/>
                <w:szCs w:val="24"/>
                <w:lang w:eastAsia="en-US"/>
              </w:rPr>
              <w:t>货物的主要技术参数或规格：详见第</w:t>
            </w:r>
            <w:r>
              <w:rPr>
                <w:rFonts w:ascii="宋体" w:hAnsi="宋体" w:eastAsia="宋体" w:cs="宋体"/>
                <w:snapToGrid w:val="0"/>
                <w:color w:val="000000"/>
                <w:spacing w:val="-1"/>
                <w:kern w:val="0"/>
                <w:sz w:val="24"/>
                <w:szCs w:val="24"/>
                <w:lang w:eastAsia="en-US"/>
              </w:rPr>
              <w:t>二节“技术要求”中的具体技术参数。</w:t>
            </w:r>
          </w:p>
          <w:p w14:paraId="5FEB5B52">
            <w:pPr>
              <w:widowControl/>
              <w:kinsoku w:val="0"/>
              <w:autoSpaceDE w:val="0"/>
              <w:autoSpaceDN w:val="0"/>
              <w:adjustRightInd w:val="0"/>
              <w:snapToGrid w:val="0"/>
              <w:spacing w:before="271" w:line="293" w:lineRule="auto"/>
              <w:ind w:left="504" w:right="532" w:firstLine="409"/>
              <w:jc w:val="left"/>
              <w:textAlignment w:val="baseline"/>
              <w:rPr>
                <w:rFonts w:ascii="宋体" w:hAnsi="宋体" w:eastAsia="宋体" w:cs="宋体"/>
                <w:snapToGrid w:val="0"/>
                <w:color w:val="000000"/>
                <w:kern w:val="0"/>
                <w:sz w:val="24"/>
                <w:szCs w:val="24"/>
                <w:lang w:eastAsia="en-US"/>
              </w:rPr>
            </w:pPr>
            <w:r>
              <w:rPr>
                <w:rFonts w:ascii="Times New Roman" w:hAnsi="Times New Roman" w:eastAsia="Times New Roman" w:cs="Times New Roman"/>
                <w:snapToGrid w:val="0"/>
                <w:color w:val="000000"/>
                <w:kern w:val="0"/>
                <w:sz w:val="24"/>
                <w:szCs w:val="24"/>
                <w:lang w:eastAsia="en-US"/>
              </w:rPr>
              <w:t>3.</w:t>
            </w:r>
            <w:r>
              <w:rPr>
                <w:rFonts w:ascii="宋体" w:hAnsi="宋体" w:eastAsia="宋体" w:cs="宋体"/>
                <w:snapToGrid w:val="0"/>
                <w:color w:val="000000"/>
                <w:kern w:val="0"/>
                <w:sz w:val="24"/>
                <w:szCs w:val="24"/>
                <w:lang w:eastAsia="en-US"/>
              </w:rPr>
              <w:t>供应商应在响应文件“分项报价明细表”中按标的名称顺序逐项填写，且每个标的均需</w:t>
            </w:r>
            <w:r>
              <w:rPr>
                <w:rFonts w:ascii="宋体" w:hAnsi="宋体" w:eastAsia="宋体" w:cs="宋体"/>
                <w:snapToGrid w:val="0"/>
                <w:color w:val="000000"/>
                <w:spacing w:val="-2"/>
                <w:kern w:val="0"/>
                <w:sz w:val="24"/>
                <w:szCs w:val="24"/>
                <w:lang w:eastAsia="en-US"/>
              </w:rPr>
              <w:t>按</w:t>
            </w:r>
            <w:r>
              <w:rPr>
                <w:rFonts w:hint="eastAsia" w:ascii="宋体" w:hAnsi="宋体" w:eastAsia="宋体" w:cs="宋体"/>
                <w:snapToGrid w:val="0"/>
                <w:color w:val="000000"/>
                <w:spacing w:val="-2"/>
                <w:kern w:val="0"/>
                <w:sz w:val="24"/>
                <w:szCs w:val="24"/>
                <w:lang w:val="en-US" w:eastAsia="zh-CN"/>
              </w:rPr>
              <w:t>招标</w:t>
            </w:r>
            <w:r>
              <w:rPr>
                <w:rFonts w:ascii="宋体" w:hAnsi="宋体" w:eastAsia="宋体" w:cs="宋体"/>
                <w:snapToGrid w:val="0"/>
                <w:color w:val="000000"/>
                <w:spacing w:val="-2"/>
                <w:kern w:val="0"/>
                <w:sz w:val="24"/>
                <w:szCs w:val="24"/>
                <w:lang w:eastAsia="en-US"/>
              </w:rPr>
              <w:t>文件规定报价。如有缺项、漏项，其</w:t>
            </w:r>
            <w:r>
              <w:rPr>
                <w:rFonts w:ascii="宋体" w:hAnsi="宋体" w:eastAsia="宋体" w:cs="宋体"/>
                <w:b/>
                <w:bCs/>
                <w:snapToGrid w:val="0"/>
                <w:color w:val="000000"/>
                <w:spacing w:val="-2"/>
                <w:kern w:val="0"/>
                <w:sz w:val="24"/>
                <w:szCs w:val="24"/>
                <w:lang w:eastAsia="en-US"/>
              </w:rPr>
              <w:t>响</w:t>
            </w:r>
            <w:r>
              <w:rPr>
                <w:rFonts w:ascii="宋体" w:hAnsi="宋体" w:eastAsia="宋体" w:cs="宋体"/>
                <w:b/>
                <w:bCs/>
                <w:snapToGrid w:val="0"/>
                <w:color w:val="000000"/>
                <w:spacing w:val="-3"/>
                <w:kern w:val="0"/>
                <w:sz w:val="24"/>
                <w:szCs w:val="24"/>
                <w:lang w:eastAsia="en-US"/>
              </w:rPr>
              <w:t>应无效。</w:t>
            </w:r>
          </w:p>
          <w:p w14:paraId="53609B0C">
            <w:pPr>
              <w:widowControl/>
              <w:kinsoku w:val="0"/>
              <w:autoSpaceDE w:val="0"/>
              <w:autoSpaceDN w:val="0"/>
              <w:adjustRightInd w:val="0"/>
              <w:snapToGrid w:val="0"/>
              <w:spacing w:line="240" w:lineRule="auto"/>
              <w:jc w:val="left"/>
              <w:textAlignment w:val="baseline"/>
              <w:rPr>
                <w:rFonts w:hint="eastAsia" w:ascii="Arial" w:hAnsi="Arial" w:eastAsia="宋体" w:cs="Arial"/>
                <w:snapToGrid w:val="0"/>
                <w:color w:val="000000"/>
                <w:kern w:val="0"/>
                <w:sz w:val="24"/>
                <w:szCs w:val="24"/>
                <w:lang w:eastAsia="zh-CN"/>
              </w:rPr>
            </w:pPr>
          </w:p>
        </w:tc>
      </w:tr>
    </w:tbl>
    <w:p w14:paraId="11EC6737">
      <w:pPr>
        <w:spacing w:line="293" w:lineRule="auto"/>
        <w:rPr>
          <w:rFonts w:ascii="宋体" w:hAnsi="宋体" w:eastAsia="宋体" w:cs="宋体"/>
          <w:kern w:val="2"/>
          <w:sz w:val="21"/>
          <w:szCs w:val="21"/>
        </w:rPr>
      </w:pPr>
    </w:p>
    <w:p w14:paraId="4560CEC4">
      <w:pPr>
        <w:widowControl/>
        <w:numPr>
          <w:ilvl w:val="0"/>
          <w:numId w:val="2"/>
        </w:numPr>
        <w:kinsoku w:val="0"/>
        <w:autoSpaceDE w:val="0"/>
        <w:autoSpaceDN w:val="0"/>
        <w:adjustRightInd w:val="0"/>
        <w:snapToGrid w:val="0"/>
        <w:spacing w:before="137" w:line="219" w:lineRule="auto"/>
        <w:ind w:left="3348"/>
        <w:jc w:val="left"/>
        <w:textAlignment w:val="baseline"/>
        <w:rPr>
          <w:rFonts w:hint="default" w:ascii="宋体" w:hAnsi="宋体" w:eastAsia="宋体" w:cs="宋体"/>
          <w:b/>
          <w:bCs/>
          <w:snapToGrid w:val="0"/>
          <w:color w:val="000000"/>
          <w:spacing w:val="9"/>
          <w:kern w:val="0"/>
          <w:sz w:val="28"/>
          <w:szCs w:val="28"/>
          <w:lang w:val="en-US" w:eastAsia="zh-CN"/>
        </w:rPr>
      </w:pPr>
      <w:r>
        <w:rPr>
          <w:rFonts w:hint="eastAsia" w:ascii="宋体" w:hAnsi="宋体" w:eastAsia="宋体" w:cs="宋体"/>
          <w:b/>
          <w:bCs/>
          <w:snapToGrid w:val="0"/>
          <w:color w:val="000000"/>
          <w:spacing w:val="9"/>
          <w:kern w:val="0"/>
          <w:sz w:val="28"/>
          <w:szCs w:val="28"/>
          <w:lang w:val="en-US" w:eastAsia="zh-CN"/>
        </w:rPr>
        <w:t>技术要求</w:t>
      </w:r>
    </w:p>
    <w:p w14:paraId="4DDE1F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一、说明</w:t>
      </w:r>
    </w:p>
    <w:p w14:paraId="584F31C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7" w:line="360" w:lineRule="auto"/>
        <w:ind w:firstLine="480" w:firstLineChars="200"/>
        <w:jc w:val="left"/>
        <w:textAlignment w:val="baseline"/>
        <w:rPr>
          <w:rFonts w:hint="eastAsia" w:ascii="Times New Roman" w:hAnsi="Times New Roman" w:eastAsia="宋体" w:cs="Times New Roman"/>
          <w:color w:val="000000"/>
          <w:kern w:val="2"/>
          <w:sz w:val="24"/>
          <w:szCs w:val="24"/>
          <w:lang w:val="en-US" w:eastAsia="zh-CN"/>
        </w:rPr>
      </w:pPr>
      <w:r>
        <w:rPr>
          <w:rFonts w:hint="eastAsia" w:ascii="Times New Roman" w:hAnsi="Times New Roman" w:eastAsia="宋体" w:cs="Times New Roman"/>
          <w:color w:val="000000"/>
          <w:kern w:val="2"/>
          <w:sz w:val="24"/>
          <w:szCs w:val="24"/>
          <w:lang w:val="en-US" w:eastAsia="zh-CN"/>
        </w:rPr>
        <w:t>1、本项目全部设备、耗材技术参数依据《生活饮用水卫生标准》（GB5749-2022）、《生活饮用水标准检验方法》（GB/T5750-2023）、HJ水质放射性检测系列现行强制性国家标准编制；允许同等性能国产设备等效替代，替代产品全部量化指标不得低于本文件最低要求。</w:t>
      </w:r>
    </w:p>
    <w:p w14:paraId="0139092D">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7" w:line="360" w:lineRule="auto"/>
        <w:ind w:firstLine="482" w:firstLineChars="200"/>
        <w:jc w:val="left"/>
        <w:textAlignment w:val="baseline"/>
        <w:rPr>
          <w:rFonts w:hint="default" w:ascii="宋体" w:hAnsi="宋体" w:eastAsia="宋体" w:cs="宋体"/>
          <w:b/>
          <w:bCs/>
          <w:snapToGrid w:val="0"/>
          <w:color w:val="000000"/>
          <w:spacing w:val="9"/>
          <w:kern w:val="0"/>
          <w:sz w:val="28"/>
          <w:szCs w:val="28"/>
          <w:lang w:val="en-US" w:eastAsia="zh-CN"/>
        </w:rPr>
      </w:pPr>
      <w:r>
        <w:rPr>
          <w:rFonts w:hint="eastAsia" w:ascii="宋体" w:hAnsi="宋体" w:eastAsia="宋体" w:cs="宋体"/>
          <w:b/>
          <w:bCs/>
          <w:color w:val="000000"/>
          <w:kern w:val="0"/>
          <w:sz w:val="24"/>
          <w:szCs w:val="24"/>
          <w:lang w:val="en-US" w:eastAsia="zh-CN" w:bidi="ar"/>
        </w:rPr>
        <w:t>二、设备清单参数要求</w:t>
      </w:r>
    </w:p>
    <w:tbl>
      <w:tblPr>
        <w:tblStyle w:val="2"/>
        <w:tblW w:w="9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453"/>
        <w:gridCol w:w="1583"/>
        <w:gridCol w:w="6203"/>
      </w:tblGrid>
      <w:tr w14:paraId="58D05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856" w:hRule="atLeast"/>
          <w:tblHeader/>
        </w:trPr>
        <w:tc>
          <w:tcPr>
            <w:tcW w:w="1453" w:type="dxa"/>
            <w:shd w:val="clear" w:color="auto" w:fill="auto"/>
            <w:tcMar>
              <w:top w:w="150" w:type="dxa"/>
              <w:left w:w="0" w:type="dxa"/>
              <w:bottom w:w="150" w:type="dxa"/>
              <w:right w:w="300" w:type="dxa"/>
            </w:tcMar>
            <w:vAlign w:val="center"/>
          </w:tcPr>
          <w:p w14:paraId="2479CDF2">
            <w:pPr>
              <w:keepNext w:val="0"/>
              <w:keepLines w:val="0"/>
              <w:widowControl/>
              <w:suppressLineNumbers w:val="0"/>
              <w:wordWrap/>
              <w:spacing w:before="0" w:beforeAutospacing="1" w:after="0" w:afterAutospacing="1"/>
              <w:ind w:left="0" w:right="0"/>
              <w:jc w:val="center"/>
              <w:rPr>
                <w:rFonts w:ascii="Calibri" w:hAnsi="Calibri" w:eastAsia="宋体" w:cs="Times New Roman"/>
                <w:kern w:val="0"/>
                <w:sz w:val="24"/>
                <w:szCs w:val="24"/>
                <w:lang w:val="en-US" w:eastAsia="zh-CN" w:bidi="ar"/>
              </w:rPr>
            </w:pPr>
            <w:r>
              <w:rPr>
                <w:rFonts w:ascii="Calibri" w:hAnsi="Calibri" w:eastAsia="宋体" w:cs="Times New Roman"/>
                <w:b/>
                <w:bCs/>
                <w:kern w:val="0"/>
                <w:sz w:val="24"/>
                <w:szCs w:val="24"/>
                <w:lang w:val="en-US" w:eastAsia="zh-CN" w:bidi="ar"/>
              </w:rPr>
              <w:t>设备名称</w:t>
            </w:r>
          </w:p>
        </w:tc>
        <w:tc>
          <w:tcPr>
            <w:tcW w:w="1583" w:type="dxa"/>
            <w:shd w:val="clear" w:color="auto" w:fill="auto"/>
            <w:tcMar>
              <w:top w:w="150" w:type="dxa"/>
              <w:left w:w="0" w:type="dxa"/>
              <w:bottom w:w="150" w:type="dxa"/>
              <w:right w:w="300" w:type="dxa"/>
            </w:tcMar>
            <w:vAlign w:val="center"/>
          </w:tcPr>
          <w:p w14:paraId="5A3E4FE5">
            <w:pPr>
              <w:keepNext w:val="0"/>
              <w:keepLines w:val="0"/>
              <w:widowControl/>
              <w:suppressLineNumbers w:val="0"/>
              <w:wordWrap/>
              <w:spacing w:before="0" w:beforeAutospacing="1" w:after="0" w:afterAutospacing="1"/>
              <w:ind w:left="0" w:right="0"/>
              <w:jc w:val="center"/>
              <w:rPr>
                <w:rFonts w:ascii="Calibri" w:hAnsi="Calibri" w:eastAsia="宋体" w:cs="Times New Roman"/>
                <w:kern w:val="0"/>
                <w:sz w:val="24"/>
                <w:szCs w:val="24"/>
                <w:lang w:val="en-US" w:eastAsia="zh-CN" w:bidi="ar"/>
              </w:rPr>
            </w:pPr>
            <w:r>
              <w:rPr>
                <w:rFonts w:ascii="Calibri" w:hAnsi="Calibri" w:eastAsia="宋体" w:cs="Times New Roman"/>
                <w:b/>
                <w:bCs/>
                <w:kern w:val="0"/>
                <w:sz w:val="24"/>
                <w:szCs w:val="24"/>
                <w:lang w:val="en-US" w:eastAsia="zh-CN" w:bidi="ar"/>
              </w:rPr>
              <w:t>参数类别</w:t>
            </w:r>
          </w:p>
        </w:tc>
        <w:tc>
          <w:tcPr>
            <w:tcW w:w="6203" w:type="dxa"/>
            <w:shd w:val="clear" w:color="auto" w:fill="auto"/>
            <w:tcMar>
              <w:top w:w="150" w:type="dxa"/>
              <w:left w:w="0" w:type="dxa"/>
              <w:bottom w:w="150" w:type="dxa"/>
              <w:right w:w="300" w:type="dxa"/>
            </w:tcMar>
            <w:vAlign w:val="center"/>
          </w:tcPr>
          <w:p w14:paraId="5DF63550">
            <w:pPr>
              <w:keepNext w:val="0"/>
              <w:keepLines w:val="0"/>
              <w:widowControl/>
              <w:suppressLineNumbers w:val="0"/>
              <w:wordWrap/>
              <w:spacing w:before="0" w:beforeAutospacing="1" w:after="0" w:afterAutospacing="1"/>
              <w:ind w:left="0" w:right="0"/>
              <w:jc w:val="center"/>
              <w:rPr>
                <w:rFonts w:ascii="Calibri" w:hAnsi="Calibri" w:eastAsia="宋体" w:cs="Times New Roman"/>
                <w:kern w:val="0"/>
                <w:sz w:val="24"/>
                <w:szCs w:val="24"/>
                <w:lang w:val="en-US" w:eastAsia="zh-CN" w:bidi="ar"/>
              </w:rPr>
            </w:pPr>
            <w:r>
              <w:rPr>
                <w:rFonts w:ascii="Calibri" w:hAnsi="Calibri" w:eastAsia="宋体" w:cs="Times New Roman"/>
                <w:b/>
                <w:bCs/>
                <w:kern w:val="0"/>
                <w:sz w:val="24"/>
                <w:szCs w:val="24"/>
                <w:lang w:val="en-US" w:eastAsia="zh-CN" w:bidi="ar"/>
              </w:rPr>
              <w:t>详细技术参数</w:t>
            </w:r>
          </w:p>
        </w:tc>
      </w:tr>
      <w:tr w14:paraId="2E9D1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19" w:hRule="atLeast"/>
        </w:trPr>
        <w:tc>
          <w:tcPr>
            <w:tcW w:w="1453" w:type="dxa"/>
            <w:vMerge w:val="restart"/>
            <w:shd w:val="clear" w:color="auto" w:fill="auto"/>
            <w:tcMar>
              <w:top w:w="150" w:type="dxa"/>
              <w:left w:w="0" w:type="dxa"/>
              <w:bottom w:w="150" w:type="dxa"/>
              <w:right w:w="300" w:type="dxa"/>
            </w:tcMar>
            <w:vAlign w:val="top"/>
          </w:tcPr>
          <w:p w14:paraId="376F6F20">
            <w:pPr>
              <w:keepNext w:val="0"/>
              <w:keepLines w:val="0"/>
              <w:widowControl/>
              <w:suppressLineNumbers w:val="0"/>
              <w:spacing w:before="0" w:beforeAutospacing="1" w:after="0" w:afterAutospacing="1"/>
              <w:ind w:left="0" w:right="0"/>
              <w:jc w:val="center"/>
              <w:rPr>
                <w:rFonts w:ascii="Calibri" w:hAnsi="Calibri" w:eastAsia="宋体" w:cs="Times New Roman"/>
                <w:kern w:val="0"/>
                <w:sz w:val="24"/>
                <w:szCs w:val="24"/>
                <w:lang w:val="en-US" w:eastAsia="zh-CN" w:bidi="ar"/>
              </w:rPr>
            </w:pPr>
            <w:r>
              <w:rPr>
                <w:rFonts w:ascii="Calibri" w:hAnsi="Calibri" w:eastAsia="宋体" w:cs="Times New Roman"/>
                <w:b/>
                <w:kern w:val="2"/>
                <w:sz w:val="21"/>
                <w:szCs w:val="24"/>
                <w:vertAlign w:val="baseline"/>
                <w:lang w:val="en-US" w:eastAsia="zh-CN" w:bidi="ar-SA"/>
              </w:rPr>
              <w:t>多参数水质分析仪(65参数型,2台)</w:t>
            </w:r>
            <w:r>
              <w:rPr>
                <w:rFonts w:ascii="Calibri" w:hAnsi="Calibri" w:eastAsia="宋体" w:cs="Times New Roman"/>
                <w:kern w:val="0"/>
                <w:sz w:val="24"/>
                <w:szCs w:val="24"/>
                <w:vertAlign w:val="baseline"/>
                <w:lang w:val="en-US" w:eastAsia="zh-CN" w:bidi="ar"/>
              </w:rPr>
              <w:t>​</w:t>
            </w:r>
          </w:p>
        </w:tc>
        <w:tc>
          <w:tcPr>
            <w:tcW w:w="1583" w:type="dxa"/>
            <w:shd w:val="clear" w:color="auto" w:fill="auto"/>
            <w:tcMar>
              <w:top w:w="150" w:type="dxa"/>
              <w:left w:w="0" w:type="dxa"/>
              <w:bottom w:w="150" w:type="dxa"/>
              <w:right w:w="300" w:type="dxa"/>
            </w:tcMar>
            <w:vAlign w:val="top"/>
          </w:tcPr>
          <w:p w14:paraId="711BF16F">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测试项目</w:t>
            </w:r>
          </w:p>
        </w:tc>
        <w:tc>
          <w:tcPr>
            <w:tcW w:w="6203" w:type="dxa"/>
            <w:shd w:val="clear" w:color="auto" w:fill="auto"/>
            <w:tcMar>
              <w:top w:w="150" w:type="dxa"/>
              <w:left w:w="0" w:type="dxa"/>
              <w:bottom w:w="150" w:type="dxa"/>
              <w:right w:w="300" w:type="dxa"/>
            </w:tcMar>
            <w:vAlign w:val="top"/>
          </w:tcPr>
          <w:p w14:paraId="24F8BD57">
            <w:pPr>
              <w:keepNext w:val="0"/>
              <w:keepLines w:val="0"/>
              <w:widowControl/>
              <w:suppressLineNumbers w:val="0"/>
              <w:spacing w:beforeAutospacing="1" w:afterAutospacing="1"/>
              <w:jc w:val="left"/>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整机支持≥65项生活饮用水常规、消毒、重金属、理化指标检测，覆盖消毒副产物、氮盐、阴阳离子、高低量程硬度、重金属、有机污染物等类别；必须完整包含以下检测项目：pH、色度、浊度、游离氯、总氯、化合性余氯、二氧化氯、亚氯酸盐、臭氧(DPD法)、臭氧(靛蓝法)、耗氧量、氨氮(纳氏试剂法)、氨氮(水杨酸法)、亚硝酸盐氮、硝酸盐氮、氟化物、氯化剂、总硬度(高量程)、镁硬度(高量程)、钙硬度(高量程)、硫酸盐、总碱度、六价铬、总铬、挥发酚、铁、锰(甲醛肟法)、锰(高碘酸钾法)、铝、有效氯(高量程)、有效氯(低量程)、总硬度(低量程)、镁硬度(低量程)、钙硬度(低量程)、溶解氧、镍、铜、氰化物、硅酸盐、硫化物、总磷、磷酸盐、锌、CODCr(低量程)、CODCr(高量程)、活性氧、氰尿酸、碘、溴、钛、铅、钡、联氨、钼、钼酸盐、过氧化氢、亚硫酸盐、甲醛、镉、三价铬、铍、银、钴、钾、尿素；各项检测显色、分析方式全部符合GB/T5750-2023《生活饮用水标准检验方法》，仪器软硬件架构支持后期免费新增检测项目拓展。</w:t>
            </w:r>
          </w:p>
        </w:tc>
      </w:tr>
      <w:tr w14:paraId="5FB1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849" w:hRule="atLeast"/>
        </w:trPr>
        <w:tc>
          <w:tcPr>
            <w:tcW w:w="1453" w:type="dxa"/>
            <w:vMerge w:val="continue"/>
            <w:shd w:val="clear" w:color="auto" w:fill="auto"/>
            <w:tcMar>
              <w:top w:w="150" w:type="dxa"/>
              <w:left w:w="0" w:type="dxa"/>
              <w:bottom w:w="150" w:type="dxa"/>
              <w:right w:w="300" w:type="dxa"/>
            </w:tcMar>
            <w:vAlign w:val="top"/>
          </w:tcPr>
          <w:p w14:paraId="4D91DF49">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1CB7A144">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核心测试范围</w:t>
            </w:r>
          </w:p>
        </w:tc>
        <w:tc>
          <w:tcPr>
            <w:tcW w:w="6203" w:type="dxa"/>
            <w:shd w:val="clear" w:color="auto" w:fill="auto"/>
            <w:tcMar>
              <w:top w:w="150" w:type="dxa"/>
              <w:left w:w="0" w:type="dxa"/>
              <w:bottom w:w="150" w:type="dxa"/>
              <w:right w:w="300" w:type="dxa"/>
            </w:tcMar>
            <w:vAlign w:val="top"/>
          </w:tcPr>
          <w:p w14:paraId="060357FB">
            <w:pPr>
              <w:keepNext w:val="0"/>
              <w:keepLines w:val="0"/>
              <w:widowControl/>
              <w:suppressLineNumbers w:val="0"/>
              <w:spacing w:beforeAutospacing="1" w:afterAutospacing="1"/>
              <w:jc w:val="left"/>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设备各指标测量区间匹配GB/T5750-2023国标限值，关键指标量程如下：①消毒类：游离氯0.01-5.00mg/L、总氯0.01-5.00mg/L、二氧化氯0.02-10.00mg/L、臭氧0.01-10.00mg/L；②基础理化：pH6.00~8.50、色度0.0~500.0度、浊度0.00~2000NTU、溶解氧0.2-6.0mg/L；③氮类污染物：氨氮0.02~6.00mg/L、亚硝酸盐氮0.003~0.200mg/L、硝酸盐氮0.50~15.00mg/L；④金属与毒理：六价铬0.004~1.000mg/L、氰化物0.002~0.200mg/L、铁0.10-3.00mg/L、锰0.10-3.00mg/L；⑤硬度与盐类：高低量程总/钙/镁硬度、氯化物0.2-20.0mg/L、硫酸盐5-80mg/L；⑥有机物：高低量程CODCr、甲醛0.05-1.00mg/L、尿素0.00-6.00mg/L。</w:t>
            </w:r>
          </w:p>
        </w:tc>
      </w:tr>
      <w:tr w14:paraId="3123E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223961C3">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22BF9B64">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检测方法标准</w:t>
            </w:r>
          </w:p>
        </w:tc>
        <w:tc>
          <w:tcPr>
            <w:tcW w:w="6203" w:type="dxa"/>
            <w:shd w:val="clear" w:color="auto" w:fill="auto"/>
            <w:tcMar>
              <w:top w:w="150" w:type="dxa"/>
              <w:left w:w="0" w:type="dxa"/>
              <w:bottom w:w="150" w:type="dxa"/>
              <w:right w:w="300" w:type="dxa"/>
            </w:tcMar>
            <w:vAlign w:val="top"/>
          </w:tcPr>
          <w:p w14:paraId="0300B6D8">
            <w:pPr>
              <w:keepNext w:val="0"/>
              <w:keepLines w:val="0"/>
              <w:widowControl/>
              <w:suppressLineNumbers w:val="0"/>
              <w:spacing w:beforeAutospacing="1" w:afterAutospacing="1"/>
              <w:jc w:val="left"/>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游离氯、二氧化氯检测方法执行GB/T5750.11-2023；pH、色度、浊度检测方法执行GB/T5750.4-2023。全部检测方法及出具数据须符合现行国家标准(GB/T5750-2023)及《生活饮用水卫生标准》(GB5749-2022)要求。</w:t>
            </w:r>
          </w:p>
        </w:tc>
      </w:tr>
      <w:tr w14:paraId="19E7D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60" w:hRule="atLeast"/>
        </w:trPr>
        <w:tc>
          <w:tcPr>
            <w:tcW w:w="1453" w:type="dxa"/>
            <w:vMerge w:val="continue"/>
            <w:shd w:val="clear" w:color="auto" w:fill="auto"/>
            <w:tcMar>
              <w:top w:w="150" w:type="dxa"/>
              <w:left w:w="0" w:type="dxa"/>
              <w:bottom w:w="150" w:type="dxa"/>
              <w:right w:w="300" w:type="dxa"/>
            </w:tcMar>
            <w:vAlign w:val="top"/>
          </w:tcPr>
          <w:p w14:paraId="1AE148F8">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78E5AD5E">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光学与精度</w:t>
            </w:r>
          </w:p>
        </w:tc>
        <w:tc>
          <w:tcPr>
            <w:tcW w:w="6203" w:type="dxa"/>
            <w:shd w:val="clear" w:color="auto" w:fill="auto"/>
            <w:tcMar>
              <w:top w:w="150" w:type="dxa"/>
              <w:left w:w="0" w:type="dxa"/>
              <w:bottom w:w="150" w:type="dxa"/>
              <w:right w:w="300" w:type="dxa"/>
            </w:tcMar>
            <w:vAlign w:val="top"/>
          </w:tcPr>
          <w:p w14:paraId="11F06529">
            <w:pPr>
              <w:keepNext w:val="0"/>
              <w:keepLines w:val="0"/>
              <w:widowControl/>
              <w:suppressLineNumbers w:val="0"/>
              <w:spacing w:beforeAutospacing="1" w:afterAutospacing="1"/>
              <w:jc w:val="left"/>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仪器重复性±0.003A；检测波长380nm、420nm、520nm、610nm、白光自动切换；90°散射法+透射光测浊度，浊度精度≤0.001NTU。</w:t>
            </w:r>
          </w:p>
        </w:tc>
      </w:tr>
      <w:tr w14:paraId="4524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10344FED">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25384771">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数据存储与输出</w:t>
            </w:r>
          </w:p>
        </w:tc>
        <w:tc>
          <w:tcPr>
            <w:tcW w:w="6203" w:type="dxa"/>
            <w:shd w:val="clear" w:color="auto" w:fill="auto"/>
            <w:tcMar>
              <w:top w:w="150" w:type="dxa"/>
              <w:left w:w="0" w:type="dxa"/>
              <w:bottom w:w="150" w:type="dxa"/>
              <w:right w:w="300" w:type="dxa"/>
            </w:tcMar>
            <w:vAlign w:val="top"/>
          </w:tcPr>
          <w:p w14:paraId="55BC1C0C">
            <w:pPr>
              <w:keepNext w:val="0"/>
              <w:keepLines w:val="0"/>
              <w:widowControl/>
              <w:suppressLineNumbers w:val="0"/>
              <w:spacing w:beforeAutospacing="1" w:afterAutospacing="1"/>
              <w:jc w:val="left"/>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存储≥2000组数据，完整记录日期、水样编号、水样来源；支持USB导出数据至配套PC管理软件。</w:t>
            </w:r>
          </w:p>
        </w:tc>
      </w:tr>
      <w:tr w14:paraId="608A3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53931BA6">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0972F4FD">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操作与显示</w:t>
            </w:r>
          </w:p>
        </w:tc>
        <w:tc>
          <w:tcPr>
            <w:tcW w:w="6203" w:type="dxa"/>
            <w:shd w:val="clear" w:color="auto" w:fill="auto"/>
            <w:tcMar>
              <w:top w:w="150" w:type="dxa"/>
              <w:left w:w="0" w:type="dxa"/>
              <w:bottom w:w="150" w:type="dxa"/>
              <w:right w:w="300" w:type="dxa"/>
            </w:tcMar>
            <w:vAlign w:val="top"/>
          </w:tcPr>
          <w:p w14:paraId="2160158D">
            <w:pPr>
              <w:keepNext w:val="0"/>
              <w:keepLines w:val="0"/>
              <w:widowControl/>
              <w:suppressLineNumbers w:val="0"/>
              <w:spacing w:beforeAutospacing="1" w:afterAutospacing="1"/>
              <w:jc w:val="left"/>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配备≥5.0寸高清彩色触摸屏；支持单次/连续/稳定读数模式，自带信号平均、光强配比功能。</w:t>
            </w:r>
          </w:p>
        </w:tc>
      </w:tr>
      <w:tr w14:paraId="78AD9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23" w:hRule="atLeast"/>
        </w:trPr>
        <w:tc>
          <w:tcPr>
            <w:tcW w:w="1453" w:type="dxa"/>
            <w:vMerge w:val="continue"/>
            <w:shd w:val="clear" w:color="auto" w:fill="auto"/>
            <w:tcMar>
              <w:top w:w="150" w:type="dxa"/>
              <w:left w:w="0" w:type="dxa"/>
              <w:bottom w:w="150" w:type="dxa"/>
              <w:right w:w="300" w:type="dxa"/>
            </w:tcMar>
            <w:vAlign w:val="top"/>
          </w:tcPr>
          <w:p w14:paraId="7984207E">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5FEDDCDE">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供电与环境</w:t>
            </w:r>
          </w:p>
        </w:tc>
        <w:tc>
          <w:tcPr>
            <w:tcW w:w="6203" w:type="dxa"/>
            <w:shd w:val="clear" w:color="auto" w:fill="auto"/>
            <w:tcMar>
              <w:top w:w="150" w:type="dxa"/>
              <w:left w:w="0" w:type="dxa"/>
              <w:bottom w:w="150" w:type="dxa"/>
              <w:right w:w="300" w:type="dxa"/>
            </w:tcMar>
            <w:vAlign w:val="top"/>
          </w:tcPr>
          <w:p w14:paraId="70614EBE">
            <w:pPr>
              <w:keepNext w:val="0"/>
              <w:keepLines w:val="0"/>
              <w:widowControl/>
              <w:suppressLineNumbers w:val="0"/>
              <w:spacing w:beforeAutospacing="1" w:afterAutospacing="1"/>
              <w:jc w:val="left"/>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适用环境0-50℃、0-90%RH(无冷凝)；锂电池容量≥17000mAh，支持电池/USB/适配器多模式供电，带电量指示灯，整机IP67防水。</w:t>
            </w:r>
          </w:p>
        </w:tc>
      </w:tr>
      <w:tr w14:paraId="02B29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183" w:hRule="atLeast"/>
        </w:trPr>
        <w:tc>
          <w:tcPr>
            <w:tcW w:w="1453" w:type="dxa"/>
            <w:vMerge w:val="continue"/>
            <w:shd w:val="clear" w:color="auto" w:fill="auto"/>
            <w:tcMar>
              <w:top w:w="150" w:type="dxa"/>
              <w:left w:w="0" w:type="dxa"/>
              <w:bottom w:w="150" w:type="dxa"/>
              <w:right w:w="300" w:type="dxa"/>
            </w:tcMar>
            <w:vAlign w:val="top"/>
          </w:tcPr>
          <w:p w14:paraId="7BB64867">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42E70BE0">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耗材与校准</w:t>
            </w:r>
          </w:p>
        </w:tc>
        <w:tc>
          <w:tcPr>
            <w:tcW w:w="6203" w:type="dxa"/>
            <w:shd w:val="clear" w:color="auto" w:fill="auto"/>
            <w:tcMar>
              <w:top w:w="150" w:type="dxa"/>
              <w:left w:w="0" w:type="dxa"/>
              <w:bottom w:w="150" w:type="dxa"/>
              <w:right w:w="300" w:type="dxa"/>
            </w:tcMar>
            <w:vAlign w:val="top"/>
          </w:tcPr>
          <w:p w14:paraId="0BC81CBD">
            <w:pPr>
              <w:keepNext w:val="0"/>
              <w:keepLines w:val="0"/>
              <w:widowControl/>
              <w:suppressLineNumbers w:val="0"/>
              <w:spacing w:beforeAutospacing="1" w:afterAutospacing="1"/>
              <w:jc w:val="left"/>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配套预制试剂，单套试剂可完成≥100次检测；</w:t>
            </w:r>
            <w:r>
              <w:rPr>
                <w:rFonts w:hint="eastAsia" w:ascii="宋体" w:hAnsi="宋体" w:eastAsia="宋体" w:cs="宋体"/>
                <w:kern w:val="1"/>
                <w:sz w:val="24"/>
                <w:szCs w:val="24"/>
                <w:vertAlign w:val="baseline"/>
                <w:lang w:val="en-US" w:eastAsia="zh-CN" w:bidi="ar-SA"/>
              </w:rPr>
              <w:t>光源设计使用寿命长，在正常维护下可满足设备全生命周期使用要求</w:t>
            </w:r>
            <w:r>
              <w:rPr>
                <w:rFonts w:ascii="宋体" w:hAnsi="宋体" w:eastAsia="宋体" w:cs="宋体"/>
                <w:kern w:val="1"/>
                <w:sz w:val="24"/>
                <w:szCs w:val="24"/>
                <w:vertAlign w:val="baseline"/>
                <w:lang w:val="en-US" w:eastAsia="zh-CN" w:bidi="ar-SA"/>
              </w:rPr>
              <w:t>，支持自定义校准。</w:t>
            </w:r>
          </w:p>
        </w:tc>
      </w:tr>
      <w:tr w14:paraId="6BECA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1453" w:type="dxa"/>
            <w:vMerge w:val="restart"/>
            <w:shd w:val="clear" w:color="auto" w:fill="auto"/>
            <w:tcMar>
              <w:top w:w="150" w:type="dxa"/>
              <w:left w:w="0" w:type="dxa"/>
              <w:bottom w:w="150" w:type="dxa"/>
              <w:right w:w="300" w:type="dxa"/>
            </w:tcMar>
            <w:vAlign w:val="top"/>
          </w:tcPr>
          <w:p w14:paraId="6C2CDCE3">
            <w:pPr>
              <w:keepNext w:val="0"/>
              <w:keepLines w:val="0"/>
              <w:widowControl/>
              <w:suppressLineNumbers w:val="0"/>
              <w:spacing w:before="0" w:beforeAutospacing="1" w:after="0" w:afterAutospacing="1"/>
              <w:ind w:left="0" w:right="0"/>
              <w:jc w:val="center"/>
              <w:rPr>
                <w:rFonts w:ascii="Calibri" w:hAnsi="Calibri" w:eastAsia="宋体" w:cs="Times New Roman"/>
                <w:kern w:val="0"/>
                <w:sz w:val="24"/>
                <w:szCs w:val="24"/>
                <w:lang w:val="en-US" w:eastAsia="zh-CN" w:bidi="ar"/>
              </w:rPr>
            </w:pPr>
            <w:r>
              <w:rPr>
                <w:rFonts w:ascii="Calibri" w:hAnsi="Calibri" w:eastAsia="宋体" w:cs="Times New Roman"/>
                <w:b/>
                <w:kern w:val="2"/>
                <w:sz w:val="21"/>
                <w:szCs w:val="24"/>
                <w:vertAlign w:val="baseline"/>
                <w:lang w:val="en-US" w:eastAsia="zh-CN" w:bidi="ar-SA"/>
              </w:rPr>
              <w:t>便携式微生物快速水质检测箱(2</w:t>
            </w:r>
            <w:r>
              <w:rPr>
                <w:rFonts w:hint="eastAsia" w:ascii="Calibri" w:hAnsi="Calibri" w:eastAsia="宋体" w:cs="Times New Roman"/>
                <w:b/>
                <w:kern w:val="2"/>
                <w:sz w:val="21"/>
                <w:szCs w:val="24"/>
                <w:vertAlign w:val="baseline"/>
                <w:lang w:val="en-US" w:eastAsia="zh-CN" w:bidi="ar-SA"/>
              </w:rPr>
              <w:t>台</w:t>
            </w:r>
            <w:r>
              <w:rPr>
                <w:rFonts w:ascii="Calibri" w:hAnsi="Calibri" w:eastAsia="宋体" w:cs="Times New Roman"/>
                <w:b/>
                <w:kern w:val="2"/>
                <w:sz w:val="21"/>
                <w:szCs w:val="24"/>
                <w:vertAlign w:val="baseline"/>
                <w:lang w:val="en-US" w:eastAsia="zh-CN" w:bidi="ar-SA"/>
              </w:rPr>
              <w:t>)</w:t>
            </w:r>
            <w:r>
              <w:rPr>
                <w:rFonts w:ascii="Calibri" w:hAnsi="Calibri" w:eastAsia="宋体" w:cs="Times New Roman"/>
                <w:kern w:val="0"/>
                <w:sz w:val="24"/>
                <w:szCs w:val="24"/>
                <w:vertAlign w:val="baseline"/>
                <w:lang w:val="en-US" w:eastAsia="zh-CN" w:bidi="ar"/>
              </w:rPr>
              <w:t>​</w:t>
            </w:r>
          </w:p>
        </w:tc>
        <w:tc>
          <w:tcPr>
            <w:tcW w:w="1583" w:type="dxa"/>
            <w:shd w:val="clear" w:color="auto" w:fill="auto"/>
            <w:tcMar>
              <w:top w:w="150" w:type="dxa"/>
              <w:left w:w="0" w:type="dxa"/>
              <w:bottom w:w="150" w:type="dxa"/>
              <w:right w:w="300" w:type="dxa"/>
            </w:tcMar>
            <w:vAlign w:val="top"/>
          </w:tcPr>
          <w:p w14:paraId="73EC9C50">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检测指标</w:t>
            </w:r>
          </w:p>
        </w:tc>
        <w:tc>
          <w:tcPr>
            <w:tcW w:w="6203" w:type="dxa"/>
            <w:shd w:val="clear" w:color="auto" w:fill="auto"/>
            <w:tcMar>
              <w:top w:w="150" w:type="dxa"/>
              <w:left w:w="0" w:type="dxa"/>
              <w:bottom w:w="150" w:type="dxa"/>
              <w:right w:w="300" w:type="dxa"/>
            </w:tcMar>
            <w:vAlign w:val="top"/>
          </w:tcPr>
          <w:p w14:paraId="52C35DC1">
            <w:pPr>
              <w:keepNext w:val="0"/>
              <w:keepLines w:val="0"/>
              <w:widowControl/>
              <w:suppressLineNumbers w:val="0"/>
              <w:spacing w:beforeAutospacing="1" w:afterAutospacing="1"/>
              <w:jc w:val="left"/>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可检测大肠菌群、菌落总数、耐热大肠菌群，检测结果判定符合GB5749-2022《生活饮用水卫生标准》限值要求，检测过程符合相关技术规范。</w:t>
            </w:r>
          </w:p>
        </w:tc>
      </w:tr>
      <w:tr w14:paraId="4D7BB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2D53B4E7">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6A7DFD53">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检测原理</w:t>
            </w:r>
          </w:p>
        </w:tc>
        <w:tc>
          <w:tcPr>
            <w:tcW w:w="6203" w:type="dxa"/>
            <w:shd w:val="clear" w:color="auto" w:fill="auto"/>
            <w:tcMar>
              <w:top w:w="150" w:type="dxa"/>
              <w:left w:w="0" w:type="dxa"/>
              <w:bottom w:w="150" w:type="dxa"/>
              <w:right w:w="300" w:type="dxa"/>
            </w:tcMar>
            <w:vAlign w:val="top"/>
          </w:tcPr>
          <w:p w14:paraId="72AB5C15">
            <w:pPr>
              <w:keepNext w:val="0"/>
              <w:keepLines w:val="0"/>
              <w:widowControl/>
              <w:suppressLineNumbers w:val="0"/>
              <w:spacing w:beforeAutospacing="1" w:afterAutospacing="1"/>
              <w:jc w:val="left"/>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纸片培养基显色法，乳糖发酵产酸判定阳性</w:t>
            </w:r>
            <w:r>
              <w:rPr>
                <w:rFonts w:hint="eastAsia" w:ascii="宋体" w:hAnsi="宋体" w:eastAsia="宋体" w:cs="宋体"/>
                <w:kern w:val="1"/>
                <w:sz w:val="24"/>
                <w:szCs w:val="24"/>
                <w:vertAlign w:val="baseline"/>
                <w:lang w:val="en-US" w:eastAsia="zh-CN" w:bidi="ar-SA"/>
              </w:rPr>
              <w:t>。</w:t>
            </w:r>
          </w:p>
        </w:tc>
      </w:tr>
      <w:tr w14:paraId="01127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5EFF0D9F">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013B9FC6">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培养条件</w:t>
            </w:r>
          </w:p>
        </w:tc>
        <w:tc>
          <w:tcPr>
            <w:tcW w:w="6203" w:type="dxa"/>
            <w:shd w:val="clear" w:color="auto" w:fill="auto"/>
            <w:tcMar>
              <w:top w:w="150" w:type="dxa"/>
              <w:left w:w="0" w:type="dxa"/>
              <w:bottom w:w="150" w:type="dxa"/>
              <w:right w:w="300" w:type="dxa"/>
            </w:tcMar>
            <w:vAlign w:val="top"/>
          </w:tcPr>
          <w:p w14:paraId="0791F395">
            <w:pPr>
              <w:keepNext w:val="0"/>
              <w:keepLines w:val="0"/>
              <w:widowControl/>
              <w:suppressLineNumbers w:val="0"/>
              <w:spacing w:beforeAutospacing="1" w:afterAutospacing="1"/>
              <w:jc w:val="left"/>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36℃±1℃恒温培养15~24h可判读结果。</w:t>
            </w:r>
          </w:p>
        </w:tc>
      </w:tr>
      <w:tr w14:paraId="3D588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4BC00289">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17F4AA70">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全套配套配置</w:t>
            </w:r>
          </w:p>
        </w:tc>
        <w:tc>
          <w:tcPr>
            <w:tcW w:w="6203" w:type="dxa"/>
            <w:shd w:val="clear" w:color="auto" w:fill="auto"/>
            <w:tcMar>
              <w:top w:w="150" w:type="dxa"/>
              <w:left w:w="0" w:type="dxa"/>
              <w:bottom w:w="150" w:type="dxa"/>
              <w:right w:w="300" w:type="dxa"/>
            </w:tcMar>
            <w:vAlign w:val="top"/>
          </w:tcPr>
          <w:p w14:paraId="1EF57A23">
            <w:pPr>
              <w:keepNext w:val="0"/>
              <w:keepLines w:val="0"/>
              <w:widowControl/>
              <w:suppressLineNumbers w:val="0"/>
              <w:spacing w:beforeAutospacing="1" w:afterAutospacing="1"/>
              <w:jc w:val="left"/>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大肠菌群测试片、菌落总数测试片、记号笔、无菌吸管、生理盐水、镊子、不锈钢酒精灯、酒精棉球、无菌手套、剪刀、无菌采样袋、标签、1ml/5ml移液器及枪头、一体化内置生化培养箱全套物资。</w:t>
            </w:r>
          </w:p>
        </w:tc>
      </w:tr>
      <w:tr w14:paraId="7D426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1453" w:type="dxa"/>
            <w:vMerge w:val="restart"/>
            <w:shd w:val="clear" w:color="auto" w:fill="auto"/>
            <w:tcMar>
              <w:top w:w="150" w:type="dxa"/>
              <w:left w:w="0" w:type="dxa"/>
              <w:bottom w:w="150" w:type="dxa"/>
              <w:right w:w="300" w:type="dxa"/>
            </w:tcMar>
            <w:vAlign w:val="top"/>
          </w:tcPr>
          <w:p w14:paraId="0468E357">
            <w:pPr>
              <w:keepNext w:val="0"/>
              <w:keepLines w:val="0"/>
              <w:widowControl/>
              <w:suppressLineNumbers w:val="0"/>
              <w:spacing w:before="0" w:beforeAutospacing="1" w:after="0" w:afterAutospacing="1"/>
              <w:ind w:left="0" w:right="0"/>
              <w:jc w:val="center"/>
              <w:rPr>
                <w:rFonts w:ascii="Calibri" w:hAnsi="Calibri" w:eastAsia="宋体" w:cs="Times New Roman"/>
                <w:kern w:val="0"/>
                <w:sz w:val="24"/>
                <w:szCs w:val="24"/>
                <w:lang w:val="en-US" w:eastAsia="zh-CN" w:bidi="ar"/>
              </w:rPr>
            </w:pPr>
            <w:r>
              <w:rPr>
                <w:rFonts w:ascii="Calibri" w:hAnsi="Calibri" w:eastAsia="宋体" w:cs="Times New Roman"/>
                <w:b/>
                <w:kern w:val="2"/>
                <w:sz w:val="21"/>
                <w:szCs w:val="24"/>
                <w:vertAlign w:val="baseline"/>
                <w:lang w:val="en-US" w:eastAsia="zh-CN" w:bidi="ar-SA"/>
              </w:rPr>
              <w:t>低本底αβ测量仪(1台)</w:t>
            </w:r>
            <w:r>
              <w:rPr>
                <w:rFonts w:ascii="Calibri" w:hAnsi="Calibri" w:eastAsia="宋体" w:cs="Times New Roman"/>
                <w:kern w:val="0"/>
                <w:sz w:val="24"/>
                <w:szCs w:val="24"/>
                <w:vertAlign w:val="baseline"/>
                <w:lang w:val="en-US" w:eastAsia="zh-CN" w:bidi="ar"/>
              </w:rPr>
              <w:t>​</w:t>
            </w:r>
          </w:p>
        </w:tc>
        <w:tc>
          <w:tcPr>
            <w:tcW w:w="1583" w:type="dxa"/>
            <w:shd w:val="clear" w:color="auto" w:fill="auto"/>
            <w:tcMar>
              <w:top w:w="150" w:type="dxa"/>
              <w:left w:w="0" w:type="dxa"/>
              <w:bottom w:w="150" w:type="dxa"/>
              <w:right w:w="300" w:type="dxa"/>
            </w:tcMar>
            <w:vAlign w:val="top"/>
          </w:tcPr>
          <w:p w14:paraId="7F3DC3D2">
            <w:pPr>
              <w:keepNext w:val="0"/>
              <w:keepLines w:val="0"/>
              <w:widowControl/>
              <w:suppressLineNumbers w:val="0"/>
              <w:spacing w:beforeAutospacing="1" w:afterAutospacing="1"/>
              <w:jc w:val="left"/>
              <w:rPr>
                <w:rFonts w:ascii="Calibri" w:hAnsi="Calibri" w:eastAsia="宋体" w:cs="Times New Roman"/>
                <w:kern w:val="0"/>
                <w:sz w:val="24"/>
                <w:szCs w:val="24"/>
                <w:lang w:val="en-US" w:eastAsia="zh-CN" w:bidi="ar"/>
              </w:rPr>
            </w:pPr>
            <w:r>
              <w:rPr>
                <w:rFonts w:hint="eastAsia" w:ascii="宋体" w:hAnsi="宋体" w:eastAsia="宋体" w:cs="宋体"/>
                <w:kern w:val="0"/>
                <w:sz w:val="24"/>
                <w:szCs w:val="24"/>
                <w:vertAlign w:val="baseline"/>
                <w:lang w:val="en-US" w:eastAsia="zh-CN" w:bidi="ar"/>
              </w:rPr>
              <w:t>适用标准</w:t>
            </w:r>
          </w:p>
        </w:tc>
        <w:tc>
          <w:tcPr>
            <w:tcW w:w="6203" w:type="dxa"/>
            <w:shd w:val="clear" w:color="auto" w:fill="auto"/>
            <w:tcMar>
              <w:top w:w="150" w:type="dxa"/>
              <w:left w:w="0" w:type="dxa"/>
              <w:bottom w:w="150" w:type="dxa"/>
              <w:right w:w="300" w:type="dxa"/>
            </w:tcMar>
            <w:vAlign w:val="top"/>
          </w:tcPr>
          <w:p w14:paraId="1F5029C8">
            <w:pPr>
              <w:keepNext w:val="0"/>
              <w:keepLines w:val="0"/>
              <w:pageBreakBefore w:val="0"/>
              <w:widowControl w:val="0"/>
              <w:kinsoku/>
              <w:wordWrap/>
              <w:overflowPunct/>
              <w:topLinePunct w:val="0"/>
              <w:bidi w:val="0"/>
              <w:spacing w:line="240" w:lineRule="auto"/>
              <w:ind w:left="0" w:leftChars="0"/>
              <w:jc w:val="both"/>
              <w:rPr>
                <w:rFonts w:ascii="Calibri" w:hAnsi="Calibri" w:eastAsia="宋体" w:cs="Times New Roman"/>
                <w:kern w:val="0"/>
                <w:sz w:val="24"/>
                <w:szCs w:val="24"/>
                <w:lang w:val="en-US" w:eastAsia="zh-CN" w:bidi="ar"/>
              </w:rPr>
            </w:pPr>
            <w:r>
              <w:rPr>
                <w:rFonts w:hint="eastAsia" w:ascii="宋体" w:hAnsi="宋体" w:eastAsia="宋体" w:cs="宋体"/>
                <w:color w:val="auto"/>
                <w:kern w:val="2"/>
                <w:sz w:val="24"/>
                <w:szCs w:val="24"/>
                <w:highlight w:val="none"/>
                <w:lang w:val="en-US" w:eastAsia="zh-CN" w:bidi="ar-SA"/>
              </w:rPr>
              <w:t>符合标准：GB5749-2022《生活饮用水卫生标准》、GB/T5750.13-2023《生活饮用水标准检验方法放射性指标》、GB3838-2002《地表水环境质量标准》、HJ898-2017《水中总α放射性测定厚源法》HJ899-2017《水中总β放射性测定厚源法》要求。</w:t>
            </w:r>
          </w:p>
        </w:tc>
      </w:tr>
      <w:tr w14:paraId="696EA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2" w:hRule="atLeast"/>
        </w:trPr>
        <w:tc>
          <w:tcPr>
            <w:tcW w:w="1453" w:type="dxa"/>
            <w:vMerge w:val="continue"/>
            <w:shd w:val="clear" w:color="auto" w:fill="auto"/>
            <w:tcMar>
              <w:top w:w="150" w:type="dxa"/>
              <w:left w:w="0" w:type="dxa"/>
              <w:bottom w:w="150" w:type="dxa"/>
              <w:right w:w="300" w:type="dxa"/>
            </w:tcMar>
            <w:vAlign w:val="top"/>
          </w:tcPr>
          <w:p w14:paraId="4C02346B">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04AE6829">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hint="eastAsia" w:ascii="宋体" w:hAnsi="宋体" w:eastAsia="宋体" w:cs="宋体"/>
                <w:kern w:val="0"/>
                <w:sz w:val="24"/>
                <w:szCs w:val="24"/>
                <w:vertAlign w:val="baseline"/>
                <w:lang w:val="en-US" w:eastAsia="zh-CN" w:bidi="ar"/>
              </w:rPr>
              <w:t>核心探测指标​</w:t>
            </w:r>
          </w:p>
        </w:tc>
        <w:tc>
          <w:tcPr>
            <w:tcW w:w="6203" w:type="dxa"/>
            <w:shd w:val="clear" w:color="auto" w:fill="auto"/>
            <w:tcMar>
              <w:top w:w="150" w:type="dxa"/>
              <w:left w:w="0" w:type="dxa"/>
              <w:bottom w:w="150" w:type="dxa"/>
              <w:right w:w="300" w:type="dxa"/>
            </w:tcMar>
            <w:vAlign w:val="top"/>
          </w:tcPr>
          <w:p w14:paraId="4211CAAF">
            <w:pPr>
              <w:pageBreakBefore w:val="0"/>
              <w:kinsoku/>
              <w:wordWrap/>
              <w:overflowPunct/>
              <w:topLinePunct w:val="0"/>
              <w:bidi w:val="0"/>
              <w:snapToGrid/>
              <w:spacing w:line="400" w:lineRule="exact"/>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1.探测器技术：主探测器采用塑料闪烁体与光电倍增管等组成；</w:t>
            </w:r>
          </w:p>
          <w:p w14:paraId="70414464">
            <w:pPr>
              <w:pageBreakBefore w:val="0"/>
              <w:kinsoku/>
              <w:wordWrap/>
              <w:overflowPunct/>
              <w:topLinePunct w:val="0"/>
              <w:bidi w:val="0"/>
              <w:snapToGrid/>
              <w:spacing w:line="400" w:lineRule="exact"/>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2.反符合探测器闪烁体反符合效率大于99%，采用高频同轴接口，高频通过性强，屏蔽效果好，可保留原始信号信息；</w:t>
            </w:r>
          </w:p>
          <w:p w14:paraId="24417429">
            <w:pPr>
              <w:pageBreakBefore w:val="0"/>
              <w:kinsoku/>
              <w:wordWrap/>
              <w:overflowPunct/>
              <w:topLinePunct w:val="0"/>
              <w:bidi w:val="0"/>
              <w:snapToGrid/>
              <w:spacing w:line="400" w:lineRule="exact"/>
              <w:rPr>
                <w:rFonts w:ascii="Calibri" w:hAnsi="Calibri" w:eastAsia="宋体" w:cs="Times New Roman"/>
                <w:kern w:val="0"/>
                <w:sz w:val="24"/>
                <w:szCs w:val="24"/>
                <w:vertAlign w:val="baseline"/>
                <w:lang w:val="en-US" w:eastAsia="zh-CN" w:bidi="ar"/>
              </w:rPr>
            </w:pPr>
            <w:r>
              <w:rPr>
                <w:rFonts w:hint="eastAsia" w:ascii="宋体" w:hAnsi="宋体" w:eastAsia="宋体" w:cs="宋体"/>
                <w:color w:val="auto"/>
                <w:kern w:val="2"/>
                <w:sz w:val="24"/>
                <w:szCs w:val="24"/>
              </w:rPr>
              <w:t>3.控制器：可扩展至不少于4个独立测量通道，模块化插槽式设计，采用高速高性能同步采集控制器；控制器与计算机可通过有线网络及可选无线通讯方式连接，同时配备USB通信接口。</w:t>
            </w:r>
          </w:p>
        </w:tc>
      </w:tr>
      <w:tr w14:paraId="7B2DD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02" w:hRule="atLeast"/>
        </w:trPr>
        <w:tc>
          <w:tcPr>
            <w:tcW w:w="1453" w:type="dxa"/>
            <w:vMerge w:val="continue"/>
            <w:shd w:val="clear" w:color="auto" w:fill="auto"/>
            <w:tcMar>
              <w:top w:w="150" w:type="dxa"/>
              <w:left w:w="0" w:type="dxa"/>
              <w:bottom w:w="150" w:type="dxa"/>
              <w:right w:w="300" w:type="dxa"/>
            </w:tcMar>
            <w:vAlign w:val="top"/>
          </w:tcPr>
          <w:p w14:paraId="14C881EA">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34825380">
            <w:pPr>
              <w:keepNext w:val="0"/>
              <w:keepLines w:val="0"/>
              <w:widowControl/>
              <w:suppressLineNumbers w:val="0"/>
              <w:spacing w:beforeAutospacing="1" w:afterAutospacing="1"/>
              <w:jc w:val="left"/>
              <w:rPr>
                <w:rFonts w:ascii="Calibri" w:hAnsi="Calibri" w:eastAsia="宋体" w:cs="Times New Roman"/>
                <w:kern w:val="0"/>
                <w:sz w:val="24"/>
                <w:szCs w:val="24"/>
                <w:vertAlign w:val="baseline"/>
                <w:lang w:val="en-US" w:eastAsia="zh-CN" w:bidi="ar"/>
              </w:rPr>
            </w:pPr>
            <w:r>
              <w:rPr>
                <w:rFonts w:hint="eastAsia" w:ascii="宋体" w:hAnsi="宋体" w:eastAsia="宋体" w:cs="宋体"/>
                <w:kern w:val="0"/>
                <w:sz w:val="24"/>
                <w:szCs w:val="24"/>
                <w:vertAlign w:val="baseline"/>
                <w:lang w:val="en-US" w:eastAsia="zh-CN" w:bidi="ar"/>
              </w:rPr>
              <w:t>资质与合规性要求</w:t>
            </w:r>
          </w:p>
        </w:tc>
        <w:tc>
          <w:tcPr>
            <w:tcW w:w="6203" w:type="dxa"/>
            <w:shd w:val="clear" w:color="auto" w:fill="auto"/>
            <w:tcMar>
              <w:top w:w="150" w:type="dxa"/>
              <w:left w:w="0" w:type="dxa"/>
              <w:bottom w:w="150" w:type="dxa"/>
              <w:right w:w="300" w:type="dxa"/>
            </w:tcMar>
            <w:vAlign w:val="top"/>
          </w:tcPr>
          <w:p w14:paraId="7098EDED">
            <w:pPr>
              <w:pageBreakBefore w:val="0"/>
              <w:kinsoku/>
              <w:wordWrap/>
              <w:overflowPunct/>
              <w:topLinePunct w:val="0"/>
              <w:bidi w:val="0"/>
              <w:snapToGrid/>
              <w:spacing w:line="400" w:lineRule="exact"/>
              <w:rPr>
                <w:rFonts w:hint="eastAsia" w:ascii="宋体" w:hAnsi="宋体" w:eastAsia="宋体" w:cs="宋体"/>
                <w:color w:val="auto"/>
                <w:kern w:val="2"/>
                <w:sz w:val="24"/>
                <w:szCs w:val="24"/>
              </w:rPr>
            </w:pPr>
            <w:r>
              <w:rPr>
                <w:rFonts w:hint="eastAsia" w:ascii="宋体" w:hAnsi="宋体" w:eastAsia="宋体" w:cs="宋体"/>
                <w:color w:val="auto"/>
                <w:kern w:val="2"/>
                <w:sz w:val="24"/>
                <w:szCs w:val="24"/>
                <w:highlight w:val="none"/>
              </w:rPr>
              <w:t>低本</w:t>
            </w:r>
            <w:r>
              <w:rPr>
                <w:rFonts w:hint="eastAsia" w:ascii="宋体" w:hAnsi="宋体" w:eastAsia="宋体" w:cs="宋体"/>
                <w:color w:val="auto"/>
                <w:kern w:val="2"/>
                <w:sz w:val="24"/>
                <w:szCs w:val="24"/>
              </w:rPr>
              <w:t>底α/β测量仪属国家强制检定计量器具，用于生活饮用水放射性指标检测。为保障仪器量值准确及使用安全，投标人须提供以下证明材料（加盖投标人公章）：</w:t>
            </w:r>
          </w:p>
          <w:p w14:paraId="6E3B1F2C">
            <w:pPr>
              <w:pageBreakBefore w:val="0"/>
              <w:kinsoku/>
              <w:wordWrap/>
              <w:overflowPunct/>
              <w:topLinePunct w:val="0"/>
              <w:bidi w:val="0"/>
              <w:snapToGrid/>
              <w:spacing w:line="400" w:lineRule="exact"/>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（1）投标</w:t>
            </w:r>
            <w:r>
              <w:rPr>
                <w:rFonts w:hint="eastAsia" w:ascii="宋体" w:hAnsi="宋体" w:eastAsia="宋体" w:cs="宋体"/>
                <w:color w:val="auto"/>
                <w:kern w:val="2"/>
                <w:sz w:val="24"/>
                <w:szCs w:val="24"/>
                <w:lang w:val="en-US" w:eastAsia="zh-CN"/>
              </w:rPr>
              <w:t>人所投</w:t>
            </w:r>
            <w:r>
              <w:rPr>
                <w:rFonts w:hint="eastAsia" w:ascii="宋体" w:hAnsi="宋体" w:eastAsia="宋体" w:cs="宋体"/>
                <w:color w:val="auto"/>
                <w:kern w:val="2"/>
                <w:sz w:val="24"/>
                <w:szCs w:val="24"/>
              </w:rPr>
              <w:t>产品制造商或投标人自身持有的有效《辐射安全许可证》复印件（二者其一即可）；</w:t>
            </w:r>
          </w:p>
          <w:p w14:paraId="5A46AE46">
            <w:pPr>
              <w:pageBreakBefore w:val="0"/>
              <w:kinsoku/>
              <w:wordWrap/>
              <w:overflowPunct/>
              <w:topLinePunct w:val="0"/>
              <w:bidi w:val="0"/>
              <w:snapToGrid/>
              <w:spacing w:line="400" w:lineRule="exact"/>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（2）投标产品有效的《计量器具型式批准证书》（CPA）复印件，CPA证书须在有效期内，且证书所列型号与投标产品完全一致；</w:t>
            </w:r>
          </w:p>
          <w:p w14:paraId="1DAD7F87">
            <w:pPr>
              <w:pageBreakBefore w:val="0"/>
              <w:kinsoku/>
              <w:wordWrap/>
              <w:overflowPunct/>
              <w:topLinePunct w:val="0"/>
              <w:bidi w:val="0"/>
              <w:snapToGrid/>
              <w:spacing w:line="400" w:lineRule="exact"/>
              <w:rPr>
                <w:rFonts w:ascii="Calibri" w:hAnsi="Calibri" w:eastAsia="宋体" w:cs="Times New Roman"/>
                <w:kern w:val="0"/>
                <w:sz w:val="24"/>
                <w:szCs w:val="24"/>
                <w:vertAlign w:val="baseline"/>
                <w:lang w:val="en-US" w:eastAsia="zh-CN" w:bidi="ar"/>
              </w:rPr>
            </w:pPr>
            <w:r>
              <w:rPr>
                <w:rFonts w:hint="eastAsia" w:ascii="宋体" w:hAnsi="宋体" w:eastAsia="宋体" w:cs="宋体"/>
                <w:color w:val="auto"/>
                <w:kern w:val="2"/>
                <w:sz w:val="24"/>
                <w:szCs w:val="24"/>
              </w:rPr>
              <w:t>（3）</w:t>
            </w:r>
            <w:r>
              <w:rPr>
                <w:rFonts w:ascii="宋体" w:hAnsi="宋体" w:eastAsia="宋体" w:cs="宋体"/>
                <w:kern w:val="2"/>
                <w:sz w:val="24"/>
                <w:szCs w:val="24"/>
              </w:rPr>
              <w:t>投标产品配套使用放射标准源的，提供有效的放射性同位素豁免备案证明；若产品不标配放射标准源，投标人提供无标配放射源书面声明即可。</w:t>
            </w:r>
          </w:p>
        </w:tc>
      </w:tr>
      <w:tr w14:paraId="69A78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5B03D1B3">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703D54B7">
            <w:pPr>
              <w:keepNext w:val="0"/>
              <w:keepLines w:val="0"/>
              <w:widowControl/>
              <w:suppressLineNumbers w:val="0"/>
              <w:spacing w:beforeAutospacing="1" w:afterAutospacing="1"/>
              <w:jc w:val="left"/>
              <w:rPr>
                <w:rFonts w:ascii="Calibri" w:hAnsi="Calibri" w:eastAsia="宋体" w:cs="Times New Roman"/>
                <w:kern w:val="0"/>
                <w:sz w:val="24"/>
                <w:szCs w:val="24"/>
                <w:lang w:val="en-US" w:eastAsia="zh-CN" w:bidi="ar"/>
              </w:rPr>
            </w:pPr>
            <w:r>
              <w:rPr>
                <w:rFonts w:hint="eastAsia" w:ascii="宋体" w:hAnsi="宋体" w:eastAsia="宋体" w:cs="宋体"/>
                <w:kern w:val="1"/>
                <w:sz w:val="24"/>
                <w:szCs w:val="24"/>
                <w:vertAlign w:val="baseline"/>
                <w:lang w:val="en-US" w:eastAsia="zh-CN" w:bidi="ar-SA"/>
              </w:rPr>
              <w:t>功能要求</w:t>
            </w:r>
          </w:p>
        </w:tc>
        <w:tc>
          <w:tcPr>
            <w:tcW w:w="6203" w:type="dxa"/>
            <w:shd w:val="clear" w:color="auto" w:fill="auto"/>
            <w:tcMar>
              <w:top w:w="150" w:type="dxa"/>
              <w:left w:w="0" w:type="dxa"/>
              <w:bottom w:w="150" w:type="dxa"/>
              <w:right w:w="300" w:type="dxa"/>
            </w:tcMar>
            <w:vAlign w:val="top"/>
          </w:tcPr>
          <w:p w14:paraId="3F330141">
            <w:pPr>
              <w:pageBreakBefore w:val="0"/>
              <w:kinsoku/>
              <w:wordWrap/>
              <w:overflowPunct/>
              <w:topLinePunct w:val="0"/>
              <w:bidi w:val="0"/>
              <w:snapToGrid/>
              <w:spacing w:line="400" w:lineRule="exact"/>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控制器：可拓展到四个以上通道，模块化设计，标准插道式控制器，采用高速高性能同步采集控制器；控制器与计算机可通过无线方式通信连接，通信距离≥300米（无障碍），同时配备USB通信接口；</w:t>
            </w:r>
          </w:p>
          <w:p w14:paraId="5CD4B358">
            <w:pPr>
              <w:pageBreakBefore w:val="0"/>
              <w:kinsoku/>
              <w:wordWrap/>
              <w:overflowPunct/>
              <w:topLinePunct w:val="0"/>
              <w:bidi w:val="0"/>
              <w:snapToGrid/>
              <w:spacing w:line="400" w:lineRule="exact"/>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2、可配置自动进样系统，实现大量样品全天候无人值守自动测量；机械手定位重复精度≤±1mm；单次样品取放时间＜2min；一次待测样品数≥100个；可程控运行状态并实时监测；具备自动/手动两种运行模式；进样过程避光设计，不因环境光引起测量误差。（需提供相关证明材料（包括但不限于技术参数响应表、产品检测报告、产品彩页/说明书等中任一种即可），佐证所投产品可配置自动进样系统；中标后，中标供应商应在安装调试完成后</w:t>
            </w:r>
            <w:r>
              <w:rPr>
                <w:rFonts w:hint="eastAsia" w:ascii="宋体" w:hAnsi="宋体" w:eastAsia="宋体" w:cs="宋体"/>
                <w:b/>
                <w:bCs/>
                <w:color w:val="auto"/>
                <w:kern w:val="2"/>
                <w:sz w:val="24"/>
                <w:szCs w:val="24"/>
                <w:lang w:val="en-US" w:eastAsia="zh-CN"/>
              </w:rPr>
              <w:t>配合采购人进行功能演示</w:t>
            </w:r>
            <w:r>
              <w:rPr>
                <w:rFonts w:hint="eastAsia" w:ascii="宋体" w:hAnsi="宋体" w:eastAsia="宋体" w:cs="宋体"/>
                <w:color w:val="auto"/>
                <w:kern w:val="2"/>
                <w:sz w:val="24"/>
                <w:szCs w:val="24"/>
                <w:lang w:val="en-US" w:eastAsia="zh-CN"/>
              </w:rPr>
              <w:t>，演示结果作为验收参考。）</w:t>
            </w:r>
          </w:p>
          <w:p w14:paraId="3CF8D668">
            <w:pPr>
              <w:pageBreakBefore w:val="0"/>
              <w:kinsoku/>
              <w:wordWrap/>
              <w:overflowPunct/>
              <w:topLinePunct w:val="0"/>
              <w:bidi w:val="0"/>
              <w:snapToGrid/>
              <w:spacing w:line="400" w:lineRule="exact"/>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3、铅室：配备上、下分体式屏蔽铅室，采用分层结构，有效屏蔽环境γ及宇宙射线本底。</w:t>
            </w:r>
          </w:p>
          <w:p w14:paraId="1106CB0C">
            <w:pPr>
              <w:pageBreakBefore w:val="0"/>
              <w:kinsoku/>
              <w:wordWrap/>
              <w:overflowPunct/>
              <w:topLinePunct w:val="0"/>
              <w:bidi w:val="0"/>
              <w:snapToGrid/>
              <w:spacing w:line="400" w:lineRule="exact"/>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4、控制软件：</w:t>
            </w:r>
          </w:p>
          <w:p w14:paraId="524FE4AF">
            <w:pPr>
              <w:pageBreakBefore w:val="0"/>
              <w:kinsoku/>
              <w:wordWrap/>
              <w:overflowPunct/>
              <w:topLinePunct w:val="0"/>
              <w:bidi w:val="0"/>
              <w:snapToGrid/>
              <w:spacing w:line="400" w:lineRule="exact"/>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4.1纯中文界面，全面的仪器控制和监测：包括高压控制，阈值控制，采样控制，通信控制，通信中断监测，高压信息监测，实时计数波动曲线。</w:t>
            </w:r>
          </w:p>
          <w:p w14:paraId="15BD5A68">
            <w:pPr>
              <w:pageBreakBefore w:val="0"/>
              <w:kinsoku/>
              <w:wordWrap/>
              <w:overflowPunct/>
              <w:topLinePunct w:val="0"/>
              <w:bidi w:val="0"/>
              <w:snapToGrid/>
              <w:spacing w:line="400" w:lineRule="exact"/>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4.2分步送样技术：可同时也可单独测量样品，分别给出两个样品中的总α、总β的活度浓度，提高测量的灵活性和仪器使用效率。</w:t>
            </w:r>
          </w:p>
          <w:p w14:paraId="51037501">
            <w:pPr>
              <w:pageBreakBefore w:val="0"/>
              <w:kinsoku/>
              <w:wordWrap/>
              <w:overflowPunct/>
              <w:topLinePunct w:val="0"/>
              <w:bidi w:val="0"/>
              <w:snapToGrid/>
              <w:spacing w:line="400" w:lineRule="exact"/>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4.3纯中文界面。</w:t>
            </w:r>
          </w:p>
          <w:p w14:paraId="4800D265">
            <w:pPr>
              <w:pageBreakBefore w:val="0"/>
              <w:kinsoku/>
              <w:wordWrap/>
              <w:overflowPunct/>
              <w:topLinePunct w:val="0"/>
              <w:bidi w:val="0"/>
              <w:snapToGrid/>
              <w:spacing w:line="400" w:lineRule="exact"/>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4.4支持半衰期活度校正，支持工作源测量、标准源测量、本底测量、气溶胶样品、一般样品测量和生物样品测量等≥5种测量方式，样品测量中自动计算平均值，活度浓度，标准误差，探测限和相对误差等。</w:t>
            </w:r>
          </w:p>
          <w:p w14:paraId="5BCA1B59">
            <w:pPr>
              <w:pageBreakBefore w:val="0"/>
              <w:kinsoku/>
              <w:wordWrap/>
              <w:overflowPunct/>
              <w:topLinePunct w:val="0"/>
              <w:bidi w:val="0"/>
              <w:snapToGrid/>
              <w:spacing w:line="400" w:lineRule="exact"/>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4.5预留α、β气溶胶测量组件端口：气溶胶准确度:≤±2.5%；精度：±1‰/24h；相对误差小于2.5%。</w:t>
            </w:r>
          </w:p>
          <w:p w14:paraId="0FBFD47C">
            <w:pPr>
              <w:pageBreakBefore w:val="0"/>
              <w:kinsoku/>
              <w:wordWrap/>
              <w:overflowPunct/>
              <w:topLinePunct w:val="0"/>
              <w:bidi w:val="0"/>
              <w:snapToGrid/>
              <w:spacing w:line="400" w:lineRule="exact"/>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4.6预留土壤（含稀土）测量组件端口：重复性：总(α+β)活度≥135.39Bq/L，重复性限r≤9.86。</w:t>
            </w:r>
          </w:p>
          <w:p w14:paraId="7870CFC6">
            <w:pPr>
              <w:pageBreakBefore w:val="0"/>
              <w:kinsoku/>
              <w:wordWrap/>
              <w:overflowPunct/>
              <w:topLinePunct w:val="0"/>
              <w:bidi w:val="0"/>
              <w:snapToGrid/>
              <w:spacing w:line="400" w:lineRule="exact"/>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4.7预留土壤（含稀土）测量组件端口：允许差：总（α+β）≥100，相对允许差8%。</w:t>
            </w:r>
          </w:p>
          <w:p w14:paraId="20B4638D">
            <w:pPr>
              <w:pageBreakBefore w:val="0"/>
              <w:kinsoku/>
              <w:wordWrap/>
              <w:overflowPunct/>
              <w:topLinePunct w:val="0"/>
              <w:bidi w:val="0"/>
              <w:snapToGrid/>
              <w:spacing w:line="400" w:lineRule="exact"/>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4.8每个通道可以单独测量不同的样品。</w:t>
            </w:r>
          </w:p>
          <w:p w14:paraId="4436CB3A">
            <w:pPr>
              <w:pageBreakBefore w:val="0"/>
              <w:kinsoku/>
              <w:wordWrap/>
              <w:overflowPunct/>
              <w:topLinePunct w:val="0"/>
              <w:bidi w:val="0"/>
              <w:snapToGrid/>
              <w:spacing w:line="400" w:lineRule="exact"/>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▲4.9采集模式：具有核脉冲峰值采样功能，支持断点续采（用户可暂停并继续采集）。</w:t>
            </w:r>
          </w:p>
          <w:p w14:paraId="241072B3">
            <w:pPr>
              <w:pageBreakBefore w:val="0"/>
              <w:kinsoku/>
              <w:wordWrap/>
              <w:overflowPunct/>
              <w:topLinePunct w:val="0"/>
              <w:bidi w:val="0"/>
              <w:snapToGrid/>
              <w:spacing w:line="400" w:lineRule="exact"/>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5.1对⁹⁰Sr-⁹⁰Yβ源，2π效率比≥58%时，β本底≤0.10cm⁻²·min⁻¹；</w:t>
            </w:r>
          </w:p>
          <w:p w14:paraId="20A0FC4D">
            <w:pPr>
              <w:pageBreakBefore w:val="0"/>
              <w:kinsoku/>
              <w:wordWrap/>
              <w:overflowPunct/>
              <w:topLinePunct w:val="0"/>
              <w:bidi w:val="0"/>
              <w:snapToGrid/>
              <w:spacing w:line="400" w:lineRule="exact"/>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5.2对²³⁹Pu（或²⁴¹Am）α源，2π效率比≥85%时，α本底≤0.003cm⁻²·min⁻¹；</w:t>
            </w:r>
          </w:p>
          <w:p w14:paraId="455B2E30">
            <w:pPr>
              <w:pageBreakBefore w:val="0"/>
              <w:kinsoku/>
              <w:wordWrap/>
              <w:overflowPunct/>
              <w:topLinePunct w:val="0"/>
              <w:bidi w:val="0"/>
              <w:snapToGrid/>
              <w:spacing w:line="400" w:lineRule="exact"/>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5.3α/β串道比：α进入β道≤2.5%，β进入α道≤0.3%；</w:t>
            </w:r>
          </w:p>
          <w:p w14:paraId="025FDC1E">
            <w:pPr>
              <w:pageBreakBefore w:val="0"/>
              <w:kinsoku/>
              <w:wordWrap/>
              <w:overflowPunct/>
              <w:topLinePunct w:val="0"/>
              <w:bidi w:val="0"/>
              <w:snapToGrid/>
              <w:spacing w:line="400" w:lineRule="exact"/>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5.4标配KClβ标准源、²⁴¹Amα标准物质各一套。</w:t>
            </w:r>
          </w:p>
          <w:p w14:paraId="66ECC179">
            <w:pPr>
              <w:pageBreakBefore w:val="0"/>
              <w:kinsoku/>
              <w:wordWrap/>
              <w:overflowPunct/>
              <w:topLinePunct w:val="0"/>
              <w:bidi w:val="0"/>
              <w:snapToGrid/>
              <w:spacing w:line="400" w:lineRule="exact"/>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5.5效率稳定性：仪器连续通电24h，α探测效率变化≤3%，β≤8%；</w:t>
            </w:r>
          </w:p>
          <w:p w14:paraId="603BDCAE">
            <w:pPr>
              <w:pageBreakBefore w:val="0"/>
              <w:kinsoku/>
              <w:wordWrap/>
              <w:overflowPunct/>
              <w:topLinePunct w:val="0"/>
              <w:bidi w:val="0"/>
              <w:snapToGrid/>
              <w:spacing w:line="400" w:lineRule="exact"/>
              <w:rPr>
                <w:rFonts w:ascii="宋体" w:hAnsi="宋体" w:eastAsia="宋体" w:cs="宋体"/>
                <w:kern w:val="1"/>
                <w:sz w:val="24"/>
                <w:szCs w:val="24"/>
                <w:vertAlign w:val="baseline"/>
                <w:lang w:val="en-US" w:eastAsia="zh-CN" w:bidi="ar-SA"/>
              </w:rPr>
            </w:pPr>
            <w:r>
              <w:rPr>
                <w:rFonts w:hint="eastAsia" w:ascii="宋体" w:hAnsi="宋体" w:eastAsia="宋体" w:cs="宋体"/>
                <w:color w:val="auto"/>
                <w:kern w:val="2"/>
                <w:sz w:val="24"/>
                <w:szCs w:val="24"/>
                <w:lang w:val="en-US" w:eastAsia="zh-CN"/>
              </w:rPr>
              <w:t>5.6灵敏度/最低探测限：α≤5×10⁻⁴Bq，β≤1×10⁻³Bq。</w:t>
            </w:r>
          </w:p>
        </w:tc>
      </w:tr>
      <w:tr w14:paraId="1AD66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582C02F4">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006FB6D5">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hint="eastAsia" w:ascii="宋体" w:hAnsi="宋体" w:eastAsia="宋体" w:cs="宋体"/>
                <w:kern w:val="0"/>
                <w:sz w:val="24"/>
                <w:szCs w:val="24"/>
                <w:vertAlign w:val="baseline"/>
                <w:lang w:val="en-US" w:eastAsia="zh-CN" w:bidi="ar"/>
              </w:rPr>
              <w:t>标准配套</w:t>
            </w:r>
          </w:p>
        </w:tc>
        <w:tc>
          <w:tcPr>
            <w:tcW w:w="6203" w:type="dxa"/>
            <w:shd w:val="clear" w:color="auto" w:fill="auto"/>
            <w:tcMar>
              <w:top w:w="150" w:type="dxa"/>
              <w:left w:w="0" w:type="dxa"/>
              <w:bottom w:w="150" w:type="dxa"/>
              <w:right w:w="300" w:type="dxa"/>
            </w:tcMar>
            <w:vAlign w:val="top"/>
          </w:tcPr>
          <w:p w14:paraId="61422AB2">
            <w:pPr>
              <w:keepNext w:val="0"/>
              <w:keepLines w:val="0"/>
              <w:widowControl/>
              <w:suppressLineNumbers w:val="0"/>
              <w:spacing w:beforeAutospacing="1" w:afterAutospacing="1"/>
              <w:jc w:val="left"/>
              <w:rPr>
                <w:rFonts w:ascii="宋体" w:hAnsi="宋体" w:eastAsia="宋体" w:cs="宋体"/>
                <w:kern w:val="1"/>
                <w:sz w:val="24"/>
                <w:szCs w:val="24"/>
                <w:vertAlign w:val="baseline"/>
                <w:lang w:val="en-US" w:eastAsia="zh-CN" w:bidi="ar-SA"/>
              </w:rPr>
            </w:pPr>
            <w:r>
              <w:rPr>
                <w:rFonts w:hint="eastAsia" w:ascii="宋体" w:hAnsi="宋体" w:eastAsia="宋体" w:cs="宋体"/>
                <w:kern w:val="1"/>
                <w:sz w:val="24"/>
                <w:szCs w:val="24"/>
                <w:vertAlign w:val="baseline"/>
                <w:lang w:val="en-US" w:eastAsia="zh-CN" w:bidi="ar-SA"/>
              </w:rPr>
              <w:t>上下屏蔽铅室1套、αβ标准粉末源1套（附带国家一级校准证书、通用样品盘、配套计算机、打印机、出厂计量检定报告，满足饮用水总α、总β全套检测使用。</w:t>
            </w:r>
          </w:p>
        </w:tc>
      </w:tr>
      <w:tr w14:paraId="4AF54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1453" w:type="dxa"/>
            <w:vMerge w:val="restart"/>
            <w:shd w:val="clear" w:color="auto" w:fill="auto"/>
            <w:tcMar>
              <w:top w:w="150" w:type="dxa"/>
              <w:left w:w="0" w:type="dxa"/>
              <w:bottom w:w="150" w:type="dxa"/>
              <w:right w:w="300" w:type="dxa"/>
            </w:tcMar>
            <w:vAlign w:val="top"/>
          </w:tcPr>
          <w:p w14:paraId="68A4F3C5">
            <w:pPr>
              <w:keepNext w:val="0"/>
              <w:keepLines w:val="0"/>
              <w:widowControl/>
              <w:suppressLineNumbers w:val="0"/>
              <w:spacing w:before="0" w:beforeAutospacing="1" w:after="0" w:afterAutospacing="1"/>
              <w:ind w:left="0" w:right="0"/>
              <w:jc w:val="center"/>
              <w:rPr>
                <w:rFonts w:ascii="Calibri" w:hAnsi="Calibri" w:eastAsia="宋体" w:cs="Times New Roman"/>
                <w:kern w:val="0"/>
                <w:sz w:val="24"/>
                <w:szCs w:val="24"/>
                <w:lang w:val="en-US" w:eastAsia="zh-CN" w:bidi="ar"/>
              </w:rPr>
            </w:pPr>
            <w:r>
              <w:rPr>
                <w:rFonts w:ascii="Calibri" w:hAnsi="Calibri" w:eastAsia="宋体" w:cs="Times New Roman"/>
                <w:b/>
                <w:kern w:val="2"/>
                <w:sz w:val="21"/>
                <w:szCs w:val="24"/>
                <w:vertAlign w:val="baseline"/>
                <w:lang w:val="en-US" w:eastAsia="zh-CN" w:bidi="ar-SA"/>
              </w:rPr>
              <w:t>水样蒸发仪(1台)</w:t>
            </w:r>
            <w:r>
              <w:rPr>
                <w:rFonts w:ascii="Calibri" w:hAnsi="Calibri" w:eastAsia="宋体" w:cs="Times New Roman"/>
                <w:kern w:val="0"/>
                <w:sz w:val="24"/>
                <w:szCs w:val="24"/>
                <w:vertAlign w:val="baseline"/>
                <w:lang w:val="en-US" w:eastAsia="zh-CN" w:bidi="ar"/>
              </w:rPr>
              <w:t>​</w:t>
            </w:r>
          </w:p>
        </w:tc>
        <w:tc>
          <w:tcPr>
            <w:tcW w:w="1583" w:type="dxa"/>
            <w:shd w:val="clear" w:color="auto" w:fill="auto"/>
            <w:tcMar>
              <w:top w:w="150" w:type="dxa"/>
              <w:left w:w="0" w:type="dxa"/>
              <w:bottom w:w="150" w:type="dxa"/>
              <w:right w:w="300" w:type="dxa"/>
            </w:tcMar>
            <w:vAlign w:val="top"/>
          </w:tcPr>
          <w:p w14:paraId="33376387">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hint="eastAsia" w:ascii="宋体" w:hAnsi="宋体" w:eastAsia="宋体" w:cs="宋体"/>
                <w:kern w:val="1"/>
                <w:sz w:val="24"/>
                <w:szCs w:val="24"/>
                <w:vertAlign w:val="baseline"/>
                <w:lang w:val="en-US" w:eastAsia="zh-CN" w:bidi="ar-SA"/>
              </w:rPr>
              <w:t>配套组件</w:t>
            </w:r>
          </w:p>
        </w:tc>
        <w:tc>
          <w:tcPr>
            <w:tcW w:w="6203" w:type="dxa"/>
            <w:shd w:val="clear" w:color="auto" w:fill="auto"/>
            <w:tcMar>
              <w:top w:w="150" w:type="dxa"/>
              <w:left w:w="0" w:type="dxa"/>
              <w:bottom w:w="150" w:type="dxa"/>
              <w:right w:w="300" w:type="dxa"/>
            </w:tcMar>
            <w:vAlign w:val="top"/>
          </w:tcPr>
          <w:p w14:paraId="33643876">
            <w:pPr>
              <w:keepNext w:val="0"/>
              <w:keepLines w:val="0"/>
              <w:widowControl/>
              <w:suppressLineNumbers w:val="0"/>
              <w:spacing w:beforeAutospacing="1" w:afterAutospacing="1"/>
              <w:jc w:val="left"/>
              <w:rPr>
                <w:rFonts w:ascii="Calibri" w:hAnsi="Calibri" w:eastAsia="宋体" w:cs="Times New Roman"/>
                <w:kern w:val="0"/>
                <w:sz w:val="24"/>
                <w:szCs w:val="24"/>
                <w:lang w:val="en-US" w:eastAsia="zh-CN" w:bidi="ar"/>
              </w:rPr>
            </w:pPr>
            <w:r>
              <w:rPr>
                <w:rFonts w:hint="eastAsia" w:ascii="宋体" w:hAnsi="宋体" w:eastAsia="宋体" w:cs="宋体"/>
                <w:kern w:val="1"/>
                <w:sz w:val="24"/>
                <w:szCs w:val="24"/>
                <w:vertAlign w:val="baseline"/>
                <w:lang w:val="en-US" w:eastAsia="zh-CN" w:bidi="ar-SA"/>
              </w:rPr>
              <w:t>1.全自动水样蒸发仪主机1台；2.使用说明书1套；3.合格证1份；4.定制蒸发皿≥8套；5.配套附件1套。</w:t>
            </w:r>
          </w:p>
        </w:tc>
      </w:tr>
      <w:tr w14:paraId="49883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7644B1FF">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4599E23B">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hint="eastAsia" w:ascii="宋体" w:hAnsi="宋体" w:eastAsia="宋体" w:cs="宋体"/>
                <w:kern w:val="1"/>
                <w:sz w:val="24"/>
                <w:szCs w:val="24"/>
                <w:vertAlign w:val="baseline"/>
                <w:lang w:val="en-US" w:eastAsia="zh-CN" w:bidi="ar-SA"/>
              </w:rPr>
              <w:t>工作原理</w:t>
            </w:r>
          </w:p>
        </w:tc>
        <w:tc>
          <w:tcPr>
            <w:tcW w:w="6203" w:type="dxa"/>
            <w:shd w:val="clear" w:color="auto" w:fill="auto"/>
            <w:tcMar>
              <w:top w:w="150" w:type="dxa"/>
              <w:left w:w="0" w:type="dxa"/>
              <w:bottom w:w="150" w:type="dxa"/>
              <w:right w:w="300" w:type="dxa"/>
            </w:tcMar>
            <w:vAlign w:val="top"/>
          </w:tcPr>
          <w:p w14:paraId="4D7A1909">
            <w:pPr>
              <w:pageBreakBefore w:val="0"/>
              <w:kinsoku/>
              <w:wordWrap/>
              <w:overflowPunct/>
              <w:topLinePunct w:val="0"/>
              <w:bidi w:val="0"/>
              <w:snapToGrid/>
              <w:spacing w:line="400" w:lineRule="exact"/>
              <w:rPr>
                <w:rFonts w:hint="eastAsia" w:ascii="宋体" w:hAnsi="宋体" w:eastAsia="宋体" w:cs="宋体"/>
                <w:color w:val="auto"/>
                <w:kern w:val="2"/>
                <w:sz w:val="24"/>
                <w:szCs w:val="24"/>
                <w:lang w:val="en-US" w:eastAsia="zh-CN"/>
              </w:rPr>
            </w:pPr>
            <w:r>
              <w:rPr>
                <w:rFonts w:hint="eastAsia" w:ascii="宋体" w:hAnsi="宋体" w:eastAsia="宋体" w:cs="宋体"/>
                <w:kern w:val="1"/>
                <w:sz w:val="24"/>
                <w:szCs w:val="24"/>
                <w:vertAlign w:val="baseline"/>
                <w:lang w:val="en-US" w:eastAsia="zh-CN" w:bidi="ar-SA"/>
              </w:rPr>
              <w:t>▲</w:t>
            </w:r>
            <w:r>
              <w:rPr>
                <w:rFonts w:hint="eastAsia" w:ascii="宋体" w:hAnsi="宋体" w:eastAsia="宋体" w:cs="宋体"/>
                <w:color w:val="auto"/>
                <w:kern w:val="2"/>
                <w:sz w:val="24"/>
                <w:szCs w:val="24"/>
                <w:lang w:val="en-US" w:eastAsia="zh-CN"/>
              </w:rPr>
              <w:t>1、具备自动进样及液位控制功能，可自动调节进样速率和加热功率，实现对样品的蒸发、灰化等处理，最终得到所需样品。（投标时须在响应表中说明上述功能。中标后，中标供应商应在安装调试完成后</w:t>
            </w:r>
            <w:r>
              <w:rPr>
                <w:rFonts w:hint="eastAsia" w:ascii="宋体" w:hAnsi="宋体" w:eastAsia="宋体" w:cs="宋体"/>
                <w:b/>
                <w:bCs/>
                <w:color w:val="auto"/>
                <w:kern w:val="2"/>
                <w:sz w:val="24"/>
                <w:szCs w:val="24"/>
                <w:lang w:val="en-US" w:eastAsia="zh-CN"/>
              </w:rPr>
              <w:t>配合采购人进行功能演示</w:t>
            </w:r>
            <w:r>
              <w:rPr>
                <w:rFonts w:hint="eastAsia" w:ascii="宋体" w:hAnsi="宋体" w:eastAsia="宋体" w:cs="宋体"/>
                <w:color w:val="auto"/>
                <w:kern w:val="2"/>
                <w:sz w:val="24"/>
                <w:szCs w:val="24"/>
                <w:lang w:val="en-US" w:eastAsia="zh-CN"/>
              </w:rPr>
              <w:t>，演示结果作为验收参考）</w:t>
            </w:r>
          </w:p>
          <w:p w14:paraId="66B53C13">
            <w:pPr>
              <w:pageBreakBefore w:val="0"/>
              <w:kinsoku/>
              <w:wordWrap/>
              <w:overflowPunct/>
              <w:topLinePunct w:val="0"/>
              <w:bidi w:val="0"/>
              <w:snapToGrid/>
              <w:spacing w:line="400" w:lineRule="exact"/>
              <w:rPr>
                <w:rFonts w:ascii="Calibri" w:hAnsi="Calibri" w:eastAsia="宋体" w:cs="Times New Roman"/>
                <w:kern w:val="0"/>
                <w:sz w:val="24"/>
                <w:szCs w:val="24"/>
                <w:lang w:val="en-US" w:eastAsia="zh-CN" w:bidi="ar"/>
              </w:rPr>
            </w:pPr>
            <w:r>
              <w:rPr>
                <w:rFonts w:hint="eastAsia" w:ascii="宋体" w:hAnsi="宋体" w:eastAsia="宋体" w:cs="宋体"/>
                <w:color w:val="auto"/>
                <w:kern w:val="2"/>
                <w:sz w:val="24"/>
                <w:szCs w:val="24"/>
                <w:lang w:val="en-US" w:eastAsia="zh-CN"/>
              </w:rPr>
              <w:t>2、前处理技术：配备全自动放射性水样蒸发浓缩赶酸仪，可对放射性α、β及其他放射性水样进行全自动蒸发浓缩处理，可完成不小于四个样品同时处理，保证各蒸发皿中的样品之间互不干扰。</w:t>
            </w:r>
          </w:p>
        </w:tc>
      </w:tr>
      <w:tr w14:paraId="1D90C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453EF139">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1E1B3E53">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hint="eastAsia" w:ascii="宋体" w:hAnsi="宋体" w:eastAsia="宋体" w:cs="宋体"/>
                <w:kern w:val="1"/>
                <w:sz w:val="24"/>
                <w:szCs w:val="24"/>
                <w:vertAlign w:val="baseline"/>
                <w:lang w:val="en-US" w:eastAsia="zh-CN" w:bidi="ar-SA"/>
              </w:rPr>
              <w:t>温控蒸发性能</w:t>
            </w:r>
          </w:p>
        </w:tc>
        <w:tc>
          <w:tcPr>
            <w:tcW w:w="6203" w:type="dxa"/>
            <w:shd w:val="clear" w:color="auto" w:fill="auto"/>
            <w:tcMar>
              <w:top w:w="150" w:type="dxa"/>
              <w:left w:w="0" w:type="dxa"/>
              <w:bottom w:w="150" w:type="dxa"/>
              <w:right w:w="300" w:type="dxa"/>
            </w:tcMar>
            <w:vAlign w:val="top"/>
          </w:tcPr>
          <w:p w14:paraId="52A5B7A2">
            <w:pPr>
              <w:keepNext w:val="0"/>
              <w:keepLines w:val="0"/>
              <w:widowControl/>
              <w:suppressLineNumbers w:val="0"/>
              <w:spacing w:beforeAutospacing="1" w:afterAutospacing="1"/>
              <w:jc w:val="left"/>
              <w:rPr>
                <w:rFonts w:ascii="Calibri" w:hAnsi="Calibri" w:eastAsia="宋体" w:cs="Times New Roman"/>
                <w:kern w:val="0"/>
                <w:sz w:val="24"/>
                <w:szCs w:val="24"/>
                <w:lang w:val="en-US" w:eastAsia="zh-CN" w:bidi="ar"/>
              </w:rPr>
            </w:pPr>
            <w:r>
              <w:rPr>
                <w:rFonts w:hint="eastAsia" w:ascii="宋体" w:hAnsi="宋体" w:eastAsia="宋体" w:cs="宋体"/>
                <w:kern w:val="1"/>
                <w:sz w:val="24"/>
                <w:szCs w:val="24"/>
                <w:vertAlign w:val="baseline"/>
                <w:lang w:val="en-US" w:eastAsia="zh-CN" w:bidi="ar-SA"/>
              </w:rPr>
              <w:t>具有定量蒸发、高温灰化、管道清洗等处理功能。蒸发温度(0-100)℃±2.0℃，灰化温度(0-500)℃±5.0℃.蒸发速度2L/4-6h（蒸发完成自动进入灰化阶段）</w:t>
            </w:r>
          </w:p>
        </w:tc>
      </w:tr>
      <w:tr w14:paraId="04085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1D089D1B">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74963704">
            <w:pPr>
              <w:keepNext w:val="0"/>
              <w:keepLines w:val="0"/>
              <w:widowControl/>
              <w:suppressLineNumbers w:val="0"/>
              <w:spacing w:before="0" w:beforeAutospacing="1" w:after="0" w:afterAutospacing="1"/>
              <w:ind w:left="0" w:leftChars="0" w:right="0" w:rightChars="0"/>
              <w:jc w:val="center"/>
              <w:rPr>
                <w:rFonts w:ascii="Calibri" w:hAnsi="Calibri" w:eastAsia="宋体" w:cs="Times New Roman"/>
                <w:kern w:val="0"/>
                <w:sz w:val="24"/>
                <w:szCs w:val="24"/>
                <w:lang w:val="en-US" w:eastAsia="zh-CN" w:bidi="ar"/>
              </w:rPr>
            </w:pPr>
            <w:r>
              <w:rPr>
                <w:rFonts w:hint="eastAsia" w:ascii="宋体" w:hAnsi="宋体" w:eastAsia="宋体" w:cs="宋体"/>
                <w:kern w:val="0"/>
                <w:sz w:val="24"/>
                <w:szCs w:val="24"/>
                <w:vertAlign w:val="baseline"/>
                <w:lang w:val="en-US" w:eastAsia="zh-CN" w:bidi="ar"/>
              </w:rPr>
              <w:t>排风系统</w:t>
            </w:r>
          </w:p>
        </w:tc>
        <w:tc>
          <w:tcPr>
            <w:tcW w:w="6203" w:type="dxa"/>
            <w:shd w:val="clear" w:color="auto" w:fill="auto"/>
            <w:tcMar>
              <w:top w:w="150" w:type="dxa"/>
              <w:left w:w="0" w:type="dxa"/>
              <w:bottom w:w="150" w:type="dxa"/>
              <w:right w:w="300" w:type="dxa"/>
            </w:tcMar>
            <w:vAlign w:val="top"/>
          </w:tcPr>
          <w:p w14:paraId="5A03DF7F">
            <w:pPr>
              <w:keepNext w:val="0"/>
              <w:keepLines w:val="0"/>
              <w:widowControl/>
              <w:suppressLineNumbers w:val="0"/>
              <w:spacing w:beforeAutospacing="1" w:afterAutospacing="1"/>
              <w:jc w:val="left"/>
              <w:rPr>
                <w:rFonts w:ascii="Calibri" w:hAnsi="Calibri" w:eastAsia="宋体" w:cs="Times New Roman"/>
                <w:kern w:val="0"/>
                <w:sz w:val="24"/>
                <w:szCs w:val="24"/>
                <w:lang w:val="en-US" w:eastAsia="zh-CN" w:bidi="ar"/>
              </w:rPr>
            </w:pPr>
            <w:r>
              <w:rPr>
                <w:rFonts w:hint="eastAsia" w:ascii="宋体" w:hAnsi="宋体" w:eastAsia="宋体" w:cs="宋体"/>
                <w:kern w:val="1"/>
                <w:sz w:val="24"/>
                <w:szCs w:val="24"/>
                <w:vertAlign w:val="baseline"/>
                <w:lang w:val="en-US" w:eastAsia="zh-CN" w:bidi="ar-SA"/>
              </w:rPr>
              <w:t>▲每个蒸发位独立排风系统，自带通风管道接口，酸气集中排出，避免酸气进入机箱和实验室内；电路模块独立设计，整机具备防腐耐酸耐高温保护。</w:t>
            </w:r>
          </w:p>
        </w:tc>
      </w:tr>
      <w:tr w14:paraId="41CBE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07" w:hRule="atLeast"/>
        </w:trPr>
        <w:tc>
          <w:tcPr>
            <w:tcW w:w="1453" w:type="dxa"/>
            <w:vMerge w:val="continue"/>
            <w:shd w:val="clear" w:color="auto" w:fill="auto"/>
            <w:tcMar>
              <w:top w:w="150" w:type="dxa"/>
              <w:left w:w="0" w:type="dxa"/>
              <w:bottom w:w="150" w:type="dxa"/>
              <w:right w:w="300" w:type="dxa"/>
            </w:tcMar>
            <w:vAlign w:val="top"/>
          </w:tcPr>
          <w:p w14:paraId="3C7DE32C">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128C5795">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hint="eastAsia" w:ascii="宋体" w:hAnsi="宋体" w:eastAsia="宋体" w:cs="宋体"/>
                <w:kern w:val="1"/>
                <w:sz w:val="24"/>
                <w:szCs w:val="24"/>
                <w:vertAlign w:val="baseline"/>
                <w:lang w:val="en-US" w:eastAsia="zh-CN" w:bidi="ar-SA"/>
              </w:rPr>
              <w:t>控制系统</w:t>
            </w:r>
          </w:p>
        </w:tc>
        <w:tc>
          <w:tcPr>
            <w:tcW w:w="6203" w:type="dxa"/>
            <w:shd w:val="clear" w:color="auto" w:fill="auto"/>
            <w:tcMar>
              <w:top w:w="150" w:type="dxa"/>
              <w:left w:w="0" w:type="dxa"/>
              <w:bottom w:w="150" w:type="dxa"/>
              <w:right w:w="300" w:type="dxa"/>
            </w:tcMar>
            <w:vAlign w:val="top"/>
          </w:tcPr>
          <w:p w14:paraId="598D0415">
            <w:pPr>
              <w:keepNext w:val="0"/>
              <w:keepLines w:val="0"/>
              <w:widowControl/>
              <w:suppressLineNumbers w:val="0"/>
              <w:spacing w:beforeAutospacing="1" w:afterAutospacing="1"/>
              <w:jc w:val="left"/>
              <w:rPr>
                <w:rFonts w:ascii="Calibri" w:hAnsi="Calibri" w:eastAsia="宋体" w:cs="Times New Roman"/>
                <w:kern w:val="0"/>
                <w:sz w:val="24"/>
                <w:szCs w:val="24"/>
                <w:lang w:val="en-US" w:eastAsia="zh-CN" w:bidi="ar"/>
              </w:rPr>
            </w:pPr>
            <w:r>
              <w:rPr>
                <w:rFonts w:hint="eastAsia" w:ascii="宋体" w:hAnsi="宋体" w:eastAsia="宋体" w:cs="宋体"/>
                <w:color w:val="auto"/>
                <w:kern w:val="2"/>
                <w:sz w:val="24"/>
                <w:szCs w:val="24"/>
                <w:lang w:val="en-US" w:eastAsia="zh-CN"/>
              </w:rPr>
              <w:t>配备</w:t>
            </w:r>
            <w:r>
              <w:rPr>
                <w:rFonts w:hint="eastAsia" w:ascii="宋体" w:hAnsi="宋体" w:eastAsia="宋体" w:cs="宋体"/>
                <w:color w:val="auto"/>
                <w:kern w:val="2"/>
                <w:sz w:val="24"/>
                <w:szCs w:val="24"/>
              </w:rPr>
              <w:t>触摸电容显示屏，支持多点触控模式</w:t>
            </w:r>
            <w:r>
              <w:rPr>
                <w:rFonts w:hint="eastAsia" w:ascii="宋体" w:hAnsi="宋体" w:eastAsia="宋体" w:cs="宋体"/>
                <w:color w:val="auto"/>
                <w:kern w:val="2"/>
                <w:sz w:val="24"/>
                <w:szCs w:val="24"/>
                <w:lang w:val="en-US" w:eastAsia="zh-CN"/>
              </w:rPr>
              <w:t>，超声波液位感应，</w:t>
            </w:r>
            <w:r>
              <w:rPr>
                <w:rFonts w:hint="eastAsia" w:ascii="宋体" w:hAnsi="宋体" w:eastAsia="宋体" w:cs="宋体"/>
                <w:color w:val="auto"/>
                <w:kern w:val="2"/>
                <w:sz w:val="24"/>
                <w:szCs w:val="24"/>
              </w:rPr>
              <w:t>PID精准调控，各温度控制系统之间相互独立</w:t>
            </w:r>
          </w:p>
        </w:tc>
      </w:tr>
      <w:tr w14:paraId="162D8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1453" w:type="dxa"/>
            <w:vMerge w:val="restart"/>
            <w:shd w:val="clear" w:color="auto" w:fill="auto"/>
            <w:tcMar>
              <w:top w:w="150" w:type="dxa"/>
              <w:left w:w="0" w:type="dxa"/>
              <w:bottom w:w="150" w:type="dxa"/>
              <w:right w:w="300" w:type="dxa"/>
            </w:tcMar>
            <w:vAlign w:val="top"/>
          </w:tcPr>
          <w:p w14:paraId="2F6F5333">
            <w:pPr>
              <w:keepNext w:val="0"/>
              <w:keepLines w:val="0"/>
              <w:widowControl/>
              <w:suppressLineNumbers w:val="0"/>
              <w:spacing w:before="0" w:beforeAutospacing="1" w:after="0" w:afterAutospacing="1"/>
              <w:ind w:left="0" w:right="0"/>
              <w:jc w:val="center"/>
              <w:rPr>
                <w:rFonts w:ascii="Calibri" w:hAnsi="Calibri" w:eastAsia="宋体" w:cs="Times New Roman"/>
                <w:kern w:val="0"/>
                <w:sz w:val="24"/>
                <w:szCs w:val="24"/>
                <w:lang w:val="en-US" w:eastAsia="zh-CN" w:bidi="ar"/>
              </w:rPr>
            </w:pPr>
            <w:r>
              <w:rPr>
                <w:rFonts w:ascii="Calibri" w:hAnsi="Calibri" w:eastAsia="宋体" w:cs="Times New Roman"/>
                <w:b/>
                <w:kern w:val="2"/>
                <w:sz w:val="21"/>
                <w:szCs w:val="24"/>
                <w:vertAlign w:val="baseline"/>
                <w:lang w:val="en-US" w:eastAsia="zh-CN" w:bidi="ar-SA"/>
              </w:rPr>
              <w:t>全自动高锰酸盐指数分析仪(1台)</w:t>
            </w:r>
            <w:r>
              <w:rPr>
                <w:rFonts w:ascii="Calibri" w:hAnsi="Calibri" w:eastAsia="宋体" w:cs="Times New Roman"/>
                <w:kern w:val="0"/>
                <w:sz w:val="24"/>
                <w:szCs w:val="24"/>
                <w:vertAlign w:val="baseline"/>
                <w:lang w:val="en-US" w:eastAsia="zh-CN" w:bidi="ar"/>
              </w:rPr>
              <w:t>​</w:t>
            </w:r>
          </w:p>
        </w:tc>
        <w:tc>
          <w:tcPr>
            <w:tcW w:w="1583" w:type="dxa"/>
            <w:shd w:val="clear" w:color="auto" w:fill="auto"/>
            <w:tcMar>
              <w:top w:w="150" w:type="dxa"/>
              <w:left w:w="0" w:type="dxa"/>
              <w:bottom w:w="150" w:type="dxa"/>
              <w:right w:w="300" w:type="dxa"/>
            </w:tcMar>
            <w:vAlign w:val="top"/>
          </w:tcPr>
          <w:p w14:paraId="5BEFEE63">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hint="eastAsia" w:ascii="宋体" w:hAnsi="宋体" w:eastAsia="宋体" w:cs="宋体"/>
                <w:b/>
                <w:bCs/>
                <w:color w:val="auto"/>
                <w:kern w:val="2"/>
                <w:sz w:val="24"/>
                <w:szCs w:val="24"/>
                <w:highlight w:val="none"/>
                <w:lang w:val="en" w:eastAsia="zh-CN"/>
              </w:rPr>
              <w:t>仪器用途</w:t>
            </w:r>
          </w:p>
        </w:tc>
        <w:tc>
          <w:tcPr>
            <w:tcW w:w="6203" w:type="dxa"/>
            <w:shd w:val="clear" w:color="auto" w:fill="auto"/>
            <w:tcMar>
              <w:top w:w="150" w:type="dxa"/>
              <w:left w:w="0" w:type="dxa"/>
              <w:bottom w:w="150" w:type="dxa"/>
              <w:right w:w="300" w:type="dxa"/>
            </w:tcMar>
            <w:vAlign w:val="top"/>
          </w:tcPr>
          <w:p w14:paraId="34BD813E">
            <w:pPr>
              <w:widowControl/>
              <w:numPr>
                <w:ilvl w:val="0"/>
                <w:numId w:val="3"/>
              </w:numPr>
              <w:spacing w:line="360" w:lineRule="auto"/>
              <w:jc w:val="left"/>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适用于饮用水、水源水、地下水和地表水等水体的高锰酸盐指数测定，符合GB/T5750.7-2023《生活饮用水标准检验方法第7部分：有机物综合指标》、HJ1445-2026《水质高锰酸盐指数的测定草酸钠还原酸性滴定法》及HJ1446-2026《水质高锰酸盐指数的测定草酸钠还原碱性滴定法》。</w:t>
            </w:r>
          </w:p>
          <w:p w14:paraId="00275339">
            <w:pPr>
              <w:widowControl/>
              <w:numPr>
                <w:ilvl w:val="0"/>
                <w:numId w:val="3"/>
              </w:numPr>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b w:val="0"/>
                <w:bCs w:val="0"/>
                <w:color w:val="auto"/>
                <w:kern w:val="2"/>
                <w:sz w:val="24"/>
                <w:szCs w:val="24"/>
                <w:highlight w:val="none"/>
              </w:rPr>
              <w:t>适用于乙二胺四乙酸二钠滴定法测定生活饮用水及其水源水、地表水、瓶装水等的总硬度分析，符合GB/T5750.4-2023。</w:t>
            </w:r>
          </w:p>
          <w:p w14:paraId="1B7D033A">
            <w:pPr>
              <w:widowControl/>
              <w:numPr>
                <w:ilvl w:val="0"/>
                <w:numId w:val="3"/>
              </w:numPr>
              <w:spacing w:line="360" w:lineRule="auto"/>
              <w:jc w:val="left"/>
              <w:rPr>
                <w:rFonts w:ascii="Calibri" w:hAnsi="Calibri" w:eastAsia="宋体" w:cs="Times New Roman"/>
                <w:kern w:val="0"/>
                <w:sz w:val="24"/>
                <w:szCs w:val="24"/>
                <w:lang w:val="en-US" w:eastAsia="zh-CN" w:bidi="ar"/>
              </w:rPr>
            </w:pPr>
            <w:r>
              <w:rPr>
                <w:rFonts w:hint="eastAsia" w:ascii="宋体" w:hAnsi="宋体" w:eastAsia="宋体" w:cs="宋体"/>
                <w:b w:val="0"/>
                <w:bCs w:val="0"/>
                <w:color w:val="auto"/>
                <w:kern w:val="2"/>
                <w:sz w:val="24"/>
                <w:szCs w:val="24"/>
                <w:highlight w:val="none"/>
              </w:rPr>
              <w:t>适用于食盐中碘的含量测定，采用直接滴定法，符合GB/T13025.7-2012及GB5009.42-2025。</w:t>
            </w:r>
          </w:p>
        </w:tc>
      </w:tr>
      <w:tr w14:paraId="19865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5337F333">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131C8B29">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hint="eastAsia" w:ascii="宋体" w:hAnsi="宋体" w:eastAsia="宋体" w:cs="宋体"/>
                <w:kern w:val="1"/>
                <w:sz w:val="24"/>
                <w:szCs w:val="24"/>
                <w:vertAlign w:val="baseline"/>
                <w:lang w:val="en-US" w:eastAsia="zh-CN" w:bidi="ar-SA"/>
              </w:rPr>
              <w:t>检测性能</w:t>
            </w:r>
          </w:p>
        </w:tc>
        <w:tc>
          <w:tcPr>
            <w:tcW w:w="6203" w:type="dxa"/>
            <w:shd w:val="clear" w:color="auto" w:fill="auto"/>
            <w:tcMar>
              <w:top w:w="150" w:type="dxa"/>
              <w:left w:w="0" w:type="dxa"/>
              <w:bottom w:w="150" w:type="dxa"/>
              <w:right w:w="300" w:type="dxa"/>
            </w:tcMar>
            <w:vAlign w:val="top"/>
          </w:tcPr>
          <w:p w14:paraId="17F4CF71">
            <w:pPr>
              <w:widowControl/>
              <w:spacing w:line="360" w:lineRule="auto"/>
              <w:jc w:val="left"/>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rPr>
              <w:t>1</w:t>
            </w:r>
            <w:r>
              <w:rPr>
                <w:rFonts w:hint="eastAsia" w:ascii="宋体" w:hAnsi="宋体" w:eastAsia="宋体" w:cs="宋体"/>
                <w:b/>
                <w:bCs/>
                <w:color w:val="auto"/>
                <w:kern w:val="2"/>
                <w:sz w:val="24"/>
                <w:szCs w:val="24"/>
                <w:highlight w:val="none"/>
              </w:rPr>
              <w:t>高锰酸盐指数方法</w:t>
            </w:r>
          </w:p>
          <w:p w14:paraId="7B7FF73B">
            <w:pPr>
              <w:widowControl/>
              <w:spacing w:line="360" w:lineRule="auto"/>
              <w:jc w:val="left"/>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方法原理：酸性及碱性高锰酸钾滴定法</w:t>
            </w:r>
          </w:p>
          <w:p w14:paraId="437DB6BF">
            <w:pPr>
              <w:widowControl/>
              <w:spacing w:line="360" w:lineRule="auto"/>
              <w:jc w:val="left"/>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线性范围：0.5-5.0mg/L</w:t>
            </w:r>
          </w:p>
          <w:p w14:paraId="7B8176D1">
            <w:pPr>
              <w:widowControl/>
              <w:spacing w:line="360" w:lineRule="auto"/>
              <w:jc w:val="left"/>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检出限：≤0.05mg/L</w:t>
            </w:r>
          </w:p>
          <w:p w14:paraId="60E45A38">
            <w:pPr>
              <w:widowControl/>
              <w:spacing w:line="360" w:lineRule="auto"/>
              <w:jc w:val="left"/>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精密度：≤3%（3.0mg/L的葡萄糖标准溶液）</w:t>
            </w:r>
          </w:p>
          <w:p w14:paraId="1F02531C">
            <w:pPr>
              <w:widowControl/>
              <w:spacing w:line="360" w:lineRule="auto"/>
              <w:jc w:val="left"/>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准确度：在质控样品规定的范围内</w:t>
            </w:r>
          </w:p>
          <w:p w14:paraId="23AEAF73">
            <w:pPr>
              <w:widowControl/>
              <w:spacing w:line="360" w:lineRule="auto"/>
              <w:jc w:val="left"/>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rPr>
              <w:t>2.</w:t>
            </w:r>
            <w:r>
              <w:rPr>
                <w:rFonts w:hint="eastAsia" w:ascii="宋体" w:hAnsi="宋体" w:eastAsia="宋体" w:cs="宋体"/>
                <w:b/>
                <w:bCs/>
                <w:color w:val="auto"/>
                <w:kern w:val="2"/>
                <w:sz w:val="24"/>
                <w:szCs w:val="24"/>
                <w:highlight w:val="none"/>
              </w:rPr>
              <w:t>总硬度方法</w:t>
            </w:r>
          </w:p>
          <w:p w14:paraId="1E036D44">
            <w:pPr>
              <w:widowControl/>
              <w:spacing w:line="360" w:lineRule="auto"/>
              <w:jc w:val="left"/>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方法原理：乙二胺四乙酸二钠滴定法</w:t>
            </w:r>
          </w:p>
          <w:p w14:paraId="5C82AB75">
            <w:pPr>
              <w:widowControl/>
              <w:spacing w:line="360" w:lineRule="auto"/>
              <w:jc w:val="left"/>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线性范围：5.0-400mg/L</w:t>
            </w:r>
          </w:p>
          <w:p w14:paraId="2D7FBD6A">
            <w:pPr>
              <w:widowControl/>
              <w:spacing w:line="360" w:lineRule="auto"/>
              <w:jc w:val="left"/>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检出限：≤1mg/L</w:t>
            </w:r>
          </w:p>
          <w:p w14:paraId="1E9C7FD5">
            <w:pPr>
              <w:widowControl/>
              <w:spacing w:line="360" w:lineRule="auto"/>
              <w:jc w:val="left"/>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精密度：≤1%（100.0mg/L）</w:t>
            </w:r>
          </w:p>
          <w:p w14:paraId="055ECEF4">
            <w:pPr>
              <w:widowControl/>
              <w:spacing w:line="360" w:lineRule="auto"/>
              <w:jc w:val="left"/>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准确度：在质控样品规定的范围内</w:t>
            </w:r>
          </w:p>
          <w:p w14:paraId="4ADFF1E9">
            <w:pPr>
              <w:widowControl/>
              <w:spacing w:line="360" w:lineRule="auto"/>
              <w:jc w:val="left"/>
              <w:rPr>
                <w:rFonts w:hint="eastAsia" w:ascii="宋体" w:hAnsi="宋体" w:eastAsia="宋体" w:cs="宋体"/>
                <w:b/>
                <w:bCs/>
                <w:color w:val="auto"/>
                <w:kern w:val="2"/>
                <w:sz w:val="24"/>
                <w:szCs w:val="24"/>
                <w:highlight w:val="none"/>
              </w:rPr>
            </w:pPr>
            <w:r>
              <w:rPr>
                <w:rFonts w:hint="eastAsia" w:ascii="宋体" w:hAnsi="宋体" w:eastAsia="宋体" w:cs="宋体"/>
                <w:b/>
                <w:bCs/>
                <w:color w:val="auto"/>
                <w:kern w:val="2"/>
                <w:sz w:val="24"/>
                <w:szCs w:val="24"/>
                <w:highlight w:val="none"/>
                <w:lang w:val="en-US" w:eastAsia="zh-CN"/>
              </w:rPr>
              <w:t>3.</w:t>
            </w:r>
            <w:r>
              <w:rPr>
                <w:rFonts w:hint="eastAsia" w:ascii="宋体" w:hAnsi="宋体" w:eastAsia="宋体" w:cs="宋体"/>
                <w:b/>
                <w:bCs/>
                <w:color w:val="auto"/>
                <w:kern w:val="2"/>
                <w:sz w:val="24"/>
                <w:szCs w:val="24"/>
                <w:highlight w:val="none"/>
              </w:rPr>
              <w:t>盐碘方法</w:t>
            </w:r>
          </w:p>
          <w:p w14:paraId="1220309C">
            <w:pPr>
              <w:widowControl/>
              <w:spacing w:line="360" w:lineRule="auto"/>
              <w:jc w:val="left"/>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方法原理：直接滴定法（容量法）</w:t>
            </w:r>
          </w:p>
          <w:p w14:paraId="207E5611">
            <w:pPr>
              <w:widowControl/>
              <w:spacing w:line="360" w:lineRule="auto"/>
              <w:jc w:val="left"/>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最低检测浓度：0.5mg/kg</w:t>
            </w:r>
          </w:p>
          <w:p w14:paraId="218BA06A">
            <w:pPr>
              <w:widowControl/>
              <w:spacing w:line="360" w:lineRule="auto"/>
              <w:jc w:val="left"/>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精密度（RSD）：≤1.5%（20mg/kg食盐样品）</w:t>
            </w:r>
          </w:p>
          <w:p w14:paraId="6D097C92">
            <w:pPr>
              <w:widowControl/>
              <w:spacing w:line="360" w:lineRule="auto"/>
              <w:jc w:val="left"/>
              <w:rPr>
                <w:rFonts w:ascii="Calibri" w:hAnsi="Calibri" w:eastAsia="宋体" w:cs="Times New Roman"/>
                <w:kern w:val="0"/>
                <w:sz w:val="24"/>
                <w:szCs w:val="24"/>
                <w:lang w:val="en-US" w:eastAsia="zh-CN" w:bidi="ar"/>
              </w:rPr>
            </w:pPr>
            <w:r>
              <w:rPr>
                <w:rFonts w:hint="eastAsia" w:ascii="宋体" w:hAnsi="宋体" w:eastAsia="宋体" w:cs="宋体"/>
                <w:b w:val="0"/>
                <w:bCs w:val="0"/>
                <w:color w:val="auto"/>
                <w:kern w:val="2"/>
                <w:sz w:val="24"/>
                <w:szCs w:val="24"/>
                <w:highlight w:val="none"/>
              </w:rPr>
              <w:t>准确度：误差在±2mg/kg以内</w:t>
            </w:r>
          </w:p>
        </w:tc>
      </w:tr>
      <w:tr w14:paraId="5A07F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69A06259">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328B3728">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hint="eastAsia" w:ascii="宋体" w:hAnsi="宋体" w:eastAsia="宋体" w:cs="宋体"/>
                <w:kern w:val="1"/>
                <w:sz w:val="24"/>
                <w:szCs w:val="24"/>
                <w:vertAlign w:val="baseline"/>
                <w:lang w:val="en-US" w:eastAsia="zh-CN" w:bidi="ar-SA"/>
              </w:rPr>
              <w:t>滴定系统</w:t>
            </w:r>
          </w:p>
        </w:tc>
        <w:tc>
          <w:tcPr>
            <w:tcW w:w="6203" w:type="dxa"/>
            <w:shd w:val="clear" w:color="auto" w:fill="auto"/>
            <w:tcMar>
              <w:top w:w="150" w:type="dxa"/>
              <w:left w:w="0" w:type="dxa"/>
              <w:bottom w:w="150" w:type="dxa"/>
              <w:right w:w="300" w:type="dxa"/>
            </w:tcMar>
            <w:vAlign w:val="top"/>
          </w:tcPr>
          <w:p w14:paraId="4BBD8413">
            <w:pPr>
              <w:widowControl/>
              <w:spacing w:line="360" w:lineRule="auto"/>
              <w:jc w:val="left"/>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lang w:val="en-US" w:eastAsia="zh-CN"/>
              </w:rPr>
              <w:t>★滴定系统各管路采用独立控制的加液泵，滴定终点自动判定，判定精度不低于人眼识别水平，符合GB/T5750.7-2023标准要求；仪器具备滴定过程监控记录功能，支持滴定数据自动存储追溯，可保存滴定过程相关记录供验收查阅。具有≥2个加液臂，每个加液臂内置≥4根出液管路。每个滴定位同时满足酸法、碱法测试。加液臂及管路设计应有效防止试剂泄漏造成仪器内部污染。（</w:t>
            </w:r>
            <w:r>
              <w:rPr>
                <w:rFonts w:ascii="宋体" w:hAnsi="宋体" w:eastAsia="宋体" w:cs="宋体"/>
                <w:kern w:val="2"/>
                <w:sz w:val="24"/>
                <w:szCs w:val="24"/>
              </w:rPr>
              <w:t>投标时须在响应表中说明上述功能。中标后，</w:t>
            </w:r>
            <w:r>
              <w:rPr>
                <w:rFonts w:hint="eastAsia" w:ascii="宋体" w:hAnsi="宋体" w:eastAsia="宋体" w:cs="宋体"/>
                <w:kern w:val="2"/>
                <w:sz w:val="24"/>
                <w:szCs w:val="24"/>
                <w:lang w:eastAsia="zh-CN"/>
              </w:rPr>
              <w:t>中标供应商</w:t>
            </w:r>
            <w:r>
              <w:rPr>
                <w:rFonts w:ascii="宋体" w:hAnsi="宋体" w:eastAsia="宋体" w:cs="宋体"/>
                <w:kern w:val="2"/>
                <w:sz w:val="24"/>
                <w:szCs w:val="24"/>
              </w:rPr>
              <w:t>应在安装调试完成后</w:t>
            </w:r>
            <w:r>
              <w:rPr>
                <w:rFonts w:ascii="宋体" w:hAnsi="宋体" w:eastAsia="宋体" w:cs="宋体"/>
                <w:b/>
                <w:kern w:val="2"/>
                <w:sz w:val="24"/>
                <w:szCs w:val="24"/>
              </w:rPr>
              <w:t>配合采购人进行功能演示</w:t>
            </w:r>
            <w:r>
              <w:rPr>
                <w:rFonts w:ascii="宋体" w:hAnsi="宋体" w:eastAsia="宋体" w:cs="宋体"/>
                <w:kern w:val="2"/>
                <w:sz w:val="24"/>
                <w:szCs w:val="24"/>
              </w:rPr>
              <w:t>，演示结果作为验收参考</w:t>
            </w:r>
            <w:r>
              <w:rPr>
                <w:rFonts w:hint="eastAsia" w:ascii="宋体" w:hAnsi="宋体" w:eastAsia="宋体" w:cs="宋体"/>
                <w:b w:val="0"/>
                <w:bCs w:val="0"/>
                <w:color w:val="auto"/>
                <w:kern w:val="2"/>
                <w:sz w:val="24"/>
                <w:szCs w:val="24"/>
                <w:highlight w:val="none"/>
                <w:lang w:val="en-US" w:eastAsia="zh-CN"/>
              </w:rPr>
              <w:t>）</w:t>
            </w:r>
          </w:p>
          <w:p w14:paraId="50A006E2">
            <w:pPr>
              <w:widowControl/>
              <w:spacing w:line="360" w:lineRule="auto"/>
              <w:jc w:val="left"/>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lang w:val="en-US" w:eastAsia="zh-CN"/>
              </w:rPr>
              <w:t>（2）</w:t>
            </w:r>
            <w:r>
              <w:rPr>
                <w:rFonts w:hint="eastAsia" w:ascii="宋体" w:hAnsi="宋体" w:eastAsia="宋体" w:cs="宋体"/>
                <w:b w:val="0"/>
                <w:bCs w:val="0"/>
                <w:color w:val="auto"/>
                <w:kern w:val="2"/>
                <w:sz w:val="24"/>
                <w:szCs w:val="24"/>
                <w:highlight w:val="none"/>
              </w:rPr>
              <w:t>系统配备滴定分析视频溯源功能，滴定过程实时记录显示样品杯内样品试剂颜色变化，具备滴定视频存储查阅功能。</w:t>
            </w:r>
          </w:p>
          <w:p w14:paraId="5CF69EC5">
            <w:pPr>
              <w:widowControl/>
              <w:spacing w:line="360" w:lineRule="auto"/>
              <w:jc w:val="left"/>
              <w:rPr>
                <w:rFonts w:ascii="Calibri" w:hAnsi="Calibri" w:eastAsia="宋体" w:cs="Times New Roman"/>
                <w:kern w:val="0"/>
                <w:sz w:val="24"/>
                <w:szCs w:val="24"/>
                <w:lang w:val="en-US" w:eastAsia="zh-CN" w:bidi="ar"/>
              </w:rPr>
            </w:pPr>
            <w:r>
              <w:rPr>
                <w:rFonts w:hint="eastAsia" w:ascii="宋体" w:hAnsi="宋体" w:eastAsia="宋体" w:cs="宋体"/>
                <w:b w:val="0"/>
                <w:bCs w:val="0"/>
                <w:color w:val="auto"/>
                <w:kern w:val="2"/>
                <w:sz w:val="24"/>
                <w:szCs w:val="24"/>
                <w:highlight w:val="none"/>
                <w:lang w:val="en-US" w:eastAsia="zh-CN"/>
              </w:rPr>
              <w:t>（3）</w:t>
            </w:r>
            <w:r>
              <w:rPr>
                <w:rFonts w:hint="eastAsia" w:ascii="宋体" w:hAnsi="宋体" w:eastAsia="宋体" w:cs="宋体"/>
                <w:b w:val="0"/>
                <w:bCs w:val="0"/>
                <w:color w:val="auto"/>
                <w:kern w:val="2"/>
                <w:sz w:val="24"/>
                <w:szCs w:val="24"/>
                <w:highlight w:val="none"/>
              </w:rPr>
              <w:t>仪器具备“一键检测”功能，无人值守，自动完成试剂添加、水浴加热、滴定分析</w:t>
            </w:r>
            <w:r>
              <w:rPr>
                <w:rFonts w:hint="eastAsia" w:ascii="宋体" w:hAnsi="宋体" w:eastAsia="宋体" w:cs="宋体"/>
                <w:b w:val="0"/>
                <w:bCs w:val="0"/>
                <w:color w:val="auto"/>
                <w:kern w:val="2"/>
                <w:sz w:val="24"/>
                <w:szCs w:val="24"/>
                <w:highlight w:val="none"/>
                <w:lang w:eastAsia="zh-CN"/>
              </w:rPr>
              <w:t>、</w:t>
            </w:r>
            <w:r>
              <w:rPr>
                <w:rFonts w:hint="eastAsia" w:ascii="宋体" w:hAnsi="宋体" w:eastAsia="宋体" w:cs="宋体"/>
                <w:b w:val="0"/>
                <w:bCs w:val="0"/>
                <w:color w:val="auto"/>
                <w:kern w:val="2"/>
                <w:sz w:val="24"/>
                <w:szCs w:val="24"/>
                <w:highlight w:val="none"/>
              </w:rPr>
              <w:t>自动分析并计算结果。</w:t>
            </w:r>
          </w:p>
        </w:tc>
      </w:tr>
      <w:tr w14:paraId="70D70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12" w:hRule="atLeast"/>
        </w:trPr>
        <w:tc>
          <w:tcPr>
            <w:tcW w:w="1453" w:type="dxa"/>
            <w:vMerge w:val="continue"/>
            <w:shd w:val="clear" w:color="auto" w:fill="auto"/>
            <w:tcMar>
              <w:top w:w="150" w:type="dxa"/>
              <w:left w:w="0" w:type="dxa"/>
              <w:bottom w:w="150" w:type="dxa"/>
              <w:right w:w="300" w:type="dxa"/>
            </w:tcMar>
            <w:vAlign w:val="top"/>
          </w:tcPr>
          <w:p w14:paraId="4C4011B5">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787002CE">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hint="eastAsia" w:ascii="宋体" w:hAnsi="宋体" w:eastAsia="宋体" w:cs="宋体"/>
                <w:kern w:val="1"/>
                <w:sz w:val="24"/>
                <w:szCs w:val="24"/>
                <w:vertAlign w:val="baseline"/>
                <w:lang w:val="en-US" w:eastAsia="zh-CN" w:bidi="ar-SA"/>
              </w:rPr>
              <w:t>消解系统</w:t>
            </w:r>
          </w:p>
        </w:tc>
        <w:tc>
          <w:tcPr>
            <w:tcW w:w="6203" w:type="dxa"/>
            <w:shd w:val="clear" w:color="auto" w:fill="auto"/>
            <w:tcMar>
              <w:top w:w="150" w:type="dxa"/>
              <w:left w:w="0" w:type="dxa"/>
              <w:bottom w:w="150" w:type="dxa"/>
              <w:right w:w="300" w:type="dxa"/>
            </w:tcMar>
            <w:vAlign w:val="top"/>
          </w:tcPr>
          <w:p w14:paraId="48CBEAA6">
            <w:pPr>
              <w:widowControl/>
              <w:numPr>
                <w:ilvl w:val="0"/>
                <w:numId w:val="4"/>
              </w:numPr>
              <w:spacing w:line="360" w:lineRule="auto"/>
              <w:jc w:val="left"/>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消解部分包括≥12位微沸水浴及水浴补水系统。加液完成后的样品会被机械臂移至沸水浴消解，消解位与滴定位、加液位并排一侧分布，减少运行行程。</w:t>
            </w:r>
          </w:p>
          <w:p w14:paraId="1967EE9F">
            <w:pPr>
              <w:widowControl/>
              <w:numPr>
                <w:ilvl w:val="0"/>
                <w:numId w:val="4"/>
              </w:numPr>
              <w:spacing w:line="360" w:lineRule="auto"/>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rPr>
              <w:t>采用微沸水浴氧化设计，减少爆沸导致的水体蒸发，通过水汽防溢结构设计降低蒸气逸散，大功率高效水浴系统，通过PWM闭环控温技术实现精确恒温。</w:t>
            </w:r>
          </w:p>
          <w:p w14:paraId="10A67BD3">
            <w:pPr>
              <w:widowControl/>
              <w:numPr>
                <w:ilvl w:val="0"/>
                <w:numId w:val="4"/>
              </w:numPr>
              <w:spacing w:line="360" w:lineRule="auto"/>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rPr>
              <w:t>多重水位监测及自动给水系统可根据水浴箱液面自动补水，补给用水缺水时系统预警提示并停止后续检测。试剂液位辅助监测功能，实时显示试剂液面，试剂即将使用完毕时自动报警提示并停止测定。</w:t>
            </w:r>
          </w:p>
          <w:p w14:paraId="157D6514">
            <w:pPr>
              <w:widowControl/>
              <w:numPr>
                <w:ilvl w:val="0"/>
                <w:numId w:val="4"/>
              </w:numPr>
              <w:spacing w:line="360" w:lineRule="auto"/>
              <w:jc w:val="left"/>
              <w:rPr>
                <w:rFonts w:ascii="Calibri" w:hAnsi="Calibri" w:eastAsia="宋体" w:cs="Times New Roman"/>
                <w:kern w:val="0"/>
                <w:sz w:val="24"/>
                <w:szCs w:val="24"/>
                <w:lang w:val="en-US" w:eastAsia="zh-CN" w:bidi="ar"/>
              </w:rPr>
            </w:pPr>
            <w:r>
              <w:rPr>
                <w:rFonts w:hint="eastAsia" w:ascii="宋体" w:hAnsi="宋体" w:eastAsia="宋体" w:cs="宋体"/>
                <w:b w:val="0"/>
                <w:bCs w:val="0"/>
                <w:color w:val="auto"/>
                <w:kern w:val="2"/>
                <w:sz w:val="24"/>
                <w:szCs w:val="24"/>
                <w:highlight w:val="none"/>
              </w:rPr>
              <w:t>防挂液设计，基本消除试剂添加过程中的液滴悬挂，避免加液臂移动过程中试剂液滴低落引入的飞溅腐蚀。</w:t>
            </w:r>
          </w:p>
        </w:tc>
      </w:tr>
      <w:tr w14:paraId="676FE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15" w:hRule="atLeast"/>
        </w:trPr>
        <w:tc>
          <w:tcPr>
            <w:tcW w:w="1453" w:type="dxa"/>
            <w:vMerge w:val="continue"/>
            <w:shd w:val="clear" w:color="auto" w:fill="auto"/>
            <w:tcMar>
              <w:top w:w="150" w:type="dxa"/>
              <w:left w:w="0" w:type="dxa"/>
              <w:bottom w:w="150" w:type="dxa"/>
              <w:right w:w="300" w:type="dxa"/>
            </w:tcMar>
            <w:vAlign w:val="top"/>
          </w:tcPr>
          <w:p w14:paraId="30ADDCEF">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61C7463F">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hint="eastAsia" w:ascii="宋体" w:hAnsi="宋体" w:eastAsia="宋体" w:cs="宋体"/>
                <w:kern w:val="1"/>
                <w:sz w:val="24"/>
                <w:szCs w:val="24"/>
                <w:vertAlign w:val="baseline"/>
                <w:lang w:val="en-US" w:eastAsia="zh-CN" w:bidi="ar-SA"/>
              </w:rPr>
              <w:t>样品转移系统</w:t>
            </w:r>
          </w:p>
        </w:tc>
        <w:tc>
          <w:tcPr>
            <w:tcW w:w="6203" w:type="dxa"/>
            <w:shd w:val="clear" w:color="auto" w:fill="auto"/>
            <w:tcMar>
              <w:top w:w="150" w:type="dxa"/>
              <w:left w:w="0" w:type="dxa"/>
              <w:bottom w:w="150" w:type="dxa"/>
              <w:right w:w="300" w:type="dxa"/>
            </w:tcMar>
            <w:vAlign w:val="top"/>
          </w:tcPr>
          <w:p w14:paraId="20D486B5">
            <w:pPr>
              <w:widowControl/>
              <w:numPr>
                <w:ilvl w:val="0"/>
                <w:numId w:val="5"/>
              </w:numPr>
              <w:spacing w:line="360" w:lineRule="auto"/>
              <w:jc w:val="left"/>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rPr>
              <w:t>配备≥48孔位样品盘，单次测定取样量≥100mL，注射进样系统，实时精确控制进样量。</w:t>
            </w:r>
          </w:p>
          <w:p w14:paraId="7834A0C0">
            <w:pPr>
              <w:widowControl/>
              <w:numPr>
                <w:ilvl w:val="0"/>
                <w:numId w:val="5"/>
              </w:numPr>
              <w:spacing w:line="360" w:lineRule="auto"/>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rPr>
              <w:t>仪器可自动快速判定样品中氯离子含量，智能选择检测方法。</w:t>
            </w:r>
          </w:p>
          <w:p w14:paraId="2D05A47B">
            <w:pPr>
              <w:widowControl/>
              <w:numPr>
                <w:ilvl w:val="0"/>
                <w:numId w:val="5"/>
              </w:numPr>
              <w:spacing w:line="360" w:lineRule="auto"/>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rPr>
              <w:t>高精度机械臂，自动抓取样品，自动识别是否抓取成功；自适应电动夹爪，无需额外气源设备，实现样品转移静音运行。</w:t>
            </w:r>
          </w:p>
          <w:p w14:paraId="4C37D5EE">
            <w:pPr>
              <w:widowControl/>
              <w:numPr>
                <w:ilvl w:val="0"/>
                <w:numId w:val="0"/>
              </w:numPr>
              <w:spacing w:line="360" w:lineRule="auto"/>
              <w:ind w:left="0" w:leftChars="0" w:firstLine="0" w:firstLineChars="0"/>
              <w:jc w:val="left"/>
              <w:rPr>
                <w:rFonts w:ascii="Calibri" w:hAnsi="Calibri" w:eastAsia="宋体" w:cs="Times New Roman"/>
                <w:kern w:val="0"/>
                <w:sz w:val="24"/>
                <w:szCs w:val="24"/>
                <w:lang w:val="en-US" w:eastAsia="zh-CN" w:bidi="ar"/>
              </w:rPr>
            </w:pPr>
            <w:r>
              <w:rPr>
                <w:rFonts w:hint="eastAsia" w:ascii="宋体" w:hAnsi="宋体" w:eastAsia="宋体" w:cs="宋体"/>
                <w:b w:val="0"/>
                <w:bCs w:val="0"/>
                <w:color w:val="auto"/>
                <w:kern w:val="2"/>
                <w:sz w:val="24"/>
                <w:szCs w:val="24"/>
                <w:highlight w:val="none"/>
              </w:rPr>
              <w:t>▲（4）试剂添加单元配备≥6套注射泵，分别用于草酸钠、氢氧化钠、硫酸、高锰酸钾等试剂的添加，最小加液体积≤20μL。（</w:t>
            </w:r>
            <w:r>
              <w:rPr>
                <w:rFonts w:ascii="宋体" w:hAnsi="宋体" w:eastAsia="宋体" w:cs="宋体"/>
                <w:kern w:val="2"/>
                <w:sz w:val="24"/>
                <w:szCs w:val="24"/>
              </w:rPr>
              <w:t>投标时须在响应表中说明上述功能。中标后，</w:t>
            </w:r>
            <w:r>
              <w:rPr>
                <w:rFonts w:hint="eastAsia" w:ascii="宋体" w:hAnsi="宋体" w:eastAsia="宋体" w:cs="宋体"/>
                <w:kern w:val="2"/>
                <w:sz w:val="24"/>
                <w:szCs w:val="24"/>
                <w:lang w:eastAsia="zh-CN"/>
              </w:rPr>
              <w:t>中标供应商</w:t>
            </w:r>
            <w:r>
              <w:rPr>
                <w:rFonts w:ascii="宋体" w:hAnsi="宋体" w:eastAsia="宋体" w:cs="宋体"/>
                <w:kern w:val="2"/>
                <w:sz w:val="24"/>
                <w:szCs w:val="24"/>
              </w:rPr>
              <w:t>应在安装调试完成后</w:t>
            </w:r>
            <w:r>
              <w:rPr>
                <w:rFonts w:ascii="宋体" w:hAnsi="宋体" w:eastAsia="宋体" w:cs="宋体"/>
                <w:b/>
                <w:kern w:val="2"/>
                <w:sz w:val="24"/>
                <w:szCs w:val="24"/>
              </w:rPr>
              <w:t>配合采购人进行功能演示</w:t>
            </w:r>
            <w:r>
              <w:rPr>
                <w:rFonts w:ascii="宋体" w:hAnsi="宋体" w:eastAsia="宋体" w:cs="宋体"/>
                <w:kern w:val="2"/>
                <w:sz w:val="24"/>
                <w:szCs w:val="24"/>
              </w:rPr>
              <w:t>，演示结果作为验收参考</w:t>
            </w:r>
            <w:r>
              <w:rPr>
                <w:rFonts w:hint="eastAsia" w:ascii="宋体" w:hAnsi="宋体" w:eastAsia="宋体" w:cs="宋体"/>
                <w:b w:val="0"/>
                <w:bCs w:val="0"/>
                <w:color w:val="auto"/>
                <w:kern w:val="2"/>
                <w:sz w:val="24"/>
                <w:szCs w:val="24"/>
                <w:highlight w:val="none"/>
              </w:rPr>
              <w:t>）</w:t>
            </w:r>
          </w:p>
        </w:tc>
      </w:tr>
      <w:tr w14:paraId="1E38F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0D6FB488">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42E7D64C">
            <w:pPr>
              <w:keepNext w:val="0"/>
              <w:keepLines w:val="0"/>
              <w:widowControl/>
              <w:suppressLineNumbers w:val="0"/>
              <w:spacing w:beforeAutospacing="1" w:afterAutospacing="1"/>
              <w:jc w:val="both"/>
              <w:rPr>
                <w:rFonts w:hint="eastAsia" w:ascii="宋体" w:hAnsi="宋体" w:eastAsia="宋体" w:cs="宋体"/>
                <w:kern w:val="1"/>
                <w:sz w:val="24"/>
                <w:szCs w:val="24"/>
                <w:lang w:val="en-US" w:eastAsia="zh-CN" w:bidi="ar-SA"/>
              </w:rPr>
            </w:pPr>
            <w:r>
              <w:rPr>
                <w:rFonts w:hint="eastAsia" w:ascii="宋体" w:hAnsi="宋体" w:eastAsia="宋体" w:cs="宋体"/>
                <w:kern w:val="1"/>
                <w:sz w:val="24"/>
                <w:szCs w:val="24"/>
                <w:lang w:val="en-US" w:eastAsia="zh-CN" w:bidi="ar-SA"/>
              </w:rPr>
              <w:t>软件及通讯</w:t>
            </w:r>
          </w:p>
          <w:p w14:paraId="192BD846">
            <w:pPr>
              <w:keepNext w:val="0"/>
              <w:keepLines w:val="0"/>
              <w:widowControl/>
              <w:suppressLineNumbers w:val="0"/>
              <w:spacing w:beforeAutospacing="1" w:afterAutospacing="1"/>
              <w:jc w:val="both"/>
              <w:rPr>
                <w:rFonts w:ascii="Calibri" w:hAnsi="Calibri" w:eastAsia="宋体" w:cs="Times New Roman"/>
                <w:kern w:val="0"/>
                <w:sz w:val="24"/>
                <w:szCs w:val="24"/>
                <w:lang w:val="en-US" w:eastAsia="zh-CN" w:bidi="ar"/>
              </w:rPr>
            </w:pPr>
          </w:p>
        </w:tc>
        <w:tc>
          <w:tcPr>
            <w:tcW w:w="6203" w:type="dxa"/>
            <w:shd w:val="clear" w:color="auto" w:fill="auto"/>
            <w:tcMar>
              <w:top w:w="150" w:type="dxa"/>
              <w:left w:w="0" w:type="dxa"/>
              <w:bottom w:w="150" w:type="dxa"/>
              <w:right w:w="300" w:type="dxa"/>
            </w:tcMar>
            <w:vAlign w:val="top"/>
          </w:tcPr>
          <w:p w14:paraId="7F42DDBE">
            <w:pPr>
              <w:widowControl/>
              <w:numPr>
                <w:ilvl w:val="0"/>
                <w:numId w:val="0"/>
              </w:numPr>
              <w:spacing w:line="360" w:lineRule="auto"/>
              <w:jc w:val="left"/>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rPr>
              <w:t>（1）工作站自动控制系统对全部功能操作进行控制，软件运行于Windows操作系统。整机支持LAN、WIFI通讯连接，支持实验室LIMS系统数据上传对接。数据自动存储、溯源查阅、支持PDF/Word/Excel等格式报表输出与报表打印，支持报告个性化定制，软件版本在线升级。</w:t>
            </w:r>
          </w:p>
          <w:p w14:paraId="10C064F4">
            <w:pPr>
              <w:widowControl/>
              <w:numPr>
                <w:ilvl w:val="0"/>
                <w:numId w:val="0"/>
              </w:numPr>
              <w:spacing w:line="360" w:lineRule="auto"/>
              <w:jc w:val="left"/>
              <w:rPr>
                <w:rFonts w:ascii="Calibri" w:hAnsi="Calibri" w:eastAsia="宋体" w:cs="Times New Roman"/>
                <w:kern w:val="0"/>
                <w:sz w:val="24"/>
                <w:szCs w:val="24"/>
                <w:lang w:val="en-US" w:eastAsia="zh-CN" w:bidi="ar"/>
              </w:rPr>
            </w:pPr>
            <w:r>
              <w:rPr>
                <w:rFonts w:hint="eastAsia" w:ascii="宋体" w:hAnsi="宋体" w:eastAsia="宋体" w:cs="宋体"/>
                <w:b w:val="0"/>
                <w:bCs w:val="0"/>
                <w:color w:val="auto"/>
                <w:kern w:val="2"/>
                <w:sz w:val="24"/>
                <w:szCs w:val="24"/>
                <w:highlight w:val="none"/>
                <w:lang w:val="en-US" w:eastAsia="zh-CN"/>
              </w:rPr>
              <w:t>▲（2）具有实验区及滴定视频监控功能，实现人机分离时实时在工作站软件上查看仪器运行画面，并具备保存溯源功能。（</w:t>
            </w:r>
            <w:r>
              <w:rPr>
                <w:rFonts w:hint="eastAsia" w:ascii="宋体" w:hAnsi="宋体" w:eastAsia="宋体" w:cs="宋体"/>
                <w:b w:val="0"/>
                <w:bCs w:val="0"/>
                <w:color w:val="auto"/>
                <w:kern w:val="2"/>
                <w:sz w:val="24"/>
                <w:szCs w:val="24"/>
                <w:highlight w:val="none"/>
              </w:rPr>
              <w:t>投标时须在响应表中说明上述功能。中标后，</w:t>
            </w:r>
            <w:r>
              <w:rPr>
                <w:rFonts w:hint="eastAsia" w:ascii="宋体" w:hAnsi="宋体" w:eastAsia="宋体" w:cs="宋体"/>
                <w:b w:val="0"/>
                <w:bCs w:val="0"/>
                <w:color w:val="auto"/>
                <w:kern w:val="2"/>
                <w:sz w:val="24"/>
                <w:szCs w:val="24"/>
                <w:highlight w:val="none"/>
                <w:lang w:eastAsia="zh-CN"/>
              </w:rPr>
              <w:t>中标供应商</w:t>
            </w:r>
            <w:r>
              <w:rPr>
                <w:rFonts w:hint="eastAsia" w:ascii="宋体" w:hAnsi="宋体" w:eastAsia="宋体" w:cs="宋体"/>
                <w:b w:val="0"/>
                <w:bCs w:val="0"/>
                <w:color w:val="auto"/>
                <w:kern w:val="2"/>
                <w:sz w:val="24"/>
                <w:szCs w:val="24"/>
                <w:highlight w:val="none"/>
              </w:rPr>
              <w:t>应在安装调试完成后</w:t>
            </w:r>
            <w:r>
              <w:rPr>
                <w:rFonts w:hint="eastAsia" w:ascii="宋体" w:hAnsi="宋体" w:eastAsia="宋体" w:cs="宋体"/>
                <w:b/>
                <w:bCs/>
                <w:color w:val="auto"/>
                <w:kern w:val="2"/>
                <w:sz w:val="24"/>
                <w:szCs w:val="24"/>
                <w:highlight w:val="none"/>
              </w:rPr>
              <w:t>配合采购人进行功能演示</w:t>
            </w:r>
            <w:r>
              <w:rPr>
                <w:rFonts w:hint="eastAsia" w:ascii="宋体" w:hAnsi="宋体" w:eastAsia="宋体" w:cs="宋体"/>
                <w:b w:val="0"/>
                <w:bCs w:val="0"/>
                <w:color w:val="auto"/>
                <w:kern w:val="2"/>
                <w:sz w:val="24"/>
                <w:szCs w:val="24"/>
                <w:highlight w:val="none"/>
              </w:rPr>
              <w:t>，演示结果作为验收参考</w:t>
            </w:r>
            <w:r>
              <w:rPr>
                <w:rFonts w:hint="eastAsia" w:ascii="宋体" w:hAnsi="宋体" w:eastAsia="宋体" w:cs="宋体"/>
                <w:b w:val="0"/>
                <w:bCs w:val="0"/>
                <w:color w:val="auto"/>
                <w:kern w:val="2"/>
                <w:sz w:val="24"/>
                <w:szCs w:val="24"/>
                <w:highlight w:val="none"/>
                <w:lang w:val="en-US" w:eastAsia="zh-CN"/>
              </w:rPr>
              <w:t>）</w:t>
            </w:r>
          </w:p>
        </w:tc>
      </w:tr>
      <w:tr w14:paraId="4E8FE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3BB24294">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2680A50B">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hint="eastAsia" w:ascii="宋体" w:hAnsi="宋体" w:eastAsia="宋体" w:cs="宋体"/>
                <w:kern w:val="1"/>
                <w:sz w:val="24"/>
                <w:szCs w:val="24"/>
                <w:vertAlign w:val="baseline"/>
                <w:lang w:val="en-US" w:eastAsia="zh-CN" w:bidi="ar-SA"/>
              </w:rPr>
              <w:t>配套及质保</w:t>
            </w:r>
          </w:p>
        </w:tc>
        <w:tc>
          <w:tcPr>
            <w:tcW w:w="6203" w:type="dxa"/>
            <w:shd w:val="clear" w:color="auto" w:fill="auto"/>
            <w:tcMar>
              <w:top w:w="150" w:type="dxa"/>
              <w:left w:w="0" w:type="dxa"/>
              <w:bottom w:w="150" w:type="dxa"/>
              <w:right w:w="300" w:type="dxa"/>
            </w:tcMar>
            <w:vAlign w:val="top"/>
          </w:tcPr>
          <w:p w14:paraId="43CEADD3">
            <w:pPr>
              <w:keepNext w:val="0"/>
              <w:keepLines w:val="0"/>
              <w:widowControl/>
              <w:suppressLineNumbers w:val="0"/>
              <w:spacing w:beforeAutospacing="1" w:afterAutospacing="1"/>
              <w:jc w:val="both"/>
              <w:rPr>
                <w:rFonts w:ascii="Calibri" w:hAnsi="Calibri" w:eastAsia="宋体" w:cs="Times New Roman"/>
                <w:kern w:val="0"/>
                <w:sz w:val="24"/>
                <w:szCs w:val="24"/>
                <w:lang w:val="en-US" w:eastAsia="zh-CN" w:bidi="ar"/>
              </w:rPr>
            </w:pPr>
            <w:r>
              <w:rPr>
                <w:rFonts w:hint="eastAsia" w:ascii="宋体" w:hAnsi="宋体" w:eastAsia="宋体" w:cs="宋体"/>
                <w:kern w:val="1"/>
                <w:sz w:val="24"/>
                <w:szCs w:val="24"/>
                <w:vertAlign w:val="baseline"/>
                <w:lang w:val="en-US" w:eastAsia="zh-CN" w:bidi="ar-SA"/>
              </w:rPr>
              <w:t>配套工作站、说明书、</w:t>
            </w:r>
            <w:r>
              <w:rPr>
                <w:rFonts w:hint="eastAsia" w:ascii="宋体" w:hAnsi="宋体" w:eastAsia="宋体" w:cs="宋体"/>
                <w:b w:val="0"/>
                <w:bCs w:val="0"/>
                <w:color w:val="auto"/>
                <w:kern w:val="2"/>
                <w:sz w:val="24"/>
                <w:szCs w:val="24"/>
                <w:highlight w:val="none"/>
                <w:lang w:bidi="ar"/>
              </w:rPr>
              <w:t>备件包</w:t>
            </w:r>
            <w:r>
              <w:rPr>
                <w:rFonts w:hint="eastAsia" w:ascii="宋体" w:hAnsi="宋体" w:eastAsia="宋体" w:cs="宋体"/>
                <w:kern w:val="1"/>
                <w:sz w:val="24"/>
                <w:szCs w:val="24"/>
                <w:vertAlign w:val="baseline"/>
                <w:lang w:val="en-US" w:eastAsia="zh-CN" w:bidi="ar-SA"/>
              </w:rPr>
              <w:t>、磁力</w:t>
            </w:r>
            <w:r>
              <w:rPr>
                <w:rFonts w:hint="eastAsia" w:ascii="宋体" w:hAnsi="宋体" w:eastAsia="宋体" w:cs="宋体"/>
                <w:b w:val="0"/>
                <w:bCs w:val="0"/>
                <w:color w:val="auto"/>
                <w:kern w:val="2"/>
                <w:sz w:val="24"/>
                <w:szCs w:val="24"/>
                <w:highlight w:val="none"/>
                <w:lang w:bidi="ar"/>
              </w:rPr>
              <w:t>搅拌子</w:t>
            </w:r>
            <w:r>
              <w:rPr>
                <w:rFonts w:hint="eastAsia" w:ascii="宋体" w:hAnsi="宋体" w:eastAsia="宋体" w:cs="宋体"/>
                <w:kern w:val="1"/>
                <w:sz w:val="24"/>
                <w:szCs w:val="24"/>
                <w:vertAlign w:val="baseline"/>
                <w:lang w:val="en-US" w:eastAsia="zh-CN" w:bidi="ar-SA"/>
              </w:rPr>
              <w:t>、配套品牌电脑、装机试剂；</w:t>
            </w:r>
            <w:r>
              <w:rPr>
                <w:rFonts w:hint="eastAsia" w:ascii="宋体" w:hAnsi="宋体" w:eastAsia="宋体" w:cs="宋体"/>
                <w:kern w:val="1"/>
                <w:sz w:val="24"/>
                <w:szCs w:val="24"/>
                <w:lang w:val="en-US" w:eastAsia="zh-CN" w:bidi="ar-SA"/>
              </w:rPr>
              <w:t>整机免费质保≥3年，质保期内提供免费上门维修及软件升级服务</w:t>
            </w:r>
            <w:r>
              <w:rPr>
                <w:rFonts w:hint="eastAsia" w:ascii="宋体" w:hAnsi="宋体" w:eastAsia="宋体" w:cs="宋体"/>
                <w:kern w:val="1"/>
                <w:sz w:val="24"/>
                <w:szCs w:val="24"/>
                <w:vertAlign w:val="baseline"/>
                <w:lang w:val="en-US" w:eastAsia="zh-CN" w:bidi="ar-SA"/>
              </w:rPr>
              <w:t>。</w:t>
            </w:r>
          </w:p>
        </w:tc>
      </w:tr>
      <w:tr w14:paraId="03BC3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1453" w:type="dxa"/>
            <w:vMerge w:val="restart"/>
            <w:shd w:val="clear" w:color="auto" w:fill="auto"/>
            <w:tcMar>
              <w:top w:w="150" w:type="dxa"/>
              <w:left w:w="0" w:type="dxa"/>
              <w:bottom w:w="150" w:type="dxa"/>
              <w:right w:w="300" w:type="dxa"/>
            </w:tcMar>
            <w:vAlign w:val="top"/>
          </w:tcPr>
          <w:p w14:paraId="4514DC9E">
            <w:pPr>
              <w:keepNext w:val="0"/>
              <w:keepLines w:val="0"/>
              <w:widowControl/>
              <w:suppressLineNumbers w:val="0"/>
              <w:spacing w:before="0" w:beforeAutospacing="1" w:after="0" w:afterAutospacing="1"/>
              <w:ind w:left="0" w:right="0"/>
              <w:jc w:val="center"/>
              <w:rPr>
                <w:rFonts w:ascii="Calibri" w:hAnsi="Calibri" w:eastAsia="宋体" w:cs="Times New Roman"/>
                <w:kern w:val="0"/>
                <w:sz w:val="24"/>
                <w:szCs w:val="24"/>
                <w:lang w:val="en-US" w:eastAsia="zh-CN" w:bidi="ar"/>
              </w:rPr>
            </w:pPr>
            <w:r>
              <w:rPr>
                <w:rFonts w:ascii="Calibri" w:hAnsi="Calibri" w:eastAsia="宋体" w:cs="Times New Roman"/>
                <w:b/>
                <w:kern w:val="2"/>
                <w:sz w:val="21"/>
                <w:szCs w:val="24"/>
                <w:vertAlign w:val="baseline"/>
                <w:lang w:val="en-US" w:eastAsia="zh-CN" w:bidi="ar-SA"/>
              </w:rPr>
              <w:t>紫外可见分光光度计(1台)</w:t>
            </w:r>
            <w:r>
              <w:rPr>
                <w:rFonts w:ascii="Calibri" w:hAnsi="Calibri" w:eastAsia="宋体" w:cs="Times New Roman"/>
                <w:kern w:val="0"/>
                <w:sz w:val="24"/>
                <w:szCs w:val="24"/>
                <w:vertAlign w:val="baseline"/>
                <w:lang w:val="en-US" w:eastAsia="zh-CN" w:bidi="ar"/>
              </w:rPr>
              <w:t>​</w:t>
            </w:r>
          </w:p>
        </w:tc>
        <w:tc>
          <w:tcPr>
            <w:tcW w:w="1583" w:type="dxa"/>
            <w:shd w:val="clear" w:color="auto" w:fill="auto"/>
            <w:tcMar>
              <w:top w:w="150" w:type="dxa"/>
              <w:left w:w="0" w:type="dxa"/>
              <w:bottom w:w="150" w:type="dxa"/>
              <w:right w:w="300" w:type="dxa"/>
            </w:tcMar>
            <w:vAlign w:val="top"/>
          </w:tcPr>
          <w:p w14:paraId="4CEE838F">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整机结构</w:t>
            </w:r>
          </w:p>
        </w:tc>
        <w:tc>
          <w:tcPr>
            <w:tcW w:w="6203" w:type="dxa"/>
            <w:shd w:val="clear" w:color="auto" w:fill="auto"/>
            <w:tcMar>
              <w:top w:w="150" w:type="dxa"/>
              <w:left w:w="0" w:type="dxa"/>
              <w:bottom w:w="150" w:type="dxa"/>
              <w:right w:w="300" w:type="dxa"/>
            </w:tcMar>
            <w:vAlign w:val="top"/>
          </w:tcPr>
          <w:p w14:paraId="1144E1AF">
            <w:pPr>
              <w:keepNext w:val="0"/>
              <w:keepLines w:val="0"/>
              <w:widowControl/>
              <w:suppressLineNumbers w:val="0"/>
              <w:spacing w:beforeAutospacing="1" w:afterAutospacing="1"/>
              <w:jc w:val="left"/>
              <w:rPr>
                <w:rFonts w:ascii="宋体" w:hAnsi="宋体" w:eastAsia="宋体" w:cs="宋体"/>
                <w:kern w:val="1"/>
                <w:sz w:val="24"/>
                <w:szCs w:val="24"/>
                <w:vertAlign w:val="baseline"/>
                <w:lang w:val="en-US" w:eastAsia="zh-CN" w:bidi="ar-SA"/>
              </w:rPr>
            </w:pPr>
            <w:r>
              <w:rPr>
                <w:rFonts w:ascii="宋体" w:hAnsi="宋体" w:eastAsia="宋体" w:cs="宋体"/>
                <w:kern w:val="1"/>
                <w:sz w:val="24"/>
                <w:szCs w:val="24"/>
                <w:vertAlign w:val="baseline"/>
                <w:lang w:val="en-US" w:eastAsia="zh-CN" w:bidi="ar-SA"/>
              </w:rPr>
              <w:t>双光束比例监测光路，单色器焦距≥160mm，全息光栅≥1200线/mm；光谱带宽1.8~2.0nm；配备≥8英寸彩色触控屏；自动0%/100%基线校准，标配8联池自动样品架。</w:t>
            </w:r>
          </w:p>
        </w:tc>
      </w:tr>
      <w:tr w14:paraId="0F72F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454D5186">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7133A37F">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光谱参数</w:t>
            </w:r>
          </w:p>
        </w:tc>
        <w:tc>
          <w:tcPr>
            <w:tcW w:w="6203" w:type="dxa"/>
            <w:shd w:val="clear" w:color="auto" w:fill="auto"/>
            <w:tcMar>
              <w:top w:w="150" w:type="dxa"/>
              <w:left w:w="0" w:type="dxa"/>
              <w:bottom w:w="150" w:type="dxa"/>
              <w:right w:w="300" w:type="dxa"/>
            </w:tcMar>
            <w:vAlign w:val="top"/>
          </w:tcPr>
          <w:p w14:paraId="55233192">
            <w:pPr>
              <w:keepNext w:val="0"/>
              <w:keepLines w:val="0"/>
              <w:widowControl/>
              <w:suppressLineNumbers w:val="0"/>
              <w:spacing w:beforeAutospacing="1" w:afterAutospacing="1"/>
              <w:jc w:val="left"/>
              <w:rPr>
                <w:rFonts w:ascii="宋体" w:hAnsi="宋体" w:eastAsia="宋体" w:cs="宋体"/>
                <w:kern w:val="1"/>
                <w:sz w:val="24"/>
                <w:szCs w:val="24"/>
                <w:vertAlign w:val="baseline"/>
                <w:lang w:val="en-US" w:eastAsia="zh-CN" w:bidi="ar-SA"/>
              </w:rPr>
            </w:pPr>
            <w:r>
              <w:rPr>
                <w:rFonts w:ascii="宋体" w:hAnsi="宋体" w:eastAsia="宋体" w:cs="宋体"/>
                <w:kern w:val="1"/>
                <w:sz w:val="24"/>
                <w:szCs w:val="24"/>
                <w:vertAlign w:val="baseline"/>
                <w:lang w:val="en-US" w:eastAsia="zh-CN" w:bidi="ar-SA"/>
              </w:rPr>
              <w:t>波长范围190~1100nm；波长准确度±0.5nm，波长重复性≤0.2nm；220nm处杂散光≤0.05%T。</w:t>
            </w:r>
          </w:p>
        </w:tc>
      </w:tr>
      <w:tr w14:paraId="7DCC1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3DA91A7B">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2D02F6F2">
            <w:pPr>
              <w:keepNext w:val="0"/>
              <w:keepLines w:val="0"/>
              <w:widowControl/>
              <w:suppressLineNumbers w:val="0"/>
              <w:spacing w:beforeAutospacing="1" w:afterAutospacing="1"/>
              <w:jc w:val="center"/>
              <w:rPr>
                <w:rFonts w:ascii="Calibri" w:hAnsi="Calibri" w:eastAsia="宋体" w:cs="Times New Roman"/>
                <w:kern w:val="0"/>
                <w:sz w:val="24"/>
                <w:szCs w:val="24"/>
                <w:lang w:val="en-US" w:eastAsia="zh-CN" w:bidi="ar"/>
              </w:rPr>
            </w:pPr>
            <w:r>
              <w:rPr>
                <w:rFonts w:ascii="宋体" w:hAnsi="宋体" w:eastAsia="宋体" w:cs="宋体"/>
                <w:kern w:val="1"/>
                <w:sz w:val="24"/>
                <w:szCs w:val="24"/>
                <w:vertAlign w:val="baseline"/>
                <w:lang w:val="en-US" w:eastAsia="zh-CN" w:bidi="ar-SA"/>
              </w:rPr>
              <w:t>光度性能</w:t>
            </w:r>
          </w:p>
        </w:tc>
        <w:tc>
          <w:tcPr>
            <w:tcW w:w="6203" w:type="dxa"/>
            <w:shd w:val="clear" w:color="auto" w:fill="auto"/>
            <w:tcMar>
              <w:top w:w="150" w:type="dxa"/>
              <w:left w:w="0" w:type="dxa"/>
              <w:bottom w:w="150" w:type="dxa"/>
              <w:right w:w="300" w:type="dxa"/>
            </w:tcMar>
            <w:vAlign w:val="top"/>
          </w:tcPr>
          <w:p w14:paraId="00F43DD0">
            <w:pPr>
              <w:keepNext w:val="0"/>
              <w:keepLines w:val="0"/>
              <w:widowControl/>
              <w:suppressLineNumbers w:val="0"/>
              <w:spacing w:beforeAutospacing="1" w:afterAutospacing="1"/>
              <w:jc w:val="left"/>
              <w:rPr>
                <w:rFonts w:ascii="宋体" w:hAnsi="宋体" w:eastAsia="宋体" w:cs="宋体"/>
                <w:kern w:val="1"/>
                <w:sz w:val="24"/>
                <w:szCs w:val="24"/>
                <w:vertAlign w:val="baseline"/>
                <w:lang w:val="en-US" w:eastAsia="zh-CN" w:bidi="ar-SA"/>
              </w:rPr>
            </w:pPr>
            <w:r>
              <w:rPr>
                <w:rFonts w:ascii="宋体" w:hAnsi="宋体" w:eastAsia="宋体" w:cs="宋体"/>
                <w:kern w:val="1"/>
                <w:sz w:val="24"/>
                <w:szCs w:val="24"/>
                <w:vertAlign w:val="baseline"/>
                <w:lang w:val="en-US" w:eastAsia="zh-CN" w:bidi="ar-SA"/>
              </w:rPr>
              <w:t>透光率0.0~200.0%T、吸光度-0.301~4.000A；光度准确度±0.3%T，光度重复性≤0.15%T；基线漂移≤0.0009Abs/0.5h；基线平直度±0.0015A（200~1100nm）。</w:t>
            </w:r>
          </w:p>
        </w:tc>
      </w:tr>
      <w:tr w14:paraId="1ED90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45F1E27D">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5D56228F">
            <w:pPr>
              <w:keepNext w:val="0"/>
              <w:keepLines w:val="0"/>
              <w:widowControl/>
              <w:suppressLineNumbers w:val="0"/>
              <w:spacing w:before="0" w:beforeAutospacing="1" w:after="0" w:afterAutospacing="1"/>
              <w:ind w:left="0" w:right="0"/>
              <w:jc w:val="center"/>
              <w:rPr>
                <w:rFonts w:ascii="Calibri" w:hAnsi="Calibri" w:eastAsia="宋体" w:cs="Times New Roman"/>
                <w:kern w:val="0"/>
                <w:sz w:val="24"/>
                <w:szCs w:val="24"/>
                <w:lang w:val="en-US" w:eastAsia="zh-CN" w:bidi="ar"/>
              </w:rPr>
            </w:pPr>
            <w:r>
              <w:rPr>
                <w:rFonts w:ascii="Calibri" w:hAnsi="Calibri" w:eastAsia="宋体" w:cs="Times New Roman"/>
                <w:kern w:val="0"/>
                <w:sz w:val="24"/>
                <w:szCs w:val="24"/>
                <w:vertAlign w:val="baseline"/>
                <w:lang w:val="en-US" w:eastAsia="zh-CN" w:bidi="ar"/>
              </w:rPr>
              <w:t>光源供电</w:t>
            </w:r>
          </w:p>
        </w:tc>
        <w:tc>
          <w:tcPr>
            <w:tcW w:w="6203" w:type="dxa"/>
            <w:shd w:val="clear" w:color="auto" w:fill="auto"/>
            <w:tcMar>
              <w:top w:w="150" w:type="dxa"/>
              <w:left w:w="0" w:type="dxa"/>
              <w:bottom w:w="150" w:type="dxa"/>
              <w:right w:w="300" w:type="dxa"/>
            </w:tcMar>
            <w:vAlign w:val="top"/>
          </w:tcPr>
          <w:p w14:paraId="6CDF3BF0">
            <w:pPr>
              <w:keepNext w:val="0"/>
              <w:keepLines w:val="0"/>
              <w:widowControl/>
              <w:suppressLineNumbers w:val="0"/>
              <w:spacing w:before="0" w:beforeAutospacing="1" w:after="0" w:afterAutospacing="1"/>
              <w:ind w:left="0" w:right="0"/>
              <w:jc w:val="left"/>
              <w:rPr>
                <w:rFonts w:ascii="Calibri" w:hAnsi="Calibri" w:eastAsia="宋体" w:cs="Times New Roman"/>
                <w:kern w:val="0"/>
                <w:sz w:val="24"/>
                <w:szCs w:val="24"/>
                <w:lang w:val="en-US" w:eastAsia="zh-CN" w:bidi="ar"/>
              </w:rPr>
            </w:pPr>
            <w:r>
              <w:rPr>
                <w:rFonts w:ascii="Calibri" w:hAnsi="Calibri" w:eastAsia="宋体" w:cs="Times New Roman"/>
                <w:kern w:val="0"/>
                <w:sz w:val="24"/>
                <w:szCs w:val="24"/>
                <w:vertAlign w:val="baseline"/>
                <w:lang w:val="en-US" w:eastAsia="zh-CN" w:bidi="ar"/>
              </w:rPr>
              <w:t>长寿命氘灯+钨灯，氘灯拆装无需光路校准；AC220V±22V，额定功率≤200W。</w:t>
            </w:r>
          </w:p>
        </w:tc>
      </w:tr>
      <w:tr w14:paraId="21501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1453" w:type="dxa"/>
            <w:vMerge w:val="restart"/>
            <w:shd w:val="clear" w:color="auto" w:fill="auto"/>
            <w:tcMar>
              <w:top w:w="150" w:type="dxa"/>
              <w:left w:w="0" w:type="dxa"/>
              <w:bottom w:w="150" w:type="dxa"/>
              <w:right w:w="300" w:type="dxa"/>
            </w:tcMar>
            <w:vAlign w:val="top"/>
          </w:tcPr>
          <w:p w14:paraId="15119861">
            <w:pPr>
              <w:keepNext w:val="0"/>
              <w:keepLines w:val="0"/>
              <w:widowControl/>
              <w:suppressLineNumbers w:val="0"/>
              <w:spacing w:before="0" w:beforeAutospacing="1" w:after="0" w:afterAutospacing="1"/>
              <w:ind w:left="0" w:right="0"/>
              <w:jc w:val="center"/>
              <w:rPr>
                <w:rFonts w:ascii="Calibri" w:hAnsi="Calibri" w:eastAsia="宋体" w:cs="Times New Roman"/>
                <w:kern w:val="0"/>
                <w:sz w:val="24"/>
                <w:szCs w:val="24"/>
                <w:lang w:val="en-US" w:eastAsia="zh-CN" w:bidi="ar"/>
              </w:rPr>
            </w:pPr>
            <w:r>
              <w:rPr>
                <w:rFonts w:ascii="Calibri" w:hAnsi="Calibri" w:eastAsia="宋体" w:cs="Times New Roman"/>
                <w:b/>
                <w:kern w:val="2"/>
                <w:sz w:val="21"/>
                <w:szCs w:val="24"/>
                <w:vertAlign w:val="baseline"/>
                <w:lang w:val="en-US" w:eastAsia="zh-CN" w:bidi="ar-SA"/>
              </w:rPr>
              <w:t>高速离心机(1台)</w:t>
            </w:r>
            <w:r>
              <w:rPr>
                <w:rFonts w:ascii="Calibri" w:hAnsi="Calibri" w:eastAsia="宋体" w:cs="Times New Roman"/>
                <w:kern w:val="0"/>
                <w:sz w:val="24"/>
                <w:szCs w:val="24"/>
                <w:vertAlign w:val="baseline"/>
                <w:lang w:val="en-US" w:eastAsia="zh-CN" w:bidi="ar"/>
              </w:rPr>
              <w:t>​</w:t>
            </w:r>
          </w:p>
        </w:tc>
        <w:tc>
          <w:tcPr>
            <w:tcW w:w="1583" w:type="dxa"/>
            <w:shd w:val="clear" w:color="auto" w:fill="auto"/>
            <w:tcMar>
              <w:top w:w="150" w:type="dxa"/>
              <w:left w:w="0" w:type="dxa"/>
              <w:bottom w:w="150" w:type="dxa"/>
              <w:right w:w="300" w:type="dxa"/>
            </w:tcMar>
            <w:vAlign w:val="top"/>
          </w:tcPr>
          <w:p w14:paraId="25E08896">
            <w:pPr>
              <w:keepNext w:val="0"/>
              <w:keepLines w:val="0"/>
              <w:widowControl/>
              <w:suppressLineNumbers w:val="0"/>
              <w:spacing w:before="0" w:beforeAutospacing="1" w:after="0" w:afterAutospacing="1"/>
              <w:ind w:left="0" w:right="0"/>
              <w:jc w:val="center"/>
              <w:rPr>
                <w:rFonts w:ascii="Calibri" w:hAnsi="Calibri" w:eastAsia="宋体" w:cs="Times New Roman"/>
                <w:kern w:val="0"/>
                <w:sz w:val="24"/>
                <w:szCs w:val="24"/>
                <w:lang w:val="en-US" w:eastAsia="zh-CN" w:bidi="ar"/>
              </w:rPr>
            </w:pPr>
            <w:r>
              <w:rPr>
                <w:rFonts w:ascii="Calibri" w:hAnsi="Calibri" w:eastAsia="宋体" w:cs="Times New Roman"/>
                <w:kern w:val="0"/>
                <w:sz w:val="24"/>
                <w:szCs w:val="24"/>
                <w:vertAlign w:val="baseline"/>
                <w:lang w:val="en-US" w:eastAsia="zh-CN" w:bidi="ar"/>
              </w:rPr>
              <w:t>整机系统</w:t>
            </w:r>
          </w:p>
        </w:tc>
        <w:tc>
          <w:tcPr>
            <w:tcW w:w="6203" w:type="dxa"/>
            <w:shd w:val="clear" w:color="auto" w:fill="auto"/>
            <w:tcMar>
              <w:top w:w="150" w:type="dxa"/>
              <w:left w:w="0" w:type="dxa"/>
              <w:bottom w:w="150" w:type="dxa"/>
              <w:right w:w="300" w:type="dxa"/>
            </w:tcMar>
            <w:vAlign w:val="top"/>
          </w:tcPr>
          <w:p w14:paraId="4A5FB124">
            <w:pPr>
              <w:keepNext w:val="0"/>
              <w:keepLines w:val="0"/>
              <w:widowControl/>
              <w:suppressLineNumbers w:val="0"/>
              <w:spacing w:before="0" w:beforeAutospacing="1" w:after="0" w:afterAutospacing="1"/>
              <w:ind w:left="0" w:right="0"/>
              <w:jc w:val="left"/>
              <w:rPr>
                <w:rFonts w:ascii="Calibri" w:hAnsi="Calibri" w:eastAsia="宋体" w:cs="Times New Roman"/>
                <w:kern w:val="0"/>
                <w:sz w:val="24"/>
                <w:szCs w:val="24"/>
                <w:lang w:val="en-US" w:eastAsia="zh-CN" w:bidi="ar"/>
              </w:rPr>
            </w:pPr>
            <w:r>
              <w:rPr>
                <w:rFonts w:ascii="Calibri" w:hAnsi="Calibri" w:eastAsia="宋体" w:cs="Times New Roman"/>
                <w:kern w:val="0"/>
                <w:sz w:val="24"/>
                <w:szCs w:val="24"/>
                <w:vertAlign w:val="baseline"/>
                <w:lang w:val="en-US" w:eastAsia="zh-CN" w:bidi="ar"/>
              </w:rPr>
              <w:t>无刷直流变频免维护电机；配备≥7英寸彩色触控屏，支持数据导出及程序升级；全钢防腐机壳、304不锈钢一体离心腔，电子门锁，支持停电手动开门。</w:t>
            </w:r>
          </w:p>
        </w:tc>
      </w:tr>
      <w:tr w14:paraId="10FE6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68F2EAD8">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3F4EB4A1">
            <w:pPr>
              <w:keepNext w:val="0"/>
              <w:keepLines w:val="0"/>
              <w:widowControl/>
              <w:suppressLineNumbers w:val="0"/>
              <w:spacing w:before="0" w:beforeAutospacing="1" w:after="0" w:afterAutospacing="1"/>
              <w:ind w:left="0" w:right="0"/>
              <w:jc w:val="center"/>
              <w:rPr>
                <w:rFonts w:ascii="Calibri" w:hAnsi="Calibri" w:eastAsia="宋体" w:cs="Times New Roman"/>
                <w:kern w:val="0"/>
                <w:sz w:val="24"/>
                <w:szCs w:val="24"/>
                <w:lang w:val="en-US" w:eastAsia="zh-CN" w:bidi="ar"/>
              </w:rPr>
            </w:pPr>
            <w:r>
              <w:rPr>
                <w:rFonts w:ascii="Calibri" w:hAnsi="Calibri" w:eastAsia="宋体" w:cs="Times New Roman"/>
                <w:kern w:val="0"/>
                <w:sz w:val="24"/>
                <w:szCs w:val="24"/>
                <w:vertAlign w:val="baseline"/>
                <w:lang w:val="en-US" w:eastAsia="zh-CN" w:bidi="ar"/>
              </w:rPr>
              <w:t>安全保护</w:t>
            </w:r>
          </w:p>
        </w:tc>
        <w:tc>
          <w:tcPr>
            <w:tcW w:w="6203" w:type="dxa"/>
            <w:shd w:val="clear" w:color="auto" w:fill="auto"/>
            <w:tcMar>
              <w:top w:w="150" w:type="dxa"/>
              <w:left w:w="0" w:type="dxa"/>
              <w:bottom w:w="150" w:type="dxa"/>
              <w:right w:w="300" w:type="dxa"/>
            </w:tcMar>
            <w:vAlign w:val="top"/>
          </w:tcPr>
          <w:p w14:paraId="06F8653F">
            <w:pPr>
              <w:keepNext w:val="0"/>
              <w:keepLines w:val="0"/>
              <w:widowControl/>
              <w:suppressLineNumbers w:val="0"/>
              <w:spacing w:before="0" w:beforeAutospacing="1" w:after="0" w:afterAutospacing="1"/>
              <w:ind w:left="0" w:right="0"/>
              <w:jc w:val="left"/>
              <w:rPr>
                <w:rFonts w:ascii="Calibri" w:hAnsi="Calibri" w:eastAsia="宋体" w:cs="Times New Roman"/>
                <w:kern w:val="0"/>
                <w:sz w:val="24"/>
                <w:szCs w:val="24"/>
                <w:lang w:val="en-US" w:eastAsia="zh-CN" w:bidi="ar"/>
              </w:rPr>
            </w:pPr>
            <w:r>
              <w:rPr>
                <w:rFonts w:ascii="Calibri" w:hAnsi="Calibri" w:eastAsia="宋体" w:cs="Times New Roman"/>
                <w:kern w:val="0"/>
                <w:sz w:val="24"/>
                <w:szCs w:val="24"/>
                <w:vertAlign w:val="baseline"/>
                <w:lang w:val="en-US" w:eastAsia="zh-CN" w:bidi="ar"/>
              </w:rPr>
              <w:t>具备超速、超温、不平衡、气溶胶溢出多重声光报警；三级减震，可存储≥99组程序，10档升降速。</w:t>
            </w:r>
          </w:p>
        </w:tc>
      </w:tr>
      <w:tr w14:paraId="051E1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1453" w:type="dxa"/>
            <w:vMerge w:val="continue"/>
            <w:shd w:val="clear" w:color="auto" w:fill="auto"/>
            <w:tcMar>
              <w:top w:w="150" w:type="dxa"/>
              <w:left w:w="0" w:type="dxa"/>
              <w:bottom w:w="150" w:type="dxa"/>
              <w:right w:w="300" w:type="dxa"/>
            </w:tcMar>
            <w:vAlign w:val="top"/>
          </w:tcPr>
          <w:p w14:paraId="304330BE">
            <w:pPr>
              <w:jc w:val="center"/>
              <w:rPr>
                <w:rFonts w:hint="eastAsia" w:ascii="宋体" w:hAnsi="Calibri" w:eastAsia="宋体" w:cs="Times New Roman"/>
                <w:kern w:val="2"/>
                <w:sz w:val="24"/>
                <w:szCs w:val="24"/>
                <w:vertAlign w:val="baseline"/>
              </w:rPr>
            </w:pPr>
          </w:p>
        </w:tc>
        <w:tc>
          <w:tcPr>
            <w:tcW w:w="1583" w:type="dxa"/>
            <w:shd w:val="clear" w:color="auto" w:fill="auto"/>
            <w:tcMar>
              <w:top w:w="150" w:type="dxa"/>
              <w:left w:w="0" w:type="dxa"/>
              <w:bottom w:w="150" w:type="dxa"/>
              <w:right w:w="300" w:type="dxa"/>
            </w:tcMar>
            <w:vAlign w:val="top"/>
          </w:tcPr>
          <w:p w14:paraId="19501729">
            <w:pPr>
              <w:keepNext w:val="0"/>
              <w:keepLines w:val="0"/>
              <w:widowControl/>
              <w:suppressLineNumbers w:val="0"/>
              <w:spacing w:before="0" w:beforeAutospacing="1" w:after="0" w:afterAutospacing="1"/>
              <w:ind w:left="0" w:right="0"/>
              <w:jc w:val="center"/>
              <w:rPr>
                <w:rFonts w:ascii="Calibri" w:hAnsi="Calibri" w:eastAsia="宋体" w:cs="Times New Roman"/>
                <w:kern w:val="0"/>
                <w:sz w:val="24"/>
                <w:szCs w:val="24"/>
                <w:lang w:val="en-US" w:eastAsia="zh-CN" w:bidi="ar"/>
              </w:rPr>
            </w:pPr>
            <w:r>
              <w:rPr>
                <w:rFonts w:ascii="Calibri" w:hAnsi="Calibri" w:eastAsia="宋体" w:cs="Times New Roman"/>
                <w:kern w:val="0"/>
                <w:sz w:val="24"/>
                <w:szCs w:val="24"/>
                <w:vertAlign w:val="baseline"/>
                <w:lang w:val="en-US" w:eastAsia="zh-CN" w:bidi="ar"/>
              </w:rPr>
              <w:t>运行参数</w:t>
            </w:r>
          </w:p>
        </w:tc>
        <w:tc>
          <w:tcPr>
            <w:tcW w:w="6203" w:type="dxa"/>
            <w:shd w:val="clear" w:color="auto" w:fill="auto"/>
            <w:tcMar>
              <w:top w:w="150" w:type="dxa"/>
              <w:left w:w="0" w:type="dxa"/>
              <w:bottom w:w="150" w:type="dxa"/>
              <w:right w:w="300" w:type="dxa"/>
            </w:tcMar>
            <w:vAlign w:val="top"/>
          </w:tcPr>
          <w:p w14:paraId="713C741A">
            <w:pPr>
              <w:keepNext w:val="0"/>
              <w:keepLines w:val="0"/>
              <w:widowControl/>
              <w:suppressLineNumbers w:val="0"/>
              <w:spacing w:before="0" w:beforeAutospacing="1" w:after="0" w:afterAutospacing="1"/>
              <w:ind w:left="0" w:right="0"/>
              <w:jc w:val="left"/>
              <w:rPr>
                <w:rFonts w:ascii="Calibri" w:hAnsi="Calibri" w:eastAsia="宋体" w:cs="Times New Roman"/>
                <w:kern w:val="0"/>
                <w:sz w:val="24"/>
                <w:szCs w:val="24"/>
                <w:lang w:val="en-US" w:eastAsia="zh-CN" w:bidi="ar"/>
              </w:rPr>
            </w:pPr>
            <w:r>
              <w:rPr>
                <w:rFonts w:ascii="Calibri" w:hAnsi="Calibri" w:eastAsia="宋体" w:cs="Times New Roman"/>
                <w:kern w:val="0"/>
                <w:sz w:val="24"/>
                <w:szCs w:val="24"/>
                <w:vertAlign w:val="baseline"/>
                <w:lang w:val="en-US" w:eastAsia="zh-CN" w:bidi="ar"/>
              </w:rPr>
              <w:t>标配6×50mL角转子，该转子额定转速≥12000r/min；整机最高转速≥16500r/min；整机噪音≤60dB(A)；最大容量≥4×100mL。</w:t>
            </w:r>
          </w:p>
        </w:tc>
      </w:tr>
      <w:tr w14:paraId="2F428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2" w:hRule="atLeast"/>
        </w:trPr>
        <w:tc>
          <w:tcPr>
            <w:tcW w:w="1453" w:type="dxa"/>
            <w:shd w:val="clear" w:color="auto" w:fill="auto"/>
            <w:tcMar>
              <w:top w:w="150" w:type="dxa"/>
              <w:left w:w="0" w:type="dxa"/>
              <w:bottom w:w="150" w:type="dxa"/>
              <w:right w:w="300" w:type="dxa"/>
            </w:tcMar>
            <w:vAlign w:val="top"/>
          </w:tcPr>
          <w:p w14:paraId="7EDAF37D">
            <w:pPr>
              <w:keepNext w:val="0"/>
              <w:keepLines w:val="0"/>
              <w:widowControl/>
              <w:suppressLineNumbers w:val="0"/>
              <w:spacing w:before="0" w:beforeAutospacing="1" w:after="0" w:afterAutospacing="1"/>
              <w:ind w:left="0" w:right="0"/>
              <w:jc w:val="center"/>
              <w:rPr>
                <w:rFonts w:ascii="Calibri" w:hAnsi="Calibri" w:eastAsia="宋体" w:cs="Times New Roman"/>
                <w:b/>
                <w:kern w:val="2"/>
                <w:sz w:val="21"/>
                <w:szCs w:val="24"/>
                <w:vertAlign w:val="baseline"/>
                <w:lang w:val="en-US" w:eastAsia="zh-CN" w:bidi="ar-SA"/>
              </w:rPr>
            </w:pPr>
            <w:r>
              <w:rPr>
                <w:rFonts w:ascii="Calibri" w:hAnsi="Calibri" w:eastAsia="宋体" w:cs="Times New Roman"/>
                <w:b/>
                <w:kern w:val="2"/>
                <w:sz w:val="21"/>
                <w:szCs w:val="24"/>
                <w:vertAlign w:val="baseline"/>
                <w:lang w:val="en-US" w:eastAsia="zh-CN" w:bidi="ar-SA"/>
              </w:rPr>
              <w:t>ICP-MS样品锥</w:t>
            </w:r>
          </w:p>
        </w:tc>
        <w:tc>
          <w:tcPr>
            <w:tcW w:w="1583" w:type="dxa"/>
            <w:shd w:val="clear" w:color="auto" w:fill="auto"/>
            <w:tcMar>
              <w:top w:w="150" w:type="dxa"/>
              <w:left w:w="0" w:type="dxa"/>
              <w:bottom w:w="150" w:type="dxa"/>
              <w:right w:w="300" w:type="dxa"/>
            </w:tcMar>
            <w:vAlign w:val="top"/>
          </w:tcPr>
          <w:p w14:paraId="3C5E407A">
            <w:pPr>
              <w:keepNext w:val="0"/>
              <w:keepLines w:val="0"/>
              <w:widowControl/>
              <w:suppressLineNumbers w:val="0"/>
              <w:spacing w:beforeAutospacing="1" w:afterAutospacing="1"/>
              <w:jc w:val="left"/>
              <w:rPr>
                <w:rFonts w:hint="eastAsia" w:ascii="宋体" w:hAnsi="宋体" w:eastAsia="宋体" w:cs="宋体"/>
                <w:kern w:val="1"/>
                <w:sz w:val="24"/>
                <w:szCs w:val="24"/>
                <w:lang w:val="en-US" w:eastAsia="zh-CN" w:bidi="ar-SA"/>
              </w:rPr>
            </w:pPr>
            <w:r>
              <w:rPr>
                <w:rFonts w:hint="eastAsia" w:ascii="宋体" w:hAnsi="宋体" w:eastAsia="宋体" w:cs="宋体"/>
                <w:kern w:val="1"/>
                <w:sz w:val="24"/>
                <w:szCs w:val="24"/>
                <w:lang w:val="en-US" w:eastAsia="zh-CN" w:bidi="ar-SA"/>
              </w:rPr>
              <w:t>技术参数</w:t>
            </w:r>
          </w:p>
        </w:tc>
        <w:tc>
          <w:tcPr>
            <w:tcW w:w="6203" w:type="dxa"/>
            <w:shd w:val="clear" w:color="auto" w:fill="auto"/>
            <w:tcMar>
              <w:top w:w="150" w:type="dxa"/>
              <w:left w:w="0" w:type="dxa"/>
              <w:bottom w:w="150" w:type="dxa"/>
              <w:right w:w="300" w:type="dxa"/>
            </w:tcMar>
            <w:vAlign w:val="top"/>
          </w:tcPr>
          <w:p w14:paraId="1D459B86">
            <w:pPr>
              <w:keepNext w:val="0"/>
              <w:keepLines w:val="0"/>
              <w:widowControl/>
              <w:suppressLineNumbers w:val="0"/>
              <w:spacing w:beforeAutospacing="1" w:afterAutospacing="1"/>
              <w:jc w:val="left"/>
              <w:rPr>
                <w:rFonts w:ascii="宋体" w:hAnsi="宋体" w:eastAsia="宋体" w:cs="宋体"/>
                <w:kern w:val="1"/>
                <w:sz w:val="24"/>
                <w:szCs w:val="24"/>
                <w:lang w:val="en-US" w:eastAsia="zh-CN" w:bidi="ar-SA"/>
              </w:rPr>
            </w:pPr>
            <w:r>
              <w:rPr>
                <w:rFonts w:ascii="宋体" w:hAnsi="宋体" w:eastAsia="宋体" w:cs="宋体"/>
                <w:kern w:val="1"/>
                <w:sz w:val="24"/>
                <w:szCs w:val="24"/>
                <w:lang w:val="en-US" w:eastAsia="zh-CN" w:bidi="ar-SA"/>
              </w:rPr>
              <w:t>1.基材：高纯金属镍，无镀层、无重金属杂质析出；2.中心锥孔内径≥1.0mm；3.通用外螺纹固定结构，密封平面平整，等离子工况下无漏气、变形；4.耐高温等离子腐蚀，长期检测无扩孔，可稳定完成饮用水痕量重金属测试。</w:t>
            </w:r>
          </w:p>
        </w:tc>
      </w:tr>
      <w:tr w14:paraId="6079F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1453" w:type="dxa"/>
            <w:shd w:val="clear" w:color="auto" w:fill="auto"/>
            <w:tcMar>
              <w:top w:w="150" w:type="dxa"/>
              <w:left w:w="0" w:type="dxa"/>
              <w:bottom w:w="150" w:type="dxa"/>
              <w:right w:w="300" w:type="dxa"/>
            </w:tcMar>
            <w:vAlign w:val="top"/>
          </w:tcPr>
          <w:p w14:paraId="2FD6EDFE">
            <w:pPr>
              <w:keepNext w:val="0"/>
              <w:keepLines w:val="0"/>
              <w:widowControl/>
              <w:suppressLineNumbers w:val="0"/>
              <w:spacing w:before="0" w:beforeAutospacing="1" w:after="0" w:afterAutospacing="1"/>
              <w:ind w:left="0" w:right="0"/>
              <w:jc w:val="center"/>
              <w:rPr>
                <w:rFonts w:ascii="Calibri" w:hAnsi="Calibri" w:eastAsia="宋体" w:cs="Times New Roman"/>
                <w:b/>
                <w:kern w:val="2"/>
                <w:sz w:val="21"/>
                <w:szCs w:val="24"/>
                <w:vertAlign w:val="baseline"/>
                <w:lang w:val="en-US" w:eastAsia="zh-CN" w:bidi="ar-SA"/>
              </w:rPr>
            </w:pPr>
            <w:r>
              <w:rPr>
                <w:rFonts w:ascii="Calibri" w:hAnsi="Calibri" w:eastAsia="宋体" w:cs="Times New Roman"/>
                <w:b/>
                <w:kern w:val="2"/>
                <w:sz w:val="21"/>
                <w:szCs w:val="24"/>
                <w:vertAlign w:val="baseline"/>
                <w:lang w:val="en-US" w:eastAsia="zh-CN" w:bidi="ar-SA"/>
              </w:rPr>
              <w:t>ICP-MS截取锥</w:t>
            </w:r>
          </w:p>
        </w:tc>
        <w:tc>
          <w:tcPr>
            <w:tcW w:w="1583" w:type="dxa"/>
            <w:shd w:val="clear" w:color="auto" w:fill="auto"/>
            <w:tcMar>
              <w:top w:w="150" w:type="dxa"/>
              <w:left w:w="0" w:type="dxa"/>
              <w:bottom w:w="150" w:type="dxa"/>
              <w:right w:w="300" w:type="dxa"/>
            </w:tcMar>
            <w:vAlign w:val="top"/>
          </w:tcPr>
          <w:p w14:paraId="74065ACE">
            <w:pPr>
              <w:keepNext w:val="0"/>
              <w:keepLines w:val="0"/>
              <w:widowControl/>
              <w:suppressLineNumbers w:val="0"/>
              <w:jc w:val="center"/>
              <w:rPr>
                <w:rFonts w:ascii="宋体" w:hAnsi="宋体" w:eastAsia="宋体" w:cs="宋体"/>
                <w:kern w:val="1"/>
                <w:sz w:val="24"/>
                <w:szCs w:val="24"/>
                <w:lang w:val="en-US" w:eastAsia="zh-CN" w:bidi="ar-SA"/>
              </w:rPr>
            </w:pPr>
            <w:r>
              <w:rPr>
                <w:rFonts w:hint="eastAsia" w:ascii="宋体" w:hAnsi="宋体" w:eastAsia="宋体" w:cs="宋体"/>
                <w:kern w:val="1"/>
                <w:sz w:val="24"/>
                <w:szCs w:val="24"/>
                <w:lang w:val="en-US" w:eastAsia="zh-CN" w:bidi="ar-SA"/>
              </w:rPr>
              <w:t>技术参数</w:t>
            </w:r>
          </w:p>
        </w:tc>
        <w:tc>
          <w:tcPr>
            <w:tcW w:w="6203" w:type="dxa"/>
            <w:shd w:val="clear" w:color="auto" w:fill="auto"/>
            <w:tcMar>
              <w:top w:w="150" w:type="dxa"/>
              <w:left w:w="0" w:type="dxa"/>
              <w:bottom w:w="150" w:type="dxa"/>
              <w:right w:w="300" w:type="dxa"/>
            </w:tcMar>
            <w:vAlign w:val="top"/>
          </w:tcPr>
          <w:p w14:paraId="3B284E52">
            <w:pPr>
              <w:keepNext w:val="0"/>
              <w:keepLines w:val="0"/>
              <w:widowControl/>
              <w:suppressLineNumbers w:val="0"/>
              <w:spacing w:beforeAutospacing="1" w:afterAutospacing="1"/>
              <w:jc w:val="left"/>
              <w:rPr>
                <w:rFonts w:ascii="宋体" w:hAnsi="宋体" w:eastAsia="宋体" w:cs="宋体"/>
                <w:kern w:val="1"/>
                <w:sz w:val="24"/>
                <w:szCs w:val="24"/>
                <w:lang w:val="en-US" w:eastAsia="zh-CN" w:bidi="ar-SA"/>
              </w:rPr>
            </w:pPr>
            <w:r>
              <w:rPr>
                <w:rFonts w:ascii="宋体" w:hAnsi="宋体" w:eastAsia="宋体" w:cs="宋体"/>
                <w:kern w:val="1"/>
                <w:sz w:val="24"/>
                <w:szCs w:val="24"/>
                <w:lang w:val="en-US" w:eastAsia="zh-CN" w:bidi="ar-SA"/>
              </w:rPr>
              <w:t>1.基材：高纯金属镍；2.中心锥孔内径≥0.9mm；3.配套通用密封安装结构，离子提取稳定；4.耐受高基体水样连续检测，无信号漂移、记忆效应。</w:t>
            </w:r>
          </w:p>
        </w:tc>
      </w:tr>
      <w:tr w14:paraId="41CD7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41" w:hRule="atLeast"/>
        </w:trPr>
        <w:tc>
          <w:tcPr>
            <w:tcW w:w="1453" w:type="dxa"/>
            <w:shd w:val="clear" w:color="auto" w:fill="auto"/>
            <w:tcMar>
              <w:top w:w="150" w:type="dxa"/>
              <w:left w:w="0" w:type="dxa"/>
              <w:bottom w:w="150" w:type="dxa"/>
              <w:right w:w="300" w:type="dxa"/>
            </w:tcMar>
            <w:vAlign w:val="top"/>
          </w:tcPr>
          <w:p w14:paraId="4E4D380B">
            <w:pPr>
              <w:keepNext w:val="0"/>
              <w:keepLines w:val="0"/>
              <w:widowControl/>
              <w:suppressLineNumbers w:val="0"/>
              <w:spacing w:before="0" w:beforeAutospacing="1" w:after="0" w:afterAutospacing="1"/>
              <w:ind w:left="0" w:right="0"/>
              <w:jc w:val="center"/>
              <w:rPr>
                <w:rFonts w:ascii="Calibri" w:hAnsi="Calibri" w:eastAsia="宋体" w:cs="Times New Roman"/>
                <w:b/>
                <w:kern w:val="2"/>
                <w:sz w:val="21"/>
                <w:szCs w:val="24"/>
                <w:vertAlign w:val="baseline"/>
                <w:lang w:val="en-US" w:eastAsia="zh-CN" w:bidi="ar-SA"/>
              </w:rPr>
            </w:pPr>
            <w:r>
              <w:rPr>
                <w:rFonts w:ascii="Calibri" w:hAnsi="Calibri" w:eastAsia="宋体" w:cs="Times New Roman"/>
                <w:b/>
                <w:kern w:val="2"/>
                <w:sz w:val="21"/>
                <w:szCs w:val="24"/>
                <w:vertAlign w:val="baseline"/>
                <w:lang w:val="en-US" w:eastAsia="zh-CN" w:bidi="ar-SA"/>
              </w:rPr>
              <w:t>ICP-MS泵管</w:t>
            </w:r>
          </w:p>
        </w:tc>
        <w:tc>
          <w:tcPr>
            <w:tcW w:w="1583" w:type="dxa"/>
            <w:shd w:val="clear" w:color="auto" w:fill="auto"/>
            <w:tcMar>
              <w:top w:w="150" w:type="dxa"/>
              <w:left w:w="0" w:type="dxa"/>
              <w:bottom w:w="150" w:type="dxa"/>
              <w:right w:w="300" w:type="dxa"/>
            </w:tcMar>
            <w:vAlign w:val="top"/>
          </w:tcPr>
          <w:p w14:paraId="6D9229ED">
            <w:pPr>
              <w:keepNext w:val="0"/>
              <w:keepLines w:val="0"/>
              <w:widowControl/>
              <w:suppressLineNumbers w:val="0"/>
              <w:jc w:val="center"/>
              <w:rPr>
                <w:rFonts w:ascii="宋体" w:hAnsi="宋体" w:eastAsia="宋体" w:cs="宋体"/>
                <w:kern w:val="1"/>
                <w:sz w:val="24"/>
                <w:szCs w:val="24"/>
                <w:lang w:val="en-US" w:eastAsia="zh-CN" w:bidi="ar-SA"/>
              </w:rPr>
            </w:pPr>
            <w:r>
              <w:rPr>
                <w:rFonts w:hint="eastAsia" w:ascii="宋体" w:hAnsi="宋体" w:eastAsia="宋体" w:cs="宋体"/>
                <w:kern w:val="1"/>
                <w:sz w:val="24"/>
                <w:szCs w:val="24"/>
                <w:lang w:val="en-US" w:eastAsia="zh-CN" w:bidi="ar-SA"/>
              </w:rPr>
              <w:t>技术参数</w:t>
            </w:r>
          </w:p>
        </w:tc>
        <w:tc>
          <w:tcPr>
            <w:tcW w:w="6203" w:type="dxa"/>
            <w:shd w:val="clear" w:color="auto" w:fill="auto"/>
            <w:tcMar>
              <w:top w:w="150" w:type="dxa"/>
              <w:left w:w="0" w:type="dxa"/>
              <w:bottom w:w="150" w:type="dxa"/>
              <w:right w:w="300" w:type="dxa"/>
            </w:tcMar>
            <w:vAlign w:val="top"/>
          </w:tcPr>
          <w:p w14:paraId="35AF9AF6">
            <w:pPr>
              <w:keepNext w:val="0"/>
              <w:keepLines w:val="0"/>
              <w:widowControl/>
              <w:suppressLineNumbers w:val="0"/>
              <w:spacing w:beforeAutospacing="1" w:afterAutospacing="1"/>
              <w:jc w:val="left"/>
              <w:rPr>
                <w:rFonts w:ascii="宋体" w:hAnsi="宋体" w:eastAsia="宋体" w:cs="宋体"/>
                <w:kern w:val="1"/>
                <w:sz w:val="24"/>
                <w:szCs w:val="24"/>
                <w:lang w:val="en-US" w:eastAsia="zh-CN" w:bidi="ar-SA"/>
              </w:rPr>
            </w:pPr>
            <w:r>
              <w:rPr>
                <w:rFonts w:ascii="宋体" w:hAnsi="宋体" w:eastAsia="宋体" w:cs="宋体"/>
                <w:kern w:val="1"/>
                <w:sz w:val="24"/>
                <w:szCs w:val="24"/>
                <w:lang w:val="en-US" w:eastAsia="zh-CN" w:bidi="ar-SA"/>
              </w:rPr>
              <w:t>1.分为进样管路、废液排出管路两套；2.材质：耐硝酸、盐酸腐蚀弹性软管（耐腐材质均可）；3.适配</w:t>
            </w:r>
            <w:r>
              <w:rPr>
                <w:rFonts w:hint="eastAsia" w:ascii="宋体" w:hAnsi="宋体" w:eastAsia="宋体" w:cs="宋体"/>
                <w:kern w:val="1"/>
                <w:sz w:val="24"/>
                <w:szCs w:val="24"/>
                <w:lang w:val="en-US" w:eastAsia="zh-CN" w:bidi="ar-SA"/>
              </w:rPr>
              <w:t>通用标准</w:t>
            </w:r>
            <w:r>
              <w:rPr>
                <w:rFonts w:ascii="宋体" w:hAnsi="宋体" w:eastAsia="宋体" w:cs="宋体"/>
                <w:kern w:val="1"/>
                <w:sz w:val="24"/>
                <w:szCs w:val="24"/>
                <w:lang w:val="en-US" w:eastAsia="zh-CN" w:bidi="ar-SA"/>
              </w:rPr>
              <w:t>蠕动泵辊轴卡扣规格，长期往复蠕动不硬化、不渗漏；4.低吸附、低记忆效应，适配高低浓度水质样品连续进样。</w:t>
            </w:r>
          </w:p>
        </w:tc>
      </w:tr>
      <w:tr w14:paraId="753B6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1453" w:type="dxa"/>
            <w:shd w:val="clear" w:color="auto" w:fill="auto"/>
            <w:tcMar>
              <w:top w:w="150" w:type="dxa"/>
              <w:left w:w="0" w:type="dxa"/>
              <w:bottom w:w="150" w:type="dxa"/>
              <w:right w:w="300" w:type="dxa"/>
            </w:tcMar>
            <w:vAlign w:val="top"/>
          </w:tcPr>
          <w:p w14:paraId="1AE9DC33">
            <w:pPr>
              <w:keepNext w:val="0"/>
              <w:keepLines w:val="0"/>
              <w:widowControl/>
              <w:suppressLineNumbers w:val="0"/>
              <w:spacing w:before="0" w:beforeAutospacing="1" w:after="0" w:afterAutospacing="1"/>
              <w:ind w:left="0" w:right="0"/>
              <w:jc w:val="center"/>
              <w:rPr>
                <w:rFonts w:ascii="Calibri" w:hAnsi="Calibri" w:eastAsia="宋体" w:cs="Times New Roman"/>
                <w:b/>
                <w:kern w:val="2"/>
                <w:sz w:val="21"/>
                <w:szCs w:val="24"/>
                <w:vertAlign w:val="baseline"/>
                <w:lang w:val="en-US" w:eastAsia="zh-CN" w:bidi="ar-SA"/>
              </w:rPr>
            </w:pPr>
            <w:r>
              <w:rPr>
                <w:rFonts w:ascii="Calibri" w:hAnsi="Calibri" w:eastAsia="宋体" w:cs="Times New Roman"/>
                <w:b/>
                <w:kern w:val="2"/>
                <w:sz w:val="21"/>
                <w:szCs w:val="24"/>
                <w:vertAlign w:val="baseline"/>
                <w:lang w:val="en-US" w:eastAsia="zh-CN" w:bidi="ar-SA"/>
              </w:rPr>
              <w:t>ICP-MS调谐液</w:t>
            </w:r>
          </w:p>
        </w:tc>
        <w:tc>
          <w:tcPr>
            <w:tcW w:w="1583" w:type="dxa"/>
            <w:shd w:val="clear" w:color="auto" w:fill="auto"/>
            <w:tcMar>
              <w:top w:w="150" w:type="dxa"/>
              <w:left w:w="0" w:type="dxa"/>
              <w:bottom w:w="150" w:type="dxa"/>
              <w:right w:w="300" w:type="dxa"/>
            </w:tcMar>
            <w:vAlign w:val="top"/>
          </w:tcPr>
          <w:p w14:paraId="6CC50DB0">
            <w:pPr>
              <w:keepNext w:val="0"/>
              <w:keepLines w:val="0"/>
              <w:widowControl/>
              <w:suppressLineNumbers w:val="0"/>
              <w:jc w:val="center"/>
              <w:rPr>
                <w:rFonts w:ascii="宋体" w:hAnsi="宋体" w:eastAsia="宋体" w:cs="宋体"/>
                <w:kern w:val="1"/>
                <w:sz w:val="24"/>
                <w:szCs w:val="24"/>
                <w:lang w:val="en-US" w:eastAsia="zh-CN" w:bidi="ar-SA"/>
              </w:rPr>
            </w:pPr>
            <w:r>
              <w:rPr>
                <w:rFonts w:hint="eastAsia" w:ascii="宋体" w:hAnsi="宋体" w:eastAsia="宋体" w:cs="宋体"/>
                <w:kern w:val="1"/>
                <w:sz w:val="24"/>
                <w:szCs w:val="24"/>
                <w:lang w:val="en-US" w:eastAsia="zh-CN" w:bidi="ar-SA"/>
              </w:rPr>
              <w:t>技术参数</w:t>
            </w:r>
          </w:p>
        </w:tc>
        <w:tc>
          <w:tcPr>
            <w:tcW w:w="6203" w:type="dxa"/>
            <w:shd w:val="clear" w:color="auto" w:fill="auto"/>
            <w:tcMar>
              <w:top w:w="150" w:type="dxa"/>
              <w:left w:w="0" w:type="dxa"/>
              <w:bottom w:w="150" w:type="dxa"/>
              <w:right w:w="300" w:type="dxa"/>
            </w:tcMar>
            <w:vAlign w:val="top"/>
          </w:tcPr>
          <w:p w14:paraId="68BF32CB">
            <w:pPr>
              <w:keepNext w:val="0"/>
              <w:keepLines w:val="0"/>
              <w:widowControl/>
              <w:suppressLineNumbers w:val="0"/>
              <w:spacing w:beforeAutospacing="1" w:afterAutospacing="1"/>
              <w:jc w:val="left"/>
              <w:rPr>
                <w:rFonts w:ascii="宋体" w:hAnsi="宋体" w:eastAsia="宋体" w:cs="宋体"/>
                <w:kern w:val="1"/>
                <w:sz w:val="24"/>
                <w:szCs w:val="24"/>
                <w:lang w:val="en-US" w:eastAsia="zh-CN" w:bidi="ar-SA"/>
              </w:rPr>
            </w:pPr>
            <w:r>
              <w:rPr>
                <w:rFonts w:ascii="宋体" w:hAnsi="宋体" w:eastAsia="宋体" w:cs="宋体"/>
                <w:kern w:val="1"/>
                <w:sz w:val="24"/>
                <w:szCs w:val="24"/>
                <w:lang w:val="en-US" w:eastAsia="zh-CN" w:bidi="ar-SA"/>
              </w:rPr>
              <w:t>1.溶液基体：5%稀硝酸水溶液；2.混合目标元素包含Li、Y、Ce、Tl、Co；3.标准浓度10ppb，液体均匀无沉淀，常温保质期不少于12个月；4.可完成仪器灵敏度、质量轴、氧化物/双电荷干扰校正，满足饮用水重金属检测仪器调谐需求。</w:t>
            </w:r>
          </w:p>
        </w:tc>
      </w:tr>
      <w:tr w14:paraId="0DEAF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1453" w:type="dxa"/>
            <w:shd w:val="clear" w:color="auto" w:fill="auto"/>
            <w:tcMar>
              <w:top w:w="150" w:type="dxa"/>
              <w:left w:w="0" w:type="dxa"/>
              <w:bottom w:w="150" w:type="dxa"/>
              <w:right w:w="300" w:type="dxa"/>
            </w:tcMar>
            <w:vAlign w:val="top"/>
          </w:tcPr>
          <w:p w14:paraId="21336BDC">
            <w:pPr>
              <w:keepNext w:val="0"/>
              <w:keepLines w:val="0"/>
              <w:widowControl/>
              <w:suppressLineNumbers w:val="0"/>
              <w:spacing w:before="0" w:beforeAutospacing="1" w:after="0" w:afterAutospacing="1"/>
              <w:ind w:left="0" w:right="0"/>
              <w:jc w:val="center"/>
              <w:rPr>
                <w:rFonts w:ascii="Calibri" w:hAnsi="Calibri" w:eastAsia="宋体" w:cs="Times New Roman"/>
                <w:b/>
                <w:kern w:val="2"/>
                <w:sz w:val="21"/>
                <w:szCs w:val="24"/>
                <w:vertAlign w:val="baseline"/>
                <w:lang w:val="en-US" w:eastAsia="zh-CN" w:bidi="ar-SA"/>
              </w:rPr>
            </w:pPr>
            <w:r>
              <w:rPr>
                <w:rFonts w:ascii="Calibri" w:hAnsi="Calibri" w:eastAsia="宋体" w:cs="Times New Roman"/>
                <w:b/>
                <w:kern w:val="2"/>
                <w:sz w:val="21"/>
                <w:szCs w:val="24"/>
                <w:vertAlign w:val="baseline"/>
                <w:lang w:val="en-US" w:eastAsia="zh-CN" w:bidi="ar-SA"/>
              </w:rPr>
              <w:t>离子色谱配套色谱柱组件​</w:t>
            </w:r>
          </w:p>
        </w:tc>
        <w:tc>
          <w:tcPr>
            <w:tcW w:w="1583" w:type="dxa"/>
            <w:shd w:val="clear" w:color="auto" w:fill="auto"/>
            <w:tcMar>
              <w:top w:w="150" w:type="dxa"/>
              <w:left w:w="0" w:type="dxa"/>
              <w:bottom w:w="150" w:type="dxa"/>
              <w:right w:w="300" w:type="dxa"/>
            </w:tcMar>
            <w:vAlign w:val="top"/>
          </w:tcPr>
          <w:p w14:paraId="1C5FA66D">
            <w:pPr>
              <w:keepNext w:val="0"/>
              <w:keepLines w:val="0"/>
              <w:widowControl/>
              <w:suppressLineNumbers w:val="0"/>
              <w:spacing w:before="0" w:beforeAutospacing="1" w:after="0" w:afterAutospacing="1"/>
              <w:ind w:left="0" w:right="0"/>
              <w:jc w:val="center"/>
              <w:rPr>
                <w:rFonts w:ascii="宋体" w:hAnsi="宋体" w:eastAsia="宋体" w:cs="宋体"/>
                <w:kern w:val="1"/>
                <w:sz w:val="24"/>
                <w:szCs w:val="24"/>
                <w:lang w:val="en-US" w:eastAsia="zh-CN" w:bidi="ar-SA"/>
              </w:rPr>
            </w:pPr>
            <w:r>
              <w:rPr>
                <w:rFonts w:ascii="宋体" w:hAnsi="宋体" w:eastAsia="宋体" w:cs="宋体"/>
                <w:kern w:val="1"/>
                <w:sz w:val="24"/>
                <w:szCs w:val="24"/>
                <w:lang w:val="en-US" w:eastAsia="zh-CN" w:bidi="ar-SA"/>
              </w:rPr>
              <w:t>性能要求</w:t>
            </w:r>
          </w:p>
        </w:tc>
        <w:tc>
          <w:tcPr>
            <w:tcW w:w="6203" w:type="dxa"/>
            <w:shd w:val="clear" w:color="auto" w:fill="auto"/>
            <w:tcMar>
              <w:top w:w="150" w:type="dxa"/>
              <w:left w:w="0" w:type="dxa"/>
              <w:bottom w:w="150" w:type="dxa"/>
              <w:right w:w="300" w:type="dxa"/>
            </w:tcMar>
            <w:vAlign w:val="top"/>
          </w:tcPr>
          <w:p w14:paraId="0F491A6D">
            <w:pPr>
              <w:keepNext w:val="0"/>
              <w:keepLines w:val="0"/>
              <w:widowControl/>
              <w:suppressLineNumbers w:val="0"/>
              <w:spacing w:before="0" w:beforeAutospacing="1" w:after="0" w:afterAutospacing="1"/>
              <w:ind w:left="0" w:right="0"/>
              <w:jc w:val="left"/>
              <w:rPr>
                <w:rFonts w:ascii="宋体" w:hAnsi="宋体" w:eastAsia="宋体" w:cs="宋体"/>
                <w:kern w:val="1"/>
                <w:sz w:val="24"/>
                <w:szCs w:val="24"/>
                <w:lang w:val="en-US" w:eastAsia="zh-CN" w:bidi="ar-SA"/>
              </w:rPr>
            </w:pPr>
            <w:r>
              <w:rPr>
                <w:rFonts w:ascii="宋体" w:hAnsi="宋体" w:eastAsia="宋体" w:cs="宋体"/>
                <w:kern w:val="1"/>
                <w:sz w:val="24"/>
                <w:szCs w:val="24"/>
                <w:lang w:val="en-US" w:eastAsia="zh-CN" w:bidi="ar-SA"/>
              </w:rPr>
              <w:t>1.</w:t>
            </w:r>
            <w:r>
              <w:rPr>
                <w:rFonts w:ascii="宋体" w:hAnsi="宋体" w:eastAsia="宋体" w:cs="宋体"/>
                <w:kern w:val="2"/>
                <w:sz w:val="24"/>
                <w:szCs w:val="24"/>
              </w:rPr>
              <w:t>阴离子分离色谱柱配套同规格保护柱整套；2.耐受常规水系淋洗液，可实现饮用水中氟离子、氯离子、硝酸盐、硫酸盐等常规阴阳离子有效分离，峰形与分离度满足GB/T5750-2023生活饮用水离子检测标准，同等分离性能色谱柱均可，不限定填料型号与仪器品牌。</w:t>
            </w:r>
          </w:p>
        </w:tc>
      </w:tr>
      <w:tr w14:paraId="3B38D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1453" w:type="dxa"/>
            <w:shd w:val="clear" w:color="auto" w:fill="auto"/>
            <w:tcMar>
              <w:top w:w="150" w:type="dxa"/>
              <w:left w:w="0" w:type="dxa"/>
              <w:bottom w:w="150" w:type="dxa"/>
              <w:right w:w="300" w:type="dxa"/>
            </w:tcMar>
            <w:vAlign w:val="top"/>
          </w:tcPr>
          <w:p w14:paraId="1E52EF7B">
            <w:pPr>
              <w:keepNext w:val="0"/>
              <w:keepLines w:val="0"/>
              <w:widowControl/>
              <w:suppressLineNumbers w:val="0"/>
              <w:spacing w:before="0" w:beforeAutospacing="1" w:after="0" w:afterAutospacing="1"/>
              <w:ind w:left="0" w:right="0"/>
              <w:jc w:val="center"/>
              <w:rPr>
                <w:rFonts w:ascii="Calibri" w:hAnsi="Calibri" w:eastAsia="宋体" w:cs="Times New Roman"/>
                <w:b/>
                <w:kern w:val="2"/>
                <w:sz w:val="21"/>
                <w:szCs w:val="24"/>
                <w:vertAlign w:val="baseline"/>
                <w:lang w:val="en-US" w:eastAsia="zh-CN" w:bidi="ar-SA"/>
              </w:rPr>
            </w:pPr>
            <w:r>
              <w:rPr>
                <w:rFonts w:ascii="Calibri" w:hAnsi="Calibri" w:eastAsia="宋体" w:cs="Times New Roman"/>
                <w:b/>
                <w:kern w:val="2"/>
                <w:sz w:val="21"/>
                <w:szCs w:val="24"/>
                <w:vertAlign w:val="baseline"/>
                <w:lang w:val="en-US" w:eastAsia="zh-CN" w:bidi="ar-SA"/>
              </w:rPr>
              <w:t>顶空瓶瓶盖垫片(500片)​</w:t>
            </w:r>
          </w:p>
        </w:tc>
        <w:tc>
          <w:tcPr>
            <w:tcW w:w="1583" w:type="dxa"/>
            <w:shd w:val="clear" w:color="auto" w:fill="auto"/>
            <w:tcMar>
              <w:top w:w="150" w:type="dxa"/>
              <w:left w:w="0" w:type="dxa"/>
              <w:bottom w:w="150" w:type="dxa"/>
              <w:right w:w="300" w:type="dxa"/>
            </w:tcMar>
            <w:vAlign w:val="top"/>
          </w:tcPr>
          <w:p w14:paraId="332D46EA">
            <w:pPr>
              <w:keepNext w:val="0"/>
              <w:keepLines w:val="0"/>
              <w:widowControl/>
              <w:suppressLineNumbers w:val="0"/>
              <w:spacing w:before="0" w:beforeAutospacing="1" w:after="0" w:afterAutospacing="1"/>
              <w:ind w:left="0" w:right="0"/>
              <w:jc w:val="center"/>
              <w:rPr>
                <w:rFonts w:ascii="Calibri" w:hAnsi="Calibri" w:eastAsia="宋体" w:cs="Times New Roman"/>
                <w:kern w:val="0"/>
                <w:sz w:val="24"/>
                <w:szCs w:val="24"/>
                <w:lang w:val="en-US" w:eastAsia="zh-CN" w:bidi="ar"/>
              </w:rPr>
            </w:pPr>
            <w:r>
              <w:rPr>
                <w:rFonts w:ascii="Calibri" w:hAnsi="Calibri" w:eastAsia="宋体" w:cs="Times New Roman"/>
                <w:kern w:val="0"/>
                <w:sz w:val="24"/>
                <w:szCs w:val="24"/>
                <w:vertAlign w:val="baseline"/>
                <w:lang w:val="en-US" w:eastAsia="zh-CN" w:bidi="ar"/>
              </w:rPr>
              <w:t>材质性能</w:t>
            </w:r>
          </w:p>
        </w:tc>
        <w:tc>
          <w:tcPr>
            <w:tcW w:w="6203" w:type="dxa"/>
            <w:shd w:val="clear" w:color="auto" w:fill="auto"/>
            <w:tcMar>
              <w:top w:w="150" w:type="dxa"/>
              <w:left w:w="0" w:type="dxa"/>
              <w:bottom w:w="150" w:type="dxa"/>
              <w:right w:w="300" w:type="dxa"/>
            </w:tcMar>
            <w:vAlign w:val="top"/>
          </w:tcPr>
          <w:p w14:paraId="76F17C4F">
            <w:pPr>
              <w:keepNext w:val="0"/>
              <w:keepLines w:val="0"/>
              <w:widowControl/>
              <w:suppressLineNumbers w:val="0"/>
              <w:spacing w:before="0" w:beforeAutospacing="1" w:after="0" w:afterAutospacing="1"/>
              <w:ind w:left="0" w:right="0"/>
              <w:jc w:val="left"/>
              <w:rPr>
                <w:rFonts w:ascii="Calibri" w:hAnsi="Calibri" w:eastAsia="宋体" w:cs="Times New Roman"/>
                <w:kern w:val="0"/>
                <w:sz w:val="24"/>
                <w:szCs w:val="24"/>
                <w:lang w:val="en-US" w:eastAsia="zh-CN" w:bidi="ar"/>
              </w:rPr>
            </w:pPr>
            <w:r>
              <w:rPr>
                <w:rFonts w:ascii="宋体" w:hAnsi="宋体" w:eastAsia="宋体" w:cs="宋体"/>
                <w:kern w:val="1"/>
                <w:sz w:val="24"/>
                <w:szCs w:val="24"/>
              </w:rPr>
              <w:t>1.耐有机溶剂、耐高温；2.低挥发性、无杂质析出，不干扰水中挥发性有机物检测；3.适配通用标准顶空瓶规格，不限制特定品牌仪器配套瓶体。</w:t>
            </w:r>
          </w:p>
        </w:tc>
      </w:tr>
    </w:tbl>
    <w:p w14:paraId="2A3982FF">
      <w:pPr>
        <w:widowControl/>
        <w:numPr>
          <w:ilvl w:val="0"/>
          <w:numId w:val="0"/>
        </w:numPr>
        <w:kinsoku w:val="0"/>
        <w:autoSpaceDE w:val="0"/>
        <w:autoSpaceDN w:val="0"/>
        <w:adjustRightInd w:val="0"/>
        <w:snapToGrid w:val="0"/>
        <w:spacing w:before="137" w:line="219" w:lineRule="auto"/>
        <w:jc w:val="left"/>
        <w:textAlignment w:val="baseline"/>
        <w:rPr>
          <w:rFonts w:hint="default" w:ascii="宋体" w:hAnsi="宋体" w:eastAsia="宋体" w:cs="宋体"/>
          <w:b/>
          <w:bCs/>
          <w:snapToGrid w:val="0"/>
          <w:color w:val="0000FF"/>
          <w:spacing w:val="9"/>
          <w:kern w:val="0"/>
          <w:sz w:val="28"/>
          <w:szCs w:val="28"/>
          <w:lang w:val="en-US" w:eastAsia="zh-CN"/>
        </w:rPr>
      </w:pPr>
    </w:p>
    <w:p w14:paraId="02E254E6">
      <w:pPr>
        <w:widowControl/>
        <w:kinsoku w:val="0"/>
        <w:autoSpaceDE w:val="0"/>
        <w:autoSpaceDN w:val="0"/>
        <w:adjustRightInd w:val="0"/>
        <w:snapToGrid w:val="0"/>
        <w:spacing w:before="116" w:line="219" w:lineRule="auto"/>
        <w:ind w:left="3274"/>
        <w:jc w:val="left"/>
        <w:textAlignment w:val="baseline"/>
        <w:rPr>
          <w:rFonts w:ascii="宋体" w:hAnsi="宋体" w:eastAsia="宋体" w:cs="宋体"/>
          <w:snapToGrid w:val="0"/>
          <w:color w:val="000000"/>
          <w:kern w:val="0"/>
          <w:sz w:val="28"/>
          <w:szCs w:val="28"/>
          <w:lang w:eastAsia="en-US"/>
        </w:rPr>
      </w:pPr>
      <w:r>
        <w:rPr>
          <w:rFonts w:ascii="宋体" w:hAnsi="宋体" w:eastAsia="宋体" w:cs="宋体"/>
          <w:b/>
          <w:bCs/>
          <w:snapToGrid w:val="0"/>
          <w:color w:val="000000"/>
          <w:spacing w:val="17"/>
          <w:kern w:val="0"/>
          <w:sz w:val="28"/>
          <w:szCs w:val="28"/>
          <w:lang w:eastAsia="en-US"/>
        </w:rPr>
        <w:t>第三节商务要求</w:t>
      </w:r>
    </w:p>
    <w:p w14:paraId="11C27738">
      <w:pPr>
        <w:kinsoku w:val="0"/>
        <w:autoSpaceDE w:val="0"/>
        <w:autoSpaceDN w:val="0"/>
        <w:adjustRightInd w:val="0"/>
        <w:snapToGrid w:val="0"/>
        <w:spacing w:line="277" w:lineRule="auto"/>
        <w:jc w:val="left"/>
        <w:textAlignment w:val="baseline"/>
        <w:rPr>
          <w:rFonts w:ascii="Arial" w:hAnsi="Arial" w:eastAsia="Arial" w:cs="Arial"/>
          <w:snapToGrid w:val="0"/>
          <w:color w:val="000000"/>
          <w:kern w:val="0"/>
          <w:sz w:val="21"/>
          <w:szCs w:val="21"/>
          <w:lang w:val="en-US" w:eastAsia="en-US" w:bidi="ar-SA"/>
        </w:rPr>
      </w:pPr>
    </w:p>
    <w:p w14:paraId="28624A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firstLine="0" w:firstLineChars="0"/>
        <w:jc w:val="left"/>
        <w:outlineLvl w:val="1"/>
        <w:rPr>
          <w:rFonts w:ascii="Arial" w:hAnsi="Arial" w:eastAsia="宋体" w:cs="Times New Roman"/>
          <w:b/>
          <w:bCs/>
          <w:color w:val="000000"/>
          <w:kern w:val="2"/>
          <w:sz w:val="24"/>
          <w:szCs w:val="24"/>
          <w:lang w:val="en-US" w:eastAsia="zh-CN" w:bidi="ar-SA"/>
        </w:rPr>
      </w:pPr>
      <w:r>
        <w:rPr>
          <w:rFonts w:hint="eastAsia" w:ascii="Arial" w:hAnsi="Arial" w:eastAsia="宋体" w:cs="Times New Roman"/>
          <w:b/>
          <w:bCs/>
          <w:color w:val="000000"/>
          <w:kern w:val="2"/>
          <w:sz w:val="24"/>
          <w:szCs w:val="24"/>
          <w:lang w:val="en-US" w:eastAsia="zh-CN" w:bidi="ar-SA"/>
        </w:rPr>
        <w:t>一</w:t>
      </w:r>
      <w:r>
        <w:rPr>
          <w:rFonts w:ascii="Arial" w:hAnsi="Arial" w:eastAsia="宋体" w:cs="Times New Roman"/>
          <w:b/>
          <w:bCs/>
          <w:color w:val="000000"/>
          <w:kern w:val="2"/>
          <w:sz w:val="24"/>
          <w:szCs w:val="24"/>
          <w:lang w:val="en-US" w:eastAsia="zh-CN" w:bidi="ar-SA"/>
        </w:rPr>
        <w:t>、供货范围</w:t>
      </w:r>
    </w:p>
    <w:p w14:paraId="221168C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val="en-US" w:eastAsia="zh-CN"/>
        </w:rPr>
        <w:t>1、成交供应商须提供清单全部货物及配套完整服务，包含运输、装卸、安装、调试、整机试运行、上门计量检定、售后维修、终身技术支持、免费操作人员培训等，所有费用全部包含在投标总价内，采购人无需额外付费；所有设备交付后可直接开展法定城乡饮用水水质监测工作。</w:t>
      </w:r>
    </w:p>
    <w:p w14:paraId="4E5C150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val="en-US" w:eastAsia="zh-CN"/>
        </w:rPr>
        <w:t>2、</w:t>
      </w:r>
      <w:r>
        <w:rPr>
          <w:rFonts w:hint="eastAsia" w:ascii="Times New Roman" w:hAnsi="Times New Roman" w:eastAsia="宋体" w:cs="Times New Roman"/>
          <w:color w:val="000000"/>
          <w:kern w:val="2"/>
          <w:sz w:val="24"/>
          <w:szCs w:val="24"/>
        </w:rPr>
        <w:t>本项目拒绝进口产品参与响应。进口产品指通过中国海关报关验放进入中国境内且产自关境外的产品。供应商所投产品均须为国产产品，提供进口产品的，响应无效</w:t>
      </w:r>
      <w:r>
        <w:rPr>
          <w:rFonts w:ascii="Times New Roman" w:hAnsi="Times New Roman" w:eastAsia="宋体" w:cs="Times New Roman"/>
          <w:color w:val="000000"/>
          <w:kern w:val="2"/>
          <w:sz w:val="24"/>
          <w:szCs w:val="24"/>
        </w:rPr>
        <w:t>。</w:t>
      </w:r>
    </w:p>
    <w:p w14:paraId="1AEA29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firstLine="0" w:firstLineChars="0"/>
        <w:jc w:val="left"/>
        <w:outlineLvl w:val="1"/>
        <w:rPr>
          <w:rFonts w:ascii="Arial" w:hAnsi="Arial" w:eastAsia="宋体" w:cs="Times New Roman"/>
          <w:b/>
          <w:bCs/>
          <w:color w:val="000000"/>
          <w:kern w:val="2"/>
          <w:sz w:val="24"/>
          <w:szCs w:val="24"/>
          <w:lang w:val="en-US" w:eastAsia="zh-CN" w:bidi="ar-SA"/>
        </w:rPr>
      </w:pPr>
      <w:r>
        <w:rPr>
          <w:rFonts w:hint="eastAsia" w:ascii="Arial" w:hAnsi="Arial" w:eastAsia="宋体" w:cs="Times New Roman"/>
          <w:b/>
          <w:bCs/>
          <w:color w:val="000000"/>
          <w:kern w:val="2"/>
          <w:sz w:val="24"/>
          <w:szCs w:val="24"/>
          <w:lang w:val="en-US" w:eastAsia="zh-CN" w:bidi="ar-SA"/>
        </w:rPr>
        <w:t>二</w:t>
      </w:r>
      <w:r>
        <w:rPr>
          <w:rFonts w:ascii="Arial" w:hAnsi="Arial" w:eastAsia="宋体" w:cs="Times New Roman"/>
          <w:b/>
          <w:bCs/>
          <w:color w:val="000000"/>
          <w:kern w:val="2"/>
          <w:sz w:val="24"/>
          <w:szCs w:val="24"/>
          <w:lang w:val="en-US" w:eastAsia="zh-CN" w:bidi="ar-SA"/>
        </w:rPr>
        <w:t>、质量保证</w:t>
      </w:r>
    </w:p>
    <w:p w14:paraId="060A42E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val="en-US" w:eastAsia="zh-CN"/>
        </w:rPr>
        <w:t>1、</w:t>
      </w:r>
      <w:r>
        <w:rPr>
          <w:rFonts w:ascii="Times New Roman" w:hAnsi="Times New Roman" w:eastAsia="宋体" w:cs="Times New Roman"/>
          <w:color w:val="000000"/>
          <w:kern w:val="2"/>
          <w:sz w:val="24"/>
          <w:szCs w:val="24"/>
        </w:rPr>
        <w:t>货物质量要求：所有货物均为全新、未使用过的原装正品，符合国家最新质量检测标准、《生活饮用水卫生标准》（GB5749-2022）</w:t>
      </w:r>
      <w:r>
        <w:rPr>
          <w:rFonts w:hint="eastAsia" w:ascii="Times New Roman" w:hAnsi="Times New Roman" w:eastAsia="宋体" w:cs="Times New Roman"/>
          <w:color w:val="000000"/>
          <w:kern w:val="2"/>
          <w:sz w:val="24"/>
          <w:szCs w:val="24"/>
          <w:lang w:eastAsia="zh-CN"/>
        </w:rPr>
        <w:t>、</w:t>
      </w:r>
      <w:r>
        <w:rPr>
          <w:rFonts w:ascii="Times New Roman" w:hAnsi="Times New Roman" w:eastAsia="宋体" w:cs="Times New Roman"/>
          <w:color w:val="000000"/>
          <w:kern w:val="2"/>
          <w:sz w:val="24"/>
          <w:szCs w:val="24"/>
        </w:rPr>
        <w:t>《生活饮用水标准检验方法》（</w:t>
      </w:r>
      <w:r>
        <w:rPr>
          <w:rFonts w:hint="eastAsia" w:ascii="Times New Roman" w:hAnsi="Times New Roman" w:eastAsia="宋体" w:cs="Times New Roman"/>
          <w:color w:val="000000"/>
          <w:kern w:val="2"/>
          <w:sz w:val="24"/>
          <w:szCs w:val="24"/>
          <w:lang w:eastAsia="zh-CN"/>
        </w:rPr>
        <w:t>GB/T5750-2023</w:t>
      </w:r>
      <w:r>
        <w:rPr>
          <w:rFonts w:ascii="Times New Roman" w:hAnsi="Times New Roman" w:eastAsia="宋体" w:cs="Times New Roman"/>
          <w:color w:val="000000"/>
          <w:kern w:val="2"/>
          <w:sz w:val="24"/>
          <w:szCs w:val="24"/>
        </w:rPr>
        <w:t>）及本项目技术要求，具备完整的出厂合格证、产品说明书、技术资料等文件。</w:t>
      </w:r>
    </w:p>
    <w:p w14:paraId="6B47D5F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hint="eastAsia"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val="en-US" w:eastAsia="zh-CN"/>
        </w:rPr>
        <w:t>2、</w:t>
      </w:r>
      <w:r>
        <w:rPr>
          <w:rFonts w:hint="eastAsia" w:ascii="Times New Roman" w:hAnsi="Times New Roman" w:eastAsia="宋体" w:cs="Times New Roman"/>
          <w:color w:val="000000"/>
          <w:kern w:val="2"/>
          <w:sz w:val="24"/>
          <w:szCs w:val="24"/>
        </w:rPr>
        <w:t>对于需适配采购人现有设备的耗材，中标人须承诺无条件配合上机验证，验证不合格的须无条件退换，相关费用由中标人承担</w:t>
      </w:r>
      <w:r>
        <w:rPr>
          <w:rFonts w:hint="eastAsia" w:ascii="Times New Roman" w:hAnsi="Times New Roman" w:eastAsia="宋体" w:cs="Times New Roman"/>
          <w:color w:val="000000"/>
          <w:kern w:val="2"/>
          <w:sz w:val="24"/>
          <w:szCs w:val="24"/>
          <w:lang w:eastAsia="zh-CN"/>
        </w:rPr>
        <w:t>（</w:t>
      </w:r>
      <w:r>
        <w:rPr>
          <w:rFonts w:hint="eastAsia" w:ascii="Times New Roman" w:hAnsi="Times New Roman" w:eastAsia="宋体" w:cs="Times New Roman"/>
          <w:color w:val="000000"/>
          <w:kern w:val="2"/>
          <w:sz w:val="24"/>
          <w:szCs w:val="24"/>
          <w:lang w:val="en-US" w:eastAsia="zh-CN"/>
        </w:rPr>
        <w:t>需提供承诺函</w:t>
      </w:r>
      <w:r>
        <w:rPr>
          <w:rFonts w:hint="eastAsia" w:ascii="Times New Roman" w:hAnsi="Times New Roman" w:eastAsia="宋体" w:cs="Times New Roman"/>
          <w:color w:val="000000"/>
          <w:kern w:val="2"/>
          <w:sz w:val="24"/>
          <w:szCs w:val="24"/>
          <w:lang w:eastAsia="zh-CN"/>
        </w:rPr>
        <w:t>）</w:t>
      </w:r>
      <w:r>
        <w:rPr>
          <w:rFonts w:hint="eastAsia" w:ascii="Times New Roman" w:hAnsi="Times New Roman" w:eastAsia="宋体" w:cs="Times New Roman"/>
          <w:color w:val="000000"/>
          <w:kern w:val="2"/>
          <w:sz w:val="24"/>
          <w:szCs w:val="24"/>
        </w:rPr>
        <w:t>。</w:t>
      </w:r>
    </w:p>
    <w:p w14:paraId="7A27A20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val="en-US" w:eastAsia="zh-CN"/>
        </w:rPr>
        <w:t>3、</w:t>
      </w:r>
      <w:r>
        <w:rPr>
          <w:rFonts w:ascii="Times New Roman" w:hAnsi="Times New Roman" w:eastAsia="宋体" w:cs="Times New Roman"/>
          <w:color w:val="000000"/>
          <w:kern w:val="2"/>
          <w:sz w:val="24"/>
          <w:szCs w:val="24"/>
        </w:rPr>
        <w:t>知识产权要求：供应商须保证采购人在使用本项目货物及相关服务的任何时候，不会受到第三方关于专利权、商标权、著作权等知识产权的侵权主张或纠纷，否则由此产生的全部法律责任、经济损失均由供应商承担。</w:t>
      </w:r>
    </w:p>
    <w:p w14:paraId="7207F06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val="en-US" w:eastAsia="zh-CN"/>
        </w:rPr>
        <w:t>4、</w:t>
      </w:r>
      <w:r>
        <w:rPr>
          <w:rFonts w:ascii="Times New Roman" w:hAnsi="Times New Roman" w:eastAsia="宋体" w:cs="Times New Roman"/>
          <w:color w:val="000000"/>
          <w:kern w:val="2"/>
          <w:sz w:val="24"/>
          <w:szCs w:val="24"/>
        </w:rPr>
        <w:t>一致性要求：</w:t>
      </w:r>
      <w:r>
        <w:rPr>
          <w:rFonts w:hint="eastAsia" w:ascii="Times New Roman" w:hAnsi="Times New Roman" w:eastAsia="宋体" w:cs="Times New Roman"/>
          <w:color w:val="000000"/>
          <w:kern w:val="2"/>
          <w:sz w:val="24"/>
          <w:szCs w:val="24"/>
          <w:lang w:val="en-US" w:eastAsia="zh-CN"/>
        </w:rPr>
        <w:t>成交</w:t>
      </w:r>
      <w:r>
        <w:rPr>
          <w:rFonts w:ascii="Times New Roman" w:hAnsi="Times New Roman" w:eastAsia="宋体" w:cs="Times New Roman"/>
          <w:color w:val="000000"/>
          <w:kern w:val="2"/>
          <w:sz w:val="24"/>
          <w:szCs w:val="24"/>
        </w:rPr>
        <w:t>供应商提供的所有货物、技术参数、配置，均须与响应文件承诺、本项目采购清单、技术要求完全一致，不得擅自变更、调换配置，否则按供应商违约处理。</w:t>
      </w:r>
    </w:p>
    <w:p w14:paraId="3A2630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left"/>
        <w:outlineLvl w:val="1"/>
        <w:rPr>
          <w:rFonts w:ascii="Arial" w:hAnsi="Arial" w:eastAsia="宋体" w:cs="Times New Roman"/>
          <w:b/>
          <w:bCs/>
          <w:color w:val="000000"/>
          <w:kern w:val="2"/>
          <w:sz w:val="24"/>
          <w:szCs w:val="24"/>
          <w:lang w:val="en-US" w:eastAsia="zh-CN" w:bidi="ar-SA"/>
        </w:rPr>
      </w:pPr>
      <w:r>
        <w:rPr>
          <w:rFonts w:hint="eastAsia" w:ascii="Arial" w:hAnsi="Arial" w:eastAsia="宋体" w:cs="Times New Roman"/>
          <w:b/>
          <w:bCs/>
          <w:color w:val="000000"/>
          <w:kern w:val="2"/>
          <w:sz w:val="24"/>
          <w:szCs w:val="24"/>
          <w:lang w:val="en-US" w:eastAsia="zh-CN" w:bidi="ar-SA"/>
        </w:rPr>
        <w:t>三</w:t>
      </w:r>
      <w:r>
        <w:rPr>
          <w:rFonts w:ascii="Arial" w:hAnsi="Arial" w:eastAsia="宋体" w:cs="Times New Roman"/>
          <w:b/>
          <w:bCs/>
          <w:color w:val="000000"/>
          <w:kern w:val="2"/>
          <w:sz w:val="24"/>
          <w:szCs w:val="24"/>
          <w:lang w:val="en-US" w:eastAsia="zh-CN" w:bidi="ar-SA"/>
        </w:rPr>
        <w:t>、设备运输、保险及保管</w:t>
      </w:r>
    </w:p>
    <w:p w14:paraId="2EDCACE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val="en-US" w:eastAsia="zh-CN"/>
        </w:rPr>
        <w:t>1、</w:t>
      </w:r>
      <w:r>
        <w:rPr>
          <w:rFonts w:ascii="Times New Roman" w:hAnsi="Times New Roman" w:eastAsia="宋体" w:cs="Times New Roman"/>
          <w:color w:val="000000"/>
          <w:kern w:val="2"/>
          <w:sz w:val="24"/>
          <w:szCs w:val="24"/>
        </w:rPr>
        <w:t>运输责任：供应商负责将采购清单内的全部货物安全、完整地运送至采购人指定的交货地点（</w:t>
      </w:r>
      <w:r>
        <w:rPr>
          <w:rFonts w:hint="eastAsia" w:ascii="Times New Roman" w:hAnsi="Times New Roman" w:eastAsia="宋体" w:cs="Times New Roman"/>
          <w:color w:val="000000"/>
          <w:kern w:val="2"/>
          <w:sz w:val="24"/>
          <w:szCs w:val="24"/>
          <w:lang w:eastAsia="zh-CN"/>
        </w:rPr>
        <w:t>衡山县疾病预防控制中心（衡山县卫生综合监督执法局</w:t>
      </w:r>
      <w:r>
        <w:rPr>
          <w:rFonts w:ascii="Times New Roman" w:hAnsi="Times New Roman" w:eastAsia="宋体" w:cs="Times New Roman"/>
          <w:color w:val="000000"/>
          <w:kern w:val="2"/>
          <w:sz w:val="24"/>
          <w:szCs w:val="24"/>
        </w:rPr>
        <w:t>），承担全部运输费用、装卸费用、二次搬运费用。运输方式须符合国家相关运输标准，确保货物在运输过程中无损坏、无受潮、无丢失、无变形。</w:t>
      </w:r>
    </w:p>
    <w:p w14:paraId="219F28C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val="en-US" w:eastAsia="zh-CN"/>
        </w:rPr>
        <w:t>2、</w:t>
      </w:r>
      <w:r>
        <w:rPr>
          <w:rFonts w:ascii="Times New Roman" w:hAnsi="Times New Roman" w:eastAsia="宋体" w:cs="Times New Roman"/>
          <w:color w:val="000000"/>
          <w:kern w:val="2"/>
          <w:sz w:val="24"/>
          <w:szCs w:val="24"/>
        </w:rPr>
        <w:t>包装要求：货物的包装须符合国家最新包装标准，具备防潮、防震、防锈、防破损的保护措施，适合长途运输和多次装卸。包装上须清晰标注货物名称、型号、数量、产地、收货单位等信息，包装费用全部由供应商承担。</w:t>
      </w:r>
    </w:p>
    <w:p w14:paraId="19B299A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val="en-US" w:eastAsia="zh-CN"/>
        </w:rPr>
        <w:t>3、</w:t>
      </w:r>
      <w:r>
        <w:rPr>
          <w:rFonts w:ascii="Times New Roman" w:hAnsi="Times New Roman" w:eastAsia="宋体" w:cs="Times New Roman"/>
          <w:color w:val="000000"/>
          <w:kern w:val="2"/>
          <w:sz w:val="24"/>
          <w:szCs w:val="24"/>
        </w:rPr>
        <w:t>保险要求：供应商须为全部货物投保足额的货物运输险、财产一切险，保险金额不低于合同总价，保险期限覆盖从货物发出至最终验收合格交付采购人止。如运输、保管过程中发生货物损坏、丢失，全部损失由供应商承担，供应商须在3个工作日内完成更换、补齐，相关费用全部由供应商承担。</w:t>
      </w:r>
    </w:p>
    <w:p w14:paraId="0EFD5FE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val="en-US" w:eastAsia="zh-CN"/>
        </w:rPr>
        <w:t>4、</w:t>
      </w:r>
      <w:r>
        <w:rPr>
          <w:rFonts w:ascii="Times New Roman" w:hAnsi="Times New Roman" w:eastAsia="宋体" w:cs="Times New Roman"/>
          <w:color w:val="000000"/>
          <w:kern w:val="2"/>
          <w:sz w:val="24"/>
          <w:szCs w:val="24"/>
        </w:rPr>
        <w:t>保管责任：货物到达交货地点后，至最终验收合格交付采购人前，全部货物的保管责任、安全责任均由供应商承担，期间发生的货物损坏、丢失、被盗等全部损失由供应商承担。</w:t>
      </w:r>
    </w:p>
    <w:p w14:paraId="6BE3E4C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val="en-US" w:eastAsia="zh-CN"/>
        </w:rPr>
        <w:t>5、</w:t>
      </w:r>
      <w:r>
        <w:rPr>
          <w:rFonts w:ascii="Times New Roman" w:hAnsi="Times New Roman" w:eastAsia="宋体" w:cs="Times New Roman"/>
          <w:color w:val="000000"/>
          <w:kern w:val="2"/>
          <w:sz w:val="24"/>
          <w:szCs w:val="24"/>
        </w:rPr>
        <w:t>安全责任：供应商负责为其派出的所有人员购买足额的人身意外保险，承担运输、装卸、安装、调试、培训等全部过程中的安全责任。如发生人员伤亡、财产损失等安全事故，全部责任和经济损失均由供应商承担，与采购人无关。</w:t>
      </w:r>
    </w:p>
    <w:p w14:paraId="52079F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firstLine="0" w:firstLineChars="0"/>
        <w:jc w:val="left"/>
        <w:outlineLvl w:val="1"/>
        <w:rPr>
          <w:rFonts w:ascii="Arial" w:hAnsi="Arial" w:eastAsia="宋体" w:cs="Times New Roman"/>
          <w:b/>
          <w:bCs/>
          <w:color w:val="000000"/>
          <w:kern w:val="2"/>
          <w:sz w:val="24"/>
          <w:szCs w:val="24"/>
          <w:lang w:val="en-US" w:eastAsia="zh-CN" w:bidi="ar-SA"/>
        </w:rPr>
      </w:pPr>
      <w:r>
        <w:rPr>
          <w:rFonts w:hint="eastAsia" w:ascii="Arial" w:hAnsi="Arial" w:eastAsia="宋体" w:cs="Times New Roman"/>
          <w:b/>
          <w:bCs/>
          <w:color w:val="000000"/>
          <w:kern w:val="2"/>
          <w:sz w:val="24"/>
          <w:szCs w:val="24"/>
          <w:lang w:val="en-US" w:eastAsia="zh-CN" w:bidi="ar-SA"/>
        </w:rPr>
        <w:t>四</w:t>
      </w:r>
      <w:r>
        <w:rPr>
          <w:rFonts w:ascii="Arial" w:hAnsi="Arial" w:eastAsia="宋体" w:cs="Times New Roman"/>
          <w:b/>
          <w:bCs/>
          <w:color w:val="000000"/>
          <w:kern w:val="2"/>
          <w:sz w:val="24"/>
          <w:szCs w:val="24"/>
          <w:lang w:val="en-US" w:eastAsia="zh-CN" w:bidi="ar-SA"/>
        </w:rPr>
        <w:t>、验收标准和方法</w:t>
      </w:r>
    </w:p>
    <w:p w14:paraId="11EF3B4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val="en-US" w:eastAsia="zh-CN"/>
        </w:rPr>
        <w:t>1、</w:t>
      </w:r>
      <w:r>
        <w:rPr>
          <w:rFonts w:ascii="Times New Roman" w:hAnsi="Times New Roman" w:eastAsia="宋体" w:cs="Times New Roman"/>
          <w:color w:val="000000"/>
          <w:kern w:val="2"/>
          <w:sz w:val="24"/>
          <w:szCs w:val="24"/>
          <w:lang w:val="en-US" w:eastAsia="zh-CN"/>
        </w:rPr>
        <w:t>本项目验收分为到货验收、安装调试验收、最终验收三个阶段，所有验收环节均须采购人、供应商双方共同参与，验收记录双方签字确认后存档，存档期限不少于5年。</w:t>
      </w:r>
    </w:p>
    <w:p w14:paraId="43C6949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val="en-US" w:eastAsia="zh-CN"/>
        </w:rPr>
        <w:t>2、</w:t>
      </w:r>
      <w:r>
        <w:rPr>
          <w:rFonts w:ascii="Times New Roman" w:hAnsi="Times New Roman" w:eastAsia="宋体" w:cs="Times New Roman"/>
          <w:color w:val="000000"/>
          <w:kern w:val="2"/>
          <w:sz w:val="24"/>
          <w:szCs w:val="24"/>
        </w:rPr>
        <w:t>到货验收：货物送达采购人指定地点后，双方在3个工作日内共同开箱查验，核对货物的品牌、型号、规格、数量、产地、出厂合格证、技术资料等，须与采购清单、合同约定完全一致，且无进口产品、无外观破损、无缺件漏项。验收不合格的，采购人有权拒收货物，供应商须在3个工作日内完成更换、补齐，直至到货验收合格，相关费用全部由供应商承担。</w:t>
      </w:r>
    </w:p>
    <w:p w14:paraId="64C61F5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val="en-US" w:eastAsia="zh-CN"/>
        </w:rPr>
        <w:t>3、</w:t>
      </w:r>
      <w:r>
        <w:rPr>
          <w:rFonts w:ascii="Times New Roman" w:hAnsi="Times New Roman" w:eastAsia="宋体" w:cs="Times New Roman"/>
          <w:color w:val="000000"/>
          <w:kern w:val="2"/>
          <w:sz w:val="24"/>
          <w:szCs w:val="24"/>
        </w:rPr>
        <w:t>安装调试验收：到货验收合格后，供应商须在15个工作日内完成全部设备的安装、调试，提交安装调试报告，采购人对设备的技术参数、性能指标进行全面核验，须完全符合本项目技术要求、国家及行业标准。调试合格后，双方签署安装调试确认单，设备进入30日历天的试运行期。</w:t>
      </w:r>
    </w:p>
    <w:p w14:paraId="5B137A4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val="en-US" w:eastAsia="zh-CN"/>
        </w:rPr>
        <w:t>4、</w:t>
      </w:r>
      <w:r>
        <w:rPr>
          <w:rFonts w:ascii="Times New Roman" w:hAnsi="Times New Roman" w:eastAsia="宋体" w:cs="Times New Roman"/>
          <w:color w:val="000000"/>
          <w:kern w:val="2"/>
          <w:sz w:val="24"/>
          <w:szCs w:val="24"/>
        </w:rPr>
        <w:t>最终验收：试运行期内设备运行稳定，各项性能指标符合要求，无故障、无质量问题，试运行期满后，采购人在5个工作日内组织最终验收。验收合格的，双方签署最终验收报告；验收不合格的，供应商须在7个工作日内完成返工、更换，直至验收合格，相关返工、检测、运输等全部费用由供应商承担。</w:t>
      </w:r>
    </w:p>
    <w:p w14:paraId="021CA1A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val="en-US" w:eastAsia="zh-CN"/>
        </w:rPr>
        <w:t>5、</w:t>
      </w:r>
      <w:r>
        <w:rPr>
          <w:rFonts w:ascii="Times New Roman" w:hAnsi="Times New Roman" w:eastAsia="宋体" w:cs="Times New Roman"/>
          <w:color w:val="000000"/>
          <w:kern w:val="2"/>
          <w:sz w:val="24"/>
          <w:szCs w:val="24"/>
        </w:rPr>
        <w:t>验收标准：国家有强制性规定的，按国家最新强制性标准执行；无强制性规定的，按本项目采购清单、技术要求、合同约定执行。验收过程中产生的所有检测费用、验收费用均由供应商承担，最终验收报告作为申请付款的核心凭证。</w:t>
      </w:r>
    </w:p>
    <w:p w14:paraId="6B986F3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val="en-US" w:eastAsia="zh-CN"/>
        </w:rPr>
        <w:t>6、</w:t>
      </w:r>
      <w:r>
        <w:rPr>
          <w:rFonts w:ascii="Times New Roman" w:hAnsi="Times New Roman" w:eastAsia="宋体" w:cs="Times New Roman"/>
          <w:color w:val="000000"/>
          <w:kern w:val="2"/>
          <w:sz w:val="24"/>
          <w:szCs w:val="24"/>
        </w:rPr>
        <w:t>纠纷处理：验收过程中产生质量纠纷的，由双方共同委托具备法定资质的计量检测机构进行检测，检测结果为最终判定依据。如为供应商原因导致的不合格，检测费用、返工费用、采购人的全部损失均由供应商承担；否则由采购人承担。</w:t>
      </w:r>
    </w:p>
    <w:p w14:paraId="172773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firstLine="0" w:firstLineChars="0"/>
        <w:jc w:val="left"/>
        <w:outlineLvl w:val="1"/>
        <w:rPr>
          <w:rFonts w:ascii="Arial" w:hAnsi="Arial" w:eastAsia="宋体" w:cs="Times New Roman"/>
          <w:b/>
          <w:bCs/>
          <w:color w:val="000000"/>
          <w:kern w:val="2"/>
          <w:sz w:val="24"/>
          <w:szCs w:val="24"/>
          <w:lang w:val="en-US" w:eastAsia="zh-CN" w:bidi="ar-SA"/>
        </w:rPr>
      </w:pPr>
      <w:r>
        <w:rPr>
          <w:rFonts w:hint="eastAsia" w:ascii="Arial" w:hAnsi="Arial" w:eastAsia="宋体" w:cs="Times New Roman"/>
          <w:b/>
          <w:bCs/>
          <w:color w:val="000000"/>
          <w:kern w:val="2"/>
          <w:sz w:val="24"/>
          <w:szCs w:val="24"/>
          <w:lang w:val="en-US" w:eastAsia="zh-CN" w:bidi="ar-SA"/>
        </w:rPr>
        <w:t>五</w:t>
      </w:r>
      <w:r>
        <w:rPr>
          <w:rFonts w:ascii="Arial" w:hAnsi="Arial" w:eastAsia="宋体" w:cs="Times New Roman"/>
          <w:b/>
          <w:bCs/>
          <w:color w:val="000000"/>
          <w:kern w:val="2"/>
          <w:sz w:val="24"/>
          <w:szCs w:val="24"/>
          <w:lang w:val="en-US" w:eastAsia="zh-CN" w:bidi="ar-SA"/>
        </w:rPr>
        <w:t>、售后服务要求</w:t>
      </w:r>
    </w:p>
    <w:p w14:paraId="065F7FF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hint="eastAsia"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val="en-US" w:eastAsia="zh-CN"/>
        </w:rPr>
        <w:t>1、</w:t>
      </w:r>
      <w:r>
        <w:rPr>
          <w:rFonts w:ascii="Times New Roman" w:hAnsi="Times New Roman" w:eastAsia="宋体" w:cs="Times New Roman"/>
          <w:color w:val="000000"/>
          <w:kern w:val="2"/>
          <w:sz w:val="24"/>
          <w:szCs w:val="24"/>
        </w:rPr>
        <w:t>质保期约定：</w:t>
      </w:r>
    </w:p>
    <w:p w14:paraId="57E656D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hint="eastAsia" w:ascii="Times New Roman" w:hAnsi="Times New Roman" w:eastAsia="宋体" w:cs="Times New Roman"/>
          <w:color w:val="000000"/>
          <w:kern w:val="2"/>
          <w:sz w:val="24"/>
          <w:szCs w:val="24"/>
          <w:lang w:val="en-US" w:eastAsia="zh-CN"/>
        </w:rPr>
      </w:pPr>
      <w:r>
        <w:rPr>
          <w:rFonts w:ascii="Times New Roman" w:hAnsi="Times New Roman" w:eastAsia="宋体" w:cs="Times New Roman"/>
          <w:color w:val="000000"/>
          <w:kern w:val="2"/>
          <w:sz w:val="24"/>
          <w:szCs w:val="24"/>
        </w:rPr>
        <w:t>（1）</w:t>
      </w:r>
      <w:r>
        <w:rPr>
          <w:rFonts w:hint="eastAsia" w:ascii="Times New Roman" w:hAnsi="Times New Roman" w:eastAsia="宋体" w:cs="Times New Roman"/>
          <w:color w:val="000000"/>
          <w:kern w:val="2"/>
          <w:sz w:val="24"/>
          <w:szCs w:val="24"/>
        </w:rPr>
        <w:t>全自动高锰酸盐指数分析仪整机免费质保≥3年；其余所有设备整机免费质保≥1年；质保期自最终验收合格之日起计算。</w:t>
      </w:r>
    </w:p>
    <w:p w14:paraId="1C3F61A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hint="eastAsia" w:ascii="Times New Roman" w:hAnsi="Times New Roman" w:eastAsia="宋体" w:cs="Times New Roman"/>
          <w:color w:val="000000"/>
          <w:kern w:val="2"/>
          <w:sz w:val="24"/>
          <w:szCs w:val="24"/>
          <w:lang w:eastAsia="zh-CN"/>
        </w:rPr>
      </w:pPr>
      <w:r>
        <w:rPr>
          <w:rFonts w:ascii="Times New Roman" w:hAnsi="Times New Roman" w:eastAsia="宋体" w:cs="Times New Roman"/>
          <w:color w:val="000000"/>
          <w:kern w:val="2"/>
          <w:sz w:val="24"/>
          <w:szCs w:val="24"/>
        </w:rPr>
        <w:t>（</w:t>
      </w:r>
      <w:r>
        <w:rPr>
          <w:rFonts w:hint="eastAsia" w:ascii="Times New Roman" w:hAnsi="Times New Roman" w:eastAsia="宋体" w:cs="Times New Roman"/>
          <w:color w:val="000000"/>
          <w:kern w:val="2"/>
          <w:sz w:val="24"/>
          <w:szCs w:val="24"/>
          <w:lang w:val="en-US" w:eastAsia="zh-CN"/>
        </w:rPr>
        <w:t>2</w:t>
      </w:r>
      <w:r>
        <w:rPr>
          <w:rFonts w:ascii="Times New Roman" w:hAnsi="Times New Roman" w:eastAsia="宋体" w:cs="Times New Roman"/>
          <w:color w:val="000000"/>
          <w:kern w:val="2"/>
          <w:sz w:val="24"/>
          <w:szCs w:val="24"/>
        </w:rPr>
        <w:t>）</w:t>
      </w:r>
      <w:r>
        <w:rPr>
          <w:rFonts w:hint="eastAsia" w:ascii="Times New Roman" w:hAnsi="Times New Roman" w:eastAsia="宋体" w:cs="Times New Roman"/>
          <w:color w:val="000000"/>
          <w:kern w:val="2"/>
          <w:sz w:val="24"/>
          <w:szCs w:val="24"/>
        </w:rPr>
        <w:t>所有设备的配套软件提供免费升级服务期限与整机质保对齐，质保期满后供应商应提供终身技术支持与成本价升级服务，确保数据合规性</w:t>
      </w:r>
      <w:r>
        <w:rPr>
          <w:rFonts w:ascii="Times New Roman" w:hAnsi="Times New Roman" w:eastAsia="宋体" w:cs="Times New Roman"/>
          <w:color w:val="000000"/>
          <w:kern w:val="2"/>
          <w:sz w:val="24"/>
          <w:szCs w:val="24"/>
        </w:rPr>
        <w:t>；</w:t>
      </w:r>
    </w:p>
    <w:p w14:paraId="14492D0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ascii="Times New Roman" w:hAnsi="Times New Roman" w:eastAsia="宋体" w:cs="Times New Roman"/>
          <w:color w:val="000000"/>
          <w:kern w:val="2"/>
          <w:sz w:val="24"/>
          <w:szCs w:val="24"/>
        </w:rPr>
        <w:t>（</w:t>
      </w:r>
      <w:r>
        <w:rPr>
          <w:rFonts w:hint="eastAsia" w:ascii="Times New Roman" w:hAnsi="Times New Roman" w:eastAsia="宋体" w:cs="Times New Roman"/>
          <w:color w:val="000000"/>
          <w:kern w:val="2"/>
          <w:sz w:val="24"/>
          <w:szCs w:val="24"/>
          <w:lang w:val="en-US" w:eastAsia="zh-CN"/>
        </w:rPr>
        <w:t>3</w:t>
      </w:r>
      <w:r>
        <w:rPr>
          <w:rFonts w:ascii="Times New Roman" w:hAnsi="Times New Roman" w:eastAsia="宋体" w:cs="Times New Roman"/>
          <w:color w:val="000000"/>
          <w:kern w:val="2"/>
          <w:sz w:val="24"/>
          <w:szCs w:val="24"/>
        </w:rPr>
        <w:t>）质保期内，设备出现任何质量问题（人为破坏、自然灾害等不可抗力除外），供应商负责免费维修、免费更换损坏的零部件，直至设备恢复正常运行，所有费用均由供应商承担</w:t>
      </w:r>
      <w:r>
        <w:rPr>
          <w:rFonts w:hint="eastAsia" w:ascii="Times New Roman" w:hAnsi="Times New Roman" w:eastAsia="宋体" w:cs="Times New Roman"/>
          <w:color w:val="000000"/>
          <w:kern w:val="2"/>
          <w:sz w:val="24"/>
          <w:szCs w:val="24"/>
          <w:lang w:eastAsia="zh-CN"/>
        </w:rPr>
        <w:t>，</w:t>
      </w:r>
      <w:r>
        <w:rPr>
          <w:rFonts w:ascii="Times New Roman" w:hAnsi="Times New Roman" w:eastAsia="宋体" w:cs="Times New Roman"/>
          <w:color w:val="000000"/>
          <w:kern w:val="2"/>
          <w:sz w:val="24"/>
          <w:szCs w:val="24"/>
        </w:rPr>
        <w:t>不向采购人收取任何费用。</w:t>
      </w:r>
    </w:p>
    <w:p w14:paraId="4CB3927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hint="eastAsia"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val="en-US" w:eastAsia="zh-CN"/>
        </w:rPr>
        <w:t>2、</w:t>
      </w:r>
      <w:r>
        <w:rPr>
          <w:rFonts w:ascii="Times New Roman" w:hAnsi="Times New Roman" w:eastAsia="宋体" w:cs="Times New Roman"/>
          <w:color w:val="000000"/>
          <w:kern w:val="2"/>
          <w:sz w:val="24"/>
          <w:szCs w:val="24"/>
        </w:rPr>
        <w:t>维修服务响应：</w:t>
      </w:r>
    </w:p>
    <w:p w14:paraId="14C2B89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hint="eastAsia" w:ascii="Times New Roman" w:hAnsi="Times New Roman" w:eastAsia="宋体" w:cs="Times New Roman"/>
          <w:color w:val="000000"/>
          <w:kern w:val="2"/>
          <w:sz w:val="24"/>
          <w:szCs w:val="24"/>
          <w:lang w:eastAsia="zh-CN"/>
        </w:rPr>
      </w:pPr>
      <w:r>
        <w:rPr>
          <w:rFonts w:ascii="Times New Roman" w:hAnsi="Times New Roman" w:eastAsia="宋体" w:cs="Times New Roman"/>
          <w:color w:val="000000"/>
          <w:kern w:val="2"/>
          <w:sz w:val="24"/>
          <w:szCs w:val="24"/>
        </w:rPr>
        <w:t>（1）质保期内</w:t>
      </w:r>
      <w:r>
        <w:rPr>
          <w:rFonts w:hint="eastAsia" w:ascii="Times New Roman" w:hAnsi="Times New Roman" w:eastAsia="宋体" w:cs="Times New Roman"/>
          <w:color w:val="000000"/>
          <w:kern w:val="2"/>
          <w:sz w:val="24"/>
          <w:szCs w:val="24"/>
          <w:lang w:eastAsia="zh-CN"/>
        </w:rPr>
        <w:t>，</w:t>
      </w:r>
      <w:r>
        <w:rPr>
          <w:rFonts w:ascii="Times New Roman" w:hAnsi="Times New Roman" w:eastAsia="宋体" w:cs="Times New Roman"/>
          <w:color w:val="000000"/>
          <w:kern w:val="2"/>
          <w:sz w:val="24"/>
          <w:szCs w:val="24"/>
        </w:rPr>
        <w:t>设备发生故障，供应商接到采购人的电话、书面等通知后，须在1小时内作出响应，提供远程技术支持；</w:t>
      </w:r>
    </w:p>
    <w:p w14:paraId="42CF9B8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hint="eastAsia" w:ascii="Times New Roman" w:hAnsi="Times New Roman" w:eastAsia="宋体" w:cs="Times New Roman"/>
          <w:color w:val="000000"/>
          <w:kern w:val="2"/>
          <w:sz w:val="24"/>
          <w:szCs w:val="24"/>
          <w:lang w:eastAsia="zh-CN"/>
        </w:rPr>
      </w:pPr>
      <w:r>
        <w:rPr>
          <w:rFonts w:ascii="Times New Roman" w:hAnsi="Times New Roman" w:eastAsia="宋体" w:cs="Times New Roman"/>
          <w:color w:val="000000"/>
          <w:kern w:val="2"/>
          <w:sz w:val="24"/>
          <w:szCs w:val="24"/>
        </w:rPr>
        <w:t>（2）</w:t>
      </w:r>
      <w:r>
        <w:rPr>
          <w:rFonts w:hint="eastAsia" w:ascii="Times New Roman" w:hAnsi="Times New Roman" w:eastAsia="宋体" w:cs="Times New Roman"/>
          <w:color w:val="000000"/>
          <w:kern w:val="2"/>
          <w:sz w:val="24"/>
          <w:szCs w:val="24"/>
        </w:rPr>
        <w:t>如需现场维修，供应商须24小时（工作日）内派遣持证专业技术人员抵达现场；法定节假日优先远程支持，重大监测应急故障可协商提供备用设备</w:t>
      </w:r>
      <w:r>
        <w:rPr>
          <w:rFonts w:ascii="Times New Roman" w:hAnsi="Times New Roman" w:eastAsia="宋体" w:cs="Times New Roman"/>
          <w:color w:val="000000"/>
          <w:kern w:val="2"/>
          <w:sz w:val="24"/>
          <w:szCs w:val="24"/>
        </w:rPr>
        <w:t>；</w:t>
      </w:r>
    </w:p>
    <w:p w14:paraId="78093E3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ascii="Times New Roman" w:hAnsi="Times New Roman" w:eastAsia="宋体" w:cs="Times New Roman"/>
          <w:color w:val="000000"/>
          <w:kern w:val="2"/>
          <w:sz w:val="24"/>
          <w:szCs w:val="24"/>
        </w:rPr>
        <w:t>（3）如供应商未按约定时限到达现场，或无法在48小时内解决设备故障，采购人有权委托第三方单位进行维修，产生的全部维修费用、配件费用均由供应商承担，采购人有权从质保金中直接扣除。</w:t>
      </w:r>
    </w:p>
    <w:p w14:paraId="6474891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hint="eastAsia"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val="en-US" w:eastAsia="zh-CN"/>
        </w:rPr>
        <w:t>3、</w:t>
      </w:r>
      <w:r>
        <w:rPr>
          <w:rFonts w:ascii="Times New Roman" w:hAnsi="Times New Roman" w:eastAsia="宋体" w:cs="Times New Roman"/>
          <w:color w:val="000000"/>
          <w:kern w:val="2"/>
          <w:sz w:val="24"/>
          <w:szCs w:val="24"/>
        </w:rPr>
        <w:t>质保期满后服务：</w:t>
      </w:r>
    </w:p>
    <w:p w14:paraId="23DC1FA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hint="eastAsia" w:ascii="Times New Roman" w:hAnsi="Times New Roman" w:eastAsia="宋体" w:cs="Times New Roman"/>
          <w:color w:val="000000"/>
          <w:kern w:val="2"/>
          <w:sz w:val="24"/>
          <w:szCs w:val="24"/>
          <w:lang w:eastAsia="zh-CN"/>
        </w:rPr>
      </w:pPr>
      <w:r>
        <w:rPr>
          <w:rFonts w:ascii="Times New Roman" w:hAnsi="Times New Roman" w:eastAsia="宋体" w:cs="Times New Roman"/>
          <w:color w:val="000000"/>
          <w:kern w:val="2"/>
          <w:sz w:val="24"/>
          <w:szCs w:val="24"/>
        </w:rPr>
        <w:t>（1）质保期满后，供应商须提供终身维修、技术支持服务，仅收取更换零配件的成本费用，不得额外收取技术服务费、上门费等其他费用；</w:t>
      </w:r>
    </w:p>
    <w:p w14:paraId="6A7E1C6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ascii="Times New Roman" w:hAnsi="Times New Roman" w:eastAsia="宋体" w:cs="Times New Roman"/>
          <w:color w:val="000000"/>
          <w:kern w:val="2"/>
          <w:sz w:val="24"/>
          <w:szCs w:val="24"/>
        </w:rPr>
        <w:t>（2）供应商须长期稳定提供设备的原厂零配件、耗材，确保设备的正常使用，零配件、耗材的价格不得高于市场同期同类产品的平均价格。</w:t>
      </w:r>
    </w:p>
    <w:p w14:paraId="1AA0698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val="en-US" w:eastAsia="zh-CN"/>
        </w:rPr>
        <w:t>(3)</w:t>
      </w:r>
      <w:r>
        <w:rPr>
          <w:rFonts w:ascii="Times New Roman" w:hAnsi="Times New Roman" w:eastAsia="宋体" w:cs="Times New Roman"/>
          <w:color w:val="000000"/>
          <w:kern w:val="2"/>
          <w:sz w:val="24"/>
          <w:szCs w:val="24"/>
        </w:rPr>
        <w:t>服务保障：供应商须在响应文件中明确提供本项目的售后服务机构地址、负责人、联系电话、邮箱等信息，确保售后服务渠道畅通，采购人可随时联系到售后服务人员。</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21"/>
        <w:gridCol w:w="4198"/>
      </w:tblGrid>
      <w:tr w14:paraId="000AF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21" w:type="dxa"/>
          </w:tcPr>
          <w:p w14:paraId="5E68133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both"/>
              <w:rPr>
                <w:rFonts w:hint="eastAsia"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en-US"/>
              </w:rPr>
              <w:t>单位：</w:t>
            </w:r>
          </w:p>
        </w:tc>
        <w:tc>
          <w:tcPr>
            <w:tcW w:w="4198" w:type="dxa"/>
          </w:tcPr>
          <w:p w14:paraId="0E1277BA">
            <w:pPr>
              <w:widowControl/>
              <w:kinsoku w:val="0"/>
              <w:autoSpaceDE w:val="0"/>
              <w:autoSpaceDN w:val="0"/>
              <w:adjustRightInd w:val="0"/>
              <w:snapToGrid w:val="0"/>
              <w:spacing w:before="191" w:line="360" w:lineRule="auto"/>
              <w:jc w:val="left"/>
              <w:textAlignment w:val="baseline"/>
              <w:rPr>
                <w:rFonts w:hint="eastAsia" w:ascii="宋体" w:hAnsi="宋体" w:eastAsia="宋体" w:cs="宋体"/>
                <w:snapToGrid w:val="0"/>
                <w:color w:val="000000"/>
                <w:spacing w:val="-7"/>
                <w:kern w:val="0"/>
                <w:sz w:val="24"/>
                <w:szCs w:val="24"/>
                <w:vertAlign w:val="baseline"/>
                <w:lang w:eastAsia="en-US"/>
              </w:rPr>
            </w:pPr>
          </w:p>
        </w:tc>
      </w:tr>
      <w:tr w14:paraId="3D012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21" w:type="dxa"/>
          </w:tcPr>
          <w:p w14:paraId="0174D10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both"/>
              <w:rPr>
                <w:rFonts w:hint="eastAsia"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en-US"/>
              </w:rPr>
              <w:t>地址：</w:t>
            </w:r>
          </w:p>
        </w:tc>
        <w:tc>
          <w:tcPr>
            <w:tcW w:w="4198" w:type="dxa"/>
          </w:tcPr>
          <w:p w14:paraId="353710DF">
            <w:pPr>
              <w:widowControl/>
              <w:kinsoku w:val="0"/>
              <w:autoSpaceDE w:val="0"/>
              <w:autoSpaceDN w:val="0"/>
              <w:adjustRightInd w:val="0"/>
              <w:snapToGrid w:val="0"/>
              <w:spacing w:before="191" w:line="360" w:lineRule="auto"/>
              <w:jc w:val="left"/>
              <w:textAlignment w:val="baseline"/>
              <w:rPr>
                <w:rFonts w:hint="eastAsia" w:ascii="宋体" w:hAnsi="宋体" w:eastAsia="宋体" w:cs="宋体"/>
                <w:snapToGrid w:val="0"/>
                <w:color w:val="000000"/>
                <w:spacing w:val="-7"/>
                <w:kern w:val="0"/>
                <w:sz w:val="24"/>
                <w:szCs w:val="24"/>
                <w:vertAlign w:val="baseline"/>
                <w:lang w:eastAsia="en-US"/>
              </w:rPr>
            </w:pPr>
          </w:p>
        </w:tc>
      </w:tr>
      <w:tr w14:paraId="0C755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21" w:type="dxa"/>
          </w:tcPr>
          <w:p w14:paraId="5F6C74D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both"/>
              <w:rPr>
                <w:rFonts w:hint="eastAsia" w:ascii="Times New Roman" w:hAnsi="Times New Roman" w:eastAsia="宋体" w:cs="Times New Roman"/>
                <w:color w:val="000000"/>
                <w:kern w:val="2"/>
                <w:sz w:val="24"/>
                <w:szCs w:val="24"/>
                <w:lang w:eastAsia="en-US"/>
              </w:rPr>
            </w:pPr>
            <w:r>
              <w:rPr>
                <w:rFonts w:hint="eastAsia" w:ascii="Times New Roman" w:hAnsi="Times New Roman" w:eastAsia="宋体" w:cs="Times New Roman"/>
                <w:color w:val="000000"/>
                <w:kern w:val="2"/>
                <w:sz w:val="24"/>
                <w:szCs w:val="24"/>
                <w:lang w:eastAsia="en-US"/>
              </w:rPr>
              <w:t>联系人：</w:t>
            </w:r>
          </w:p>
        </w:tc>
        <w:tc>
          <w:tcPr>
            <w:tcW w:w="4198" w:type="dxa"/>
          </w:tcPr>
          <w:p w14:paraId="61E0A358">
            <w:pPr>
              <w:widowControl/>
              <w:kinsoku w:val="0"/>
              <w:autoSpaceDE w:val="0"/>
              <w:autoSpaceDN w:val="0"/>
              <w:adjustRightInd w:val="0"/>
              <w:snapToGrid w:val="0"/>
              <w:spacing w:before="191" w:line="360" w:lineRule="auto"/>
              <w:jc w:val="left"/>
              <w:textAlignment w:val="baseline"/>
              <w:rPr>
                <w:rFonts w:hint="eastAsia" w:ascii="宋体" w:hAnsi="宋体" w:eastAsia="宋体" w:cs="宋体"/>
                <w:snapToGrid w:val="0"/>
                <w:color w:val="000000"/>
                <w:spacing w:val="-7"/>
                <w:kern w:val="0"/>
                <w:sz w:val="24"/>
                <w:szCs w:val="24"/>
                <w:vertAlign w:val="baseline"/>
                <w:lang w:eastAsia="en-US"/>
              </w:rPr>
            </w:pPr>
          </w:p>
        </w:tc>
      </w:tr>
      <w:tr w14:paraId="603FE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221" w:type="dxa"/>
          </w:tcPr>
          <w:p w14:paraId="6BFC12C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both"/>
              <w:rPr>
                <w:rFonts w:hint="eastAsia" w:ascii="Times New Roman" w:hAnsi="Times New Roman" w:eastAsia="宋体" w:cs="Times New Roman"/>
                <w:color w:val="000000"/>
                <w:kern w:val="2"/>
                <w:sz w:val="24"/>
                <w:szCs w:val="24"/>
                <w:lang w:eastAsia="en-US"/>
              </w:rPr>
            </w:pPr>
            <w:r>
              <w:rPr>
                <w:rFonts w:hint="eastAsia" w:ascii="Times New Roman" w:hAnsi="Times New Roman" w:eastAsia="宋体" w:cs="Times New Roman"/>
                <w:color w:val="000000"/>
                <w:kern w:val="2"/>
                <w:sz w:val="24"/>
                <w:szCs w:val="24"/>
                <w:lang w:eastAsia="en-US"/>
              </w:rPr>
              <w:t>电话：</w:t>
            </w:r>
          </w:p>
        </w:tc>
        <w:tc>
          <w:tcPr>
            <w:tcW w:w="4198" w:type="dxa"/>
          </w:tcPr>
          <w:p w14:paraId="43BCC971">
            <w:pPr>
              <w:widowControl/>
              <w:kinsoku w:val="0"/>
              <w:autoSpaceDE w:val="0"/>
              <w:autoSpaceDN w:val="0"/>
              <w:adjustRightInd w:val="0"/>
              <w:snapToGrid w:val="0"/>
              <w:spacing w:before="191" w:line="360" w:lineRule="auto"/>
              <w:jc w:val="left"/>
              <w:textAlignment w:val="baseline"/>
              <w:rPr>
                <w:rFonts w:hint="eastAsia" w:ascii="宋体" w:hAnsi="宋体" w:eastAsia="宋体" w:cs="宋体"/>
                <w:snapToGrid w:val="0"/>
                <w:color w:val="000000"/>
                <w:spacing w:val="-7"/>
                <w:kern w:val="0"/>
                <w:sz w:val="24"/>
                <w:szCs w:val="24"/>
                <w:vertAlign w:val="baseline"/>
                <w:lang w:eastAsia="en-US"/>
              </w:rPr>
            </w:pPr>
          </w:p>
        </w:tc>
      </w:tr>
      <w:tr w14:paraId="30DA3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4221" w:type="dxa"/>
          </w:tcPr>
          <w:p w14:paraId="3C6A9BD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both"/>
              <w:rPr>
                <w:rFonts w:hint="eastAsia" w:ascii="Times New Roman" w:hAnsi="Times New Roman" w:eastAsia="宋体" w:cs="Times New Roman"/>
                <w:color w:val="000000"/>
                <w:kern w:val="2"/>
                <w:sz w:val="24"/>
                <w:szCs w:val="24"/>
                <w:lang w:eastAsia="zh-CN"/>
              </w:rPr>
            </w:pPr>
            <w:r>
              <w:rPr>
                <w:rFonts w:hint="eastAsia" w:ascii="Times New Roman" w:hAnsi="Times New Roman" w:eastAsia="宋体" w:cs="Times New Roman"/>
                <w:color w:val="000000"/>
                <w:kern w:val="2"/>
                <w:sz w:val="24"/>
                <w:szCs w:val="24"/>
                <w:lang w:eastAsia="en-US"/>
              </w:rPr>
              <w:t>邮编</w:t>
            </w:r>
            <w:r>
              <w:rPr>
                <w:rFonts w:hint="eastAsia" w:ascii="Times New Roman" w:hAnsi="Times New Roman" w:eastAsia="宋体" w:cs="Times New Roman"/>
                <w:color w:val="000000"/>
                <w:kern w:val="2"/>
                <w:sz w:val="24"/>
                <w:szCs w:val="24"/>
                <w:lang w:eastAsia="zh-CN"/>
              </w:rPr>
              <w:t>：</w:t>
            </w:r>
          </w:p>
        </w:tc>
        <w:tc>
          <w:tcPr>
            <w:tcW w:w="4198" w:type="dxa"/>
          </w:tcPr>
          <w:p w14:paraId="09038B3C">
            <w:pPr>
              <w:widowControl/>
              <w:kinsoku w:val="0"/>
              <w:autoSpaceDE w:val="0"/>
              <w:autoSpaceDN w:val="0"/>
              <w:adjustRightInd w:val="0"/>
              <w:snapToGrid w:val="0"/>
              <w:spacing w:before="191" w:line="360" w:lineRule="auto"/>
              <w:jc w:val="left"/>
              <w:textAlignment w:val="baseline"/>
              <w:rPr>
                <w:rFonts w:hint="eastAsia" w:ascii="宋体" w:hAnsi="宋体" w:eastAsia="宋体" w:cs="宋体"/>
                <w:snapToGrid w:val="0"/>
                <w:color w:val="000000"/>
                <w:spacing w:val="-7"/>
                <w:kern w:val="0"/>
                <w:sz w:val="24"/>
                <w:szCs w:val="24"/>
                <w:vertAlign w:val="baseline"/>
                <w:lang w:eastAsia="en-US"/>
              </w:rPr>
            </w:pPr>
          </w:p>
        </w:tc>
      </w:tr>
    </w:tbl>
    <w:p w14:paraId="3F1D05A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jc w:val="left"/>
        <w:rPr>
          <w:rFonts w:ascii="Times New Roman" w:hAnsi="Times New Roman" w:eastAsia="宋体" w:cs="Times New Roman"/>
          <w:color w:val="000000"/>
          <w:kern w:val="2"/>
          <w:sz w:val="24"/>
          <w:szCs w:val="24"/>
        </w:rPr>
      </w:pPr>
    </w:p>
    <w:p w14:paraId="6E72DA2A">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720" w:firstLineChars="300"/>
        <w:jc w:val="left"/>
        <w:rPr>
          <w:rFonts w:ascii="Times New Roman" w:hAnsi="Times New Roman" w:eastAsia="宋体" w:cs="Times New Roman"/>
          <w:color w:val="000000"/>
          <w:kern w:val="2"/>
          <w:sz w:val="24"/>
          <w:szCs w:val="24"/>
        </w:rPr>
      </w:pPr>
      <w:r>
        <w:rPr>
          <w:rFonts w:ascii="Times New Roman" w:hAnsi="Times New Roman" w:eastAsia="宋体" w:cs="Times New Roman"/>
          <w:color w:val="000000"/>
          <w:kern w:val="2"/>
          <w:sz w:val="24"/>
          <w:szCs w:val="24"/>
        </w:rPr>
        <w:t>培训服务：</w:t>
      </w:r>
    </w:p>
    <w:p w14:paraId="4DCCB94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363" w:leftChars="0" w:right="0" w:rightChars="0" w:firstLine="480" w:firstLineChars="200"/>
        <w:jc w:val="left"/>
        <w:textAlignment w:val="auto"/>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eastAsia="zh-CN"/>
        </w:rPr>
        <w:t>（</w:t>
      </w:r>
      <w:r>
        <w:rPr>
          <w:rFonts w:hint="eastAsia" w:ascii="Times New Roman" w:hAnsi="Times New Roman" w:eastAsia="宋体" w:cs="Times New Roman"/>
          <w:color w:val="000000"/>
          <w:kern w:val="2"/>
          <w:sz w:val="24"/>
          <w:szCs w:val="24"/>
          <w:lang w:val="en-US" w:eastAsia="zh-CN"/>
        </w:rPr>
        <w:t>1</w:t>
      </w:r>
      <w:r>
        <w:rPr>
          <w:rFonts w:hint="eastAsia" w:ascii="Times New Roman" w:hAnsi="Times New Roman" w:eastAsia="宋体" w:cs="Times New Roman"/>
          <w:color w:val="000000"/>
          <w:kern w:val="2"/>
          <w:sz w:val="24"/>
          <w:szCs w:val="24"/>
          <w:lang w:eastAsia="zh-CN"/>
        </w:rPr>
        <w:t>）</w:t>
      </w:r>
      <w:r>
        <w:rPr>
          <w:rFonts w:ascii="Times New Roman" w:hAnsi="Times New Roman" w:eastAsia="宋体" w:cs="Times New Roman"/>
          <w:color w:val="000000"/>
          <w:kern w:val="2"/>
          <w:sz w:val="24"/>
          <w:szCs w:val="24"/>
        </w:rPr>
        <w:t>供应商须在设备安装调试完成后，为采购人的管理人员、操作人员、维护人员提供全面、系统的免费培训，确保参训人员能熟练掌握设备的操作、日常维护、故障排查、数据处理等技能，能独立完成日常水质监测工作；</w:t>
      </w:r>
    </w:p>
    <w:p w14:paraId="01F4B07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363" w:leftChars="0" w:right="0" w:rightChars="0" w:firstLine="480" w:firstLineChars="200"/>
        <w:jc w:val="left"/>
        <w:textAlignment w:val="auto"/>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eastAsia="zh-CN"/>
        </w:rPr>
        <w:t>（</w:t>
      </w:r>
      <w:r>
        <w:rPr>
          <w:rFonts w:hint="eastAsia" w:ascii="Times New Roman" w:hAnsi="Times New Roman" w:eastAsia="宋体" w:cs="Times New Roman"/>
          <w:color w:val="000000"/>
          <w:kern w:val="2"/>
          <w:sz w:val="24"/>
          <w:szCs w:val="24"/>
          <w:lang w:val="en-US" w:eastAsia="zh-CN"/>
        </w:rPr>
        <w:t>2</w:t>
      </w:r>
      <w:r>
        <w:rPr>
          <w:rFonts w:hint="eastAsia" w:ascii="Times New Roman" w:hAnsi="Times New Roman" w:eastAsia="宋体" w:cs="Times New Roman"/>
          <w:color w:val="000000"/>
          <w:kern w:val="2"/>
          <w:sz w:val="24"/>
          <w:szCs w:val="24"/>
          <w:lang w:eastAsia="zh-CN"/>
        </w:rPr>
        <w:t>）</w:t>
      </w:r>
      <w:r>
        <w:rPr>
          <w:rFonts w:ascii="Times New Roman" w:hAnsi="Times New Roman" w:eastAsia="宋体" w:cs="Times New Roman"/>
          <w:color w:val="000000"/>
          <w:kern w:val="2"/>
          <w:sz w:val="24"/>
          <w:szCs w:val="24"/>
        </w:rPr>
        <w:t>培训内容须包括：设备的工作原理、结构组成、操作规范、日常检查与维护保养、常见故障排查与处理、检测数据的分析与导出、软件的使用与升级等；</w:t>
      </w:r>
    </w:p>
    <w:p w14:paraId="00D418F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363" w:leftChars="0" w:right="0" w:rightChars="0" w:firstLine="480" w:firstLineChars="200"/>
        <w:jc w:val="left"/>
        <w:textAlignment w:val="auto"/>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eastAsia="zh-CN"/>
        </w:rPr>
        <w:t>（</w:t>
      </w:r>
      <w:r>
        <w:rPr>
          <w:rFonts w:hint="eastAsia" w:ascii="Times New Roman" w:hAnsi="Times New Roman" w:eastAsia="宋体" w:cs="Times New Roman"/>
          <w:color w:val="000000"/>
          <w:kern w:val="2"/>
          <w:sz w:val="24"/>
          <w:szCs w:val="24"/>
          <w:lang w:val="en-US" w:eastAsia="zh-CN"/>
        </w:rPr>
        <w:t>3</w:t>
      </w:r>
      <w:r>
        <w:rPr>
          <w:rFonts w:hint="eastAsia" w:ascii="Times New Roman" w:hAnsi="Times New Roman" w:eastAsia="宋体" w:cs="Times New Roman"/>
          <w:color w:val="000000"/>
          <w:kern w:val="2"/>
          <w:sz w:val="24"/>
          <w:szCs w:val="24"/>
          <w:lang w:eastAsia="zh-CN"/>
        </w:rPr>
        <w:t>）</w:t>
      </w:r>
      <w:r>
        <w:rPr>
          <w:rFonts w:ascii="Times New Roman" w:hAnsi="Times New Roman" w:eastAsia="宋体" w:cs="Times New Roman"/>
          <w:color w:val="000000"/>
          <w:kern w:val="2"/>
          <w:sz w:val="24"/>
          <w:szCs w:val="24"/>
        </w:rPr>
        <w:t>培训方式：现场实操培训为主，结合理论讲解，培训时长不少于2个工作日，直至所有参训人员考核合格为止；</w:t>
      </w:r>
    </w:p>
    <w:p w14:paraId="1004AEF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363" w:leftChars="0" w:right="0" w:rightChars="0" w:firstLine="480" w:firstLineChars="200"/>
        <w:jc w:val="left"/>
        <w:textAlignment w:val="auto"/>
        <w:rPr>
          <w:rFonts w:ascii="Times New Roman" w:hAnsi="Times New Roman" w:eastAsia="宋体" w:cs="Times New Roman"/>
          <w:color w:val="000000"/>
          <w:kern w:val="2"/>
          <w:sz w:val="24"/>
          <w:szCs w:val="24"/>
        </w:rPr>
      </w:pPr>
      <w:r>
        <w:rPr>
          <w:rFonts w:hint="eastAsia" w:ascii="Times New Roman" w:hAnsi="Times New Roman" w:eastAsia="宋体" w:cs="Times New Roman"/>
          <w:color w:val="000000"/>
          <w:kern w:val="2"/>
          <w:sz w:val="24"/>
          <w:szCs w:val="24"/>
          <w:lang w:eastAsia="zh-CN"/>
        </w:rPr>
        <w:t>（</w:t>
      </w:r>
      <w:r>
        <w:rPr>
          <w:rFonts w:hint="eastAsia" w:ascii="Times New Roman" w:hAnsi="Times New Roman" w:eastAsia="宋体" w:cs="Times New Roman"/>
          <w:color w:val="000000"/>
          <w:kern w:val="2"/>
          <w:sz w:val="24"/>
          <w:szCs w:val="24"/>
          <w:lang w:val="en-US" w:eastAsia="zh-CN"/>
        </w:rPr>
        <w:t>4</w:t>
      </w:r>
      <w:r>
        <w:rPr>
          <w:rFonts w:hint="eastAsia" w:ascii="Times New Roman" w:hAnsi="Times New Roman" w:eastAsia="宋体" w:cs="Times New Roman"/>
          <w:color w:val="000000"/>
          <w:kern w:val="2"/>
          <w:sz w:val="24"/>
          <w:szCs w:val="24"/>
          <w:lang w:eastAsia="zh-CN"/>
        </w:rPr>
        <w:t>）</w:t>
      </w:r>
      <w:r>
        <w:rPr>
          <w:rFonts w:ascii="Times New Roman" w:hAnsi="Times New Roman" w:eastAsia="宋体" w:cs="Times New Roman"/>
          <w:color w:val="000000"/>
          <w:kern w:val="2"/>
          <w:sz w:val="24"/>
          <w:szCs w:val="24"/>
        </w:rPr>
        <w:t>供应商须提供完整的培训资料，包括设备操作手册、维护手册、培训课件、考核标准等，所有资料须提供纸质版和电子版；</w:t>
      </w:r>
    </w:p>
    <w:p w14:paraId="34F6656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363" w:leftChars="0" w:right="0" w:rightChars="0" w:firstLine="480" w:firstLineChars="200"/>
        <w:jc w:val="left"/>
        <w:textAlignment w:val="auto"/>
        <w:rPr>
          <w:rFonts w:ascii="Times New Roman" w:hAnsi="Times New Roman" w:eastAsia="宋体" w:cs="Times New Roman"/>
          <w:color w:val="auto"/>
          <w:kern w:val="2"/>
          <w:sz w:val="24"/>
          <w:szCs w:val="24"/>
        </w:rPr>
      </w:pPr>
      <w:r>
        <w:rPr>
          <w:rFonts w:hint="eastAsia" w:ascii="Times New Roman" w:hAnsi="Times New Roman" w:eastAsia="宋体" w:cs="Times New Roman"/>
          <w:color w:val="000000"/>
          <w:kern w:val="2"/>
          <w:sz w:val="24"/>
          <w:szCs w:val="24"/>
          <w:lang w:eastAsia="zh-CN"/>
        </w:rPr>
        <w:t>（</w:t>
      </w:r>
      <w:r>
        <w:rPr>
          <w:rFonts w:hint="eastAsia" w:ascii="Times New Roman" w:hAnsi="Times New Roman" w:eastAsia="宋体" w:cs="Times New Roman"/>
          <w:color w:val="000000"/>
          <w:kern w:val="2"/>
          <w:sz w:val="24"/>
          <w:szCs w:val="24"/>
          <w:lang w:val="en-US" w:eastAsia="zh-CN"/>
        </w:rPr>
        <w:t>5</w:t>
      </w:r>
      <w:r>
        <w:rPr>
          <w:rFonts w:hint="eastAsia" w:ascii="Times New Roman" w:hAnsi="Times New Roman" w:eastAsia="宋体" w:cs="Times New Roman"/>
          <w:color w:val="000000"/>
          <w:kern w:val="2"/>
          <w:sz w:val="24"/>
          <w:szCs w:val="24"/>
          <w:lang w:eastAsia="zh-CN"/>
        </w:rPr>
        <w:t>）</w:t>
      </w:r>
      <w:r>
        <w:rPr>
          <w:rFonts w:ascii="Times New Roman" w:hAnsi="Times New Roman" w:eastAsia="宋体" w:cs="Times New Roman"/>
          <w:color w:val="000000"/>
          <w:kern w:val="2"/>
          <w:sz w:val="24"/>
          <w:szCs w:val="24"/>
        </w:rPr>
        <w:t>质保期内，供应商须根据采购人的需求，提供免费的复训服务，确保操作人员能持续</w:t>
      </w:r>
      <w:r>
        <w:rPr>
          <w:rFonts w:ascii="Times New Roman" w:hAnsi="Times New Roman" w:eastAsia="宋体" w:cs="Times New Roman"/>
          <w:color w:val="auto"/>
          <w:kern w:val="2"/>
          <w:sz w:val="24"/>
          <w:szCs w:val="24"/>
        </w:rPr>
        <w:t>掌握设备的使用技能。</w:t>
      </w:r>
    </w:p>
    <w:p w14:paraId="41D4BBB3">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firstLine="0" w:firstLineChars="0"/>
        <w:jc w:val="left"/>
        <w:outlineLvl w:val="1"/>
        <w:rPr>
          <w:rFonts w:ascii="Calibri" w:hAnsi="Calibri" w:eastAsia="宋体" w:cs="Times New Roman"/>
          <w:color w:val="auto"/>
          <w:kern w:val="2"/>
        </w:rPr>
      </w:pPr>
      <w:r>
        <w:rPr>
          <w:rFonts w:ascii="Arial" w:hAnsi="Arial" w:eastAsia="宋体" w:cs="Times New Roman"/>
          <w:b/>
          <w:bCs/>
          <w:color w:val="auto"/>
          <w:kern w:val="2"/>
          <w:sz w:val="24"/>
          <w:szCs w:val="24"/>
          <w:lang w:val="en-US" w:eastAsia="zh-CN" w:bidi="ar-SA"/>
        </w:rPr>
        <w:t>付款方式</w:t>
      </w:r>
    </w:p>
    <w:p w14:paraId="226439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firstLine="0" w:firstLineChars="0"/>
        <w:jc w:val="left"/>
        <w:outlineLvl w:val="1"/>
        <w:rPr>
          <w:rFonts w:hint="eastAsia" w:ascii="Times New Roman" w:hAnsi="Times New Roman" w:eastAsia="宋体" w:cs="Times New Roman"/>
          <w:color w:val="auto"/>
          <w:kern w:val="2"/>
          <w:sz w:val="24"/>
          <w:szCs w:val="24"/>
          <w:lang w:val="en-US" w:eastAsia="zh-CN"/>
        </w:rPr>
      </w:pPr>
      <w:r>
        <w:rPr>
          <w:rFonts w:hint="eastAsia" w:ascii="Times New Roman" w:hAnsi="Times New Roman" w:eastAsia="宋体" w:cs="Times New Roman"/>
          <w:color w:val="auto"/>
          <w:kern w:val="2"/>
          <w:sz w:val="24"/>
          <w:szCs w:val="24"/>
          <w:lang w:val="en-US" w:eastAsia="zh-CN"/>
        </w:rPr>
        <w:t>1、全部设备到货并安装调试完毕验收合格后，付至合同总价的95%；</w:t>
      </w:r>
    </w:p>
    <w:p w14:paraId="31119D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firstLine="0" w:firstLineChars="0"/>
        <w:jc w:val="left"/>
        <w:outlineLvl w:val="1"/>
        <w:rPr>
          <w:rFonts w:hint="eastAsia" w:ascii="Times New Roman" w:hAnsi="Times New Roman" w:eastAsia="宋体" w:cs="Times New Roman"/>
          <w:color w:val="auto"/>
          <w:kern w:val="2"/>
          <w:sz w:val="24"/>
          <w:szCs w:val="24"/>
          <w:lang w:val="en-US" w:eastAsia="zh-CN"/>
        </w:rPr>
      </w:pPr>
      <w:r>
        <w:rPr>
          <w:rFonts w:hint="eastAsia" w:ascii="Times New Roman" w:hAnsi="Times New Roman" w:eastAsia="宋体" w:cs="Times New Roman"/>
          <w:color w:val="auto"/>
          <w:kern w:val="2"/>
          <w:sz w:val="24"/>
          <w:szCs w:val="24"/>
          <w:lang w:val="en-US" w:eastAsia="zh-CN"/>
        </w:rPr>
        <w:t>2、剩余5%作为质量保障金，自最终验收合格之日起满1年且无质量问题后无息付清。</w:t>
      </w:r>
    </w:p>
    <w:p w14:paraId="38FD5F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leftChars="0" w:right="0" w:firstLine="0" w:firstLineChars="0"/>
        <w:jc w:val="left"/>
        <w:outlineLvl w:val="1"/>
        <w:rPr>
          <w:rFonts w:ascii="Arial" w:hAnsi="Arial" w:eastAsia="宋体" w:cs="Times New Roman"/>
          <w:b/>
          <w:bCs/>
          <w:color w:val="000000"/>
          <w:kern w:val="2"/>
          <w:sz w:val="24"/>
          <w:szCs w:val="24"/>
          <w:lang w:val="en-US" w:eastAsia="zh-CN" w:bidi="ar-SA"/>
        </w:rPr>
      </w:pPr>
      <w:r>
        <w:rPr>
          <w:rFonts w:hint="eastAsia" w:ascii="Arial" w:hAnsi="Arial" w:eastAsia="宋体" w:cs="Times New Roman"/>
          <w:b/>
          <w:bCs/>
          <w:color w:val="000000"/>
          <w:kern w:val="2"/>
          <w:sz w:val="24"/>
          <w:szCs w:val="24"/>
          <w:lang w:val="en-US" w:eastAsia="zh-CN" w:bidi="ar-SA"/>
        </w:rPr>
        <w:t>七、</w:t>
      </w:r>
      <w:r>
        <w:rPr>
          <w:rFonts w:ascii="Arial" w:hAnsi="Arial" w:eastAsia="宋体" w:cs="Times New Roman"/>
          <w:b/>
          <w:bCs/>
          <w:color w:val="000000"/>
          <w:kern w:val="2"/>
          <w:sz w:val="24"/>
          <w:szCs w:val="24"/>
          <w:lang w:val="en-US" w:eastAsia="zh-CN" w:bidi="ar-SA"/>
        </w:rPr>
        <w:t>其他说明</w:t>
      </w:r>
    </w:p>
    <w:p w14:paraId="245309A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jc w:val="left"/>
        <w:rPr>
          <w:rFonts w:hint="eastAsia" w:ascii="Times New Roman" w:hAnsi="Times New Roman" w:eastAsia="宋体" w:cs="Times New Roman"/>
          <w:color w:val="000000"/>
          <w:kern w:val="2"/>
          <w:sz w:val="24"/>
          <w:szCs w:val="24"/>
          <w:lang w:eastAsia="en-US"/>
        </w:rPr>
      </w:pPr>
      <w:r>
        <w:rPr>
          <w:rFonts w:hint="eastAsia" w:ascii="Times New Roman" w:hAnsi="Times New Roman" w:eastAsia="宋体" w:cs="Times New Roman"/>
          <w:color w:val="000000"/>
          <w:kern w:val="2"/>
          <w:sz w:val="24"/>
          <w:szCs w:val="24"/>
          <w:lang w:eastAsia="en-US"/>
        </w:rPr>
        <w:t>1、现场踏勘：现场踏勘：采购人不统一组织集中踏勘；各供应商如需实地踏勘实验室，可自行联系采购人，踏勘产生的交通、人工、安全等全部费用与风险由投标人自行承担。</w:t>
      </w:r>
    </w:p>
    <w:p w14:paraId="627E6BD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jc w:val="left"/>
        <w:rPr>
          <w:rFonts w:hint="eastAsia" w:ascii="Times New Roman" w:hAnsi="Times New Roman" w:eastAsia="宋体" w:cs="Times New Roman"/>
          <w:color w:val="000000"/>
          <w:kern w:val="2"/>
          <w:sz w:val="24"/>
          <w:szCs w:val="24"/>
          <w:lang w:eastAsia="en-US"/>
        </w:rPr>
      </w:pPr>
      <w:r>
        <w:rPr>
          <w:rFonts w:hint="eastAsia" w:ascii="Times New Roman" w:hAnsi="Times New Roman" w:eastAsia="宋体" w:cs="Times New Roman"/>
          <w:color w:val="000000"/>
          <w:kern w:val="2"/>
          <w:sz w:val="24"/>
          <w:szCs w:val="24"/>
          <w:lang w:eastAsia="en-US"/>
        </w:rPr>
        <w:t>2、其他未尽事宜，双方协商解决。</w:t>
      </w:r>
    </w:p>
    <w:p w14:paraId="608DD4F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jc w:val="left"/>
        <w:rPr>
          <w:rFonts w:hint="eastAsia" w:ascii="Times New Roman" w:hAnsi="Times New Roman" w:eastAsia="宋体" w:cs="Times New Roman"/>
          <w:color w:val="000000"/>
          <w:kern w:val="2"/>
          <w:sz w:val="24"/>
          <w:szCs w:val="24"/>
          <w:lang w:eastAsia="en-US"/>
        </w:rPr>
      </w:pPr>
      <w:r>
        <w:rPr>
          <w:rFonts w:hint="eastAsia" w:ascii="Times New Roman" w:hAnsi="Times New Roman" w:eastAsia="宋体" w:cs="Times New Roman"/>
          <w:color w:val="000000"/>
          <w:kern w:val="2"/>
          <w:sz w:val="24"/>
          <w:szCs w:val="24"/>
          <w:lang w:val="en-US" w:eastAsia="zh-CN"/>
        </w:rPr>
        <w:t>3、</w:t>
      </w:r>
      <w:r>
        <w:rPr>
          <w:rFonts w:hint="eastAsia" w:ascii="Times New Roman" w:hAnsi="Times New Roman" w:eastAsia="宋体" w:cs="Times New Roman"/>
          <w:color w:val="000000"/>
          <w:kern w:val="2"/>
          <w:sz w:val="24"/>
          <w:szCs w:val="24"/>
          <w:lang w:eastAsia="en-US"/>
        </w:rPr>
        <w:t>对于上述项目要求，供应商应在响应文件中进行回应，作出承诺及说明。</w:t>
      </w:r>
    </w:p>
    <w:p w14:paraId="093AD6A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jc w:val="left"/>
        <w:rPr>
          <w:rFonts w:hint="default" w:ascii="Times New Roman" w:hAnsi="Times New Roman" w:eastAsia="宋体" w:cs="Times New Roman"/>
          <w:color w:val="000000"/>
          <w:kern w:val="2"/>
          <w:sz w:val="24"/>
          <w:szCs w:val="24"/>
          <w:lang w:val="en-US" w:eastAsia="zh-CN"/>
        </w:rPr>
      </w:pPr>
      <w:r>
        <w:rPr>
          <w:rFonts w:hint="eastAsia" w:ascii="Times New Roman" w:hAnsi="Times New Roman" w:eastAsia="宋体" w:cs="Times New Roman"/>
          <w:color w:val="000000"/>
          <w:kern w:val="2"/>
          <w:sz w:val="24"/>
          <w:szCs w:val="24"/>
          <w:lang w:val="en-US" w:eastAsia="zh-CN"/>
        </w:rPr>
        <w:t>4、</w:t>
      </w:r>
      <w:r>
        <w:rPr>
          <w:rFonts w:hint="eastAsia" w:ascii="Times New Roman" w:hAnsi="Times New Roman" w:eastAsia="宋体" w:cs="Times New Roman"/>
          <w:color w:val="000000"/>
          <w:kern w:val="2"/>
          <w:sz w:val="24"/>
          <w:szCs w:val="24"/>
          <w:lang w:eastAsia="en-US"/>
        </w:rPr>
        <w:t>如遇不可抗力或其他客观因素导致履约延迟，供需双方协商一致后可顺延履约期限。</w:t>
      </w:r>
    </w:p>
    <w:p w14:paraId="1B972908">
      <w:pPr>
        <w:widowControl w:val="0"/>
        <w:spacing w:after="120"/>
        <w:jc w:val="both"/>
        <w:rPr>
          <w:rFonts w:ascii="宋体" w:hAnsi="宋体" w:eastAsia="宋体" w:cs="宋体"/>
          <w:b/>
          <w:color w:val="000000"/>
          <w:kern w:val="2"/>
          <w:sz w:val="21"/>
          <w:szCs w:val="21"/>
          <w:lang w:val="en-US" w:eastAsia="zh-CN" w:bidi="ar-SA"/>
        </w:rPr>
      </w:pPr>
    </w:p>
    <w:p w14:paraId="4810D0D5">
      <w:pPr>
        <w:widowControl w:val="0"/>
        <w:spacing w:after="120"/>
        <w:jc w:val="both"/>
        <w:rPr>
          <w:rFonts w:ascii="宋体" w:hAnsi="宋体" w:eastAsia="宋体" w:cs="宋体"/>
          <w:b/>
          <w:color w:val="000000"/>
          <w:kern w:val="2"/>
          <w:sz w:val="21"/>
          <w:szCs w:val="21"/>
          <w:lang w:val="en-US" w:eastAsia="zh-CN" w:bidi="ar-SA"/>
        </w:rPr>
      </w:pPr>
    </w:p>
    <w:p w14:paraId="6443D751">
      <w:pPr>
        <w:widowControl w:val="0"/>
        <w:spacing w:after="120"/>
        <w:jc w:val="both"/>
        <w:rPr>
          <w:rFonts w:hint="eastAsia" w:ascii="Times New Roman" w:hAnsi="Times New Roman" w:eastAsia="宋体" w:cs="Times New Roman"/>
          <w:kern w:val="2"/>
          <w:sz w:val="21"/>
          <w:szCs w:val="24"/>
          <w:lang w:val="en-US" w:eastAsia="zh-CN" w:bidi="ar-SA"/>
        </w:rPr>
      </w:pPr>
    </w:p>
    <w:p w14:paraId="4A1D8B1F">
      <w:pPr>
        <w:widowControl w:val="0"/>
        <w:spacing w:after="120"/>
        <w:jc w:val="both"/>
        <w:rPr>
          <w:rFonts w:hint="eastAsia" w:ascii="Times New Roman" w:hAnsi="Times New Roman" w:eastAsia="宋体" w:cs="Times New Roman"/>
          <w:kern w:val="2"/>
          <w:sz w:val="21"/>
          <w:szCs w:val="24"/>
          <w:lang w:val="en-US" w:eastAsia="zh-CN" w:bidi="ar-SA"/>
        </w:rPr>
      </w:pPr>
    </w:p>
    <w:p w14:paraId="12364961">
      <w:pPr>
        <w:widowControl w:val="0"/>
        <w:spacing w:after="120"/>
        <w:jc w:val="both"/>
        <w:rPr>
          <w:rFonts w:hint="eastAsia" w:ascii="Times New Roman" w:hAnsi="Times New Roman" w:eastAsia="宋体" w:cs="Times New Roman"/>
          <w:kern w:val="2"/>
          <w:sz w:val="21"/>
          <w:szCs w:val="24"/>
          <w:lang w:val="en-US" w:eastAsia="zh-CN" w:bidi="ar-SA"/>
        </w:rPr>
      </w:pPr>
    </w:p>
    <w:p w14:paraId="4F28D8D7">
      <w:pPr>
        <w:widowControl w:val="0"/>
        <w:spacing w:after="120"/>
        <w:jc w:val="both"/>
        <w:rPr>
          <w:rFonts w:hint="eastAsia" w:ascii="Times New Roman" w:hAnsi="Times New Roman" w:eastAsia="宋体" w:cs="Times New Roman"/>
          <w:kern w:val="2"/>
          <w:sz w:val="21"/>
          <w:szCs w:val="24"/>
          <w:lang w:val="en-US" w:eastAsia="zh-CN" w:bidi="ar-SA"/>
        </w:rPr>
      </w:pPr>
    </w:p>
    <w:p w14:paraId="50B0F66E">
      <w:pPr>
        <w:widowControl w:val="0"/>
        <w:spacing w:after="120"/>
        <w:jc w:val="both"/>
        <w:rPr>
          <w:rFonts w:hint="eastAsia" w:ascii="Times New Roman" w:hAnsi="Times New Roman" w:eastAsia="宋体" w:cs="Times New Roman"/>
          <w:kern w:val="2"/>
          <w:sz w:val="21"/>
          <w:szCs w:val="24"/>
          <w:lang w:val="en-US" w:eastAsia="zh-CN" w:bidi="ar-SA"/>
        </w:rPr>
      </w:pPr>
    </w:p>
    <w:p w14:paraId="14492373">
      <w:pPr>
        <w:widowControl w:val="0"/>
        <w:spacing w:after="120"/>
        <w:jc w:val="both"/>
        <w:rPr>
          <w:rFonts w:hint="eastAsia" w:ascii="Times New Roman" w:hAnsi="Times New Roman" w:eastAsia="宋体" w:cs="Times New Roman"/>
          <w:kern w:val="2"/>
          <w:sz w:val="21"/>
          <w:szCs w:val="24"/>
          <w:lang w:val="en-US" w:eastAsia="zh-CN" w:bidi="ar-SA"/>
        </w:rPr>
      </w:pPr>
    </w:p>
    <w:p w14:paraId="43FA9E7A">
      <w:pPr>
        <w:widowControl w:val="0"/>
        <w:spacing w:after="120"/>
        <w:jc w:val="both"/>
        <w:rPr>
          <w:rFonts w:hint="eastAsia" w:ascii="Times New Roman" w:hAnsi="Times New Roman" w:eastAsia="宋体" w:cs="Times New Roman"/>
          <w:kern w:val="2"/>
          <w:sz w:val="21"/>
          <w:szCs w:val="24"/>
          <w:lang w:val="en-US" w:eastAsia="zh-CN" w:bidi="ar-SA"/>
        </w:rPr>
      </w:pPr>
    </w:p>
    <w:p w14:paraId="29E084E9">
      <w:bookmarkStart w:id="6" w:name="_GoBack"/>
      <w:bookmarkEnd w:id="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E3147B"/>
    <w:multiLevelType w:val="singleLevel"/>
    <w:tmpl w:val="B8E3147B"/>
    <w:lvl w:ilvl="0" w:tentative="0">
      <w:start w:val="1"/>
      <w:numFmt w:val="decimal"/>
      <w:suff w:val="space"/>
      <w:lvlText w:val="%1."/>
      <w:lvlJc w:val="left"/>
    </w:lvl>
  </w:abstractNum>
  <w:abstractNum w:abstractNumId="1">
    <w:nsid w:val="DF473EBE"/>
    <w:multiLevelType w:val="singleLevel"/>
    <w:tmpl w:val="DF473EBE"/>
    <w:lvl w:ilvl="0" w:tentative="0">
      <w:start w:val="1"/>
      <w:numFmt w:val="decimal"/>
      <w:suff w:val="nothing"/>
      <w:lvlText w:val="（%1）"/>
      <w:lvlJc w:val="left"/>
    </w:lvl>
  </w:abstractNum>
  <w:abstractNum w:abstractNumId="2">
    <w:nsid w:val="EDAD5A0C"/>
    <w:multiLevelType w:val="singleLevel"/>
    <w:tmpl w:val="EDAD5A0C"/>
    <w:lvl w:ilvl="0" w:tentative="0">
      <w:start w:val="1"/>
      <w:numFmt w:val="decimal"/>
      <w:suff w:val="nothing"/>
      <w:lvlText w:val="（%1）"/>
      <w:lvlJc w:val="left"/>
    </w:lvl>
  </w:abstractNum>
  <w:abstractNum w:abstractNumId="3">
    <w:nsid w:val="1FF7F26B"/>
    <w:multiLevelType w:val="singleLevel"/>
    <w:tmpl w:val="1FF7F26B"/>
    <w:lvl w:ilvl="0" w:tentative="0">
      <w:start w:val="4"/>
      <w:numFmt w:val="decimal"/>
      <w:suff w:val="nothing"/>
      <w:lvlText w:val="%1、"/>
      <w:lvlJc w:val="left"/>
    </w:lvl>
  </w:abstractNum>
  <w:abstractNum w:abstractNumId="4">
    <w:nsid w:val="23B6C31C"/>
    <w:multiLevelType w:val="singleLevel"/>
    <w:tmpl w:val="23B6C31C"/>
    <w:lvl w:ilvl="0" w:tentative="0">
      <w:start w:val="6"/>
      <w:numFmt w:val="chineseCounting"/>
      <w:suff w:val="nothing"/>
      <w:lvlText w:val="%1、"/>
      <w:lvlJc w:val="left"/>
      <w:rPr>
        <w:rFonts w:hint="eastAsia"/>
      </w:rPr>
    </w:lvl>
  </w:abstractNum>
  <w:abstractNum w:abstractNumId="5">
    <w:nsid w:val="45870E34"/>
    <w:multiLevelType w:val="singleLevel"/>
    <w:tmpl w:val="45870E34"/>
    <w:lvl w:ilvl="0" w:tentative="0">
      <w:start w:val="2"/>
      <w:numFmt w:val="chineseCounting"/>
      <w:suff w:val="space"/>
      <w:lvlText w:val="第%1节"/>
      <w:lvlJc w:val="left"/>
      <w:rPr>
        <w:rFonts w:hint="eastAsia"/>
      </w:rPr>
    </w:lvl>
  </w:abstractNum>
  <w:abstractNum w:abstractNumId="6">
    <w:nsid w:val="55A2CB7E"/>
    <w:multiLevelType w:val="singleLevel"/>
    <w:tmpl w:val="55A2CB7E"/>
    <w:lvl w:ilvl="0" w:tentative="0">
      <w:start w:val="5"/>
      <w:numFmt w:val="chineseCounting"/>
      <w:suff w:val="space"/>
      <w:lvlText w:val="第%1章"/>
      <w:lvlJc w:val="left"/>
      <w:rPr>
        <w:rFonts w:hint="eastAsia"/>
      </w:rPr>
    </w:lvl>
  </w:abstractNum>
  <w:num w:numId="1">
    <w:abstractNumId w:val="6"/>
  </w:num>
  <w:num w:numId="2">
    <w:abstractNumId w:val="5"/>
  </w:num>
  <w:num w:numId="3">
    <w:abstractNumId w:val="0"/>
  </w:num>
  <w:num w:numId="4">
    <w:abstractNumId w:val="1"/>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7B04E6"/>
    <w:rsid w:val="1C7B04E6"/>
    <w:rsid w:val="31A953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2026-08-18T08:00:00Z</dcterms:created>
  <dc:creator>Administrator</dc:creator>
  <cp:lastModifiedBy>Administrator</cp:lastModifiedBy>
  <dcterms:modified xsi:type="dcterms:W3CDTF">2026-08-18T08:00:39Z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0317C3F307CF475C8BB6D38ED901BFB0_13</vt:lpwstr>
  </property>
  <property fmtid="{D5CDD505-2E9C-101B-9397-08002B2CF9AE}" pid="4" name="KSOTemplateDocerSaveRecord">
    <vt:lpwstr>eyJoZGlkIjoiMmQyMzBlOTg4YTNiZDI3NDc5MmVhMjAxNjY1NTg2MmMiLCJ1c2VySWQiOiIzNzQyMDgwODIifQ==</vt:lpwstr>
  </property>
</Properties>
</file>