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360" w:lineRule="auto"/>
        <w:ind w:leftChars="200" w:right="0" w:rightChars="0"/>
        <w:jc w:val="center"/>
        <w:textAlignment w:val="auto"/>
        <w:outlineLvl w:val="1"/>
        <w:rPr>
          <w:rFonts w:hint="eastAsia" w:ascii="黑体" w:hAnsi="黑体" w:eastAsia="黑体" w:cs="Times New Roman"/>
          <w:b/>
          <w:bCs/>
          <w:color w:val="auto"/>
          <w:sz w:val="32"/>
          <w:szCs w:val="32"/>
        </w:rPr>
      </w:pPr>
      <w:bookmarkStart w:id="0" w:name="_Toc31452"/>
      <w:r>
        <w:rPr>
          <w:rFonts w:hint="eastAsia" w:ascii="黑体" w:hAnsi="黑体" w:eastAsia="黑体" w:cs="Times New Roman"/>
          <w:b/>
          <w:bCs/>
          <w:color w:val="auto"/>
          <w:sz w:val="32"/>
          <w:szCs w:val="32"/>
        </w:rPr>
        <w:t>采购需求</w:t>
      </w:r>
      <w:bookmarkEnd w:id="0"/>
      <w:bookmarkStart w:id="1" w:name="_Toc16112"/>
    </w:p>
    <w:bookmarkEnd w:id="1"/>
    <w:p>
      <w:pPr>
        <w:keepNext/>
        <w:keepLines/>
        <w:widowControl w:val="0"/>
        <w:adjustRightInd w:val="0"/>
        <w:snapToGrid w:val="0"/>
        <w:spacing w:beforeLines="50" w:line="360" w:lineRule="auto"/>
        <w:jc w:val="center"/>
        <w:outlineLvl w:val="1"/>
        <w:rPr>
          <w:rFonts w:ascii="黑体" w:hAnsi="黑体" w:eastAsia="黑体" w:cs="Times New Roman"/>
          <w:b/>
          <w:bCs/>
          <w:color w:val="auto"/>
          <w:kern w:val="2"/>
          <w:sz w:val="28"/>
          <w:szCs w:val="28"/>
          <w:highlight w:val="none"/>
          <w:lang w:val="en-US" w:eastAsia="zh-CN" w:bidi="ar-SA"/>
        </w:rPr>
      </w:pPr>
      <w:bookmarkStart w:id="2" w:name="_Toc3070"/>
      <w:bookmarkStart w:id="3" w:name="_Toc256000037"/>
      <w:bookmarkStart w:id="4" w:name="_Toc3678"/>
      <w:bookmarkStart w:id="5" w:name="_Toc19476"/>
      <w:r>
        <w:rPr>
          <w:rFonts w:hint="eastAsia" w:ascii="黑体" w:hAnsi="黑体" w:eastAsia="黑体" w:cs="Times New Roman"/>
          <w:b/>
          <w:bCs/>
          <w:color w:val="auto"/>
          <w:kern w:val="2"/>
          <w:sz w:val="28"/>
          <w:szCs w:val="28"/>
          <w:highlight w:val="none"/>
          <w:lang w:val="en-US" w:eastAsia="zh-CN" w:bidi="ar-SA"/>
        </w:rPr>
        <w:t>第一节 采购清单一览表</w:t>
      </w:r>
      <w:bookmarkEnd w:id="2"/>
      <w:bookmarkEnd w:id="3"/>
      <w:bookmarkEnd w:id="4"/>
      <w:bookmarkEnd w:id="5"/>
    </w:p>
    <w:tbl>
      <w:tblPr>
        <w:tblStyle w:val="2"/>
        <w:tblW w:w="9703"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809"/>
        <w:gridCol w:w="1958"/>
        <w:gridCol w:w="678"/>
        <w:gridCol w:w="1532"/>
        <w:gridCol w:w="1532"/>
        <w:gridCol w:w="757"/>
        <w:gridCol w:w="728"/>
      </w:tblGrid>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709" w:type="dxa"/>
            <w:tcBorders>
              <w:right w:val="single" w:color="auto" w:sz="4" w:space="0"/>
            </w:tcBorders>
            <w:noWrap w:val="0"/>
            <w:vAlign w:val="center"/>
          </w:tcPr>
          <w:p>
            <w:pPr>
              <w:widowControl/>
              <w:adjustRightInd w:val="0"/>
              <w:snapToGrid w:val="0"/>
              <w:spacing w:line="34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包号</w:t>
            </w:r>
          </w:p>
        </w:tc>
        <w:tc>
          <w:tcPr>
            <w:tcW w:w="1809" w:type="dxa"/>
            <w:tcBorders>
              <w:left w:val="single" w:color="auto" w:sz="4" w:space="0"/>
            </w:tcBorders>
            <w:noWrap w:val="0"/>
            <w:vAlign w:val="center"/>
          </w:tcPr>
          <w:p>
            <w:pPr>
              <w:widowControl/>
              <w:adjustRightInd w:val="0"/>
              <w:snapToGrid w:val="0"/>
              <w:spacing w:line="340" w:lineRule="exact"/>
              <w:jc w:val="center"/>
              <w:rPr>
                <w:rFonts w:ascii="宋体" w:hAnsi="宋体" w:eastAsia="宋体" w:cs="宋体"/>
                <w:color w:val="auto"/>
                <w:kern w:val="0"/>
                <w:szCs w:val="21"/>
                <w:highlight w:val="none"/>
              </w:rPr>
            </w:pPr>
            <w:r>
              <w:rPr>
                <w:rFonts w:hint="eastAsia" w:ascii="宋体" w:hAnsi="宋体" w:eastAsia="宋体" w:cs="Times New Roman"/>
                <w:color w:val="auto"/>
                <w:kern w:val="0"/>
                <w:szCs w:val="21"/>
                <w:highlight w:val="none"/>
              </w:rPr>
              <w:t>包名称</w:t>
            </w:r>
          </w:p>
        </w:tc>
        <w:tc>
          <w:tcPr>
            <w:tcW w:w="1958" w:type="dxa"/>
            <w:tcBorders>
              <w:right w:val="single" w:color="auto" w:sz="4" w:space="0"/>
            </w:tcBorders>
            <w:noWrap w:val="0"/>
            <w:vAlign w:val="center"/>
          </w:tcPr>
          <w:p>
            <w:pPr>
              <w:widowControl/>
              <w:adjustRightInd w:val="0"/>
              <w:snapToGrid w:val="0"/>
              <w:spacing w:line="34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采购项目简要说明（简要技术要求）</w:t>
            </w:r>
          </w:p>
        </w:tc>
        <w:tc>
          <w:tcPr>
            <w:tcW w:w="678" w:type="dxa"/>
            <w:tcBorders>
              <w:left w:val="single" w:color="auto" w:sz="4" w:space="0"/>
              <w:right w:val="single" w:color="auto" w:sz="4" w:space="0"/>
            </w:tcBorders>
            <w:noWrap w:val="0"/>
            <w:vAlign w:val="center"/>
          </w:tcPr>
          <w:p>
            <w:pPr>
              <w:widowControl/>
              <w:adjustRightInd w:val="0"/>
              <w:snapToGrid w:val="0"/>
              <w:spacing w:line="34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1532" w:type="dxa"/>
            <w:tcBorders>
              <w:left w:val="single" w:color="auto" w:sz="4" w:space="0"/>
              <w:right w:val="single" w:color="auto" w:sz="4" w:space="0"/>
            </w:tcBorders>
            <w:noWrap w:val="0"/>
            <w:vAlign w:val="center"/>
          </w:tcPr>
          <w:p>
            <w:pPr>
              <w:widowControl/>
              <w:adjustRightInd w:val="0"/>
              <w:snapToGrid w:val="0"/>
              <w:spacing w:line="34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采购项目预算</w:t>
            </w:r>
          </w:p>
          <w:p>
            <w:pPr>
              <w:widowControl/>
              <w:adjustRightInd w:val="0"/>
              <w:snapToGrid w:val="0"/>
              <w:spacing w:line="34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（元人民币）</w:t>
            </w:r>
          </w:p>
        </w:tc>
        <w:tc>
          <w:tcPr>
            <w:tcW w:w="1532" w:type="dxa"/>
            <w:tcBorders>
              <w:right w:val="single" w:color="auto" w:sz="4" w:space="0"/>
            </w:tcBorders>
            <w:noWrap w:val="0"/>
            <w:vAlign w:val="center"/>
          </w:tcPr>
          <w:p>
            <w:pPr>
              <w:widowControl/>
              <w:adjustRightInd w:val="0"/>
              <w:snapToGrid w:val="0"/>
              <w:spacing w:line="340" w:lineRule="exact"/>
              <w:jc w:val="center"/>
              <w:rPr>
                <w:rFonts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最高限价</w:t>
            </w:r>
            <w:r>
              <w:rPr>
                <w:rFonts w:hint="eastAsia" w:ascii="宋体" w:hAnsi="宋体" w:eastAsia="宋体" w:cs="宋体"/>
                <w:color w:val="auto"/>
                <w:kern w:val="0"/>
                <w:szCs w:val="21"/>
                <w:highlight w:val="none"/>
              </w:rPr>
              <w:t>（元人民币）</w:t>
            </w:r>
          </w:p>
        </w:tc>
        <w:tc>
          <w:tcPr>
            <w:tcW w:w="757" w:type="dxa"/>
            <w:tcBorders>
              <w:left w:val="single" w:color="auto" w:sz="4" w:space="0"/>
              <w:right w:val="single" w:color="auto" w:sz="4" w:space="0"/>
            </w:tcBorders>
            <w:noWrap w:val="0"/>
            <w:vAlign w:val="center"/>
          </w:tcPr>
          <w:p>
            <w:pPr>
              <w:adjustRightInd w:val="0"/>
              <w:snapToGrid w:val="0"/>
              <w:spacing w:line="340" w:lineRule="exact"/>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728" w:type="dxa"/>
            <w:tcBorders>
              <w:left w:val="single" w:color="auto" w:sz="4" w:space="0"/>
            </w:tcBorders>
            <w:noWrap w:val="0"/>
            <w:vAlign w:val="center"/>
          </w:tcPr>
          <w:p>
            <w:pPr>
              <w:adjustRightInd w:val="0"/>
              <w:snapToGrid w:val="0"/>
              <w:spacing w:line="340" w:lineRule="exact"/>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709" w:type="dxa"/>
            <w:tcBorders>
              <w:right w:val="single" w:color="auto" w:sz="4" w:space="0"/>
            </w:tcBorders>
            <w:noWrap w:val="0"/>
            <w:vAlign w:val="center"/>
          </w:tcPr>
          <w:p>
            <w:pPr>
              <w:widowControl w:val="0"/>
              <w:adjustRightInd w:val="0"/>
              <w:snapToGrid w:val="0"/>
              <w:spacing w:line="340" w:lineRule="exact"/>
              <w:jc w:val="center"/>
              <w:rPr>
                <w:rFonts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w:t>
            </w:r>
          </w:p>
        </w:tc>
        <w:tc>
          <w:tcPr>
            <w:tcW w:w="1809" w:type="dxa"/>
            <w:tcBorders>
              <w:left w:val="single" w:color="auto" w:sz="4" w:space="0"/>
            </w:tcBorders>
            <w:noWrap w:val="0"/>
            <w:vAlign w:val="center"/>
          </w:tcPr>
          <w:p>
            <w:pPr>
              <w:adjustRightInd w:val="0"/>
              <w:snapToGrid w:val="0"/>
              <w:spacing w:line="340" w:lineRule="exact"/>
              <w:rPr>
                <w:rFonts w:hint="eastAsia" w:ascii="Times New Roman" w:hAnsi="宋体" w:eastAsia="宋体" w:cs="Times New Roman"/>
                <w:color w:val="auto"/>
                <w:szCs w:val="21"/>
                <w:highlight w:val="none"/>
                <w:lang w:eastAsia="zh-CN"/>
              </w:rPr>
            </w:pPr>
            <w:r>
              <w:rPr>
                <w:rFonts w:hint="eastAsia" w:ascii="宋体" w:hAnsi="宋体" w:eastAsia="宋体" w:cs="宋体"/>
                <w:color w:val="auto"/>
                <w:kern w:val="0"/>
                <w:szCs w:val="21"/>
                <w:highlight w:val="none"/>
                <w:lang w:eastAsia="zh-CN"/>
              </w:rPr>
              <w:t>嘉禾县南丰广场、高速出口连接线等道路照明用能设备更新改造项目（嘉禾县城区道路及公共区域照明用能设备更新改造项目）</w:t>
            </w:r>
          </w:p>
        </w:tc>
        <w:tc>
          <w:tcPr>
            <w:tcW w:w="1958" w:type="dxa"/>
            <w:tcBorders>
              <w:right w:val="single" w:color="auto" w:sz="4" w:space="0"/>
            </w:tcBorders>
            <w:noWrap w:val="0"/>
            <w:vAlign w:val="center"/>
          </w:tcPr>
          <w:p>
            <w:pPr>
              <w:widowControl w:val="0"/>
              <w:adjustRightInd w:val="0"/>
              <w:snapToGrid w:val="0"/>
              <w:spacing w:line="440" w:lineRule="exact"/>
              <w:jc w:val="center"/>
              <w:rPr>
                <w:rFonts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详见第二节技术要求</w:t>
            </w:r>
          </w:p>
        </w:tc>
        <w:tc>
          <w:tcPr>
            <w:tcW w:w="678" w:type="dxa"/>
            <w:tcBorders>
              <w:left w:val="single" w:color="auto" w:sz="4" w:space="0"/>
              <w:right w:val="single" w:color="auto" w:sz="4" w:space="0"/>
            </w:tcBorders>
            <w:noWrap w:val="0"/>
            <w:vAlign w:val="center"/>
          </w:tcPr>
          <w:p>
            <w:pPr>
              <w:widowControl w:val="0"/>
              <w:adjustRightInd w:val="0"/>
              <w:snapToGrid w:val="0"/>
              <w:spacing w:line="440" w:lineRule="exact"/>
              <w:jc w:val="center"/>
              <w:rPr>
                <w:rFonts w:hint="default"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1批</w:t>
            </w:r>
          </w:p>
        </w:tc>
        <w:tc>
          <w:tcPr>
            <w:tcW w:w="1532" w:type="dxa"/>
            <w:tcBorders>
              <w:left w:val="single" w:color="auto" w:sz="4" w:space="0"/>
              <w:right w:val="single" w:color="auto" w:sz="4" w:space="0"/>
            </w:tcBorders>
            <w:noWrap w:val="0"/>
            <w:vAlign w:val="center"/>
          </w:tcPr>
          <w:p>
            <w:pPr>
              <w:widowControl w:val="0"/>
              <w:adjustRightInd w:val="0"/>
              <w:snapToGrid w:val="0"/>
              <w:spacing w:line="440" w:lineRule="exact"/>
              <w:jc w:val="center"/>
              <w:rPr>
                <w:rFonts w:hint="default"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1163254.00</w:t>
            </w:r>
          </w:p>
        </w:tc>
        <w:tc>
          <w:tcPr>
            <w:tcW w:w="1532" w:type="dxa"/>
            <w:tcBorders>
              <w:right w:val="single" w:color="auto" w:sz="4" w:space="0"/>
            </w:tcBorders>
            <w:noWrap w:val="0"/>
            <w:vAlign w:val="center"/>
          </w:tcPr>
          <w:p>
            <w:pPr>
              <w:widowControl w:val="0"/>
              <w:adjustRightInd w:val="0"/>
              <w:snapToGrid w:val="0"/>
              <w:spacing w:line="440" w:lineRule="exact"/>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1163254.00</w:t>
            </w:r>
          </w:p>
        </w:tc>
        <w:tc>
          <w:tcPr>
            <w:tcW w:w="757" w:type="dxa"/>
            <w:tcBorders>
              <w:left w:val="single" w:color="auto" w:sz="4" w:space="0"/>
              <w:right w:val="single" w:color="auto" w:sz="4" w:space="0"/>
            </w:tcBorders>
            <w:noWrap w:val="0"/>
            <w:vAlign w:val="center"/>
          </w:tcPr>
          <w:p>
            <w:pPr>
              <w:widowControl w:val="0"/>
              <w:adjustRightInd w:val="0"/>
              <w:snapToGrid w:val="0"/>
              <w:spacing w:line="340" w:lineRule="exact"/>
              <w:jc w:val="center"/>
              <w:rPr>
                <w:rFonts w:ascii="宋体" w:hAnsi="宋体" w:eastAsia="宋体" w:cs="Times New Roman"/>
                <w:color w:val="auto"/>
                <w:kern w:val="0"/>
                <w:sz w:val="21"/>
                <w:szCs w:val="21"/>
                <w:highlight w:val="none"/>
                <w:lang w:val="en-US" w:eastAsia="zh-CN" w:bidi="ar-SA"/>
              </w:rPr>
            </w:pPr>
            <w:r>
              <w:rPr>
                <w:rFonts w:ascii="宋体" w:hAnsi="宋体" w:eastAsia="宋体" w:cs="Times New Roman"/>
                <w:color w:val="auto"/>
                <w:kern w:val="0"/>
                <w:sz w:val="21"/>
                <w:szCs w:val="21"/>
                <w:highlight w:val="none"/>
                <w:lang w:val="en-US" w:eastAsia="zh-CN" w:bidi="ar-SA"/>
              </w:rPr>
              <w:sym w:font="Wingdings" w:char="00A8"/>
            </w:r>
          </w:p>
        </w:tc>
        <w:tc>
          <w:tcPr>
            <w:tcW w:w="728" w:type="dxa"/>
            <w:tcBorders>
              <w:left w:val="single" w:color="auto" w:sz="4" w:space="0"/>
            </w:tcBorders>
            <w:noWrap w:val="0"/>
            <w:vAlign w:val="center"/>
          </w:tcPr>
          <w:p>
            <w:pPr>
              <w:widowControl w:val="0"/>
              <w:adjustRightInd w:val="0"/>
              <w:snapToGrid w:val="0"/>
              <w:spacing w:line="340" w:lineRule="exact"/>
              <w:jc w:val="center"/>
              <w:rPr>
                <w:rFonts w:ascii="宋体" w:hAnsi="宋体" w:eastAsia="宋体" w:cs="Times New Roman"/>
                <w:color w:val="auto"/>
                <w:kern w:val="0"/>
                <w:sz w:val="21"/>
                <w:szCs w:val="21"/>
                <w:highlight w:val="none"/>
                <w:lang w:val="en-US" w:eastAsia="zh-CN" w:bidi="ar-SA"/>
              </w:rPr>
            </w:pPr>
            <w:r>
              <w:rPr>
                <w:rFonts w:ascii="宋体" w:hAnsi="宋体" w:eastAsia="宋体" w:cs="Times New Roman"/>
                <w:color w:val="auto"/>
                <w:kern w:val="0"/>
                <w:sz w:val="21"/>
                <w:szCs w:val="21"/>
                <w:highlight w:val="none"/>
                <w:lang w:val="en-US" w:eastAsia="zh-CN" w:bidi="ar-SA"/>
              </w:rPr>
              <w:sym w:font="Wingdings" w:char="00A8"/>
            </w:r>
          </w:p>
        </w:tc>
      </w:tr>
    </w:tbl>
    <w:p>
      <w:pPr>
        <w:widowControl w:val="0"/>
        <w:adjustRightInd w:val="0"/>
        <w:snapToGrid w:val="0"/>
        <w:spacing w:beforeLines="50" w:line="360" w:lineRule="auto"/>
        <w:ind w:firstLine="420" w:firstLineChars="200"/>
        <w:jc w:val="both"/>
        <w:rPr>
          <w:rFonts w:ascii="宋体" w:hAnsi="宋体" w:eastAsia="宋体" w:cs="宋体"/>
          <w:color w:val="auto"/>
          <w:kern w:val="0"/>
          <w:sz w:val="21"/>
          <w:szCs w:val="21"/>
          <w:highlight w:val="none"/>
          <w:lang w:val="en-US" w:eastAsia="zh-CN" w:bidi="ar-SA"/>
        </w:rPr>
      </w:pPr>
    </w:p>
    <w:p>
      <w:pPr>
        <w:rPr>
          <w:rFonts w:ascii="黑体" w:hAnsi="黑体" w:eastAsia="黑体"/>
          <w:color w:val="auto"/>
          <w:sz w:val="28"/>
          <w:szCs w:val="28"/>
          <w:highlight w:val="none"/>
        </w:rPr>
        <w:sectPr>
          <w:headerReference r:id="rId3" w:type="default"/>
          <w:footerReference r:id="rId4" w:type="default"/>
          <w:pgSz w:w="11906" w:h="16838"/>
          <w:pgMar w:top="1474" w:right="1474" w:bottom="1474" w:left="1588" w:header="851" w:footer="992" w:gutter="0"/>
          <w:cols w:space="720" w:num="1"/>
          <w:docGrid w:type="lines" w:linePitch="312" w:charSpace="0"/>
        </w:sectPr>
      </w:pPr>
      <w:bookmarkStart w:id="6" w:name="_Toc13301"/>
    </w:p>
    <w:p>
      <w:pPr>
        <w:keepNext/>
        <w:keepLines/>
        <w:widowControl w:val="0"/>
        <w:adjustRightInd w:val="0"/>
        <w:snapToGrid w:val="0"/>
        <w:spacing w:beforeLines="50" w:line="360" w:lineRule="auto"/>
        <w:jc w:val="center"/>
        <w:outlineLvl w:val="1"/>
        <w:rPr>
          <w:rFonts w:ascii="黑体" w:hAnsi="黑体" w:eastAsia="黑体" w:cs="Times New Roman"/>
          <w:b/>
          <w:bCs/>
          <w:color w:val="auto"/>
          <w:kern w:val="2"/>
          <w:sz w:val="28"/>
          <w:szCs w:val="28"/>
          <w:highlight w:val="none"/>
          <w:lang w:val="en-US" w:eastAsia="zh-CN" w:bidi="ar-SA"/>
        </w:rPr>
      </w:pPr>
      <w:bookmarkStart w:id="7" w:name="_Toc256000038"/>
      <w:bookmarkStart w:id="8" w:name="_Toc13167"/>
      <w:bookmarkStart w:id="9" w:name="_Toc25467"/>
      <w:r>
        <w:rPr>
          <w:rFonts w:hint="eastAsia" w:ascii="黑体" w:hAnsi="黑体" w:eastAsia="黑体" w:cs="Times New Roman"/>
          <w:b/>
          <w:bCs/>
          <w:color w:val="auto"/>
          <w:kern w:val="2"/>
          <w:sz w:val="28"/>
          <w:szCs w:val="28"/>
          <w:highlight w:val="none"/>
          <w:lang w:val="en-US" w:eastAsia="zh-CN" w:bidi="ar-SA"/>
        </w:rPr>
        <w:t xml:space="preserve">第二节 </w:t>
      </w:r>
      <w:r>
        <w:rPr>
          <w:rFonts w:ascii="黑体" w:hAnsi="黑体" w:eastAsia="黑体" w:cs="Times New Roman"/>
          <w:b/>
          <w:bCs/>
          <w:color w:val="auto"/>
          <w:kern w:val="2"/>
          <w:sz w:val="28"/>
          <w:szCs w:val="28"/>
          <w:highlight w:val="none"/>
          <w:lang w:val="en-US" w:eastAsia="zh-CN" w:bidi="ar-SA"/>
        </w:rPr>
        <w:t>技术要求</w:t>
      </w:r>
      <w:bookmarkEnd w:id="6"/>
      <w:bookmarkEnd w:id="7"/>
      <w:bookmarkEnd w:id="8"/>
      <w:bookmarkEnd w:id="9"/>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842"/>
        <w:gridCol w:w="5262"/>
        <w:gridCol w:w="938"/>
        <w:gridCol w:w="900"/>
        <w:gridCol w:w="1142"/>
        <w:gridCol w:w="2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000" w:type="pct"/>
            <w:gridSpan w:val="7"/>
            <w:noWrap/>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bookmarkStart w:id="10" w:name="_Toc17069"/>
            <w:r>
              <w:rPr>
                <w:rFonts w:hint="default" w:ascii="Calibri" w:hAnsi="Calibri" w:eastAsia="宋体" w:cs="宋体"/>
                <w:b/>
                <w:bCs/>
                <w:i w:val="0"/>
                <w:iCs w:val="0"/>
                <w:color w:val="auto"/>
                <w:kern w:val="0"/>
                <w:sz w:val="21"/>
                <w:szCs w:val="21"/>
                <w:u w:val="none"/>
                <w:lang w:val="en-US" w:eastAsia="zh-CN" w:bidi="ar"/>
              </w:rPr>
              <w:t>嘉蓝路亮化采购清单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464" w:type="pct"/>
            <w:noWrap/>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r>
              <w:rPr>
                <w:rFonts w:hint="eastAsia" w:ascii="Calibri" w:hAnsi="Calibri" w:eastAsia="宋体" w:cs="宋体"/>
                <w:b/>
                <w:bCs/>
                <w:i w:val="0"/>
                <w:iCs w:val="0"/>
                <w:color w:val="auto"/>
                <w:kern w:val="0"/>
                <w:sz w:val="21"/>
                <w:szCs w:val="21"/>
                <w:u w:val="none"/>
                <w:lang w:val="en-US" w:eastAsia="zh-CN" w:bidi="ar"/>
              </w:rPr>
              <w:t>货物</w:t>
            </w:r>
            <w:r>
              <w:rPr>
                <w:rFonts w:hint="default" w:ascii="Calibri" w:hAnsi="Calibri" w:eastAsia="宋体" w:cs="宋体"/>
                <w:b/>
                <w:bCs/>
                <w:i w:val="0"/>
                <w:iCs w:val="0"/>
                <w:color w:val="auto"/>
                <w:kern w:val="0"/>
                <w:sz w:val="21"/>
                <w:szCs w:val="21"/>
                <w:u w:val="none"/>
                <w:lang w:val="en-US" w:eastAsia="zh-CN" w:bidi="ar"/>
              </w:rPr>
              <w:t>名称</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r>
              <w:rPr>
                <w:rFonts w:hint="default" w:ascii="Calibri" w:hAnsi="Calibri" w:eastAsia="宋体" w:cs="宋体"/>
                <w:b/>
                <w:bCs/>
                <w:i w:val="0"/>
                <w:iCs w:val="0"/>
                <w:color w:val="auto"/>
                <w:kern w:val="0"/>
                <w:sz w:val="21"/>
                <w:szCs w:val="21"/>
                <w:u w:val="none"/>
                <w:lang w:val="en-US" w:eastAsia="zh-CN" w:bidi="ar"/>
              </w:rPr>
              <w:t>基本参数</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r>
              <w:rPr>
                <w:rFonts w:hint="default" w:ascii="Calibri" w:hAnsi="Calibri" w:eastAsia="宋体" w:cs="宋体"/>
                <w:b/>
                <w:bCs/>
                <w:i w:val="0"/>
                <w:iCs w:val="0"/>
                <w:color w:val="auto"/>
                <w:kern w:val="0"/>
                <w:sz w:val="21"/>
                <w:szCs w:val="21"/>
                <w:u w:val="none"/>
                <w:lang w:val="en-US" w:eastAsia="zh-CN" w:bidi="ar"/>
              </w:rPr>
              <w:t>数量</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r>
              <w:rPr>
                <w:rFonts w:hint="default" w:ascii="Calibri" w:hAnsi="Calibri" w:eastAsia="宋体" w:cs="宋体"/>
                <w:b/>
                <w:bCs/>
                <w:i w:val="0"/>
                <w:iCs w:val="0"/>
                <w:color w:val="auto"/>
                <w:kern w:val="0"/>
                <w:sz w:val="21"/>
                <w:szCs w:val="21"/>
                <w:u w:val="none"/>
                <w:lang w:val="en-US" w:eastAsia="zh-CN" w:bidi="ar"/>
              </w:rPr>
              <w:t>单位</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r>
              <w:rPr>
                <w:rFonts w:hint="default" w:ascii="Calibri" w:hAnsi="Calibri" w:eastAsia="宋体" w:cs="宋体"/>
                <w:b/>
                <w:bCs/>
                <w:i w:val="0"/>
                <w:iCs w:val="0"/>
                <w:color w:val="auto"/>
                <w:kern w:val="0"/>
                <w:sz w:val="21"/>
                <w:szCs w:val="21"/>
                <w:u w:val="none"/>
                <w:lang w:val="en-US" w:eastAsia="zh-CN" w:bidi="ar"/>
              </w:rPr>
              <w:t>单价</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b/>
                <w:bCs/>
                <w:i w:val="0"/>
                <w:iCs w:val="0"/>
                <w:color w:val="auto"/>
                <w:sz w:val="21"/>
                <w:szCs w:val="21"/>
                <w:u w:val="none"/>
              </w:rPr>
            </w:pPr>
            <w:r>
              <w:rPr>
                <w:rFonts w:hint="default" w:ascii="Calibri" w:hAnsi="Calibri" w:eastAsia="宋体" w:cs="宋体"/>
                <w:b/>
                <w:bCs/>
                <w:i w:val="0"/>
                <w:iCs w:val="0"/>
                <w:color w:val="auto"/>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64" w:type="pct"/>
            <w:vMerge w:val="restar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高速收费口入城第一段路</w:t>
            </w: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灯光雕塑</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1.灯光雕塑高度3米</w:t>
            </w:r>
            <w:r>
              <w:rPr>
                <w:rFonts w:hint="default" w:ascii="Calibri" w:hAnsi="Calibri" w:eastAsia="宋体" w:cs="宋体"/>
                <w:b w:val="0"/>
                <w:bCs w:val="0"/>
                <w:i w:val="0"/>
                <w:iCs w:val="0"/>
                <w:color w:val="auto"/>
                <w:kern w:val="0"/>
                <w:sz w:val="21"/>
                <w:szCs w:val="21"/>
                <w:u w:val="none"/>
                <w:lang w:val="en-US" w:eastAsia="zh-CN" w:bidi="ar"/>
              </w:rPr>
              <w:br w:type="textWrapping"/>
            </w:r>
            <w:r>
              <w:rPr>
                <w:rFonts w:hint="default" w:ascii="Calibri" w:hAnsi="Calibri" w:eastAsia="宋体" w:cs="宋体"/>
                <w:b w:val="0"/>
                <w:bCs w:val="0"/>
                <w:i w:val="0"/>
                <w:iCs w:val="0"/>
                <w:color w:val="auto"/>
                <w:kern w:val="0"/>
                <w:sz w:val="21"/>
                <w:szCs w:val="21"/>
                <w:u w:val="none"/>
                <w:lang w:val="en-US" w:eastAsia="zh-CN" w:bidi="ar"/>
              </w:rPr>
              <w:t>2.钢结构立柱支撑3米</w:t>
            </w:r>
            <w:r>
              <w:rPr>
                <w:rFonts w:hint="default" w:ascii="Calibri" w:hAnsi="Calibri" w:eastAsia="宋体" w:cs="宋体"/>
                <w:b w:val="0"/>
                <w:bCs w:val="0"/>
                <w:i w:val="0"/>
                <w:iCs w:val="0"/>
                <w:color w:val="auto"/>
                <w:kern w:val="0"/>
                <w:sz w:val="21"/>
                <w:szCs w:val="21"/>
                <w:u w:val="none"/>
                <w:lang w:val="en-US" w:eastAsia="zh-CN" w:bidi="ar"/>
              </w:rPr>
              <w:br w:type="textWrapping"/>
            </w:r>
            <w:r>
              <w:rPr>
                <w:rFonts w:hint="default" w:ascii="Calibri" w:hAnsi="Calibri" w:eastAsia="宋体" w:cs="宋体"/>
                <w:b w:val="0"/>
                <w:bCs w:val="0"/>
                <w:i w:val="0"/>
                <w:iCs w:val="0"/>
                <w:color w:val="auto"/>
                <w:kern w:val="0"/>
                <w:sz w:val="21"/>
                <w:szCs w:val="21"/>
                <w:u w:val="none"/>
                <w:lang w:val="en-US" w:eastAsia="zh-CN" w:bidi="ar"/>
              </w:rPr>
              <w:t>3.混凝土基础，固定地脚笼</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1</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7287.67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道路左侧一套，钢结构立柱高度1.5米，混泥土基础1.5*1.5米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464" w:type="pct"/>
            <w:vMerge w:val="continue"/>
            <w:noWrap w:val="0"/>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LED投光灯</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3000K/24W/DC24V/IP65</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30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133.25 </w:t>
            </w:r>
          </w:p>
        </w:tc>
        <w:tc>
          <w:tcPr>
            <w:tcW w:w="960" w:type="pct"/>
            <w:noWrap w:val="0"/>
            <w:vAlign w:val="center"/>
          </w:tcPr>
          <w:p>
            <w:pPr>
              <w:jc w:val="center"/>
              <w:rPr>
                <w:rFonts w:hint="default" w:ascii="Calibri" w:hAnsi="Calibri"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64" w:type="pct"/>
            <w:noWrap/>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配电箱</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亮化配电箱，非标定制，电井内壁挂安装；总断路器NT1-40A/3P；内置时钟控制器；出线3路RCBO漏电保护（WL1、WL2：C20/30mA；WL3：C40/30mA）；配置ISCB1 25/1P+N浪涌保护器、PSD1 2P防雷器；冷轧钢板箱体、静电喷塑；箱内元器件、二次配线、标识牌全部包含。</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2</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台</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1225.00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3个回路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64" w:type="pct"/>
            <w:vMerge w:val="restar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花坛转盘</w:t>
            </w: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LED投光灯</w:t>
            </w:r>
            <w:r>
              <w:rPr>
                <w:rFonts w:hint="eastAsia" w:ascii="Calibri" w:hAnsi="Calibri" w:eastAsia="宋体" w:cs="宋体"/>
                <w:i w:val="0"/>
                <w:iCs w:val="0"/>
                <w:color w:val="auto"/>
                <w:kern w:val="0"/>
                <w:sz w:val="21"/>
                <w:szCs w:val="21"/>
                <w:u w:val="none"/>
                <w:lang w:val="en-US" w:eastAsia="zh-CN" w:bidi="ar"/>
              </w:rPr>
              <w:t>（1）</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2500K/120W/AC220V/IP65/发光角度10°</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8</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312.50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不锈钢雕塑，需立杆投射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64" w:type="pct"/>
            <w:vMerge w:val="continue"/>
            <w:noWrap/>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LED投光灯</w:t>
            </w:r>
            <w:r>
              <w:rPr>
                <w:rFonts w:hint="eastAsia" w:ascii="Calibri" w:hAnsi="Calibri" w:eastAsia="宋体" w:cs="宋体"/>
                <w:i w:val="0"/>
                <w:iCs w:val="0"/>
                <w:color w:val="auto"/>
                <w:kern w:val="0"/>
                <w:sz w:val="21"/>
                <w:szCs w:val="21"/>
                <w:u w:val="none"/>
                <w:lang w:val="en-US" w:eastAsia="zh-CN" w:bidi="ar"/>
              </w:rPr>
              <w:t>（2）</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2500K/50W/DC24V/IP65/发光角度60°</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8</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166.50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不锈钢雕塑底部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4" w:type="pct"/>
            <w:vMerge w:val="continue"/>
            <w:noWrap/>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LED投光灯</w:t>
            </w:r>
            <w:r>
              <w:rPr>
                <w:rFonts w:hint="eastAsia" w:ascii="Calibri" w:hAnsi="Calibri" w:eastAsia="宋体" w:cs="宋体"/>
                <w:i w:val="0"/>
                <w:iCs w:val="0"/>
                <w:color w:val="auto"/>
                <w:kern w:val="0"/>
                <w:sz w:val="21"/>
                <w:szCs w:val="21"/>
                <w:u w:val="none"/>
                <w:lang w:val="en-US" w:eastAsia="zh-CN" w:bidi="ar"/>
              </w:rPr>
              <w:t>（3）</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3000K/24W/DC24V/IP65/发光角度30°</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6</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154.60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椰子树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464" w:type="pct"/>
            <w:vMerge w:val="continue"/>
            <w:noWrap/>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麦穗灯</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DMX512外控/高度：高矮组合</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4580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11.02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间隔20厘米一株，基础深化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464" w:type="pct"/>
            <w:vMerge w:val="continue"/>
            <w:noWrap/>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灯光小品</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蝴蝶灯和蜻蜓灯，高度：1米</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16</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904.17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各8套，立杆高度1.3米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64" w:type="pct"/>
            <w:vMerge w:val="continue"/>
            <w:noWrap/>
            <w:vAlign w:val="center"/>
          </w:tcPr>
          <w:p>
            <w:pPr>
              <w:jc w:val="cente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火焰灯</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1800K/350W/AC220V/IP65/发光角度25°</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8</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565.00 </w:t>
            </w:r>
          </w:p>
        </w:tc>
        <w:tc>
          <w:tcPr>
            <w:tcW w:w="960" w:type="pct"/>
            <w:noWrap w:val="0"/>
            <w:vAlign w:val="center"/>
          </w:tcPr>
          <w:p>
            <w:pPr>
              <w:jc w:val="center"/>
              <w:rPr>
                <w:rFonts w:hint="default" w:ascii="Calibri" w:hAnsi="Calibri"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立杆</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H=4000mm</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4</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356.50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含基础 1杆4套灯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配电箱</w:t>
            </w:r>
          </w:p>
        </w:tc>
        <w:tc>
          <w:tcPr>
            <w:tcW w:w="1865" w:type="pct"/>
            <w:noWrap w:val="0"/>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 xml:space="preserve">AL1配电箱，非标定制，防护等级IP56，花坛区域壁挂安装；计算负荷Pe=20.8kW，cosφ=0.85；三相进线，配置GSS-63A/3P进线开关、DT862电表；配备KM2时钟+远程控制接触器；出线12路微型断路器；配置MS17-40 4P浪涌保护器；冷轧钢板箱体静电喷塑，箱内元器件、二次配线、标识全部包含。 </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1</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台</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6900.00 </w:t>
            </w:r>
          </w:p>
        </w:tc>
        <w:tc>
          <w:tcPr>
            <w:tcW w:w="960"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12-15个回路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主电缆5*6及管</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国标</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150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米</w:t>
            </w:r>
          </w:p>
        </w:tc>
        <w:tc>
          <w:tcPr>
            <w:tcW w:w="404"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6.50 </w:t>
            </w:r>
          </w:p>
        </w:tc>
        <w:tc>
          <w:tcPr>
            <w:tcW w:w="960" w:type="pct"/>
            <w:vMerge w:val="restar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暂估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回路线3*4及管</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国标</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3000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米</w:t>
            </w:r>
          </w:p>
        </w:tc>
        <w:tc>
          <w:tcPr>
            <w:tcW w:w="404"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6.50 </w:t>
            </w:r>
          </w:p>
        </w:tc>
        <w:tc>
          <w:tcPr>
            <w:tcW w:w="960" w:type="pct"/>
            <w:vMerge w:val="continue"/>
            <w:noWrap w:val="0"/>
            <w:vAlign w:val="center"/>
          </w:tcPr>
          <w:p>
            <w:pPr>
              <w:jc w:val="center"/>
              <w:rPr>
                <w:rFonts w:hint="default" w:ascii="Calibri" w:hAnsi="Calibri"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低压线2*4及管</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国标</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600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米</w:t>
            </w:r>
          </w:p>
        </w:tc>
        <w:tc>
          <w:tcPr>
            <w:tcW w:w="404"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6.50 </w:t>
            </w:r>
          </w:p>
        </w:tc>
        <w:tc>
          <w:tcPr>
            <w:tcW w:w="960" w:type="pct"/>
            <w:vMerge w:val="continue"/>
            <w:noWrap w:val="0"/>
            <w:vAlign w:val="center"/>
          </w:tcPr>
          <w:p>
            <w:pPr>
              <w:jc w:val="center"/>
              <w:rPr>
                <w:rFonts w:hint="default" w:ascii="Calibri" w:hAnsi="Calibri"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破地面</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破水泥地面</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20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米</w:t>
            </w:r>
          </w:p>
        </w:tc>
        <w:tc>
          <w:tcPr>
            <w:tcW w:w="404"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140.00 </w:t>
            </w:r>
          </w:p>
        </w:tc>
        <w:tc>
          <w:tcPr>
            <w:tcW w:w="960" w:type="pct"/>
            <w:vMerge w:val="continue"/>
            <w:noWrap w:val="0"/>
            <w:vAlign w:val="center"/>
          </w:tcPr>
          <w:p>
            <w:pPr>
              <w:jc w:val="center"/>
              <w:rPr>
                <w:rFonts w:hint="default" w:ascii="Calibri" w:hAnsi="Calibri"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464" w:type="pct"/>
            <w:noWrap/>
            <w:vAlign w:val="center"/>
          </w:tcPr>
          <w:p>
            <w:pPr>
              <w:rPr>
                <w:rFonts w:hint="default" w:ascii="Calibri" w:hAnsi="Calibri" w:eastAsia="宋体" w:cs="宋体"/>
                <w:i w:val="0"/>
                <w:iCs w:val="0"/>
                <w:color w:val="auto"/>
                <w:sz w:val="21"/>
                <w:szCs w:val="21"/>
                <w:u w:val="none"/>
              </w:rPr>
            </w:pPr>
          </w:p>
        </w:tc>
        <w:tc>
          <w:tcPr>
            <w:tcW w:w="65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开关电源</w:t>
            </w:r>
          </w:p>
        </w:tc>
        <w:tc>
          <w:tcPr>
            <w:tcW w:w="1865" w:type="pct"/>
            <w:noWrap/>
            <w:vAlign w:val="center"/>
          </w:tcPr>
          <w:p>
            <w:pPr>
              <w:keepNext w:val="0"/>
              <w:keepLines w:val="0"/>
              <w:widowControl/>
              <w:suppressLineNumbers w:val="0"/>
              <w:jc w:val="center"/>
              <w:textAlignment w:val="center"/>
              <w:rPr>
                <w:rFonts w:hint="default" w:ascii="Calibri" w:hAnsi="Calibri" w:eastAsia="宋体" w:cs="宋体"/>
                <w:b w:val="0"/>
                <w:bCs w:val="0"/>
                <w:i w:val="0"/>
                <w:iCs w:val="0"/>
                <w:color w:val="auto"/>
                <w:sz w:val="21"/>
                <w:szCs w:val="21"/>
                <w:u w:val="none"/>
              </w:rPr>
            </w:pPr>
            <w:r>
              <w:rPr>
                <w:rFonts w:hint="default" w:ascii="Calibri" w:hAnsi="Calibri" w:eastAsia="宋体" w:cs="宋体"/>
                <w:b w:val="0"/>
                <w:bCs w:val="0"/>
                <w:i w:val="0"/>
                <w:iCs w:val="0"/>
                <w:color w:val="auto"/>
                <w:kern w:val="0"/>
                <w:sz w:val="21"/>
                <w:szCs w:val="21"/>
                <w:u w:val="none"/>
                <w:lang w:val="en-US" w:eastAsia="zh-CN" w:bidi="ar"/>
              </w:rPr>
              <w:t>400W防雨</w:t>
            </w:r>
          </w:p>
        </w:tc>
        <w:tc>
          <w:tcPr>
            <w:tcW w:w="332"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50</w:t>
            </w:r>
          </w:p>
        </w:tc>
        <w:tc>
          <w:tcPr>
            <w:tcW w:w="319" w:type="pct"/>
            <w:noWrap/>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套</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sz w:val="21"/>
                <w:szCs w:val="21"/>
                <w:u w:val="none"/>
              </w:rPr>
            </w:pPr>
            <w:r>
              <w:rPr>
                <w:rFonts w:hint="default" w:ascii="Calibri" w:hAnsi="Calibri" w:eastAsia="宋体" w:cs="宋体"/>
                <w:i w:val="0"/>
                <w:iCs w:val="0"/>
                <w:color w:val="auto"/>
                <w:kern w:val="0"/>
                <w:sz w:val="21"/>
                <w:szCs w:val="21"/>
                <w:u w:val="none"/>
                <w:lang w:val="en-US" w:eastAsia="zh-CN" w:bidi="ar"/>
              </w:rPr>
              <w:t xml:space="preserve">102.50 </w:t>
            </w:r>
          </w:p>
        </w:tc>
        <w:tc>
          <w:tcPr>
            <w:tcW w:w="960" w:type="pct"/>
            <w:noWrap w:val="0"/>
            <w:vAlign w:val="center"/>
          </w:tcPr>
          <w:p>
            <w:pPr>
              <w:jc w:val="center"/>
              <w:rPr>
                <w:rFonts w:hint="default" w:ascii="Calibri" w:hAnsi="Calibri"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634" w:type="pct"/>
            <w:gridSpan w:val="5"/>
            <w:noWrap/>
            <w:vAlign w:val="center"/>
          </w:tcPr>
          <w:p>
            <w:pPr>
              <w:keepNext w:val="0"/>
              <w:keepLines w:val="0"/>
              <w:widowControl/>
              <w:suppressLineNumbers w:val="0"/>
              <w:tabs>
                <w:tab w:val="left" w:pos="6045"/>
              </w:tabs>
              <w:jc w:val="center"/>
              <w:textAlignment w:val="center"/>
              <w:rPr>
                <w:rFonts w:hint="default" w:ascii="Calibri" w:hAnsi="Calibri" w:eastAsia="宋体" w:cs="宋体"/>
                <w:i w:val="0"/>
                <w:iCs w:val="0"/>
                <w:color w:val="auto"/>
                <w:kern w:val="0"/>
                <w:sz w:val="21"/>
                <w:szCs w:val="21"/>
                <w:u w:val="none"/>
                <w:lang w:val="en-US" w:eastAsia="zh-CN" w:bidi="ar"/>
              </w:rPr>
            </w:pPr>
            <w:r>
              <w:rPr>
                <w:rFonts w:hint="default" w:ascii="Calibri" w:hAnsi="Calibri" w:eastAsia="宋体" w:cs="宋体"/>
                <w:i w:val="0"/>
                <w:iCs w:val="0"/>
                <w:color w:val="auto"/>
                <w:kern w:val="0"/>
                <w:sz w:val="21"/>
                <w:szCs w:val="21"/>
                <w:u w:val="none"/>
                <w:lang w:val="en-US" w:eastAsia="zh-CN" w:bidi="ar"/>
              </w:rPr>
              <w:t>集成费（6%）(拆除部分不计算该费用)</w:t>
            </w:r>
          </w:p>
        </w:tc>
        <w:tc>
          <w:tcPr>
            <w:tcW w:w="404" w:type="pct"/>
            <w:noWrap w:val="0"/>
            <w:vAlign w:val="center"/>
          </w:tcPr>
          <w:p>
            <w:pPr>
              <w:keepNext w:val="0"/>
              <w:keepLines w:val="0"/>
              <w:widowControl/>
              <w:suppressLineNumbers w:val="0"/>
              <w:jc w:val="center"/>
              <w:textAlignment w:val="center"/>
              <w:rPr>
                <w:rFonts w:hint="default" w:ascii="Calibri" w:hAnsi="Calibri" w:eastAsia="宋体" w:cs="宋体"/>
                <w:i w:val="0"/>
                <w:iCs w:val="0"/>
                <w:color w:val="auto"/>
                <w:kern w:val="0"/>
                <w:sz w:val="21"/>
                <w:szCs w:val="21"/>
                <w:u w:val="none"/>
                <w:lang w:val="en-US" w:eastAsia="zh-CN" w:bidi="ar"/>
              </w:rPr>
            </w:pPr>
            <w:r>
              <w:rPr>
                <w:rFonts w:hint="default" w:ascii="Calibri" w:hAnsi="Calibri" w:eastAsia="宋体" w:cs="宋体"/>
                <w:i w:val="0"/>
                <w:iCs w:val="0"/>
                <w:color w:val="auto"/>
                <w:kern w:val="0"/>
                <w:sz w:val="21"/>
                <w:szCs w:val="21"/>
                <w:u w:val="none"/>
                <w:lang w:val="en-US" w:eastAsia="zh-CN" w:bidi="ar"/>
              </w:rPr>
              <w:t>7714.50</w:t>
            </w:r>
          </w:p>
        </w:tc>
        <w:tc>
          <w:tcPr>
            <w:tcW w:w="960" w:type="pct"/>
            <w:noWrap w:val="0"/>
            <w:vAlign w:val="center"/>
          </w:tcPr>
          <w:p>
            <w:pPr>
              <w:jc w:val="center"/>
              <w:rPr>
                <w:rFonts w:hint="default" w:ascii="Calibri" w:hAnsi="Calibri" w:eastAsia="宋体" w:cs="宋体"/>
                <w:i w:val="0"/>
                <w:iCs w:val="0"/>
                <w:color w:val="auto"/>
                <w:sz w:val="21"/>
                <w:szCs w:val="21"/>
                <w:u w:val="none"/>
              </w:rPr>
            </w:pPr>
          </w:p>
        </w:tc>
      </w:tr>
    </w:tbl>
    <w:p>
      <w:pPr>
        <w:rPr>
          <w:rFonts w:ascii="Calibri" w:hAnsi="Calibri" w:eastAsia="宋体" w:cs="Times New Roman"/>
          <w:color w:val="auto"/>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1865"/>
        <w:gridCol w:w="5239"/>
        <w:gridCol w:w="965"/>
        <w:gridCol w:w="877"/>
        <w:gridCol w:w="1174"/>
        <w:gridCol w:w="2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0" w:type="pct"/>
            <w:gridSpan w:val="7"/>
            <w:noWrap w:val="0"/>
            <w:vAlign w:val="center"/>
          </w:tcPr>
          <w:p>
            <w:pPr>
              <w:jc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36"/>
                <w:szCs w:val="36"/>
                <w:u w:val="none"/>
                <w:lang w:val="en-US" w:eastAsia="zh-CN" w:bidi="ar"/>
              </w:rPr>
              <w:t>新增路段及公园灯采购清单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名称</w:t>
            </w:r>
          </w:p>
        </w:tc>
        <w:tc>
          <w:tcPr>
            <w:tcW w:w="1857"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报价参数</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评审单价</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2"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建设路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LED灯具  </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体育路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LED灯具  </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4"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含珠路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LED灯具  </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公正路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LED灯具1(双灯)120配80</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120W</w:t>
            </w:r>
            <w:r>
              <w:rPr>
                <w:rFonts w:hint="eastAsia" w:ascii="宋体" w:hAnsi="宋体" w:eastAsia="宋体" w:cs="宋体"/>
                <w:color w:val="auto"/>
                <w:sz w:val="21"/>
                <w:szCs w:val="21"/>
                <w:u w:val="none"/>
                <w:lang w:val="en-US" w:eastAsia="zh-CN" w:bidi="ar"/>
              </w:rPr>
              <w:t>,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公正路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LED灯具2 (双灯)120配80</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80W,</w:t>
            </w:r>
            <w:r>
              <w:rPr>
                <w:rFonts w:hint="eastAsia" w:ascii="宋体" w:hAnsi="宋体" w:eastAsia="宋体" w:cs="宋体"/>
                <w:color w:val="auto"/>
                <w:sz w:val="21"/>
                <w:szCs w:val="21"/>
                <w:u w:val="none"/>
                <w:lang w:val="en-US" w:eastAsia="zh-CN" w:bidi="ar"/>
              </w:rPr>
              <w:t xml:space="preserve">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440.00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3"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城南路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   4套双杠（120配120）</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120W</w:t>
            </w:r>
            <w:r>
              <w:rPr>
                <w:rFonts w:hint="eastAsia" w:ascii="宋体" w:hAnsi="宋体" w:eastAsia="宋体" w:cs="宋体"/>
                <w:color w:val="auto"/>
                <w:sz w:val="21"/>
                <w:szCs w:val="21"/>
                <w:u w:val="none"/>
                <w:lang w:val="en-US" w:eastAsia="zh-CN" w:bidi="ar"/>
              </w:rPr>
              <w:t>,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振兴路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  19杆 (单灯)</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含丰路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   12杆 (单灯)</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石燕路 </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 xml:space="preserve"> 56杆(双灯) 120配80W</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120W</w:t>
            </w:r>
            <w:r>
              <w:rPr>
                <w:rFonts w:hint="eastAsia" w:ascii="宋体" w:hAnsi="宋体" w:eastAsia="宋体" w:cs="宋体"/>
                <w:color w:val="auto"/>
                <w:sz w:val="21"/>
                <w:szCs w:val="21"/>
                <w:u w:val="none"/>
                <w:lang w:val="en-US" w:eastAsia="zh-CN" w:bidi="ar"/>
              </w:rPr>
              <w:t>,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石燕路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 xml:space="preserve">  56杆(双灯) 120配80W</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80W,</w:t>
            </w:r>
            <w:r>
              <w:rPr>
                <w:rFonts w:hint="eastAsia" w:ascii="宋体" w:hAnsi="宋体" w:eastAsia="宋体" w:cs="宋体"/>
                <w:color w:val="auto"/>
                <w:sz w:val="21"/>
                <w:szCs w:val="21"/>
                <w:u w:val="none"/>
                <w:lang w:val="en-US" w:eastAsia="zh-CN" w:bidi="ar"/>
              </w:rPr>
              <w:t xml:space="preserve">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440.00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无名路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 xml:space="preserve"> 20杆(双灯) 120配80W</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120W</w:t>
            </w:r>
            <w:r>
              <w:rPr>
                <w:rFonts w:hint="eastAsia" w:ascii="宋体" w:hAnsi="宋体" w:eastAsia="宋体" w:cs="宋体"/>
                <w:color w:val="auto"/>
                <w:sz w:val="21"/>
                <w:szCs w:val="21"/>
                <w:u w:val="none"/>
                <w:lang w:val="en-US" w:eastAsia="zh-CN" w:bidi="ar"/>
              </w:rPr>
              <w:t>,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无名路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 xml:space="preserve"> 20杆(双灯) 120配80W</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80W,</w:t>
            </w:r>
            <w:r>
              <w:rPr>
                <w:rFonts w:hint="eastAsia" w:ascii="宋体" w:hAnsi="宋体" w:eastAsia="宋体" w:cs="宋体"/>
                <w:color w:val="auto"/>
                <w:sz w:val="21"/>
                <w:szCs w:val="21"/>
                <w:u w:val="none"/>
                <w:lang w:val="en-US" w:eastAsia="zh-CN" w:bidi="ar"/>
              </w:rPr>
              <w:t xml:space="preserve">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440.00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禾兴路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LED灯具（1） 56杆(双灯) 120配80W</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120W</w:t>
            </w:r>
            <w:r>
              <w:rPr>
                <w:rFonts w:hint="eastAsia" w:ascii="宋体" w:hAnsi="宋体" w:eastAsia="宋体" w:cs="宋体"/>
                <w:color w:val="auto"/>
                <w:sz w:val="21"/>
                <w:szCs w:val="21"/>
                <w:u w:val="none"/>
                <w:lang w:val="en-US" w:eastAsia="zh-CN" w:bidi="ar"/>
              </w:rPr>
              <w:t>,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禾兴路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 56杆(双灯) 120配80W</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80W,</w:t>
            </w:r>
            <w:r>
              <w:rPr>
                <w:rFonts w:hint="eastAsia" w:ascii="宋体" w:hAnsi="宋体" w:eastAsia="宋体" w:cs="宋体"/>
                <w:color w:val="auto"/>
                <w:sz w:val="21"/>
                <w:szCs w:val="21"/>
                <w:u w:val="none"/>
                <w:lang w:val="en-US" w:eastAsia="zh-CN" w:bidi="ar"/>
              </w:rPr>
              <w:t xml:space="preserve">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440.00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城南路（丰和圩短）</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 单杠单灯8杆</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加背路</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LED灯具 9杆单灯，一杆双灯</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1.LED-120W,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490.00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4G单灯控制器</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4G单灯控制器，单灯控制器内置在灯具里面。</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144.00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9米自弯臂</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灯杆:9米单臂，圆锥杆，口径60-200mm，壁厚4.8mm，支臂1.5mm,法兰400*400*20mm,对角424,Q235优质钢材整体热镀锌表面高温喷塑，灯杆在 7.5米处开始起弯，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预埋件:30螺杆 30丝口*4根，成型 1140 高，固定式，对角 424 mm定位板 400*400*5mm </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1485.00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6米杆LED庭院灯</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6米高，法兰对角线280，主杆140，2.5厚，灯箱直径400，亚克力管，直径300，配光源，含预埋件。</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1730.50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4米杆LED庭院灯</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4米高，法兰对角线240，主杆89，2.0厚，灯箱直径250，亚克力管直径180，配光源，含预埋件。</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1282.50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LED投光灯</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color w:val="auto"/>
                <w:sz w:val="21"/>
                <w:szCs w:val="21"/>
                <w:u w:val="none"/>
                <w:lang w:val="en-US" w:eastAsia="zh-CN" w:bidi="ar"/>
              </w:rPr>
              <w:t>1.LED</w:t>
            </w:r>
            <w:r>
              <w:rPr>
                <w:rFonts w:hint="eastAsia" w:ascii="宋体" w:hAnsi="宋体" w:eastAsia="宋体" w:cs="宋体"/>
                <w:b/>
                <w:bCs/>
                <w:color w:val="auto"/>
                <w:sz w:val="21"/>
                <w:szCs w:val="21"/>
                <w:u w:val="none"/>
                <w:lang w:val="en-US" w:eastAsia="zh-CN" w:bidi="ar"/>
              </w:rPr>
              <w:t>-250W</w:t>
            </w:r>
            <w:r>
              <w:rPr>
                <w:rFonts w:hint="eastAsia" w:ascii="宋体" w:hAnsi="宋体" w:eastAsia="宋体" w:cs="宋体"/>
                <w:color w:val="auto"/>
                <w:sz w:val="21"/>
                <w:szCs w:val="21"/>
                <w:u w:val="none"/>
                <w:lang w:val="en-US" w:eastAsia="zh-CN" w:bidi="ar"/>
              </w:rPr>
              <w:t>投光灯, LED 整灯光效＞125lm/w，色温：3000K；</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2.防护等级≥IP65,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3.功率因数≥0.95；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4.色容差＜5SDCM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5、调光功能：0-10V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6、质保两年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7、铝材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530.80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59"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4GLED单灯控制器</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4G单灯控制器，单灯控制器内置在灯具里面。</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144.00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459" w:type="pct"/>
            <w:noWrap w:val="0"/>
            <w:vAlign w:val="center"/>
          </w:tcPr>
          <w:p>
            <w:pPr>
              <w:jc w:val="center"/>
              <w:rPr>
                <w:rFonts w:hint="eastAsia" w:ascii="宋体" w:hAnsi="宋体" w:eastAsia="宋体" w:cs="宋体"/>
                <w:i w:val="0"/>
                <w:iCs w:val="0"/>
                <w:color w:val="auto"/>
                <w:sz w:val="21"/>
                <w:szCs w:val="21"/>
                <w:u w:val="none"/>
              </w:rPr>
            </w:pP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9米单杆双挑路灯拆除</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拆除9米高单杆双挑路灯；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包含基础破除、灯杆及灯具拆除；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废弃材料清理及外运。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625.00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459" w:type="pct"/>
            <w:noWrap w:val="0"/>
            <w:vAlign w:val="center"/>
          </w:tcPr>
          <w:p>
            <w:pPr>
              <w:jc w:val="center"/>
              <w:rPr>
                <w:rFonts w:hint="eastAsia" w:ascii="宋体" w:hAnsi="宋体" w:eastAsia="宋体" w:cs="宋体"/>
                <w:i w:val="0"/>
                <w:iCs w:val="0"/>
                <w:color w:val="auto"/>
                <w:sz w:val="21"/>
                <w:szCs w:val="21"/>
                <w:u w:val="none"/>
              </w:rPr>
            </w:pP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6米单杆双挑路灯拆除</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拆除6米高单杆双挑路灯；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包含基础破除、灯杆及灯具拆除；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废弃材料清理及外运。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500.00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 w:type="pct"/>
            <w:noWrap w:val="0"/>
            <w:vAlign w:val="center"/>
          </w:tcPr>
          <w:p>
            <w:pPr>
              <w:jc w:val="center"/>
              <w:rPr>
                <w:rFonts w:hint="eastAsia" w:ascii="宋体" w:hAnsi="宋体" w:eastAsia="宋体" w:cs="宋体"/>
                <w:b/>
                <w:bCs/>
                <w:i w:val="0"/>
                <w:iCs w:val="0"/>
                <w:color w:val="auto"/>
                <w:sz w:val="21"/>
                <w:szCs w:val="21"/>
                <w:u w:val="none"/>
              </w:rPr>
            </w:pP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4米单杆双挑路灯拆除</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拆除4米高单杆双挑路灯；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包含基础破除、灯杆及灯具拆除；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废弃材料清理及外运。</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450.00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459" w:type="pct"/>
            <w:noWrap w:val="0"/>
            <w:vAlign w:val="center"/>
          </w:tcPr>
          <w:p>
            <w:pPr>
              <w:jc w:val="center"/>
              <w:rPr>
                <w:rFonts w:hint="eastAsia" w:ascii="宋体" w:hAnsi="宋体" w:eastAsia="宋体" w:cs="宋体"/>
                <w:b/>
                <w:bCs/>
                <w:i w:val="0"/>
                <w:iCs w:val="0"/>
                <w:color w:val="auto"/>
                <w:sz w:val="21"/>
                <w:szCs w:val="21"/>
                <w:u w:val="none"/>
              </w:rPr>
            </w:pPr>
          </w:p>
        </w:tc>
        <w:tc>
          <w:tcPr>
            <w:tcW w:w="661"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灯头拆除（12-18米杆）</w:t>
            </w:r>
          </w:p>
        </w:tc>
        <w:tc>
          <w:tcPr>
            <w:tcW w:w="1857" w:type="pct"/>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拆除高度12-18米灯杆上的灯头；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含光源、灯罩拆除；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保护性拆除：灯杆内部电线、保护开关等设施按利旧考虑，需妥善保管；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 原有灯具拆除</w:t>
            </w:r>
          </w:p>
        </w:tc>
        <w:tc>
          <w:tcPr>
            <w:tcW w:w="342"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310"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1304</w:t>
            </w:r>
          </w:p>
        </w:tc>
        <w:tc>
          <w:tcPr>
            <w:tcW w:w="416"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75.00 </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3630" w:type="pct"/>
            <w:gridSpan w:val="5"/>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集成费（6%）(拆除部分不计算该费用)</w:t>
            </w:r>
          </w:p>
        </w:tc>
        <w:tc>
          <w:tcPr>
            <w:tcW w:w="416" w:type="pct"/>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52166.88</w:t>
            </w:r>
          </w:p>
        </w:tc>
        <w:tc>
          <w:tcPr>
            <w:tcW w:w="95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bl>
    <w:p>
      <w:pPr>
        <w:widowControl w:val="0"/>
        <w:jc w:val="both"/>
        <w:rPr>
          <w:rFonts w:ascii="宋体" w:hAnsi="宋体" w:eastAsia="宋体" w:cs="宋体"/>
          <w:color w:val="auto"/>
          <w:kern w:val="2"/>
          <w:sz w:val="24"/>
          <w:szCs w:val="24"/>
          <w:highlight w:val="none"/>
          <w:lang w:val="en-US" w:eastAsia="zh-CN" w:bidi="ar-SA"/>
        </w:rPr>
      </w:pPr>
    </w:p>
    <w:p>
      <w:pPr>
        <w:bidi w:val="0"/>
        <w:rPr>
          <w:rFonts w:hint="eastAsia"/>
          <w:color w:val="auto"/>
          <w:highlight w:val="none"/>
          <w:lang w:val="en-US" w:eastAsia="zh-CN"/>
        </w:rPr>
        <w:sectPr>
          <w:pgSz w:w="16838" w:h="11906" w:orient="landscape"/>
          <w:pgMar w:top="1588" w:right="1474" w:bottom="1474" w:left="1474" w:header="851" w:footer="992" w:gutter="0"/>
          <w:cols w:space="720" w:num="1"/>
          <w:docGrid w:type="lines" w:linePitch="312" w:charSpace="0"/>
        </w:sectPr>
      </w:pPr>
      <w:bookmarkStart w:id="11" w:name="_Toc8592"/>
      <w:bookmarkStart w:id="12" w:name="_Toc256000039"/>
    </w:p>
    <w:p>
      <w:pPr>
        <w:keepNext/>
        <w:keepLines/>
        <w:widowControl w:val="0"/>
        <w:adjustRightInd w:val="0"/>
        <w:snapToGrid w:val="0"/>
        <w:spacing w:beforeLines="50" w:line="360" w:lineRule="auto"/>
        <w:jc w:val="center"/>
        <w:outlineLvl w:val="1"/>
        <w:rPr>
          <w:rFonts w:ascii="黑体" w:hAnsi="黑体" w:eastAsia="黑体" w:cs="Times New Roman"/>
          <w:b/>
          <w:bCs/>
          <w:color w:val="auto"/>
          <w:kern w:val="2"/>
          <w:sz w:val="24"/>
          <w:szCs w:val="32"/>
          <w:highlight w:val="none"/>
          <w:lang w:val="en-US" w:eastAsia="zh-CN" w:bidi="ar-SA"/>
        </w:rPr>
      </w:pPr>
      <w:bookmarkStart w:id="13" w:name="_Toc6931"/>
      <w:r>
        <w:rPr>
          <w:rFonts w:hint="eastAsia" w:ascii="黑体" w:hAnsi="黑体" w:eastAsia="黑体" w:cs="Times New Roman"/>
          <w:b/>
          <w:bCs/>
          <w:color w:val="auto"/>
          <w:kern w:val="2"/>
          <w:sz w:val="28"/>
          <w:szCs w:val="28"/>
          <w:highlight w:val="none"/>
          <w:lang w:val="en-US" w:eastAsia="zh-CN" w:bidi="ar-SA"/>
        </w:rPr>
        <w:t>第三节 商务</w:t>
      </w:r>
      <w:r>
        <w:rPr>
          <w:rFonts w:ascii="黑体" w:hAnsi="黑体" w:eastAsia="黑体" w:cs="Times New Roman"/>
          <w:b/>
          <w:bCs/>
          <w:color w:val="auto"/>
          <w:kern w:val="2"/>
          <w:sz w:val="28"/>
          <w:szCs w:val="28"/>
          <w:highlight w:val="none"/>
          <w:lang w:val="en-US" w:eastAsia="zh-CN" w:bidi="ar-SA"/>
        </w:rPr>
        <w:t>要求</w:t>
      </w:r>
      <w:bookmarkEnd w:id="10"/>
      <w:bookmarkEnd w:id="11"/>
      <w:bookmarkEnd w:id="12"/>
      <w:bookmarkEnd w:id="13"/>
    </w:p>
    <w:p>
      <w:pPr>
        <w:keepNext/>
        <w:keepLines/>
        <w:widowControl w:val="0"/>
        <w:adjustRightInd w:val="0"/>
        <w:snapToGrid w:val="0"/>
        <w:spacing w:line="360" w:lineRule="auto"/>
        <w:jc w:val="both"/>
        <w:rPr>
          <w:rFonts w:ascii="宋体" w:hAnsi="宋体" w:eastAsia="宋体" w:cs="宋体"/>
          <w:b/>
          <w:bCs/>
          <w:snapToGrid w:val="0"/>
          <w:color w:val="auto"/>
          <w:kern w:val="0"/>
          <w:sz w:val="20"/>
          <w:szCs w:val="20"/>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一、产品运输、保管、保险</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1.1投标人所投产品必须符合国家和行业的有关规定和标准。</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1.2货物运送到采购人指定地点经验收并出具验收单后，中标单位应将货物有关的全部资料，包括产品资料、技术文档、使用说明书等，移交采购人。</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1.3中标单位提供的全部产品均应按标准保护措施进行包装，以防产品在转运中损坏或变质，确保产品安全无损运抵指定地点。</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1.4中标单位负责产品到使用单位的全部运输，</w:t>
      </w:r>
      <w:r>
        <w:rPr>
          <w:rFonts w:hint="eastAsia" w:ascii="Calibri" w:hAnsi="Calibri" w:eastAsia="宋体" w:cs="Times New Roman"/>
          <w:color w:val="auto"/>
          <w:kern w:val="2"/>
          <w:sz w:val="21"/>
          <w:szCs w:val="22"/>
          <w:highlight w:val="none"/>
          <w:lang w:val="en-US" w:eastAsia="zh-CN" w:bidi="ar-SA"/>
        </w:rPr>
        <w:t>包括所产生的一切材料费、工具费、人工费、手续费、差旅费、食宿费和加班费等，由于搬运、装卸、吊装及运输不当造成的各种事故责任和损失由中标人承担</w:t>
      </w:r>
      <w:r>
        <w:rPr>
          <w:rFonts w:hint="eastAsia" w:ascii="宋体" w:hAnsi="宋体" w:eastAsia="宋体" w:cs="宋体"/>
          <w:snapToGrid w:val="0"/>
          <w:color w:val="auto"/>
          <w:kern w:val="2"/>
          <w:sz w:val="21"/>
          <w:szCs w:val="24"/>
          <w:highlight w:val="none"/>
          <w:lang w:val="en-US" w:eastAsia="zh-CN" w:bidi="ar-SA"/>
        </w:rPr>
        <w:t>。</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1.5中标单位负责提供产品在现场的保管，直至验收合格。</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1.6中标单位负责其派出的施工人员的人身意外保险。</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1.7合同履行完毕，无论在质保期内或质保期后，除法定不可抗力或第三方责任因素外，因产品质量问题造成的安全事故，均由中标单位承担责任。</w:t>
      </w:r>
    </w:p>
    <w:p>
      <w:pPr>
        <w:widowControl w:val="0"/>
        <w:adjustRightInd w:val="0"/>
        <w:snapToGrid w:val="0"/>
        <w:spacing w:line="360" w:lineRule="auto"/>
        <w:ind w:firstLine="420" w:firstLineChars="200"/>
        <w:jc w:val="both"/>
        <w:rPr>
          <w:rFonts w:ascii="Calibri" w:hAnsi="Calibri" w:eastAsia="宋体" w:cs="Times New Roman"/>
          <w:color w:val="auto"/>
          <w:kern w:val="2"/>
          <w:sz w:val="21"/>
          <w:szCs w:val="22"/>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1.8投标人须</w:t>
      </w:r>
      <w:r>
        <w:rPr>
          <w:rFonts w:hint="eastAsia" w:ascii="宋体" w:hAnsi="宋体" w:eastAsia="宋体" w:cs="宋体"/>
          <w:bCs/>
          <w:color w:val="auto"/>
          <w:kern w:val="2"/>
          <w:sz w:val="21"/>
          <w:szCs w:val="21"/>
          <w:highlight w:val="none"/>
          <w:lang w:val="en-US" w:eastAsia="zh-CN" w:bidi="ar-SA"/>
        </w:rPr>
        <w:t>确保所供货物技术指标符合项目采购技术文件、以及国家（强制性）或行业标准要求。</w:t>
      </w:r>
    </w:p>
    <w:p>
      <w:pPr>
        <w:widowControl w:val="0"/>
        <w:spacing w:line="360" w:lineRule="auto"/>
        <w:jc w:val="both"/>
        <w:rPr>
          <w:rFonts w:ascii="Calibri" w:hAnsi="Calibri" w:eastAsia="宋体" w:cs="Times New Roman"/>
          <w:b/>
          <w:bCs/>
          <w:color w:val="auto"/>
          <w:kern w:val="2"/>
          <w:sz w:val="21"/>
          <w:szCs w:val="22"/>
          <w:highlight w:val="none"/>
          <w:lang w:val="en-US" w:eastAsia="zh-CN" w:bidi="ar-SA"/>
        </w:rPr>
      </w:pPr>
      <w:r>
        <w:rPr>
          <w:rFonts w:hint="eastAsia" w:ascii="Calibri" w:hAnsi="Calibri" w:eastAsia="宋体" w:cs="Times New Roman"/>
          <w:b/>
          <w:bCs/>
          <w:color w:val="auto"/>
          <w:kern w:val="2"/>
          <w:sz w:val="21"/>
          <w:szCs w:val="22"/>
          <w:highlight w:val="none"/>
          <w:lang w:val="en-US" w:eastAsia="zh-CN" w:bidi="ar-SA"/>
        </w:rPr>
        <w:t>二、测试验收及标准、检验</w:t>
      </w:r>
    </w:p>
    <w:p>
      <w:pPr>
        <w:widowControl w:val="0"/>
        <w:adjustRightInd w:val="0"/>
        <w:snapToGrid w:val="0"/>
        <w:spacing w:line="360" w:lineRule="auto"/>
        <w:ind w:firstLine="420" w:firstLineChars="200"/>
        <w:jc w:val="both"/>
        <w:rPr>
          <w:rFonts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2.1验收标准：产品按照中华人民共和国有关标准及采购文件规定的技术要求进行验收。产品质量应达到采购人要求，安装调试各项指标和技术参数应符合验收标准要求。</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2.2验收方法：由采购人组织相关部门按照国家及行业标准对照采购文件、投标文件承诺的技术要求分批次进行现场验收，验收费用由中标人承担。若产品验收不能满足和达不到采购文件提出的和投标文件承诺的技术参数及技术要求，不予认可。给采购人造成的损失，由中标单位承担一切责任，采购人有权提出退货。</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2.3若检验不合格，将退返成交供应商，直至供货产品达到合格要求。有关退返、再行验收，以及给采购人造成的损失等费用由成交供应商承担。</w:t>
      </w:r>
    </w:p>
    <w:p>
      <w:pPr>
        <w:widowControl w:val="0"/>
        <w:spacing w:line="360" w:lineRule="auto"/>
        <w:jc w:val="both"/>
        <w:rPr>
          <w:rFonts w:ascii="Calibri" w:hAnsi="Calibri" w:eastAsia="宋体" w:cs="Times New Roman"/>
          <w:b/>
          <w:bCs/>
          <w:color w:val="auto"/>
          <w:kern w:val="2"/>
          <w:sz w:val="21"/>
          <w:szCs w:val="22"/>
          <w:highlight w:val="none"/>
          <w:lang w:val="en-US" w:eastAsia="zh-CN" w:bidi="ar-SA"/>
        </w:rPr>
      </w:pPr>
      <w:r>
        <w:rPr>
          <w:rFonts w:hint="eastAsia" w:ascii="Calibri" w:hAnsi="Calibri" w:eastAsia="宋体" w:cs="Times New Roman"/>
          <w:b/>
          <w:bCs/>
          <w:color w:val="auto"/>
          <w:kern w:val="2"/>
          <w:sz w:val="21"/>
          <w:szCs w:val="22"/>
          <w:highlight w:val="none"/>
          <w:lang w:val="en-US" w:eastAsia="zh-CN" w:bidi="ar-SA"/>
        </w:rPr>
        <w:t>三、质量保证</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1、供货商应保证货物是全新、原产地、原包装、手续合法完整、渠道正规的产品，完全符合合同规定质量、规格和性能的要求,采购单位有权要求中标供应商提供相关产品的检验报告、合格证等。</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2、免费质保期为 2 年（起算日期为验收通过日）。在质保期内，供货商必须及时免费维修、免费更换有缺陷的货物或部件。提供 7*24 小时服务电话，响应时间在 1 小时内，必要时 4 小时内到达现场，在 48 小时内解决问题；</w:t>
      </w:r>
      <w:r>
        <w:rPr>
          <w:rFonts w:hint="eastAsia" w:ascii="Times New Roman" w:hAnsi="Times New Roman" w:eastAsia="宋体" w:cs="Times New Roman"/>
          <w:color w:val="auto"/>
          <w:highlight w:val="none"/>
        </w:rPr>
        <w:t>质量保证期内出现任何质量问题（人为破坏或自然灾害等不可抗力除外），由中标人负责全免费（免全部工时费、材料费、管理费、财务费等等）更换或维护。</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（二）产品安装、调试及项目实施</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1、包装：原厂原包装送货，货到买方指定地点，经买方指定人员验证后方可开箱。</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2、安装：本项目的安装由供货商负责，供货商应对产品安装提供全面的技术服务与支持，为顺利安装提供完全技术保证。</w:t>
      </w:r>
    </w:p>
    <w:p>
      <w:pPr>
        <w:widowControl w:val="0"/>
        <w:spacing w:line="360" w:lineRule="auto"/>
        <w:jc w:val="both"/>
        <w:rPr>
          <w:rFonts w:hint="eastAsia" w:ascii="Calibri" w:hAnsi="Calibri" w:eastAsia="宋体" w:cs="Times New Roman"/>
          <w:b/>
          <w:bCs/>
          <w:color w:val="auto"/>
          <w:kern w:val="2"/>
          <w:sz w:val="21"/>
          <w:szCs w:val="22"/>
          <w:highlight w:val="none"/>
          <w:lang w:val="en-US" w:eastAsia="zh-CN" w:bidi="ar-SA"/>
        </w:rPr>
      </w:pPr>
      <w:r>
        <w:rPr>
          <w:rFonts w:hint="eastAsia" w:ascii="Calibri" w:hAnsi="Calibri" w:eastAsia="宋体" w:cs="Times New Roman"/>
          <w:b/>
          <w:bCs/>
          <w:color w:val="auto"/>
          <w:kern w:val="2"/>
          <w:sz w:val="21"/>
          <w:szCs w:val="22"/>
          <w:highlight w:val="none"/>
          <w:lang w:val="en-US" w:eastAsia="zh-CN" w:bidi="ar-SA"/>
        </w:rPr>
        <w:t>四、其他要求及说明</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4.1.交货时间及地点</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4.1.1交货时间:签订合同后60天内完工。</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4.1.2交货地点:采购人指定地点。</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4.1.1.3交货方式:包运输，包安装调试，包培训，包税费。</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4.2.付款方式和条件</w:t>
      </w:r>
    </w:p>
    <w:p>
      <w:pPr>
        <w:widowControl w:val="0"/>
        <w:adjustRightInd w:val="0"/>
        <w:snapToGrid w:val="0"/>
        <w:spacing w:line="360" w:lineRule="auto"/>
        <w:ind w:firstLine="420" w:firstLineChars="200"/>
        <w:jc w:val="both"/>
        <w:rPr>
          <w:rFonts w:hint="eastAsia" w:ascii="宋体" w:hAnsi="宋体" w:eastAsia="宋体" w:cs="Times New Roman"/>
          <w:color w:val="auto"/>
          <w:szCs w:val="21"/>
        </w:rPr>
      </w:pPr>
      <w:r>
        <w:rPr>
          <w:rFonts w:hint="eastAsia" w:ascii="宋体" w:hAnsi="宋体" w:eastAsia="宋体" w:cs="宋体"/>
          <w:snapToGrid w:val="0"/>
          <w:color w:val="auto"/>
          <w:kern w:val="2"/>
          <w:sz w:val="21"/>
          <w:szCs w:val="24"/>
          <w:highlight w:val="none"/>
          <w:lang w:val="en-US" w:eastAsia="zh-CN" w:bidi="ar-SA"/>
        </w:rPr>
        <w:t>4.2.1付款方式:</w:t>
      </w:r>
      <w:r>
        <w:rPr>
          <w:rFonts w:hint="eastAsia" w:ascii="宋体" w:hAnsi="宋体" w:eastAsia="宋体" w:cs="Times New Roman"/>
          <w:color w:val="auto"/>
          <w:szCs w:val="21"/>
        </w:rPr>
        <w:t>分三次付款，第一次于合同签订后20日内预付合同总款的30%;第二次于安装调试并验收合格后，30日内付至合同总款的97%(含第一次的30%);第三次于质保期满30日内支付3%的余款(余款不计利息)。中标单位为中小企业的，第三次余款按《保障中小企业款项支付条例》进行支付。</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r>
        <w:rPr>
          <w:rFonts w:hint="eastAsia" w:ascii="宋体" w:hAnsi="宋体" w:eastAsia="宋体" w:cs="宋体"/>
          <w:snapToGrid w:val="0"/>
          <w:color w:val="auto"/>
          <w:kern w:val="2"/>
          <w:sz w:val="21"/>
          <w:szCs w:val="24"/>
          <w:highlight w:val="none"/>
          <w:lang w:val="en-US" w:eastAsia="zh-CN" w:bidi="ar-SA"/>
        </w:rPr>
        <w:t>4.2.2</w:t>
      </w:r>
      <w:r>
        <w:rPr>
          <w:rFonts w:hint="eastAsia" w:ascii="宋体" w:hAnsi="宋体" w:eastAsia="宋体" w:cs="Times New Roman"/>
          <w:color w:val="auto"/>
          <w:szCs w:val="21"/>
        </w:rPr>
        <w:t>付款条件：预付款凭采购人与中标单位签订的采购合同及中标通知书支付，后续付款乙方需向甲方提供同等金额的增值税发票。</w:t>
      </w:r>
    </w:p>
    <w:p>
      <w:pPr>
        <w:rPr>
          <w:color w:val="auto"/>
        </w:rPr>
      </w:pPr>
      <w:r>
        <w:rPr>
          <w:rFonts w:hint="eastAsia" w:ascii="宋体" w:hAnsi="宋体" w:eastAsia="宋体" w:cs="宋体"/>
          <w:snapToGrid w:val="0"/>
          <w:color w:val="auto"/>
          <w:kern w:val="2"/>
          <w:sz w:val="21"/>
          <w:szCs w:val="24"/>
          <w:highlight w:val="none"/>
          <w:lang w:val="en-US" w:eastAsia="zh-CN" w:bidi="ar-SA"/>
        </w:rPr>
        <w:t>4.3本项目采用费用包干方式建设，投标人应根据项目要求和现场情况，详细列明项目所需的设备及材料购置，以及产品运输保险保管、产品安装调试、试运行测试通过验收、培训、质保期免费保修维护等所有人工、管理、财务等所有费用，如一旦中标，在项目实施中出现任何遗漏，均由中标人免费提供，采购人不再支付任何费用(如为采购人责任的另行商议)。</w:t>
      </w:r>
    </w:p>
    <w:p>
      <w:pPr>
        <w:widowControl w:val="0"/>
        <w:adjustRightInd w:val="0"/>
        <w:snapToGrid w:val="0"/>
        <w:spacing w:line="360" w:lineRule="auto"/>
        <w:ind w:firstLine="420" w:firstLineChars="200"/>
        <w:jc w:val="both"/>
        <w:rPr>
          <w:rFonts w:hint="eastAsia" w:ascii="宋体" w:hAnsi="宋体" w:eastAsia="宋体" w:cs="宋体"/>
          <w:snapToGrid w:val="0"/>
          <w:color w:val="auto"/>
          <w:kern w:val="2"/>
          <w:sz w:val="21"/>
          <w:szCs w:val="24"/>
          <w:highlight w:val="none"/>
          <w:lang w:val="en-US" w:eastAsia="zh-CN" w:bidi="ar-SA"/>
        </w:rPr>
      </w:pPr>
    </w:p>
    <w:p>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left="180" w:right="359" w:rightChars="171" w:hanging="180" w:hangingChars="100"/>
      <w:jc w:val="right"/>
      <w:rPr>
        <w:rFonts w:ascii="Times New Roman" w:hAnsi="Times New Roman" w:eastAsia="楷体_GB2312"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86</w:t>
                          </w:r>
                          <w:r>
                            <w:rPr>
                              <w:rFonts w:ascii="Times New Roman" w:hAnsi="Times New Roman" w:eastAsia="宋体" w:cs="Times New Roman"/>
                              <w:kern w:val="0"/>
                              <w:sz w:val="18"/>
                              <w:szCs w:val="18"/>
                              <w:lang w:val="en-US" w:eastAsia="zh-CN" w:bidi="ar-S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Omd6+PNAQAApwMAAA4AAAAAAAAAAQAgAAAAHwEAAGRycy9l&#10;Mm9Eb2MueG1sUEsFBgAAAAAGAAYAWQEAAF4FAAAAAA==&#10;">
              <v:path/>
              <v:fill on="f" focussize="0,0"/>
              <v:stroke on="f"/>
              <v:imagedata o:title=""/>
              <o:lock v:ext="edit" aspectratio="f"/>
              <v:textbox inset="0mm,0mm,0mm,0mm" style="mso-fit-shape-to-text:t;">
                <w:txbxContent>
                  <w:p>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86</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iMTRkN2Q5NmNhN2U4NTY3NGExNDkyMWIyOWY4MmEifQ=="/>
  </w:docVars>
  <w:rsids>
    <w:rsidRoot w:val="50E55280"/>
    <w:rsid w:val="50E55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2026-10-12T07:54:00Z</dcterms:created>
  <dc:creator>Administrator</dc:creator>
  <cp:lastModifiedBy>Administrator</cp:lastModifiedBy>
  <dcterms:modified xsi:type="dcterms:W3CDTF">2026-10-12T07:54:37Z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F22D0F3978934B538F71325912FB1093_11</vt:lpwstr>
  </property>
</Properties>
</file>