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F122B">
      <w:pPr>
        <w:widowControl w:val="0"/>
        <w:autoSpaceDE w:val="0"/>
        <w:autoSpaceDN w:val="0"/>
        <w:bidi w:val="0"/>
        <w:spacing w:before="0" w:after="0" w:line="240" w:lineRule="auto"/>
        <w:ind w:left="0" w:right="420"/>
        <w:jc w:val="center"/>
        <w:outlineLvl w:val="0"/>
        <w:rPr>
          <w:rFonts w:hint="eastAsia" w:ascii="宋体" w:hAnsi="宋体" w:eastAsia="黑体" w:cs="宋体"/>
          <w:b/>
          <w:bCs/>
          <w:sz w:val="32"/>
          <w:szCs w:val="84"/>
          <w:lang w:val="zh-CN" w:eastAsia="zh-CN" w:bidi="zh-CN"/>
        </w:rPr>
      </w:pPr>
      <w:bookmarkStart w:id="0" w:name="_Toc26518"/>
      <w:bookmarkStart w:id="1" w:name="_Toc19584"/>
      <w:bookmarkStart w:id="2" w:name="_Toc32116"/>
      <w:r>
        <w:rPr>
          <w:rFonts w:hint="eastAsia" w:ascii="宋体" w:hAnsi="宋体" w:eastAsia="黑体" w:cs="宋体"/>
          <w:b/>
          <w:bCs/>
          <w:sz w:val="32"/>
          <w:szCs w:val="84"/>
          <w:lang w:val="zh-CN" w:eastAsia="zh-CN" w:bidi="zh-CN"/>
        </w:rPr>
        <w:t>采购需求</w:t>
      </w:r>
      <w:bookmarkEnd w:id="0"/>
      <w:bookmarkEnd w:id="1"/>
      <w:bookmarkEnd w:id="2"/>
    </w:p>
    <w:p w14:paraId="3E463AAB">
      <w:pPr>
        <w:widowControl w:val="0"/>
        <w:numPr>
          <w:ilvl w:val="1"/>
          <w:numId w:val="0"/>
        </w:numPr>
        <w:tabs>
          <w:tab w:val="left" w:pos="0"/>
        </w:tabs>
        <w:autoSpaceDE w:val="0"/>
        <w:autoSpaceDN w:val="0"/>
        <w:adjustRightInd w:val="0"/>
        <w:snapToGrid w:val="0"/>
        <w:spacing w:before="240" w:beforeLines="100" w:after="120" w:afterLines="50" w:line="288" w:lineRule="auto"/>
        <w:ind w:left="0" w:right="0"/>
        <w:jc w:val="center"/>
        <w:outlineLvl w:val="1"/>
        <w:rPr>
          <w:rFonts w:ascii="黑体" w:hAnsi="黑体" w:eastAsia="黑体" w:cs="Times New Roman"/>
          <w:b/>
          <w:bCs/>
          <w:kern w:val="2"/>
          <w:sz w:val="21"/>
          <w:szCs w:val="21"/>
          <w:lang w:val="en-US" w:bidi="ar-SA"/>
        </w:rPr>
      </w:pPr>
      <w:bookmarkStart w:id="3" w:name="_Toc14885"/>
      <w:bookmarkStart w:id="4" w:name="_Toc107"/>
      <w:r>
        <w:rPr>
          <w:rFonts w:hint="eastAsia" w:ascii="黑体" w:hAnsi="黑体" w:eastAsia="黑体" w:cs="Times New Roman"/>
          <w:b/>
          <w:bCs/>
          <w:kern w:val="2"/>
          <w:sz w:val="30"/>
          <w:szCs w:val="32"/>
          <w:lang w:val="en-US" w:eastAsia="zh-CN" w:bidi="ar-SA"/>
        </w:rPr>
        <w:t>第一节  采购清单一览表</w:t>
      </w:r>
      <w:bookmarkEnd w:id="3"/>
      <w:bookmarkEnd w:id="4"/>
    </w:p>
    <w:tbl>
      <w:tblPr>
        <w:tblStyle w:val="4"/>
        <w:tblW w:w="95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2176"/>
        <w:gridCol w:w="2176"/>
        <w:gridCol w:w="1440"/>
        <w:gridCol w:w="1440"/>
        <w:gridCol w:w="853"/>
        <w:gridCol w:w="838"/>
      </w:tblGrid>
      <w:tr w14:paraId="081BB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634" w:type="dxa"/>
            <w:tcBorders>
              <w:top w:val="single" w:color="000000" w:sz="2" w:space="0"/>
              <w:left w:val="single" w:color="000000" w:sz="2" w:space="0"/>
            </w:tcBorders>
            <w:noWrap w:val="0"/>
            <w:vAlign w:val="center"/>
          </w:tcPr>
          <w:p w14:paraId="3AEAF7B4">
            <w:pPr>
              <w:widowControl w:val="0"/>
              <w:spacing w:before="102" w:line="240" w:lineRule="auto"/>
              <w:jc w:val="center"/>
              <w:rPr>
                <w:rFonts w:hint="eastAsia" w:ascii="新宋体" w:hAnsi="新宋体" w:eastAsia="新宋体" w:cs="新宋体"/>
                <w:kern w:val="2"/>
                <w:sz w:val="24"/>
                <w:szCs w:val="24"/>
                <w:lang w:val="en-US" w:eastAsia="zh-CN" w:bidi="ar-SA"/>
              </w:rPr>
            </w:pPr>
            <w:r>
              <w:rPr>
                <w:rFonts w:hint="eastAsia" w:ascii="新宋体" w:hAnsi="新宋体" w:eastAsia="新宋体" w:cs="新宋体"/>
                <w:kern w:val="2"/>
                <w:sz w:val="24"/>
                <w:szCs w:val="24"/>
                <w:lang w:val="en-US" w:eastAsia="zh-CN" w:bidi="ar-SA"/>
              </w:rPr>
              <w:t>包号</w:t>
            </w:r>
          </w:p>
        </w:tc>
        <w:tc>
          <w:tcPr>
            <w:tcW w:w="2176" w:type="dxa"/>
            <w:tcBorders>
              <w:top w:val="single" w:color="000000" w:sz="2" w:space="0"/>
            </w:tcBorders>
            <w:noWrap w:val="0"/>
            <w:vAlign w:val="center"/>
          </w:tcPr>
          <w:p w14:paraId="12044D12">
            <w:pPr>
              <w:spacing w:line="240" w:lineRule="auto"/>
              <w:jc w:val="center"/>
              <w:rPr>
                <w:rFonts w:hint="eastAsia" w:ascii="新宋体" w:hAnsi="新宋体" w:eastAsia="新宋体" w:cs="新宋体"/>
                <w:sz w:val="24"/>
                <w:szCs w:val="32"/>
              </w:rPr>
            </w:pPr>
          </w:p>
          <w:p w14:paraId="44F880B2">
            <w:pPr>
              <w:widowControl w:val="0"/>
              <w:spacing w:before="69" w:line="240" w:lineRule="auto"/>
              <w:jc w:val="center"/>
              <w:rPr>
                <w:rFonts w:hint="eastAsia" w:ascii="新宋体" w:hAnsi="新宋体" w:eastAsia="新宋体" w:cs="新宋体"/>
                <w:kern w:val="2"/>
                <w:sz w:val="24"/>
                <w:szCs w:val="24"/>
                <w:lang w:val="en-US" w:eastAsia="en-US" w:bidi="ar-SA"/>
              </w:rPr>
            </w:pPr>
            <w:r>
              <w:rPr>
                <w:rFonts w:hint="eastAsia" w:ascii="新宋体" w:hAnsi="新宋体" w:eastAsia="新宋体" w:cs="新宋体"/>
                <w:spacing w:val="-2"/>
                <w:kern w:val="2"/>
                <w:sz w:val="24"/>
                <w:szCs w:val="24"/>
                <w:lang w:val="en-US" w:eastAsia="en-US" w:bidi="ar-SA"/>
              </w:rPr>
              <w:t>包名称</w:t>
            </w:r>
          </w:p>
        </w:tc>
        <w:tc>
          <w:tcPr>
            <w:tcW w:w="2176" w:type="dxa"/>
            <w:tcBorders>
              <w:top w:val="single" w:color="000000" w:sz="2" w:space="0"/>
            </w:tcBorders>
            <w:noWrap w:val="0"/>
            <w:vAlign w:val="center"/>
          </w:tcPr>
          <w:p w14:paraId="6CFE40F0">
            <w:pPr>
              <w:spacing w:line="240" w:lineRule="auto"/>
              <w:jc w:val="center"/>
              <w:rPr>
                <w:rFonts w:hint="eastAsia" w:ascii="新宋体" w:hAnsi="新宋体" w:eastAsia="新宋体" w:cs="新宋体"/>
                <w:sz w:val="24"/>
                <w:szCs w:val="32"/>
              </w:rPr>
            </w:pPr>
          </w:p>
          <w:p w14:paraId="551DF001">
            <w:pPr>
              <w:widowControl w:val="0"/>
              <w:spacing w:before="68" w:line="240" w:lineRule="auto"/>
              <w:ind w:left="252" w:firstLine="236" w:firstLineChars="100"/>
              <w:jc w:val="center"/>
              <w:rPr>
                <w:rFonts w:hint="eastAsia" w:ascii="新宋体" w:hAnsi="新宋体" w:eastAsia="新宋体" w:cs="新宋体"/>
                <w:kern w:val="2"/>
                <w:sz w:val="24"/>
                <w:szCs w:val="24"/>
                <w:lang w:val="en-US" w:eastAsia="en-US" w:bidi="ar-SA"/>
              </w:rPr>
            </w:pPr>
            <w:r>
              <w:rPr>
                <w:rFonts w:hint="eastAsia" w:ascii="新宋体" w:hAnsi="新宋体" w:eastAsia="新宋体" w:cs="新宋体"/>
                <w:spacing w:val="-2"/>
                <w:kern w:val="2"/>
                <w:sz w:val="24"/>
                <w:szCs w:val="24"/>
                <w:lang w:val="en-US" w:eastAsia="en-US" w:bidi="ar-SA"/>
              </w:rPr>
              <w:t>标的名称</w:t>
            </w:r>
          </w:p>
        </w:tc>
        <w:tc>
          <w:tcPr>
            <w:tcW w:w="1440" w:type="dxa"/>
            <w:tcBorders>
              <w:top w:val="single" w:color="000000" w:sz="2" w:space="0"/>
            </w:tcBorders>
            <w:noWrap w:val="0"/>
            <w:vAlign w:val="center"/>
          </w:tcPr>
          <w:p w14:paraId="7EED71C1">
            <w:pPr>
              <w:widowControl w:val="0"/>
              <w:spacing w:before="249" w:line="240" w:lineRule="auto"/>
              <w:ind w:left="174" w:right="165" w:firstLine="2"/>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标的预算</w:t>
            </w:r>
          </w:p>
          <w:p w14:paraId="0163503F">
            <w:pPr>
              <w:widowControl w:val="0"/>
              <w:spacing w:before="249" w:line="240" w:lineRule="auto"/>
              <w:ind w:left="174" w:right="165" w:firstLine="2"/>
              <w:jc w:val="center"/>
              <w:rPr>
                <w:rFonts w:hint="default"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（元）</w:t>
            </w:r>
          </w:p>
        </w:tc>
        <w:tc>
          <w:tcPr>
            <w:tcW w:w="1440" w:type="dxa"/>
            <w:tcBorders>
              <w:top w:val="single" w:color="000000" w:sz="2" w:space="0"/>
            </w:tcBorders>
            <w:noWrap w:val="0"/>
            <w:vAlign w:val="center"/>
          </w:tcPr>
          <w:p w14:paraId="12EE80CC">
            <w:pPr>
              <w:widowControl w:val="0"/>
              <w:spacing w:before="249" w:line="240" w:lineRule="auto"/>
              <w:ind w:left="174" w:right="165" w:firstLine="2"/>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最高限价</w:t>
            </w:r>
          </w:p>
          <w:p w14:paraId="49FDCCAC">
            <w:pPr>
              <w:widowControl w:val="0"/>
              <w:spacing w:before="249" w:line="240" w:lineRule="auto"/>
              <w:ind w:left="174" w:right="165" w:firstLine="2"/>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（元）</w:t>
            </w:r>
          </w:p>
        </w:tc>
        <w:tc>
          <w:tcPr>
            <w:tcW w:w="853" w:type="dxa"/>
            <w:tcBorders>
              <w:top w:val="single" w:color="000000" w:sz="2" w:space="0"/>
            </w:tcBorders>
            <w:noWrap w:val="0"/>
            <w:vAlign w:val="center"/>
          </w:tcPr>
          <w:p w14:paraId="00117E05">
            <w:pPr>
              <w:widowControl w:val="0"/>
              <w:spacing w:before="249" w:line="240" w:lineRule="auto"/>
              <w:ind w:left="174" w:right="165" w:firstLine="2"/>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节能 产品</w:t>
            </w:r>
          </w:p>
        </w:tc>
        <w:tc>
          <w:tcPr>
            <w:tcW w:w="838" w:type="dxa"/>
            <w:tcBorders>
              <w:top w:val="single" w:color="000000" w:sz="2" w:space="0"/>
            </w:tcBorders>
            <w:noWrap w:val="0"/>
            <w:vAlign w:val="center"/>
          </w:tcPr>
          <w:p w14:paraId="22233659">
            <w:pPr>
              <w:widowControl w:val="0"/>
              <w:spacing w:before="249" w:line="240" w:lineRule="auto"/>
              <w:ind w:left="174" w:right="165" w:firstLine="2"/>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进口 产品</w:t>
            </w:r>
          </w:p>
        </w:tc>
      </w:tr>
      <w:tr w14:paraId="2B897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jc w:val="center"/>
        </w:trPr>
        <w:tc>
          <w:tcPr>
            <w:tcW w:w="634" w:type="dxa"/>
            <w:tcBorders>
              <w:left w:val="single" w:color="000000" w:sz="2" w:space="0"/>
              <w:bottom w:val="single" w:color="000000" w:sz="2" w:space="0"/>
            </w:tcBorders>
            <w:noWrap w:val="0"/>
            <w:vAlign w:val="center"/>
          </w:tcPr>
          <w:p w14:paraId="5BF32529">
            <w:pPr>
              <w:widowControl w:val="0"/>
              <w:spacing w:before="68" w:line="183" w:lineRule="auto"/>
              <w:ind w:left="181"/>
              <w:jc w:val="center"/>
              <w:rPr>
                <w:rFonts w:hint="eastAsia" w:ascii="新宋体" w:hAnsi="新宋体" w:eastAsia="新宋体" w:cs="新宋体"/>
                <w:spacing w:val="-2"/>
                <w:kern w:val="2"/>
                <w:sz w:val="24"/>
                <w:szCs w:val="24"/>
                <w:lang w:val="en-US" w:eastAsia="en-US" w:bidi="ar-SA"/>
              </w:rPr>
            </w:pPr>
            <w:r>
              <w:rPr>
                <w:rFonts w:hint="eastAsia" w:ascii="新宋体" w:hAnsi="新宋体" w:eastAsia="新宋体" w:cs="新宋体"/>
                <w:spacing w:val="-2"/>
                <w:kern w:val="2"/>
                <w:sz w:val="24"/>
                <w:szCs w:val="24"/>
                <w:lang w:val="en-US" w:eastAsia="en-US" w:bidi="ar-SA"/>
              </w:rPr>
              <w:t>1</w:t>
            </w:r>
          </w:p>
        </w:tc>
        <w:tc>
          <w:tcPr>
            <w:tcW w:w="2176" w:type="dxa"/>
            <w:tcBorders>
              <w:bottom w:val="single" w:color="000000" w:sz="2" w:space="0"/>
            </w:tcBorders>
            <w:noWrap w:val="0"/>
            <w:vAlign w:val="center"/>
          </w:tcPr>
          <w:p w14:paraId="73172A0C">
            <w:pPr>
              <w:widowControl w:val="0"/>
              <w:spacing w:before="23" w:line="213" w:lineRule="auto"/>
              <w:jc w:val="center"/>
              <w:rPr>
                <w:rFonts w:hint="eastAsia" w:ascii="新宋体" w:hAnsi="新宋体" w:eastAsia="新宋体" w:cs="新宋体"/>
                <w:spacing w:val="-2"/>
                <w:kern w:val="2"/>
                <w:sz w:val="24"/>
                <w:szCs w:val="24"/>
                <w:lang w:val="en-US" w:eastAsia="zh-CN" w:bidi="ar-SA"/>
              </w:rPr>
            </w:pPr>
            <w:r>
              <w:rPr>
                <w:rFonts w:hint="eastAsia" w:ascii="新宋体" w:hAnsi="新宋体" w:eastAsia="新宋体" w:cs="新宋体"/>
                <w:spacing w:val="-2"/>
                <w:kern w:val="2"/>
                <w:sz w:val="24"/>
                <w:szCs w:val="24"/>
                <w:lang w:val="en-US" w:eastAsia="zh-CN" w:bidi="ar-SA"/>
              </w:rPr>
              <w:t>临湘市文化馆移动演出设备采购项目</w:t>
            </w:r>
          </w:p>
        </w:tc>
        <w:tc>
          <w:tcPr>
            <w:tcW w:w="2176" w:type="dxa"/>
            <w:tcBorders>
              <w:bottom w:val="single" w:color="000000" w:sz="2" w:space="0"/>
            </w:tcBorders>
            <w:noWrap w:val="0"/>
            <w:vAlign w:val="center"/>
          </w:tcPr>
          <w:p w14:paraId="5BBA4283">
            <w:pPr>
              <w:widowControl w:val="0"/>
              <w:spacing w:before="20" w:line="221" w:lineRule="auto"/>
              <w:jc w:val="center"/>
              <w:rPr>
                <w:rFonts w:hint="eastAsia" w:ascii="新宋体" w:hAnsi="新宋体" w:eastAsia="新宋体" w:cs="新宋体"/>
                <w:spacing w:val="-2"/>
                <w:kern w:val="2"/>
                <w:sz w:val="24"/>
                <w:szCs w:val="24"/>
                <w:lang w:val="en-US" w:eastAsia="zh-CN" w:bidi="ar-SA"/>
              </w:rPr>
            </w:pPr>
            <w:r>
              <w:rPr>
                <w:rFonts w:hint="eastAsia" w:ascii="新宋体" w:hAnsi="新宋体" w:eastAsia="新宋体" w:cs="新宋体"/>
                <w:spacing w:val="-2"/>
                <w:kern w:val="2"/>
                <w:sz w:val="24"/>
                <w:szCs w:val="24"/>
                <w:lang w:val="en-US" w:eastAsia="zh-CN" w:bidi="ar-SA"/>
              </w:rPr>
              <w:t>临湘市文化馆移动</w:t>
            </w:r>
          </w:p>
          <w:p w14:paraId="5ADC3E27">
            <w:pPr>
              <w:widowControl w:val="0"/>
              <w:spacing w:before="20" w:line="221" w:lineRule="auto"/>
              <w:jc w:val="center"/>
              <w:rPr>
                <w:rFonts w:hint="eastAsia" w:ascii="新宋体" w:hAnsi="新宋体" w:eastAsia="新宋体" w:cs="新宋体"/>
                <w:spacing w:val="-2"/>
                <w:kern w:val="2"/>
                <w:sz w:val="24"/>
                <w:szCs w:val="24"/>
                <w:lang w:val="en-US" w:eastAsia="zh-CN" w:bidi="ar-SA"/>
              </w:rPr>
            </w:pPr>
            <w:r>
              <w:rPr>
                <w:rFonts w:hint="eastAsia" w:ascii="新宋体" w:hAnsi="新宋体" w:eastAsia="新宋体" w:cs="新宋体"/>
                <w:spacing w:val="-2"/>
                <w:kern w:val="2"/>
                <w:sz w:val="24"/>
                <w:szCs w:val="24"/>
                <w:lang w:val="en-US" w:eastAsia="zh-CN" w:bidi="ar-SA"/>
              </w:rPr>
              <w:t>演出设备采购项目</w:t>
            </w:r>
          </w:p>
        </w:tc>
        <w:tc>
          <w:tcPr>
            <w:tcW w:w="1440" w:type="dxa"/>
            <w:tcBorders>
              <w:bottom w:val="single" w:color="000000" w:sz="2" w:space="0"/>
            </w:tcBorders>
            <w:noWrap w:val="0"/>
            <w:vAlign w:val="center"/>
          </w:tcPr>
          <w:p w14:paraId="08997F8C">
            <w:pPr>
              <w:widowControl w:val="0"/>
              <w:spacing w:before="249" w:line="229" w:lineRule="auto"/>
              <w:ind w:left="174" w:right="165" w:firstLine="2"/>
              <w:jc w:val="center"/>
              <w:rPr>
                <w:rFonts w:hint="eastAsia" w:ascii="新宋体" w:hAnsi="新宋体" w:eastAsia="新宋体" w:cs="新宋体"/>
                <w:spacing w:val="-3"/>
                <w:kern w:val="2"/>
                <w:sz w:val="24"/>
                <w:szCs w:val="24"/>
                <w:lang w:val="en-US" w:eastAsia="en-US" w:bidi="ar-SA"/>
              </w:rPr>
            </w:pPr>
            <w:r>
              <w:rPr>
                <w:rFonts w:hint="eastAsia" w:ascii="新宋体" w:hAnsi="新宋体" w:eastAsia="新宋体" w:cs="新宋体"/>
                <w:spacing w:val="-3"/>
                <w:kern w:val="2"/>
                <w:sz w:val="24"/>
                <w:szCs w:val="24"/>
                <w:lang w:val="en-US" w:eastAsia="zh-CN" w:bidi="ar-SA"/>
              </w:rPr>
              <w:t>650000.00</w:t>
            </w:r>
          </w:p>
        </w:tc>
        <w:tc>
          <w:tcPr>
            <w:tcW w:w="1440" w:type="dxa"/>
            <w:tcBorders>
              <w:bottom w:val="single" w:color="000000" w:sz="2" w:space="0"/>
            </w:tcBorders>
            <w:noWrap w:val="0"/>
            <w:vAlign w:val="center"/>
          </w:tcPr>
          <w:p w14:paraId="63B810E1">
            <w:pPr>
              <w:widowControl w:val="0"/>
              <w:spacing w:before="249" w:line="229" w:lineRule="auto"/>
              <w:ind w:left="174" w:right="165" w:firstLine="2"/>
              <w:jc w:val="center"/>
              <w:rPr>
                <w:rFonts w:hint="eastAsia" w:ascii="新宋体" w:hAnsi="新宋体" w:eastAsia="新宋体" w:cs="新宋体"/>
                <w:spacing w:val="-3"/>
                <w:kern w:val="2"/>
                <w:sz w:val="24"/>
                <w:szCs w:val="24"/>
                <w:lang w:val="en-US" w:eastAsia="en-US" w:bidi="ar-SA"/>
              </w:rPr>
            </w:pPr>
            <w:r>
              <w:rPr>
                <w:rFonts w:hint="eastAsia" w:ascii="新宋体" w:hAnsi="新宋体" w:eastAsia="新宋体" w:cs="新宋体"/>
                <w:spacing w:val="-3"/>
                <w:kern w:val="2"/>
                <w:sz w:val="24"/>
                <w:szCs w:val="24"/>
                <w:lang w:val="en-US" w:eastAsia="zh-CN" w:bidi="ar-SA"/>
              </w:rPr>
              <w:t>650000.00</w:t>
            </w:r>
          </w:p>
        </w:tc>
        <w:tc>
          <w:tcPr>
            <w:tcW w:w="853" w:type="dxa"/>
            <w:tcBorders>
              <w:bottom w:val="single" w:color="000000" w:sz="2" w:space="0"/>
            </w:tcBorders>
            <w:noWrap w:val="0"/>
            <w:vAlign w:val="center"/>
          </w:tcPr>
          <w:p w14:paraId="40CACB68">
            <w:pPr>
              <w:widowControl w:val="0"/>
              <w:spacing w:before="249" w:line="229" w:lineRule="auto"/>
              <w:ind w:right="165"/>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zh-CN" w:bidi="ar-SA"/>
              </w:rPr>
              <w:t>□</w:t>
            </w:r>
          </w:p>
        </w:tc>
        <w:tc>
          <w:tcPr>
            <w:tcW w:w="838" w:type="dxa"/>
            <w:tcBorders>
              <w:bottom w:val="single" w:color="000000" w:sz="2" w:space="0"/>
            </w:tcBorders>
            <w:noWrap w:val="0"/>
            <w:vAlign w:val="center"/>
          </w:tcPr>
          <w:p w14:paraId="50C9EDE7">
            <w:pPr>
              <w:widowControl w:val="0"/>
              <w:spacing w:before="249" w:line="229" w:lineRule="auto"/>
              <w:ind w:right="165"/>
              <w:jc w:val="center"/>
              <w:rPr>
                <w:rFonts w:hint="eastAsia" w:ascii="新宋体" w:hAnsi="新宋体" w:eastAsia="新宋体" w:cs="新宋体"/>
                <w:spacing w:val="-3"/>
                <w:kern w:val="2"/>
                <w:sz w:val="24"/>
                <w:szCs w:val="24"/>
                <w:lang w:val="en-US" w:eastAsia="zh-CN" w:bidi="ar-SA"/>
              </w:rPr>
            </w:pPr>
            <w:r>
              <w:rPr>
                <w:rFonts w:hint="eastAsia" w:ascii="新宋体" w:hAnsi="新宋体" w:eastAsia="新宋体" w:cs="新宋体"/>
                <w:spacing w:val="-3"/>
                <w:kern w:val="2"/>
                <w:sz w:val="24"/>
                <w:szCs w:val="24"/>
                <w:lang w:val="en-US" w:eastAsia="en-US" w:bidi="ar-SA"/>
              </w:rPr>
              <w:t>□</w:t>
            </w:r>
          </w:p>
        </w:tc>
      </w:tr>
    </w:tbl>
    <w:p w14:paraId="472406B3">
      <w:pPr>
        <w:autoSpaceDE/>
        <w:autoSpaceDN/>
        <w:adjustRightInd w:val="0"/>
        <w:snapToGrid w:val="0"/>
        <w:spacing w:before="0" w:beforeLines="50" w:after="48" w:afterLines="20" w:line="360" w:lineRule="auto"/>
        <w:ind w:right="0" w:firstLine="480" w:firstLineChars="200"/>
        <w:jc w:val="both"/>
        <w:rPr>
          <w:rFonts w:hint="eastAsia" w:ascii="宋体" w:hAnsi="宋体" w:eastAsia="宋体" w:cs="宋体"/>
          <w:color w:val="000000"/>
          <w:kern w:val="0"/>
          <w:sz w:val="24"/>
          <w:szCs w:val="24"/>
          <w:lang w:val="en-US" w:bidi="ar-SA"/>
        </w:rPr>
      </w:pPr>
      <w:r>
        <w:rPr>
          <w:rFonts w:hint="eastAsia" w:ascii="宋体" w:hAnsi="宋体" w:eastAsia="宋体" w:cs="宋体"/>
          <w:color w:val="000000"/>
          <w:kern w:val="0"/>
          <w:sz w:val="24"/>
          <w:szCs w:val="24"/>
          <w:lang w:val="en-US" w:bidi="ar-SA"/>
        </w:rPr>
        <w:t>注：1.“包”为最小合同单位（最小投标单位）。每“包”内容应细化到具体标的。</w:t>
      </w:r>
    </w:p>
    <w:p w14:paraId="6FB1DE5A">
      <w:pPr>
        <w:autoSpaceDE/>
        <w:autoSpaceDN/>
        <w:adjustRightInd w:val="0"/>
        <w:snapToGrid w:val="0"/>
        <w:spacing w:before="0" w:beforeLines="50" w:after="48" w:afterLines="20" w:line="360" w:lineRule="auto"/>
        <w:ind w:left="0" w:right="0" w:firstLine="480" w:firstLineChars="200"/>
        <w:jc w:val="both"/>
        <w:rPr>
          <w:rFonts w:ascii="宋体" w:hAnsi="宋体" w:eastAsia="宋体" w:cs="宋体"/>
          <w:color w:val="000000"/>
          <w:kern w:val="0"/>
          <w:sz w:val="24"/>
          <w:szCs w:val="24"/>
          <w:lang w:val="en-US" w:bidi="ar-SA"/>
        </w:rPr>
      </w:pPr>
      <w:r>
        <w:rPr>
          <w:rFonts w:hint="eastAsia" w:ascii="宋体" w:hAnsi="宋体" w:eastAsia="宋体" w:cs="宋体"/>
          <w:color w:val="000000"/>
          <w:kern w:val="0"/>
          <w:sz w:val="24"/>
          <w:szCs w:val="24"/>
          <w:lang w:val="en-US" w:bidi="ar-SA"/>
        </w:rPr>
        <w:t>2.投标人必须对一个完整、独立的包进行投标，不得仅对一个包中的部分标的投标，否则投标无效。</w:t>
      </w:r>
    </w:p>
    <w:p w14:paraId="5C0E5E40">
      <w:pPr>
        <w:autoSpaceDE/>
        <w:autoSpaceDN/>
        <w:adjustRightInd w:val="0"/>
        <w:snapToGrid w:val="0"/>
        <w:spacing w:before="0" w:beforeLines="50" w:after="48" w:afterLines="20" w:line="360" w:lineRule="auto"/>
        <w:ind w:left="0" w:right="0" w:firstLine="480" w:firstLineChars="200"/>
        <w:jc w:val="both"/>
        <w:rPr>
          <w:rFonts w:ascii="宋体" w:hAnsi="宋体" w:eastAsia="宋体" w:cs="宋体"/>
          <w:color w:val="000000"/>
          <w:kern w:val="0"/>
          <w:sz w:val="24"/>
          <w:szCs w:val="24"/>
          <w:lang w:val="en-US" w:bidi="ar-SA"/>
        </w:rPr>
      </w:pPr>
      <w:r>
        <w:rPr>
          <w:rFonts w:hint="eastAsia" w:ascii="宋体" w:hAnsi="宋体" w:eastAsia="宋体" w:cs="宋体"/>
          <w:color w:val="000000"/>
          <w:kern w:val="0"/>
          <w:sz w:val="24"/>
          <w:szCs w:val="24"/>
          <w:lang w:val="en-US" w:bidi="ar-SA"/>
        </w:rPr>
        <w:t>3.货物的主要技术参数或规格：详见“</w:t>
      </w:r>
      <w:r>
        <w:rPr>
          <w:rFonts w:hint="eastAsia" w:ascii="宋体" w:hAnsi="宋体" w:eastAsia="宋体" w:cs="宋体"/>
          <w:color w:val="000000"/>
          <w:kern w:val="0"/>
          <w:sz w:val="24"/>
          <w:szCs w:val="24"/>
          <w:lang w:val="en-US" w:eastAsia="zh-CN" w:bidi="ar-SA"/>
        </w:rPr>
        <w:t>第二节</w:t>
      </w:r>
      <w:r>
        <w:rPr>
          <w:rFonts w:hint="eastAsia" w:ascii="宋体" w:hAnsi="宋体" w:eastAsia="宋体" w:cs="宋体"/>
          <w:color w:val="000000"/>
          <w:kern w:val="0"/>
          <w:sz w:val="24"/>
          <w:szCs w:val="24"/>
          <w:lang w:val="en-US" w:bidi="ar-SA"/>
        </w:rPr>
        <w:t>技术要求”中的具体技术参数。</w:t>
      </w:r>
    </w:p>
    <w:p w14:paraId="3BCFCD96">
      <w:pPr>
        <w:autoSpaceDE/>
        <w:autoSpaceDN/>
        <w:adjustRightInd w:val="0"/>
        <w:snapToGrid w:val="0"/>
        <w:spacing w:before="0" w:beforeLines="50" w:after="48" w:afterLines="20" w:line="360" w:lineRule="auto"/>
        <w:ind w:left="0" w:right="0" w:firstLine="480" w:firstLineChars="200"/>
        <w:jc w:val="both"/>
        <w:rPr>
          <w:rFonts w:ascii="宋体" w:hAnsi="宋体" w:eastAsia="宋体" w:cs="宋体"/>
          <w:color w:val="000000"/>
          <w:kern w:val="0"/>
          <w:sz w:val="24"/>
          <w:szCs w:val="24"/>
          <w:lang w:val="en-US" w:bidi="ar-SA"/>
        </w:rPr>
      </w:pPr>
      <w:r>
        <w:rPr>
          <w:rFonts w:hint="eastAsia" w:ascii="宋体" w:hAnsi="宋体" w:eastAsia="宋体" w:cs="宋体"/>
          <w:color w:val="000000"/>
          <w:kern w:val="0"/>
          <w:sz w:val="24"/>
          <w:szCs w:val="24"/>
          <w:lang w:val="en-US" w:bidi="ar-SA"/>
        </w:rPr>
        <w:t>4.投标人应在</w:t>
      </w:r>
      <w:r>
        <w:rPr>
          <w:rFonts w:hint="eastAsia" w:ascii="宋体" w:hAnsi="宋体" w:eastAsia="宋体" w:cs="宋体"/>
          <w:color w:val="000000"/>
          <w:kern w:val="0"/>
          <w:sz w:val="24"/>
          <w:szCs w:val="24"/>
          <w:lang w:val="en-US" w:eastAsia="zh-CN" w:bidi="ar-SA"/>
        </w:rPr>
        <w:t>响应文件</w:t>
      </w:r>
      <w:r>
        <w:rPr>
          <w:rFonts w:hint="eastAsia" w:ascii="宋体" w:hAnsi="宋体" w:eastAsia="宋体" w:cs="宋体"/>
          <w:color w:val="000000"/>
          <w:kern w:val="0"/>
          <w:sz w:val="24"/>
          <w:szCs w:val="24"/>
          <w:lang w:val="en-US" w:bidi="ar-SA"/>
        </w:rPr>
        <w:t>《分项报价明细表》中按标的名称顺序逐项填写，且每个标的中的条目均需按招标文件规定报价。如有缺项、漏项，其</w:t>
      </w:r>
      <w:r>
        <w:rPr>
          <w:rFonts w:hint="eastAsia" w:ascii="宋体" w:hAnsi="宋体" w:eastAsia="宋体" w:cs="宋体"/>
          <w:b/>
          <w:bCs/>
          <w:color w:val="000000"/>
          <w:kern w:val="0"/>
          <w:sz w:val="24"/>
          <w:szCs w:val="24"/>
          <w:lang w:val="en-US" w:bidi="ar-SA"/>
        </w:rPr>
        <w:t>投标无效</w:t>
      </w:r>
      <w:r>
        <w:rPr>
          <w:rFonts w:hint="eastAsia" w:ascii="宋体" w:hAnsi="宋体" w:eastAsia="宋体" w:cs="宋体"/>
          <w:color w:val="000000"/>
          <w:kern w:val="0"/>
          <w:sz w:val="24"/>
          <w:szCs w:val="24"/>
          <w:lang w:val="en-US" w:bidi="ar-SA"/>
        </w:rPr>
        <w:t>。</w:t>
      </w:r>
    </w:p>
    <w:p w14:paraId="08083DD1">
      <w:pPr>
        <w:widowControl w:val="0"/>
        <w:autoSpaceDE w:val="0"/>
        <w:autoSpaceDN w:val="0"/>
        <w:spacing w:before="0" w:after="0" w:line="240" w:lineRule="auto"/>
        <w:ind w:left="0" w:right="0" w:firstLine="420" w:firstLineChars="200"/>
        <w:jc w:val="both"/>
        <w:rPr>
          <w:rFonts w:ascii="宋体" w:hAnsi="宋体" w:eastAsia="宋体" w:cs="宋体"/>
          <w:kern w:val="0"/>
          <w:sz w:val="21"/>
          <w:szCs w:val="24"/>
          <w:lang w:val="en-US" w:eastAsia="zh-CN" w:bidi="ar-SA"/>
        </w:rPr>
      </w:pPr>
    </w:p>
    <w:p w14:paraId="42502530">
      <w:pPr>
        <w:autoSpaceDE/>
        <w:autoSpaceDN/>
        <w:adjustRightInd w:val="0"/>
        <w:snapToGrid w:val="0"/>
        <w:spacing w:before="0" w:beforeLines="50" w:after="48" w:afterLines="20" w:line="360" w:lineRule="auto"/>
        <w:ind w:left="0" w:right="0" w:firstLine="480" w:firstLineChars="200"/>
        <w:jc w:val="both"/>
        <w:rPr>
          <w:rFonts w:ascii="宋体" w:hAnsi="宋体" w:eastAsia="宋体" w:cs="宋体"/>
          <w:color w:val="000000"/>
          <w:kern w:val="0"/>
          <w:sz w:val="24"/>
          <w:szCs w:val="24"/>
          <w:lang w:val="en-US" w:bidi="ar-SA"/>
        </w:rPr>
      </w:pPr>
    </w:p>
    <w:p w14:paraId="4DBE987B">
      <w:pPr>
        <w:widowControl w:val="0"/>
        <w:autoSpaceDE w:val="0"/>
        <w:autoSpaceDN w:val="0"/>
        <w:spacing w:before="0" w:after="0" w:line="240" w:lineRule="auto"/>
        <w:ind w:left="0" w:right="0"/>
        <w:jc w:val="left"/>
        <w:rPr>
          <w:rFonts w:hint="eastAsia" w:ascii="宋体" w:hAnsi="宋体" w:eastAsia="宋体" w:cs="宋体"/>
          <w:b/>
          <w:sz w:val="20"/>
          <w:szCs w:val="24"/>
          <w:lang w:val="zh-CN" w:eastAsia="zh-CN" w:bidi="zh-CN"/>
        </w:rPr>
      </w:pPr>
    </w:p>
    <w:p w14:paraId="0D79C0FD">
      <w:pPr>
        <w:keepNext w:val="0"/>
        <w:keepLines w:val="0"/>
        <w:pageBreakBefore w:val="0"/>
        <w:widowControl/>
        <w:kinsoku/>
        <w:wordWrap/>
        <w:overflowPunct/>
        <w:topLinePunct w:val="0"/>
        <w:autoSpaceDE/>
        <w:autoSpaceDN/>
        <w:bidi w:val="0"/>
        <w:adjustRightInd/>
        <w:snapToGrid/>
        <w:spacing w:before="0" w:after="0" w:line="360" w:lineRule="auto"/>
        <w:ind w:left="0" w:right="0" w:firstLine="422" w:firstLineChars="200"/>
        <w:jc w:val="both"/>
        <w:textAlignment w:val="auto"/>
        <w:rPr>
          <w:rFonts w:hint="eastAsia" w:ascii="新宋体" w:hAnsi="新宋体" w:eastAsia="新宋体" w:cs="新宋体"/>
          <w:b/>
          <w:bCs/>
          <w:color w:val="auto"/>
          <w:kern w:val="0"/>
          <w:sz w:val="21"/>
          <w:szCs w:val="21"/>
          <w:lang w:val="en-US" w:eastAsia="zh-CN" w:bidi="ar-SA"/>
        </w:rPr>
      </w:pPr>
    </w:p>
    <w:p w14:paraId="3C76DDD3">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202B1E1C">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140BBA0D">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1759E1A9">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28FAED0E">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5D2981A7">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2F824278">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7CBEC2B0">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15F7BDB5">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5DC60D04">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1DA903C7">
      <w:pPr>
        <w:widowControl w:val="0"/>
        <w:autoSpaceDE w:val="0"/>
        <w:autoSpaceDN w:val="0"/>
        <w:spacing w:before="85" w:after="0" w:line="209" w:lineRule="auto"/>
        <w:ind w:left="0" w:right="0"/>
        <w:jc w:val="left"/>
        <w:rPr>
          <w:rFonts w:hint="eastAsia" w:ascii="新宋体" w:hAnsi="新宋体" w:eastAsia="新宋体" w:cs="新宋体"/>
          <w:kern w:val="2"/>
          <w:sz w:val="21"/>
          <w:szCs w:val="21"/>
          <w:highlight w:val="none"/>
          <w:lang w:val="en-US" w:eastAsia="zh-CN" w:bidi="ar-SA"/>
        </w:rPr>
      </w:pPr>
    </w:p>
    <w:p w14:paraId="74EA822D">
      <w:pPr>
        <w:widowControl w:val="0"/>
        <w:numPr>
          <w:ilvl w:val="0"/>
          <w:numId w:val="1"/>
        </w:numPr>
        <w:tabs>
          <w:tab w:val="left" w:pos="0"/>
        </w:tabs>
        <w:autoSpaceDE w:val="0"/>
        <w:autoSpaceDN w:val="0"/>
        <w:adjustRightInd w:val="0"/>
        <w:snapToGrid w:val="0"/>
        <w:spacing w:before="240" w:beforeLines="100" w:after="120" w:afterLines="50" w:line="288" w:lineRule="auto"/>
        <w:ind w:left="0" w:leftChars="0" w:right="0" w:firstLine="0" w:firstLineChars="0"/>
        <w:jc w:val="center"/>
        <w:outlineLvl w:val="1"/>
        <w:rPr>
          <w:rFonts w:hint="eastAsia" w:ascii="黑体" w:hAnsi="黑体" w:eastAsia="黑体" w:cs="Times New Roman"/>
          <w:b/>
          <w:bCs/>
          <w:kern w:val="2"/>
          <w:sz w:val="30"/>
          <w:szCs w:val="32"/>
          <w:lang w:val="en-US" w:eastAsia="zh-CN" w:bidi="ar-SA"/>
        </w:rPr>
      </w:pPr>
      <w:bookmarkStart w:id="5" w:name="_Toc17065"/>
      <w:bookmarkStart w:id="6" w:name="_Toc23631"/>
      <w:r>
        <w:rPr>
          <w:rFonts w:hint="eastAsia" w:ascii="黑体" w:hAnsi="黑体" w:eastAsia="黑体" w:cs="Times New Roman"/>
          <w:b/>
          <w:bCs/>
          <w:kern w:val="2"/>
          <w:sz w:val="30"/>
          <w:szCs w:val="32"/>
          <w:lang w:val="en-US" w:eastAsia="zh-CN" w:bidi="ar-SA"/>
        </w:rPr>
        <w:t>技术要求</w:t>
      </w:r>
      <w:bookmarkEnd w:id="5"/>
      <w:bookmarkEnd w:id="6"/>
    </w:p>
    <w:tbl>
      <w:tblPr>
        <w:tblStyle w:val="2"/>
        <w:tblW w:w="9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1145"/>
        <w:gridCol w:w="6794"/>
        <w:gridCol w:w="705"/>
        <w:gridCol w:w="690"/>
      </w:tblGrid>
      <w:tr w14:paraId="5708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6B5FF7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4305E4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FA1C2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设备参数</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BD53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F70E3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14:paraId="54AA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7035E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A</w:t>
            </w:r>
          </w:p>
        </w:tc>
        <w:tc>
          <w:tcPr>
            <w:tcW w:w="79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676DB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舞台灯光系统</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4FC6D1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3179EA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r>
      <w:tr w14:paraId="4860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DD9C5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320D7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摇头光束灯（户外防雨）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27B121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输入电压：110V-240V AC，50/60Hz；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总 功 率：650W；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光源：550W光源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光学器件:165MM光学透镜,变焦0°-5°,电子聚焦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颜色盘：14 种固定颜色加白色，双向彩虹效果，可双向旋转，速度可调，可实现半色效果；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图案盘：17 种固定图案加白光，固定图案盘,可双向旋转,速度可调,支持图案抖动；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棱镜：8 棱镜，(16+8) 双层棱镜，可叠加棱镜效果，可双向旋转，速度可调；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调焦：0~100%电子线性高清调焦；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调焦距离：3 米到无限远；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雾化：1个独立雾化效果，光斑柔和自然；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调光：支持16位光闸调光；0 — 100% 线性调光；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频闪：0.5-13Hz/s，速度可调，最高可以 13 次每秒，带随机脉冲频闪功能；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扫描范围：X轴540°，Y轴270°，支持XY反转，扫描速度可调；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水平扫描：540°(16bit 精度扫描) 电子纠错；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垂直扫描：270°(16bit 精度扫描) 电子纠错；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光束角度：1.8°；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工作模式：自走，声控，主从模式，DMX512；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DMX 通道：16通道模式；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其他功能：多层镀膜高精密胶合光学镜头，XY定位自动纠错功能；显示屏可查询灯具，灯泡使用时间便于维护；风机自动调速功能；机械闭光时自动降低 50%光源功率；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防护等级：高强度工程阻燃塑料机箱，IP56防护等级设计；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灯具尺寸：360x320x568mm ；净重：18kg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纸箱包装：580x460x450mm；毛重：23kg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航空箱包装：815x480x805mm；毛重：70kg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控台复位功能：闭关半功率功能，色彩半色功能；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防护等级：IP65；</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2B62E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E9736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E4D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0D27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5C8F7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LED全彩染色灯（户外防雨）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69E21E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方形16颗染色参数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灯珠：16颗20W高亮度RGBW四合一灯珠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防水等级：IP65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颜色纯正，混色均匀，亮度高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色温：3200K-6500K颗线性调节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调光：32bit 0~100%线性调光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拼接方式：4面可拼接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显示界面：数码显示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控制：DMX512、主从控制、自走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通道：5/9两种通道模式</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D3C8B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D799B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A7E1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3738D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7D3E4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LED面光灯（户外防雨）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2BC3AB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方形4眼面光参数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灯珠：4颗60W双色温高亮COB光源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出光角度：12°，24°，36°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防水等级：IP65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色温：3200K-6500K颗线性调节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显指：显色指数&gt;95RA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调光：32bit 0~100%线性调光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刷新频率：4KHz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拼接方式：4面可拼接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显示界面：数码显示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控制：DMX512、主从控制、自走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通道：5/9两种通道模式</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67A41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F280F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099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17CAA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994AF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48路电源箱(48路16A防水输出)</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7FC055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供电：三相五线制AC380±10%，频率50Hz/60Hz±5%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输入电流：自锁式交错零火的400A犀牛插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显示：具备三相A.B.C直读式独立液晶电流、电压表显示，无需切换即可实时监测各项数据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输出：48路16A防水输出,每路输出带指示灯显示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机身：采用精致耐用双层防震六角纹板材；14U标准机柜。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控制系统：总控采用250A总空开；每路独立分空开C20A，具备过载，短路双重保护                                                              正常工作环境：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环境温度：0-±45C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相对湿度：40%-80%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配备LED蓝光工作灯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产品尺寸(mm)：L670×W600×H880</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2344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BB5CE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0AD99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0054A9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A407B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8路放大器（户外防雨）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4882A0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1、电源：AC100V-240V,50/60Hz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2、输入/输出：1路DMX512数码输入，1路DMX512直接输出，8路独立放大驱动输出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3、功能：输入输出光电隔离，信号放大整形功能，延长信号传输距离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4、产品特点：保护灯光控制台DMX512输出接口，故障现场隔离，提高数字式灯光控制系统的安全可靠性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5、显示：独立的LED信号指示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6、尺寸：L485*W135*H45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7、净 重：1.53Kg</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45E3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BA292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4F9B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4619C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6410E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调光台</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3EF95A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国内一线品牌  </w:t>
            </w:r>
          </w:p>
          <w:p w14:paraId="13D584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1、操作界面中文，英文，葡萄牙语，繁体可自由切换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2、2048个DMX通道，提供4个光电隔离DMX512输出端口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3、Art-Net网络扩展口、可扩展4096个通道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4、支持RDM双向通信协议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5、提供软件直接用手机或平板无线控制控台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6、10个回放推杆、10个屏幕按键执行器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7、可储存2700个场景，每个多步可储存无限制个单步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8、可控制800个灯具，可存储200个灯具组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9、素材分为十五个类别，每一类可储存200个素材。共可储存3000个素材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10、可储存400个节目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11、内置音乐播放器、轻松实现一键灯光秀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12、灯具每个属性可设置独立时间和曲线运算，有43种曲线形式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13、内置图形可自由设置、有60个固定图形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14、具有6种扇形模式，可通过技巧对话框修改扇形效果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15、特殊对话框，可通过颜色板，颜色推子或色彩预置，快速调用颜色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16、布局功能，模拟现场布局排放，促使操控灯具更加精准便捷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17、可自定义菜单栏名称，添加删除菜单窗口或调用多个窗口在一个画面操作，提高操控效率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18、段落运算法，可针对属性，时间，图形等，随心所欲分段运行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19、配接完灯具可直接更改地址码和线路以及更改灯具键的位置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20、控台所有演出文件，灯库，音乐可备份外部U盘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21、具备自动保存功能，可随时放心关机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22、可设置控台开机密码和锁屏密码，保护控台数据和操作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23、灯组，素材，场景等可自定义命名或涂鸦，便于查找调用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24、使用XML格式灯库。灯库编辑器操作简单，可直接在控台上编写也可在电脑上编写拷入控台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25、灯库可添加段集，快速选择属性特征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26、支持有线ART-Net功能（灯光模拟器），可用作练习和模拟编程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27、灯光秀或场景可设置开机自动运行或循环播放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28、支持多种UDP协议控制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29、intel CPU, 128G金士顿固态硬盘，4G内存，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30、4个标准USB接口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31、1块11.6寸高清电容触摸屏、触摸超灵敏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32、1个TCP/IP千兆/百兆自适应网口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33、1个高清HDMI视频接口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34、1个VGA视频接口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35、1个高品质麦克风输入口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36、1个高保真音频输出口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37、4个光电隔离DMX512信号输出口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38、4个12V USB供电接口，可直接供电无线发射器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39、内置UPS电源，断电可使用60分钟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40、电源：AC100-240V，50/60Hz</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D7914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583C0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78E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0D59F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D618B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黑色色铝合金灯光架</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B87F1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300mm*300mm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目字方通接口 主管50mm*3mm,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副管30mm*2mm,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斜管25mm*2mm,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激光切割，焊缝小，承重强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目字方通接口</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442BF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11412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4D0D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A2E4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9E73C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手摇灯光架立柱</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CFB8B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主管50mm*3mm,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副管30mm*2mm,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斜管25mm*2mm,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激光切割，焊缝小，承重强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12mm足厚三角板</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745D6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225F4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3398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DE214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2B791B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03703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rvv4*12+1*6</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D0008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128EA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24E03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F492A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B2A52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427F12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rvv3*4</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A325E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B0A3F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16BC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35DB2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7E5D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信号线</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0399E8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128编2芯带屏蔽信号线</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A2329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091CC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7CBE6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0CB6FF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16C65A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灯杆</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DFF8C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三脚架铝合金</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B385B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43DFA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A30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A49F0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1AFB19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其余辅材及施工调试</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CF96F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辅料  配件  布线、安装、调试等</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46486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E0C4B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2614F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812D8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4209E6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7BD5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供货方提供前十场现场安装  调试 运输 控场 及技术指导</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09BCA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F2F6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7C13F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F869D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B</w:t>
            </w:r>
          </w:p>
        </w:tc>
        <w:tc>
          <w:tcPr>
            <w:tcW w:w="79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31056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舞台扩声系统</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6EA21D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F975A7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r>
      <w:tr w14:paraId="7C1B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E4E55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06E436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有源线阵列音箱（户外防雨）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F24E4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国内一线品牌  </w:t>
            </w:r>
          </w:p>
          <w:p w14:paraId="3D646A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1、不小于2×5"低频驱动汝磁单元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2、不小于2×1.75"高频驱动汝磁单元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3、额定功率（RMS）不小于240W/8Ω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4、特性灵敏度不小于100dB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5、最大声压级不小于123dB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6、额定频率范围（-10dB）55Hz-20KHz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7、覆盖角度（H×V）：100°×10°                                                           箱体处理：采用进口聚脲漆（内外喷涂），优异的附着力，耐水性、耐酸碱性和抗氧化性，有优异的抗化学腐蚀性能；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优异的耐老化性能，可耐紫外线辐射和冷热循环；优异的耐化学腐蚀性能：不受卤素离子、硫酸盐、弱酸、碱及盐类的腐蚀；对各种溶剂、碱及盐类都具有良好的耐性。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优异的热稳定性：不受温度变化影响。聚脲弹性体与热塑性树脂混合后，一般不会产生冷缩、热胀或其他变形。它与金属材料及塑料材料能良好地融合，不起电化学作用"</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90B29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B09BF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94E8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57A1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2E05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有源线阵列低音音箱（户外防雨）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76396A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国内一线品牌   </w:t>
            </w:r>
          </w:p>
          <w:p w14:paraId="3B92AC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1、不小于1×15"低频驱动汝磁单元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2、额定功率（RMS）不小于600W/8Ω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3、特性灵敏度不小于93dB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4、最大声压级不小于122dB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5、额定频率范围（-10dB）：35-500Hz                                                         箱体处理：采用进口聚脲漆（内外喷涂），优异的附着力，耐水性、耐酸碱性和抗氧化性，有优异的抗化学腐蚀性能；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优异的耐老化性能，可耐紫外线辐射和冷热循环；优异的耐化学腐蚀性能：不受卤素离子、硫酸盐、弱酸、碱及盐类的腐蚀；对各种溶剂、碱及盐类都具有良好的耐性。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优异的热稳定性：不受温度变化影响。聚脲弹性体与热塑性树脂混合后，一般不会产生冷缩、热胀或其他变形。它与金属材料及塑料材料能良好地融合，不起电化学作用"</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61059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B615E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0C352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2F63B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5F75CB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配套</w:t>
            </w:r>
          </w:p>
          <w:p w14:paraId="3F1548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支撑架</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3E1DE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线阵列音箱配套支撑架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采用高强度钢材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3点吊挂方式设计，含起重卸扣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尺寸（H×W×D）（mm）：61×714×643.5</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F8081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DD3BB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24776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92BEA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70FB6C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返送音箱（户外防雨）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39FC86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国内一线品牌  </w:t>
            </w:r>
          </w:p>
          <w:p w14:paraId="17A7A3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1、不小于1×12"低频驱动进口汝磁单元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2、不小于1×1.75"高频驱动汝磁单元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3、额定功率不小于650W/8Ω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4、特性灵敏度不小于98dB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5、最大声压级不小于130dB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6、额定频率范围（-10dB）：50～20000Hz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7、覆盖角度（H×V）：90°×60°                                                            箱体处理：采用进口聚脲漆（内外喷涂），优异的附着力，耐水性、耐酸碱性和抗氧化性，有优异的抗化学腐蚀性能；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优异的耐老化性能，可耐紫外线辐射和冷热循环；优异的耐化学腐蚀性能：不受卤素离子、硫酸盐、弱酸、碱及盐类的腐蚀；对各种溶剂、碱及盐类都具有良好的耐性。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优异的热稳定性：不受温度变化影响。聚脲弹性体与热塑性树脂混合后，一般不会产生冷缩、热胀或其他变形。它与金属材料及塑料材料能良好地融合，不起电化学作用"</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9A15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682CB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05C4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65FED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1BC0CF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返送功放</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6D052E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1、功放类型：D类或TD类，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2、电源工作范围：AC 110-242V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3、保护功能：开机电源软启动、短路、过载、直流、变压器过热保护和DC漂移等多重检测保护性能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4、工作模式：立体声、并接、桥接，具有低通功能选择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5、额定功率：2×1200W/8Ω，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6、频率响应：20Hz～20kHz（±1dB）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7、总谐波失真≤0.1%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8、串音衰减≥70dB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9、信噪比（A计权）≥100dB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10、阻尼系数（8Ω，20Hz-200Hz）≥250</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C0410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DD820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0CE16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3012B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4EE30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2BAC58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流动演出返听音箱专用运输航空箱</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DBEF0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202AE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892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59CBA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475DA9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0ED484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流动演出话筒专用运输航空箱</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D0FA0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E0699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7EFA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0C57E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22A6D3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9A70E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流动演出功放周边专用运输航空箱</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746802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21BB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D5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B392E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6CE52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537EC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流动演出调音台专用运输航空箱</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8D78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352FA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E17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2E5E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1155C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423A33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流动演出线阵列音箱专用运输航空箱</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B415A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40C9B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9A3D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346627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73420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音箱</w:t>
            </w:r>
          </w:p>
          <w:p w14:paraId="7048AE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防雨罩</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0E37E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源线阵列音箱专用防雨罩</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0E637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810CD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2DCF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F16A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03CC83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音箱</w:t>
            </w:r>
          </w:p>
          <w:p w14:paraId="3DCF6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防雨罩</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096AF8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返送音箱专用防雨罩</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6BB9B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40D6F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42F5A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06B81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0C03D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数字</w:t>
            </w:r>
          </w:p>
          <w:p w14:paraId="5091B8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9CED3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一线品牌 输入通道：32路输入通道，支持40组输入（包含32组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MIDAS专业麦克风前级）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12输出通道： 16个AUX输出，8个DCA编组，6个哑音编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组。12信号处理：采用40位浮点信号处理，支持96kHz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的采样率和192kHz的数模/模数转换。13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显示屏：配备7寸TFT彩色显示屏，支持“ 日光 ”显示模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式。14连接性：支持AES50网络，允许传输96个输入和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96个输出。13控制：支持通过USB 2.0进行32x32通道的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数字音频传输，兼容Mackie Control及HUI控制协议。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无线控制：可通过iPhone/iPad中的MIDAS Apps应用程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序进行无线控制。</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52EF7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455E8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4225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483863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5826F4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数字音频处理器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4450E3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国内一线品牌   DAP480专业音频处理器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本音频处理器为4进8出的音箱处理器，采用ADI的SHARC ADSP-21489@400MHz浮点DSP处理器，具有强大的处理能力。每个输入和输出通道均配置有16段参数滤波器、增益控制、噪声门、RMS压限器、分频器以及延时器;输出通道还内置信号发生器;分频器的斜率从6dB/Oct到48dB/Oct范围内可选，延时为0.01ms可调，电平增益为0.1dB可调，可满足现场精细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DAP480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&gt;ADSP-21489@400Mhz浮点DSP输入16段PEQ，输出16段PEQ每个输入通道包含噪声门每个输入通道有压限器通道参数快速拷贝中英文PC软件/自动搜索处理器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AD/DA动态范围117dB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系统动态范围112dB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每个输入通道有反馈抑制器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100M以太网接口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32组系统预设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可通过以太网升级DSP、ARM固件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性能指标最大输入电平:18dBu 最大输出电平:18dBu动态范围:112dB(无记权) 信噪比:-112dB(无记权)采样频率:48KHz量化位数:24bit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谐波失真:THD+N&lt;0.003%@1kHz频率响应:20Hz-20kHz@+/-0.2dB</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01282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4DD3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B12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74CD0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44274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一拖四无线手持麦克风</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6EB516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一线品牌1、采用金属机箱，具有坚固的结构、散热及隔离谐波干扰极佳的专业质量；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2、RF高动态范围及第三代中频电路，大幅提升互不干扰的频道数及抗干扰特性；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3、预设群组，第1-4组预设16个互不干扰频率，第5－8预设24个互不干扰频率，第U组为用户自定义组，最多可提供2000频率供客户自定义选择使用；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4、采用天线分集式接收及数字导音，杂音锁定双重静音控制，接收距离远，消除接收断音及不稳的缺失；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5、黑色金属面板，LED段码显示器，可同时显示群组、频率、电池电量、静音位准、电子音量等相关信息；LED灯柱显示RF/AF强度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6、采用飞梭旋钮取代传统复杂的按键，操作快速方便；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7、天线接口采用50Ω/TNC，保持天线可靠连接的同时。并支持天线环路输出，支持8套同型产品射频级联；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8、各频道可单独或混合输出，可切换两段输出的音量，具有MIC/LINE输出开关：LINE比MIC输出约大10dBu；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9、天线座提供强波器偏压，可以连接天线系统，增加接收距离及稳定的接收效果；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10、100-240V,内置AC电源板。保持系统稳定，且支持AC电源环路输出。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1、载波频段: UHF530-690.000MHZ（常规：640.000MHZ-690.000MHZ）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2、单机频带宽度 :50 MHz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3、单机频道数量：2000个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4、频率间隔：25KHz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5、音频灵敏度: -48±3dB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6、综合S/N比 : &gt;100dB(A)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8、综合T.H.D. :&lt;0.5%@1kHz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9、频率响应 : 65Hz-15kHz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10、天线：50Ω/TNC，支持天线环路输出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11、发射器拾音头：动圈式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12、发射器供电方式：两节AA电池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13、电池寿命：约8小时（发射器功率为高功率）</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3FC40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FE26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6885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7CB2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45CC0C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一拖四无线头带麦克风</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382C01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一线品牌1、采用金属机箱，具有坚固的结构、散热及隔离谐波干扰极佳的专业质量；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2、RF高动态范围及第三代中频电路，大幅提升互不干扰的频道数及抗干扰特性；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3、预设群组，第1-4组预设16个互不干扰频率，第5－8预设24个互不干扰频率，第U组为用户自定义组，最多可提供2000频率供客户自定义选择使用；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4、采用天线分集式接收及数字导音，杂音锁定双重静音控制，接收距离远，消除接收断音及不稳的缺失；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5、黑色金属面板，LED段码显示器，可同时显示群组、频率、电池电量、静音位准、电子音量等相关信息；LED灯柱显示RF/AF强度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6、采用飞梭旋钮取代传统复杂的按键，操作快速方便；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7、天线接口采用50Ω/TNC，保持天线可靠连接的同时。并支持天线环路输出，支持8套同型产品射频级联；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8、各频道可单独或混合输出，可切换两段输出的音量，具有MIC/LINE输出开关：LINE比MIC输出约大10dBu；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9、天线座提供强波器偏压，可以连接天线系统，增加接收距离及稳定的接收效果；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10、100-240V,内置AC电源板。保持系统稳定，且支持AC电源环路输出。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1、载波频段: UHF530-690.000MHZ（常规：640.000MHZ-690.000MHZ）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2、单机频带宽度 :50 MHz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3、单机频道数量：2000个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4、频率间隔：25KHz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5、音频灵敏度: -48±3dB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6、综合S/N比 : &gt;100dB(A)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8、综合T.H.D. :&lt;0.5%@1kHz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9、频率响应 : 65Hz-15kHz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10、天线：50Ω/TNC，支持天线环路输出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11、发射器拾音头：动圈式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12、发射器供电方式：两节AA电池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13、电池寿命：约8小时（发射器功率为高功率）</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14815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28546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6018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BF1E0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F6F1C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立体</w:t>
            </w:r>
          </w:p>
          <w:p w14:paraId="5B83D9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声耳返</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DBD4F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一线品牌  高品质、稳定可靠、性能卓越的立体声无线耳返监听系统，适用于大型舞台演出环境                             </w:t>
            </w:r>
          </w:p>
          <w:p w14:paraId="4B7EE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本系统采用了最新的U段高保真音频无线传输技术确保了音频的清晰度和还原度                                                            真分集接收最大限度保证了远距高传输无死点，稳定接收距码达到100米以上                                                              接收和发射均采用DSP编程处理，最大限度的保证了此系统的HIFI级音质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超宽的立体声左右声道隔离度大于60dB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MixMode混合技术，可调节两个独立的监听混音电平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立体声模式腰包端可自主调节左/右平衡数值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UHF高频频段30MHz带宽预设100个精选频率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铝合金材质腰包内置1000Mah理电池最多可持续使用6小时                                                                                                                                                               发射器主机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载波频率范围：600-937MHz(依当地管制规定)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振荡模式：PLL相位锁定频率合成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调制方式：FM, MPX 立体声 集成模式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综合T.H.D：&lt;0.9%@1KHz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综合频率响应：50Hz-15KHz(±3dB)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音频输出：6.35mmφ平衡式插座x2 (LOOP OUT)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音频输入：XLR及6.35mmφ复合式插座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音频输入电平：+16dBV(max)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前面板耳机输出功率：70mW@32Ω THD+N =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供电方式：DC 12V/500mA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显示面板：LCD液晶显示面板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尺寸(mm)：210(宽)  x  45(高)  x  180(深)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电池使用时间:&gt;6 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腰包接收机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载波频率范围：600-937MHz(依当地管制规定)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振荡模式：PLL相位锁定频率合成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解调方式：FM, MPX 立体声 集成模式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综合T.H.D：&lt;0.9%@1KHz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综合频率响应：50Hz-15KHz(±3dB)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立体声分离度： ≥60dB @1KHz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输出插座：3.5mmφ立体声耳机插座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耳机输出功率：125mW@32Ω THD+N =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供电方式：内置可充式3.7V锂电池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电池工作时间：≥5.5小时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有效工作距离：≥100米(空旷无干扰环境下)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显示面板：OLED显示面板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尺寸(mm)：64(宽)  x  102(高)  x  24(深)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 210 x 170 x 45mm</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2F19D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18802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2060D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F3FF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2C8C11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电容会</w:t>
            </w:r>
          </w:p>
          <w:p w14:paraId="0D5E29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议话筒</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2E05F8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一线品牌</w:t>
            </w:r>
          </w:p>
          <w:p w14:paraId="51216E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1.电容式心形指向性话筒，高质量的收音效能，设计于增强收音、专业录音、电视广播、会议等高要求的收音应用。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2.配备有射频干扰(RFI)屏敝技术，提供杰出的防止射频干扰能力，避免收音时受到如手提电话等的干扰。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3.底座结构采用金属锌合金材料和ABS材料组装。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4.可选择三种不同长度的咪杆(18cm,33cm,48cm)和音头使用，配合不同的场合要求。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5.咪杆连接采用专用5芯高密航空接口，带螺帽旋钮式接头连接，使设备连接更加稳固；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6.咪杆接头采用带螺帽旋钮式接头连接，可自由插拔；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采用轻触式开关设计，不会担心长期使用后出现开关噪声。更加耐用。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1．元件:电容式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2．拾音模式:超心形（180S 330ES）心形480S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3．频率响应:50Hz-17KHz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4．灵敏度:  心形 -33.5 dBV/Pa；超心形 -32.5 dBV/Pa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5．最大输入声压级:120 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6．动态范围 (典型值):105 dB, 1 kHz 于最高声压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7．信噪比:65 dB, 1 kHz 于 1Pa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8．输出阻抗:600Ω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9．开路灵敏度:-70 dB (10.0 mV) 以 1V 于 1 Pa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10．幻像电源:直流 11-52V DC, 耗电 4 mA 典型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输出端子:内置式3针卡农公头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11.标配3米卡侬线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12．电池供电：3V（AA 1.5V*2）</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09628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1178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r>
      <w:tr w14:paraId="47038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0064F5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1FEFF3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系统电源 信号分配器</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343EB3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电源分配：10A防水万用插座 （母插）6个 （16A不可用）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滤波器：EMI电源滤波器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音箱连接：自分配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信号分配：自分配</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B1A4E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1860EF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32E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523410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585699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音箱线</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5DD54E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2*2.5护套音箱线、2*4.0护套音箱线</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92A70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EE788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52D7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34A04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6EC5D7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信号线</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006E0D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128编2芯带屏蔽信号线</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7CFD87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B8239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3E98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2CFD8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35263C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专业音</w:t>
            </w:r>
          </w:p>
          <w:p w14:paraId="3B1A9E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响插头</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147FFE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专业音响插头、6.35三芯接头、卡侬公母接头</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7E87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117D3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2C53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B54CF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027B3B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其余辅材及施工调试</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46257B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辅料  配件  布线、安装、调试等</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F466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4E822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592E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347850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14:paraId="2E934F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w:t>
            </w:r>
          </w:p>
        </w:tc>
        <w:tc>
          <w:tcPr>
            <w:tcW w:w="6794" w:type="dxa"/>
            <w:tcBorders>
              <w:top w:val="single" w:color="auto" w:sz="4" w:space="0"/>
              <w:left w:val="single" w:color="auto" w:sz="4" w:space="0"/>
              <w:bottom w:val="single" w:color="auto" w:sz="4" w:space="0"/>
              <w:right w:val="single" w:color="auto" w:sz="4" w:space="0"/>
            </w:tcBorders>
            <w:shd w:val="clear" w:color="auto" w:fill="auto"/>
            <w:vAlign w:val="center"/>
          </w:tcPr>
          <w:p w14:paraId="279774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供货方提供前十场现场安装  调试 运输 控场 及技术指导</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C166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5CAAB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1ADE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EFDDC9A">
            <w:pPr>
              <w:snapToGrid w:val="0"/>
              <w:ind w:left="0" w:leftChars="0" w:right="0" w:rightChars="0" w:firstLine="0" w:firstLineChars="0"/>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25</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D8477">
            <w:pPr>
              <w:keepNext w:val="0"/>
              <w:keepLines w:val="0"/>
              <w:widowControl/>
              <w:suppressLineNumbers w:val="0"/>
              <w:snapToGrid w:val="0"/>
              <w:ind w:left="0" w:leftChars="0" w:right="0" w:rightChars="0" w:firstLine="0" w:firstLineChars="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增值税</w:t>
            </w:r>
          </w:p>
        </w:tc>
        <w:tc>
          <w:tcPr>
            <w:tcW w:w="67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08764">
            <w:pPr>
              <w:keepNext w:val="0"/>
              <w:keepLines w:val="0"/>
              <w:widowControl/>
              <w:suppressLineNumbers w:val="0"/>
              <w:snapToGrid w:val="0"/>
              <w:ind w:left="0" w:leftChars="0" w:right="0" w:rightChars="0" w:firstLine="0" w:firstLineChars="0"/>
              <w:jc w:val="center"/>
              <w:textAlignment w:val="center"/>
              <w:rPr>
                <w:rFonts w:hint="eastAsia" w:ascii="新宋体" w:hAnsi="新宋体" w:eastAsia="新宋体" w:cs="新宋体"/>
                <w:i w:val="0"/>
                <w:iCs w:val="0"/>
                <w:color w:val="000000"/>
                <w:kern w:val="0"/>
                <w:sz w:val="20"/>
                <w:szCs w:val="20"/>
                <w:u w:val="none"/>
                <w:lang w:val="en-US" w:eastAsia="zh-CN" w:bidi="ar"/>
              </w:rPr>
            </w:pPr>
            <w:r>
              <w:rPr>
                <w:rFonts w:hint="eastAsia" w:ascii="新宋体" w:hAnsi="新宋体" w:eastAsia="新宋体" w:cs="新宋体"/>
                <w:i w:val="0"/>
                <w:iCs w:val="0"/>
                <w:color w:val="000000"/>
                <w:kern w:val="0"/>
                <w:sz w:val="20"/>
                <w:szCs w:val="20"/>
                <w:u w:val="none"/>
                <w:lang w:val="en-US" w:eastAsia="zh-CN" w:bidi="ar"/>
              </w:rPr>
              <w:t>3%</w:t>
            </w:r>
          </w:p>
        </w:tc>
        <w:tc>
          <w:tcPr>
            <w:tcW w:w="7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4E2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192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bl>
    <w:p w14:paraId="38B2340D">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65919B54">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6905F82F">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29E6A442">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0F4F289D">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6B9B95F4">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70BFF9F1">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6B2DF1DF">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467E9290">
      <w:pPr>
        <w:autoSpaceDE w:val="0"/>
        <w:autoSpaceDN w:val="0"/>
        <w:spacing w:before="0" w:after="0" w:line="240" w:lineRule="auto"/>
        <w:ind w:left="0" w:right="0"/>
        <w:jc w:val="left"/>
        <w:rPr>
          <w:rFonts w:hint="eastAsia" w:ascii="宋体" w:hAnsi="宋体" w:eastAsia="宋体" w:cs="宋体"/>
          <w:kern w:val="0"/>
          <w:sz w:val="30"/>
          <w:szCs w:val="30"/>
          <w:lang w:val="zh-CN" w:eastAsia="zh-CN" w:bidi="zh-CN"/>
        </w:rPr>
      </w:pPr>
    </w:p>
    <w:p w14:paraId="4F812ED5">
      <w:pPr>
        <w:widowControl/>
        <w:autoSpaceDE w:val="0"/>
        <w:autoSpaceDN w:val="0"/>
        <w:adjustRightInd w:val="0"/>
        <w:snapToGrid w:val="0"/>
        <w:spacing w:before="0" w:after="0" w:line="400" w:lineRule="atLeast"/>
        <w:ind w:left="0" w:right="0" w:firstLine="482"/>
        <w:jc w:val="left"/>
        <w:textAlignment w:val="baseline"/>
        <w:rPr>
          <w:rFonts w:hint="eastAsia" w:ascii="Times New Roman" w:hAnsi="Times New Roman" w:eastAsia="宋体" w:cs="Times New Roman"/>
          <w:kern w:val="0"/>
          <w:sz w:val="30"/>
          <w:szCs w:val="30"/>
          <w:lang w:val="zh-CN" w:eastAsia="zh-CN" w:bidi="zh-CN"/>
        </w:rPr>
      </w:pPr>
    </w:p>
    <w:p w14:paraId="0C65F372">
      <w:pPr>
        <w:widowControl w:val="0"/>
        <w:autoSpaceDE w:val="0"/>
        <w:autoSpaceDN w:val="0"/>
        <w:spacing w:before="0" w:after="0" w:line="240" w:lineRule="auto"/>
        <w:ind w:left="0" w:right="0"/>
        <w:jc w:val="left"/>
        <w:rPr>
          <w:rFonts w:hint="eastAsia" w:ascii="宋体" w:hAnsi="宋体" w:eastAsia="宋体" w:cs="宋体"/>
          <w:sz w:val="24"/>
          <w:szCs w:val="24"/>
          <w:lang w:val="zh-CN" w:eastAsia="zh-CN" w:bidi="zh-CN"/>
        </w:rPr>
      </w:pPr>
    </w:p>
    <w:p w14:paraId="2FFA4FAC">
      <w:pPr>
        <w:autoSpaceDE w:val="0"/>
        <w:autoSpaceDN w:val="0"/>
        <w:spacing w:before="0" w:after="0" w:line="240" w:lineRule="auto"/>
        <w:ind w:left="0" w:right="0"/>
        <w:jc w:val="center"/>
        <w:rPr>
          <w:rFonts w:hint="eastAsia" w:ascii="宋体" w:hAnsi="宋体" w:eastAsia="宋体" w:cs="宋体"/>
          <w:b/>
          <w:bCs/>
          <w:kern w:val="0"/>
          <w:sz w:val="30"/>
          <w:szCs w:val="30"/>
          <w:lang w:val="zh-CN" w:eastAsia="zh-CN" w:bidi="zh-CN"/>
        </w:rPr>
      </w:pPr>
    </w:p>
    <w:p w14:paraId="34DF673A">
      <w:pPr>
        <w:keepNext/>
        <w:keepLines/>
        <w:widowControl w:val="0"/>
        <w:bidi w:val="0"/>
        <w:spacing w:line="360" w:lineRule="auto"/>
        <w:jc w:val="center"/>
        <w:outlineLvl w:val="1"/>
        <w:rPr>
          <w:rFonts w:ascii="宋体" w:hAnsi="宋体" w:eastAsia="黑体" w:cs="宋体"/>
          <w:b/>
          <w:bCs/>
          <w:sz w:val="32"/>
          <w:szCs w:val="84"/>
          <w:lang w:val="zh-CN" w:eastAsia="zh-CN" w:bidi="zh-CN"/>
        </w:rPr>
      </w:pPr>
      <w:bookmarkStart w:id="7" w:name="_Toc29086"/>
      <w:r>
        <w:rPr>
          <w:rFonts w:hint="eastAsia" w:ascii="黑体" w:hAnsi="黑体" w:eastAsia="黑体" w:cs="黑体"/>
          <w:b/>
          <w:bCs/>
          <w:kern w:val="2"/>
          <w:sz w:val="30"/>
          <w:szCs w:val="36"/>
          <w:lang w:val="en-US" w:eastAsia="zh-CN" w:bidi="zh-CN"/>
        </w:rPr>
        <w:t>第三节 商务要求</w:t>
      </w:r>
      <w:bookmarkEnd w:id="7"/>
      <w:bookmarkStart w:id="14" w:name="_GoBack"/>
      <w:bookmarkEnd w:id="14"/>
    </w:p>
    <w:p w14:paraId="3BEE3525">
      <w:pPr>
        <w:keepNext/>
        <w:keepLines/>
        <w:widowControl w:val="0"/>
        <w:bidi w:val="0"/>
        <w:spacing w:line="360" w:lineRule="auto"/>
        <w:ind w:firstLine="723" w:firstLineChars="300"/>
        <w:jc w:val="both"/>
        <w:outlineLvl w:val="1"/>
        <w:rPr>
          <w:rFonts w:ascii="宋体" w:hAnsi="宋体" w:eastAsia="宋体" w:cs="Times New Roman"/>
          <w:b/>
          <w:bCs/>
          <w:kern w:val="2"/>
          <w:sz w:val="24"/>
          <w:szCs w:val="32"/>
          <w:lang w:val="en-US" w:eastAsia="zh-CN" w:bidi="ar-SA"/>
        </w:rPr>
      </w:pPr>
      <w:bookmarkStart w:id="8" w:name="_Toc5282"/>
      <w:r>
        <w:rPr>
          <w:rFonts w:hint="eastAsia" w:ascii="宋体" w:hAnsi="宋体" w:eastAsia="宋体" w:cs="Times New Roman"/>
          <w:b/>
          <w:bCs/>
          <w:kern w:val="2"/>
          <w:sz w:val="24"/>
          <w:szCs w:val="32"/>
          <w:lang w:val="en-US" w:eastAsia="zh-CN" w:bidi="ar-SA"/>
        </w:rPr>
        <w:t>一、实施、培训及售后</w:t>
      </w:r>
      <w:bookmarkEnd w:id="8"/>
    </w:p>
    <w:p w14:paraId="3DF17AAE">
      <w:pPr>
        <w:widowControl w:val="0"/>
        <w:numPr>
          <w:ilvl w:val="1"/>
          <w:numId w:val="0"/>
        </w:numPr>
        <w:spacing w:line="500" w:lineRule="exact"/>
        <w:ind w:firstLine="420" w:firstLineChars="200"/>
        <w:jc w:val="both"/>
        <w:rPr>
          <w:rFonts w:ascii="宋体" w:hAnsi="宋体" w:eastAsia="宋体" w:cs="宋体"/>
          <w:kern w:val="2"/>
          <w:sz w:val="21"/>
          <w:szCs w:val="22"/>
          <w:lang w:val="zh-CN" w:eastAsia="zh-CN" w:bidi="ar-SA"/>
        </w:rPr>
      </w:pPr>
      <w:r>
        <w:rPr>
          <w:rFonts w:hint="eastAsia" w:ascii="宋体" w:hAnsi="宋体" w:eastAsia="宋体" w:cs="宋体"/>
          <w:kern w:val="2"/>
          <w:sz w:val="21"/>
          <w:szCs w:val="24"/>
          <w:lang w:val="en-US" w:eastAsia="zh-CN" w:bidi="ar-SA"/>
        </w:rPr>
        <w:t>（1）</w:t>
      </w:r>
      <w:r>
        <w:rPr>
          <w:rFonts w:hint="eastAsia" w:ascii="宋体" w:hAnsi="宋体" w:eastAsia="宋体" w:cs="宋体"/>
          <w:kern w:val="2"/>
          <w:sz w:val="21"/>
          <w:szCs w:val="22"/>
          <w:lang w:val="zh-CN" w:eastAsia="zh-CN" w:bidi="ar-SA"/>
        </w:rPr>
        <w:t>所有设备中标方提供一年免费保修售后服务（免费保修范围包括保修所需的整机、零部件、材料、调试费、运输费、保管费、人工费用、交通费等，采购方不再支付任何费用），保修时间从项目初验合格之日起计算。保修期满之后，中标方（供货商）负责对其产品提供终生服务，不收取维修人工费，只收取维修配件材料费</w:t>
      </w:r>
      <w:r>
        <w:rPr>
          <w:rFonts w:hint="eastAsia" w:ascii="宋体" w:hAnsi="宋体" w:eastAsia="宋体" w:cs="宋体"/>
          <w:b/>
          <w:bCs/>
          <w:kern w:val="2"/>
          <w:sz w:val="21"/>
          <w:szCs w:val="22"/>
          <w:lang w:val="zh-CN" w:eastAsia="zh-CN" w:bidi="ar-SA"/>
        </w:rPr>
        <w:t>。</w:t>
      </w:r>
    </w:p>
    <w:p w14:paraId="65AA1C47">
      <w:pPr>
        <w:widowControl w:val="0"/>
        <w:numPr>
          <w:ilvl w:val="1"/>
          <w:numId w:val="0"/>
        </w:numPr>
        <w:spacing w:line="500" w:lineRule="exact"/>
        <w:ind w:firstLine="420" w:firstLineChars="200"/>
        <w:jc w:val="both"/>
        <w:rPr>
          <w:rFonts w:ascii="宋体" w:hAnsi="宋体" w:eastAsia="宋体" w:cs="宋体"/>
          <w:kern w:val="2"/>
          <w:sz w:val="21"/>
          <w:szCs w:val="22"/>
          <w:lang w:val="zh-CN" w:eastAsia="zh-CN" w:bidi="ar-SA"/>
        </w:rPr>
      </w:pPr>
      <w:r>
        <w:rPr>
          <w:rFonts w:hint="eastAsia" w:ascii="宋体" w:hAnsi="宋体" w:eastAsia="宋体" w:cs="宋体"/>
          <w:kern w:val="2"/>
          <w:sz w:val="21"/>
          <w:szCs w:val="24"/>
          <w:lang w:val="en-US" w:eastAsia="zh-CN" w:bidi="ar-SA"/>
        </w:rPr>
        <w:t>（</w:t>
      </w:r>
      <w:r>
        <w:rPr>
          <w:rFonts w:ascii="宋体" w:hAnsi="宋体" w:eastAsia="宋体" w:cs="宋体"/>
          <w:kern w:val="2"/>
          <w:sz w:val="21"/>
          <w:szCs w:val="24"/>
          <w:lang w:val="en-US" w:eastAsia="zh-CN" w:bidi="ar-SA"/>
        </w:rPr>
        <w:t>2)</w:t>
      </w:r>
      <w:r>
        <w:rPr>
          <w:rFonts w:hint="eastAsia" w:ascii="宋体" w:hAnsi="宋体" w:eastAsia="宋体" w:cs="宋体"/>
          <w:kern w:val="2"/>
          <w:sz w:val="21"/>
          <w:szCs w:val="22"/>
          <w:lang w:val="zh-CN" w:eastAsia="zh-CN" w:bidi="ar-SA"/>
        </w:rPr>
        <w:t>投标人应提供全套技术文件。技术文件应包括设计和施工图纸、计划文件、系统文件、硬件设备技术文件、安装和测试文件、维护和操作文件及与设备有关的采购人认为必要的其他技术文件。</w:t>
      </w:r>
    </w:p>
    <w:p w14:paraId="6EFBF569">
      <w:pPr>
        <w:widowControl w:val="0"/>
        <w:numPr>
          <w:ilvl w:val="1"/>
          <w:numId w:val="0"/>
        </w:numPr>
        <w:spacing w:line="500" w:lineRule="exact"/>
        <w:ind w:firstLine="420" w:firstLineChars="200"/>
        <w:jc w:val="both"/>
        <w:rPr>
          <w:rFonts w:hint="eastAsia" w:ascii="宋体" w:hAnsi="宋体" w:eastAsia="宋体" w:cs="宋体"/>
          <w:kern w:val="2"/>
          <w:sz w:val="21"/>
          <w:szCs w:val="22"/>
          <w:lang w:val="zh-CN" w:eastAsia="zh-CN" w:bidi="ar-SA"/>
        </w:rPr>
      </w:pPr>
      <w:r>
        <w:rPr>
          <w:rFonts w:hint="eastAsia" w:ascii="宋体" w:hAnsi="宋体" w:eastAsia="宋体" w:cs="宋体"/>
          <w:kern w:val="2"/>
          <w:sz w:val="21"/>
          <w:szCs w:val="24"/>
          <w:lang w:val="en-US" w:eastAsia="zh-CN" w:bidi="ar-SA"/>
        </w:rPr>
        <w:t>（</w:t>
      </w:r>
      <w:r>
        <w:rPr>
          <w:rFonts w:ascii="宋体" w:hAnsi="宋体" w:eastAsia="宋体" w:cs="宋体"/>
          <w:kern w:val="2"/>
          <w:sz w:val="21"/>
          <w:szCs w:val="24"/>
          <w:lang w:val="en-US" w:eastAsia="zh-CN" w:bidi="ar-SA"/>
        </w:rPr>
        <w:t>3)</w:t>
      </w:r>
      <w:r>
        <w:rPr>
          <w:rFonts w:hint="eastAsia" w:ascii="宋体" w:hAnsi="宋体" w:eastAsia="宋体" w:cs="宋体"/>
          <w:kern w:val="2"/>
          <w:sz w:val="21"/>
          <w:szCs w:val="22"/>
          <w:lang w:val="zh-CN" w:eastAsia="zh-CN" w:bidi="ar-SA"/>
        </w:rPr>
        <w:t>投标人提供现场技术培训方案。项目中标的投标人要在现场安装、调试，并负责系统的工作原理、软硬件结构，有关设施、设备功能、操作、设计、维护，相关设备日常管理维护和使用等内容的培训，制定详细的培训计划。所需费用由卖方自行承担。</w:t>
      </w:r>
    </w:p>
    <w:p w14:paraId="2B4E2E1E">
      <w:pPr>
        <w:widowControl w:val="0"/>
        <w:numPr>
          <w:ilvl w:val="1"/>
          <w:numId w:val="0"/>
        </w:numPr>
        <w:spacing w:line="500" w:lineRule="exact"/>
        <w:ind w:firstLine="420" w:firstLineChars="200"/>
        <w:jc w:val="both"/>
        <w:rPr>
          <w:rFonts w:ascii="宋体" w:hAnsi="宋体" w:eastAsia="宋体" w:cs="宋体"/>
          <w:kern w:val="2"/>
          <w:sz w:val="21"/>
          <w:szCs w:val="22"/>
          <w:lang w:val="zh-CN" w:eastAsia="zh-CN" w:bidi="ar-SA"/>
        </w:rPr>
      </w:pPr>
      <w:r>
        <w:rPr>
          <w:rFonts w:hint="eastAsia" w:ascii="宋体" w:hAnsi="宋体" w:eastAsia="宋体" w:cs="宋体"/>
          <w:kern w:val="2"/>
          <w:sz w:val="21"/>
          <w:szCs w:val="22"/>
          <w:lang w:val="zh-CN" w:eastAsia="zh-CN" w:bidi="ar-SA"/>
        </w:rPr>
        <w:t>（</w:t>
      </w:r>
      <w:r>
        <w:rPr>
          <w:rFonts w:hint="eastAsia" w:ascii="宋体" w:hAnsi="宋体" w:eastAsia="宋体" w:cs="宋体"/>
          <w:kern w:val="2"/>
          <w:sz w:val="21"/>
          <w:szCs w:val="22"/>
          <w:lang w:val="en-US" w:eastAsia="zh-CN" w:bidi="ar-SA"/>
        </w:rPr>
        <w:t>4）</w:t>
      </w:r>
      <w:r>
        <w:rPr>
          <w:rFonts w:hint="eastAsia" w:ascii="宋体" w:hAnsi="宋体" w:eastAsia="宋体" w:cs="宋体"/>
          <w:kern w:val="2"/>
          <w:sz w:val="21"/>
          <w:szCs w:val="22"/>
          <w:lang w:val="zh-CN" w:eastAsia="zh-CN" w:bidi="ar-SA"/>
        </w:rPr>
        <w:t>投标人作为售后服务责任者应为系统正常运行提供技术支持，提供7×24小时的技术咨询服务，故障服务受理；0.5小时内响应，</w:t>
      </w:r>
      <w:r>
        <w:rPr>
          <w:rFonts w:hint="eastAsia" w:ascii="宋体" w:hAnsi="宋体" w:eastAsia="宋体" w:cs="宋体"/>
          <w:kern w:val="2"/>
          <w:sz w:val="21"/>
          <w:szCs w:val="22"/>
          <w:lang w:val="en-US" w:eastAsia="zh-CN" w:bidi="ar-SA"/>
        </w:rPr>
        <w:t>6</w:t>
      </w:r>
      <w:r>
        <w:rPr>
          <w:rFonts w:hint="eastAsia" w:ascii="宋体" w:hAnsi="宋体" w:eastAsia="宋体" w:cs="宋体"/>
          <w:kern w:val="2"/>
          <w:sz w:val="21"/>
          <w:szCs w:val="22"/>
          <w:lang w:val="zh-CN" w:eastAsia="zh-CN" w:bidi="ar-SA"/>
        </w:rPr>
        <w:t>小时内到达设备使用现场；在设备发生重大故障时，投标方技术人员应</w:t>
      </w:r>
      <w:r>
        <w:rPr>
          <w:rFonts w:hint="eastAsia" w:ascii="宋体" w:hAnsi="宋体" w:eastAsia="宋体" w:cs="宋体"/>
          <w:kern w:val="2"/>
          <w:sz w:val="21"/>
          <w:szCs w:val="22"/>
          <w:lang w:val="en-US" w:eastAsia="zh-CN" w:bidi="ar-SA"/>
        </w:rPr>
        <w:t>6</w:t>
      </w:r>
      <w:r>
        <w:rPr>
          <w:rFonts w:hint="eastAsia" w:ascii="宋体" w:hAnsi="宋体" w:eastAsia="宋体" w:cs="宋体"/>
          <w:kern w:val="2"/>
          <w:sz w:val="21"/>
          <w:szCs w:val="22"/>
          <w:lang w:val="zh-CN" w:eastAsia="zh-CN" w:bidi="ar-SA"/>
        </w:rPr>
        <w:t>小时内到达事故现场，并应于24小时内完全解决故障。保修期内，厂方应免费维修，并及时提供备用或替代设备。投标人应按采购人要求及时提供维护中所需的各种修理零配件和备件。</w:t>
      </w:r>
    </w:p>
    <w:p w14:paraId="682092D7">
      <w:pPr>
        <w:bidi w:val="0"/>
        <w:rPr>
          <w:rFonts w:hint="eastAsia" w:ascii="Times New Roman" w:hAnsi="Times New Roman" w:eastAsia="宋体" w:cs="Times New Roman"/>
          <w:lang w:val="en-US" w:eastAsia="zh-CN"/>
        </w:rPr>
      </w:pPr>
      <w:bookmarkStart w:id="9" w:name="_Toc97285767"/>
      <w:bookmarkStart w:id="10" w:name="_Toc7712"/>
      <w:bookmarkStart w:id="11" w:name="_Toc97300951"/>
      <w:bookmarkStart w:id="12" w:name="_Toc19909"/>
    </w:p>
    <w:p w14:paraId="16BD3D7A">
      <w:pPr>
        <w:keepNext/>
        <w:keepLines/>
        <w:widowControl w:val="0"/>
        <w:bidi w:val="0"/>
        <w:spacing w:line="360" w:lineRule="auto"/>
        <w:ind w:firstLine="482" w:firstLineChars="200"/>
        <w:jc w:val="both"/>
        <w:outlineLvl w:val="1"/>
        <w:rPr>
          <w:rFonts w:hint="eastAsia" w:ascii="宋体" w:hAnsi="宋体" w:eastAsia="宋体" w:cs="Times New Roman"/>
          <w:b/>
          <w:bCs/>
          <w:kern w:val="2"/>
          <w:sz w:val="24"/>
          <w:szCs w:val="32"/>
          <w:lang w:val="en-US" w:eastAsia="zh-CN" w:bidi="ar-SA"/>
        </w:rPr>
      </w:pPr>
      <w:bookmarkStart w:id="13" w:name="_Toc10529"/>
      <w:r>
        <w:rPr>
          <w:rFonts w:hint="eastAsia" w:ascii="宋体" w:hAnsi="宋体" w:eastAsia="宋体" w:cs="Times New Roman"/>
          <w:b/>
          <w:bCs/>
          <w:kern w:val="2"/>
          <w:sz w:val="24"/>
          <w:szCs w:val="32"/>
          <w:lang w:val="en-US" w:eastAsia="zh-CN" w:bidi="ar-SA"/>
        </w:rPr>
        <w:t>二、项目其他要求</w:t>
      </w:r>
      <w:bookmarkEnd w:id="9"/>
      <w:bookmarkEnd w:id="10"/>
      <w:bookmarkEnd w:id="11"/>
      <w:bookmarkEnd w:id="12"/>
      <w:bookmarkEnd w:id="13"/>
    </w:p>
    <w:p w14:paraId="25DA298E">
      <w:pPr>
        <w:widowControl w:val="0"/>
        <w:numPr>
          <w:ilvl w:val="0"/>
          <w:numId w:val="0"/>
        </w:numPr>
        <w:spacing w:line="500" w:lineRule="exact"/>
        <w:ind w:firstLine="420" w:firstLineChars="200"/>
        <w:jc w:val="both"/>
        <w:rPr>
          <w:rFonts w:hint="default" w:ascii="宋体" w:hAnsi="宋体" w:eastAsia="宋体" w:cs="宋体"/>
          <w:kern w:val="2"/>
          <w:sz w:val="21"/>
          <w:szCs w:val="22"/>
          <w:lang w:val="en-US" w:eastAsia="zh-CN" w:bidi="ar-SA"/>
        </w:rPr>
      </w:pPr>
      <w:r>
        <w:rPr>
          <w:rFonts w:hint="eastAsia" w:ascii="宋体" w:hAnsi="宋体" w:eastAsia="宋体" w:cs="宋体"/>
          <w:kern w:val="2"/>
          <w:sz w:val="21"/>
          <w:szCs w:val="24"/>
          <w:lang w:val="en-US" w:eastAsia="zh-CN" w:bidi="ar-SA"/>
        </w:rPr>
        <w:t>（</w:t>
      </w:r>
      <w:r>
        <w:rPr>
          <w:rFonts w:ascii="宋体" w:hAnsi="宋体" w:eastAsia="宋体" w:cs="宋体"/>
          <w:kern w:val="2"/>
          <w:sz w:val="21"/>
          <w:szCs w:val="24"/>
          <w:lang w:val="en-US" w:eastAsia="zh-CN" w:bidi="ar-SA"/>
        </w:rPr>
        <w:t>1)</w:t>
      </w:r>
      <w:r>
        <w:rPr>
          <w:rFonts w:hint="eastAsia" w:ascii="宋体" w:hAnsi="宋体" w:eastAsia="宋体" w:cs="宋体"/>
          <w:kern w:val="2"/>
          <w:sz w:val="21"/>
          <w:szCs w:val="24"/>
          <w:lang w:val="en-US" w:eastAsia="zh-CN" w:bidi="ar-SA"/>
        </w:rPr>
        <w:t>交货期限</w:t>
      </w:r>
      <w:r>
        <w:rPr>
          <w:rFonts w:hint="eastAsia" w:ascii="宋体" w:hAnsi="宋体" w:eastAsia="宋体" w:cs="宋体"/>
          <w:kern w:val="2"/>
          <w:sz w:val="21"/>
          <w:szCs w:val="22"/>
          <w:lang w:val="zh-CN" w:eastAsia="zh-CN" w:bidi="ar-SA"/>
        </w:rPr>
        <w:t>：</w:t>
      </w:r>
      <w:r>
        <w:rPr>
          <w:rFonts w:hint="eastAsia" w:ascii="宋体" w:hAnsi="宋体" w:eastAsia="宋体" w:cs="宋体"/>
          <w:kern w:val="2"/>
          <w:sz w:val="21"/>
          <w:szCs w:val="22"/>
          <w:lang w:val="en-US" w:eastAsia="zh-CN" w:bidi="ar-SA"/>
        </w:rPr>
        <w:t>1个月</w:t>
      </w:r>
    </w:p>
    <w:p w14:paraId="198284F5">
      <w:pPr>
        <w:widowControl w:val="0"/>
        <w:numPr>
          <w:ilvl w:val="0"/>
          <w:numId w:val="0"/>
        </w:numPr>
        <w:spacing w:line="500" w:lineRule="exact"/>
        <w:ind w:firstLine="420" w:firstLineChars="200"/>
        <w:jc w:val="both"/>
        <w:rPr>
          <w:rFonts w:ascii="宋体" w:hAnsi="宋体" w:eastAsia="宋体" w:cs="宋体"/>
          <w:kern w:val="2"/>
          <w:sz w:val="21"/>
          <w:szCs w:val="22"/>
          <w:lang w:val="zh-CN" w:eastAsia="zh-CN" w:bidi="ar-SA"/>
        </w:rPr>
      </w:pPr>
      <w:r>
        <w:rPr>
          <w:rFonts w:hint="eastAsia" w:ascii="宋体" w:hAnsi="宋体" w:eastAsia="宋体" w:cs="宋体"/>
          <w:kern w:val="2"/>
          <w:sz w:val="21"/>
          <w:szCs w:val="24"/>
          <w:lang w:val="en-US" w:eastAsia="zh-CN" w:bidi="ar-SA"/>
        </w:rPr>
        <w:t>（2</w:t>
      </w:r>
      <w:r>
        <w:rPr>
          <w:rFonts w:ascii="宋体" w:hAnsi="宋体" w:eastAsia="宋体" w:cs="宋体"/>
          <w:kern w:val="2"/>
          <w:sz w:val="21"/>
          <w:szCs w:val="24"/>
          <w:lang w:val="en-US" w:eastAsia="zh-CN" w:bidi="ar-SA"/>
        </w:rPr>
        <w:t>)</w:t>
      </w:r>
      <w:r>
        <w:rPr>
          <w:rFonts w:hint="eastAsia" w:ascii="宋体" w:hAnsi="宋体" w:eastAsia="宋体" w:cs="宋体"/>
          <w:kern w:val="2"/>
          <w:sz w:val="21"/>
          <w:szCs w:val="22"/>
          <w:lang w:val="zh-CN" w:eastAsia="zh-CN" w:bidi="ar-SA"/>
        </w:rPr>
        <w:t>投标人所提供的货物和服务如果要求使用第三方提供的技术、软件或专利，则应得到第三方的授权，费用已包含在投标总价内；投标人要确保招标人在使用其提供的货物和服务时，不会陷入第三方提起的技术、软件或专利等知识产权的使用纠纷，否则由投标人承担由此导致的后果。</w:t>
      </w:r>
    </w:p>
    <w:p w14:paraId="497C388E">
      <w:pPr>
        <w:widowControl w:val="0"/>
        <w:numPr>
          <w:ilvl w:val="0"/>
          <w:numId w:val="0"/>
        </w:numPr>
        <w:spacing w:line="500" w:lineRule="exact"/>
        <w:ind w:firstLine="420" w:firstLineChars="200"/>
        <w:jc w:val="both"/>
      </w:pPr>
      <w:r>
        <w:rPr>
          <w:rFonts w:hint="eastAsia" w:ascii="宋体" w:hAnsi="宋体" w:eastAsia="宋体" w:cs="宋体"/>
          <w:kern w:val="2"/>
          <w:sz w:val="21"/>
          <w:szCs w:val="24"/>
          <w:lang w:val="en-US" w:eastAsia="zh-CN" w:bidi="ar-SA"/>
        </w:rPr>
        <w:t>（3</w:t>
      </w:r>
      <w:r>
        <w:rPr>
          <w:rFonts w:ascii="宋体" w:hAnsi="宋体" w:eastAsia="宋体" w:cs="宋体"/>
          <w:kern w:val="2"/>
          <w:sz w:val="21"/>
          <w:szCs w:val="24"/>
          <w:lang w:val="en-US" w:eastAsia="zh-CN" w:bidi="ar-SA"/>
        </w:rPr>
        <w:t>)</w:t>
      </w:r>
      <w:r>
        <w:rPr>
          <w:rFonts w:hint="eastAsia" w:ascii="宋体" w:hAnsi="宋体" w:eastAsia="宋体" w:cs="宋体"/>
          <w:kern w:val="2"/>
          <w:sz w:val="21"/>
          <w:szCs w:val="22"/>
          <w:lang w:val="zh-CN" w:eastAsia="zh-CN" w:bidi="ar-SA"/>
        </w:rPr>
        <w:t>投标人需到现场勘测现有设备、设施、机房布局等场地情况，参加现场勘探所发生的费用由投标人自己承担。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60A6B"/>
    <w:multiLevelType w:val="singleLevel"/>
    <w:tmpl w:val="96060A6B"/>
    <w:lvl w:ilvl="0" w:tentative="0">
      <w:start w:val="1"/>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71D24"/>
    <w:rsid w:val="03830824"/>
    <w:rsid w:val="0F771D24"/>
    <w:rsid w:val="127464E6"/>
    <w:rsid w:val="18243F2C"/>
    <w:rsid w:val="398E5251"/>
    <w:rsid w:val="40F40090"/>
    <w:rsid w:val="44547675"/>
    <w:rsid w:val="5C643EC4"/>
    <w:rsid w:val="62B62F9F"/>
    <w:rsid w:val="6D3259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7391</Words>
  <Characters>9097</Characters>
  <Lines>0</Lines>
  <Paragraphs>0</Paragraphs>
  <TotalTime>0</TotalTime>
  <ScaleCrop>false</ScaleCrop>
  <LinksUpToDate>false</LinksUpToDate>
  <CharactersWithSpaces>10078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2026-10-08T06:45:00Z</dcterms:created>
  <dc:creator>Administrator</dc:creator>
  <cp:lastModifiedBy>Administrator</cp:lastModifiedBy>
  <dcterms:modified xsi:type="dcterms:W3CDTF">2026-10-16T02:38:28Z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DB0765216D514352ACB1277AC3A69534_11</vt:lpwstr>
  </property>
  <property fmtid="{D5CDD505-2E9C-101B-9397-08002B2CF9AE}" pid="4" name="KSOTemplateDocerSaveRecord">
    <vt:lpwstr>eyJoZGlkIjoiOWJkNmZlZjkyZTU4YTA3YzJjYjIyNzZjNTZiMTY1NjMiLCJ1c2VySWQiOiIyNzgxNjMwIn0=</vt:lpwstr>
  </property>
</Properties>
</file>