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D1BBEF">
      <w:pPr>
        <w:pStyle w:val="25"/>
        <w:keepNext w:val="0"/>
        <w:keepLines w:val="0"/>
        <w:pageBreakBefore w:val="0"/>
        <w:widowControl w:val="0"/>
        <w:kinsoku/>
        <w:wordWrap/>
        <w:overflowPunct/>
        <w:topLinePunct w:val="0"/>
        <w:autoSpaceDE/>
        <w:autoSpaceDN/>
        <w:bidi w:val="0"/>
        <w:spacing w:after="0" w:line="640" w:lineRule="exact"/>
        <w:ind w:left="0" w:leftChars="0"/>
        <w:textAlignment w:val="auto"/>
        <w:rPr>
          <w:rFonts w:hint="default" w:ascii="Times New Roman" w:hAnsi="Times New Roman" w:cs="Times New Roman"/>
          <w:b w:val="0"/>
          <w:bCs w:val="0"/>
          <w:color w:val="auto"/>
        </w:rPr>
      </w:pPr>
    </w:p>
    <w:p w14:paraId="2FBCE3B0">
      <w:pPr>
        <w:pStyle w:val="25"/>
        <w:keepNext w:val="0"/>
        <w:keepLines w:val="0"/>
        <w:pageBreakBefore w:val="0"/>
        <w:widowControl w:val="0"/>
        <w:kinsoku/>
        <w:wordWrap/>
        <w:overflowPunct/>
        <w:topLinePunct w:val="0"/>
        <w:autoSpaceDE/>
        <w:autoSpaceDN/>
        <w:bidi w:val="0"/>
        <w:spacing w:after="0" w:line="640" w:lineRule="exact"/>
        <w:ind w:left="0" w:leftChars="0"/>
        <w:textAlignment w:val="auto"/>
        <w:rPr>
          <w:rFonts w:hint="default" w:ascii="Times New Roman" w:hAnsi="Times New Roman" w:cs="Times New Roman"/>
          <w:b w:val="0"/>
          <w:bCs w:val="0"/>
          <w:color w:val="auto"/>
        </w:rPr>
      </w:pPr>
    </w:p>
    <w:p w14:paraId="64DD6CBE">
      <w:pPr>
        <w:pStyle w:val="22"/>
        <w:keepNext w:val="0"/>
        <w:keepLines w:val="0"/>
        <w:pageBreakBefore w:val="0"/>
        <w:widowControl w:val="0"/>
        <w:kinsoku/>
        <w:wordWrap/>
        <w:overflowPunct/>
        <w:topLinePunct w:val="0"/>
        <w:autoSpaceDE/>
        <w:autoSpaceDN/>
        <w:bidi w:val="0"/>
        <w:adjustRightInd w:val="0"/>
        <w:snapToGrid w:val="0"/>
        <w:spacing w:line="800" w:lineRule="exact"/>
        <w:ind w:left="0" w:leftChars="0"/>
        <w:jc w:val="both"/>
        <w:textAlignment w:val="auto"/>
        <w:rPr>
          <w:rFonts w:hint="default" w:ascii="Times New Roman" w:hAnsi="Times New Roman" w:cs="Times New Roman"/>
          <w:b w:val="0"/>
          <w:bCs w:val="0"/>
          <w:color w:val="auto"/>
        </w:rPr>
      </w:pPr>
    </w:p>
    <w:p w14:paraId="68744432">
      <w:pPr>
        <w:pStyle w:val="22"/>
        <w:keepNext w:val="0"/>
        <w:keepLines w:val="0"/>
        <w:pageBreakBefore w:val="0"/>
        <w:widowControl w:val="0"/>
        <w:kinsoku/>
        <w:wordWrap/>
        <w:overflowPunct/>
        <w:topLinePunct w:val="0"/>
        <w:autoSpaceDE/>
        <w:autoSpaceDN/>
        <w:bidi w:val="0"/>
        <w:adjustRightInd w:val="0"/>
        <w:snapToGrid w:val="0"/>
        <w:spacing w:line="800" w:lineRule="exact"/>
        <w:ind w:left="0" w:leftChars="0"/>
        <w:jc w:val="center"/>
        <w:textAlignment w:val="auto"/>
        <w:rPr>
          <w:rFonts w:hint="default" w:ascii="Times New Roman" w:hAnsi="Times New Roman" w:eastAsia="黑体" w:cs="Times New Roman"/>
          <w:b w:val="0"/>
          <w:bCs w:val="0"/>
          <w:color w:val="auto"/>
          <w:sz w:val="72"/>
          <w:szCs w:val="72"/>
        </w:rPr>
      </w:pPr>
      <w:r>
        <w:rPr>
          <w:rFonts w:hint="default" w:ascii="Times New Roman" w:hAnsi="Times New Roman" w:eastAsia="黑体" w:cs="Times New Roman"/>
          <w:b w:val="0"/>
          <w:bCs w:val="0"/>
          <w:color w:val="auto"/>
          <w:sz w:val="72"/>
          <w:szCs w:val="72"/>
        </w:rPr>
        <w:t>【郴州】政府采购</w:t>
      </w:r>
    </w:p>
    <w:p w14:paraId="3B36130E">
      <w:pPr>
        <w:pStyle w:val="22"/>
        <w:keepNext w:val="0"/>
        <w:keepLines w:val="0"/>
        <w:pageBreakBefore w:val="0"/>
        <w:widowControl w:val="0"/>
        <w:kinsoku/>
        <w:wordWrap/>
        <w:overflowPunct/>
        <w:topLinePunct w:val="0"/>
        <w:autoSpaceDE/>
        <w:autoSpaceDN/>
        <w:bidi w:val="0"/>
        <w:adjustRightInd w:val="0"/>
        <w:snapToGrid w:val="0"/>
        <w:spacing w:line="800" w:lineRule="exact"/>
        <w:ind w:left="0" w:leftChars="0"/>
        <w:jc w:val="center"/>
        <w:textAlignment w:val="auto"/>
        <w:rPr>
          <w:rFonts w:hint="default" w:ascii="Times New Roman" w:hAnsi="Times New Roman" w:eastAsia="黑体" w:cs="Times New Roman"/>
          <w:b w:val="0"/>
          <w:bCs w:val="0"/>
          <w:color w:val="auto"/>
          <w:sz w:val="72"/>
          <w:szCs w:val="72"/>
        </w:rPr>
      </w:pPr>
    </w:p>
    <w:p w14:paraId="425ED04A">
      <w:pPr>
        <w:pStyle w:val="22"/>
        <w:keepNext w:val="0"/>
        <w:keepLines w:val="0"/>
        <w:pageBreakBefore w:val="0"/>
        <w:widowControl w:val="0"/>
        <w:kinsoku/>
        <w:wordWrap/>
        <w:overflowPunct/>
        <w:topLinePunct w:val="0"/>
        <w:autoSpaceDE/>
        <w:autoSpaceDN/>
        <w:bidi w:val="0"/>
        <w:adjustRightInd w:val="0"/>
        <w:snapToGrid w:val="0"/>
        <w:spacing w:line="800" w:lineRule="exact"/>
        <w:ind w:left="0" w:leftChars="0"/>
        <w:jc w:val="center"/>
        <w:textAlignment w:val="auto"/>
        <w:rPr>
          <w:rFonts w:hint="default" w:ascii="Times New Roman" w:hAnsi="Times New Roman" w:eastAsia="黑体" w:cs="Times New Roman"/>
          <w:b w:val="0"/>
          <w:bCs w:val="0"/>
          <w:color w:val="auto"/>
          <w:sz w:val="52"/>
          <w:szCs w:val="52"/>
        </w:rPr>
      </w:pPr>
      <w:r>
        <w:rPr>
          <w:rFonts w:hint="default" w:ascii="Times New Roman" w:hAnsi="Times New Roman" w:eastAsia="黑体" w:cs="Times New Roman"/>
          <w:b w:val="0"/>
          <w:bCs w:val="0"/>
          <w:color w:val="auto"/>
          <w:sz w:val="52"/>
          <w:szCs w:val="52"/>
        </w:rPr>
        <w:t>公开招标文件服务类综合评分法</w:t>
      </w:r>
    </w:p>
    <w:p w14:paraId="42F75F57">
      <w:pPr>
        <w:pStyle w:val="22"/>
        <w:keepNext w:val="0"/>
        <w:keepLines w:val="0"/>
        <w:pageBreakBefore w:val="0"/>
        <w:widowControl w:val="0"/>
        <w:kinsoku/>
        <w:wordWrap/>
        <w:overflowPunct/>
        <w:topLinePunct w:val="0"/>
        <w:autoSpaceDE/>
        <w:autoSpaceDN/>
        <w:bidi w:val="0"/>
        <w:adjustRightInd w:val="0"/>
        <w:snapToGrid w:val="0"/>
        <w:spacing w:line="800" w:lineRule="exact"/>
        <w:ind w:left="0" w:leftChars="0"/>
        <w:jc w:val="center"/>
        <w:textAlignment w:val="auto"/>
        <w:rPr>
          <w:rFonts w:hint="default" w:ascii="Times New Roman" w:hAnsi="Times New Roman" w:eastAsia="黑体" w:cs="Times New Roman"/>
          <w:b w:val="0"/>
          <w:bCs w:val="0"/>
          <w:color w:val="auto"/>
          <w:sz w:val="52"/>
          <w:szCs w:val="52"/>
        </w:rPr>
      </w:pPr>
      <w:r>
        <w:rPr>
          <w:rFonts w:hint="default" w:ascii="Times New Roman" w:hAnsi="Times New Roman" w:eastAsia="黑体" w:cs="Times New Roman"/>
          <w:b w:val="0"/>
          <w:bCs w:val="0"/>
          <w:color w:val="auto"/>
          <w:sz w:val="52"/>
          <w:szCs w:val="52"/>
        </w:rPr>
        <w:t>（电子标）</w:t>
      </w:r>
    </w:p>
    <w:p w14:paraId="7503EC7E">
      <w:pPr>
        <w:pStyle w:val="22"/>
        <w:keepNext w:val="0"/>
        <w:keepLines w:val="0"/>
        <w:pageBreakBefore w:val="0"/>
        <w:widowControl w:val="0"/>
        <w:kinsoku/>
        <w:wordWrap/>
        <w:overflowPunct/>
        <w:topLinePunct w:val="0"/>
        <w:autoSpaceDE/>
        <w:autoSpaceDN/>
        <w:bidi w:val="0"/>
        <w:adjustRightInd w:val="0"/>
        <w:snapToGrid w:val="0"/>
        <w:spacing w:line="640" w:lineRule="exact"/>
        <w:ind w:left="0" w:leftChars="0"/>
        <w:jc w:val="center"/>
        <w:textAlignment w:val="auto"/>
        <w:rPr>
          <w:rFonts w:hint="default" w:ascii="Times New Roman" w:hAnsi="Times New Roman" w:eastAsia="华文中宋" w:cs="Times New Roman"/>
          <w:b w:val="0"/>
          <w:bCs w:val="0"/>
          <w:color w:val="auto"/>
          <w:sz w:val="32"/>
          <w:szCs w:val="32"/>
        </w:rPr>
      </w:pPr>
    </w:p>
    <w:p w14:paraId="4D8D069A">
      <w:pPr>
        <w:pStyle w:val="22"/>
        <w:keepNext w:val="0"/>
        <w:keepLines w:val="0"/>
        <w:pageBreakBefore w:val="0"/>
        <w:widowControl w:val="0"/>
        <w:kinsoku/>
        <w:wordWrap/>
        <w:overflowPunct/>
        <w:topLinePunct w:val="0"/>
        <w:autoSpaceDE/>
        <w:autoSpaceDN/>
        <w:bidi w:val="0"/>
        <w:adjustRightInd w:val="0"/>
        <w:snapToGrid w:val="0"/>
        <w:spacing w:line="640" w:lineRule="exact"/>
        <w:ind w:left="0" w:leftChars="0"/>
        <w:jc w:val="center"/>
        <w:textAlignment w:val="auto"/>
        <w:rPr>
          <w:rFonts w:hint="default" w:ascii="Times New Roman" w:hAnsi="Times New Roman" w:eastAsia="楷体" w:cs="Times New Roman"/>
          <w:b w:val="0"/>
          <w:bCs w:val="0"/>
          <w:color w:val="auto"/>
          <w:sz w:val="32"/>
          <w:szCs w:val="32"/>
        </w:rPr>
      </w:pPr>
    </w:p>
    <w:p w14:paraId="722327D2">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default" w:ascii="Times New Roman" w:hAnsi="Times New Roman" w:eastAsia="宋体" w:cs="Times New Roman"/>
          <w:b w:val="0"/>
          <w:bCs w:val="0"/>
          <w:color w:val="auto"/>
          <w:szCs w:val="21"/>
          <w:lang w:eastAsia="zh-CN"/>
        </w:rPr>
      </w:pPr>
      <w:r>
        <w:rPr>
          <w:rFonts w:hint="default" w:ascii="Times New Roman" w:hAnsi="Times New Roman" w:cs="Times New Roman"/>
          <w:b/>
          <w:bCs/>
          <w:color w:val="auto"/>
          <w:sz w:val="32"/>
          <w:szCs w:val="32"/>
        </w:rPr>
        <w:t>采购项目名称：</w:t>
      </w:r>
      <w:r>
        <w:rPr>
          <w:rFonts w:hint="default" w:ascii="Times New Roman" w:hAnsi="Times New Roman" w:cs="Times New Roman"/>
          <w:b w:val="0"/>
          <w:bCs w:val="0"/>
          <w:color w:val="auto"/>
          <w:sz w:val="32"/>
          <w:szCs w:val="32"/>
          <w:u w:val="single"/>
          <w:lang w:eastAsia="zh-CN"/>
        </w:rPr>
        <w:t>郴州市矿产资源总体规划（2026年-2030年）编制项目</w:t>
      </w:r>
    </w:p>
    <w:p w14:paraId="457AEC77">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eastAsia" w:cs="Times New Roman"/>
          <w:b w:val="0"/>
          <w:bCs w:val="0"/>
          <w:color w:val="auto"/>
          <w:sz w:val="32"/>
          <w:szCs w:val="32"/>
          <w:u w:val="single"/>
          <w:lang w:eastAsia="zh-CN"/>
        </w:rPr>
      </w:pPr>
      <w:r>
        <w:rPr>
          <w:rFonts w:hint="eastAsia" w:cs="Times New Roman"/>
          <w:b/>
          <w:bCs/>
          <w:color w:val="auto"/>
          <w:sz w:val="32"/>
          <w:szCs w:val="32"/>
          <w:lang w:eastAsia="zh-CN"/>
        </w:rPr>
        <w:t>采购计划编号：</w:t>
      </w:r>
      <w:r>
        <w:rPr>
          <w:rFonts w:hint="eastAsia" w:cs="Times New Roman"/>
          <w:b w:val="0"/>
          <w:bCs w:val="0"/>
          <w:color w:val="auto"/>
          <w:sz w:val="32"/>
          <w:szCs w:val="32"/>
          <w:u w:val="single"/>
          <w:lang w:eastAsia="zh-CN"/>
        </w:rPr>
        <w:t>(2026)431000000101-1</w:t>
      </w:r>
    </w:p>
    <w:p w14:paraId="6A8DA557">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default" w:cs="Times New Roman"/>
          <w:b w:val="0"/>
          <w:bCs w:val="0"/>
          <w:color w:val="auto"/>
          <w:sz w:val="32"/>
          <w:szCs w:val="32"/>
          <w:u w:val="single"/>
          <w:lang w:val="en-US" w:eastAsia="zh-CN"/>
        </w:rPr>
      </w:pPr>
      <w:r>
        <w:rPr>
          <w:rFonts w:hint="eastAsia" w:cs="Times New Roman"/>
          <w:b/>
          <w:bCs/>
          <w:color w:val="auto"/>
          <w:sz w:val="32"/>
          <w:szCs w:val="32"/>
          <w:lang w:eastAsia="zh-CN"/>
        </w:rPr>
        <w:t>采购项目编号：</w:t>
      </w:r>
      <w:r>
        <w:rPr>
          <w:rFonts w:hint="eastAsia" w:cs="Times New Roman"/>
          <w:b w:val="0"/>
          <w:bCs w:val="0"/>
          <w:color w:val="auto"/>
          <w:sz w:val="32"/>
          <w:szCs w:val="32"/>
          <w:u w:val="single"/>
          <w:lang w:eastAsia="zh-CN"/>
        </w:rPr>
        <w:t>CGXM2026431000000121</w:t>
      </w:r>
    </w:p>
    <w:p w14:paraId="5EE1E43B">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default" w:ascii="Times New Roman" w:hAnsi="Times New Roman" w:eastAsia="宋体" w:cs="Times New Roman"/>
          <w:b w:val="0"/>
          <w:bCs w:val="0"/>
          <w:color w:val="auto"/>
          <w:sz w:val="32"/>
          <w:szCs w:val="32"/>
          <w:u w:val="single"/>
          <w:lang w:val="en-US" w:eastAsia="zh-CN"/>
        </w:rPr>
      </w:pPr>
      <w:r>
        <w:rPr>
          <w:rFonts w:hint="default" w:ascii="Times New Roman" w:hAnsi="Times New Roman" w:cs="Times New Roman"/>
          <w:b/>
          <w:bCs/>
          <w:color w:val="auto"/>
          <w:sz w:val="32"/>
          <w:szCs w:val="32"/>
        </w:rPr>
        <w:t>委托代理编号：</w:t>
      </w:r>
      <w:r>
        <w:rPr>
          <w:rFonts w:hint="default" w:ascii="Times New Roman" w:hAnsi="Times New Roman" w:cs="Times New Roman"/>
          <w:b w:val="0"/>
          <w:bCs w:val="0"/>
          <w:color w:val="auto"/>
          <w:sz w:val="32"/>
          <w:szCs w:val="32"/>
          <w:u w:val="single"/>
          <w:lang w:eastAsia="zh-CN"/>
        </w:rPr>
        <w:t>HNJX2026-ZB-</w:t>
      </w:r>
      <w:r>
        <w:rPr>
          <w:rFonts w:hint="eastAsia" w:cs="Times New Roman"/>
          <w:b w:val="0"/>
          <w:bCs w:val="0"/>
          <w:color w:val="auto"/>
          <w:sz w:val="32"/>
          <w:szCs w:val="32"/>
          <w:u w:val="single"/>
          <w:lang w:val="en-US" w:eastAsia="zh-CN"/>
        </w:rPr>
        <w:t>132</w:t>
      </w:r>
    </w:p>
    <w:p w14:paraId="4B86981D">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default" w:ascii="Times New Roman" w:hAnsi="Times New Roman" w:cs="Times New Roman"/>
          <w:b w:val="0"/>
          <w:bCs w:val="0"/>
          <w:color w:val="auto"/>
          <w:sz w:val="32"/>
          <w:szCs w:val="32"/>
        </w:rPr>
      </w:pPr>
      <w:r>
        <w:rPr>
          <w:rFonts w:hint="default" w:ascii="Times New Roman" w:hAnsi="Times New Roman" w:cs="Times New Roman"/>
          <w:b/>
          <w:bCs/>
          <w:color w:val="auto"/>
          <w:sz w:val="32"/>
          <w:szCs w:val="32"/>
        </w:rPr>
        <w:t>采购人：</w:t>
      </w:r>
      <w:r>
        <w:rPr>
          <w:rFonts w:hint="default" w:ascii="Times New Roman" w:hAnsi="Times New Roman" w:cs="Times New Roman"/>
          <w:b w:val="0"/>
          <w:bCs w:val="0"/>
          <w:color w:val="auto"/>
          <w:sz w:val="32"/>
          <w:szCs w:val="32"/>
          <w:u w:val="single"/>
        </w:rPr>
        <w:t>郴州市自然资源和规划局</w:t>
      </w:r>
    </w:p>
    <w:p w14:paraId="028EF80F">
      <w:pPr>
        <w:keepNext w:val="0"/>
        <w:keepLines w:val="0"/>
        <w:pageBreakBefore w:val="0"/>
        <w:widowControl w:val="0"/>
        <w:kinsoku/>
        <w:wordWrap/>
        <w:overflowPunct/>
        <w:topLinePunct w:val="0"/>
        <w:autoSpaceDE/>
        <w:autoSpaceDN/>
        <w:bidi w:val="0"/>
        <w:adjustRightInd w:val="0"/>
        <w:snapToGrid w:val="0"/>
        <w:spacing w:line="640" w:lineRule="exact"/>
        <w:ind w:left="0" w:leftChars="0" w:firstLine="1124" w:firstLineChars="350"/>
        <w:textAlignment w:val="auto"/>
        <w:rPr>
          <w:rFonts w:hint="default" w:ascii="Times New Roman" w:hAnsi="Times New Roman" w:cs="Times New Roman"/>
          <w:b w:val="0"/>
          <w:bCs w:val="0"/>
          <w:color w:val="auto"/>
          <w:sz w:val="32"/>
          <w:szCs w:val="21"/>
        </w:rPr>
      </w:pPr>
      <w:r>
        <w:rPr>
          <w:rFonts w:hint="default" w:ascii="Times New Roman" w:hAnsi="Times New Roman" w:cs="Times New Roman"/>
          <w:b/>
          <w:bCs/>
          <w:color w:val="auto"/>
          <w:sz w:val="32"/>
          <w:szCs w:val="21"/>
        </w:rPr>
        <w:t>采购代理机构：</w:t>
      </w:r>
      <w:r>
        <w:rPr>
          <w:rFonts w:hint="default" w:ascii="Times New Roman" w:hAnsi="Times New Roman" w:cs="Times New Roman"/>
          <w:b w:val="0"/>
          <w:bCs w:val="0"/>
          <w:color w:val="auto"/>
          <w:sz w:val="32"/>
          <w:u w:val="single"/>
        </w:rPr>
        <w:t>湖南金翔项目咨询管理有限公司</w:t>
      </w:r>
    </w:p>
    <w:p w14:paraId="6E740BC0">
      <w:pPr>
        <w:pStyle w:val="22"/>
        <w:keepNext w:val="0"/>
        <w:keepLines w:val="0"/>
        <w:pageBreakBefore w:val="0"/>
        <w:widowControl w:val="0"/>
        <w:kinsoku/>
        <w:wordWrap/>
        <w:overflowPunct/>
        <w:topLinePunct w:val="0"/>
        <w:autoSpaceDE/>
        <w:autoSpaceDN/>
        <w:bidi w:val="0"/>
        <w:adjustRightInd w:val="0"/>
        <w:snapToGrid w:val="0"/>
        <w:spacing w:line="640" w:lineRule="exact"/>
        <w:ind w:left="0" w:leftChars="0"/>
        <w:jc w:val="center"/>
        <w:textAlignment w:val="auto"/>
        <w:rPr>
          <w:rFonts w:hint="default" w:ascii="Times New Roman" w:hAnsi="Times New Roman" w:cs="Times New Roman"/>
          <w:b w:val="0"/>
          <w:bCs w:val="0"/>
          <w:color w:val="auto"/>
          <w:sz w:val="32"/>
          <w:szCs w:val="32"/>
        </w:rPr>
      </w:pPr>
    </w:p>
    <w:p w14:paraId="2D828C03">
      <w:pPr>
        <w:pStyle w:val="22"/>
        <w:keepNext w:val="0"/>
        <w:keepLines w:val="0"/>
        <w:pageBreakBefore w:val="0"/>
        <w:widowControl w:val="0"/>
        <w:kinsoku/>
        <w:wordWrap/>
        <w:overflowPunct/>
        <w:topLinePunct w:val="0"/>
        <w:autoSpaceDE/>
        <w:autoSpaceDN/>
        <w:bidi w:val="0"/>
        <w:adjustRightInd w:val="0"/>
        <w:snapToGrid w:val="0"/>
        <w:spacing w:line="640" w:lineRule="exact"/>
        <w:ind w:left="0" w:leftChars="0"/>
        <w:jc w:val="both"/>
        <w:textAlignment w:val="auto"/>
        <w:rPr>
          <w:rFonts w:hint="default" w:ascii="Times New Roman" w:hAnsi="Times New Roman" w:cs="Times New Roman"/>
          <w:b w:val="0"/>
          <w:bCs w:val="0"/>
          <w:color w:val="auto"/>
          <w:sz w:val="32"/>
          <w:szCs w:val="32"/>
        </w:rPr>
      </w:pPr>
    </w:p>
    <w:p w14:paraId="6F5EF47E">
      <w:pPr>
        <w:pStyle w:val="22"/>
        <w:keepNext w:val="0"/>
        <w:keepLines w:val="0"/>
        <w:pageBreakBefore w:val="0"/>
        <w:widowControl w:val="0"/>
        <w:kinsoku/>
        <w:wordWrap/>
        <w:overflowPunct/>
        <w:topLinePunct w:val="0"/>
        <w:autoSpaceDE/>
        <w:autoSpaceDN/>
        <w:bidi w:val="0"/>
        <w:adjustRightInd w:val="0"/>
        <w:snapToGrid w:val="0"/>
        <w:spacing w:line="640" w:lineRule="exact"/>
        <w:ind w:left="0" w:leftChars="0"/>
        <w:jc w:val="center"/>
        <w:textAlignment w:val="auto"/>
        <w:rPr>
          <w:rFonts w:hint="default" w:ascii="Times New Roman" w:hAnsi="Times New Roman" w:eastAsia="宋体" w:cs="Times New Roman"/>
          <w:b w:val="0"/>
          <w:bCs w:val="0"/>
          <w:color w:val="auto"/>
          <w:sz w:val="32"/>
          <w:szCs w:val="32"/>
          <w:lang w:eastAsia="zh-CN"/>
        </w:rPr>
      </w:pPr>
      <w:r>
        <w:rPr>
          <w:rFonts w:hint="default" w:ascii="Times New Roman" w:hAnsi="Times New Roman" w:cs="Times New Roman"/>
          <w:b w:val="0"/>
          <w:bCs w:val="0"/>
          <w:color w:val="auto"/>
          <w:sz w:val="32"/>
          <w:lang w:eastAsia="zh-CN"/>
        </w:rPr>
        <w:t>2026年</w:t>
      </w:r>
      <w:r>
        <w:rPr>
          <w:rFonts w:hint="eastAsia" w:ascii="Times New Roman" w:hAnsi="Times New Roman" w:cs="Times New Roman"/>
          <w:b w:val="0"/>
          <w:bCs w:val="0"/>
          <w:color w:val="auto"/>
          <w:sz w:val="32"/>
          <w:lang w:val="en-US" w:eastAsia="zh-CN"/>
        </w:rPr>
        <w:t>8</w:t>
      </w:r>
      <w:r>
        <w:rPr>
          <w:rFonts w:hint="default" w:ascii="Times New Roman" w:hAnsi="Times New Roman" w:cs="Times New Roman"/>
          <w:b w:val="0"/>
          <w:bCs w:val="0"/>
          <w:color w:val="auto"/>
          <w:sz w:val="32"/>
          <w:lang w:eastAsia="zh-CN"/>
        </w:rPr>
        <w:t>月</w:t>
      </w:r>
    </w:p>
    <w:p w14:paraId="3D687065">
      <w:pPr>
        <w:pStyle w:val="22"/>
        <w:adjustRightInd w:val="0"/>
        <w:snapToGrid w:val="0"/>
        <w:spacing w:line="240" w:lineRule="atLeast"/>
        <w:jc w:val="both"/>
        <w:rPr>
          <w:rFonts w:hint="default" w:ascii="Times New Roman" w:hAnsi="Times New Roman" w:cs="Times New Roman"/>
          <w:b/>
          <w:bCs/>
          <w:color w:val="auto"/>
          <w:sz w:val="32"/>
          <w:szCs w:val="32"/>
        </w:rPr>
        <w:sectPr>
          <w:headerReference r:id="rId3" w:type="default"/>
          <w:pgSz w:w="11906" w:h="16838"/>
          <w:pgMar w:top="1440" w:right="1588" w:bottom="1440" w:left="1588" w:header="851" w:footer="992" w:gutter="0"/>
          <w:pgNumType w:fmt="decimal"/>
          <w:cols w:space="720" w:num="1"/>
          <w:docGrid w:type="lines" w:linePitch="312" w:charSpace="0"/>
        </w:sectPr>
      </w:pPr>
    </w:p>
    <w:p w14:paraId="06D60B73">
      <w:pPr>
        <w:pStyle w:val="22"/>
        <w:adjustRightInd w:val="0"/>
        <w:snapToGrid w:val="0"/>
        <w:spacing w:line="360" w:lineRule="auto"/>
        <w:jc w:val="center"/>
        <w:rPr>
          <w:rFonts w:hint="default" w:ascii="Times New Roman" w:hAnsi="Times New Roman" w:eastAsia="华文中宋" w:cs="Times New Roman"/>
          <w:b/>
          <w:color w:val="auto"/>
          <w:spacing w:val="160"/>
          <w:sz w:val="36"/>
          <w:szCs w:val="36"/>
        </w:rPr>
      </w:pPr>
      <w:r>
        <w:rPr>
          <w:rFonts w:hint="default" w:ascii="Times New Roman" w:hAnsi="Times New Roman" w:eastAsia="华文中宋" w:cs="Times New Roman"/>
          <w:b/>
          <w:color w:val="auto"/>
          <w:spacing w:val="160"/>
          <w:sz w:val="36"/>
          <w:szCs w:val="36"/>
        </w:rPr>
        <w:t>目录</w:t>
      </w:r>
    </w:p>
    <w:p w14:paraId="582F62F2">
      <w:pPr>
        <w:pStyle w:val="29"/>
        <w:tabs>
          <w:tab w:val="right" w:leader="dot" w:pos="8844"/>
        </w:tabs>
        <w:rPr>
          <w:rFonts w:hint="default" w:ascii="Times New Roman" w:hAnsi="Times New Roman" w:cs="Times New Roman"/>
          <w:b w:val="0"/>
          <w:bCs/>
          <w:color w:val="auto"/>
        </w:rPr>
      </w:pPr>
      <w:r>
        <w:rPr>
          <w:rStyle w:val="46"/>
          <w:rFonts w:hint="default" w:ascii="Times New Roman" w:hAnsi="Times New Roman" w:cs="Times New Roman"/>
          <w:b w:val="0"/>
          <w:color w:val="auto"/>
        </w:rPr>
        <w:fldChar w:fldCharType="begin"/>
      </w:r>
      <w:r>
        <w:rPr>
          <w:rStyle w:val="46"/>
          <w:rFonts w:hint="default" w:ascii="Times New Roman" w:hAnsi="Times New Roman" w:cs="Times New Roman"/>
          <w:b w:val="0"/>
          <w:color w:val="auto"/>
        </w:rPr>
        <w:instrText xml:space="preserve"> TOC \o "1-4" \h \z \u </w:instrText>
      </w:r>
      <w:r>
        <w:rPr>
          <w:rStyle w:val="46"/>
          <w:rFonts w:hint="default" w:ascii="Times New Roman" w:hAnsi="Times New Roman" w:cs="Times New Roman"/>
          <w:b w:val="0"/>
          <w:color w:val="auto"/>
        </w:rPr>
        <w:fldChar w:fldCharType="separate"/>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_Toc11922 </w:instrText>
      </w:r>
      <w:r>
        <w:rPr>
          <w:rFonts w:hint="default" w:ascii="Times New Roman" w:hAnsi="Times New Roman" w:cs="Times New Roman"/>
          <w:b w:val="0"/>
          <w:bCs/>
          <w:color w:val="auto"/>
        </w:rPr>
        <w:fldChar w:fldCharType="separate"/>
      </w:r>
      <w:r>
        <w:rPr>
          <w:rFonts w:hint="default" w:ascii="Times New Roman" w:hAnsi="Times New Roman" w:eastAsia="黑体" w:cs="Times New Roman"/>
          <w:b w:val="0"/>
          <w:bCs/>
          <w:color w:val="auto"/>
          <w:szCs w:val="32"/>
        </w:rPr>
        <w:t>第一章 投标邀请</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_Toc11922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w:t>
      </w:r>
      <w:r>
        <w:rPr>
          <w:rFonts w:hint="default" w:ascii="Times New Roman" w:hAnsi="Times New Roman" w:cs="Times New Roman"/>
          <w:b w:val="0"/>
          <w:bCs/>
          <w:color w:val="auto"/>
        </w:rPr>
        <w:fldChar w:fldCharType="end"/>
      </w:r>
      <w:r>
        <w:rPr>
          <w:rFonts w:hint="default" w:ascii="Times New Roman" w:hAnsi="Times New Roman" w:cs="Times New Roman"/>
          <w:b w:val="0"/>
          <w:bCs/>
          <w:color w:val="auto"/>
        </w:rPr>
        <w:fldChar w:fldCharType="end"/>
      </w:r>
    </w:p>
    <w:p w14:paraId="448A8CA6">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_Toc13238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一、采购项目基本信息</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_Toc13238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5928422">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_Toc593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二、采购人的采购需求（按包）</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_Toc593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E25B01B">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_Toc13276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三、采购项目需落实的政府采购政策：</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_Toc13276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BEA9540">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_Toc24793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四、投标人的资格要求：</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_Toc24793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104B91A">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_Toc2034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五、获取电子招标文件的时间、期限、方式</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_Toc2034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3B1D65B">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_Toc28585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六、投标截止时间、开标时间、开标地点</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_Toc28585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B4A8730">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_Toc11251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七、招标文件公告期限：</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_Toc11251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95A286F">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_Toc15731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eastAsiaTheme="minorEastAsia"/>
          <w:b w:val="0"/>
          <w:bCs/>
          <w:color w:val="auto"/>
        </w:rPr>
        <w:t>八、疑问及质疑：</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_Toc15731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87803B2">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_Toc5063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九、对本次招标提出询问，请按以下方式联系</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_Toc5063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8437B69">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_Toc5761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十、其它补充事宜</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_Toc5761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87D1994">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_Toc19107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第二章 投标须知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_Toc19107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6B82FA4">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_Toc20727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rPr>
        <w:t>第一节 投标须知前附表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_Toc20727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A9BAA10">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_Toc3776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第二节 投标须知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_Toc3776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5B2A96F">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_Toc30793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一、总则</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_Toc30793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1AB19A1">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_Toc21358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二、招标文件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_Toc21358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6C8082E">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_Toc14705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三、投标文件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_Toc14705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16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F594A28">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_Toc9478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四、 投标</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_Toc9478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265A264">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_Toc15769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五、开标，资格审查和评标</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_Toc15769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84177CD">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_Toc1370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六、中标信息公布</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_Toc1370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23</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622A395">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_Toc20314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七、合同签订</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_Toc20314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34C7F62">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_Toc19586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八、政府采购政策</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_Toc19586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44C7DB2">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_Toc18116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九、其他规定</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_Toc18116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4B5B9FF">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_Toc14652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第三章 资格审查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_Toc14652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ACC434A">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_Toc23239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1．资格审查主体</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_Toc23239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43A5754">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_Toc30018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2．资格审查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_Toc30018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AA74941">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_Toc10928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3．资格审查结果</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_Toc10928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8615101">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_Toc13622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eastAsiaTheme="minorEastAsia"/>
          <w:b w:val="0"/>
          <w:bCs/>
          <w:color w:val="auto"/>
          <w:szCs w:val="21"/>
        </w:rPr>
        <w:t>附表1资格审查表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_Toc13622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29</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2DB1D0E">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_Toc10464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附表2 资格审查结果一览表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_Toc10464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4FFF6DA">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_Toc6430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附表3 资格审查合格投标人名单</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_Toc6430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E2EA58B">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_Toc6117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第四章 评标方法及标准（综合评分法）</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_Toc6117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32</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2CE9E473">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_Toc22911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第一节 评标方法及标准前附表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_Toc22911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32</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44221E8">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_Toc5524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第二节 评标方法及标准</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_Toc5524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DA05C7E">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_Toc28315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1．评标方法</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_Toc28315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177B6E5">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_Toc19427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2．评标程序</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_Toc19427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9D09F82">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_Toc2658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3．投标文件的符合性审查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_Toc2658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21D0E892">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_Toc23947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4．投标文件的澄清</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_Toc23947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E914070">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_Toc17167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5．投标文件的比较与评价</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_Toc17167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44C9E17">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_Toc5305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6．推荐中标候选人</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_Toc5305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9A1E1C6">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_Toc31626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7．编写评标报告</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_Toc31626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C15E4BC">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_Toc19548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8．评标报告复核</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_Toc19548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8E63A46">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_Toc16390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4"/>
        </w:rPr>
        <w:t>9．停止评标</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_Toc16390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DFDDEDE">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_Toc4307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10.废标</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_Toc4307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E7D33EA">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_Toc16508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kern w:val="0"/>
          <w:szCs w:val="24"/>
        </w:rPr>
        <w:t>11．重新组建评标委员会进行评标</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_Toc16508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64EDE96">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_Toc6913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第三节 投标文件的符合性审查</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_Toc6913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A4637F0">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_Toc8165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附表1 符合性审查表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_Toc8165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39</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DB3805F">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_Toc8468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附表2 符合性审查结果一览表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_Toc8468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DF4EB58">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_Toc18021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附表3 符合性审查合格投标人名单</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_Toc18021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6CA6B5C">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_Toc4744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第四节 投标文件的比较与评价</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_Toc4744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D39CDA8">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_Toc5581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附页1 评标方法及标准表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_Toc5581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43</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F685A7C">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_Toc16677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第五章 采购需求</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_Toc16677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B84A6F7">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_Toc6934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第一节 采购清单一览表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_Toc6934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74F632E">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_Toc18186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第二节 技术、商务要求</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_Toc18186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48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1809736">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_Toc27842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第六章 政府采购合同</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_Toc27842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6D75654">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_Toc14860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第一节 政府采购合同协议书</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_Toc14860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E554B4C">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_Toc9549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第二节 政府采购合同通用条款</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_Toc9549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54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B95F87E">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_Toc32481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第三节 政府采购合同专用条款</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_Toc32481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0C07CA3">
      <w:pPr>
        <w:pStyle w:val="29"/>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_Toc8717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32"/>
        </w:rPr>
        <w:t>第七章 投标文件的组成</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_Toc8717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62</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08F03B9">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_Toc25344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44"/>
        </w:rPr>
        <w:t>第一部分 资格证明文件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_Toc25344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63</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7D173BE9">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_Toc12854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一、开标一览表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_Toc12854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FA7E432">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_Toc6678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二、法定代表人（单位负责人）身份证明</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_Toc6678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2B640E9">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_Toc32478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三、授权委托书</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_Toc32478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7BE38F1">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_Toc25723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四、投标人提供的资格证明文件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_Toc25723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387BC60">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_Toc31793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附件4-1 法人或者其他组织的营业执照等主体资格证明文件，自然人的身份证明</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_Toc31793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8A22D62">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_Toc3609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附件4-2 投标人资格声明(格式)</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_Toc3609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69</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FDA65C8">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_Toc30006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宋体" w:cs="Times New Roman"/>
          <w:b w:val="0"/>
          <w:bCs/>
          <w:color w:val="auto"/>
        </w:rPr>
        <w:t>湖南省政府采购供应商资格承诺函</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_Toc30006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6C9C75B">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_Toc12690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附件4-3 符合特定资格条件证明材料复印件或者情况说明</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_Toc12690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72</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51FE044">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_Toc3798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附件4-4 联合体协议书（格式）</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_Toc3798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73</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638B78E">
      <w:pPr>
        <w:pStyle w:val="33"/>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_Toc18869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44"/>
        </w:rPr>
        <w:t>第二部分 商务技术文件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_Toc18869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E02EA30">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_Toc17412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五、投标函</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_Toc17412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4A4D46B">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_Toc11138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六、分项报价</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_Toc11138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4FB2D7A">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_Toc11318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 xml:space="preserve">附件6-1 </w:t>
      </w:r>
      <w:r>
        <w:rPr>
          <w:rFonts w:hint="default" w:ascii="Times New Roman" w:hAnsi="Times New Roman" w:cs="Times New Roman"/>
          <w:b w:val="0"/>
          <w:bCs/>
          <w:color w:val="auto"/>
          <w:spacing w:val="-2"/>
          <w:kern w:val="0"/>
          <w:szCs w:val="21"/>
        </w:rPr>
        <w:t>分</w:t>
      </w:r>
      <w:r>
        <w:rPr>
          <w:rFonts w:hint="default" w:ascii="Times New Roman" w:hAnsi="Times New Roman" w:cs="Times New Roman"/>
          <w:b w:val="0"/>
          <w:bCs/>
          <w:color w:val="auto"/>
          <w:kern w:val="0"/>
          <w:szCs w:val="21"/>
        </w:rPr>
        <w:t>项</w:t>
      </w:r>
      <w:r>
        <w:rPr>
          <w:rFonts w:hint="default" w:ascii="Times New Roman" w:hAnsi="Times New Roman" w:cs="Times New Roman"/>
          <w:b w:val="0"/>
          <w:bCs/>
          <w:color w:val="auto"/>
          <w:spacing w:val="-2"/>
          <w:kern w:val="0"/>
          <w:szCs w:val="21"/>
        </w:rPr>
        <w:t>报</w:t>
      </w:r>
      <w:r>
        <w:rPr>
          <w:rFonts w:hint="default" w:ascii="Times New Roman" w:hAnsi="Times New Roman" w:cs="Times New Roman"/>
          <w:b w:val="0"/>
          <w:bCs/>
          <w:color w:val="auto"/>
          <w:kern w:val="0"/>
          <w:szCs w:val="21"/>
        </w:rPr>
        <w:t>价说明</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_Toc11318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78368CA">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_Toc5442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 xml:space="preserve">附件6-2 </w:t>
      </w:r>
      <w:r>
        <w:rPr>
          <w:rFonts w:hint="default" w:ascii="Times New Roman" w:hAnsi="Times New Roman" w:cs="Times New Roman"/>
          <w:b w:val="0"/>
          <w:bCs/>
          <w:color w:val="auto"/>
          <w:spacing w:val="-2"/>
          <w:kern w:val="0"/>
          <w:position w:val="-3"/>
          <w:szCs w:val="21"/>
        </w:rPr>
        <w:t>分</w:t>
      </w:r>
      <w:r>
        <w:rPr>
          <w:rFonts w:hint="default" w:ascii="Times New Roman" w:hAnsi="Times New Roman" w:cs="Times New Roman"/>
          <w:b w:val="0"/>
          <w:bCs/>
          <w:color w:val="auto"/>
          <w:kern w:val="0"/>
          <w:position w:val="-3"/>
          <w:szCs w:val="21"/>
        </w:rPr>
        <w:t>项</w:t>
      </w:r>
      <w:r>
        <w:rPr>
          <w:rFonts w:hint="default" w:ascii="Times New Roman" w:hAnsi="Times New Roman" w:cs="Times New Roman"/>
          <w:b w:val="0"/>
          <w:bCs/>
          <w:color w:val="auto"/>
          <w:spacing w:val="-2"/>
          <w:kern w:val="0"/>
          <w:position w:val="-3"/>
          <w:szCs w:val="21"/>
        </w:rPr>
        <w:t>报</w:t>
      </w:r>
      <w:r>
        <w:rPr>
          <w:rFonts w:hint="default" w:ascii="Times New Roman" w:hAnsi="Times New Roman" w:cs="Times New Roman"/>
          <w:b w:val="0"/>
          <w:bCs/>
          <w:color w:val="auto"/>
          <w:kern w:val="0"/>
          <w:position w:val="-3"/>
          <w:szCs w:val="21"/>
        </w:rPr>
        <w:t>价明细表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_Toc5442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0A759ED">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_Toc9871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2"/>
          <w:kern w:val="0"/>
          <w:position w:val="-3"/>
        </w:rPr>
        <w:t>分</w:t>
      </w:r>
      <w:r>
        <w:rPr>
          <w:rFonts w:hint="default" w:ascii="Times New Roman" w:hAnsi="Times New Roman" w:cs="Times New Roman"/>
          <w:b w:val="0"/>
          <w:bCs/>
          <w:color w:val="auto"/>
          <w:kern w:val="0"/>
          <w:position w:val="-3"/>
        </w:rPr>
        <w:t>项</w:t>
      </w:r>
      <w:r>
        <w:rPr>
          <w:rFonts w:hint="default" w:ascii="Times New Roman" w:hAnsi="Times New Roman" w:cs="Times New Roman"/>
          <w:b w:val="0"/>
          <w:bCs/>
          <w:color w:val="auto"/>
          <w:spacing w:val="-2"/>
          <w:kern w:val="0"/>
          <w:position w:val="-3"/>
        </w:rPr>
        <w:t>报</w:t>
      </w:r>
      <w:r>
        <w:rPr>
          <w:rFonts w:hint="default" w:ascii="Times New Roman" w:hAnsi="Times New Roman" w:cs="Times New Roman"/>
          <w:b w:val="0"/>
          <w:bCs/>
          <w:color w:val="auto"/>
          <w:kern w:val="0"/>
          <w:position w:val="-3"/>
        </w:rPr>
        <w:t>价明细表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_Toc9871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2CC8FC51">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_Toc9099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七、采购需求响应</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_Toc9099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28729965">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_Toc5988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附件7-1 响应</w:t>
      </w:r>
      <w:r>
        <w:rPr>
          <w:rFonts w:hint="default" w:ascii="Times New Roman" w:hAnsi="Times New Roman" w:cs="Times New Roman"/>
          <w:b w:val="0"/>
          <w:bCs/>
          <w:color w:val="auto"/>
          <w:szCs w:val="21"/>
        </w:rPr>
        <w:t>-览表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_Toc5988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78</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423C469C">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_Toc17181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八、合同条款偏离表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_Toc17181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79</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22F58FF4">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_Toc4883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九、采购需求（技术、商务）偏离表</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_Toc4883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80</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09B237F">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_Toc12033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十</w:t>
      </w:r>
      <w:r>
        <w:rPr>
          <w:rFonts w:hint="default" w:ascii="Times New Roman" w:hAnsi="Times New Roman" w:eastAsia="黑体" w:cs="Times New Roman"/>
          <w:b w:val="0"/>
          <w:bCs/>
          <w:color w:val="auto"/>
          <w:szCs w:val="28"/>
        </w:rPr>
        <w:t>、享受政府采购政策优惠的证明资料</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_Toc12033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9193622">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_Toc26677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zCs w:val="21"/>
        </w:rPr>
        <w:t>附件10-1  中小企业声明函（工程、服务）</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_Toc26677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81</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872D4A8">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_Toc17493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 xml:space="preserve">附件10-2 </w:t>
      </w:r>
      <w:r>
        <w:rPr>
          <w:rFonts w:hint="default" w:ascii="Times New Roman" w:hAnsi="Times New Roman" w:cs="Times New Roman"/>
          <w:b w:val="0"/>
          <w:bCs/>
          <w:color w:val="auto"/>
          <w:spacing w:val="6"/>
          <w:szCs w:val="21"/>
        </w:rPr>
        <w:t>残疾人福利性单位声明函</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_Toc17493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83</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1698CD48">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_Toc19631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附件10-</w:t>
      </w:r>
      <w:r>
        <w:rPr>
          <w:rFonts w:hint="default" w:ascii="Times New Roman" w:hAnsi="Times New Roman" w:cs="Times New Roman"/>
          <w:b w:val="0"/>
          <w:bCs/>
          <w:color w:val="auto"/>
          <w:spacing w:val="6"/>
          <w:kern w:val="0"/>
          <w:szCs w:val="21"/>
          <w:lang w:val="en-US" w:eastAsia="zh-CN"/>
        </w:rPr>
        <w:t>3</w:t>
      </w:r>
      <w:r>
        <w:rPr>
          <w:rFonts w:hint="default" w:ascii="Times New Roman" w:hAnsi="Times New Roman" w:cs="Times New Roman"/>
          <w:b w:val="0"/>
          <w:bCs/>
          <w:color w:val="auto"/>
          <w:spacing w:val="6"/>
          <w:kern w:val="0"/>
          <w:szCs w:val="21"/>
        </w:rPr>
        <w:t xml:space="preserve"> </w:t>
      </w:r>
      <w:r>
        <w:rPr>
          <w:rFonts w:hint="default" w:ascii="Times New Roman" w:hAnsi="Times New Roman" w:cs="Times New Roman"/>
          <w:b w:val="0"/>
          <w:bCs/>
          <w:color w:val="auto"/>
          <w:szCs w:val="21"/>
        </w:rPr>
        <w:t>强制采购或者优先采购产品的证明材料</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_Toc19631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84</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5B0E7A06">
      <w:pPr>
        <w:pStyle w:val="30"/>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_Toc416 </w:instrText>
      </w:r>
      <w:r>
        <w:rPr>
          <w:rFonts w:hint="default" w:ascii="Times New Roman" w:hAnsi="Times New Roman" w:cs="Times New Roman" w:eastAsiaTheme="minorEastAsia"/>
          <w:b w:val="0"/>
          <w:bCs/>
          <w:color w:val="auto"/>
        </w:rPr>
        <w:fldChar w:fldCharType="separate"/>
      </w:r>
      <w:r>
        <w:rPr>
          <w:rFonts w:hint="default" w:ascii="Times New Roman" w:hAnsi="Times New Roman" w:cs="Times New Roman"/>
          <w:b w:val="0"/>
          <w:bCs/>
          <w:color w:val="auto"/>
          <w:spacing w:val="6"/>
          <w:kern w:val="0"/>
          <w:szCs w:val="21"/>
        </w:rPr>
        <w:t xml:space="preserve">附页 2 </w:t>
      </w:r>
      <w:r>
        <w:rPr>
          <w:rFonts w:hint="default" w:ascii="Times New Roman" w:hAnsi="Times New Roman" w:cs="Times New Roman"/>
          <w:b w:val="0"/>
          <w:bCs/>
          <w:color w:val="auto"/>
          <w:szCs w:val="21"/>
        </w:rPr>
        <w:t>优先采购产品清单</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_Toc416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85</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09C5168E">
      <w:pPr>
        <w:pStyle w:val="21"/>
        <w:tabs>
          <w:tab w:val="right" w:leader="dot" w:pos="8844"/>
        </w:tabs>
        <w:rPr>
          <w:rFonts w:hint="default" w:ascii="Times New Roman" w:hAnsi="Times New Roman" w:cs="Times New Roman"/>
          <w:b w:val="0"/>
          <w:bCs/>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_Toc19523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十一、投标服务符合招标文件规定的证明文件</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_Toc19523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86</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37D4F0EA">
      <w:pPr>
        <w:pStyle w:val="21"/>
        <w:tabs>
          <w:tab w:val="right" w:leader="dot" w:pos="8844"/>
        </w:tabs>
        <w:rPr>
          <w:rFonts w:hint="default" w:ascii="Times New Roman" w:hAnsi="Times New Roman" w:cs="Times New Roman"/>
          <w:color w:val="auto"/>
        </w:rPr>
      </w:pPr>
      <w:r>
        <w:rPr>
          <w:rFonts w:hint="default" w:ascii="Times New Roman" w:hAnsi="Times New Roman" w:cs="Times New Roman" w:eastAsiaTheme="minorEastAsia"/>
          <w:b w:val="0"/>
          <w:bCs/>
          <w:color w:val="auto"/>
        </w:rPr>
        <w:fldChar w:fldCharType="begin"/>
      </w:r>
      <w:r>
        <w:rPr>
          <w:rFonts w:hint="default" w:ascii="Times New Roman" w:hAnsi="Times New Roman" w:cs="Times New Roman" w:eastAsiaTheme="minorEastAsia"/>
          <w:b w:val="0"/>
          <w:bCs/>
          <w:color w:val="auto"/>
        </w:rPr>
        <w:instrText xml:space="preserve"> HYPERLINK \l _Toc30119 </w:instrText>
      </w:r>
      <w:r>
        <w:rPr>
          <w:rFonts w:hint="default" w:ascii="Times New Roman" w:hAnsi="Times New Roman" w:cs="Times New Roman" w:eastAsiaTheme="minorEastAsia"/>
          <w:b w:val="0"/>
          <w:bCs/>
          <w:color w:val="auto"/>
        </w:rPr>
        <w:fldChar w:fldCharType="separate"/>
      </w:r>
      <w:r>
        <w:rPr>
          <w:rFonts w:hint="default" w:ascii="Times New Roman" w:hAnsi="Times New Roman" w:eastAsia="黑体" w:cs="Times New Roman"/>
          <w:b w:val="0"/>
          <w:bCs/>
          <w:color w:val="auto"/>
          <w:szCs w:val="28"/>
        </w:rPr>
        <w:t>十二、投标人认为需提供的其他资料</w:t>
      </w:r>
      <w:r>
        <w:rPr>
          <w:rFonts w:hint="default" w:ascii="Times New Roman" w:hAnsi="Times New Roman" w:cs="Times New Roman"/>
          <w:b w:val="0"/>
          <w:bCs/>
          <w:color w:val="auto"/>
        </w:rPr>
        <w:tab/>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PAGEREF _Toc30119 \h </w:instrText>
      </w:r>
      <w:r>
        <w:rPr>
          <w:rFonts w:hint="default" w:ascii="Times New Roman" w:hAnsi="Times New Roman" w:cs="Times New Roman"/>
          <w:b w:val="0"/>
          <w:bCs/>
          <w:color w:val="auto"/>
        </w:rPr>
        <w:fldChar w:fldCharType="separate"/>
      </w:r>
      <w:r>
        <w:rPr>
          <w:rFonts w:hint="default" w:ascii="Times New Roman" w:hAnsi="Times New Roman" w:cs="Times New Roman"/>
          <w:b w:val="0"/>
          <w:bCs/>
          <w:color w:val="auto"/>
        </w:rPr>
        <w:t>87</w:t>
      </w:r>
      <w:r>
        <w:rPr>
          <w:rFonts w:hint="default" w:ascii="Times New Roman" w:hAnsi="Times New Roman" w:cs="Times New Roman"/>
          <w:b w:val="0"/>
          <w:bCs/>
          <w:color w:val="auto"/>
        </w:rPr>
        <w:fldChar w:fldCharType="end"/>
      </w:r>
      <w:r>
        <w:rPr>
          <w:rFonts w:hint="default" w:ascii="Times New Roman" w:hAnsi="Times New Roman" w:cs="Times New Roman" w:eastAsiaTheme="minorEastAsia"/>
          <w:b w:val="0"/>
          <w:bCs/>
          <w:color w:val="auto"/>
        </w:rPr>
        <w:fldChar w:fldCharType="end"/>
      </w:r>
    </w:p>
    <w:p w14:paraId="6165D739">
      <w:pPr>
        <w:rPr>
          <w:rFonts w:hint="default" w:ascii="Times New Roman" w:hAnsi="Times New Roman" w:cs="Times New Roman"/>
          <w:color w:val="auto"/>
        </w:rPr>
      </w:pPr>
      <w:r>
        <w:rPr>
          <w:rFonts w:hint="default" w:ascii="Times New Roman" w:hAnsi="Times New Roman" w:cs="Times New Roman" w:eastAsiaTheme="minorEastAsia"/>
          <w:color w:val="auto"/>
        </w:rPr>
        <w:fldChar w:fldCharType="end"/>
      </w:r>
    </w:p>
    <w:p w14:paraId="2324D79E">
      <w:pPr>
        <w:adjustRightInd w:val="0"/>
        <w:snapToGrid w:val="0"/>
        <w:spacing w:line="240" w:lineRule="atLeast"/>
        <w:ind w:firstLine="840" w:firstLineChars="400"/>
        <w:rPr>
          <w:rFonts w:hint="default" w:ascii="Times New Roman" w:hAnsi="Times New Roman" w:cs="Times New Roman"/>
          <w:color w:val="auto"/>
          <w:szCs w:val="21"/>
        </w:rPr>
      </w:pPr>
    </w:p>
    <w:p w14:paraId="1D4CADF8">
      <w:pPr>
        <w:pStyle w:val="2"/>
        <w:rPr>
          <w:rFonts w:hint="default" w:ascii="Times New Roman" w:hAnsi="Times New Roman" w:cs="Times New Roman"/>
          <w:color w:val="auto"/>
        </w:rPr>
        <w:sectPr>
          <w:headerReference r:id="rId6" w:type="first"/>
          <w:headerReference r:id="rId4" w:type="default"/>
          <w:footerReference r:id="rId7" w:type="default"/>
          <w:headerReference r:id="rId5" w:type="even"/>
          <w:pgSz w:w="11906" w:h="16838"/>
          <w:pgMar w:top="1474" w:right="1474" w:bottom="1474" w:left="1588" w:header="851" w:footer="992" w:gutter="0"/>
          <w:pgNumType w:fmt="decimal" w:start="1"/>
          <w:cols w:space="720" w:num="1"/>
          <w:docGrid w:type="lines" w:linePitch="312" w:charSpace="0"/>
        </w:sectPr>
      </w:pPr>
      <w:bookmarkStart w:id="230" w:name="_GoBack"/>
      <w:bookmarkEnd w:id="230"/>
    </w:p>
    <w:p w14:paraId="21F06037">
      <w:pPr>
        <w:keepNext w:val="0"/>
        <w:keepLines w:val="0"/>
        <w:pageBreakBefore w:val="0"/>
        <w:kinsoku/>
        <w:wordWrap/>
        <w:overflowPunct/>
        <w:topLinePunct w:val="0"/>
        <w:bidi w:val="0"/>
        <w:spacing w:line="440" w:lineRule="exact"/>
        <w:jc w:val="center"/>
        <w:textAlignment w:val="auto"/>
        <w:rPr>
          <w:rFonts w:hint="default" w:ascii="Times New Roman" w:hAnsi="Times New Roman" w:eastAsia="方正小标宋简体" w:cs="Times New Roman"/>
          <w:color w:val="auto"/>
          <w:sz w:val="32"/>
          <w:szCs w:val="32"/>
        </w:rPr>
      </w:pPr>
      <w:bookmarkStart w:id="0" w:name="_Toc29913893"/>
      <w:r>
        <w:rPr>
          <w:rFonts w:hint="default" w:ascii="Times New Roman" w:hAnsi="Times New Roman" w:eastAsia="方正小标宋简体" w:cs="Times New Roman"/>
          <w:color w:val="auto"/>
          <w:sz w:val="32"/>
          <w:szCs w:val="32"/>
        </w:rPr>
        <w:t>电子招投标相关规定</w:t>
      </w:r>
    </w:p>
    <w:p w14:paraId="098F6BB0">
      <w:pPr>
        <w:keepNext w:val="0"/>
        <w:keepLines w:val="0"/>
        <w:pageBreakBefore w:val="0"/>
        <w:kinsoku/>
        <w:wordWrap/>
        <w:overflowPunct/>
        <w:topLinePunct w:val="0"/>
        <w:bidi w:val="0"/>
        <w:spacing w:line="440" w:lineRule="exact"/>
        <w:ind w:firstLine="440" w:firstLineChars="200"/>
        <w:textAlignment w:val="auto"/>
        <w:rPr>
          <w:rFonts w:hint="default" w:ascii="Times New Roman" w:hAnsi="Times New Roman" w:eastAsia="仿宋_GB2312" w:cs="Times New Roman"/>
          <w:color w:val="auto"/>
          <w:sz w:val="22"/>
          <w:szCs w:val="22"/>
        </w:rPr>
      </w:pPr>
    </w:p>
    <w:p w14:paraId="3623E819">
      <w:pPr>
        <w:keepNext w:val="0"/>
        <w:keepLines w:val="0"/>
        <w:pageBreakBefore w:val="0"/>
        <w:numPr>
          <w:ilvl w:val="0"/>
          <w:numId w:val="1"/>
        </w:numPr>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本项目采用电子招投标方式，招标文件的下载、上传、解密，开评标均通过互联网操作，电子招标文件免费提供。</w:t>
      </w:r>
    </w:p>
    <w:p w14:paraId="1A848529">
      <w:pPr>
        <w:keepNext w:val="0"/>
        <w:keepLines w:val="0"/>
        <w:pageBreakBefore w:val="0"/>
        <w:kinsoku/>
        <w:wordWrap/>
        <w:overflowPunct/>
        <w:topLinePunct w:val="0"/>
        <w:bidi w:val="0"/>
        <w:adjustRightInd w:val="0"/>
        <w:snapToGrid w:val="0"/>
        <w:spacing w:line="440" w:lineRule="exact"/>
        <w:ind w:firstLine="440" w:firstLineChars="200"/>
        <w:jc w:val="left"/>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kern w:val="0"/>
          <w:sz w:val="22"/>
          <w:szCs w:val="22"/>
        </w:rPr>
        <w:t>招标文件在湖南省政府采购网</w:t>
      </w:r>
      <w:r>
        <w:rPr>
          <w:rFonts w:hint="eastAsia" w:ascii="Times New Roman" w:hAnsi="Times New Roman" w:eastAsia="仿宋_GB2312" w:cs="Times New Roman"/>
          <w:color w:val="auto"/>
          <w:kern w:val="0"/>
          <w:sz w:val="22"/>
          <w:szCs w:val="22"/>
          <w:lang w:eastAsia="zh-CN"/>
        </w:rPr>
        <w:t>（</w:t>
      </w:r>
      <w:r>
        <w:rPr>
          <w:rFonts w:hint="default" w:ascii="Times New Roman" w:hAnsi="Times New Roman" w:eastAsia="仿宋_GB2312" w:cs="Times New Roman"/>
          <w:color w:val="auto"/>
          <w:kern w:val="0"/>
          <w:sz w:val="22"/>
          <w:szCs w:val="22"/>
        </w:rPr>
        <w:t>www.ccgp-hunan.gov.cn</w:t>
      </w:r>
      <w:r>
        <w:rPr>
          <w:rFonts w:hint="eastAsia" w:ascii="Times New Roman" w:hAnsi="Times New Roman" w:eastAsia="仿宋_GB2312" w:cs="Times New Roman"/>
          <w:color w:val="auto"/>
          <w:kern w:val="0"/>
          <w:sz w:val="22"/>
          <w:szCs w:val="22"/>
          <w:lang w:eastAsia="zh-CN"/>
        </w:rPr>
        <w:t>）</w:t>
      </w:r>
      <w:r>
        <w:rPr>
          <w:rFonts w:hint="default" w:ascii="Times New Roman" w:hAnsi="Times New Roman" w:eastAsia="仿宋_GB2312" w:cs="Times New Roman"/>
          <w:color w:val="auto"/>
          <w:kern w:val="0"/>
          <w:sz w:val="22"/>
          <w:szCs w:val="22"/>
        </w:rPr>
        <w:t>和</w:t>
      </w:r>
      <w:r>
        <w:rPr>
          <w:rFonts w:hint="default" w:ascii="Times New Roman" w:hAnsi="Times New Roman" w:eastAsia="仿宋_GB2312" w:cs="Times New Roman"/>
          <w:color w:val="auto"/>
          <w:sz w:val="22"/>
          <w:szCs w:val="22"/>
        </w:rPr>
        <w:t>郴州市公共资源交易中心</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http：//czggzy.czs.gov.cn/</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上</w:t>
      </w:r>
      <w:r>
        <w:rPr>
          <w:rFonts w:hint="default" w:ascii="Times New Roman" w:hAnsi="Times New Roman" w:eastAsia="仿宋_GB2312" w:cs="Times New Roman"/>
          <w:color w:val="auto"/>
          <w:kern w:val="0"/>
          <w:sz w:val="22"/>
          <w:szCs w:val="22"/>
        </w:rPr>
        <w:t>发布。</w:t>
      </w:r>
      <w:r>
        <w:rPr>
          <w:rFonts w:hint="default" w:ascii="Times New Roman" w:hAnsi="Times New Roman" w:eastAsia="仿宋_GB2312" w:cs="Times New Roman"/>
          <w:color w:val="auto"/>
          <w:sz w:val="22"/>
          <w:szCs w:val="22"/>
        </w:rPr>
        <w:t>投标人应仔细阅读本招标文件第二章《投标须知》，并在“郴州市公共资源交易中心</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http：//czggzy.czs.gov.cn/</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办事指南 --招投标相关”）进行学习，操作手册下载地址：http</w:t>
      </w:r>
      <w:r>
        <w:rPr>
          <w:rFonts w:hint="eastAsia" w:ascii="Times New Roman" w:hAnsi="Times New Roman" w:eastAsia="仿宋_GB2312" w:cs="Times New Roman"/>
          <w:color w:val="auto"/>
          <w:sz w:val="22"/>
          <w:szCs w:val="22"/>
          <w:lang w:val="en-US" w:eastAsia="zh-CN"/>
        </w:rPr>
        <w:t>:</w:t>
      </w:r>
      <w:r>
        <w:rPr>
          <w:rFonts w:hint="default" w:ascii="Times New Roman" w:hAnsi="Times New Roman" w:eastAsia="仿宋_GB2312" w:cs="Times New Roman"/>
          <w:color w:val="auto"/>
          <w:sz w:val="22"/>
          <w:szCs w:val="22"/>
        </w:rPr>
        <w:t>//www.czggzy.net/TPBidder/pages/customframe4bid/DownLoad/郴州市公共资源交易中心交易系统操作手册.zip</w:t>
      </w:r>
    </w:p>
    <w:p w14:paraId="58E51E24">
      <w:pPr>
        <w:keepNext w:val="0"/>
        <w:keepLines w:val="0"/>
        <w:pageBreakBefore w:val="0"/>
        <w:widowControl/>
        <w:numPr>
          <w:ilvl w:val="0"/>
          <w:numId w:val="1"/>
        </w:numPr>
        <w:tabs>
          <w:tab w:val="left" w:pos="3500"/>
        </w:tabs>
        <w:kinsoku/>
        <w:wordWrap/>
        <w:overflowPunct/>
        <w:topLinePunct w:val="0"/>
        <w:autoSpaceDE w:val="0"/>
        <w:autoSpaceDN w:val="0"/>
        <w:bidi w:val="0"/>
        <w:adjustRightInd w:val="0"/>
        <w:snapToGrid w:val="0"/>
        <w:spacing w:line="440" w:lineRule="exact"/>
        <w:ind w:firstLine="440" w:firstLineChars="200"/>
        <w:jc w:val="left"/>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投标人使用电子投标遇到问题时，请及时向软件公司咨询，联系方式：客服电话4009980000。</w:t>
      </w:r>
    </w:p>
    <w:p w14:paraId="6E1334D6">
      <w:pPr>
        <w:keepNext w:val="0"/>
        <w:keepLines w:val="0"/>
        <w:pageBreakBefore w:val="0"/>
        <w:numPr>
          <w:ilvl w:val="0"/>
          <w:numId w:val="1"/>
        </w:numPr>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湖南省政府采购网和郴州市公共资源交易中心网上办事系统均需使用数字证书登陆进行操作。</w:t>
      </w:r>
    </w:p>
    <w:p w14:paraId="478CFD58">
      <w:pPr>
        <w:keepNext w:val="0"/>
        <w:keepLines w:val="0"/>
        <w:pageBreakBefore w:val="0"/>
        <w:numPr>
          <w:ilvl w:val="255"/>
          <w:numId w:val="0"/>
        </w:numPr>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四、本项目采用</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不见面开标</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模式，是指将传统的开标场所移到互联网，招标人在不见面开标大厅组织线上开标，投标人通过互联网远程参加开标，并共同完成交易文件解密、唱标、异议和答复、开标确认、交流互动等开标活动。</w:t>
      </w:r>
    </w:p>
    <w:p w14:paraId="3FD4E4FE">
      <w:pPr>
        <w:keepNext w:val="0"/>
        <w:keepLines w:val="0"/>
        <w:pageBreakBefore w:val="0"/>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五、网上开标系统登录地址为http</w:t>
      </w:r>
      <w:r>
        <w:rPr>
          <w:rFonts w:hint="eastAsia" w:ascii="Times New Roman" w:hAnsi="Times New Roman" w:eastAsia="仿宋_GB2312" w:cs="Times New Roman"/>
          <w:color w:val="auto"/>
          <w:sz w:val="22"/>
          <w:szCs w:val="22"/>
          <w:lang w:val="en-US" w:eastAsia="zh-CN"/>
        </w:rPr>
        <w:t>:</w:t>
      </w:r>
      <w:r>
        <w:rPr>
          <w:rFonts w:hint="default" w:ascii="Times New Roman" w:hAnsi="Times New Roman" w:eastAsia="仿宋_GB2312" w:cs="Times New Roman"/>
          <w:color w:val="auto"/>
          <w:sz w:val="22"/>
          <w:szCs w:val="22"/>
        </w:rPr>
        <w:t>//www.czggzyzx.cn/BidOpening，郴州市公共资源交易中心网上办事系统的</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开标签到解密</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模块</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http</w:t>
      </w:r>
      <w:r>
        <w:rPr>
          <w:rFonts w:hint="eastAsia" w:ascii="Times New Roman" w:hAnsi="Times New Roman" w:eastAsia="仿宋_GB2312" w:cs="Times New Roman"/>
          <w:color w:val="auto"/>
          <w:sz w:val="22"/>
          <w:szCs w:val="22"/>
          <w:lang w:val="en-US" w:eastAsia="zh-CN"/>
        </w:rPr>
        <w:t>:</w:t>
      </w:r>
      <w:r>
        <w:rPr>
          <w:rFonts w:hint="default" w:ascii="Times New Roman" w:hAnsi="Times New Roman" w:eastAsia="仿宋_GB2312" w:cs="Times New Roman"/>
          <w:color w:val="auto"/>
          <w:sz w:val="22"/>
          <w:szCs w:val="22"/>
        </w:rPr>
        <w:t>//www.czggzyzx.cn/BidOpening</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w:t>
      </w:r>
    </w:p>
    <w:p w14:paraId="10378C74">
      <w:pPr>
        <w:keepNext w:val="0"/>
        <w:keepLines w:val="0"/>
        <w:pageBreakBefore w:val="0"/>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六、投标人应在投标截止时间之前使用数字证书</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CA</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，自备具有上网卡和音视频功能的电脑自行登录网上不见面开标大厅（郴州市公共资源交易中心网上办事系统的“开标签到解密”模块</w:t>
      </w:r>
      <w:r>
        <w:rPr>
          <w:rFonts w:hint="eastAsia" w:ascii="Times New Roman" w:hAnsi="Times New Roman" w:eastAsia="仿宋_GB2312" w:cs="Times New Roman"/>
          <w:color w:val="auto"/>
          <w:sz w:val="22"/>
          <w:szCs w:val="22"/>
          <w:lang w:eastAsia="zh-CN"/>
        </w:rPr>
        <w:t>（</w:t>
      </w:r>
      <w:r>
        <w:rPr>
          <w:rFonts w:hint="default" w:ascii="Times New Roman" w:hAnsi="Times New Roman" w:eastAsia="仿宋_GB2312" w:cs="Times New Roman"/>
          <w:color w:val="auto"/>
          <w:sz w:val="22"/>
          <w:szCs w:val="22"/>
        </w:rPr>
        <w:t>http</w:t>
      </w:r>
      <w:r>
        <w:rPr>
          <w:rFonts w:hint="eastAsia" w:ascii="Times New Roman" w:hAnsi="Times New Roman" w:eastAsia="仿宋_GB2312" w:cs="Times New Roman"/>
          <w:color w:val="auto"/>
          <w:sz w:val="22"/>
          <w:szCs w:val="22"/>
          <w:lang w:val="en-US" w:eastAsia="zh-CN"/>
        </w:rPr>
        <w:t>:</w:t>
      </w:r>
      <w:r>
        <w:rPr>
          <w:rFonts w:hint="default" w:ascii="Times New Roman" w:hAnsi="Times New Roman" w:eastAsia="仿宋_GB2312" w:cs="Times New Roman"/>
          <w:color w:val="auto"/>
          <w:sz w:val="22"/>
          <w:szCs w:val="22"/>
        </w:rPr>
        <w:t>//www.czggzyzx.cn/BidOpening），在线等待开标，并在开标期间保持通讯畅通。开标期间，投标人在开标大厅与招标人进行相关操作、音视频及文字交互，各电脑终端上的所有操作、音视频及文字交互均被视为各交易主体的行为。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1EA4EE3C">
      <w:pPr>
        <w:keepNext w:val="0"/>
        <w:keepLines w:val="0"/>
        <w:pageBreakBefore w:val="0"/>
        <w:kinsoku/>
        <w:wordWrap/>
        <w:overflowPunct/>
        <w:topLinePunct w:val="0"/>
        <w:bidi w:val="0"/>
        <w:adjustRightInd w:val="0"/>
        <w:snapToGrid w:val="0"/>
        <w:spacing w:line="440" w:lineRule="exact"/>
        <w:ind w:firstLine="440" w:firstLineChars="200"/>
        <w:textAlignment w:val="auto"/>
        <w:rPr>
          <w:rFonts w:hint="default" w:ascii="Times New Roman" w:hAnsi="Times New Roman" w:eastAsia="仿宋_GB2312" w:cs="Times New Roman"/>
          <w:color w:val="auto"/>
          <w:sz w:val="22"/>
          <w:szCs w:val="22"/>
        </w:rPr>
      </w:pPr>
      <w:r>
        <w:rPr>
          <w:rFonts w:hint="default" w:ascii="Times New Roman" w:hAnsi="Times New Roman" w:eastAsia="仿宋_GB2312" w:cs="Times New Roman"/>
          <w:color w:val="auto"/>
          <w:sz w:val="22"/>
          <w:szCs w:val="22"/>
        </w:rPr>
        <w:t>七、开评标全过程中，投标人参与远程交互的授权委托人或法人代表应始终为同一个人，中途不得更换，在废标、澄清、提疑、传送文件等特殊情况下需要交互时，投标人一端参与交互的人员将均被视为是投标人的授权委托人或法人代表，投标人不得以不承认交互人员的资格或身份等为借口抵赖推脱，投标人自行承担随意更换人员所导致的一切后果。</w:t>
      </w:r>
    </w:p>
    <w:p w14:paraId="317DF923">
      <w:pPr>
        <w:adjustRightInd w:val="0"/>
        <w:snapToGrid w:val="0"/>
        <w:spacing w:line="360" w:lineRule="auto"/>
        <w:ind w:firstLine="560" w:firstLineChars="200"/>
        <w:rPr>
          <w:rFonts w:hint="default" w:ascii="Times New Roman" w:hAnsi="Times New Roman" w:eastAsia="仿宋" w:cs="Times New Roman"/>
          <w:color w:val="auto"/>
          <w:sz w:val="28"/>
          <w:szCs w:val="28"/>
        </w:rPr>
      </w:pPr>
    </w:p>
    <w:p w14:paraId="31545EC4">
      <w:pPr>
        <w:pStyle w:val="2"/>
        <w:pageBreakBefore w:val="0"/>
        <w:widowControl w:val="0"/>
        <w:kinsoku/>
        <w:wordWrap/>
        <w:overflowPunct/>
        <w:topLinePunct w:val="0"/>
        <w:autoSpaceDE/>
        <w:autoSpaceDN/>
        <w:bidi w:val="0"/>
        <w:spacing w:line="500" w:lineRule="exact"/>
        <w:ind w:left="0" w:leftChars="0" w:firstLine="0" w:firstLineChars="0"/>
        <w:jc w:val="center"/>
        <w:textAlignment w:val="auto"/>
        <w:rPr>
          <w:rFonts w:hint="default" w:ascii="Times New Roman" w:hAnsi="Times New Roman" w:cs="Times New Roman"/>
          <w:b w:val="0"/>
          <w:bCs w:val="0"/>
          <w:color w:val="auto"/>
        </w:rPr>
      </w:pPr>
      <w:bookmarkStart w:id="1" w:name="_Toc11922"/>
      <w:bookmarkStart w:id="2" w:name="_Toc21937"/>
      <w:r>
        <w:rPr>
          <w:rFonts w:hint="default" w:ascii="Times New Roman" w:hAnsi="Times New Roman" w:eastAsia="黑体" w:cs="Times New Roman"/>
          <w:b w:val="0"/>
          <w:bCs w:val="0"/>
          <w:color w:val="auto"/>
          <w:sz w:val="32"/>
          <w:szCs w:val="32"/>
        </w:rPr>
        <w:t>第一章 投标邀请</w:t>
      </w:r>
      <w:bookmarkEnd w:id="0"/>
      <w:bookmarkEnd w:id="1"/>
      <w:bookmarkEnd w:id="2"/>
    </w:p>
    <w:p w14:paraId="54A9E29A">
      <w:pPr>
        <w:pageBreakBefore w:val="0"/>
        <w:widowControl w:val="0"/>
        <w:kinsoku/>
        <w:wordWrap/>
        <w:overflowPunct/>
        <w:topLinePunct w:val="0"/>
        <w:autoSpaceDE/>
        <w:autoSpaceDN/>
        <w:bidi w:val="0"/>
        <w:spacing w:line="500" w:lineRule="exact"/>
        <w:jc w:val="center"/>
        <w:textAlignment w:val="auto"/>
        <w:rPr>
          <w:rFonts w:hint="default" w:ascii="Times New Roman" w:hAnsi="Times New Roman" w:cs="Times New Roman"/>
          <w:color w:val="auto"/>
          <w:sz w:val="24"/>
        </w:rPr>
      </w:pPr>
      <w:r>
        <w:rPr>
          <w:rFonts w:hint="default" w:ascii="Times New Roman" w:hAnsi="Times New Roman" w:cs="Times New Roman"/>
          <w:b/>
          <w:bCs/>
          <w:color w:val="auto"/>
          <w:sz w:val="24"/>
          <w:lang w:eastAsia="zh-CN"/>
        </w:rPr>
        <w:t>郴州市矿产资源总体规划（2026年-2030年）编制项目</w:t>
      </w:r>
      <w:r>
        <w:rPr>
          <w:rFonts w:hint="default" w:ascii="Times New Roman" w:hAnsi="Times New Roman" w:cs="Times New Roman"/>
          <w:b/>
          <w:bCs/>
          <w:color w:val="auto"/>
          <w:sz w:val="24"/>
        </w:rPr>
        <w:t>招标公告</w:t>
      </w:r>
    </w:p>
    <w:p w14:paraId="420DE99F">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u w:val="single"/>
        </w:rPr>
        <w:t>郴州市自然资源和规划局</w:t>
      </w:r>
      <w:r>
        <w:rPr>
          <w:rFonts w:hint="default" w:ascii="Times New Roman" w:hAnsi="Times New Roman" w:cs="Times New Roman" w:eastAsiaTheme="minorEastAsia"/>
          <w:color w:val="auto"/>
          <w:sz w:val="24"/>
        </w:rPr>
        <w:t>的</w:t>
      </w:r>
      <w:r>
        <w:rPr>
          <w:rFonts w:hint="default" w:ascii="Times New Roman" w:hAnsi="Times New Roman" w:cs="Times New Roman" w:eastAsiaTheme="minorEastAsia"/>
          <w:color w:val="auto"/>
          <w:sz w:val="24"/>
          <w:u w:val="single"/>
          <w:lang w:eastAsia="zh-CN"/>
        </w:rPr>
        <w:t>郴州市矿产资源总体规划（2026年-2030年）编制项目</w:t>
      </w:r>
      <w:r>
        <w:rPr>
          <w:rFonts w:hint="default" w:ascii="Times New Roman" w:hAnsi="Times New Roman" w:cs="Times New Roman" w:eastAsiaTheme="minorEastAsia"/>
          <w:color w:val="auto"/>
          <w:sz w:val="24"/>
        </w:rPr>
        <w:t>进行公开招标采购，现邀请合格投标人参加投标。</w:t>
      </w:r>
    </w:p>
    <w:p w14:paraId="68F5501F">
      <w:pPr>
        <w:pStyle w:val="4"/>
        <w:pageBreakBefore w:val="0"/>
        <w:widowControl w:val="0"/>
        <w:kinsoku/>
        <w:wordWrap/>
        <w:overflowPunct/>
        <w:topLinePunct w:val="0"/>
        <w:autoSpaceDE/>
        <w:autoSpaceDN/>
        <w:bidi w:val="0"/>
        <w:spacing w:line="500" w:lineRule="exact"/>
        <w:ind w:firstLine="480" w:firstLineChars="200"/>
        <w:textAlignment w:val="auto"/>
        <w:rPr>
          <w:rFonts w:hint="default" w:ascii="黑体" w:hAnsi="黑体" w:eastAsia="黑体" w:cs="黑体"/>
          <w:b w:val="0"/>
          <w:bCs w:val="0"/>
          <w:color w:val="auto"/>
        </w:rPr>
      </w:pPr>
      <w:bookmarkStart w:id="3" w:name="_Toc13238"/>
      <w:r>
        <w:rPr>
          <w:rFonts w:hint="default" w:ascii="黑体" w:hAnsi="黑体" w:eastAsia="黑体" w:cs="黑体"/>
          <w:b w:val="0"/>
          <w:bCs w:val="0"/>
          <w:color w:val="auto"/>
        </w:rPr>
        <w:t>一、采购项目基本信息</w:t>
      </w:r>
      <w:bookmarkEnd w:id="3"/>
    </w:p>
    <w:p w14:paraId="734F4822">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u w:val="single"/>
          <w:lang w:eastAsia="zh-CN"/>
        </w:rPr>
      </w:pPr>
      <w:r>
        <w:rPr>
          <w:rFonts w:hint="default" w:ascii="Times New Roman" w:hAnsi="Times New Roman" w:cs="Times New Roman" w:eastAsiaTheme="minorEastAsia"/>
          <w:color w:val="auto"/>
          <w:sz w:val="24"/>
        </w:rPr>
        <w:t>1、采购项目名称：</w:t>
      </w:r>
      <w:r>
        <w:rPr>
          <w:rFonts w:hint="default" w:ascii="Times New Roman" w:hAnsi="Times New Roman" w:cs="Times New Roman" w:eastAsiaTheme="minorEastAsia"/>
          <w:color w:val="auto"/>
          <w:sz w:val="24"/>
          <w:u w:val="single"/>
          <w:lang w:eastAsia="zh-CN"/>
        </w:rPr>
        <w:t>郴州市矿产资源总体规划（2026年-2030年）编制项目</w:t>
      </w:r>
    </w:p>
    <w:p w14:paraId="6F627D61">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2、采购计划编号：(2026)431000000101-1</w:t>
      </w:r>
    </w:p>
    <w:p w14:paraId="48F6AAE8">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eastAsia" w:cs="Times New Roman" w:eastAsiaTheme="minorEastAsia"/>
          <w:color w:val="auto"/>
          <w:sz w:val="24"/>
          <w:lang w:val="en-US" w:eastAsia="zh-CN"/>
        </w:rPr>
        <w:t>3、</w:t>
      </w:r>
      <w:r>
        <w:rPr>
          <w:rFonts w:hint="default" w:ascii="Times New Roman" w:hAnsi="Times New Roman" w:cs="Times New Roman" w:eastAsiaTheme="minorEastAsia"/>
          <w:color w:val="auto"/>
          <w:sz w:val="24"/>
        </w:rPr>
        <w:t>采购项目编号：CGXM2026431000000121</w:t>
      </w:r>
    </w:p>
    <w:p w14:paraId="058A3DED">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lang w:val="en-US" w:eastAsia="zh-CN"/>
        </w:rPr>
      </w:pPr>
      <w:r>
        <w:rPr>
          <w:rFonts w:hint="eastAsia" w:cs="Times New Roman" w:eastAsiaTheme="minorEastAsia"/>
          <w:color w:val="auto"/>
          <w:sz w:val="24"/>
          <w:lang w:val="en-US" w:eastAsia="zh-CN"/>
        </w:rPr>
        <w:t>4</w:t>
      </w:r>
      <w:r>
        <w:rPr>
          <w:rFonts w:hint="default" w:ascii="Times New Roman" w:hAnsi="Times New Roman" w:cs="Times New Roman" w:eastAsiaTheme="minorEastAsia"/>
          <w:color w:val="auto"/>
          <w:sz w:val="24"/>
        </w:rPr>
        <w:t>、委托代理编号：</w:t>
      </w:r>
      <w:r>
        <w:rPr>
          <w:rFonts w:hint="default" w:ascii="Times New Roman" w:hAnsi="Times New Roman" w:cs="Times New Roman" w:eastAsiaTheme="minorEastAsia"/>
          <w:color w:val="auto"/>
          <w:sz w:val="24"/>
          <w:u w:val="single"/>
          <w:lang w:eastAsia="zh-CN"/>
        </w:rPr>
        <w:t>HNJX2026-ZB-</w:t>
      </w:r>
      <w:r>
        <w:rPr>
          <w:rFonts w:hint="eastAsia" w:cs="Times New Roman" w:eastAsiaTheme="minorEastAsia"/>
          <w:color w:val="auto"/>
          <w:sz w:val="24"/>
          <w:u w:val="single"/>
          <w:lang w:val="en-US" w:eastAsia="zh-CN"/>
        </w:rPr>
        <w:t>132</w:t>
      </w:r>
    </w:p>
    <w:p w14:paraId="14E7E817">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u w:val="single"/>
        </w:rPr>
      </w:pPr>
      <w:r>
        <w:rPr>
          <w:rFonts w:hint="eastAsia" w:cs="Times New Roman" w:eastAsiaTheme="minorEastAsia"/>
          <w:color w:val="auto"/>
          <w:sz w:val="24"/>
          <w:lang w:val="en-US" w:eastAsia="zh-CN"/>
        </w:rPr>
        <w:t>5</w:t>
      </w:r>
      <w:r>
        <w:rPr>
          <w:rFonts w:hint="default" w:ascii="Times New Roman" w:hAnsi="Times New Roman" w:cs="Times New Roman" w:eastAsiaTheme="minorEastAsia"/>
          <w:color w:val="auto"/>
          <w:sz w:val="24"/>
        </w:rPr>
        <w:t>、采购项目预算：</w:t>
      </w:r>
      <w:r>
        <w:rPr>
          <w:rFonts w:hint="eastAsia" w:cs="Times New Roman" w:eastAsiaTheme="minorEastAsia"/>
          <w:color w:val="auto"/>
          <w:sz w:val="24"/>
          <w:u w:val="single"/>
          <w:lang w:eastAsia="zh-CN"/>
        </w:rPr>
        <w:t>3592200.00</w:t>
      </w:r>
      <w:r>
        <w:rPr>
          <w:rFonts w:hint="default" w:ascii="Times New Roman" w:hAnsi="Times New Roman" w:cs="Times New Roman" w:eastAsiaTheme="minorEastAsia"/>
          <w:color w:val="auto"/>
          <w:sz w:val="24"/>
          <w:u w:val="single"/>
        </w:rPr>
        <w:t>元</w:t>
      </w:r>
    </w:p>
    <w:p w14:paraId="23BE84B4">
      <w:pPr>
        <w:pageBreakBefore w:val="0"/>
        <w:widowControl w:val="0"/>
        <w:kinsoku/>
        <w:wordWrap/>
        <w:overflowPunct/>
        <w:topLinePunct w:val="0"/>
        <w:autoSpaceDE/>
        <w:autoSpaceDN/>
        <w:bidi w:val="0"/>
        <w:adjustRightInd w:val="0"/>
        <w:snapToGrid w:val="0"/>
        <w:spacing w:line="500" w:lineRule="exact"/>
        <w:ind w:firstLine="720" w:firstLineChars="3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支持预付款，预付比例：</w:t>
      </w:r>
      <w:r>
        <w:rPr>
          <w:rFonts w:hint="default" w:ascii="Times New Roman" w:hAnsi="Times New Roman" w:cs="Times New Roman" w:eastAsiaTheme="minorEastAsia"/>
          <w:color w:val="auto"/>
          <w:sz w:val="24"/>
          <w:u w:val="single"/>
        </w:rPr>
        <w:t>/</w:t>
      </w:r>
    </w:p>
    <w:p w14:paraId="6D52DE3E">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eastAsia" w:cs="Times New Roman" w:eastAsiaTheme="minorEastAsia"/>
          <w:color w:val="auto"/>
          <w:sz w:val="24"/>
          <w:lang w:val="en-US" w:eastAsia="zh-CN"/>
        </w:rPr>
        <w:t>6</w:t>
      </w:r>
      <w:r>
        <w:rPr>
          <w:rFonts w:hint="default" w:ascii="Times New Roman" w:hAnsi="Times New Roman" w:cs="Times New Roman" w:eastAsiaTheme="minorEastAsia"/>
          <w:color w:val="auto"/>
          <w:sz w:val="24"/>
        </w:rPr>
        <w:t>、本项目</w:t>
      </w:r>
      <w:bookmarkStart w:id="4" w:name="OLE_LINK1"/>
      <w:r>
        <w:rPr>
          <w:rFonts w:hint="default" w:ascii="Times New Roman" w:hAnsi="Times New Roman" w:cs="Times New Roman" w:eastAsiaTheme="minorEastAsia"/>
          <w:color w:val="auto"/>
          <w:sz w:val="24"/>
        </w:rPr>
        <w:t>对应的中小企业划分标准所属行业</w:t>
      </w:r>
      <w:bookmarkEnd w:id="4"/>
      <w:r>
        <w:rPr>
          <w:rFonts w:hint="default" w:ascii="Times New Roman" w:hAnsi="Times New Roman" w:cs="Times New Roman" w:eastAsiaTheme="minorEastAsia"/>
          <w:color w:val="auto"/>
          <w:sz w:val="24"/>
        </w:rPr>
        <w:t>：</w:t>
      </w:r>
      <w:r>
        <w:rPr>
          <w:rFonts w:hint="default" w:ascii="Times New Roman" w:hAnsi="Times New Roman" w:cs="Times New Roman" w:eastAsiaTheme="minorEastAsia"/>
          <w:color w:val="auto"/>
          <w:sz w:val="24"/>
          <w:u w:val="single"/>
        </w:rPr>
        <w:t xml:space="preserve">其他未列明行业 </w:t>
      </w:r>
    </w:p>
    <w:p w14:paraId="27AC1280">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eastAsia" w:cs="Times New Roman" w:eastAsiaTheme="minorEastAsia"/>
          <w:color w:val="auto"/>
          <w:sz w:val="24"/>
          <w:lang w:val="en-US" w:eastAsia="zh-CN"/>
        </w:rPr>
        <w:t>7</w:t>
      </w:r>
      <w:r>
        <w:rPr>
          <w:rFonts w:hint="default" w:ascii="Times New Roman" w:hAnsi="Times New Roman" w:cs="Times New Roman" w:eastAsiaTheme="minorEastAsia"/>
          <w:color w:val="auto"/>
          <w:sz w:val="24"/>
        </w:rPr>
        <w:t>、评标方法：</w:t>
      </w: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eastAsiaTheme="minorEastAsia"/>
          <w:color w:val="auto"/>
          <w:sz w:val="24"/>
        </w:rPr>
        <w:t xml:space="preserve">综合评分法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最低评标价法</w:t>
      </w:r>
    </w:p>
    <w:p w14:paraId="5674A233">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eastAsia" w:cs="Times New Roman" w:eastAsiaTheme="minorEastAsia"/>
          <w:color w:val="auto"/>
          <w:sz w:val="24"/>
          <w:lang w:val="en-US" w:eastAsia="zh-CN"/>
        </w:rPr>
        <w:t>8</w:t>
      </w:r>
      <w:r>
        <w:rPr>
          <w:rFonts w:hint="default" w:ascii="Times New Roman" w:hAnsi="Times New Roman" w:cs="Times New Roman" w:eastAsiaTheme="minorEastAsia"/>
          <w:color w:val="auto"/>
          <w:sz w:val="24"/>
        </w:rPr>
        <w:t>、合同定价方式：</w:t>
      </w: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eastAsiaTheme="minorEastAsia"/>
          <w:color w:val="auto"/>
          <w:sz w:val="24"/>
        </w:rPr>
        <w:t xml:space="preserve">固定总价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 xml:space="preserve">固定单价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 xml:space="preserve">成本补偿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绩效激励</w:t>
      </w:r>
    </w:p>
    <w:p w14:paraId="59EEC86A">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highlight w:val="none"/>
          <w:lang w:eastAsia="zh-CN"/>
        </w:rPr>
      </w:pPr>
      <w:r>
        <w:rPr>
          <w:rFonts w:hint="eastAsia"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、合同履行期限</w:t>
      </w:r>
      <w:r>
        <w:rPr>
          <w:rFonts w:hint="default" w:ascii="Times New Roman" w:hAnsi="Times New Roman" w:cs="Times New Roman" w:eastAsiaTheme="minorEastAsia"/>
          <w:color w:val="auto"/>
          <w:sz w:val="24"/>
          <w:highlight w:val="none"/>
          <w:lang w:eastAsia="zh-CN"/>
        </w:rPr>
        <w:t>：详见采购需求。</w:t>
      </w:r>
    </w:p>
    <w:p w14:paraId="0DF76F11">
      <w:pPr>
        <w:pageBreakBefore w:val="0"/>
        <w:widowControl w:val="0"/>
        <w:kinsoku/>
        <w:wordWrap/>
        <w:overflowPunct/>
        <w:topLinePunct w:val="0"/>
        <w:autoSpaceDE/>
        <w:autoSpaceDN/>
        <w:bidi w:val="0"/>
        <w:adjustRightInd w:val="0"/>
        <w:snapToGrid w:val="0"/>
        <w:spacing w:line="500" w:lineRule="exact"/>
        <w:ind w:firstLine="482" w:firstLineChars="200"/>
        <w:textAlignment w:val="auto"/>
        <w:rPr>
          <w:rFonts w:hint="default" w:ascii="Times New Roman" w:hAnsi="Times New Roman" w:cs="Times New Roman" w:eastAsiaTheme="minorEastAsia"/>
          <w:b/>
          <w:bCs/>
          <w:color w:val="auto"/>
          <w:sz w:val="24"/>
        </w:rPr>
      </w:pPr>
      <w:r>
        <w:rPr>
          <w:rFonts w:hint="eastAsia" w:cs="Times New Roman" w:eastAsiaTheme="minorEastAsia"/>
          <w:b/>
          <w:bCs/>
          <w:color w:val="auto"/>
          <w:sz w:val="24"/>
          <w:lang w:val="en-US" w:eastAsia="zh-CN"/>
        </w:rPr>
        <w:t>10</w:t>
      </w:r>
      <w:r>
        <w:rPr>
          <w:rFonts w:hint="default" w:ascii="Times New Roman" w:hAnsi="Times New Roman" w:cs="Times New Roman" w:eastAsiaTheme="minorEastAsia"/>
          <w:b/>
          <w:bCs/>
          <w:color w:val="auto"/>
          <w:sz w:val="24"/>
        </w:rPr>
        <w:t>、根据《关于进一步优化政府采购领域营商环境的通知》郴财采资〔2024〕6号文件精神，本项目取消投标保证金及履约保证金。</w:t>
      </w:r>
    </w:p>
    <w:p w14:paraId="2A69307A">
      <w:pPr>
        <w:pStyle w:val="4"/>
        <w:pageBreakBefore w:val="0"/>
        <w:widowControl w:val="0"/>
        <w:kinsoku/>
        <w:wordWrap/>
        <w:overflowPunct/>
        <w:topLinePunct w:val="0"/>
        <w:autoSpaceDE/>
        <w:autoSpaceDN/>
        <w:bidi w:val="0"/>
        <w:spacing w:line="500" w:lineRule="exact"/>
        <w:ind w:firstLine="480" w:firstLineChars="200"/>
        <w:textAlignment w:val="auto"/>
        <w:rPr>
          <w:rFonts w:hint="default" w:ascii="黑体" w:hAnsi="黑体" w:eastAsia="黑体" w:cs="黑体"/>
          <w:b w:val="0"/>
          <w:bCs w:val="0"/>
          <w:color w:val="auto"/>
        </w:rPr>
      </w:pPr>
      <w:bookmarkStart w:id="5" w:name="_Toc593"/>
      <w:r>
        <w:rPr>
          <w:rFonts w:hint="default" w:ascii="黑体" w:hAnsi="黑体" w:eastAsia="黑体" w:cs="黑体"/>
          <w:b w:val="0"/>
          <w:bCs w:val="0"/>
          <w:color w:val="auto"/>
        </w:rPr>
        <w:t>二、采购人的采购需求（按包）</w:t>
      </w:r>
      <w:bookmarkEnd w:id="5"/>
    </w:p>
    <w:tbl>
      <w:tblPr>
        <w:tblStyle w:val="43"/>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6"/>
        <w:gridCol w:w="2154"/>
        <w:gridCol w:w="1097"/>
        <w:gridCol w:w="800"/>
        <w:gridCol w:w="1517"/>
        <w:gridCol w:w="1516"/>
        <w:gridCol w:w="750"/>
        <w:gridCol w:w="757"/>
      </w:tblGrid>
      <w:tr w14:paraId="5F7BF0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686" w:type="dxa"/>
            <w:vAlign w:val="center"/>
          </w:tcPr>
          <w:p w14:paraId="62480521">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 xml:space="preserve">包号 </w:t>
            </w:r>
          </w:p>
        </w:tc>
        <w:tc>
          <w:tcPr>
            <w:tcW w:w="2154" w:type="dxa"/>
            <w:vAlign w:val="center"/>
          </w:tcPr>
          <w:p w14:paraId="095A6D0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标的名称</w:t>
            </w:r>
          </w:p>
        </w:tc>
        <w:tc>
          <w:tcPr>
            <w:tcW w:w="1097" w:type="dxa"/>
            <w:tcBorders>
              <w:left w:val="single" w:color="auto" w:sz="4" w:space="0"/>
            </w:tcBorders>
            <w:vAlign w:val="center"/>
          </w:tcPr>
          <w:p w14:paraId="29B6DF65">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简要技术要求</w:t>
            </w:r>
          </w:p>
        </w:tc>
        <w:tc>
          <w:tcPr>
            <w:tcW w:w="800" w:type="dxa"/>
            <w:tcBorders>
              <w:left w:val="single" w:color="auto" w:sz="4" w:space="0"/>
            </w:tcBorders>
            <w:vAlign w:val="center"/>
          </w:tcPr>
          <w:p w14:paraId="0AB1A206">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数量</w:t>
            </w:r>
          </w:p>
        </w:tc>
        <w:tc>
          <w:tcPr>
            <w:tcW w:w="1517" w:type="dxa"/>
            <w:vAlign w:val="center"/>
          </w:tcPr>
          <w:p w14:paraId="793FAB7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标的预算（元）</w:t>
            </w:r>
          </w:p>
        </w:tc>
        <w:tc>
          <w:tcPr>
            <w:tcW w:w="1516" w:type="dxa"/>
            <w:vAlign w:val="center"/>
          </w:tcPr>
          <w:p w14:paraId="3C328BAA">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最高限价（元）</w:t>
            </w:r>
          </w:p>
        </w:tc>
        <w:tc>
          <w:tcPr>
            <w:tcW w:w="750" w:type="dxa"/>
            <w:vAlign w:val="center"/>
          </w:tcPr>
          <w:p w14:paraId="117B10C2">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节能产品</w:t>
            </w:r>
          </w:p>
        </w:tc>
        <w:tc>
          <w:tcPr>
            <w:tcW w:w="757" w:type="dxa"/>
            <w:vAlign w:val="center"/>
          </w:tcPr>
          <w:p w14:paraId="5AAB30B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进口产品</w:t>
            </w:r>
          </w:p>
        </w:tc>
      </w:tr>
      <w:tr w14:paraId="557641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trPr>
        <w:tc>
          <w:tcPr>
            <w:tcW w:w="686" w:type="dxa"/>
            <w:tcBorders>
              <w:bottom w:val="single" w:color="auto" w:sz="4" w:space="0"/>
            </w:tcBorders>
            <w:vAlign w:val="center"/>
          </w:tcPr>
          <w:p w14:paraId="288C891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1包</w:t>
            </w:r>
          </w:p>
        </w:tc>
        <w:tc>
          <w:tcPr>
            <w:tcW w:w="2154" w:type="dxa"/>
            <w:tcBorders>
              <w:bottom w:val="single" w:color="auto" w:sz="4" w:space="0"/>
            </w:tcBorders>
            <w:vAlign w:val="center"/>
          </w:tcPr>
          <w:p w14:paraId="62D435A0">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lang w:eastAsia="zh-CN"/>
              </w:rPr>
            </w:pPr>
            <w:r>
              <w:rPr>
                <w:rFonts w:hint="default" w:ascii="Times New Roman" w:hAnsi="Times New Roman" w:cs="Times New Roman" w:eastAsiaTheme="minorEastAsia"/>
                <w:color w:val="auto"/>
                <w:kern w:val="0"/>
                <w:sz w:val="24"/>
                <w:lang w:eastAsia="zh-CN"/>
              </w:rPr>
              <w:t>郴州市矿产资源总体规划（2026年-2030年）编制项目</w:t>
            </w:r>
          </w:p>
        </w:tc>
        <w:tc>
          <w:tcPr>
            <w:tcW w:w="1097" w:type="dxa"/>
            <w:tcBorders>
              <w:left w:val="single" w:color="auto" w:sz="4" w:space="0"/>
            </w:tcBorders>
            <w:vAlign w:val="center"/>
          </w:tcPr>
          <w:p w14:paraId="64976E2C">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详见第五章</w:t>
            </w:r>
          </w:p>
        </w:tc>
        <w:tc>
          <w:tcPr>
            <w:tcW w:w="800" w:type="dxa"/>
            <w:tcBorders>
              <w:left w:val="single" w:color="auto" w:sz="4" w:space="0"/>
            </w:tcBorders>
            <w:vAlign w:val="center"/>
          </w:tcPr>
          <w:p w14:paraId="0DEADE29">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1项</w:t>
            </w:r>
          </w:p>
        </w:tc>
        <w:tc>
          <w:tcPr>
            <w:tcW w:w="1517" w:type="dxa"/>
            <w:vAlign w:val="center"/>
          </w:tcPr>
          <w:p w14:paraId="001EC908">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lang w:eastAsia="zh-CN"/>
              </w:rPr>
            </w:pPr>
            <w:r>
              <w:rPr>
                <w:rFonts w:hint="eastAsia" w:cs="Times New Roman" w:eastAsiaTheme="minorEastAsia"/>
                <w:color w:val="auto"/>
                <w:kern w:val="0"/>
                <w:sz w:val="24"/>
                <w:lang w:eastAsia="zh-CN"/>
              </w:rPr>
              <w:t>3592200.00</w:t>
            </w:r>
          </w:p>
        </w:tc>
        <w:tc>
          <w:tcPr>
            <w:tcW w:w="1516" w:type="dxa"/>
            <w:vAlign w:val="center"/>
          </w:tcPr>
          <w:p w14:paraId="3B025B0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lang w:val="en-US" w:eastAsia="zh-CN"/>
              </w:rPr>
            </w:pPr>
            <w:r>
              <w:rPr>
                <w:rFonts w:hint="eastAsia" w:cs="Times New Roman" w:eastAsiaTheme="minorEastAsia"/>
                <w:color w:val="auto"/>
                <w:kern w:val="0"/>
                <w:sz w:val="24"/>
                <w:lang w:val="en-US" w:eastAsia="zh-CN"/>
              </w:rPr>
              <w:t>3592200.00</w:t>
            </w:r>
          </w:p>
        </w:tc>
        <w:tc>
          <w:tcPr>
            <w:tcW w:w="750" w:type="dxa"/>
            <w:vAlign w:val="center"/>
          </w:tcPr>
          <w:p w14:paraId="2B3442EB">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sz w:val="24"/>
              </w:rPr>
              <w:sym w:font="Wingdings" w:char="00A8"/>
            </w:r>
          </w:p>
        </w:tc>
        <w:tc>
          <w:tcPr>
            <w:tcW w:w="757" w:type="dxa"/>
            <w:vAlign w:val="center"/>
          </w:tcPr>
          <w:p w14:paraId="7C0F7F0F">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sz w:val="24"/>
              </w:rPr>
              <w:sym w:font="Wingdings" w:char="00A8"/>
            </w:r>
          </w:p>
        </w:tc>
      </w:tr>
      <w:tr w14:paraId="29A2EF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7" w:hRule="atLeast"/>
        </w:trPr>
        <w:tc>
          <w:tcPr>
            <w:tcW w:w="9277" w:type="dxa"/>
            <w:gridSpan w:val="8"/>
          </w:tcPr>
          <w:p w14:paraId="039B46CE">
            <w:pPr>
              <w:keepNext w:val="0"/>
              <w:keepLines w:val="0"/>
              <w:pageBreakBefore w:val="0"/>
              <w:widowControl/>
              <w:kinsoku/>
              <w:wordWrap/>
              <w:overflowPunct/>
              <w:topLinePunct w:val="0"/>
              <w:autoSpaceDE/>
              <w:autoSpaceDN/>
              <w:bidi w:val="0"/>
              <w:adjustRightInd w:val="0"/>
              <w:snapToGrid w:val="0"/>
              <w:spacing w:line="400" w:lineRule="exact"/>
              <w:jc w:val="center"/>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highlight w:val="none"/>
                <w:lang w:val="en-US" w:eastAsia="zh-CN"/>
              </w:rPr>
              <w:t>招标</w:t>
            </w:r>
            <w:r>
              <w:rPr>
                <w:rFonts w:hint="default" w:ascii="Times New Roman" w:hAnsi="Times New Roman" w:cs="Times New Roman" w:eastAsiaTheme="minorEastAsia"/>
                <w:color w:val="auto"/>
                <w:kern w:val="0"/>
                <w:sz w:val="24"/>
                <w:highlight w:val="none"/>
              </w:rPr>
              <w:t>代理服务</w:t>
            </w:r>
            <w:r>
              <w:rPr>
                <w:rFonts w:hint="default" w:ascii="Times New Roman" w:hAnsi="Times New Roman" w:cs="Times New Roman" w:eastAsiaTheme="minorEastAsia"/>
                <w:color w:val="auto"/>
                <w:kern w:val="0"/>
                <w:sz w:val="24"/>
              </w:rPr>
              <w:t>收费最高限价（元人民币）：</w:t>
            </w:r>
            <w:r>
              <w:rPr>
                <w:rFonts w:hint="eastAsia" w:ascii="Times New Roman" w:hAnsi="Times New Roman" w:cs="Times New Roman" w:eastAsiaTheme="minorEastAsia"/>
                <w:color w:val="auto"/>
                <w:kern w:val="0"/>
                <w:sz w:val="24"/>
                <w:lang w:val="en-US" w:eastAsia="zh-CN"/>
              </w:rPr>
              <w:t>7800</w:t>
            </w:r>
            <w:r>
              <w:rPr>
                <w:rFonts w:hint="default" w:ascii="Times New Roman" w:hAnsi="Times New Roman" w:cs="Times New Roman" w:eastAsiaTheme="minorEastAsia"/>
                <w:color w:val="auto"/>
                <w:kern w:val="0"/>
                <w:sz w:val="24"/>
              </w:rPr>
              <w:t>元</w:t>
            </w:r>
          </w:p>
        </w:tc>
      </w:tr>
    </w:tbl>
    <w:p w14:paraId="612DE1DE">
      <w:pPr>
        <w:pStyle w:val="4"/>
        <w:pageBreakBefore w:val="0"/>
        <w:widowControl w:val="0"/>
        <w:kinsoku/>
        <w:wordWrap/>
        <w:overflowPunct/>
        <w:topLinePunct w:val="0"/>
        <w:autoSpaceDE/>
        <w:autoSpaceDN/>
        <w:bidi w:val="0"/>
        <w:spacing w:line="500" w:lineRule="exact"/>
        <w:ind w:firstLine="480" w:firstLineChars="200"/>
        <w:textAlignment w:val="auto"/>
        <w:rPr>
          <w:rFonts w:hint="default" w:ascii="黑体" w:hAnsi="黑体" w:eastAsia="黑体" w:cs="黑体"/>
          <w:b w:val="0"/>
          <w:bCs w:val="0"/>
          <w:color w:val="auto"/>
        </w:rPr>
      </w:pPr>
      <w:bookmarkStart w:id="6" w:name="_Toc13276"/>
      <w:r>
        <w:rPr>
          <w:rFonts w:hint="default" w:ascii="黑体" w:hAnsi="黑体" w:eastAsia="黑体" w:cs="黑体"/>
          <w:b w:val="0"/>
          <w:bCs w:val="0"/>
          <w:color w:val="auto"/>
        </w:rPr>
        <w:t>三、采购项目需落实的政府采购政策</w:t>
      </w:r>
      <w:bookmarkEnd w:id="6"/>
    </w:p>
    <w:p w14:paraId="0323B214">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1、优先采购：节能产品、环境标志产品享受加分或价格折扣。</w:t>
      </w:r>
    </w:p>
    <w:p w14:paraId="6E232EB1">
      <w:pPr>
        <w:pageBreakBefore w:val="0"/>
        <w:widowControl w:val="0"/>
        <w:kinsoku/>
        <w:wordWrap/>
        <w:overflowPunct/>
        <w:topLinePunct w:val="0"/>
        <w:autoSpaceDE/>
        <w:autoSpaceDN/>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2、支持中小企业：中小企业享受预留采购份额或价格折扣。</w:t>
      </w:r>
    </w:p>
    <w:p w14:paraId="6B043463">
      <w:pPr>
        <w:pStyle w:val="4"/>
        <w:pageBreakBefore w:val="0"/>
        <w:widowControl w:val="0"/>
        <w:kinsoku/>
        <w:overflowPunct/>
        <w:bidi w:val="0"/>
        <w:spacing w:line="500" w:lineRule="exact"/>
        <w:ind w:firstLine="480" w:firstLineChars="200"/>
        <w:textAlignment w:val="auto"/>
        <w:rPr>
          <w:rFonts w:hint="eastAsia" w:ascii="黑体" w:hAnsi="黑体" w:eastAsia="黑体" w:cs="黑体"/>
          <w:b w:val="0"/>
          <w:bCs w:val="0"/>
          <w:color w:val="auto"/>
        </w:rPr>
      </w:pPr>
      <w:bookmarkStart w:id="7" w:name="_Toc24793"/>
      <w:r>
        <w:rPr>
          <w:rFonts w:hint="eastAsia" w:ascii="黑体" w:hAnsi="黑体" w:eastAsia="黑体" w:cs="黑体"/>
          <w:b w:val="0"/>
          <w:bCs w:val="0"/>
          <w:color w:val="auto"/>
        </w:rPr>
        <w:t>四、投标人的资格要求</w:t>
      </w:r>
      <w:bookmarkEnd w:id="7"/>
    </w:p>
    <w:p w14:paraId="1E5B826F">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1、投标人的基本资格条件：投标人必须是在中华人民共和国境内注册登记的法人、其他组织或者自然人，且应当符合《政府采购法》第二十二条第一款的规定，即：</w:t>
      </w:r>
    </w:p>
    <w:p w14:paraId="4FD10ED6">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（1）具有独立承担民事责任的能力；</w:t>
      </w:r>
    </w:p>
    <w:p w14:paraId="3A9CC2B8">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（2）具有良好的商业信誉和健全的财务会计制度；</w:t>
      </w:r>
    </w:p>
    <w:p w14:paraId="6865C29F">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（3）具有履行合同所必需的设备和专业技术能力；</w:t>
      </w:r>
    </w:p>
    <w:p w14:paraId="3A9C40B8">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（4）有依法缴纳税收和社会保障资金的良好记录；</w:t>
      </w:r>
    </w:p>
    <w:p w14:paraId="4E4DB866">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（5）参加政府采购活动前三年内，在经营活动中没有重大违法记录；</w:t>
      </w:r>
    </w:p>
    <w:p w14:paraId="64AD3F78">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（6）法律、行政法规规定的其他条件。</w:t>
      </w:r>
    </w:p>
    <w:p w14:paraId="0981814F">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1627D0DD">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3、落实政府采购政策需满足的资格要求：</w:t>
      </w:r>
    </w:p>
    <w:p w14:paraId="03E7F6FE">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专门面向：</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 xml:space="preserve">中小企业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 xml:space="preserve">小微企业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 xml:space="preserve">监狱企业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福利性单位。</w:t>
      </w:r>
    </w:p>
    <w:p w14:paraId="22D43077">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强制分包：大型企业应将采购份额的%分包给中小企业。</w:t>
      </w:r>
    </w:p>
    <w:p w14:paraId="685A95D7">
      <w:pPr>
        <w:pageBreakBefore w:val="0"/>
        <w:widowControl w:val="0"/>
        <w:kinsoku/>
        <w:overflowPunct/>
        <w:bidi w:val="0"/>
        <w:adjustRightInd w:val="0"/>
        <w:snapToGrid w:val="0"/>
        <w:spacing w:line="500" w:lineRule="exact"/>
        <w:ind w:firstLine="480" w:firstLineChars="200"/>
        <w:textAlignment w:val="auto"/>
        <w:rPr>
          <w:rFonts w:hint="eastAsia" w:asciiTheme="minorEastAsia" w:hAnsiTheme="minorEastAsia" w:eastAsiaTheme="minorEastAsia"/>
          <w:color w:val="auto"/>
          <w:sz w:val="24"/>
          <w:lang w:eastAsia="zh-CN"/>
        </w:rPr>
      </w:pPr>
      <w:r>
        <w:rPr>
          <w:rFonts w:hint="default" w:ascii="Times New Roman" w:hAnsi="Times New Roman" w:cs="Times New Roman" w:eastAsiaTheme="minorEastAsia"/>
          <w:color w:val="auto"/>
          <w:sz w:val="24"/>
        </w:rPr>
        <w:t>4、特定资格条件</w:t>
      </w:r>
      <w:r>
        <w:rPr>
          <w:rFonts w:hint="default" w:ascii="Times New Roman" w:hAnsi="Times New Roman" w:cs="Times New Roman" w:eastAsiaTheme="minorEastAsia"/>
          <w:color w:val="auto"/>
          <w:sz w:val="24"/>
          <w:lang w:eastAsia="zh-CN"/>
        </w:rPr>
        <w:t>：</w:t>
      </w:r>
      <w:r>
        <w:rPr>
          <w:rFonts w:hint="eastAsia" w:asciiTheme="minorEastAsia" w:hAnsiTheme="minorEastAsia" w:eastAsiaTheme="minorEastAsia"/>
          <w:color w:val="auto"/>
          <w:sz w:val="24"/>
          <w:lang w:eastAsia="zh-CN"/>
        </w:rPr>
        <w:t>投标人须具备行政主管部门颁发的国土空间规划乙级及以上资质和测绘乙级及以上资质且处于有效期内。</w:t>
      </w:r>
    </w:p>
    <w:p w14:paraId="5177200A">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5、单位负责人为同一人或者存在直接控股、管理关系的不同投标人，不得参加同一合同项下的政府采购活动。</w:t>
      </w:r>
    </w:p>
    <w:p w14:paraId="6E303251">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6、为本采购项目提供整体设计、规范编制或者项目管理、监理、检测等服务的，不得再参加此项目的其他招标采购活动。</w:t>
      </w:r>
    </w:p>
    <w:p w14:paraId="46B73835">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7、联合体投标。本次招标</w:t>
      </w:r>
      <w:r>
        <w:rPr>
          <w:rFonts w:hint="eastAsia" w:cs="Times New Roman" w:eastAsiaTheme="minorEastAsia"/>
          <w:color w:val="auto"/>
          <w:sz w:val="24"/>
          <w:u w:val="single"/>
          <w:lang w:val="en-US" w:eastAsia="zh-CN"/>
        </w:rPr>
        <w:t xml:space="preserve"> </w:t>
      </w:r>
      <w:r>
        <w:rPr>
          <w:rFonts w:hint="default" w:ascii="Times New Roman" w:hAnsi="Times New Roman" w:cs="Times New Roman" w:eastAsiaTheme="minorEastAsia"/>
          <w:b/>
          <w:bCs/>
          <w:color w:val="auto"/>
          <w:sz w:val="24"/>
          <w:u w:val="single"/>
        </w:rPr>
        <w:t>接受</w:t>
      </w:r>
      <w:r>
        <w:rPr>
          <w:rFonts w:hint="eastAsia" w:cs="Times New Roman" w:eastAsiaTheme="minorEastAsia"/>
          <w:color w:val="auto"/>
          <w:sz w:val="24"/>
          <w:u w:val="single"/>
          <w:lang w:val="en-US" w:eastAsia="zh-CN"/>
        </w:rPr>
        <w:t xml:space="preserve"> </w:t>
      </w:r>
      <w:r>
        <w:rPr>
          <w:rFonts w:hint="default" w:ascii="Times New Roman" w:hAnsi="Times New Roman" w:cs="Times New Roman" w:eastAsiaTheme="minorEastAsia"/>
          <w:color w:val="auto"/>
          <w:sz w:val="24"/>
        </w:rPr>
        <w:t>联合体投标。 接受联合体投标的，联合体应当具备下列条件：详见采购文件。</w:t>
      </w:r>
    </w:p>
    <w:p w14:paraId="2E038D9C">
      <w:pPr>
        <w:pStyle w:val="4"/>
        <w:pageBreakBefore w:val="0"/>
        <w:widowControl w:val="0"/>
        <w:kinsoku/>
        <w:overflowPunct/>
        <w:bidi w:val="0"/>
        <w:spacing w:line="500" w:lineRule="exact"/>
        <w:ind w:firstLine="480" w:firstLineChars="200"/>
        <w:textAlignment w:val="auto"/>
        <w:rPr>
          <w:rFonts w:hint="eastAsia" w:ascii="黑体" w:hAnsi="黑体" w:eastAsia="黑体" w:cs="黑体"/>
          <w:b w:val="0"/>
          <w:bCs w:val="0"/>
          <w:color w:val="auto"/>
        </w:rPr>
      </w:pPr>
      <w:bookmarkStart w:id="8" w:name="_Toc2034"/>
      <w:r>
        <w:rPr>
          <w:rFonts w:hint="eastAsia" w:ascii="黑体" w:hAnsi="黑体" w:eastAsia="黑体" w:cs="黑体"/>
          <w:b w:val="0"/>
          <w:bCs w:val="0"/>
          <w:color w:val="auto"/>
        </w:rPr>
        <w:t>五、获取电子招标文件的时间、期限、方式</w:t>
      </w:r>
      <w:bookmarkEnd w:id="8"/>
    </w:p>
    <w:p w14:paraId="5BD016F9">
      <w:pPr>
        <w:pageBreakBefore w:val="0"/>
        <w:widowControl w:val="0"/>
        <w:tabs>
          <w:tab w:val="left" w:pos="3500"/>
        </w:tabs>
        <w:kinsoku/>
        <w:overflowPunct/>
        <w:autoSpaceDE w:val="0"/>
        <w:autoSpaceDN w:val="0"/>
        <w:bidi w:val="0"/>
        <w:adjustRightInd w:val="0"/>
        <w:snapToGrid w:val="0"/>
        <w:spacing w:line="500" w:lineRule="exact"/>
        <w:ind w:firstLine="480" w:firstLineChars="200"/>
        <w:jc w:val="left"/>
        <w:textAlignment w:val="auto"/>
        <w:rPr>
          <w:rFonts w:hint="default" w:ascii="Times New Roman" w:hAnsi="Times New Roman" w:cs="Times New Roman" w:eastAsiaTheme="minorEastAsia"/>
          <w:color w:val="auto"/>
          <w:kern w:val="0"/>
          <w:sz w:val="24"/>
        </w:rPr>
      </w:pPr>
      <w:r>
        <w:rPr>
          <w:rFonts w:hint="default" w:ascii="Times New Roman" w:hAnsi="Times New Roman" w:cs="Times New Roman" w:eastAsiaTheme="minorEastAsia"/>
          <w:color w:val="auto"/>
          <w:kern w:val="0"/>
          <w:sz w:val="24"/>
        </w:rPr>
        <w:t>1. 凡符</w:t>
      </w:r>
      <w:r>
        <w:rPr>
          <w:rFonts w:hint="default" w:ascii="Times New Roman" w:hAnsi="Times New Roman" w:cs="Times New Roman" w:eastAsiaTheme="minorEastAsia"/>
          <w:color w:val="auto"/>
          <w:sz w:val="24"/>
        </w:rPr>
        <w:t>合投标资格要求并有意参加投标者，可在公告发布之日起至提交投标文件截止之日通过郴州</w:t>
      </w:r>
      <w:r>
        <w:rPr>
          <w:rFonts w:hint="default" w:ascii="Times New Roman" w:hAnsi="Times New Roman" w:cs="Times New Roman" w:eastAsiaTheme="minorEastAsia"/>
          <w:color w:val="auto"/>
          <w:kern w:val="0"/>
          <w:sz w:val="24"/>
        </w:rPr>
        <w:t>市公共资源交易中心</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http</w:t>
      </w:r>
      <w:r>
        <w:rPr>
          <w:rFonts w:hint="eastAsia" w:ascii="Times New Roman" w:hAnsi="Times New Roman" w:cs="Times New Roman" w:eastAsiaTheme="minorEastAsia"/>
          <w:color w:val="auto"/>
          <w:kern w:val="0"/>
          <w:sz w:val="24"/>
          <w:lang w:val="en-US" w:eastAsia="zh-CN"/>
        </w:rPr>
        <w:t>:</w:t>
      </w:r>
      <w:r>
        <w:rPr>
          <w:rFonts w:hint="default" w:ascii="Times New Roman" w:hAnsi="Times New Roman" w:cs="Times New Roman" w:eastAsiaTheme="minorEastAsia"/>
          <w:color w:val="auto"/>
          <w:kern w:val="0"/>
          <w:sz w:val="24"/>
        </w:rPr>
        <w:t>//czggzy.czs.gov.cn/</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免费获取电子招标文件。</w:t>
      </w:r>
    </w:p>
    <w:p w14:paraId="68722946">
      <w:pPr>
        <w:pageBreakBefore w:val="0"/>
        <w:widowControl w:val="0"/>
        <w:tabs>
          <w:tab w:val="left" w:pos="3500"/>
        </w:tabs>
        <w:kinsoku/>
        <w:overflowPunct/>
        <w:autoSpaceDE w:val="0"/>
        <w:autoSpaceDN w:val="0"/>
        <w:bidi w:val="0"/>
        <w:adjustRightInd w:val="0"/>
        <w:snapToGrid w:val="0"/>
        <w:spacing w:line="500" w:lineRule="exact"/>
        <w:ind w:firstLine="480" w:firstLineChars="200"/>
        <w:jc w:val="left"/>
        <w:textAlignment w:val="auto"/>
        <w:rPr>
          <w:rFonts w:hint="default" w:ascii="Times New Roman" w:hAnsi="Times New Roman" w:cs="Times New Roman"/>
          <w:color w:val="auto"/>
          <w:sz w:val="24"/>
        </w:rPr>
      </w:pPr>
      <w:r>
        <w:rPr>
          <w:rFonts w:hint="default" w:ascii="Times New Roman" w:hAnsi="Times New Roman" w:cs="Times New Roman" w:eastAsiaTheme="minorEastAsia"/>
          <w:color w:val="auto"/>
          <w:kern w:val="0"/>
          <w:sz w:val="24"/>
        </w:rPr>
        <w:t>2、公开招标文件及修改、澄清文件获取方式：投标人应在本项目获取招标文件截止时间前登录郴州市公共资源交易中心</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http：//czggzy.czs.gov.cn/</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中进入</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政府采购交易系统</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进行</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用户登录</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我要投标</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下载文件</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kern w:val="0"/>
          <w:sz w:val="24"/>
        </w:rPr>
        <w:t>操作，逾期将不能获取文件。修改、澄清后的招标文件请投标人</w:t>
      </w:r>
      <w:r>
        <w:rPr>
          <w:rFonts w:hint="default" w:ascii="Times New Roman" w:hAnsi="Times New Roman" w:cs="Times New Roman"/>
          <w:color w:val="auto"/>
          <w:kern w:val="0"/>
          <w:sz w:val="24"/>
        </w:rPr>
        <w:t>自行在以上网站下载或查阅</w:t>
      </w:r>
      <w:r>
        <w:rPr>
          <w:rFonts w:hint="default" w:ascii="Times New Roman" w:hAnsi="Times New Roman" w:cs="Times New Roman" w:eastAsiaTheme="minorEastAsia"/>
          <w:color w:val="auto"/>
          <w:kern w:val="0"/>
          <w:sz w:val="24"/>
        </w:rPr>
        <w:t>，恕不另行通知，如有遗漏投标人自行承担全部责任。</w:t>
      </w:r>
    </w:p>
    <w:p w14:paraId="5101555D">
      <w:pPr>
        <w:pageBreakBefore w:val="0"/>
        <w:widowControl w:val="0"/>
        <w:tabs>
          <w:tab w:val="left" w:pos="3500"/>
        </w:tabs>
        <w:kinsoku/>
        <w:overflowPunct/>
        <w:autoSpaceDE w:val="0"/>
        <w:autoSpaceDN w:val="0"/>
        <w:bidi w:val="0"/>
        <w:adjustRightInd w:val="0"/>
        <w:snapToGrid w:val="0"/>
        <w:spacing w:line="500" w:lineRule="exact"/>
        <w:ind w:firstLine="480" w:firstLineChars="200"/>
        <w:jc w:val="left"/>
        <w:textAlignment w:val="auto"/>
        <w:rPr>
          <w:rFonts w:hint="default" w:ascii="Times New Roman" w:hAnsi="Times New Roman" w:cs="Times New Roman"/>
          <w:color w:val="auto"/>
          <w:sz w:val="24"/>
        </w:rPr>
      </w:pPr>
      <w:r>
        <w:rPr>
          <w:rFonts w:hint="default" w:ascii="Times New Roman" w:hAnsi="Times New Roman" w:cs="Times New Roman" w:eastAsiaTheme="minorEastAsia"/>
          <w:color w:val="auto"/>
          <w:kern w:val="0"/>
          <w:sz w:val="24"/>
        </w:rPr>
        <w:t>3、</w:t>
      </w:r>
      <w:r>
        <w:rPr>
          <w:rFonts w:hint="default" w:ascii="Times New Roman" w:hAnsi="Times New Roman" w:cs="Times New Roman"/>
          <w:color w:val="auto"/>
          <w:sz w:val="24"/>
        </w:rPr>
        <w:t>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4526D280">
      <w:pPr>
        <w:pStyle w:val="4"/>
        <w:pageBreakBefore w:val="0"/>
        <w:widowControl w:val="0"/>
        <w:kinsoku/>
        <w:overflowPunct/>
        <w:bidi w:val="0"/>
        <w:spacing w:line="500" w:lineRule="exact"/>
        <w:ind w:firstLine="480" w:firstLineChars="200"/>
        <w:textAlignment w:val="auto"/>
        <w:rPr>
          <w:rFonts w:hint="eastAsia" w:ascii="黑体" w:hAnsi="黑体" w:eastAsia="黑体" w:cs="黑体"/>
          <w:b w:val="0"/>
          <w:bCs w:val="0"/>
          <w:color w:val="auto"/>
        </w:rPr>
      </w:pPr>
      <w:bookmarkStart w:id="9" w:name="_Toc28585"/>
      <w:r>
        <w:rPr>
          <w:rFonts w:hint="eastAsia" w:ascii="黑体" w:hAnsi="黑体" w:eastAsia="黑体" w:cs="黑体"/>
          <w:b w:val="0"/>
          <w:bCs w:val="0"/>
          <w:color w:val="auto"/>
        </w:rPr>
        <w:t>六、投标截止时间、开标时间、开标地点</w:t>
      </w:r>
      <w:bookmarkEnd w:id="9"/>
    </w:p>
    <w:p w14:paraId="40BFFD10">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1、提交投标文件的截止时间：2026年</w:t>
      </w:r>
      <w:r>
        <w:rPr>
          <w:rFonts w:hint="eastAsia" w:cs="Times New Roman" w:eastAsiaTheme="minorEastAsia"/>
          <w:color w:val="auto"/>
          <w:sz w:val="24"/>
          <w:lang w:val="en-US" w:eastAsia="zh-CN"/>
        </w:rPr>
        <w:t>09</w:t>
      </w:r>
      <w:r>
        <w:rPr>
          <w:rFonts w:hint="default" w:ascii="Times New Roman" w:hAnsi="Times New Roman" w:cs="Times New Roman" w:eastAsiaTheme="minorEastAsia"/>
          <w:color w:val="auto"/>
          <w:sz w:val="24"/>
        </w:rPr>
        <w:t>月</w:t>
      </w:r>
      <w:r>
        <w:rPr>
          <w:rFonts w:hint="eastAsia" w:cs="Times New Roman" w:eastAsiaTheme="minorEastAsia"/>
          <w:color w:val="auto"/>
          <w:sz w:val="24"/>
          <w:lang w:val="en-US" w:eastAsia="zh-CN"/>
        </w:rPr>
        <w:t>01</w:t>
      </w:r>
      <w:r>
        <w:rPr>
          <w:rFonts w:hint="default" w:ascii="Times New Roman" w:hAnsi="Times New Roman" w:cs="Times New Roman" w:eastAsiaTheme="minorEastAsia"/>
          <w:color w:val="auto"/>
          <w:sz w:val="24"/>
        </w:rPr>
        <w:t>日9时30分（北京时间），</w:t>
      </w:r>
      <w:r>
        <w:rPr>
          <w:rFonts w:hint="default" w:ascii="Times New Roman" w:hAnsi="Times New Roman" w:cs="Times New Roman"/>
          <w:color w:val="auto"/>
          <w:sz w:val="24"/>
        </w:rPr>
        <w:t>超过截止时间的投标将被拒绝。</w:t>
      </w:r>
    </w:p>
    <w:p w14:paraId="170C2524">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2、开标时间：2026年</w:t>
      </w:r>
      <w:r>
        <w:rPr>
          <w:rFonts w:hint="eastAsia" w:cs="Times New Roman" w:eastAsiaTheme="minorEastAsia"/>
          <w:color w:val="auto"/>
          <w:sz w:val="24"/>
          <w:lang w:val="en-US" w:eastAsia="zh-CN"/>
        </w:rPr>
        <w:t>09</w:t>
      </w:r>
      <w:r>
        <w:rPr>
          <w:rFonts w:hint="default" w:ascii="Times New Roman" w:hAnsi="Times New Roman" w:cs="Times New Roman" w:eastAsiaTheme="minorEastAsia"/>
          <w:color w:val="auto"/>
          <w:sz w:val="24"/>
        </w:rPr>
        <w:t>月</w:t>
      </w:r>
      <w:r>
        <w:rPr>
          <w:rFonts w:hint="eastAsia" w:cs="Times New Roman" w:eastAsiaTheme="minorEastAsia"/>
          <w:color w:val="auto"/>
          <w:sz w:val="24"/>
          <w:lang w:val="en-US" w:eastAsia="zh-CN"/>
        </w:rPr>
        <w:t>01</w:t>
      </w:r>
      <w:r>
        <w:rPr>
          <w:rFonts w:hint="default" w:ascii="Times New Roman" w:hAnsi="Times New Roman" w:cs="Times New Roman" w:eastAsiaTheme="minorEastAsia"/>
          <w:color w:val="auto"/>
          <w:sz w:val="24"/>
        </w:rPr>
        <w:t>日9时30分（北京时间）</w:t>
      </w:r>
    </w:p>
    <w:p w14:paraId="40046A66">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u w:val="single"/>
        </w:rPr>
      </w:pPr>
      <w:r>
        <w:rPr>
          <w:rFonts w:hint="default" w:ascii="Times New Roman" w:hAnsi="Times New Roman" w:cs="Times New Roman" w:eastAsiaTheme="minorEastAsia"/>
          <w:color w:val="auto"/>
          <w:sz w:val="24"/>
        </w:rPr>
        <w:t>3、开标地点：</w:t>
      </w:r>
      <w:r>
        <w:rPr>
          <w:rFonts w:hint="default" w:ascii="Times New Roman" w:hAnsi="Times New Roman" w:cs="Times New Roman"/>
          <w:color w:val="auto"/>
          <w:sz w:val="24"/>
          <w:u w:val="single"/>
        </w:rPr>
        <w:t>郴州市市民服务中心4楼市公共资源交易中心第</w:t>
      </w:r>
      <w:r>
        <w:rPr>
          <w:rFonts w:hint="eastAsia" w:cs="Times New Roman"/>
          <w:color w:val="auto"/>
          <w:sz w:val="24"/>
          <w:u w:val="single"/>
          <w:lang w:val="en-US" w:eastAsia="zh-CN"/>
        </w:rPr>
        <w:t>2</w:t>
      </w:r>
      <w:r>
        <w:rPr>
          <w:rFonts w:hint="default" w:ascii="Times New Roman" w:hAnsi="Times New Roman" w:cs="Times New Roman"/>
          <w:color w:val="auto"/>
          <w:sz w:val="24"/>
          <w:u w:val="single"/>
        </w:rPr>
        <w:t>开标室</w:t>
      </w:r>
      <w:r>
        <w:rPr>
          <w:rFonts w:hint="default" w:ascii="Times New Roman" w:hAnsi="Times New Roman" w:cs="Times New Roman" w:eastAsiaTheme="minorEastAsia"/>
          <w:color w:val="auto"/>
          <w:sz w:val="24"/>
          <w:u w:val="single"/>
        </w:rPr>
        <w:t>_</w:t>
      </w:r>
    </w:p>
    <w:p w14:paraId="4F644D11">
      <w:pPr>
        <w:pageBreakBefore w:val="0"/>
        <w:widowControl w:val="0"/>
        <w:kinsoku/>
        <w:wordWrap w:val="0"/>
        <w:overflowPunct/>
        <w:topLine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4、电子标项目实行网上投标及解密，具体操作为投标人在</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郴州市公共资源交易中心</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登录</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政府采购交易系统</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w:t>
      </w:r>
      <w:r>
        <w:rPr>
          <w:rFonts w:hint="default" w:ascii="Times New Roman" w:hAnsi="Times New Roman" w:cs="Times New Roman"/>
          <w:color w:val="auto"/>
          <w:sz w:val="24"/>
        </w:rPr>
        <w:t>http：//www.czggzyzx.cn/TPBidder</w:t>
      </w:r>
      <w:r>
        <w:rPr>
          <w:rFonts w:hint="default" w:ascii="Times New Roman" w:hAnsi="Times New Roman" w:cs="Times New Roman" w:eastAsiaTheme="minorEastAsia"/>
          <w:color w:val="auto"/>
          <w:sz w:val="24"/>
        </w:rPr>
        <w:t>），</w:t>
      </w:r>
      <w:r>
        <w:rPr>
          <w:rFonts w:hint="default" w:ascii="Times New Roman" w:hAnsi="Times New Roman" w:cs="Times New Roman"/>
          <w:color w:val="auto"/>
          <w:sz w:val="24"/>
        </w:rPr>
        <w:t>上传电子投标文件，登录</w:t>
      </w:r>
      <w:r>
        <w:rPr>
          <w:rFonts w:hint="eastAsia" w:ascii="Times New Roman" w:hAnsi="Times New Roman" w:cs="Times New Roman"/>
          <w:color w:val="auto"/>
          <w:sz w:val="24"/>
          <w:lang w:eastAsia="zh-CN"/>
        </w:rPr>
        <w:t>“</w:t>
      </w:r>
      <w:r>
        <w:rPr>
          <w:rFonts w:hint="default" w:ascii="Times New Roman" w:hAnsi="Times New Roman" w:cs="Times New Roman"/>
          <w:color w:val="auto"/>
          <w:sz w:val="24"/>
        </w:rPr>
        <w:t>不见面开标大厅</w:t>
      </w:r>
      <w:r>
        <w:rPr>
          <w:rFonts w:hint="eastAsia" w:ascii="Times New Roman" w:hAnsi="Times New Roman" w:cs="Times New Roman"/>
          <w:color w:val="auto"/>
          <w:sz w:val="24"/>
          <w:lang w:eastAsia="zh-CN"/>
        </w:rPr>
        <w:t>”</w:t>
      </w:r>
      <w:r>
        <w:rPr>
          <w:rFonts w:hint="default" w:ascii="Times New Roman" w:hAnsi="Times New Roman" w:cs="Times New Roman" w:eastAsiaTheme="minorEastAsia"/>
          <w:color w:val="auto"/>
          <w:sz w:val="24"/>
        </w:rPr>
        <w:t>（</w:t>
      </w:r>
      <w:r>
        <w:rPr>
          <w:rFonts w:hint="default" w:ascii="Times New Roman" w:hAnsi="Times New Roman" w:cs="Times New Roman"/>
          <w:color w:val="auto"/>
          <w:sz w:val="24"/>
        </w:rPr>
        <w:t>http：//www.czggzyzx.cn/BidOpening</w:t>
      </w:r>
      <w:r>
        <w:rPr>
          <w:rFonts w:hint="default" w:ascii="Times New Roman" w:hAnsi="Times New Roman" w:cs="Times New Roman" w:eastAsiaTheme="minorEastAsia"/>
          <w:color w:val="auto"/>
          <w:sz w:val="24"/>
        </w:rPr>
        <w:t>）在规定时间自行远程解密参加网上开标活动。建议投标人上传电子投标文件容量为200MB以内。</w:t>
      </w:r>
    </w:p>
    <w:p w14:paraId="481B7EB1">
      <w:pPr>
        <w:pageBreakBefore w:val="0"/>
        <w:widowControl w:val="0"/>
        <w:kinsoku/>
        <w:wordWrap w:val="0"/>
        <w:overflowPunct/>
        <w:topLine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5、电子投标文件解密时限：30分钟</w:t>
      </w:r>
    </w:p>
    <w:p w14:paraId="6FE5C063">
      <w:pPr>
        <w:pStyle w:val="4"/>
        <w:pageBreakBefore w:val="0"/>
        <w:widowControl w:val="0"/>
        <w:kinsoku/>
        <w:overflowPunct/>
        <w:bidi w:val="0"/>
        <w:spacing w:line="500" w:lineRule="exact"/>
        <w:ind w:firstLine="480" w:firstLineChars="200"/>
        <w:textAlignment w:val="auto"/>
        <w:rPr>
          <w:rFonts w:hint="default" w:ascii="黑体" w:hAnsi="黑体" w:eastAsia="黑体" w:cs="黑体"/>
          <w:b w:val="0"/>
          <w:bCs w:val="0"/>
          <w:color w:val="auto"/>
        </w:rPr>
      </w:pPr>
      <w:bookmarkStart w:id="10" w:name="_Toc11251"/>
      <w:r>
        <w:rPr>
          <w:rFonts w:hint="default" w:ascii="黑体" w:hAnsi="黑体" w:eastAsia="黑体" w:cs="黑体"/>
          <w:b w:val="0"/>
          <w:bCs w:val="0"/>
          <w:color w:val="auto"/>
        </w:rPr>
        <w:t>七、招标文件公告期限</w:t>
      </w:r>
      <w:bookmarkEnd w:id="10"/>
    </w:p>
    <w:p w14:paraId="607E0B4E">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1、招标文件公告期限：</w:t>
      </w:r>
      <w:r>
        <w:rPr>
          <w:rFonts w:hint="default" w:ascii="Times New Roman" w:hAnsi="Times New Roman" w:cs="Times New Roman" w:eastAsiaTheme="minorEastAsia"/>
          <w:color w:val="auto"/>
          <w:sz w:val="24"/>
          <w:u w:val="single"/>
        </w:rPr>
        <w:t>2026年0</w:t>
      </w:r>
      <w:r>
        <w:rPr>
          <w:rFonts w:hint="eastAsia" w:cs="Times New Roman" w:eastAsiaTheme="minorEastAsia"/>
          <w:color w:val="auto"/>
          <w:sz w:val="24"/>
          <w:u w:val="single"/>
          <w:lang w:val="en-US" w:eastAsia="zh-CN"/>
        </w:rPr>
        <w:t>8</w:t>
      </w:r>
      <w:r>
        <w:rPr>
          <w:rFonts w:hint="default" w:ascii="Times New Roman" w:hAnsi="Times New Roman" w:cs="Times New Roman" w:eastAsiaTheme="minorEastAsia"/>
          <w:color w:val="auto"/>
          <w:sz w:val="24"/>
          <w:u w:val="single"/>
        </w:rPr>
        <w:t>月</w:t>
      </w:r>
      <w:r>
        <w:rPr>
          <w:rFonts w:hint="eastAsia" w:cs="Times New Roman" w:eastAsiaTheme="minorEastAsia"/>
          <w:color w:val="auto"/>
          <w:sz w:val="24"/>
          <w:u w:val="single"/>
          <w:lang w:val="en-US" w:eastAsia="zh-CN"/>
        </w:rPr>
        <w:t>12</w:t>
      </w:r>
      <w:r>
        <w:rPr>
          <w:rFonts w:hint="default" w:ascii="Times New Roman" w:hAnsi="Times New Roman" w:cs="Times New Roman" w:eastAsiaTheme="minorEastAsia"/>
          <w:color w:val="auto"/>
          <w:sz w:val="24"/>
          <w:u w:val="single"/>
        </w:rPr>
        <w:t>日至2026年</w:t>
      </w:r>
      <w:r>
        <w:rPr>
          <w:rFonts w:hint="eastAsia" w:cs="Times New Roman" w:eastAsiaTheme="minorEastAsia"/>
          <w:color w:val="auto"/>
          <w:sz w:val="24"/>
          <w:u w:val="single"/>
          <w:lang w:val="en-US" w:eastAsia="zh-CN"/>
        </w:rPr>
        <w:t>08</w:t>
      </w:r>
      <w:r>
        <w:rPr>
          <w:rFonts w:hint="default" w:ascii="Times New Roman" w:hAnsi="Times New Roman" w:cs="Times New Roman" w:eastAsiaTheme="minorEastAsia"/>
          <w:color w:val="auto"/>
          <w:sz w:val="24"/>
          <w:u w:val="single"/>
        </w:rPr>
        <w:t>月</w:t>
      </w:r>
      <w:r>
        <w:rPr>
          <w:rFonts w:hint="eastAsia" w:cs="Times New Roman" w:eastAsiaTheme="minorEastAsia"/>
          <w:color w:val="auto"/>
          <w:sz w:val="24"/>
          <w:u w:val="single"/>
          <w:lang w:val="en-US" w:eastAsia="zh-CN"/>
        </w:rPr>
        <w:t>18</w:t>
      </w:r>
      <w:r>
        <w:rPr>
          <w:rFonts w:hint="default" w:ascii="Times New Roman" w:hAnsi="Times New Roman" w:cs="Times New Roman" w:eastAsiaTheme="minorEastAsia"/>
          <w:color w:val="auto"/>
          <w:sz w:val="24"/>
          <w:u w:val="single"/>
        </w:rPr>
        <w:t>日</w:t>
      </w:r>
      <w:r>
        <w:rPr>
          <w:rFonts w:hint="default" w:ascii="Times New Roman" w:hAnsi="Times New Roman" w:cs="Times New Roman" w:eastAsiaTheme="minorEastAsia"/>
          <w:color w:val="auto"/>
          <w:sz w:val="24"/>
        </w:rPr>
        <w:t>止（5个工作日）。</w:t>
      </w:r>
    </w:p>
    <w:p w14:paraId="501FD724">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2、本招标公告在中国湖南政府采购网（www.ccgp-hunan.gov.cn）、郴州市公共资源交易中心</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http</w:t>
      </w:r>
      <w:r>
        <w:rPr>
          <w:rFonts w:hint="eastAsia" w:ascii="Times New Roman" w:hAnsi="Times New Roman" w:cs="Times New Roman" w:eastAsiaTheme="minorEastAsia"/>
          <w:color w:val="auto"/>
          <w:sz w:val="24"/>
          <w:lang w:val="en-US" w:eastAsia="zh-CN"/>
        </w:rPr>
        <w:t>:</w:t>
      </w:r>
      <w:r>
        <w:rPr>
          <w:rFonts w:hint="default" w:ascii="Times New Roman" w:hAnsi="Times New Roman" w:cs="Times New Roman" w:eastAsiaTheme="minorEastAsia"/>
          <w:color w:val="auto"/>
          <w:sz w:val="24"/>
        </w:rPr>
        <w:t>//czggzy.c</w:t>
      </w:r>
      <w:r>
        <w:rPr>
          <w:rFonts w:hint="default" w:ascii="Times New Roman" w:hAnsi="Times New Roman" w:cs="Times New Roman" w:eastAsiaTheme="minorEastAsia"/>
          <w:color w:val="auto"/>
          <w:kern w:val="0"/>
          <w:sz w:val="24"/>
        </w:rPr>
        <w:t>zs.gov.cn/</w:t>
      </w:r>
      <w:r>
        <w:rPr>
          <w:rFonts w:hint="eastAsia" w:ascii="Times New Roman" w:hAnsi="Times New Roman" w:cs="Times New Roman" w:eastAsiaTheme="minorEastAsia"/>
          <w:color w:val="auto"/>
          <w:kern w:val="0"/>
          <w:sz w:val="24"/>
          <w:lang w:eastAsia="zh-CN"/>
        </w:rPr>
        <w:t>）</w:t>
      </w:r>
      <w:r>
        <w:rPr>
          <w:rFonts w:hint="default" w:ascii="Times New Roman" w:hAnsi="Times New Roman" w:cs="Times New Roman" w:eastAsiaTheme="minorEastAsia"/>
          <w:color w:val="auto"/>
          <w:sz w:val="24"/>
        </w:rPr>
        <w:t>发布。在其他媒体发布的招标公告，公告内容以本招标公告指定媒体发布的公告为准；公告期限自本招标公告指定媒体最先发布公告之日起算。</w:t>
      </w:r>
    </w:p>
    <w:p w14:paraId="79E9BCA6">
      <w:pPr>
        <w:pStyle w:val="4"/>
        <w:pageBreakBefore w:val="0"/>
        <w:widowControl w:val="0"/>
        <w:kinsoku/>
        <w:overflowPunct/>
        <w:bidi w:val="0"/>
        <w:spacing w:line="500" w:lineRule="exact"/>
        <w:ind w:firstLine="480" w:firstLineChars="200"/>
        <w:textAlignment w:val="auto"/>
        <w:rPr>
          <w:rFonts w:hint="default" w:ascii="黑体" w:hAnsi="黑体" w:eastAsia="黑体" w:cs="黑体"/>
          <w:b w:val="0"/>
          <w:bCs w:val="0"/>
          <w:color w:val="auto"/>
        </w:rPr>
      </w:pPr>
      <w:bookmarkStart w:id="11" w:name="_Toc15731"/>
      <w:r>
        <w:rPr>
          <w:rFonts w:hint="default" w:ascii="黑体" w:hAnsi="黑体" w:eastAsia="黑体" w:cs="黑体"/>
          <w:b w:val="0"/>
          <w:bCs w:val="0"/>
          <w:color w:val="auto"/>
        </w:rPr>
        <w:t>八、疑问及质疑</w:t>
      </w:r>
      <w:bookmarkEnd w:id="11"/>
    </w:p>
    <w:p w14:paraId="3272176A">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1、投标人对政府采购活动事项如有疑问的，可以向采购人、采购代理机构提出询问。采购人、采购代理机构将在3个工作日内作出答复。</w:t>
      </w:r>
    </w:p>
    <w:p w14:paraId="58D70692">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2、潜在投标人认为招标文件或招标公告使自己的合法权益受到损害的，可以在获取招标文件之日或招标公告期限届满之日</w:t>
      </w:r>
      <w:r>
        <w:rPr>
          <w:rFonts w:hint="default" w:ascii="Times New Roman" w:hAnsi="Times New Roman" w:cs="Times New Roman" w:eastAsiaTheme="minorEastAsia"/>
          <w:b/>
          <w:color w:val="auto"/>
          <w:sz w:val="24"/>
        </w:rPr>
        <w:t>（公告期限届满后获取采购文件的，以公告期限届满之日为准）</w:t>
      </w:r>
      <w:r>
        <w:rPr>
          <w:rFonts w:hint="default" w:ascii="Times New Roman" w:hAnsi="Times New Roman" w:cs="Times New Roman" w:eastAsiaTheme="minorEastAsia"/>
          <w:color w:val="auto"/>
          <w:sz w:val="24"/>
        </w:rPr>
        <w:t>起7个工作日内，按《湖南省财政厅关于印发＜政府采购质疑答复和投诉处理操作规程＞的通知》</w:t>
      </w:r>
      <w:r>
        <w:rPr>
          <w:rFonts w:hint="eastAsia" w:cs="Times New Roman" w:eastAsiaTheme="minorEastAsia"/>
          <w:color w:val="auto"/>
          <w:sz w:val="24"/>
          <w:lang w:eastAsia="zh-CN"/>
        </w:rPr>
        <w:t>（</w:t>
      </w:r>
      <w:r>
        <w:rPr>
          <w:rFonts w:hint="default" w:ascii="Times New Roman" w:hAnsi="Times New Roman" w:cs="Times New Roman" w:eastAsiaTheme="minorEastAsia"/>
          <w:color w:val="auto"/>
          <w:sz w:val="24"/>
        </w:rPr>
        <w:t>湘财购〔2024〕67号</w:t>
      </w:r>
      <w:r>
        <w:rPr>
          <w:rFonts w:hint="eastAsia" w:cs="Times New Roman" w:eastAsiaTheme="minorEastAsia"/>
          <w:color w:val="auto"/>
          <w:sz w:val="24"/>
          <w:lang w:eastAsia="zh-CN"/>
        </w:rPr>
        <w:t>）</w:t>
      </w:r>
      <w:r>
        <w:rPr>
          <w:rFonts w:hint="default" w:ascii="Times New Roman" w:hAnsi="Times New Roman" w:cs="Times New Roman" w:eastAsiaTheme="minorEastAsia"/>
          <w:color w:val="auto"/>
          <w:sz w:val="24"/>
        </w:rPr>
        <w:t>规定，以书面形式向采购人、采购代理机构提出质疑。</w:t>
      </w:r>
    </w:p>
    <w:p w14:paraId="488E35F2">
      <w:pPr>
        <w:pStyle w:val="4"/>
        <w:pageBreakBefore w:val="0"/>
        <w:widowControl w:val="0"/>
        <w:kinsoku/>
        <w:overflowPunct/>
        <w:bidi w:val="0"/>
        <w:spacing w:line="500" w:lineRule="exact"/>
        <w:ind w:firstLine="480" w:firstLineChars="200"/>
        <w:textAlignment w:val="auto"/>
        <w:rPr>
          <w:rFonts w:hint="default" w:ascii="黑体" w:hAnsi="黑体" w:eastAsia="黑体" w:cs="黑体"/>
          <w:b w:val="0"/>
          <w:bCs w:val="0"/>
          <w:color w:val="auto"/>
        </w:rPr>
      </w:pPr>
      <w:bookmarkStart w:id="12" w:name="_Toc5063"/>
      <w:r>
        <w:rPr>
          <w:rFonts w:hint="default" w:ascii="黑体" w:hAnsi="黑体" w:eastAsia="黑体" w:cs="黑体"/>
          <w:b w:val="0"/>
          <w:bCs w:val="0"/>
          <w:color w:val="auto"/>
        </w:rPr>
        <w:t>九、对本次招标提出询问，请按以下方式联系</w:t>
      </w:r>
      <w:bookmarkEnd w:id="12"/>
    </w:p>
    <w:p w14:paraId="5462393B">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rPr>
      </w:pPr>
      <w:r>
        <w:rPr>
          <w:rFonts w:hint="default" w:ascii="Times New Roman" w:hAnsi="Times New Roman" w:cs="Times New Roman" w:eastAsiaTheme="minorEastAsia"/>
          <w:bCs/>
          <w:color w:val="auto"/>
          <w:sz w:val="24"/>
        </w:rPr>
        <w:t>1</w:t>
      </w:r>
      <w:r>
        <w:rPr>
          <w:rFonts w:hint="default" w:ascii="Times New Roman" w:hAnsi="Times New Roman" w:cs="Times New Roman" w:eastAsiaTheme="minorEastAsia"/>
          <w:color w:val="auto"/>
          <w:sz w:val="24"/>
        </w:rPr>
        <w:t>、</w:t>
      </w:r>
      <w:r>
        <w:rPr>
          <w:rFonts w:hint="default" w:ascii="Times New Roman" w:hAnsi="Times New Roman" w:cs="Times New Roman" w:eastAsiaTheme="minorEastAsia"/>
          <w:bCs/>
          <w:color w:val="auto"/>
          <w:sz w:val="24"/>
        </w:rPr>
        <w:t>采购人信息</w:t>
      </w:r>
    </w:p>
    <w:p w14:paraId="079E3D51">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rPr>
      </w:pPr>
      <w:r>
        <w:rPr>
          <w:rFonts w:hint="default" w:ascii="Times New Roman" w:hAnsi="Times New Roman" w:cs="Times New Roman" w:eastAsiaTheme="minorEastAsia"/>
          <w:bCs/>
          <w:color w:val="auto"/>
          <w:sz w:val="24"/>
        </w:rPr>
        <w:t>（1）名  称：郴州市自然资源和规划局</w:t>
      </w:r>
    </w:p>
    <w:p w14:paraId="30BE3BF7">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rPr>
      </w:pPr>
      <w:r>
        <w:rPr>
          <w:rFonts w:hint="default" w:ascii="Times New Roman" w:hAnsi="Times New Roman" w:cs="Times New Roman" w:eastAsiaTheme="minorEastAsia"/>
          <w:bCs/>
          <w:color w:val="auto"/>
          <w:sz w:val="24"/>
        </w:rPr>
        <w:t>（2）地  址：郴州市北湖区青年大道6号</w:t>
      </w:r>
    </w:p>
    <w:p w14:paraId="41B7B203">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lang w:val="en-US" w:eastAsia="zh-CN"/>
        </w:rPr>
      </w:pPr>
      <w:r>
        <w:rPr>
          <w:rFonts w:hint="default" w:ascii="Times New Roman" w:hAnsi="Times New Roman" w:cs="Times New Roman" w:eastAsiaTheme="minorEastAsia"/>
          <w:bCs/>
          <w:color w:val="auto"/>
          <w:sz w:val="24"/>
        </w:rPr>
        <w:t>（3）联系人：</w:t>
      </w:r>
      <w:r>
        <w:rPr>
          <w:rFonts w:hint="default" w:ascii="Times New Roman" w:hAnsi="Times New Roman" w:cs="Times New Roman" w:eastAsiaTheme="minorEastAsia"/>
          <w:bCs/>
          <w:color w:val="auto"/>
          <w:sz w:val="24"/>
          <w:lang w:eastAsia="zh-CN"/>
        </w:rPr>
        <w:t>田</w:t>
      </w:r>
      <w:r>
        <w:rPr>
          <w:rFonts w:hint="eastAsia" w:ascii="Times New Roman" w:hAnsi="Times New Roman" w:cs="Times New Roman" w:eastAsiaTheme="minorEastAsia"/>
          <w:bCs/>
          <w:color w:val="auto"/>
          <w:sz w:val="24"/>
          <w:lang w:val="en-US" w:eastAsia="zh-CN"/>
        </w:rPr>
        <w:t>沛希</w:t>
      </w:r>
    </w:p>
    <w:p w14:paraId="4F730E40">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lang w:val="en-US" w:eastAsia="zh-CN"/>
        </w:rPr>
      </w:pPr>
      <w:r>
        <w:rPr>
          <w:rFonts w:hint="default" w:ascii="Times New Roman" w:hAnsi="Times New Roman" w:cs="Times New Roman" w:eastAsiaTheme="minorEastAsia"/>
          <w:bCs/>
          <w:color w:val="auto"/>
          <w:sz w:val="24"/>
        </w:rPr>
        <w:t>（4）电  话：</w:t>
      </w:r>
      <w:r>
        <w:rPr>
          <w:rFonts w:hint="eastAsia" w:cs="Times New Roman" w:eastAsiaTheme="minorEastAsia"/>
          <w:bCs/>
          <w:color w:val="auto"/>
          <w:sz w:val="24"/>
          <w:lang w:val="en-US" w:eastAsia="zh-CN"/>
        </w:rPr>
        <w:t>0735-2362806</w:t>
      </w:r>
    </w:p>
    <w:p w14:paraId="484C09FE">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bCs/>
          <w:color w:val="auto"/>
          <w:sz w:val="24"/>
        </w:rPr>
      </w:pPr>
      <w:r>
        <w:rPr>
          <w:rFonts w:hint="default" w:ascii="Times New Roman" w:hAnsi="Times New Roman" w:cs="Times New Roman" w:eastAsiaTheme="minorEastAsia"/>
          <w:bCs/>
          <w:color w:val="auto"/>
          <w:sz w:val="24"/>
        </w:rPr>
        <w:t>2、采购代理机构信息</w:t>
      </w:r>
    </w:p>
    <w:p w14:paraId="3338FBF5">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（1）名  称：湖南金翔项目咨询管理有限公司</w:t>
      </w:r>
    </w:p>
    <w:p w14:paraId="681B6BB8">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（2）地  址：郴州市文锦路鑫沙苑A2栋2单元205-207室</w:t>
      </w:r>
    </w:p>
    <w:p w14:paraId="4EB377FC">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（3）联系人：雷莎</w:t>
      </w:r>
    </w:p>
    <w:p w14:paraId="69D6F334">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（4）电  话：0735-2233598</w:t>
      </w:r>
    </w:p>
    <w:p w14:paraId="24B6355E">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3、电子交易平台服务机构信息</w:t>
      </w:r>
    </w:p>
    <w:p w14:paraId="5DDA5A28">
      <w:pPr>
        <w:pageBreakBefore w:val="0"/>
        <w:widowControl w:val="0"/>
        <w:kinsoku/>
        <w:overflowPunct/>
        <w:bidi w:val="0"/>
        <w:adjustRightInd w:val="0"/>
        <w:snapToGrid w:val="0"/>
        <w:spacing w:line="500" w:lineRule="exact"/>
        <w:ind w:firstLine="470" w:firstLineChars="196"/>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w:t>
      </w:r>
      <w:r>
        <w:rPr>
          <w:rFonts w:hint="default" w:ascii="Times New Roman" w:hAnsi="Times New Roman" w:cs="Times New Roman" w:eastAsiaTheme="minorEastAsia"/>
          <w:bCs/>
          <w:color w:val="auto"/>
          <w:sz w:val="24"/>
        </w:rPr>
        <w:t>名  称：郴州市公共资源交易中心</w:t>
      </w:r>
    </w:p>
    <w:p w14:paraId="5C9314FF">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（2）地  址：</w:t>
      </w:r>
      <w:r>
        <w:rPr>
          <w:rFonts w:hint="default" w:ascii="Times New Roman" w:hAnsi="Times New Roman" w:cs="Times New Roman"/>
          <w:color w:val="auto"/>
          <w:sz w:val="24"/>
        </w:rPr>
        <w:t>郴州市市民服务中心4楼市公共资源交易中心</w:t>
      </w:r>
    </w:p>
    <w:p w14:paraId="58347B99">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（3）联系人：政府采购科</w:t>
      </w:r>
    </w:p>
    <w:p w14:paraId="1A947F60">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（4）电  话：0735-2299020</w:t>
      </w:r>
    </w:p>
    <w:p w14:paraId="59C850D9">
      <w:pPr>
        <w:pStyle w:val="4"/>
        <w:pageBreakBefore w:val="0"/>
        <w:widowControl w:val="0"/>
        <w:kinsoku/>
        <w:overflowPunct/>
        <w:bidi w:val="0"/>
        <w:spacing w:line="500" w:lineRule="exact"/>
        <w:ind w:firstLine="480" w:firstLineChars="200"/>
        <w:textAlignment w:val="auto"/>
        <w:rPr>
          <w:rFonts w:hint="default" w:ascii="黑体" w:hAnsi="黑体" w:eastAsia="黑体" w:cs="黑体"/>
          <w:b w:val="0"/>
          <w:bCs w:val="0"/>
          <w:color w:val="auto"/>
        </w:rPr>
      </w:pPr>
      <w:bookmarkStart w:id="13" w:name="_Toc5761"/>
      <w:r>
        <w:rPr>
          <w:rFonts w:hint="default" w:ascii="黑体" w:hAnsi="黑体" w:eastAsia="黑体" w:cs="黑体"/>
          <w:b w:val="0"/>
          <w:bCs w:val="0"/>
          <w:color w:val="auto"/>
        </w:rPr>
        <w:t>十、其它补充事宜</w:t>
      </w:r>
      <w:bookmarkEnd w:id="13"/>
    </w:p>
    <w:p w14:paraId="3FC03F73">
      <w:pPr>
        <w:pageBreakBefore w:val="0"/>
        <w:widowControl w:val="0"/>
        <w:kinsoku/>
        <w:overflowPunct/>
        <w:bidi w:val="0"/>
        <w:adjustRightInd w:val="0"/>
        <w:snapToGrid w:val="0"/>
        <w:spacing w:line="500" w:lineRule="exact"/>
        <w:ind w:firstLine="480" w:firstLineChars="200"/>
        <w:jc w:val="left"/>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1、本公告选项：</w:t>
      </w: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eastAsiaTheme="minorEastAsia"/>
          <w:color w:val="auto"/>
          <w:sz w:val="24"/>
        </w:rPr>
        <w:t xml:space="preserve">表示选择  </w:t>
      </w: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eastAsiaTheme="minorEastAsia"/>
          <w:color w:val="auto"/>
          <w:sz w:val="24"/>
        </w:rPr>
        <w:t>表示不选择</w:t>
      </w:r>
    </w:p>
    <w:p w14:paraId="349F67AF">
      <w:pPr>
        <w:pageBreakBefore w:val="0"/>
        <w:widowControl w:val="0"/>
        <w:kinsoku/>
        <w:overflowPunct/>
        <w:bidi w:val="0"/>
        <w:adjustRightInd w:val="0"/>
        <w:snapToGrid w:val="0"/>
        <w:spacing w:line="500" w:lineRule="exact"/>
        <w:ind w:firstLine="480" w:firstLineChars="200"/>
        <w:jc w:val="left"/>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2、投标人参与政府采购活动，无需向采购人、代理机构、交易平台缴纳任何费用。</w:t>
      </w:r>
    </w:p>
    <w:p w14:paraId="127A7F30">
      <w:pPr>
        <w:pageBreakBefore w:val="0"/>
        <w:widowControl w:val="0"/>
        <w:kinsoku/>
        <w:overflowPunct/>
        <w:bidi w:val="0"/>
        <w:adjustRightInd w:val="0"/>
        <w:snapToGrid w:val="0"/>
        <w:spacing w:line="500" w:lineRule="exact"/>
        <w:ind w:firstLine="480" w:firstLineChars="200"/>
        <w:jc w:val="left"/>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3、招标代理服务费和专家评审费按照《郴州市财政局关于进一步优化政府采购领域营销环境的通知》（郴财采资【2024】6号）文件执行）由</w:t>
      </w:r>
      <w:r>
        <w:rPr>
          <w:rFonts w:hint="default" w:ascii="Times New Roman" w:hAnsi="Times New Roman" w:cs="Times New Roman" w:eastAsiaTheme="minorEastAsia"/>
          <w:color w:val="auto"/>
          <w:sz w:val="24"/>
          <w:u w:val="single"/>
        </w:rPr>
        <w:t>采购人</w:t>
      </w:r>
      <w:r>
        <w:rPr>
          <w:rFonts w:hint="default" w:ascii="Times New Roman" w:hAnsi="Times New Roman" w:cs="Times New Roman" w:eastAsiaTheme="minorEastAsia"/>
          <w:color w:val="auto"/>
          <w:sz w:val="24"/>
        </w:rPr>
        <w:t>支付。</w:t>
      </w:r>
    </w:p>
    <w:p w14:paraId="1E3C27BC">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4、请投标人在郴州市公共资源交易中心</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下载中心</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中及时下载安装最新版本</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投标文件制作软件（湖南公共资源版）</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湖南CA驱动</w:t>
      </w:r>
      <w:r>
        <w:rPr>
          <w:rFonts w:hint="eastAsia" w:ascii="Times New Roman" w:hAnsi="Times New Roman" w:cs="Times New Roman" w:eastAsiaTheme="minorEastAsia"/>
          <w:color w:val="auto"/>
          <w:sz w:val="24"/>
          <w:lang w:eastAsia="zh-CN"/>
        </w:rPr>
        <w:t>”</w:t>
      </w:r>
      <w:r>
        <w:rPr>
          <w:rFonts w:hint="default" w:ascii="Times New Roman" w:hAnsi="Times New Roman" w:cs="Times New Roman" w:eastAsiaTheme="minorEastAsia"/>
          <w:color w:val="auto"/>
          <w:sz w:val="24"/>
        </w:rPr>
        <w:t>。参与投标的投标人需使用电子标书编制软件制作投标文件。操作手册下载地址：</w:t>
      </w:r>
      <w:r>
        <w:rPr>
          <w:rFonts w:hint="default" w:ascii="Times New Roman" w:hAnsi="Times New Roman" w:cs="Times New Roman" w:eastAsiaTheme="minorEastAsia"/>
          <w:color w:val="auto"/>
          <w:sz w:val="24"/>
          <w:u w:val="single"/>
        </w:rPr>
        <w:t>http</w:t>
      </w:r>
      <w:r>
        <w:rPr>
          <w:rFonts w:hint="eastAsia" w:ascii="Times New Roman" w:hAnsi="Times New Roman" w:cs="Times New Roman" w:eastAsiaTheme="minorEastAsia"/>
          <w:color w:val="auto"/>
          <w:sz w:val="24"/>
          <w:u w:val="single"/>
          <w:lang w:val="en-US" w:eastAsia="zh-CN"/>
        </w:rPr>
        <w:t>:</w:t>
      </w:r>
      <w:r>
        <w:rPr>
          <w:rFonts w:hint="default" w:ascii="Times New Roman" w:hAnsi="Times New Roman" w:cs="Times New Roman" w:eastAsiaTheme="minorEastAsia"/>
          <w:color w:val="auto"/>
          <w:sz w:val="24"/>
          <w:u w:val="single"/>
        </w:rPr>
        <w:t>//www.czggzy.net/TPBidder/pages/customframe4bid/DownLoad/郴州市公共资源交易中心交易系统操作手册.zip</w:t>
      </w:r>
    </w:p>
    <w:p w14:paraId="5667187A">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5、 因电子招投标需要，投标人应及时办理CA数字证书（含电子签章）。移动CA数字证书（含电子签章）办理咨询电话：4009980000、0731-82817876，介质CA数字证书（含电子签章）办理地址：郴州市公共资源交易中心四楼大厅，咨询电话：4006682666、18175580110。</w:t>
      </w:r>
    </w:p>
    <w:p w14:paraId="53AF9371">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6、由对网上招投标操作不熟悉或自身电脑、个人网络等原因导致不能在投标截止时间之前完成投标文件上传的，相应责任由投标人自行承担。建议各投标人在工作时间段内上传投标文件，选择IE11浏览器进行文件解密，在操作系统过程中有疑问或困难请及时进行咨询。</w:t>
      </w:r>
    </w:p>
    <w:p w14:paraId="78C4EBDA">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7、如果开标时出现网络故障、技术故障等情形而影响招投标活动，招标人将</w:t>
      </w:r>
      <w:r>
        <w:rPr>
          <w:rFonts w:hint="default" w:ascii="Times New Roman" w:hAnsi="Times New Roman" w:cs="Times New Roman" w:eastAsiaTheme="minorEastAsia"/>
          <w:b/>
          <w:color w:val="auto"/>
          <w:sz w:val="24"/>
        </w:rPr>
        <w:t>采取项目延期、延长投标文件解密时间</w:t>
      </w:r>
      <w:r>
        <w:rPr>
          <w:rFonts w:hint="default" w:ascii="Times New Roman" w:hAnsi="Times New Roman" w:cs="Times New Roman" w:eastAsiaTheme="minorEastAsia"/>
          <w:color w:val="auto"/>
          <w:sz w:val="24"/>
        </w:rPr>
        <w:t>等相应措施，以保障招投标活动的公开、公平和公正，投标人不得对此持有异议。</w:t>
      </w:r>
    </w:p>
    <w:p w14:paraId="2A5F19B7">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8、交易平台技术支持联系方式</w:t>
      </w:r>
    </w:p>
    <w:p w14:paraId="70198984">
      <w:pPr>
        <w:pageBreakBefore w:val="0"/>
        <w:widowControl w:val="0"/>
        <w:kinsoku/>
        <w:overflowPunct/>
        <w:bidi w:val="0"/>
        <w:adjustRightInd w:val="0"/>
        <w:snapToGrid w:val="0"/>
        <w:spacing w:line="500" w:lineRule="exact"/>
        <w:ind w:firstLine="480" w:firstLineChars="200"/>
        <w:textAlignment w:val="auto"/>
        <w:rPr>
          <w:rFonts w:hint="default" w:ascii="Times New Roman" w:hAnsi="Times New Roman" w:cs="Times New Roman" w:eastAsiaTheme="minorEastAsia"/>
          <w:color w:val="auto"/>
          <w:sz w:val="24"/>
        </w:rPr>
      </w:pPr>
      <w:r>
        <w:rPr>
          <w:rFonts w:hint="default" w:ascii="Times New Roman" w:hAnsi="Times New Roman" w:cs="Times New Roman" w:eastAsiaTheme="minorEastAsia"/>
          <w:color w:val="auto"/>
          <w:sz w:val="24"/>
        </w:rPr>
        <w:t>联系电话：4009980000</w:t>
      </w:r>
    </w:p>
    <w:p w14:paraId="22E54AA6">
      <w:pPr>
        <w:pStyle w:val="22"/>
        <w:adjustRightInd w:val="0"/>
        <w:snapToGrid w:val="0"/>
        <w:spacing w:line="360" w:lineRule="auto"/>
        <w:jc w:val="cente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br w:type="page"/>
      </w:r>
    </w:p>
    <w:p w14:paraId="24EA29C2">
      <w:pPr>
        <w:pStyle w:val="22"/>
        <w:adjustRightInd w:val="0"/>
        <w:snapToGrid w:val="0"/>
        <w:spacing w:line="360" w:lineRule="auto"/>
        <w:jc w:val="center"/>
        <w:outlineLvl w:val="0"/>
        <w:rPr>
          <w:rFonts w:hint="default" w:ascii="Times New Roman" w:hAnsi="Times New Roman" w:eastAsia="黑体" w:cs="Times New Roman"/>
          <w:b/>
          <w:color w:val="auto"/>
          <w:spacing w:val="100"/>
          <w:sz w:val="32"/>
          <w:szCs w:val="32"/>
        </w:rPr>
      </w:pPr>
      <w:bookmarkStart w:id="14" w:name="_Toc19107"/>
      <w:bookmarkStart w:id="15" w:name="_Toc29913894"/>
      <w:bookmarkStart w:id="16" w:name="_Toc11119"/>
      <w:r>
        <w:rPr>
          <w:rFonts w:hint="default" w:ascii="Times New Roman" w:hAnsi="Times New Roman" w:eastAsia="黑体" w:cs="Times New Roman"/>
          <w:b/>
          <w:color w:val="auto"/>
          <w:sz w:val="32"/>
          <w:szCs w:val="32"/>
        </w:rPr>
        <w:t>第二章 投标须知</w:t>
      </w:r>
      <w:bookmarkEnd w:id="14"/>
      <w:bookmarkEnd w:id="15"/>
      <w:bookmarkEnd w:id="16"/>
    </w:p>
    <w:p w14:paraId="1EE1A2F5">
      <w:pPr>
        <w:pStyle w:val="4"/>
        <w:jc w:val="center"/>
        <w:rPr>
          <w:rFonts w:hint="default" w:ascii="Times New Roman" w:hAnsi="Times New Roman" w:cs="Times New Roman"/>
          <w:color w:val="auto"/>
        </w:rPr>
      </w:pPr>
      <w:bookmarkStart w:id="17" w:name="_Toc29913895"/>
      <w:bookmarkStart w:id="18" w:name="_Toc29942"/>
      <w:bookmarkStart w:id="19" w:name="_Toc20727"/>
      <w:r>
        <w:rPr>
          <w:rFonts w:hint="default" w:ascii="Times New Roman" w:hAnsi="Times New Roman" w:cs="Times New Roman"/>
          <w:color w:val="auto"/>
        </w:rPr>
        <w:t>第一节 投标须知前附表</w:t>
      </w:r>
      <w:bookmarkEnd w:id="17"/>
      <w:bookmarkEnd w:id="18"/>
      <w:bookmarkEnd w:id="19"/>
    </w:p>
    <w:tbl>
      <w:tblPr>
        <w:tblStyle w:val="43"/>
        <w:tblW w:w="8931"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00"/>
        <w:gridCol w:w="2364"/>
        <w:gridCol w:w="5167"/>
      </w:tblGrid>
      <w:tr w14:paraId="30C0EA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400" w:type="dxa"/>
            <w:vAlign w:val="center"/>
          </w:tcPr>
          <w:p w14:paraId="5426D9A6">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条款号</w:t>
            </w:r>
          </w:p>
        </w:tc>
        <w:tc>
          <w:tcPr>
            <w:tcW w:w="2364" w:type="dxa"/>
            <w:vAlign w:val="center"/>
          </w:tcPr>
          <w:p w14:paraId="7C8A2867">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条款名称</w:t>
            </w:r>
          </w:p>
        </w:tc>
        <w:tc>
          <w:tcPr>
            <w:tcW w:w="5167" w:type="dxa"/>
            <w:vAlign w:val="center"/>
          </w:tcPr>
          <w:p w14:paraId="53A5F9A7">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编列内容规定</w:t>
            </w:r>
          </w:p>
        </w:tc>
      </w:tr>
      <w:tr w14:paraId="152173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8931" w:type="dxa"/>
            <w:gridSpan w:val="3"/>
            <w:vAlign w:val="center"/>
          </w:tcPr>
          <w:p w14:paraId="074A1BB8">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一、说明</w:t>
            </w:r>
          </w:p>
        </w:tc>
      </w:tr>
      <w:tr w14:paraId="01E0BA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400" w:type="dxa"/>
            <w:vAlign w:val="center"/>
          </w:tcPr>
          <w:p w14:paraId="19A9D6B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第1.1款</w:t>
            </w:r>
          </w:p>
        </w:tc>
        <w:tc>
          <w:tcPr>
            <w:tcW w:w="2364" w:type="dxa"/>
            <w:vAlign w:val="center"/>
          </w:tcPr>
          <w:p w14:paraId="0E8EC13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采购项目</w:t>
            </w:r>
          </w:p>
        </w:tc>
        <w:tc>
          <w:tcPr>
            <w:tcW w:w="5167" w:type="dxa"/>
            <w:shd w:val="clear" w:color="auto" w:fill="auto"/>
            <w:vAlign w:val="center"/>
          </w:tcPr>
          <w:p w14:paraId="689219BB">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lang w:eastAsia="zh-CN"/>
              </w:rPr>
              <w:t>郴州市矿产资源总体规划（2026年-2030年）编制项目</w:t>
            </w:r>
          </w:p>
        </w:tc>
      </w:tr>
      <w:tr w14:paraId="788D3F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59" w:hRule="atLeast"/>
        </w:trPr>
        <w:tc>
          <w:tcPr>
            <w:tcW w:w="1400" w:type="dxa"/>
            <w:shd w:val="clear" w:color="auto" w:fill="auto"/>
            <w:vAlign w:val="center"/>
          </w:tcPr>
          <w:p w14:paraId="611EFEA5">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第1.2款</w:t>
            </w:r>
          </w:p>
        </w:tc>
        <w:tc>
          <w:tcPr>
            <w:tcW w:w="2364" w:type="dxa"/>
            <w:shd w:val="clear" w:color="auto" w:fill="auto"/>
            <w:vAlign w:val="center"/>
          </w:tcPr>
          <w:p w14:paraId="38B2EE64">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highlight w:val="none"/>
              </w:rPr>
            </w:pPr>
            <w:r>
              <w:rPr>
                <w:rFonts w:hint="eastAsia" w:cs="Times New Roman"/>
                <w:color w:val="auto"/>
                <w:szCs w:val="21"/>
                <w:highlight w:val="none"/>
                <w:lang w:eastAsia="zh-CN"/>
              </w:rPr>
              <w:t>是否</w:t>
            </w:r>
            <w:r>
              <w:rPr>
                <w:rFonts w:hint="default" w:ascii="Times New Roman" w:hAnsi="Times New Roman" w:cs="Times New Roman"/>
                <w:color w:val="auto"/>
                <w:szCs w:val="21"/>
                <w:highlight w:val="none"/>
              </w:rPr>
              <w:t>专门面向中小企业采购</w:t>
            </w:r>
          </w:p>
        </w:tc>
        <w:tc>
          <w:tcPr>
            <w:tcW w:w="5167" w:type="dxa"/>
            <w:shd w:val="clear" w:color="auto" w:fill="auto"/>
            <w:vAlign w:val="center"/>
          </w:tcPr>
          <w:p w14:paraId="6EAD512D">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是</w:t>
            </w:r>
          </w:p>
          <w:p w14:paraId="281242EE">
            <w:pPr>
              <w:pStyle w:val="17"/>
              <w:keepNext w:val="0"/>
              <w:keepLines w:val="0"/>
              <w:pageBreakBefore w:val="0"/>
              <w:widowControl w:val="0"/>
              <w:wordWrap/>
              <w:topLinePunct w:val="0"/>
              <w:autoSpaceDE/>
              <w:autoSpaceDN/>
              <w:bidi w:val="0"/>
              <w:spacing w:after="0" w:line="300" w:lineRule="exact"/>
              <w:ind w:left="0"/>
              <w:textAlignment w:val="auto"/>
              <w:rPr>
                <w:rFonts w:hint="default" w:ascii="Times New Roman" w:hAnsi="Times New Roman" w:cs="Times New Roman"/>
                <w:color w:val="auto"/>
                <w:highlight w:val="none"/>
              </w:rPr>
            </w:pPr>
            <w:r>
              <w:rPr>
                <w:rFonts w:hint="default" w:ascii="Times New Roman" w:hAnsi="Times New Roman" w:cs="Times New Roman" w:eastAsiaTheme="minorEastAsia"/>
                <w:color w:val="auto"/>
                <w:sz w:val="24"/>
              </w:rPr>
              <w:sym w:font="Wingdings" w:char="00FE"/>
            </w:r>
            <w:r>
              <w:rPr>
                <w:rFonts w:hint="eastAsia" w:cs="Times New Roman"/>
                <w:color w:val="auto"/>
                <w:highlight w:val="none"/>
                <w:lang w:eastAsia="zh-CN"/>
              </w:rPr>
              <w:t>否</w:t>
            </w:r>
            <w:r>
              <w:rPr>
                <w:rFonts w:hint="eastAsia" w:cs="Times New Roman"/>
                <w:color w:val="auto"/>
                <w:highlight w:val="none"/>
                <w:lang w:val="en-US" w:eastAsia="zh-CN"/>
              </w:rPr>
              <w:t xml:space="preserve"> </w:t>
            </w:r>
            <w:r>
              <w:rPr>
                <w:rFonts w:hint="default" w:ascii="Times New Roman" w:hAnsi="Times New Roman" w:cs="Times New Roman"/>
                <w:color w:val="auto"/>
                <w:highlight w:val="none"/>
              </w:rPr>
              <w:t>非专门面向中小企业采购：给予小型和微型企业的价格给予 10%-20%的扣除，用扣除后的价格参与评审，本项目具体扣除比例为</w:t>
            </w:r>
            <w:r>
              <w:rPr>
                <w:rFonts w:hint="default" w:ascii="Times New Roman" w:hAnsi="Times New Roman" w:cs="Times New Roman"/>
                <w:color w:val="auto"/>
                <w:highlight w:val="none"/>
                <w:u w:val="single"/>
              </w:rPr>
              <w:t xml:space="preserve"> </w:t>
            </w:r>
            <w:r>
              <w:rPr>
                <w:rFonts w:hint="eastAsia" w:cs="Times New Roman"/>
                <w:color w:val="auto"/>
                <w:highlight w:val="none"/>
                <w:u w:val="single"/>
                <w:lang w:val="en-US" w:eastAsia="zh-CN"/>
              </w:rPr>
              <w:t>10</w:t>
            </w:r>
            <w:r>
              <w:rPr>
                <w:rFonts w:hint="default" w:ascii="Times New Roman" w:hAnsi="Times New Roman" w:cs="Times New Roman"/>
                <w:color w:val="auto"/>
                <w:highlight w:val="none"/>
                <w:u w:val="single"/>
              </w:rPr>
              <w:t xml:space="preserve"> </w:t>
            </w:r>
            <w:r>
              <w:rPr>
                <w:rFonts w:hint="default" w:ascii="Times New Roman" w:hAnsi="Times New Roman" w:cs="Times New Roman"/>
                <w:color w:val="auto"/>
                <w:highlight w:val="none"/>
              </w:rPr>
              <w:t>％。</w:t>
            </w:r>
          </w:p>
          <w:p w14:paraId="1B194483">
            <w:pPr>
              <w:pStyle w:val="17"/>
              <w:keepNext w:val="0"/>
              <w:keepLines w:val="0"/>
              <w:pageBreakBefore w:val="0"/>
              <w:widowControl w:val="0"/>
              <w:wordWrap/>
              <w:topLinePunct w:val="0"/>
              <w:autoSpaceDE/>
              <w:autoSpaceDN/>
              <w:bidi w:val="0"/>
              <w:spacing w:after="0" w:line="300" w:lineRule="exact"/>
              <w:ind w:left="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在政府采购活动中，福利性单位视同小型、微型企业。</w:t>
            </w:r>
          </w:p>
        </w:tc>
      </w:tr>
      <w:tr w14:paraId="3DB94E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trPr>
        <w:tc>
          <w:tcPr>
            <w:tcW w:w="1400" w:type="dxa"/>
            <w:vAlign w:val="center"/>
          </w:tcPr>
          <w:p w14:paraId="05DEFC6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第2.1</w:t>
            </w:r>
            <w:r>
              <w:rPr>
                <w:rFonts w:hint="default" w:ascii="Times New Roman" w:hAnsi="Times New Roman" w:cs="Times New Roman" w:eastAsiaTheme="minorEastAsia"/>
                <w:color w:val="auto"/>
                <w:kern w:val="0"/>
                <w:szCs w:val="21"/>
                <w:lang w:val="zh-CN"/>
              </w:rPr>
              <w:t>款</w:t>
            </w:r>
          </w:p>
        </w:tc>
        <w:tc>
          <w:tcPr>
            <w:tcW w:w="2364" w:type="dxa"/>
            <w:vAlign w:val="center"/>
          </w:tcPr>
          <w:p w14:paraId="567B8108">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采购项目联系人姓名和电话</w:t>
            </w:r>
          </w:p>
        </w:tc>
        <w:tc>
          <w:tcPr>
            <w:tcW w:w="5167" w:type="dxa"/>
            <w:vAlign w:val="center"/>
          </w:tcPr>
          <w:p w14:paraId="7CA56EB8">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详见第一章【投标邀请】</w:t>
            </w:r>
          </w:p>
        </w:tc>
      </w:tr>
      <w:tr w14:paraId="7FE039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1" w:hRule="atLeast"/>
        </w:trPr>
        <w:tc>
          <w:tcPr>
            <w:tcW w:w="1400" w:type="dxa"/>
            <w:vAlign w:val="center"/>
          </w:tcPr>
          <w:p w14:paraId="39D30361">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第2.2</w:t>
            </w:r>
            <w:r>
              <w:rPr>
                <w:rFonts w:hint="default" w:ascii="Times New Roman" w:hAnsi="Times New Roman" w:cs="Times New Roman" w:eastAsiaTheme="minorEastAsia"/>
                <w:color w:val="auto"/>
                <w:kern w:val="0"/>
                <w:szCs w:val="21"/>
                <w:lang w:val="zh-CN"/>
              </w:rPr>
              <w:t>款</w:t>
            </w:r>
          </w:p>
        </w:tc>
        <w:tc>
          <w:tcPr>
            <w:tcW w:w="2364" w:type="dxa"/>
            <w:vAlign w:val="center"/>
          </w:tcPr>
          <w:p w14:paraId="50449231">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采购人名称、地址、电话、联系人</w:t>
            </w:r>
          </w:p>
        </w:tc>
        <w:tc>
          <w:tcPr>
            <w:tcW w:w="5167" w:type="dxa"/>
            <w:vAlign w:val="center"/>
          </w:tcPr>
          <w:p w14:paraId="1243E7B1">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详见第一章【投标邀请】</w:t>
            </w:r>
          </w:p>
        </w:tc>
      </w:tr>
      <w:tr w14:paraId="6E1F86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00" w:type="dxa"/>
            <w:vAlign w:val="center"/>
          </w:tcPr>
          <w:p w14:paraId="627CB6A0">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第2.3</w:t>
            </w:r>
            <w:r>
              <w:rPr>
                <w:rFonts w:hint="default" w:ascii="Times New Roman" w:hAnsi="Times New Roman" w:cs="Times New Roman" w:eastAsiaTheme="minorEastAsia"/>
                <w:color w:val="auto"/>
                <w:kern w:val="0"/>
                <w:szCs w:val="21"/>
                <w:lang w:val="zh-CN"/>
              </w:rPr>
              <w:t>款</w:t>
            </w:r>
          </w:p>
        </w:tc>
        <w:tc>
          <w:tcPr>
            <w:tcW w:w="2364" w:type="dxa"/>
            <w:vAlign w:val="center"/>
          </w:tcPr>
          <w:p w14:paraId="62EB6488">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采购代理机构名称、地址、电话、联系人</w:t>
            </w:r>
          </w:p>
        </w:tc>
        <w:tc>
          <w:tcPr>
            <w:tcW w:w="5167" w:type="dxa"/>
            <w:vAlign w:val="center"/>
          </w:tcPr>
          <w:p w14:paraId="3F35BC36">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详见第一章【投标邀请】</w:t>
            </w:r>
          </w:p>
        </w:tc>
      </w:tr>
      <w:tr w14:paraId="5E1329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3" w:hRule="atLeast"/>
        </w:trPr>
        <w:tc>
          <w:tcPr>
            <w:tcW w:w="1400" w:type="dxa"/>
            <w:vAlign w:val="center"/>
          </w:tcPr>
          <w:p w14:paraId="24937C55">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第2.5</w:t>
            </w:r>
            <w:r>
              <w:rPr>
                <w:rFonts w:hint="default" w:ascii="Times New Roman" w:hAnsi="Times New Roman" w:cs="Times New Roman" w:eastAsiaTheme="minorEastAsia"/>
                <w:color w:val="auto"/>
                <w:kern w:val="0"/>
                <w:szCs w:val="21"/>
                <w:lang w:val="zh-CN"/>
              </w:rPr>
              <w:t>款</w:t>
            </w:r>
          </w:p>
        </w:tc>
        <w:tc>
          <w:tcPr>
            <w:tcW w:w="2364" w:type="dxa"/>
            <w:vAlign w:val="center"/>
          </w:tcPr>
          <w:p w14:paraId="53217BCC">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采购进口产品</w:t>
            </w:r>
          </w:p>
        </w:tc>
        <w:tc>
          <w:tcPr>
            <w:tcW w:w="5167" w:type="dxa"/>
            <w:vAlign w:val="center"/>
          </w:tcPr>
          <w:p w14:paraId="0930CEC1">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eastAsia="楷体" w:cs="Times New Roman"/>
                <w:color w:val="auto"/>
                <w:szCs w:val="21"/>
              </w:rPr>
            </w:pP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接受 本项目已经财政部门审核同意购买进口产品</w:t>
            </w:r>
          </w:p>
          <w:p w14:paraId="5EE48E58">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color w:val="auto"/>
                <w:szCs w:val="21"/>
              </w:rPr>
              <w:t>拒绝 本项目拒绝进口产品参加投标</w:t>
            </w:r>
          </w:p>
        </w:tc>
      </w:tr>
      <w:tr w14:paraId="20277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trPr>
        <w:tc>
          <w:tcPr>
            <w:tcW w:w="1400" w:type="dxa"/>
            <w:vAlign w:val="center"/>
          </w:tcPr>
          <w:p w14:paraId="50074BC2">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第3.1</w:t>
            </w:r>
            <w:r>
              <w:rPr>
                <w:rFonts w:hint="default" w:ascii="Times New Roman" w:hAnsi="Times New Roman" w:cs="Times New Roman" w:eastAsiaTheme="minorEastAsia"/>
                <w:color w:val="auto"/>
                <w:kern w:val="0"/>
                <w:szCs w:val="21"/>
                <w:lang w:val="zh-CN"/>
              </w:rPr>
              <w:t>款</w:t>
            </w:r>
          </w:p>
        </w:tc>
        <w:tc>
          <w:tcPr>
            <w:tcW w:w="2364" w:type="dxa"/>
            <w:vAlign w:val="center"/>
          </w:tcPr>
          <w:p w14:paraId="67044B34">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投标人资格条件</w:t>
            </w:r>
          </w:p>
        </w:tc>
        <w:tc>
          <w:tcPr>
            <w:tcW w:w="5167" w:type="dxa"/>
            <w:vAlign w:val="center"/>
          </w:tcPr>
          <w:p w14:paraId="6D03428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详见第一章【投标邀请】</w:t>
            </w:r>
          </w:p>
        </w:tc>
      </w:tr>
      <w:tr w14:paraId="588E9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00" w:type="dxa"/>
            <w:shd w:val="clear" w:color="auto" w:fill="auto"/>
            <w:vAlign w:val="center"/>
          </w:tcPr>
          <w:p w14:paraId="242A7D47">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第3.2</w:t>
            </w:r>
            <w:r>
              <w:rPr>
                <w:rFonts w:hint="default" w:ascii="Times New Roman" w:hAnsi="Times New Roman" w:cs="Times New Roman" w:eastAsiaTheme="minorEastAsia"/>
                <w:color w:val="auto"/>
                <w:kern w:val="0"/>
                <w:szCs w:val="21"/>
                <w:lang w:val="zh-CN"/>
              </w:rPr>
              <w:t>款</w:t>
            </w:r>
          </w:p>
        </w:tc>
        <w:tc>
          <w:tcPr>
            <w:tcW w:w="2364" w:type="dxa"/>
            <w:shd w:val="clear" w:color="auto" w:fill="auto"/>
            <w:vAlign w:val="center"/>
          </w:tcPr>
          <w:p w14:paraId="45E1869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接受联合体形式投标</w:t>
            </w:r>
          </w:p>
        </w:tc>
        <w:tc>
          <w:tcPr>
            <w:tcW w:w="5167" w:type="dxa"/>
            <w:shd w:val="clear" w:color="auto" w:fill="auto"/>
            <w:vAlign w:val="center"/>
          </w:tcPr>
          <w:p w14:paraId="7643729B">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color w:val="auto"/>
                <w:szCs w:val="21"/>
              </w:rPr>
              <w:t>接受</w:t>
            </w:r>
            <w:r>
              <w:rPr>
                <w:rFonts w:hint="eastAsia" w:cs="Times New Roman"/>
                <w:color w:val="auto"/>
                <w:szCs w:val="21"/>
                <w:lang w:eastAsia="zh-CN"/>
              </w:rPr>
              <w:t>，具体要求：</w:t>
            </w:r>
            <w:r>
              <w:rPr>
                <w:rFonts w:hint="default" w:ascii="Times New Roman" w:hAnsi="Times New Roman" w:cs="Times New Roman"/>
                <w:color w:val="auto"/>
                <w:szCs w:val="21"/>
              </w:rPr>
              <w:t>所有成员必须满足基本资格条件，联合体不能超过2家单位组成。联合体单位特定资格要求：联合体牵头单位需具备行政主管部门颁发的国土空间规划乙级</w:t>
            </w:r>
            <w:r>
              <w:rPr>
                <w:rFonts w:hint="eastAsia" w:cs="Times New Roman"/>
                <w:color w:val="auto"/>
                <w:szCs w:val="21"/>
                <w:lang w:eastAsia="zh-CN"/>
              </w:rPr>
              <w:t>及以上资质</w:t>
            </w:r>
            <w:r>
              <w:rPr>
                <w:rFonts w:hint="default" w:ascii="Times New Roman" w:hAnsi="Times New Roman" w:cs="Times New Roman"/>
                <w:color w:val="auto"/>
                <w:szCs w:val="21"/>
              </w:rPr>
              <w:t>和测绘乙级及以上资质，成员单位需具备行政主管部门颁发测绘乙级及以上资质且都处于有效期内。</w:t>
            </w:r>
          </w:p>
          <w:p w14:paraId="2350E936">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 w:val="24"/>
              </w:rPr>
              <w:sym w:font="Wingdings" w:char="00A8"/>
            </w:r>
            <w:r>
              <w:rPr>
                <w:rFonts w:hint="default" w:ascii="Times New Roman" w:hAnsi="Times New Roman" w:cs="Times New Roman"/>
                <w:color w:val="auto"/>
                <w:szCs w:val="21"/>
              </w:rPr>
              <w:t>不接受</w:t>
            </w:r>
          </w:p>
        </w:tc>
      </w:tr>
      <w:tr w14:paraId="701FCB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0" w:hRule="atLeast"/>
        </w:trPr>
        <w:tc>
          <w:tcPr>
            <w:tcW w:w="1400" w:type="dxa"/>
            <w:vAlign w:val="center"/>
          </w:tcPr>
          <w:p w14:paraId="0B6E2EB1">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第5.1</w:t>
            </w:r>
            <w:r>
              <w:rPr>
                <w:rFonts w:hint="default" w:ascii="Times New Roman" w:hAnsi="Times New Roman" w:cs="Times New Roman" w:eastAsiaTheme="minorEastAsia"/>
                <w:color w:val="auto"/>
                <w:kern w:val="0"/>
                <w:szCs w:val="21"/>
                <w:lang w:val="zh-CN"/>
              </w:rPr>
              <w:t>款</w:t>
            </w:r>
          </w:p>
        </w:tc>
        <w:tc>
          <w:tcPr>
            <w:tcW w:w="2364" w:type="dxa"/>
            <w:vAlign w:val="center"/>
          </w:tcPr>
          <w:p w14:paraId="163E232F">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招标文件提供期限</w:t>
            </w:r>
          </w:p>
        </w:tc>
        <w:tc>
          <w:tcPr>
            <w:tcW w:w="5167" w:type="dxa"/>
            <w:vAlign w:val="center"/>
          </w:tcPr>
          <w:p w14:paraId="10B8E56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详见第一章【投标邀请】</w:t>
            </w:r>
          </w:p>
        </w:tc>
      </w:tr>
      <w:tr w14:paraId="1C1EB5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1400" w:type="dxa"/>
            <w:vAlign w:val="center"/>
          </w:tcPr>
          <w:p w14:paraId="2247B0CA">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第5.2</w:t>
            </w:r>
            <w:r>
              <w:rPr>
                <w:rFonts w:hint="default" w:ascii="Times New Roman" w:hAnsi="Times New Roman" w:cs="Times New Roman" w:eastAsiaTheme="minorEastAsia"/>
                <w:color w:val="auto"/>
                <w:kern w:val="0"/>
                <w:szCs w:val="21"/>
                <w:lang w:val="zh-CN"/>
              </w:rPr>
              <w:t>款</w:t>
            </w:r>
          </w:p>
        </w:tc>
        <w:tc>
          <w:tcPr>
            <w:tcW w:w="2364" w:type="dxa"/>
            <w:vAlign w:val="center"/>
          </w:tcPr>
          <w:p w14:paraId="62545D1F">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组织现场考察或者召开答疑会</w:t>
            </w:r>
          </w:p>
        </w:tc>
        <w:tc>
          <w:tcPr>
            <w:tcW w:w="5167" w:type="dxa"/>
            <w:vAlign w:val="center"/>
          </w:tcPr>
          <w:p w14:paraId="1988571C">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rPr>
            </w:pP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color w:val="auto"/>
                <w:szCs w:val="21"/>
              </w:rPr>
              <w:t xml:space="preserve"> 不组织</w:t>
            </w:r>
          </w:p>
          <w:p w14:paraId="27CC135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szCs w:val="21"/>
                <w:u w:val="single"/>
              </w:rPr>
            </w:pP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 xml:space="preserve"> 组织</w:t>
            </w:r>
          </w:p>
        </w:tc>
      </w:tr>
      <w:tr w14:paraId="06821F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1" w:hRule="atLeast"/>
        </w:trPr>
        <w:tc>
          <w:tcPr>
            <w:tcW w:w="8931" w:type="dxa"/>
            <w:gridSpan w:val="3"/>
            <w:vAlign w:val="center"/>
          </w:tcPr>
          <w:p w14:paraId="2D24166F">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二、招标文件</w:t>
            </w:r>
          </w:p>
        </w:tc>
      </w:tr>
      <w:tr w14:paraId="1D36F7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49" w:hRule="atLeast"/>
        </w:trPr>
        <w:tc>
          <w:tcPr>
            <w:tcW w:w="1400" w:type="dxa"/>
            <w:vAlign w:val="center"/>
          </w:tcPr>
          <w:p w14:paraId="606ED96C">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第7.4</w:t>
            </w:r>
            <w:r>
              <w:rPr>
                <w:rFonts w:hint="default" w:ascii="Times New Roman" w:hAnsi="Times New Roman" w:cs="Times New Roman" w:eastAsiaTheme="minorEastAsia"/>
                <w:color w:val="auto"/>
                <w:kern w:val="0"/>
                <w:szCs w:val="21"/>
                <w:lang w:val="zh-CN"/>
              </w:rPr>
              <w:t>款</w:t>
            </w:r>
          </w:p>
        </w:tc>
        <w:tc>
          <w:tcPr>
            <w:tcW w:w="2364" w:type="dxa"/>
            <w:vAlign w:val="center"/>
          </w:tcPr>
          <w:p w14:paraId="5AF9A3A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非实质性偏离的范围和</w:t>
            </w:r>
          </w:p>
          <w:p w14:paraId="658FD81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幅度</w:t>
            </w:r>
          </w:p>
        </w:tc>
        <w:tc>
          <w:tcPr>
            <w:tcW w:w="5167" w:type="dxa"/>
            <w:vAlign w:val="center"/>
          </w:tcPr>
          <w:p w14:paraId="5E77A63F">
            <w:pPr>
              <w:keepNext w:val="0"/>
              <w:keepLines w:val="0"/>
              <w:pageBreakBefore w:val="0"/>
              <w:widowControl w:val="0"/>
              <w:wordWrap/>
              <w:topLinePunct w:val="0"/>
              <w:autoSpaceDE/>
              <w:autoSpaceDN/>
              <w:bidi w:val="0"/>
              <w:adjustRightInd w:val="0"/>
              <w:snapToGrid w:val="0"/>
              <w:spacing w:line="300" w:lineRule="exact"/>
              <w:ind w:left="0" w:hanging="105" w:hangingChars="50"/>
              <w:jc w:val="left"/>
              <w:textAlignment w:val="auto"/>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b/>
                <w:bCs/>
                <w:color w:val="auto"/>
                <w:szCs w:val="21"/>
              </w:rPr>
              <w:t>招标文件第五章【采购需求】中条款偏离项数之和≥</w:t>
            </w:r>
            <w:r>
              <w:rPr>
                <w:rFonts w:hint="default" w:ascii="Times New Roman" w:hAnsi="Times New Roman" w:cs="Times New Roman" w:eastAsiaTheme="minorEastAsia"/>
                <w:b/>
                <w:bCs/>
                <w:color w:val="auto"/>
                <w:szCs w:val="21"/>
                <w:u w:val="single"/>
              </w:rPr>
              <w:t xml:space="preserve"> </w:t>
            </w:r>
            <w:r>
              <w:rPr>
                <w:rFonts w:hint="default" w:ascii="Times New Roman" w:hAnsi="Times New Roman" w:cs="Times New Roman" w:eastAsiaTheme="minorEastAsia"/>
                <w:b/>
                <w:bCs/>
                <w:color w:val="auto"/>
                <w:szCs w:val="21"/>
                <w:u w:val="single"/>
                <w:lang w:val="en-US" w:eastAsia="zh-CN"/>
              </w:rPr>
              <w:t>1</w:t>
            </w:r>
            <w:r>
              <w:rPr>
                <w:rFonts w:hint="default" w:ascii="Times New Roman" w:hAnsi="Times New Roman" w:cs="Times New Roman" w:eastAsiaTheme="minorEastAsia"/>
                <w:b/>
                <w:bCs/>
                <w:color w:val="auto"/>
                <w:szCs w:val="21"/>
                <w:u w:val="single"/>
              </w:rPr>
              <w:t xml:space="preserve"> </w:t>
            </w:r>
            <w:r>
              <w:rPr>
                <w:rFonts w:hint="default" w:ascii="Times New Roman" w:hAnsi="Times New Roman" w:cs="Times New Roman" w:eastAsiaTheme="minorEastAsia"/>
                <w:b/>
                <w:bCs/>
                <w:color w:val="auto"/>
                <w:szCs w:val="21"/>
              </w:rPr>
              <w:t>项将导致无效投标。</w:t>
            </w:r>
          </w:p>
        </w:tc>
      </w:tr>
      <w:tr w14:paraId="569FF2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1400" w:type="dxa"/>
            <w:vAlign w:val="center"/>
          </w:tcPr>
          <w:p w14:paraId="06527BD3">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第9.1</w:t>
            </w:r>
            <w:r>
              <w:rPr>
                <w:rFonts w:hint="default" w:ascii="Times New Roman" w:hAnsi="Times New Roman" w:cs="Times New Roman" w:eastAsiaTheme="minorEastAsia"/>
                <w:color w:val="auto"/>
                <w:kern w:val="0"/>
                <w:szCs w:val="21"/>
                <w:lang w:val="zh-CN"/>
              </w:rPr>
              <w:t>款</w:t>
            </w:r>
          </w:p>
        </w:tc>
        <w:tc>
          <w:tcPr>
            <w:tcW w:w="2364" w:type="dxa"/>
            <w:vAlign w:val="center"/>
          </w:tcPr>
          <w:p w14:paraId="3356F676">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招标公告指定媒体</w:t>
            </w:r>
          </w:p>
        </w:tc>
        <w:tc>
          <w:tcPr>
            <w:tcW w:w="5167" w:type="dxa"/>
            <w:vAlign w:val="center"/>
          </w:tcPr>
          <w:p w14:paraId="3D28B6AC">
            <w:pPr>
              <w:keepNext w:val="0"/>
              <w:keepLines w:val="0"/>
              <w:pageBreakBefore w:val="0"/>
              <w:widowControl w:val="0"/>
              <w:wordWrap/>
              <w:topLinePunct w:val="0"/>
              <w:autoSpaceDE/>
              <w:autoSpaceDN/>
              <w:bidi w:val="0"/>
              <w:adjustRightInd w:val="0"/>
              <w:snapToGrid w:val="0"/>
              <w:spacing w:line="300" w:lineRule="exact"/>
              <w:ind w:left="0" w:hanging="105" w:hangingChars="5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湖南省政府采购网</w:t>
            </w:r>
            <w:r>
              <w:rPr>
                <w:rFonts w:hint="eastAsia" w:ascii="Times New Roman" w:hAnsi="Times New Roman" w:cs="Times New Roman" w:eastAsiaTheme="minorEastAsia"/>
                <w:color w:val="auto"/>
                <w:szCs w:val="21"/>
                <w:lang w:eastAsia="zh-CN"/>
              </w:rPr>
              <w:t>：</w:t>
            </w:r>
            <w:r>
              <w:rPr>
                <w:rFonts w:hint="default" w:ascii="Times New Roman" w:hAnsi="Times New Roman" w:cs="Times New Roman" w:eastAsiaTheme="minorEastAsia"/>
                <w:color w:val="auto"/>
                <w:szCs w:val="21"/>
              </w:rPr>
              <w:fldChar w:fldCharType="begin"/>
            </w:r>
            <w:r>
              <w:rPr>
                <w:rFonts w:hint="default" w:ascii="Times New Roman" w:hAnsi="Times New Roman" w:cs="Times New Roman" w:eastAsiaTheme="minorEastAsia"/>
                <w:color w:val="auto"/>
                <w:szCs w:val="21"/>
              </w:rPr>
              <w:instrText xml:space="preserve"> HYPERLINK "http://www.ccgp-hunan.gov.cn" </w:instrText>
            </w:r>
            <w:r>
              <w:rPr>
                <w:rFonts w:hint="default" w:ascii="Times New Roman" w:hAnsi="Times New Roman" w:cs="Times New Roman" w:eastAsiaTheme="minorEastAsia"/>
                <w:color w:val="auto"/>
                <w:szCs w:val="21"/>
              </w:rPr>
              <w:fldChar w:fldCharType="separate"/>
            </w:r>
            <w:r>
              <w:rPr>
                <w:rStyle w:val="49"/>
                <w:rFonts w:hint="default" w:ascii="Times New Roman" w:hAnsi="Times New Roman" w:cs="Times New Roman" w:eastAsiaTheme="minorEastAsia"/>
                <w:color w:val="auto"/>
                <w:szCs w:val="21"/>
              </w:rPr>
              <w:t>www.ccgp-hunan.gov.cn</w:t>
            </w:r>
            <w:r>
              <w:rPr>
                <w:rFonts w:hint="default" w:ascii="Times New Roman" w:hAnsi="Times New Roman" w:cs="Times New Roman" w:eastAsiaTheme="minorEastAsia"/>
                <w:color w:val="auto"/>
                <w:szCs w:val="21"/>
              </w:rPr>
              <w:fldChar w:fldCharType="end"/>
            </w:r>
          </w:p>
          <w:p w14:paraId="4929BE0D">
            <w:pPr>
              <w:keepNext w:val="0"/>
              <w:keepLines w:val="0"/>
              <w:pageBreakBefore w:val="0"/>
              <w:widowControl w:val="0"/>
              <w:kinsoku w:val="0"/>
              <w:wordWrap/>
              <w:overflowPunct w:val="0"/>
              <w:topLinePunct w:val="0"/>
              <w:autoSpaceDE/>
              <w:autoSpaceDN/>
              <w:bidi w:val="0"/>
              <w:adjustRightInd w:val="0"/>
              <w:snapToGrid w:val="0"/>
              <w:spacing w:line="300" w:lineRule="exact"/>
              <w:ind w:left="0" w:hanging="105" w:hangingChars="50"/>
              <w:jc w:val="left"/>
              <w:textAlignment w:val="auto"/>
              <w:rPr>
                <w:rFonts w:hint="eastAsia" w:ascii="Times New Roman" w:hAnsi="Times New Roman" w:cs="Times New Roman" w:eastAsiaTheme="minorEastAsia"/>
                <w:color w:val="auto"/>
                <w:szCs w:val="21"/>
                <w:lang w:eastAsia="zh-CN"/>
              </w:rPr>
            </w:pPr>
            <w:r>
              <w:rPr>
                <w:rFonts w:hint="default" w:ascii="Times New Roman" w:hAnsi="Times New Roman" w:cs="Times New Roman" w:eastAsiaTheme="minorEastAsia"/>
                <w:color w:val="auto"/>
                <w:szCs w:val="21"/>
              </w:rPr>
              <w:t>郴州市公共资源交易中心</w:t>
            </w:r>
            <w:r>
              <w:rPr>
                <w:rFonts w:hint="eastAsia" w:ascii="Times New Roman" w:hAnsi="Times New Roman" w:cs="Times New Roman" w:eastAsiaTheme="minorEastAsia"/>
                <w:color w:val="auto"/>
                <w:szCs w:val="21"/>
                <w:lang w:eastAsia="zh-CN"/>
              </w:rPr>
              <w:t>：</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HYPERLINK "http://czggzy.czs.gov.cn/" </w:instrText>
            </w:r>
            <w:r>
              <w:rPr>
                <w:rFonts w:hint="default" w:ascii="Times New Roman" w:hAnsi="Times New Roman" w:cs="Times New Roman"/>
                <w:color w:val="auto"/>
              </w:rPr>
              <w:fldChar w:fldCharType="separate"/>
            </w:r>
            <w:r>
              <w:rPr>
                <w:rStyle w:val="49"/>
                <w:rFonts w:hint="default" w:ascii="Times New Roman" w:hAnsi="Times New Roman" w:cs="Times New Roman" w:eastAsiaTheme="minorEastAsia"/>
                <w:color w:val="auto"/>
                <w:szCs w:val="21"/>
                <w:u w:val="none"/>
              </w:rPr>
              <w:t>http</w:t>
            </w:r>
            <w:r>
              <w:rPr>
                <w:rStyle w:val="49"/>
                <w:rFonts w:hint="eastAsia" w:ascii="Times New Roman" w:hAnsi="Times New Roman" w:cs="Times New Roman" w:eastAsiaTheme="minorEastAsia"/>
                <w:color w:val="auto"/>
                <w:szCs w:val="21"/>
                <w:u w:val="none"/>
                <w:lang w:val="en-US" w:eastAsia="zh-CN"/>
              </w:rPr>
              <w:t>:</w:t>
            </w:r>
            <w:r>
              <w:rPr>
                <w:rStyle w:val="49"/>
                <w:rFonts w:hint="default" w:ascii="Times New Roman" w:hAnsi="Times New Roman" w:cs="Times New Roman" w:eastAsiaTheme="minorEastAsia"/>
                <w:color w:val="auto"/>
                <w:szCs w:val="21"/>
                <w:u w:val="none"/>
              </w:rPr>
              <w:t>//czggzy.czs.gov.cn/</w:t>
            </w:r>
            <w:r>
              <w:rPr>
                <w:rStyle w:val="49"/>
                <w:rFonts w:hint="default" w:ascii="Times New Roman" w:hAnsi="Times New Roman" w:cs="Times New Roman" w:eastAsiaTheme="minorEastAsia"/>
                <w:color w:val="auto"/>
                <w:szCs w:val="21"/>
                <w:u w:val="none"/>
              </w:rPr>
              <w:fldChar w:fldCharType="end"/>
            </w:r>
          </w:p>
        </w:tc>
      </w:tr>
      <w:tr w14:paraId="363866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8" w:hRule="atLeast"/>
        </w:trPr>
        <w:tc>
          <w:tcPr>
            <w:tcW w:w="8931" w:type="dxa"/>
            <w:gridSpan w:val="3"/>
            <w:vAlign w:val="center"/>
          </w:tcPr>
          <w:p w14:paraId="779322AC">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三、投标文件</w:t>
            </w:r>
          </w:p>
        </w:tc>
      </w:tr>
      <w:tr w14:paraId="044B9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9" w:hRule="atLeast"/>
        </w:trPr>
        <w:tc>
          <w:tcPr>
            <w:tcW w:w="1400" w:type="dxa"/>
            <w:vAlign w:val="center"/>
          </w:tcPr>
          <w:p w14:paraId="4AEC88E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第13.2</w:t>
            </w:r>
            <w:r>
              <w:rPr>
                <w:rFonts w:hint="default" w:ascii="Times New Roman" w:hAnsi="Times New Roman" w:cs="Times New Roman" w:eastAsiaTheme="minorEastAsia"/>
                <w:color w:val="auto"/>
                <w:kern w:val="0"/>
                <w:szCs w:val="21"/>
                <w:lang w:val="zh-CN"/>
              </w:rPr>
              <w:t>款</w:t>
            </w:r>
          </w:p>
        </w:tc>
        <w:tc>
          <w:tcPr>
            <w:tcW w:w="2364" w:type="dxa"/>
            <w:vAlign w:val="center"/>
          </w:tcPr>
          <w:p w14:paraId="74E89637">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采购预算、最高限价</w:t>
            </w:r>
          </w:p>
        </w:tc>
        <w:tc>
          <w:tcPr>
            <w:tcW w:w="5167" w:type="dxa"/>
            <w:vAlign w:val="center"/>
          </w:tcPr>
          <w:p w14:paraId="37449492">
            <w:pPr>
              <w:keepNext w:val="0"/>
              <w:keepLines w:val="0"/>
              <w:pageBreakBefore w:val="0"/>
              <w:widowControl w:val="0"/>
              <w:wordWrap/>
              <w:topLinePunct w:val="0"/>
              <w:autoSpaceDE/>
              <w:autoSpaceDN/>
              <w:bidi w:val="0"/>
              <w:adjustRightInd w:val="0"/>
              <w:snapToGrid w:val="0"/>
              <w:spacing w:line="300" w:lineRule="exact"/>
              <w:ind w:left="0"/>
              <w:textAlignment w:val="auto"/>
              <w:rPr>
                <w:rFonts w:hint="eastAsia" w:cs="Times New Roman" w:eastAsiaTheme="minorEastAsia"/>
                <w:color w:val="auto"/>
                <w:szCs w:val="21"/>
                <w:lang w:eastAsia="zh-CN"/>
              </w:rPr>
            </w:pPr>
            <w:r>
              <w:rPr>
                <w:rFonts w:hint="default" w:ascii="Times New Roman" w:hAnsi="Times New Roman" w:cs="Times New Roman" w:eastAsiaTheme="minorEastAsia"/>
                <w:color w:val="auto"/>
                <w:szCs w:val="21"/>
              </w:rPr>
              <w:t>采购预算</w:t>
            </w:r>
            <w:r>
              <w:rPr>
                <w:rFonts w:hint="eastAsia" w:cs="Times New Roman" w:eastAsiaTheme="minorEastAsia"/>
                <w:color w:val="auto"/>
                <w:szCs w:val="21"/>
                <w:lang w:val="en-US" w:eastAsia="zh-CN"/>
              </w:rPr>
              <w:t>：</w:t>
            </w:r>
            <w:r>
              <w:rPr>
                <w:rFonts w:hint="default" w:ascii="Times New Roman" w:hAnsi="Times New Roman" w:cs="Times New Roman" w:eastAsiaTheme="minorEastAsia"/>
                <w:color w:val="auto"/>
                <w:szCs w:val="21"/>
              </w:rPr>
              <w:t>¥</w:t>
            </w:r>
            <w:r>
              <w:rPr>
                <w:rFonts w:hint="eastAsia" w:cs="Times New Roman" w:eastAsiaTheme="minorEastAsia"/>
                <w:color w:val="auto"/>
                <w:szCs w:val="21"/>
                <w:lang w:eastAsia="zh-CN"/>
              </w:rPr>
              <w:t>3592200.00</w:t>
            </w:r>
            <w:r>
              <w:rPr>
                <w:rFonts w:hint="default" w:ascii="Times New Roman" w:hAnsi="Times New Roman" w:cs="Times New Roman" w:eastAsiaTheme="minorEastAsia"/>
                <w:color w:val="auto"/>
                <w:szCs w:val="21"/>
              </w:rPr>
              <w:t>元</w:t>
            </w:r>
            <w:r>
              <w:rPr>
                <w:rFonts w:hint="eastAsia" w:cs="Times New Roman" w:eastAsiaTheme="minorEastAsia"/>
                <w:color w:val="auto"/>
                <w:szCs w:val="21"/>
                <w:lang w:eastAsia="zh-CN"/>
              </w:rPr>
              <w:t>；</w:t>
            </w:r>
          </w:p>
          <w:p w14:paraId="4659E329">
            <w:pPr>
              <w:keepNext w:val="0"/>
              <w:keepLines w:val="0"/>
              <w:pageBreakBefore w:val="0"/>
              <w:widowControl w:val="0"/>
              <w:wordWrap/>
              <w:topLinePunct w:val="0"/>
              <w:autoSpaceDE/>
              <w:autoSpaceDN/>
              <w:bidi w:val="0"/>
              <w:adjustRightInd w:val="0"/>
              <w:snapToGrid w:val="0"/>
              <w:spacing w:line="300" w:lineRule="exact"/>
              <w:ind w:left="0"/>
              <w:textAlignment w:val="auto"/>
              <w:rPr>
                <w:rFonts w:hint="eastAsia" w:ascii="Times New Roman" w:hAnsi="Times New Roman" w:cs="Times New Roman" w:eastAsiaTheme="minorEastAsia"/>
                <w:color w:val="auto"/>
                <w:szCs w:val="21"/>
                <w:lang w:eastAsia="zh-CN"/>
              </w:rPr>
            </w:pPr>
            <w:r>
              <w:rPr>
                <w:rFonts w:hint="default" w:ascii="Times New Roman" w:hAnsi="Times New Roman" w:cs="Times New Roman" w:eastAsiaTheme="minorEastAsia"/>
                <w:color w:val="auto"/>
                <w:szCs w:val="21"/>
              </w:rPr>
              <w:t>最高限价</w:t>
            </w:r>
            <w:r>
              <w:rPr>
                <w:rFonts w:hint="eastAsia" w:cs="Times New Roman" w:eastAsiaTheme="minorEastAsia"/>
                <w:color w:val="auto"/>
                <w:szCs w:val="21"/>
                <w:lang w:eastAsia="zh-CN"/>
              </w:rPr>
              <w:t>：</w:t>
            </w:r>
            <w:r>
              <w:rPr>
                <w:rFonts w:hint="default" w:ascii="Times New Roman" w:hAnsi="Times New Roman" w:cs="Times New Roman" w:eastAsiaTheme="minorEastAsia"/>
                <w:color w:val="auto"/>
                <w:szCs w:val="21"/>
              </w:rPr>
              <w:t>¥3592200.00</w:t>
            </w:r>
            <w:r>
              <w:rPr>
                <w:rFonts w:hint="eastAsia" w:cs="Times New Roman" w:eastAsiaTheme="minorEastAsia"/>
                <w:color w:val="auto"/>
                <w:szCs w:val="21"/>
                <w:lang w:eastAsia="zh-CN"/>
              </w:rPr>
              <w:t>元。</w:t>
            </w:r>
          </w:p>
        </w:tc>
      </w:tr>
      <w:tr w14:paraId="48D64F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22" w:hRule="atLeast"/>
        </w:trPr>
        <w:tc>
          <w:tcPr>
            <w:tcW w:w="1400" w:type="dxa"/>
            <w:vAlign w:val="center"/>
          </w:tcPr>
          <w:p w14:paraId="488CE576">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第13.8款</w:t>
            </w:r>
          </w:p>
        </w:tc>
        <w:tc>
          <w:tcPr>
            <w:tcW w:w="2364" w:type="dxa"/>
            <w:vAlign w:val="center"/>
          </w:tcPr>
          <w:p w14:paraId="03C605A7">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投标报价的其他要求</w:t>
            </w:r>
          </w:p>
        </w:tc>
        <w:tc>
          <w:tcPr>
            <w:tcW w:w="5167" w:type="dxa"/>
            <w:vAlign w:val="center"/>
          </w:tcPr>
          <w:p w14:paraId="76093250">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1、投标人对采购项目内容只允许有一个投标报价，不接受备选方案。</w:t>
            </w:r>
          </w:p>
          <w:p w14:paraId="6EE9B7D0">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2、投标报价超过采购预算价或最高限价的，为无效报价。</w:t>
            </w:r>
          </w:p>
        </w:tc>
      </w:tr>
      <w:tr w14:paraId="6AC2C2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3" w:hRule="atLeast"/>
        </w:trPr>
        <w:tc>
          <w:tcPr>
            <w:tcW w:w="1400" w:type="dxa"/>
            <w:vAlign w:val="center"/>
          </w:tcPr>
          <w:p w14:paraId="718A94C0">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第14.1款</w:t>
            </w:r>
          </w:p>
        </w:tc>
        <w:tc>
          <w:tcPr>
            <w:tcW w:w="2364" w:type="dxa"/>
            <w:vAlign w:val="center"/>
          </w:tcPr>
          <w:p w14:paraId="2DEFC9BF">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投标人应提供资格审查资料</w:t>
            </w:r>
          </w:p>
        </w:tc>
        <w:tc>
          <w:tcPr>
            <w:tcW w:w="5167" w:type="dxa"/>
            <w:vAlign w:val="center"/>
          </w:tcPr>
          <w:p w14:paraId="1327CB0E">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基本资格证明资料：</w:t>
            </w:r>
            <w:r>
              <w:rPr>
                <w:rFonts w:hint="default" w:ascii="Times New Roman" w:hAnsi="Times New Roman" w:cs="Times New Roman"/>
                <w:color w:val="auto"/>
              </w:rPr>
              <w:t>详见第三章 资格审查</w:t>
            </w:r>
          </w:p>
        </w:tc>
      </w:tr>
      <w:tr w14:paraId="37B8B0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400" w:type="dxa"/>
            <w:vAlign w:val="center"/>
          </w:tcPr>
          <w:p w14:paraId="462332EF">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第14.1(3)项</w:t>
            </w:r>
          </w:p>
        </w:tc>
        <w:tc>
          <w:tcPr>
            <w:tcW w:w="2364" w:type="dxa"/>
            <w:vAlign w:val="center"/>
          </w:tcPr>
          <w:p w14:paraId="02D92A74">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特定资格条件应提供的资格审查资料</w:t>
            </w:r>
          </w:p>
        </w:tc>
        <w:tc>
          <w:tcPr>
            <w:tcW w:w="5167" w:type="dxa"/>
            <w:vAlign w:val="center"/>
          </w:tcPr>
          <w:p w14:paraId="6B20D171">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特定资格证明材料：</w:t>
            </w:r>
            <w:r>
              <w:rPr>
                <w:rFonts w:hint="default" w:ascii="Times New Roman" w:hAnsi="Times New Roman" w:cs="Times New Roman"/>
                <w:color w:val="auto"/>
              </w:rPr>
              <w:t>详见第三章 资格审查</w:t>
            </w:r>
          </w:p>
        </w:tc>
      </w:tr>
      <w:tr w14:paraId="593ED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86" w:hRule="atLeast"/>
        </w:trPr>
        <w:tc>
          <w:tcPr>
            <w:tcW w:w="1400" w:type="dxa"/>
            <w:vAlign w:val="center"/>
          </w:tcPr>
          <w:p w14:paraId="54E96DF8">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第15.3款</w:t>
            </w:r>
          </w:p>
        </w:tc>
        <w:tc>
          <w:tcPr>
            <w:tcW w:w="2364" w:type="dxa"/>
            <w:vAlign w:val="center"/>
          </w:tcPr>
          <w:p w14:paraId="1B917E90">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样品提供的规定</w:t>
            </w:r>
          </w:p>
        </w:tc>
        <w:tc>
          <w:tcPr>
            <w:tcW w:w="5167" w:type="dxa"/>
            <w:vAlign w:val="center"/>
          </w:tcPr>
          <w:p w14:paraId="19D300DC">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 不要求提供</w:t>
            </w:r>
          </w:p>
          <w:p w14:paraId="6B0477A7">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eastAsia" w:ascii="Times New Roman" w:hAnsi="Times New Roman" w:cs="Times New Roman"/>
                <w:color w:val="auto"/>
                <w:szCs w:val="21"/>
                <w:lang w:eastAsia="zh-CN"/>
              </w:rPr>
              <w:t>□</w:t>
            </w:r>
            <w:r>
              <w:rPr>
                <w:rFonts w:hint="default" w:ascii="Times New Roman" w:hAnsi="Times New Roman" w:cs="Times New Roman"/>
                <w:color w:val="auto"/>
                <w:szCs w:val="21"/>
              </w:rPr>
              <w:t xml:space="preserve"> 要求提供，提交的时间： 地点 。</w:t>
            </w:r>
          </w:p>
          <w:p w14:paraId="439FFF73">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1、样品制作的标准和要求、是否需要随样品提交相关检测报告、样品的评审方法以及评审标准详见第三章及第四章。</w:t>
            </w:r>
          </w:p>
          <w:p w14:paraId="1A6E367A">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2、中标人提供的样品保管、封存规定：/</w:t>
            </w:r>
          </w:p>
        </w:tc>
      </w:tr>
      <w:tr w14:paraId="356D54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1400" w:type="dxa"/>
            <w:vAlign w:val="center"/>
          </w:tcPr>
          <w:p w14:paraId="600E0AE5">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第16.1</w:t>
            </w:r>
            <w:r>
              <w:rPr>
                <w:rFonts w:hint="default" w:ascii="Times New Roman" w:hAnsi="Times New Roman" w:cs="Times New Roman" w:eastAsiaTheme="minorEastAsia"/>
                <w:color w:val="auto"/>
                <w:kern w:val="0"/>
                <w:szCs w:val="21"/>
                <w:lang w:val="zh-CN"/>
              </w:rPr>
              <w:t>款</w:t>
            </w:r>
          </w:p>
        </w:tc>
        <w:tc>
          <w:tcPr>
            <w:tcW w:w="2364" w:type="dxa"/>
            <w:vAlign w:val="center"/>
          </w:tcPr>
          <w:p w14:paraId="70C03692">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投标有效期</w:t>
            </w:r>
          </w:p>
        </w:tc>
        <w:tc>
          <w:tcPr>
            <w:tcW w:w="5167" w:type="dxa"/>
            <w:vAlign w:val="center"/>
          </w:tcPr>
          <w:p w14:paraId="61065A43">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u w:val="single"/>
              </w:rPr>
              <w:t>90</w:t>
            </w:r>
            <w:r>
              <w:rPr>
                <w:rFonts w:hint="default" w:ascii="Times New Roman" w:hAnsi="Times New Roman" w:cs="Times New Roman" w:eastAsiaTheme="minorEastAsia"/>
                <w:bCs/>
                <w:color w:val="auto"/>
                <w:szCs w:val="21"/>
              </w:rPr>
              <w:t>日（日历日），如投标有效期不足的，在评标时将视为无效投标。</w:t>
            </w:r>
          </w:p>
        </w:tc>
      </w:tr>
      <w:tr w14:paraId="67943B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400" w:type="dxa"/>
            <w:vAlign w:val="center"/>
          </w:tcPr>
          <w:p w14:paraId="589BA420">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第17.1</w:t>
            </w:r>
            <w:r>
              <w:rPr>
                <w:rFonts w:hint="default" w:ascii="Times New Roman" w:hAnsi="Times New Roman" w:cs="Times New Roman" w:eastAsiaTheme="minorEastAsia"/>
                <w:color w:val="auto"/>
                <w:kern w:val="0"/>
                <w:szCs w:val="21"/>
                <w:lang w:val="zh-CN"/>
              </w:rPr>
              <w:t>款</w:t>
            </w:r>
          </w:p>
        </w:tc>
        <w:tc>
          <w:tcPr>
            <w:tcW w:w="2364" w:type="dxa"/>
            <w:vAlign w:val="center"/>
          </w:tcPr>
          <w:p w14:paraId="7E104F34">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bCs/>
                <w:color w:val="auto"/>
                <w:szCs w:val="21"/>
              </w:rPr>
              <w:t>分包</w:t>
            </w:r>
          </w:p>
        </w:tc>
        <w:tc>
          <w:tcPr>
            <w:tcW w:w="5167" w:type="dxa"/>
            <w:vAlign w:val="center"/>
          </w:tcPr>
          <w:p w14:paraId="2B22E1A7">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
                <w:bCs/>
                <w:color w:val="auto"/>
                <w:szCs w:val="21"/>
              </w:rPr>
            </w:pPr>
            <w:r>
              <w:rPr>
                <w:rFonts w:hint="default" w:ascii="Times New Roman" w:hAnsi="Times New Roman" w:cs="Times New Roman" w:eastAsiaTheme="minorEastAsia"/>
                <w:bCs/>
                <w:color w:val="auto"/>
                <w:szCs w:val="21"/>
              </w:rPr>
              <w:t>分包要求：</w:t>
            </w:r>
            <w:r>
              <w:rPr>
                <w:rFonts w:hint="default" w:ascii="Times New Roman" w:hAnsi="Times New Roman" w:cs="Times New Roman" w:eastAsiaTheme="minorEastAsia"/>
                <w:bCs/>
                <w:color w:val="auto"/>
                <w:szCs w:val="21"/>
                <w:u w:val="single"/>
              </w:rPr>
              <w:t>/</w:t>
            </w:r>
          </w:p>
        </w:tc>
      </w:tr>
      <w:tr w14:paraId="0B104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3" w:hRule="atLeast"/>
        </w:trPr>
        <w:tc>
          <w:tcPr>
            <w:tcW w:w="8931" w:type="dxa"/>
            <w:gridSpan w:val="3"/>
            <w:vAlign w:val="center"/>
          </w:tcPr>
          <w:p w14:paraId="5C769911">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
                <w:bCs/>
                <w:color w:val="auto"/>
                <w:szCs w:val="21"/>
              </w:rPr>
            </w:pPr>
            <w:r>
              <w:rPr>
                <w:rFonts w:hint="default" w:ascii="Times New Roman" w:hAnsi="Times New Roman" w:cs="Times New Roman" w:eastAsiaTheme="minorEastAsia"/>
                <w:b/>
                <w:color w:val="auto"/>
                <w:szCs w:val="21"/>
              </w:rPr>
              <w:t>四、投标</w:t>
            </w:r>
          </w:p>
        </w:tc>
      </w:tr>
      <w:tr w14:paraId="07C65D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20" w:hRule="atLeast"/>
        </w:trPr>
        <w:tc>
          <w:tcPr>
            <w:tcW w:w="1400" w:type="dxa"/>
            <w:vAlign w:val="center"/>
          </w:tcPr>
          <w:p w14:paraId="36FA5B7D">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第19.1</w:t>
            </w:r>
            <w:r>
              <w:rPr>
                <w:rFonts w:hint="default" w:ascii="Times New Roman" w:hAnsi="Times New Roman" w:cs="Times New Roman" w:eastAsiaTheme="minorEastAsia"/>
                <w:color w:val="auto"/>
                <w:kern w:val="0"/>
                <w:szCs w:val="21"/>
                <w:lang w:val="zh-CN"/>
              </w:rPr>
              <w:t>款</w:t>
            </w:r>
          </w:p>
        </w:tc>
        <w:tc>
          <w:tcPr>
            <w:tcW w:w="2364" w:type="dxa"/>
            <w:vAlign w:val="center"/>
          </w:tcPr>
          <w:p w14:paraId="20784BB3">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投标截止时间（开标时间）</w:t>
            </w:r>
          </w:p>
        </w:tc>
        <w:tc>
          <w:tcPr>
            <w:tcW w:w="5167" w:type="dxa"/>
            <w:vAlign w:val="center"/>
          </w:tcPr>
          <w:p w14:paraId="7A8D9208">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Cs/>
                <w:color w:val="auto"/>
                <w:szCs w:val="21"/>
              </w:rPr>
            </w:pPr>
            <w:r>
              <w:rPr>
                <w:rFonts w:hint="default" w:ascii="Times New Roman" w:hAnsi="Times New Roman" w:cs="Times New Roman"/>
                <w:color w:val="auto"/>
                <w:szCs w:val="21"/>
              </w:rPr>
              <w:t>详见第一章【投标邀请】</w:t>
            </w:r>
          </w:p>
        </w:tc>
      </w:tr>
      <w:tr w14:paraId="1CA50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5" w:hRule="atLeast"/>
        </w:trPr>
        <w:tc>
          <w:tcPr>
            <w:tcW w:w="8931" w:type="dxa"/>
            <w:gridSpan w:val="3"/>
            <w:vAlign w:val="center"/>
          </w:tcPr>
          <w:p w14:paraId="244D02D6">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bCs/>
                <w:color w:val="auto"/>
                <w:szCs w:val="21"/>
              </w:rPr>
              <w:t>五、开标、资格审查和评标</w:t>
            </w:r>
          </w:p>
        </w:tc>
      </w:tr>
      <w:tr w14:paraId="0CE8B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95" w:hRule="atLeast"/>
        </w:trPr>
        <w:tc>
          <w:tcPr>
            <w:tcW w:w="1400" w:type="dxa"/>
            <w:vAlign w:val="center"/>
          </w:tcPr>
          <w:p w14:paraId="29FD61D4">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第22.1款</w:t>
            </w:r>
          </w:p>
        </w:tc>
        <w:tc>
          <w:tcPr>
            <w:tcW w:w="2364" w:type="dxa"/>
            <w:vAlign w:val="center"/>
          </w:tcPr>
          <w:p w14:paraId="09B16CA0">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解密电子投标文件时限及方式</w:t>
            </w:r>
          </w:p>
        </w:tc>
        <w:tc>
          <w:tcPr>
            <w:tcW w:w="5167" w:type="dxa"/>
            <w:vAlign w:val="center"/>
          </w:tcPr>
          <w:p w14:paraId="60156C25">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szCs w:val="21"/>
              </w:rPr>
            </w:pPr>
            <w:r>
              <w:rPr>
                <w:rFonts w:hint="default" w:ascii="Times New Roman" w:hAnsi="Times New Roman" w:cs="Times New Roman"/>
                <w:color w:val="auto"/>
                <w:szCs w:val="21"/>
              </w:rPr>
              <w:t>投标人使用加密投标文件的CA数字证书在投标截止时间起</w:t>
            </w:r>
            <w:r>
              <w:rPr>
                <w:rFonts w:hint="default" w:ascii="Times New Roman" w:hAnsi="Times New Roman" w:cs="Times New Roman"/>
                <w:color w:val="auto"/>
                <w:szCs w:val="21"/>
                <w:u w:val="single"/>
              </w:rPr>
              <w:t>30</w:t>
            </w:r>
            <w:r>
              <w:rPr>
                <w:rFonts w:hint="default" w:ascii="Times New Roman" w:hAnsi="Times New Roman" w:cs="Times New Roman"/>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4E33A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8931" w:type="dxa"/>
            <w:gridSpan w:val="3"/>
            <w:vAlign w:val="center"/>
          </w:tcPr>
          <w:p w14:paraId="24AA4329">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六、中标信息公布</w:t>
            </w:r>
          </w:p>
        </w:tc>
      </w:tr>
      <w:tr w14:paraId="645DA5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97" w:hRule="atLeast"/>
        </w:trPr>
        <w:tc>
          <w:tcPr>
            <w:tcW w:w="1400" w:type="dxa"/>
            <w:shd w:val="clear" w:color="auto" w:fill="auto"/>
            <w:vAlign w:val="center"/>
          </w:tcPr>
          <w:p w14:paraId="361E5251">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第26.2</w:t>
            </w:r>
            <w:r>
              <w:rPr>
                <w:rFonts w:hint="default" w:ascii="Times New Roman" w:hAnsi="Times New Roman" w:cs="Times New Roman" w:eastAsiaTheme="minorEastAsia"/>
                <w:color w:val="auto"/>
                <w:kern w:val="0"/>
                <w:szCs w:val="21"/>
                <w:lang w:val="zh-CN"/>
              </w:rPr>
              <w:t>款</w:t>
            </w:r>
          </w:p>
        </w:tc>
        <w:tc>
          <w:tcPr>
            <w:tcW w:w="2364" w:type="dxa"/>
            <w:shd w:val="clear" w:color="auto" w:fill="auto"/>
            <w:vAlign w:val="center"/>
          </w:tcPr>
          <w:p w14:paraId="12CCD1FE">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中标候选人并列的确定中标人的方式</w:t>
            </w:r>
            <w:r>
              <w:rPr>
                <w:rFonts w:hint="eastAsia" w:asciiTheme="minorEastAsia" w:hAnsiTheme="minorEastAsia" w:eastAsiaTheme="minorEastAsia"/>
                <w:color w:val="auto"/>
                <w:szCs w:val="21"/>
                <w:lang w:eastAsia="zh-CN"/>
              </w:rPr>
              <w:t>（综合评分法）</w:t>
            </w:r>
          </w:p>
        </w:tc>
        <w:tc>
          <w:tcPr>
            <w:tcW w:w="5167" w:type="dxa"/>
            <w:shd w:val="clear" w:color="auto" w:fill="auto"/>
            <w:vAlign w:val="center"/>
          </w:tcPr>
          <w:p w14:paraId="4D542515">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u w:val="single"/>
              </w:rPr>
            </w:pPr>
            <w:r>
              <w:rPr>
                <w:rFonts w:hint="default" w:ascii="Times New Roman" w:hAnsi="Times New Roman" w:cs="Times New Roman"/>
                <w:color w:val="auto"/>
                <w:szCs w:val="21"/>
              </w:rPr>
              <w:t>按评审后得分由高到低顺序排列。得分相同的，按投标报价由低到高顺序排列。得分且投标报价相同的并列。投标文件满足招标文件全部实质性要求，且按照技术评审得分最高的投标人为排名第一的中标候选人。</w:t>
            </w:r>
          </w:p>
        </w:tc>
      </w:tr>
      <w:tr w14:paraId="1E1DFB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00" w:hRule="atLeast"/>
        </w:trPr>
        <w:tc>
          <w:tcPr>
            <w:tcW w:w="1400" w:type="dxa"/>
            <w:vAlign w:val="center"/>
          </w:tcPr>
          <w:p w14:paraId="754668CB">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第27.3</w:t>
            </w:r>
            <w:r>
              <w:rPr>
                <w:rFonts w:hint="default" w:ascii="Times New Roman" w:hAnsi="Times New Roman" w:cs="Times New Roman" w:eastAsiaTheme="minorEastAsia"/>
                <w:color w:val="auto"/>
                <w:kern w:val="0"/>
                <w:szCs w:val="21"/>
                <w:lang w:val="zh-CN"/>
              </w:rPr>
              <w:t>款</w:t>
            </w:r>
          </w:p>
        </w:tc>
        <w:tc>
          <w:tcPr>
            <w:tcW w:w="2364" w:type="dxa"/>
            <w:vAlign w:val="center"/>
          </w:tcPr>
          <w:p w14:paraId="417CACC6">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接收质疑函的联系部门、联系电话和通讯地址</w:t>
            </w:r>
          </w:p>
        </w:tc>
        <w:tc>
          <w:tcPr>
            <w:tcW w:w="5167" w:type="dxa"/>
            <w:vAlign w:val="center"/>
          </w:tcPr>
          <w:p w14:paraId="2CF23D12">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rPr>
            </w:pPr>
            <w:r>
              <w:rPr>
                <w:rFonts w:hint="default" w:ascii="Times New Roman" w:hAnsi="Times New Roman" w:cs="Times New Roman"/>
                <w:b/>
                <w:color w:val="auto"/>
              </w:rPr>
              <w:t>1、接收质疑函的方式：</w:t>
            </w:r>
            <w:r>
              <w:rPr>
                <w:rFonts w:hint="default" w:ascii="Times New Roman" w:hAnsi="Times New Roman" w:cs="Times New Roman"/>
                <w:color w:val="auto"/>
              </w:rPr>
              <w:t>投标人应按照《湖南省财政厅关于印发&lt;政府采购质疑答复和投诉处理操作规程&gt;的通知》（湘财购〔2024〕67号）规定</w:t>
            </w:r>
            <w:r>
              <w:rPr>
                <w:rFonts w:hint="eastAsia" w:cs="Times New Roman"/>
                <w:color w:val="auto"/>
                <w:lang w:eastAsia="zh-CN"/>
              </w:rPr>
              <w:t>同一质疑事项一次性</w:t>
            </w:r>
            <w:r>
              <w:rPr>
                <w:rFonts w:hint="default" w:ascii="Times New Roman" w:hAnsi="Times New Roman" w:cs="Times New Roman"/>
                <w:color w:val="auto"/>
              </w:rPr>
              <w:t>向采购人和采购代理机构一并提交书面质疑函及相关证明材料。</w:t>
            </w:r>
          </w:p>
          <w:p w14:paraId="046EF236">
            <w:pPr>
              <w:keepNext w:val="0"/>
              <w:keepLines w:val="0"/>
              <w:pageBreakBefore w:val="0"/>
              <w:widowControl w:val="0"/>
              <w:wordWrap/>
              <w:topLinePunct w:val="0"/>
              <w:autoSpaceDE/>
              <w:autoSpaceDN/>
              <w:bidi w:val="0"/>
              <w:spacing w:line="300" w:lineRule="exact"/>
              <w:ind w:left="0"/>
              <w:jc w:val="left"/>
              <w:textAlignment w:val="auto"/>
              <w:rPr>
                <w:rFonts w:hint="default" w:ascii="Times New Roman" w:hAnsi="Times New Roman" w:cs="Times New Roman"/>
                <w:color w:val="auto"/>
              </w:rPr>
            </w:pPr>
            <w:r>
              <w:rPr>
                <w:rFonts w:hint="default" w:ascii="Times New Roman" w:hAnsi="Times New Roman" w:cs="Times New Roman"/>
                <w:b/>
                <w:bCs/>
                <w:color w:val="auto"/>
                <w:kern w:val="0"/>
                <w:szCs w:val="21"/>
              </w:rPr>
              <w:t>2、接收质疑函的联系部门、联系电话和通讯地址：</w:t>
            </w:r>
          </w:p>
          <w:p w14:paraId="454C5F27">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rPr>
            </w:pPr>
            <w:r>
              <w:rPr>
                <w:rFonts w:hint="default" w:ascii="Times New Roman" w:hAnsi="Times New Roman" w:cs="Times New Roman"/>
                <w:color w:val="auto"/>
              </w:rPr>
              <w:t>联系部门：湖南金翔项目咨询管理有限公司</w:t>
            </w:r>
          </w:p>
          <w:p w14:paraId="15DED6C4">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rPr>
            </w:pPr>
            <w:r>
              <w:rPr>
                <w:rFonts w:hint="default" w:ascii="Times New Roman" w:hAnsi="Times New Roman" w:cs="Times New Roman"/>
                <w:color w:val="auto"/>
              </w:rPr>
              <w:t>通讯地址：郴州市文锦路鑫沙苑A2栋2单元205室</w:t>
            </w:r>
          </w:p>
          <w:p w14:paraId="5F8C8D85">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color w:val="auto"/>
              </w:rPr>
            </w:pPr>
            <w:r>
              <w:rPr>
                <w:rFonts w:hint="default" w:ascii="Times New Roman" w:hAnsi="Times New Roman" w:cs="Times New Roman"/>
                <w:color w:val="auto"/>
              </w:rPr>
              <w:t>联系电话：0735-2233598</w:t>
            </w:r>
          </w:p>
          <w:p w14:paraId="7832CBAF">
            <w:pPr>
              <w:pStyle w:val="52"/>
              <w:keepNext w:val="0"/>
              <w:keepLines w:val="0"/>
              <w:pageBreakBefore w:val="0"/>
              <w:widowControl w:val="0"/>
              <w:wordWrap/>
              <w:topLinePunct w:val="0"/>
              <w:autoSpaceDE/>
              <w:autoSpaceDN/>
              <w:bidi w:val="0"/>
              <w:spacing w:line="300" w:lineRule="exact"/>
              <w:ind w:left="0" w:firstLine="0" w:firstLineChars="0"/>
              <w:jc w:val="left"/>
              <w:textAlignment w:val="auto"/>
              <w:rPr>
                <w:rFonts w:hint="default" w:ascii="Times New Roman" w:hAnsi="Times New Roman" w:cs="Times New Roman"/>
                <w:color w:val="auto"/>
              </w:rPr>
            </w:pPr>
            <w:r>
              <w:rPr>
                <w:rFonts w:hint="default" w:ascii="Times New Roman" w:hAnsi="Times New Roman" w:cs="Times New Roman"/>
                <w:color w:val="auto"/>
              </w:rPr>
              <w:t>联系部门：郴州市自然资源和规划局</w:t>
            </w:r>
          </w:p>
          <w:p w14:paraId="202E16B5">
            <w:pPr>
              <w:pStyle w:val="52"/>
              <w:keepNext w:val="0"/>
              <w:keepLines w:val="0"/>
              <w:pageBreakBefore w:val="0"/>
              <w:widowControl w:val="0"/>
              <w:wordWrap/>
              <w:topLinePunct w:val="0"/>
              <w:autoSpaceDE/>
              <w:autoSpaceDN/>
              <w:bidi w:val="0"/>
              <w:spacing w:line="300" w:lineRule="exact"/>
              <w:ind w:left="0" w:firstLine="0" w:firstLineChars="0"/>
              <w:jc w:val="left"/>
              <w:textAlignment w:val="auto"/>
              <w:rPr>
                <w:rFonts w:hint="default" w:ascii="Times New Roman" w:hAnsi="Times New Roman" w:cs="Times New Roman"/>
                <w:color w:val="auto"/>
              </w:rPr>
            </w:pPr>
            <w:r>
              <w:rPr>
                <w:rFonts w:hint="default" w:ascii="Times New Roman" w:hAnsi="Times New Roman" w:cs="Times New Roman"/>
                <w:color w:val="auto"/>
              </w:rPr>
              <w:t>通讯地址：郴州市北湖区青年大道6号</w:t>
            </w:r>
          </w:p>
          <w:p w14:paraId="47179FF6">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eastAsia="宋体" w:cs="Times New Roman"/>
                <w:color w:val="auto"/>
                <w:szCs w:val="21"/>
                <w:lang w:eastAsia="zh-CN"/>
              </w:rPr>
            </w:pPr>
            <w:r>
              <w:rPr>
                <w:rFonts w:hint="default" w:ascii="Times New Roman" w:hAnsi="Times New Roman" w:cs="Times New Roman"/>
                <w:color w:val="auto"/>
              </w:rPr>
              <w:t>联系电话：0735-2362806</w:t>
            </w:r>
          </w:p>
        </w:tc>
      </w:tr>
      <w:tr w14:paraId="033801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7" w:hRule="atLeast"/>
        </w:trPr>
        <w:tc>
          <w:tcPr>
            <w:tcW w:w="8931" w:type="dxa"/>
            <w:gridSpan w:val="3"/>
            <w:vAlign w:val="center"/>
          </w:tcPr>
          <w:p w14:paraId="1D2174FD">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七、其他规定</w:t>
            </w:r>
          </w:p>
        </w:tc>
      </w:tr>
      <w:tr w14:paraId="48097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8" w:hRule="atLeast"/>
        </w:trPr>
        <w:tc>
          <w:tcPr>
            <w:tcW w:w="1400" w:type="dxa"/>
            <w:vAlign w:val="center"/>
          </w:tcPr>
          <w:p w14:paraId="7556942E">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第32.1</w:t>
            </w:r>
            <w:r>
              <w:rPr>
                <w:rFonts w:hint="default" w:ascii="Times New Roman" w:hAnsi="Times New Roman" w:cs="Times New Roman" w:eastAsiaTheme="minorEastAsia"/>
                <w:color w:val="auto"/>
                <w:kern w:val="0"/>
                <w:szCs w:val="21"/>
                <w:lang w:val="zh-CN"/>
              </w:rPr>
              <w:t>款</w:t>
            </w:r>
          </w:p>
        </w:tc>
        <w:tc>
          <w:tcPr>
            <w:tcW w:w="2364" w:type="dxa"/>
            <w:vAlign w:val="center"/>
          </w:tcPr>
          <w:p w14:paraId="439215B9">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招标代理服务费</w:t>
            </w:r>
          </w:p>
        </w:tc>
        <w:tc>
          <w:tcPr>
            <w:tcW w:w="5167" w:type="dxa"/>
            <w:vAlign w:val="center"/>
          </w:tcPr>
          <w:p w14:paraId="15C9DD36">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eastAsia" w:ascii="Times New Roman" w:hAnsi="Times New Roman" w:cs="Times New Roman" w:eastAsiaTheme="minorEastAsia"/>
                <w:color w:val="auto"/>
                <w:szCs w:val="21"/>
                <w:lang w:eastAsia="zh-CN"/>
              </w:rPr>
              <w:t>□</w:t>
            </w:r>
            <w:r>
              <w:rPr>
                <w:rFonts w:hint="default" w:ascii="Times New Roman" w:hAnsi="Times New Roman" w:cs="Times New Roman" w:eastAsiaTheme="minorEastAsia"/>
                <w:color w:val="auto"/>
                <w:szCs w:val="21"/>
              </w:rPr>
              <w:t>集中采购机构不收代理服务费。</w:t>
            </w:r>
          </w:p>
          <w:p w14:paraId="64DEDB84">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 w:val="24"/>
              </w:rPr>
              <w:sym w:font="Wingdings" w:char="00FE"/>
            </w:r>
            <w:r>
              <w:rPr>
                <w:rFonts w:hint="default" w:ascii="Times New Roman" w:hAnsi="Times New Roman" w:cs="Times New Roman" w:eastAsiaTheme="minorEastAsia"/>
                <w:color w:val="auto"/>
                <w:szCs w:val="21"/>
              </w:rPr>
              <w:t>招标代理服务费由采购人支付。</w:t>
            </w:r>
          </w:p>
        </w:tc>
      </w:tr>
      <w:tr w14:paraId="766B7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00" w:type="dxa"/>
            <w:vAlign w:val="center"/>
          </w:tcPr>
          <w:p w14:paraId="1EC40DDC">
            <w:pPr>
              <w:keepNext w:val="0"/>
              <w:keepLines w:val="0"/>
              <w:pageBreakBefore w:val="0"/>
              <w:widowControl w:val="0"/>
              <w:wordWrap/>
              <w:topLinePunct w:val="0"/>
              <w:autoSpaceDE/>
              <w:autoSpaceDN/>
              <w:bidi w:val="0"/>
              <w:adjustRightInd w:val="0"/>
              <w:snapToGrid w:val="0"/>
              <w:spacing w:line="300" w:lineRule="exact"/>
              <w:ind w:left="0"/>
              <w:jc w:val="center"/>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第33.1</w:t>
            </w:r>
            <w:r>
              <w:rPr>
                <w:rFonts w:hint="default" w:ascii="Times New Roman" w:hAnsi="Times New Roman" w:cs="Times New Roman" w:eastAsiaTheme="minorEastAsia"/>
                <w:color w:val="auto"/>
                <w:kern w:val="0"/>
                <w:szCs w:val="21"/>
                <w:lang w:val="zh-CN"/>
              </w:rPr>
              <w:t>款</w:t>
            </w:r>
          </w:p>
        </w:tc>
        <w:tc>
          <w:tcPr>
            <w:tcW w:w="2364" w:type="dxa"/>
            <w:vAlign w:val="center"/>
          </w:tcPr>
          <w:p w14:paraId="1FABDF13">
            <w:pPr>
              <w:keepNext w:val="0"/>
              <w:keepLines w:val="0"/>
              <w:pageBreakBefore w:val="0"/>
              <w:widowControl w:val="0"/>
              <w:wordWrap/>
              <w:topLinePunct w:val="0"/>
              <w:autoSpaceDE/>
              <w:autoSpaceDN/>
              <w:bidi w:val="0"/>
              <w:adjustRightInd w:val="0"/>
              <w:snapToGrid w:val="0"/>
              <w:spacing w:line="300" w:lineRule="exact"/>
              <w:ind w:left="0"/>
              <w:jc w:val="left"/>
              <w:textAlignment w:val="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其他规定</w:t>
            </w:r>
          </w:p>
        </w:tc>
        <w:tc>
          <w:tcPr>
            <w:tcW w:w="5167" w:type="dxa"/>
            <w:vAlign w:val="center"/>
          </w:tcPr>
          <w:p w14:paraId="1E336B95">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1.根据《关于推动解决政府采购异常低价问题的通知》（财库〔2026〕2号），异常低价处理如下：</w:t>
            </w:r>
          </w:p>
          <w:p w14:paraId="20E8DB80">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1.1评审中出现下列情形之一的，评审委员会应当启动异常低价投标（响应）审查程序：</w:t>
            </w:r>
          </w:p>
          <w:p w14:paraId="2E57A2B9">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1）投标（响应）报价低于全部通过符合性审查供应商投标（响应）报价平均</w:t>
            </w:r>
            <w:r>
              <w:rPr>
                <w:rFonts w:hint="default" w:ascii="Times New Roman" w:hAnsi="Times New Roman" w:cs="Times New Roman"/>
                <w:color w:val="auto"/>
                <w:shd w:val="clear"/>
              </w:rPr>
              <w:t>值50%</w:t>
            </w:r>
            <w:r>
              <w:rPr>
                <w:rFonts w:hint="default" w:ascii="Times New Roman" w:hAnsi="Times New Roman" w:cs="Times New Roman"/>
                <w:color w:val="auto"/>
              </w:rPr>
              <w:t>的，即投标（响应）报价&lt;全部通过符合性审查供应商投标（响应）报价平均值×50%；</w:t>
            </w:r>
          </w:p>
          <w:p w14:paraId="3DB8BDAB">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2）投标（响应）报价低于通过符合性审查的次低报价供应商投标（响应）报价50%的，即投标（响应）报价&lt;通过符合性审查的次低报价供应商投标（响应）报价×50%；</w:t>
            </w:r>
          </w:p>
          <w:p w14:paraId="615DA0CB">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3）投标（响应）报价低于采购项目最高限价45%的，即投标（响应）报价&lt;采购项目最高限价×45%；</w:t>
            </w:r>
          </w:p>
          <w:p w14:paraId="5BCBF204">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4）评审委员会基于专业判断，认为供应商报价过低，有可能影响产品质量或者不能诚信履约的其他情形。</w:t>
            </w:r>
          </w:p>
          <w:p w14:paraId="459F181D">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1.2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9BC8A5">
            <w:pPr>
              <w:keepNext w:val="0"/>
              <w:keepLines w:val="0"/>
              <w:pageBreakBefore w:val="0"/>
              <w:widowControl w:val="0"/>
              <w:wordWrap/>
              <w:topLinePunct w:val="0"/>
              <w:autoSpaceDE/>
              <w:autoSpaceDN/>
              <w:bidi w:val="0"/>
              <w:adjustRightInd w:val="0"/>
              <w:snapToGrid w:val="0"/>
              <w:spacing w:line="300" w:lineRule="exact"/>
              <w:ind w:left="0"/>
              <w:textAlignment w:val="auto"/>
              <w:rPr>
                <w:rFonts w:hint="default" w:ascii="Times New Roman" w:hAnsi="Times New Roman" w:cs="Times New Roman"/>
                <w:color w:val="auto"/>
              </w:rPr>
            </w:pPr>
            <w:r>
              <w:rPr>
                <w:rFonts w:hint="default" w:ascii="Times New Roman" w:hAnsi="Times New Roman" w:cs="Times New Roman"/>
                <w:color w:val="auto"/>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1BB49E3">
            <w:pPr>
              <w:pStyle w:val="17"/>
              <w:keepNext w:val="0"/>
              <w:keepLines w:val="0"/>
              <w:pageBreakBefore w:val="0"/>
              <w:widowControl w:val="0"/>
              <w:wordWrap/>
              <w:topLinePunct w:val="0"/>
              <w:autoSpaceDE/>
              <w:autoSpaceDN/>
              <w:bidi w:val="0"/>
              <w:spacing w:after="0" w:line="300" w:lineRule="exact"/>
              <w:ind w:left="0"/>
              <w:textAlignment w:val="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Cs w:val="21"/>
              </w:rPr>
              <w:t xml:space="preserve">2.本项目中标单位中标后提供三份与电子投标文件一致的加盖公章的纸质投标文件，不一致的以电子投标文件为准。 </w:t>
            </w:r>
          </w:p>
        </w:tc>
      </w:tr>
    </w:tbl>
    <w:p w14:paraId="0AE5AE9E">
      <w:pPr>
        <w:adjustRightInd w:val="0"/>
        <w:snapToGrid w:val="0"/>
        <w:spacing w:line="360" w:lineRule="auto"/>
        <w:rPr>
          <w:rFonts w:hint="default" w:ascii="Times New Roman" w:hAnsi="Times New Roman" w:cs="Times New Roman"/>
          <w:b/>
          <w:color w:val="auto"/>
          <w:szCs w:val="21"/>
        </w:rPr>
      </w:pPr>
      <w:r>
        <w:rPr>
          <w:rFonts w:hint="default" w:ascii="Times New Roman" w:hAnsi="Times New Roman" w:cs="Times New Roman"/>
          <w:b/>
          <w:color w:val="auto"/>
          <w:szCs w:val="21"/>
        </w:rPr>
        <w:br w:type="page"/>
      </w:r>
    </w:p>
    <w:p w14:paraId="5BEA4F8B">
      <w:pPr>
        <w:pStyle w:val="4"/>
        <w:adjustRightInd w:val="0"/>
        <w:snapToGrid w:val="0"/>
        <w:spacing w:beforeLines="50"/>
        <w:jc w:val="center"/>
        <w:rPr>
          <w:rFonts w:hint="default" w:ascii="Times New Roman" w:hAnsi="Times New Roman" w:eastAsia="黑体" w:cs="Times New Roman"/>
          <w:color w:val="auto"/>
          <w:sz w:val="28"/>
          <w:szCs w:val="28"/>
        </w:rPr>
      </w:pPr>
      <w:bookmarkStart w:id="20" w:name="_Toc11081"/>
      <w:bookmarkStart w:id="21" w:name="_Toc3776"/>
      <w:bookmarkStart w:id="22" w:name="_Toc29913896"/>
      <w:r>
        <w:rPr>
          <w:rFonts w:hint="default" w:ascii="Times New Roman" w:hAnsi="Times New Roman" w:eastAsia="黑体" w:cs="Times New Roman"/>
          <w:color w:val="auto"/>
          <w:sz w:val="28"/>
          <w:szCs w:val="28"/>
        </w:rPr>
        <w:t>第二节 投标须知</w:t>
      </w:r>
      <w:bookmarkEnd w:id="20"/>
      <w:bookmarkEnd w:id="21"/>
      <w:bookmarkEnd w:id="22"/>
    </w:p>
    <w:p w14:paraId="53D94003">
      <w:pPr>
        <w:pStyle w:val="5"/>
        <w:adjustRightInd w:val="0"/>
        <w:snapToGrid w:val="0"/>
        <w:spacing w:beforeLines="50" w:after="0" w:line="360" w:lineRule="auto"/>
        <w:jc w:val="center"/>
        <w:rPr>
          <w:rFonts w:hint="default" w:ascii="Times New Roman" w:hAnsi="Times New Roman" w:eastAsia="黑体" w:cs="Times New Roman"/>
          <w:b w:val="0"/>
          <w:color w:val="auto"/>
          <w:sz w:val="28"/>
          <w:szCs w:val="28"/>
        </w:rPr>
      </w:pPr>
      <w:bookmarkStart w:id="23" w:name="_Toc30793"/>
      <w:bookmarkStart w:id="24" w:name="_Toc13834"/>
      <w:bookmarkStart w:id="25" w:name="_Toc29913897"/>
      <w:r>
        <w:rPr>
          <w:rFonts w:hint="default" w:ascii="Times New Roman" w:hAnsi="Times New Roman" w:eastAsia="黑体" w:cs="Times New Roman"/>
          <w:color w:val="auto"/>
          <w:sz w:val="28"/>
          <w:szCs w:val="28"/>
        </w:rPr>
        <w:t>一、总则</w:t>
      </w:r>
      <w:bookmarkEnd w:id="23"/>
      <w:bookmarkEnd w:id="24"/>
      <w:bookmarkEnd w:id="25"/>
    </w:p>
    <w:p w14:paraId="67A75E04">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 适用范围</w:t>
      </w:r>
    </w:p>
    <w:p w14:paraId="0B32ED4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1.1本招标文件仅适用于本章第一节“投标须知前附表”（以下简称</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）中所叙述的采购项目。</w:t>
      </w:r>
    </w:p>
    <w:p w14:paraId="7FEF1F4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1.2</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规定采购项目专门面向中小企业采购的，如投标人为非中小企业，其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w:t>
      </w:r>
      <w:r>
        <w:rPr>
          <w:rFonts w:hint="eastAsia" w:asciiTheme="minorEastAsia" w:hAnsiTheme="minorEastAsia" w:eastAsiaTheme="minorEastAsia"/>
          <w:color w:val="auto"/>
          <w:szCs w:val="21"/>
        </w:rPr>
        <w:t>本项目为非专门面向中小微企业采购</w:t>
      </w:r>
      <w:r>
        <w:rPr>
          <w:rFonts w:hint="eastAsia" w:asciiTheme="minorEastAsia" w:hAnsiTheme="minorEastAsia" w:eastAsiaTheme="minorEastAsia"/>
          <w:color w:val="auto"/>
          <w:szCs w:val="21"/>
          <w:lang w:eastAsia="zh-CN"/>
        </w:rPr>
        <w:t>。</w:t>
      </w:r>
    </w:p>
    <w:p w14:paraId="6E2BA0C7">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 定义</w:t>
      </w:r>
    </w:p>
    <w:p w14:paraId="47765AC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2.1采购项目联系人姓名和电话见</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w:t>
      </w:r>
    </w:p>
    <w:p w14:paraId="660D214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2.2采购人名称、地址、电话、联系人见</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w:t>
      </w:r>
    </w:p>
    <w:p w14:paraId="064291D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2.3采购代理机构名称、地址、电话、联系人见</w:t>
      </w:r>
      <w:r>
        <w:rPr>
          <w:rFonts w:hint="default" w:ascii="Times New Roman" w:hAnsi="Times New Roman" w:cs="Times New Roman" w:eastAsiaTheme="minorEastAsia"/>
          <w:b/>
          <w:color w:val="auto"/>
          <w:szCs w:val="21"/>
        </w:rPr>
        <w:t>【投标须知前附表】。</w:t>
      </w:r>
    </w:p>
    <w:p w14:paraId="136EBBE8">
      <w:pPr>
        <w:adjustRightInd w:val="0"/>
        <w:snapToGrid w:val="0"/>
        <w:spacing w:beforeLines="50" w:line="360" w:lineRule="auto"/>
        <w:ind w:firstLine="420"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2.4投标人系指响应招标、参加投标竞争的法人、其他组织或自然人。</w:t>
      </w:r>
    </w:p>
    <w:p w14:paraId="76B8FEEF">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szCs w:val="21"/>
        </w:rPr>
        <w:t>2.5</w:t>
      </w:r>
      <w:r>
        <w:rPr>
          <w:rFonts w:hint="default" w:ascii="Times New Roman" w:hAnsi="Times New Roman" w:cs="Times New Roman" w:eastAsiaTheme="minorEastAsia"/>
          <w:color w:val="auto"/>
          <w:kern w:val="0"/>
          <w:szCs w:val="21"/>
        </w:rPr>
        <w:t>进口产品是指符合《政府采购进口产品管理办法》（财库〔2007〕119号）和《关于政府采购进口产品管理有关问题的通知》（财办库〔2008〕248号）文件规定的产品。除</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kern w:val="0"/>
          <w:szCs w:val="21"/>
        </w:rPr>
        <w:t>另有规定外，采购项目</w:t>
      </w:r>
      <w:r>
        <w:rPr>
          <w:rFonts w:hint="default" w:ascii="Times New Roman" w:hAnsi="Times New Roman" w:cs="Times New Roman" w:eastAsiaTheme="minorEastAsia"/>
          <w:b/>
          <w:color w:val="auto"/>
          <w:kern w:val="0"/>
          <w:szCs w:val="21"/>
        </w:rPr>
        <w:t>拒绝进口产品参加投标</w:t>
      </w:r>
      <w:r>
        <w:rPr>
          <w:rFonts w:hint="default" w:ascii="Times New Roman" w:hAnsi="Times New Roman" w:cs="Times New Roman" w:eastAsiaTheme="minorEastAsia"/>
          <w:color w:val="auto"/>
          <w:kern w:val="0"/>
          <w:szCs w:val="21"/>
        </w:rPr>
        <w:t>。本款规定同意购买进口产品的，不限制满足招标文件要求的国内产品参与投标竞争。</w:t>
      </w:r>
    </w:p>
    <w:p w14:paraId="45257364">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2.6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14:paraId="544BE2DA">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3. 投标人的资格要求</w:t>
      </w:r>
    </w:p>
    <w:p w14:paraId="2E1D986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3.1投标人应当符合</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规定的投标人资格条件。</w:t>
      </w:r>
    </w:p>
    <w:p w14:paraId="2128329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3.2</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规定接受联合体形式投标的，投标人除应符合本章第3.1</w:t>
      </w:r>
      <w:r>
        <w:rPr>
          <w:rFonts w:hint="default" w:ascii="Times New Roman" w:hAnsi="Times New Roman" w:cs="Times New Roman" w:eastAsiaTheme="minorEastAsia"/>
          <w:color w:val="auto"/>
          <w:kern w:val="0"/>
          <w:szCs w:val="21"/>
          <w:lang w:val="zh-CN"/>
        </w:rPr>
        <w:t>款</w:t>
      </w:r>
      <w:r>
        <w:rPr>
          <w:rFonts w:hint="default" w:ascii="Times New Roman" w:hAnsi="Times New Roman" w:cs="Times New Roman" w:eastAsiaTheme="minorEastAsia"/>
          <w:color w:val="auto"/>
          <w:szCs w:val="21"/>
        </w:rPr>
        <w:t xml:space="preserve">规定外，还应遵守以下规定： </w:t>
      </w:r>
    </w:p>
    <w:p w14:paraId="55F8C4C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（l）联合体中有同类资质的供应商按照联合体分工承担相同工作的，应当按照资质等级较低的供应商确定资质等级。</w:t>
      </w:r>
    </w:p>
    <w:p w14:paraId="2469B80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（2）联合体各方应按招标文件提供的格式签订联合体协议书，明确联合体牵头人和各方的权利义务、合同工作量比例；</w:t>
      </w:r>
    </w:p>
    <w:p w14:paraId="0680CD85">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lang w:val="zh-CN"/>
        </w:rPr>
      </w:pPr>
      <w:r>
        <w:rPr>
          <w:rFonts w:hint="default" w:ascii="Times New Roman" w:hAnsi="Times New Roman" w:cs="Times New Roman" w:eastAsiaTheme="minorEastAsia"/>
          <w:color w:val="auto"/>
          <w:szCs w:val="21"/>
        </w:rPr>
        <w:t>（3）联合体各方签订联合体协议书后，</w:t>
      </w:r>
      <w:r>
        <w:rPr>
          <w:rFonts w:hint="default" w:ascii="Times New Roman" w:hAnsi="Times New Roman" w:cs="Times New Roman" w:eastAsiaTheme="minorEastAsia"/>
          <w:color w:val="auto"/>
          <w:kern w:val="0"/>
          <w:szCs w:val="21"/>
          <w:lang w:val="zh-CN"/>
        </w:rPr>
        <w:t>不得再单独参加或者与其他投标人组成新的联合体参加同一合同项下的采购活动。</w:t>
      </w:r>
    </w:p>
    <w:p w14:paraId="5950C42A">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 xml:space="preserve">4. 投标费用 </w:t>
      </w:r>
    </w:p>
    <w:p w14:paraId="7BA7087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4.1投标人应自行承担所有参与投标的相关费用，不论投标的结果如何，采购人、采购代理机构均无义务和责任承担这些费用。</w:t>
      </w:r>
    </w:p>
    <w:p w14:paraId="3A5BC6F9">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5．组织现场考察或者召开答疑会</w:t>
      </w:r>
    </w:p>
    <w:p w14:paraId="7DAED95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rPr>
        <w:t>5.1采购人、采购代理机构可以在</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规定的招标文件提供期限截止后，组织已获取招标文件的潜在投标人现场考察或者召开开标前答疑会。</w:t>
      </w:r>
    </w:p>
    <w:p w14:paraId="2A6170B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5.2获取招标文件的潜在投标人应按</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规定参加现场考察或者答疑会；如不参加，其风险由其自行承担。</w:t>
      </w:r>
    </w:p>
    <w:p w14:paraId="243D0F1F">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5.3潜在投标人现场考察或者参加答疑会的费用由自己承担，现场考察期间所发生的人身伤害及财产损失由自己负责。</w:t>
      </w:r>
    </w:p>
    <w:p w14:paraId="7002AAB2">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5.4采购人、采购代理机构不对投标人据此而做出的推论、理解和结论负责。投标人一旦中标，不得以任何借口，提出额外补偿，或延长合同期限的要求。</w:t>
      </w:r>
    </w:p>
    <w:p w14:paraId="4B3F3121">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26" w:name="_Toc6469"/>
      <w:bookmarkStart w:id="27" w:name="_Toc21358"/>
      <w:bookmarkStart w:id="28" w:name="_Toc29913898"/>
      <w:r>
        <w:rPr>
          <w:rFonts w:hint="default" w:ascii="Times New Roman" w:hAnsi="Times New Roman" w:eastAsia="黑体" w:cs="Times New Roman"/>
          <w:color w:val="auto"/>
          <w:sz w:val="28"/>
          <w:szCs w:val="28"/>
        </w:rPr>
        <w:t>二、招标文件</w:t>
      </w:r>
      <w:bookmarkEnd w:id="26"/>
      <w:bookmarkEnd w:id="27"/>
      <w:bookmarkEnd w:id="28"/>
    </w:p>
    <w:p w14:paraId="6A972D43">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6. 招标文件的构成</w:t>
      </w:r>
    </w:p>
    <w:p w14:paraId="06FA253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6.1 招标文件共七章，各章内容如下：</w:t>
      </w:r>
    </w:p>
    <w:p w14:paraId="4530282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第一章 投标邀请</w:t>
      </w:r>
    </w:p>
    <w:p w14:paraId="4BD2C5E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第二章 投标须知</w:t>
      </w:r>
    </w:p>
    <w:p w14:paraId="373B7B7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第三章 资格审查</w:t>
      </w:r>
    </w:p>
    <w:p w14:paraId="4529D00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第四章 评标方法及标准</w:t>
      </w:r>
    </w:p>
    <w:p w14:paraId="7D89E90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第五章 采购需求</w:t>
      </w:r>
    </w:p>
    <w:p w14:paraId="46C411E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第六章 政府采购合同</w:t>
      </w:r>
    </w:p>
    <w:p w14:paraId="2C2DD76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第七章 投标文件的组成</w:t>
      </w:r>
    </w:p>
    <w:p w14:paraId="33100522">
      <w:pPr>
        <w:adjustRightInd w:val="0"/>
        <w:snapToGrid w:val="0"/>
        <w:spacing w:beforeLines="50" w:line="360" w:lineRule="auto"/>
        <w:ind w:firstLine="420"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6.2采购人、采购代理机构在提交投标文件截止时间前对招标文件所作的澄清或者修改，构成招标文件的组成部分。</w:t>
      </w:r>
    </w:p>
    <w:p w14:paraId="5FC47E86">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7．偏离与实质性响应</w:t>
      </w:r>
    </w:p>
    <w:p w14:paraId="502937D5">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7.1投标人应当按照招标文件的要求编制投标文件。投标文件应当对招标文件提出的要求和条件作出明确响应。</w:t>
      </w:r>
    </w:p>
    <w:p w14:paraId="400E2DA8">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7.2偏离是指投标文件不响应或者不满足招标文件提出的要求和条件，分为实质性偏离和非实质性偏离。</w:t>
      </w:r>
    </w:p>
    <w:p w14:paraId="5BF6967A">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7.3除法律、法规和招标文件规定的其他投标无效情形外，招标文件中用“★”符号标明的条款为实质性要求和条件，对其中任何一条的偏离，为实质性偏离，</w:t>
      </w:r>
      <w:r>
        <w:rPr>
          <w:rFonts w:hint="default" w:ascii="Times New Roman" w:hAnsi="Times New Roman" w:cs="Times New Roman" w:eastAsiaTheme="minorEastAsia"/>
          <w:b/>
          <w:color w:val="auto"/>
        </w:rPr>
        <w:t>其投标无效</w:t>
      </w:r>
      <w:r>
        <w:rPr>
          <w:rFonts w:hint="default" w:ascii="Times New Roman" w:hAnsi="Times New Roman" w:cs="Times New Roman" w:eastAsiaTheme="minorEastAsia"/>
          <w:color w:val="auto"/>
        </w:rPr>
        <w:t>。</w:t>
      </w:r>
    </w:p>
    <w:p w14:paraId="491D0AFF">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7.4投标</w:t>
      </w:r>
      <w:r>
        <w:rPr>
          <w:rFonts w:hint="default" w:ascii="Times New Roman" w:hAnsi="Times New Roman" w:cs="Times New Roman" w:eastAsiaTheme="minorEastAsia"/>
          <w:color w:val="auto"/>
          <w:szCs w:val="21"/>
        </w:rPr>
        <w:t>文件偏离招标文件的非实质性要求和条件，为非实质性偏离。非实质性偏离的范围和幅度应当符合</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的规定，</w:t>
      </w:r>
      <w:r>
        <w:rPr>
          <w:rFonts w:hint="default" w:ascii="Times New Roman" w:hAnsi="Times New Roman" w:cs="Times New Roman" w:eastAsiaTheme="minorEastAsia"/>
          <w:b/>
          <w:color w:val="auto"/>
          <w:szCs w:val="21"/>
        </w:rPr>
        <w:t>否</w:t>
      </w:r>
      <w:r>
        <w:rPr>
          <w:rFonts w:hint="default" w:ascii="Times New Roman" w:hAnsi="Times New Roman" w:cs="Times New Roman" w:eastAsiaTheme="minorEastAsia"/>
          <w:b/>
          <w:color w:val="auto"/>
        </w:rPr>
        <w:t>则投标无效</w:t>
      </w:r>
      <w:r>
        <w:rPr>
          <w:rFonts w:hint="default" w:ascii="Times New Roman" w:hAnsi="Times New Roman" w:cs="Times New Roman" w:eastAsiaTheme="minorEastAsia"/>
          <w:color w:val="auto"/>
        </w:rPr>
        <w:t>。</w:t>
      </w:r>
    </w:p>
    <w:p w14:paraId="1AB64DCA">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8. 询问</w:t>
      </w:r>
    </w:p>
    <w:p w14:paraId="0761537F">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8.1潜在投标人应仔细阅读和检查招标文件的全部内容。如有疑问，可以向采购人或者采购代理机构提出询问。</w:t>
      </w:r>
    </w:p>
    <w:p w14:paraId="76718024">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9. 招标文件的澄清或者修改</w:t>
      </w:r>
    </w:p>
    <w:p w14:paraId="11F52D34">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9.1采购人、采购代理机构对已发出的招标文件进行必要澄清或者修改的，将在</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w:t>
      </w:r>
      <w:r>
        <w:rPr>
          <w:rFonts w:hint="default" w:ascii="Times New Roman" w:hAnsi="Times New Roman" w:cs="Times New Roman" w:eastAsiaTheme="minorEastAsia"/>
          <w:color w:val="auto"/>
        </w:rPr>
        <w:t>招标公告指定媒体上发布澄清或者修改公告。</w:t>
      </w:r>
    </w:p>
    <w:p w14:paraId="76876B61">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kern w:val="0"/>
          <w:szCs w:val="21"/>
        </w:rPr>
        <w:t>9.2澄清或者修改</w:t>
      </w:r>
      <w:r>
        <w:rPr>
          <w:rFonts w:hint="default" w:ascii="Times New Roman" w:hAnsi="Times New Roman" w:cs="Times New Roman" w:eastAsiaTheme="minorEastAsia"/>
          <w:color w:val="auto"/>
        </w:rPr>
        <w:t>的</w:t>
      </w:r>
      <w:r>
        <w:rPr>
          <w:rFonts w:hint="default" w:ascii="Times New Roman" w:hAnsi="Times New Roman" w:cs="Times New Roman" w:eastAsiaTheme="minorEastAsia"/>
          <w:color w:val="auto"/>
          <w:kern w:val="0"/>
          <w:szCs w:val="21"/>
        </w:rPr>
        <w:t>内容可能影响投标文件编制的，采购人、采购代理机构</w:t>
      </w:r>
      <w:r>
        <w:rPr>
          <w:rFonts w:hint="default" w:ascii="Times New Roman" w:hAnsi="Times New Roman" w:cs="Times New Roman" w:eastAsiaTheme="minorEastAsia"/>
          <w:color w:val="auto"/>
        </w:rPr>
        <w:t>将</w:t>
      </w:r>
      <w:r>
        <w:rPr>
          <w:rFonts w:hint="default" w:ascii="Times New Roman" w:hAnsi="Times New Roman" w:cs="Times New Roman" w:eastAsiaTheme="minorEastAsia"/>
          <w:color w:val="auto"/>
          <w:kern w:val="0"/>
          <w:szCs w:val="21"/>
        </w:rPr>
        <w:t>在提交投标文件截止时间15日前，</w:t>
      </w:r>
      <w:r>
        <w:rPr>
          <w:rFonts w:hint="default" w:ascii="Times New Roman" w:hAnsi="Times New Roman" w:cs="Times New Roman" w:eastAsiaTheme="minorEastAsia"/>
          <w:color w:val="auto"/>
        </w:rPr>
        <w:t>以数据电文形式通知所有获取招标文件的潜在投标人；不足15日的，将相应延长提交投标文件的截止时间。</w:t>
      </w:r>
    </w:p>
    <w:p w14:paraId="663F3F43">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9.3招标文件的提供期限届满后，获取招标文件的潜在投标人不足3家的，可以顺延提供期限，并在指定媒体上发布修改公告。</w:t>
      </w:r>
    </w:p>
    <w:p w14:paraId="2BE5B4AD">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9.4 通过交易平台下载招标文件的，请获取招标文件的潜在投标人及时关注</w:t>
      </w:r>
      <w:r>
        <w:rPr>
          <w:rFonts w:hint="default" w:ascii="Times New Roman" w:hAnsi="Times New Roman" w:cs="Times New Roman" w:eastAsiaTheme="minorEastAsia"/>
          <w:color w:val="auto"/>
          <w:szCs w:val="21"/>
        </w:rPr>
        <w:t>招标公告指定媒体</w:t>
      </w:r>
      <w:r>
        <w:rPr>
          <w:rFonts w:hint="default" w:ascii="Times New Roman" w:hAnsi="Times New Roman" w:cs="Times New Roman" w:eastAsiaTheme="minorEastAsia"/>
          <w:color w:val="auto"/>
        </w:rPr>
        <w:t>发布的澄清或者修改公告。</w:t>
      </w:r>
    </w:p>
    <w:p w14:paraId="49ECCE2F">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29" w:name="_Toc32523"/>
      <w:bookmarkStart w:id="30" w:name="_Toc14705"/>
      <w:bookmarkStart w:id="31" w:name="_Toc29913899"/>
      <w:r>
        <w:rPr>
          <w:rFonts w:hint="default" w:ascii="Times New Roman" w:hAnsi="Times New Roman" w:eastAsia="黑体" w:cs="Times New Roman"/>
          <w:color w:val="auto"/>
          <w:sz w:val="28"/>
          <w:szCs w:val="28"/>
        </w:rPr>
        <w:t>三、投标文件</w:t>
      </w:r>
      <w:bookmarkEnd w:id="29"/>
      <w:bookmarkEnd w:id="30"/>
      <w:bookmarkEnd w:id="31"/>
    </w:p>
    <w:p w14:paraId="4DE01108">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10. 投标语言</w:t>
      </w:r>
    </w:p>
    <w:p w14:paraId="0ECFB3A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10.1除专用术语外，投标人提交的投标文件及投标人与采购人、采购代理机构就有关投标的所有来往函电均使用中文。投标人可以提交其它语言的资料，但应附有中文注释，有差异时以中文为准。</w:t>
      </w:r>
    </w:p>
    <w:p w14:paraId="0AF0E890">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 xml:space="preserve">11. </w:t>
      </w:r>
      <w:r>
        <w:rPr>
          <w:rFonts w:hint="default" w:ascii="Times New Roman" w:hAnsi="Times New Roman" w:cs="Times New Roman" w:eastAsiaTheme="minorEastAsia"/>
          <w:b/>
          <w:color w:val="auto"/>
          <w:sz w:val="24"/>
        </w:rPr>
        <w:t>计量单位</w:t>
      </w:r>
    </w:p>
    <w:p w14:paraId="68749BF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11.1所有计量均采用中华人民共和国法定计量单位。</w:t>
      </w:r>
    </w:p>
    <w:p w14:paraId="24F21DD7">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 xml:space="preserve">12. </w:t>
      </w:r>
      <w:r>
        <w:rPr>
          <w:rFonts w:hint="default" w:ascii="Times New Roman" w:hAnsi="Times New Roman" w:cs="Times New Roman" w:eastAsiaTheme="minorEastAsia"/>
          <w:b/>
          <w:bCs/>
          <w:color w:val="auto"/>
          <w:sz w:val="24"/>
        </w:rPr>
        <w:t>投标文件的组成</w:t>
      </w:r>
    </w:p>
    <w:p w14:paraId="1CE1A36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12.1投标文件由如下内容组成：</w:t>
      </w:r>
    </w:p>
    <w:p w14:paraId="125E67F5">
      <w:pPr>
        <w:adjustRightInd w:val="0"/>
        <w:snapToGrid w:val="0"/>
        <w:spacing w:beforeLines="50" w:line="360" w:lineRule="auto"/>
        <w:ind w:firstLine="422"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第一部分 资格证明文件</w:t>
      </w:r>
    </w:p>
    <w:p w14:paraId="6BCE86A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（1）开标一览表</w:t>
      </w:r>
    </w:p>
    <w:p w14:paraId="7F2AD89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（2）法定代表人（单位负责人）身份证明或授权委托书</w:t>
      </w:r>
    </w:p>
    <w:p w14:paraId="64535E8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（3）投标人提供的资格证明文件</w:t>
      </w:r>
    </w:p>
    <w:p w14:paraId="7E97EC8D">
      <w:pPr>
        <w:adjustRightInd w:val="0"/>
        <w:snapToGrid w:val="0"/>
        <w:spacing w:beforeLines="50" w:line="360" w:lineRule="auto"/>
        <w:ind w:firstLine="422"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第二部分 商务和技术文件</w:t>
      </w:r>
    </w:p>
    <w:p w14:paraId="54237F4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（4）投标函</w:t>
      </w:r>
    </w:p>
    <w:p w14:paraId="3911C36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（5）分项报价</w:t>
      </w:r>
    </w:p>
    <w:p w14:paraId="5C682EA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（6）采购需求响应</w:t>
      </w:r>
    </w:p>
    <w:p w14:paraId="07385E0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（7）合同条款偏离表</w:t>
      </w:r>
    </w:p>
    <w:p w14:paraId="1719FF3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（8）采购需求偏离表</w:t>
      </w:r>
    </w:p>
    <w:p w14:paraId="3813183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（9）享受政府采购政策优惠的证明资料</w:t>
      </w:r>
    </w:p>
    <w:p w14:paraId="0A32A06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（10）与投标服务相关的货物符合招标文件规定的证明文件</w:t>
      </w:r>
    </w:p>
    <w:p w14:paraId="1EF1971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（11）投标人认为需提供的其他资料</w:t>
      </w:r>
    </w:p>
    <w:p w14:paraId="1617AC0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12.2 根据《政府采购法》第四十二条的规定，投标人无论中标与否，其投标文件不予退还。</w:t>
      </w:r>
    </w:p>
    <w:p w14:paraId="17C93953">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13. 投标报价</w:t>
      </w:r>
    </w:p>
    <w:p w14:paraId="6742799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6CEC32F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13.2投标人的投标报价不得超过采购预算，也不得超过最高限价(如果设定)，否则其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。采购项目预算、最高限价见</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w:t>
      </w:r>
    </w:p>
    <w:p w14:paraId="0B29F172">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Cs w:val="21"/>
        </w:rPr>
        <w:t>13.3 投标人应在分项报价明细表中对每项内容给予详细分项</w:t>
      </w:r>
      <w:r>
        <w:rPr>
          <w:rFonts w:hint="default" w:ascii="Times New Roman" w:hAnsi="Times New Roman" w:cs="Times New Roman" w:eastAsiaTheme="minorEastAsia"/>
          <w:color w:val="auto"/>
        </w:rPr>
        <w:t>报价。</w:t>
      </w:r>
    </w:p>
    <w:p w14:paraId="2BA5FE9C">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13.4投标人对采购项目内容只允许有一个投标报价，否则其</w:t>
      </w:r>
      <w:r>
        <w:rPr>
          <w:rFonts w:hint="default" w:ascii="Times New Roman" w:hAnsi="Times New Roman" w:cs="Times New Roman" w:eastAsiaTheme="minorEastAsia"/>
          <w:b/>
          <w:color w:val="auto"/>
        </w:rPr>
        <w:t>投标无效</w:t>
      </w:r>
      <w:r>
        <w:rPr>
          <w:rFonts w:hint="default" w:ascii="Times New Roman" w:hAnsi="Times New Roman" w:cs="Times New Roman" w:eastAsiaTheme="minorEastAsia"/>
          <w:color w:val="auto"/>
        </w:rPr>
        <w:t>。</w:t>
      </w:r>
    </w:p>
    <w:p w14:paraId="652FD574">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13.5采购人不接受投标人给予的赠品、回扣或者与采购无关的其他商品、服务。如有赠与行为，其</w:t>
      </w:r>
      <w:r>
        <w:rPr>
          <w:rFonts w:hint="default" w:ascii="Times New Roman" w:hAnsi="Times New Roman" w:cs="Times New Roman" w:eastAsiaTheme="minorEastAsia"/>
          <w:b/>
          <w:color w:val="auto"/>
        </w:rPr>
        <w:t>投标无效</w:t>
      </w:r>
      <w:r>
        <w:rPr>
          <w:rFonts w:hint="default" w:ascii="Times New Roman" w:hAnsi="Times New Roman" w:cs="Times New Roman" w:eastAsiaTheme="minorEastAsia"/>
          <w:color w:val="auto"/>
        </w:rPr>
        <w:t>。</w:t>
      </w:r>
    </w:p>
    <w:p w14:paraId="3BCCFE4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13.6</w:t>
      </w:r>
      <w:r>
        <w:rPr>
          <w:rFonts w:hint="default" w:ascii="Times New Roman" w:hAnsi="Times New Roman" w:cs="Times New Roman" w:eastAsiaTheme="minorEastAsia"/>
          <w:color w:val="auto"/>
        </w:rPr>
        <w:t>投标文件中标明的价格在合同执行过程中是固定不变的，不得以任何理由予以变更。任何包含价格调整要求和条件的投标，其</w:t>
      </w:r>
      <w:r>
        <w:rPr>
          <w:rFonts w:hint="default" w:ascii="Times New Roman" w:hAnsi="Times New Roman" w:cs="Times New Roman" w:eastAsiaTheme="minorEastAsia"/>
          <w:b/>
          <w:color w:val="auto"/>
        </w:rPr>
        <w:t>投标无效</w:t>
      </w:r>
      <w:r>
        <w:rPr>
          <w:rFonts w:hint="default" w:ascii="Times New Roman" w:hAnsi="Times New Roman" w:cs="Times New Roman" w:eastAsiaTheme="minorEastAsia"/>
          <w:color w:val="auto"/>
        </w:rPr>
        <w:t>。</w:t>
      </w:r>
    </w:p>
    <w:p w14:paraId="5FAB23BF">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13.7投标人在投标截止时间前修改“开标一览表”中的投标报价的，应同时修改投标文件“分项报价明细表”“享受政府采购政策优惠的证明资料”以及“联合体协议书”（如果影响）等相关内容。</w:t>
      </w:r>
    </w:p>
    <w:p w14:paraId="6D2929A1">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13.8投标报价的其他要求见</w:t>
      </w:r>
      <w:r>
        <w:rPr>
          <w:rFonts w:hint="default" w:ascii="Times New Roman" w:hAnsi="Times New Roman" w:cs="Times New Roman"/>
          <w:b/>
          <w:color w:val="auto"/>
          <w:szCs w:val="21"/>
        </w:rPr>
        <w:t>【投标须知前附表】</w:t>
      </w:r>
      <w:r>
        <w:rPr>
          <w:rFonts w:hint="default" w:ascii="Times New Roman" w:hAnsi="Times New Roman" w:cs="Times New Roman" w:eastAsiaTheme="minorEastAsia"/>
          <w:color w:val="auto"/>
        </w:rPr>
        <w:t xml:space="preserve">。 </w:t>
      </w:r>
    </w:p>
    <w:p w14:paraId="0303AEB3">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 xml:space="preserve">14. </w:t>
      </w:r>
      <w:r>
        <w:rPr>
          <w:rFonts w:hint="default" w:ascii="Times New Roman" w:hAnsi="Times New Roman" w:cs="Times New Roman" w:eastAsiaTheme="minorEastAsia"/>
          <w:b/>
          <w:bCs/>
          <w:color w:val="auto"/>
          <w:sz w:val="24"/>
        </w:rPr>
        <w:t>投标人的资格证明文件</w:t>
      </w:r>
    </w:p>
    <w:p w14:paraId="7CD3D3B2">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color w:val="auto"/>
        </w:rPr>
        <w:t>14.1</w:t>
      </w:r>
      <w:r>
        <w:rPr>
          <w:rFonts w:hint="default" w:ascii="Times New Roman" w:hAnsi="Times New Roman" w:cs="Times New Roman" w:eastAsiaTheme="minorEastAsia"/>
          <w:color w:val="auto"/>
          <w:szCs w:val="21"/>
        </w:rPr>
        <w:t>除</w:t>
      </w:r>
      <w:r>
        <w:rPr>
          <w:rFonts w:hint="default" w:ascii="Times New Roman" w:hAnsi="Times New Roman" w:cs="Times New Roman"/>
          <w:b/>
          <w:color w:val="auto"/>
          <w:szCs w:val="21"/>
        </w:rPr>
        <w:t>【投标须知前附表】</w:t>
      </w:r>
      <w:r>
        <w:rPr>
          <w:rFonts w:hint="default" w:ascii="Times New Roman" w:hAnsi="Times New Roman" w:cs="Times New Roman" w:eastAsiaTheme="minorEastAsia"/>
          <w:color w:val="auto"/>
          <w:szCs w:val="21"/>
        </w:rPr>
        <w:t>另有规</w:t>
      </w:r>
      <w:r>
        <w:rPr>
          <w:rFonts w:hint="default" w:ascii="Times New Roman" w:hAnsi="Times New Roman" w:cs="Times New Roman" w:eastAsiaTheme="minorEastAsia"/>
          <w:color w:val="auto"/>
        </w:rPr>
        <w:t>定外，投标人应按下列规定提供资格证明文件。</w:t>
      </w:r>
    </w:p>
    <w:p w14:paraId="69E5B424">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b/>
          <w:color w:val="auto"/>
        </w:rPr>
        <w:t>法人或者其他组织的营业执照等主体资格证明文件，自然人的身份证明</w:t>
      </w:r>
      <w:r>
        <w:rPr>
          <w:rFonts w:hint="default" w:ascii="Times New Roman" w:hAnsi="Times New Roman" w:cs="Times New Roman"/>
          <w:color w:val="auto"/>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16121D90">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eastAsiaTheme="minorEastAsia"/>
          <w:b/>
          <w:color w:val="auto"/>
        </w:rPr>
        <w:t>投标人资格声明(格式)</w:t>
      </w:r>
    </w:p>
    <w:p w14:paraId="082345FF">
      <w:pPr>
        <w:adjustRightInd w:val="0"/>
        <w:snapToGrid w:val="0"/>
        <w:spacing w:beforeLines="50"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color w:val="auto"/>
        </w:rPr>
        <w:t>（3）</w:t>
      </w:r>
      <w:r>
        <w:rPr>
          <w:rFonts w:hint="default" w:ascii="Times New Roman" w:hAnsi="Times New Roman" w:cs="Times New Roman"/>
          <w:b/>
          <w:color w:val="auto"/>
        </w:rPr>
        <w:t>符合特定资格条件证明材料复印件或者情况说明原件</w:t>
      </w:r>
      <w:r>
        <w:rPr>
          <w:rFonts w:hint="default" w:ascii="Times New Roman" w:hAnsi="Times New Roman" w:cs="Times New Roman"/>
          <w:color w:val="auto"/>
        </w:rPr>
        <w:t>。</w:t>
      </w:r>
      <w:r>
        <w:rPr>
          <w:rFonts w:hint="default" w:ascii="Times New Roman" w:hAnsi="Times New Roman" w:cs="Times New Roman"/>
          <w:color w:val="auto"/>
          <w:szCs w:val="21"/>
        </w:rPr>
        <w:t>具体要求见</w:t>
      </w:r>
      <w:r>
        <w:rPr>
          <w:rFonts w:hint="default" w:ascii="Times New Roman" w:hAnsi="Times New Roman" w:cs="Times New Roman"/>
          <w:b/>
          <w:color w:val="auto"/>
          <w:szCs w:val="21"/>
        </w:rPr>
        <w:t>【投标须知前附表】</w:t>
      </w:r>
      <w:r>
        <w:rPr>
          <w:rFonts w:hint="default" w:ascii="Times New Roman" w:hAnsi="Times New Roman" w:cs="Times New Roman"/>
          <w:color w:val="auto"/>
          <w:szCs w:val="21"/>
        </w:rPr>
        <w:t>。</w:t>
      </w:r>
    </w:p>
    <w:p w14:paraId="0C18B92B">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14.2投标人以联合体形式投标的，除应提交联合协议(格式)外，参加联合体的各方均应提交上款资格证明材料。</w:t>
      </w:r>
    </w:p>
    <w:p w14:paraId="57EB656D">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color w:val="auto"/>
        </w:rPr>
        <w:t>14.3投标人的资格证明文件均应为有效文件并加盖投标人电子章，并按招标文件规定签署。</w:t>
      </w:r>
    </w:p>
    <w:p w14:paraId="5A6A9696">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15. 投标服务（含配套货物）符合招标文件规定的证明文件</w:t>
      </w:r>
    </w:p>
    <w:p w14:paraId="43029AE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15.1投标人应当提交其拟供的合同项下服务（含配套货物 ）符合招标文件规定的证明文件，该证明文件作为投标文件的一部分。</w:t>
      </w:r>
    </w:p>
    <w:p w14:paraId="643FC04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15.2上述证明文件可以是文字资料、图表、数据、证书等资料，包括但不限于：</w:t>
      </w:r>
    </w:p>
    <w:p w14:paraId="6A163C4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（1）服务（含配套货物）主要技术指标和性能的详细说明。对有具体参数要求的指标，投标人应提供具体参数值；</w:t>
      </w:r>
    </w:p>
    <w:p w14:paraId="3A5D0D7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（2）配套货物的品牌型号、制造商及原产地等说明；</w:t>
      </w:r>
    </w:p>
    <w:p w14:paraId="370E008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（3）招标文件第五章“采购需求”要求的其它文件。</w:t>
      </w:r>
    </w:p>
    <w:p w14:paraId="1BFAD954">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16. 投标有效期</w:t>
      </w:r>
    </w:p>
    <w:p w14:paraId="4477017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16.1投标有效期从提交投标文件的截止之日起算。投标文件中承诺的投标有效期应当不少于</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中载明的投标有效期。投标有效期不满足要求的，其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w:t>
      </w:r>
    </w:p>
    <w:p w14:paraId="34AA390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16.2投标有效期内投标人撤销投标文件的，投标人应承担招标文件和法律规定的责任。</w:t>
      </w:r>
    </w:p>
    <w:p w14:paraId="1B007200">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17.分包</w:t>
      </w:r>
    </w:p>
    <w:p w14:paraId="1FDFD002">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17.1投标人拟在中标后将中</w:t>
      </w:r>
      <w:r>
        <w:rPr>
          <w:rFonts w:hint="default" w:ascii="Times New Roman" w:hAnsi="Times New Roman" w:cs="Times New Roman" w:eastAsiaTheme="minorEastAsia"/>
          <w:color w:val="auto"/>
          <w:szCs w:val="21"/>
        </w:rPr>
        <w:t>标项目的非主体、非关键性工作进行分包的，应符合</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规定的分包内容、分包金</w:t>
      </w:r>
      <w:r>
        <w:rPr>
          <w:rFonts w:hint="default" w:ascii="Times New Roman" w:hAnsi="Times New Roman" w:cs="Times New Roman" w:eastAsiaTheme="minorEastAsia"/>
          <w:color w:val="auto"/>
        </w:rPr>
        <w:t>额和资质要求等限制性条件，并在投标文件中载明分包承担主体，且分包承担主体不得再次分包。</w:t>
      </w:r>
    </w:p>
    <w:p w14:paraId="0A4D941F">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17.2中标人应当就分包项目向采购人负责，分包承担主体就分包项目承担连带责任。</w:t>
      </w:r>
    </w:p>
    <w:p w14:paraId="202C65B4">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17.3不符合招标文件中有关分包规定的，其</w:t>
      </w:r>
      <w:r>
        <w:rPr>
          <w:rFonts w:hint="default" w:ascii="Times New Roman" w:hAnsi="Times New Roman" w:cs="Times New Roman" w:eastAsiaTheme="minorEastAsia"/>
          <w:b/>
          <w:color w:val="auto"/>
        </w:rPr>
        <w:t>投标无效</w:t>
      </w:r>
      <w:r>
        <w:rPr>
          <w:rFonts w:hint="default" w:ascii="Times New Roman" w:hAnsi="Times New Roman" w:cs="Times New Roman" w:eastAsiaTheme="minorEastAsia"/>
          <w:color w:val="auto"/>
        </w:rPr>
        <w:t>。</w:t>
      </w:r>
    </w:p>
    <w:p w14:paraId="7CEEE82E">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18. 电子投标投标文件的制作和签署</w:t>
      </w:r>
    </w:p>
    <w:p w14:paraId="75286D35">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18.1投标人确认投标后，应当在郴州市公共资源交易政府采购电子化平台上认可的“投标文件制作工具软件下载”制作投标文件（ 含澄清、说明文件）并进行固化、加密；</w:t>
      </w:r>
      <w:r>
        <w:rPr>
          <w:rFonts w:hint="default" w:ascii="Times New Roman" w:hAnsi="Times New Roman" w:cs="Times New Roman" w:eastAsiaTheme="minorEastAsia"/>
          <w:bCs/>
          <w:color w:val="auto"/>
          <w:szCs w:val="21"/>
        </w:rPr>
        <w:t>否则将可能影响电子投标文件的上传而导致投标无效。</w:t>
      </w:r>
    </w:p>
    <w:p w14:paraId="13D1889A">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18.2投标人应按照电子招标文件格式及投标工具编制资格证明文件，不得将其编制上传到商务和技术文件中。否则，由于编制上传位置失误导致无法进行资格审查，由此所产生的后果和责任由投标人自行承担。</w:t>
      </w:r>
    </w:p>
    <w:p w14:paraId="08C62CA1">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5CD982A9">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3FAC9964">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18.5投标人应在电子投标文件指定签章处采用郴州市公共资源交易中心交易平台认可的CA数字证书（含电子印章）进行签章。</w:t>
      </w:r>
    </w:p>
    <w:p w14:paraId="4953FBA4">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18.6 电子招投标文件具有法律效力，若投标文件与招标文件要求不一致，其内容影响中标结果时，责任由投标人自行承担。</w:t>
      </w:r>
    </w:p>
    <w:p w14:paraId="46A49744">
      <w:pPr>
        <w:adjustRightInd w:val="0"/>
        <w:snapToGrid w:val="0"/>
        <w:spacing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br w:type="column"/>
      </w:r>
    </w:p>
    <w:p w14:paraId="35BE5FC1">
      <w:pPr>
        <w:pStyle w:val="5"/>
        <w:keepNext w:val="0"/>
        <w:keepLines w:val="0"/>
        <w:numPr>
          <w:ilvl w:val="0"/>
          <w:numId w:val="2"/>
        </w:numPr>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32" w:name="_Toc9478"/>
      <w:bookmarkStart w:id="33" w:name="_Toc4485"/>
      <w:bookmarkStart w:id="34" w:name="_Toc29913900"/>
      <w:r>
        <w:rPr>
          <w:rFonts w:hint="default" w:ascii="Times New Roman" w:hAnsi="Times New Roman" w:eastAsia="黑体" w:cs="Times New Roman"/>
          <w:color w:val="auto"/>
          <w:sz w:val="28"/>
          <w:szCs w:val="28"/>
        </w:rPr>
        <w:t>投标</w:t>
      </w:r>
      <w:bookmarkEnd w:id="32"/>
      <w:bookmarkEnd w:id="33"/>
      <w:bookmarkEnd w:id="34"/>
    </w:p>
    <w:p w14:paraId="4FF06B08">
      <w:pPr>
        <w:numPr>
          <w:ilvl w:val="255"/>
          <w:numId w:val="0"/>
        </w:numPr>
        <w:rPr>
          <w:rFonts w:hint="default" w:ascii="Times New Roman" w:hAnsi="Times New Roman" w:eastAsia="黑体" w:cs="Times New Roman"/>
          <w:color w:val="auto"/>
        </w:rPr>
      </w:pPr>
      <w:bookmarkStart w:id="35" w:name="_Hlt226715444"/>
      <w:bookmarkEnd w:id="35"/>
      <w:bookmarkStart w:id="36" w:name="_Hlt193622730"/>
      <w:bookmarkEnd w:id="36"/>
    </w:p>
    <w:p w14:paraId="2D2D6E88">
      <w:pPr>
        <w:adjustRightInd w:val="0"/>
        <w:snapToGrid w:val="0"/>
        <w:spacing w:beforeLines="50" w:line="360" w:lineRule="auto"/>
        <w:ind w:firstLine="241" w:firstLineChars="100"/>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19.</w:t>
      </w:r>
      <w:r>
        <w:rPr>
          <w:rFonts w:hint="default" w:ascii="Times New Roman" w:hAnsi="Times New Roman" w:cs="Times New Roman" w:eastAsiaTheme="minorEastAsia"/>
          <w:b/>
          <w:bCs/>
          <w:color w:val="auto"/>
          <w:sz w:val="24"/>
        </w:rPr>
        <w:t xml:space="preserve"> 电子投标文件的加密和提交</w:t>
      </w:r>
    </w:p>
    <w:p w14:paraId="14626BC0">
      <w:pPr>
        <w:spacing w:line="360" w:lineRule="exact"/>
        <w:ind w:firstLine="411" w:firstLineChars="196"/>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19.1投标人应按照招标文件和交易平台的要求编制数据电文形式的投标文件并通过数字证书进行加密后，</w:t>
      </w:r>
      <w:r>
        <w:rPr>
          <w:rFonts w:hint="default" w:ascii="Times New Roman" w:hAnsi="Times New Roman" w:cs="Times New Roman" w:eastAsiaTheme="minorEastAsia"/>
          <w:bCs/>
          <w:color w:val="auto"/>
          <w:szCs w:val="21"/>
        </w:rPr>
        <w:t>在招标文件【投标须知前附表】规定的开标时间前将电子投标文件上传到交易平台的对应项目。</w:t>
      </w:r>
      <w:r>
        <w:rPr>
          <w:rFonts w:hint="default" w:ascii="Times New Roman" w:hAnsi="Times New Roman" w:cs="Times New Roman" w:eastAsiaTheme="minorEastAsia"/>
          <w:color w:val="auto"/>
          <w:szCs w:val="21"/>
        </w:rPr>
        <w:t>未按要求加密或逾期上传提交的投标文件，交易平台将无法接受， 采购代理机构不予受理。</w:t>
      </w:r>
    </w:p>
    <w:p w14:paraId="7032D8CF">
      <w:pPr>
        <w:spacing w:line="360" w:lineRule="exact"/>
        <w:ind w:firstLine="411" w:firstLineChars="196"/>
        <w:rPr>
          <w:rFonts w:hint="default" w:ascii="Times New Roman" w:hAnsi="Times New Roman" w:cs="Times New Roman"/>
          <w:color w:val="auto"/>
        </w:rPr>
      </w:pPr>
      <w:r>
        <w:rPr>
          <w:rFonts w:hint="default" w:ascii="Times New Roman" w:hAnsi="Times New Roman" w:cs="Times New Roman"/>
          <w:color w:val="auto"/>
        </w:rPr>
        <w:t>19.2采购代理机构不接受投标截止时间后递交的纸质、电子、传真等所有形式的投标文件。</w:t>
      </w:r>
    </w:p>
    <w:p w14:paraId="2832CC19">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19.3</w:t>
      </w:r>
      <w:r>
        <w:rPr>
          <w:rFonts w:hint="default" w:ascii="Times New Roman" w:hAnsi="Times New Roman" w:cs="Times New Roman"/>
          <w:color w:val="auto"/>
        </w:rPr>
        <w:t>建议投标人于开标前一个工作日完成投标文件的制作与上传，</w:t>
      </w:r>
      <w:r>
        <w:rPr>
          <w:rFonts w:hint="default" w:ascii="Times New Roman" w:hAnsi="Times New Roman" w:cs="Times New Roman" w:eastAsiaTheme="minorEastAsia"/>
          <w:bCs/>
          <w:color w:val="auto"/>
          <w:szCs w:val="21"/>
        </w:rPr>
        <w:t>系统将显示</w:t>
      </w:r>
      <w:r>
        <w:rPr>
          <w:rFonts w:hint="eastAsia" w:ascii="Times New Roman" w:hAnsi="Times New Roman" w:cs="Times New Roman" w:eastAsiaTheme="minorEastAsia"/>
          <w:bCs/>
          <w:color w:val="auto"/>
          <w:szCs w:val="21"/>
          <w:lang w:eastAsia="zh-CN"/>
        </w:rPr>
        <w:t>“</w:t>
      </w:r>
      <w:r>
        <w:rPr>
          <w:rFonts w:hint="default" w:ascii="Times New Roman" w:hAnsi="Times New Roman" w:cs="Times New Roman" w:eastAsiaTheme="minorEastAsia"/>
          <w:bCs/>
          <w:color w:val="auto"/>
          <w:szCs w:val="21"/>
        </w:rPr>
        <w:t>上传成功</w:t>
      </w:r>
      <w:r>
        <w:rPr>
          <w:rFonts w:hint="eastAsia" w:ascii="Times New Roman" w:hAnsi="Times New Roman" w:cs="Times New Roman" w:eastAsiaTheme="minorEastAsia"/>
          <w:bCs/>
          <w:color w:val="auto"/>
          <w:szCs w:val="21"/>
          <w:lang w:eastAsia="zh-CN"/>
        </w:rPr>
        <w:t>”</w:t>
      </w:r>
      <w:r>
        <w:rPr>
          <w:rFonts w:hint="default" w:ascii="Times New Roman" w:hAnsi="Times New Roman" w:cs="Times New Roman" w:eastAsiaTheme="minorEastAsia"/>
          <w:bCs/>
          <w:color w:val="auto"/>
          <w:szCs w:val="21"/>
        </w:rPr>
        <w:t>。如遇系统提示</w:t>
      </w:r>
      <w:r>
        <w:rPr>
          <w:rFonts w:hint="eastAsia" w:ascii="Times New Roman" w:hAnsi="Times New Roman" w:cs="Times New Roman" w:eastAsiaTheme="minorEastAsia"/>
          <w:bCs/>
          <w:color w:val="auto"/>
          <w:szCs w:val="21"/>
          <w:lang w:eastAsia="zh-CN"/>
        </w:rPr>
        <w:t>“</w:t>
      </w:r>
      <w:r>
        <w:rPr>
          <w:rFonts w:hint="default" w:ascii="Times New Roman" w:hAnsi="Times New Roman" w:cs="Times New Roman" w:eastAsiaTheme="minorEastAsia"/>
          <w:bCs/>
          <w:color w:val="auto"/>
          <w:szCs w:val="21"/>
        </w:rPr>
        <w:t>上传未成功</w:t>
      </w:r>
      <w:r>
        <w:rPr>
          <w:rFonts w:hint="eastAsia" w:ascii="Times New Roman" w:hAnsi="Times New Roman" w:cs="Times New Roman" w:eastAsiaTheme="minorEastAsia"/>
          <w:bCs/>
          <w:color w:val="auto"/>
          <w:szCs w:val="21"/>
          <w:lang w:eastAsia="zh-CN"/>
        </w:rPr>
        <w:t>”</w:t>
      </w:r>
      <w:r>
        <w:rPr>
          <w:rFonts w:hint="default" w:ascii="Times New Roman" w:hAnsi="Times New Roman" w:cs="Times New Roman" w:eastAsiaTheme="minorEastAsia"/>
          <w:bCs/>
          <w:color w:val="auto"/>
          <w:szCs w:val="21"/>
        </w:rPr>
        <w:t>，投标人应及时重新提交文件或与系统运维机构联系。</w:t>
      </w:r>
      <w:r>
        <w:rPr>
          <w:rFonts w:hint="default" w:ascii="Times New Roman" w:hAnsi="Times New Roman" w:cs="Times New Roman"/>
          <w:color w:val="auto"/>
        </w:rPr>
        <w:t>由于投标人对电子投标操作不熟悉或自身电脑、网络等原因导致不能在投标截止时间之前上传提交投标文件的，</w:t>
      </w:r>
      <w:r>
        <w:rPr>
          <w:rFonts w:hint="default" w:ascii="Times New Roman" w:hAnsi="Times New Roman" w:cs="Times New Roman" w:eastAsiaTheme="minorEastAsia"/>
          <w:bCs/>
          <w:color w:val="auto"/>
          <w:szCs w:val="21"/>
        </w:rPr>
        <w:t>由此造成的后果和责任由投标人自行承担。</w:t>
      </w:r>
    </w:p>
    <w:p w14:paraId="5BF1EF9D">
      <w:pPr>
        <w:adjustRightInd w:val="0"/>
        <w:snapToGrid w:val="0"/>
        <w:spacing w:beforeLines="50" w:line="360" w:lineRule="auto"/>
        <w:ind w:firstLine="482" w:firstLineChars="200"/>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20.电子投标文件的修改和撤回</w:t>
      </w:r>
    </w:p>
    <w:p w14:paraId="5CB9E0D4">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20.1投标人在招标文件规定的投标截止时间前，可以撤回已上传的投标文件，也可以撤回并修改后再重新上传。</w:t>
      </w:r>
    </w:p>
    <w:p w14:paraId="3656491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bCs/>
          <w:color w:val="auto"/>
          <w:szCs w:val="21"/>
        </w:rPr>
        <w:t>20.2采购人、采购代理机构发布了修改、澄清文件的，投标人应按照修改、澄清后的招标文件要求重新编制投标文件并上传至交易平台。</w:t>
      </w:r>
    </w:p>
    <w:p w14:paraId="61D086D6">
      <w:pPr>
        <w:adjustRightInd w:val="0"/>
        <w:snapToGrid w:val="0"/>
        <w:spacing w:beforeLines="50" w:line="360" w:lineRule="auto"/>
        <w:ind w:firstLine="482" w:firstLineChars="200"/>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21.</w:t>
      </w:r>
      <w:r>
        <w:rPr>
          <w:rFonts w:hint="default" w:ascii="Times New Roman" w:hAnsi="Times New Roman" w:cs="Times New Roman" w:eastAsiaTheme="minorEastAsia"/>
          <w:b/>
          <w:color w:val="auto"/>
          <w:sz w:val="24"/>
        </w:rPr>
        <w:t xml:space="preserve"> 串通投标行为</w:t>
      </w:r>
    </w:p>
    <w:p w14:paraId="73BBF975">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21.1有下列情形之一的，属于恶意串通，对投标人依照政府采购法第七十七条第一款的规定追究法律责任：</w:t>
      </w:r>
    </w:p>
    <w:p w14:paraId="4BE80AF1">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（1）投标人直接或者间接从采购人或者采购代理机构处获得其他投标人的相关情况并修改其投标文件；</w:t>
      </w:r>
    </w:p>
    <w:p w14:paraId="74125EAE">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（2）投标人按照采购人或者采购代理机构的授意撤换、修改投标文件；</w:t>
      </w:r>
    </w:p>
    <w:p w14:paraId="4EA988B3">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（3）投标人之间协商报价、技术方案等投标文件的实质性内容；</w:t>
      </w:r>
    </w:p>
    <w:p w14:paraId="267B13DE">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（4）属于同一集团、协会、商会等组织成员的投标人按照该组织要求协同参加政府采购活动；</w:t>
      </w:r>
    </w:p>
    <w:p w14:paraId="49F22C1F">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（5）投标人之间事先约定由某一特定投标人中标；</w:t>
      </w:r>
    </w:p>
    <w:p w14:paraId="0450ED11">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（6）投标人之间商定部分投标人放弃参加政府采购活动或者放弃中标；</w:t>
      </w:r>
    </w:p>
    <w:p w14:paraId="0BA479DE">
      <w:pPr>
        <w:adjustRightInd w:val="0"/>
        <w:snapToGrid w:val="0"/>
        <w:spacing w:beforeLines="50" w:line="360" w:lineRule="auto"/>
        <w:ind w:firstLine="396" w:firstLineChars="200"/>
        <w:jc w:val="left"/>
        <w:rPr>
          <w:rFonts w:hint="default" w:ascii="Times New Roman" w:hAnsi="Times New Roman" w:cs="Times New Roman" w:eastAsiaTheme="minorEastAsia"/>
          <w:color w:val="auto"/>
          <w:spacing w:val="-6"/>
          <w:szCs w:val="21"/>
        </w:rPr>
      </w:pPr>
      <w:r>
        <w:rPr>
          <w:rFonts w:hint="default" w:ascii="Times New Roman" w:hAnsi="Times New Roman" w:cs="Times New Roman" w:eastAsiaTheme="minorEastAsia"/>
          <w:color w:val="auto"/>
          <w:spacing w:val="-6"/>
          <w:szCs w:val="21"/>
        </w:rPr>
        <w:t>（7）投标人与采购人或者采购代理机构之间、投标人相互之间，为谋求特定投标人中标或者排斥其他投标人的其他串通行为。</w:t>
      </w:r>
    </w:p>
    <w:p w14:paraId="53BD9A0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21.2有下列情形之一的，视为投标人串通投标，其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w:t>
      </w:r>
    </w:p>
    <w:p w14:paraId="5C8604B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（1）不同投标人的投标文件由同一单位或者个人编制；</w:t>
      </w:r>
    </w:p>
    <w:p w14:paraId="4AE4808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（2）不同投标人委托同一单位或者个人办理投标事宜；</w:t>
      </w:r>
    </w:p>
    <w:p w14:paraId="589B8CA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（3）不同投标人的投标文件载明的项目管理成员或者联系人员为同一人；</w:t>
      </w:r>
    </w:p>
    <w:p w14:paraId="29F83C7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（4）不同投标人的投标文件异常一致或者投标报价呈规律性差异；</w:t>
      </w:r>
    </w:p>
    <w:p w14:paraId="01F3503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（5）不同投标人的投标文件相互签章；</w:t>
      </w:r>
    </w:p>
    <w:p w14:paraId="0C9E7C7D">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37" w:name="_Toc30757"/>
      <w:bookmarkStart w:id="38" w:name="_Toc15769"/>
      <w:bookmarkStart w:id="39" w:name="_Toc29913901"/>
      <w:r>
        <w:rPr>
          <w:rFonts w:hint="default" w:ascii="Times New Roman" w:hAnsi="Times New Roman" w:eastAsia="黑体" w:cs="Times New Roman"/>
          <w:color w:val="auto"/>
          <w:sz w:val="28"/>
          <w:szCs w:val="28"/>
        </w:rPr>
        <w:t>五、开标，资格审查和评标</w:t>
      </w:r>
      <w:bookmarkEnd w:id="37"/>
      <w:bookmarkEnd w:id="38"/>
      <w:bookmarkEnd w:id="39"/>
    </w:p>
    <w:p w14:paraId="5B65995C">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22. 开标</w:t>
      </w:r>
    </w:p>
    <w:p w14:paraId="14C6339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22.1开标时，出现下列情形之一的，采购代理机构不予受理： </w:t>
      </w:r>
    </w:p>
    <w:p w14:paraId="798700E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（1）经检查数字证书无效的电子投标文件； </w:t>
      </w:r>
    </w:p>
    <w:p w14:paraId="109590F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（2）电子投标文件未按照招标文件的要求进行加密的； </w:t>
      </w:r>
    </w:p>
    <w:p w14:paraId="256F032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（3）电子投标文件未按招标文件要求上传至交易平台的；</w:t>
      </w:r>
    </w:p>
    <w:p w14:paraId="019BE1A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（4）投标人未按照</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规定的方式及时间解密电子投标文件的；</w:t>
      </w:r>
    </w:p>
    <w:p w14:paraId="3FA8010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（5）其它违反法律、法规的情形。</w:t>
      </w:r>
    </w:p>
    <w:p w14:paraId="6BD480D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22.2采购人或者采购代理机构应按招标文件规定的时间、地点在交易平台上组织公开开标，并邀请投标人参加。</w:t>
      </w:r>
    </w:p>
    <w:p w14:paraId="5F211E8F">
      <w:pPr>
        <w:spacing w:line="400" w:lineRule="atLeast"/>
        <w:ind w:firstLine="413"/>
        <w:jc w:val="left"/>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22.3</w:t>
      </w:r>
      <w:r>
        <w:rPr>
          <w:rFonts w:hint="default" w:ascii="Times New Roman" w:hAnsi="Times New Roman" w:cs="Times New Roman"/>
          <w:color w:val="auto"/>
        </w:rPr>
        <w:t>投标人在开标时间前提前登录网上开标系统，</w:t>
      </w:r>
      <w:r>
        <w:rPr>
          <w:rFonts w:hint="default" w:ascii="Times New Roman" w:hAnsi="Times New Roman" w:cs="Times New Roman"/>
          <w:color w:val="auto"/>
          <w:szCs w:val="21"/>
        </w:rPr>
        <w:t>通过网上开标系统参加开标会</w:t>
      </w:r>
      <w:r>
        <w:rPr>
          <w:rFonts w:hint="default" w:ascii="Times New Roman" w:hAnsi="Times New Roman" w:cs="Times New Roman"/>
          <w:color w:val="auto"/>
        </w:rPr>
        <w:t>。</w:t>
      </w:r>
    </w:p>
    <w:p w14:paraId="376C78A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22.4开标程序。采购代理机构在投标截止时间后，按下列程序进行开标： </w:t>
      </w:r>
    </w:p>
    <w:p w14:paraId="278920B2">
      <w:pPr>
        <w:spacing w:line="400" w:lineRule="atLeast"/>
        <w:ind w:firstLine="413"/>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（1）宣读。投标截止时间，采购代理机构登根据系统显示宣布报名的投标人数量和上传了投标文件的投标人数量。</w:t>
      </w:r>
    </w:p>
    <w:p w14:paraId="12E61FC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（2）解密。采购代理机构在系统发出解密指令。</w:t>
      </w:r>
      <w:r>
        <w:rPr>
          <w:rFonts w:hint="default" w:ascii="Times New Roman" w:hAnsi="Times New Roman" w:cs="Times New Roman"/>
          <w:color w:val="auto"/>
        </w:rPr>
        <w:t>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w:t>
      </w:r>
      <w:r>
        <w:rPr>
          <w:rFonts w:hint="default" w:ascii="Times New Roman" w:hAnsi="Times New Roman" w:cs="Times New Roman" w:eastAsiaTheme="minorEastAsia"/>
          <w:color w:val="auto"/>
          <w:szCs w:val="21"/>
        </w:rPr>
        <w:t>解密成功的投标人不足3家时，开标不再继续。</w:t>
      </w:r>
    </w:p>
    <w:p w14:paraId="3B3255C2">
      <w:pPr>
        <w:spacing w:line="400" w:lineRule="atLeast"/>
        <w:ind w:firstLine="413"/>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（3）唱标。</w:t>
      </w:r>
      <w:r>
        <w:rPr>
          <w:rFonts w:hint="default" w:ascii="Times New Roman" w:hAnsi="Times New Roman" w:cs="Times New Roman"/>
          <w:color w:val="auto"/>
        </w:rPr>
        <w:t>以投标人《开标一览表》为准，由系统在线公布投标人名单、开标关键数据情况。电子交易系统在线即时生成《开标记录表》，所有解密成功的投标人可以在线即时查看、下载。</w:t>
      </w:r>
    </w:p>
    <w:p w14:paraId="634D653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（4）确认。投标人法定代表人或授权代表应在规定的时间内通过电子交易系统在《开标记录表》上进行确认。投标人未在规定的时间进行确认的，视同认可开标结果。</w:t>
      </w:r>
    </w:p>
    <w:p w14:paraId="4CEDBF1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22.5 投标人代表对开标过程和开标记录有疑义，以及认为采购人或者采购代理机构相关工作人员有《政府采购法实施条例》第九条第一款需要回避的情形的，应当场提出询问或者回避申请。</w:t>
      </w:r>
    </w:p>
    <w:p w14:paraId="60DE2B6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22.6采购人或者采购代理机构对投标人代表当场提出的询问或者回避申请，按《政府采购法实施条例》有关规定及时处理。</w:t>
      </w:r>
    </w:p>
    <w:p w14:paraId="2FA85258">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22.7开标时，出现下列情形之一的，视为投标人撤销其投标。</w:t>
      </w:r>
    </w:p>
    <w:p w14:paraId="4C1423CC">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（1）投标人未按要求配置开标所需的软硬件设备，导致解密失败的；</w:t>
      </w:r>
    </w:p>
    <w:p w14:paraId="616E0337">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（2）投标人电脑故障或无法上网，导致解密失败的； </w:t>
      </w:r>
    </w:p>
    <w:p w14:paraId="6F005B72">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（3）投标人电子CA证书发生故障、失效、错误等，导致解密失败的；</w:t>
      </w:r>
    </w:p>
    <w:p w14:paraId="48C57095">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（4）解密时间超过规定时限的；</w:t>
      </w:r>
    </w:p>
    <w:p w14:paraId="3FDBA93C">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（5）其他由于投标人自身原因导致解密失效的情形。</w:t>
      </w:r>
    </w:p>
    <w:p w14:paraId="1DBB4692">
      <w:pPr>
        <w:spacing w:line="400" w:lineRule="exact"/>
        <w:ind w:firstLine="720"/>
        <w:rPr>
          <w:rFonts w:hint="default" w:ascii="Times New Roman" w:hAnsi="Times New Roman" w:cs="Times New Roman"/>
          <w:b/>
          <w:color w:val="auto"/>
        </w:rPr>
      </w:pPr>
    </w:p>
    <w:p w14:paraId="4A961FF6">
      <w:pPr>
        <w:adjustRightInd w:val="0"/>
        <w:snapToGrid w:val="0"/>
        <w:spacing w:beforeLines="50" w:line="360" w:lineRule="auto"/>
        <w:jc w:val="left"/>
        <w:rPr>
          <w:rFonts w:hint="default" w:ascii="Times New Roman" w:hAnsi="Times New Roman" w:cs="Times New Roman" w:eastAsiaTheme="minorEastAsia"/>
          <w:b/>
          <w:color w:val="auto"/>
          <w:sz w:val="24"/>
        </w:rPr>
      </w:pPr>
      <w:r>
        <w:rPr>
          <w:rStyle w:val="46"/>
          <w:rFonts w:hint="default" w:ascii="Times New Roman" w:hAnsi="Times New Roman" w:cs="Times New Roman" w:eastAsiaTheme="minorEastAsia"/>
          <w:color w:val="auto"/>
          <w:sz w:val="24"/>
        </w:rPr>
        <w:t>23.</w:t>
      </w:r>
      <w:r>
        <w:rPr>
          <w:rFonts w:hint="default" w:ascii="Times New Roman" w:hAnsi="Times New Roman" w:cs="Times New Roman" w:eastAsiaTheme="minorEastAsia"/>
          <w:b/>
          <w:color w:val="auto"/>
          <w:sz w:val="24"/>
        </w:rPr>
        <w:t xml:space="preserve"> 资格审查</w:t>
      </w:r>
    </w:p>
    <w:p w14:paraId="7ABB4F8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23.1开标结束后，采购人、采购代理机构依法按照第三章</w:t>
      </w:r>
      <w:r>
        <w:rPr>
          <w:rFonts w:hint="default" w:ascii="Times New Roman" w:hAnsi="Times New Roman" w:eastAsia="华文宋体" w:cs="Times New Roman"/>
          <w:color w:val="auto"/>
          <w:szCs w:val="21"/>
        </w:rPr>
        <w:t>“</w:t>
      </w:r>
      <w:r>
        <w:rPr>
          <w:rFonts w:hint="default" w:ascii="Times New Roman" w:hAnsi="Times New Roman" w:cs="Times New Roman" w:eastAsiaTheme="minorEastAsia"/>
          <w:color w:val="auto"/>
          <w:szCs w:val="21"/>
        </w:rPr>
        <w:t>资格审查</w:t>
      </w:r>
      <w:r>
        <w:rPr>
          <w:rFonts w:hint="default" w:ascii="Times New Roman" w:hAnsi="Times New Roman" w:eastAsia="华文宋体" w:cs="Times New Roman"/>
          <w:color w:val="auto"/>
          <w:szCs w:val="21"/>
        </w:rPr>
        <w:t>”</w:t>
      </w:r>
      <w:r>
        <w:rPr>
          <w:rFonts w:hint="default" w:ascii="Times New Roman" w:hAnsi="Times New Roman" w:cs="Times New Roman" w:eastAsiaTheme="minorEastAsia"/>
          <w:color w:val="auto"/>
          <w:szCs w:val="21"/>
        </w:rPr>
        <w:t>规定组织资格审查。</w:t>
      </w:r>
    </w:p>
    <w:p w14:paraId="55B35B3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23.2资格审查结束后，采购人、采购代理机构应将资格审查结果告知评标委员会。资格审查不合格投标人不进入评标；经资格审查合格投标人少于3家的，不得评标。</w:t>
      </w:r>
    </w:p>
    <w:p w14:paraId="18239B79">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24.</w:t>
      </w:r>
      <w:r>
        <w:rPr>
          <w:rFonts w:hint="default" w:ascii="Times New Roman" w:hAnsi="Times New Roman" w:cs="Times New Roman" w:eastAsiaTheme="minorEastAsia"/>
          <w:b/>
          <w:color w:val="auto"/>
          <w:sz w:val="24"/>
        </w:rPr>
        <w:t xml:space="preserve"> 评标委员会</w:t>
      </w:r>
    </w:p>
    <w:p w14:paraId="47EFEEB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24.1评标由依法组建的评标委员会负责，评标委员会由采购人代表和评审专家组成。</w:t>
      </w:r>
    </w:p>
    <w:p w14:paraId="4C62CC9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24.2评标委员会成员有下列情形之一的，应当回避：</w:t>
      </w:r>
    </w:p>
    <w:p w14:paraId="5A52327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（1）参加采购活动前三年内，与投标人存在劳动关系，或者担任过投标人的董事、监事，或者是投标人的控股股东或实际控制人；</w:t>
      </w:r>
    </w:p>
    <w:p w14:paraId="1AD2291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（2）与投标人的法定代表人或者负责人有夫妻、直系血亲、三代以内旁系血亲或者近姻亲关系；</w:t>
      </w:r>
    </w:p>
    <w:p w14:paraId="3C5FD7D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（3）与投标人有其他可能影响政府采购活动公平、公正进行的关系。</w:t>
      </w:r>
    </w:p>
    <w:p w14:paraId="3593E86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24.3评标委员会负责具体评标事务，并独立履行下列职责：</w:t>
      </w:r>
    </w:p>
    <w:p w14:paraId="7D283C5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（1）审查、评价投标文件是否符合招标文件的商务、技术等实质性要求；</w:t>
      </w:r>
    </w:p>
    <w:p w14:paraId="6C10D23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（2）要求投标人对投标文件有关事项作出澄清或者说明；</w:t>
      </w:r>
    </w:p>
    <w:p w14:paraId="14702F7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（3）对投标文件进行比较和评价；</w:t>
      </w:r>
    </w:p>
    <w:p w14:paraId="63D3B37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（4）确定中标候选人名单，以及根据采购人委托直接确定中标人。</w:t>
      </w:r>
    </w:p>
    <w:p w14:paraId="6C225E58">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25.</w:t>
      </w:r>
      <w:r>
        <w:rPr>
          <w:rFonts w:hint="default" w:ascii="Times New Roman" w:hAnsi="Times New Roman" w:cs="Times New Roman" w:eastAsiaTheme="minorEastAsia"/>
          <w:b/>
          <w:bCs/>
          <w:color w:val="auto"/>
          <w:sz w:val="24"/>
        </w:rPr>
        <w:t xml:space="preserve"> 评标</w:t>
      </w:r>
    </w:p>
    <w:p w14:paraId="1C20CF49">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25.1评标委员会按照</w:t>
      </w:r>
      <w:r>
        <w:rPr>
          <w:rFonts w:hint="default" w:ascii="Times New Roman" w:hAnsi="Times New Roman" w:cs="Times New Roman" w:eastAsiaTheme="minorEastAsia"/>
          <w:bCs/>
          <w:color w:val="auto"/>
        </w:rPr>
        <w:t>第四章</w:t>
      </w:r>
      <w:r>
        <w:rPr>
          <w:rFonts w:hint="default" w:ascii="Times New Roman" w:hAnsi="Times New Roman" w:eastAsia="华文宋体" w:cs="Times New Roman"/>
          <w:bCs/>
          <w:color w:val="auto"/>
        </w:rPr>
        <w:t>“</w:t>
      </w:r>
      <w:r>
        <w:rPr>
          <w:rFonts w:hint="default" w:ascii="Times New Roman" w:hAnsi="Times New Roman" w:cs="Times New Roman" w:eastAsiaTheme="minorEastAsia"/>
          <w:bCs/>
          <w:color w:val="auto"/>
        </w:rPr>
        <w:t>评标方法及标准</w:t>
      </w:r>
      <w:r>
        <w:rPr>
          <w:rFonts w:hint="default" w:ascii="Times New Roman" w:hAnsi="Times New Roman" w:eastAsia="华文宋体" w:cs="Times New Roman"/>
          <w:bCs/>
          <w:color w:val="auto"/>
        </w:rPr>
        <w:t>”</w:t>
      </w:r>
      <w:r>
        <w:rPr>
          <w:rFonts w:hint="default" w:ascii="Times New Roman" w:hAnsi="Times New Roman" w:cs="Times New Roman" w:eastAsiaTheme="minorEastAsia"/>
          <w:color w:val="auto"/>
        </w:rPr>
        <w:t>规定的评标方法、评审因素、标准和程序以及有关法律、法规及规章对投标文件进行评审。</w:t>
      </w:r>
    </w:p>
    <w:p w14:paraId="281C88FD">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40" w:name="_Toc29913902"/>
      <w:bookmarkStart w:id="41" w:name="_Toc28111"/>
      <w:bookmarkStart w:id="42" w:name="_Toc1370"/>
      <w:r>
        <w:rPr>
          <w:rFonts w:hint="default" w:ascii="Times New Roman" w:hAnsi="Times New Roman" w:eastAsia="黑体" w:cs="Times New Roman"/>
          <w:color w:val="auto"/>
          <w:sz w:val="28"/>
          <w:szCs w:val="28"/>
        </w:rPr>
        <w:t>六、中标信息公布</w:t>
      </w:r>
      <w:bookmarkEnd w:id="40"/>
      <w:bookmarkEnd w:id="41"/>
      <w:bookmarkEnd w:id="42"/>
    </w:p>
    <w:p w14:paraId="64AC8C7D">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 xml:space="preserve">26. </w:t>
      </w:r>
      <w:r>
        <w:rPr>
          <w:rFonts w:hint="default" w:ascii="Times New Roman" w:hAnsi="Times New Roman" w:cs="Times New Roman" w:eastAsiaTheme="minorEastAsia"/>
          <w:b/>
          <w:bCs/>
          <w:color w:val="auto"/>
          <w:sz w:val="24"/>
        </w:rPr>
        <w:t>中标通知书与中标信息公布</w:t>
      </w:r>
    </w:p>
    <w:p w14:paraId="3DF7C01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26.1采购代理机构应当在评标结束后2个工作日内将评标报告送采购人。</w:t>
      </w:r>
    </w:p>
    <w:p w14:paraId="0648A23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26.2采购人应当自收到评标报告之日起5个工作日内，在评标报告确定的中标候选人名单中按顺序确定中标人。中标候选人并列的，按照</w:t>
      </w:r>
      <w:r>
        <w:rPr>
          <w:rFonts w:hint="default" w:ascii="Times New Roman" w:hAnsi="Times New Roman" w:cs="Times New Roman" w:eastAsiaTheme="minorEastAsia"/>
          <w:b/>
          <w:color w:val="auto"/>
          <w:szCs w:val="21"/>
        </w:rPr>
        <w:t>【投标须知前附表】</w:t>
      </w:r>
      <w:r>
        <w:rPr>
          <w:rFonts w:hint="default" w:ascii="Times New Roman" w:hAnsi="Times New Roman" w:cs="Times New Roman" w:eastAsiaTheme="minorEastAsia"/>
          <w:color w:val="auto"/>
          <w:szCs w:val="21"/>
        </w:rPr>
        <w:t>规定的方式确定中标人；招标文件未规定的，采取随机抽取的方式确定。</w:t>
      </w:r>
    </w:p>
    <w:p w14:paraId="6098F38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26.3采购人、采购代理机构应当自采购人确定中标供应商之日起2个工作日内，发出中标通知书，并在招标公告指定媒体上公告中标结果，招标文件随中标结果同时公告，中标结果公告期限为１个工作日。</w:t>
      </w:r>
    </w:p>
    <w:p w14:paraId="1FD078EC">
      <w:pPr>
        <w:numPr>
          <w:ilvl w:val="0"/>
          <w:numId w:val="3"/>
        </w:num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投标人询问及</w:t>
      </w:r>
      <w:r>
        <w:rPr>
          <w:rFonts w:hint="default" w:ascii="Times New Roman" w:hAnsi="Times New Roman" w:cs="Times New Roman" w:eastAsiaTheme="minorEastAsia"/>
          <w:b/>
          <w:bCs/>
          <w:color w:val="auto"/>
          <w:sz w:val="24"/>
        </w:rPr>
        <w:t>质疑</w:t>
      </w:r>
    </w:p>
    <w:p w14:paraId="4CEBEF8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27.1投标人对政府采购活动事项有疑问的，可以向采购人、采购代理机构提出询问。采购人或采购代理机构将在3个工作日内作出答复。</w:t>
      </w:r>
    </w:p>
    <w:p w14:paraId="12C4B9C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27.2投标人认为招标文件、采购过程和中标结果使自己的权益受到损害的，可以在知道或者应知其权益受到损害之日起7个工作日内，按照《湖南省财政厅关于印发＜政府采购质疑答复和投诉处理操作规程＞的通知》(湘财购〔2024〕67号)规定，以纸质书面形式向采购人、采购代理机构提出质疑。</w:t>
      </w:r>
    </w:p>
    <w:p w14:paraId="158822F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27.3投标人提出质疑的，应按照《湖南省财政厅关于印发＜政府采购质疑答复和投诉处理操作规程＞的通知》规定制作、签署、送达。采购人、采购代理机构接收质疑函的联系部门、联系电话和通讯地址见</w:t>
      </w:r>
      <w:r>
        <w:rPr>
          <w:rFonts w:hint="default" w:ascii="Times New Roman" w:hAnsi="Times New Roman" w:cs="Times New Roman" w:eastAsiaTheme="minorEastAsia"/>
          <w:b/>
          <w:color w:val="auto"/>
          <w:szCs w:val="21"/>
        </w:rPr>
        <w:t>【申请人须知前附表】</w:t>
      </w:r>
      <w:r>
        <w:rPr>
          <w:rFonts w:hint="default" w:ascii="Times New Roman" w:hAnsi="Times New Roman" w:cs="Times New Roman" w:eastAsiaTheme="minorEastAsia"/>
          <w:color w:val="auto"/>
          <w:szCs w:val="21"/>
        </w:rPr>
        <w:t xml:space="preserve">。  </w:t>
      </w:r>
    </w:p>
    <w:p w14:paraId="741878F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27.4采购人、采购代理机构按照《湖南省财政厅关于印发＜政府采购质疑答复和投诉处理操作规程＞的通知》规定进行质疑答复。</w:t>
      </w:r>
    </w:p>
    <w:p w14:paraId="1614F418">
      <w:pPr>
        <w:adjustRightInd w:val="0"/>
        <w:snapToGrid w:val="0"/>
        <w:spacing w:beforeLines="50" w:line="360" w:lineRule="auto"/>
        <w:ind w:firstLine="420" w:firstLineChars="200"/>
        <w:jc w:val="left"/>
        <w:rPr>
          <w:rFonts w:hint="default" w:ascii="Times New Roman" w:hAnsi="Times New Roman" w:cs="Times New Roman" w:eastAsiaTheme="minorEastAsia"/>
          <w:b/>
          <w:bCs/>
          <w:color w:val="auto"/>
        </w:rPr>
      </w:pPr>
      <w:r>
        <w:rPr>
          <w:rFonts w:hint="default" w:ascii="Times New Roman" w:hAnsi="Times New Roman" w:cs="Times New Roman" w:eastAsiaTheme="minorEastAsia"/>
          <w:color w:val="auto"/>
          <w:szCs w:val="21"/>
        </w:rPr>
        <w:t>27.5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1122E0A5">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43" w:name="_Toc20314"/>
      <w:bookmarkStart w:id="44" w:name="_Toc29913903"/>
      <w:bookmarkStart w:id="45" w:name="_Toc17703"/>
      <w:r>
        <w:rPr>
          <w:rFonts w:hint="default" w:ascii="Times New Roman" w:hAnsi="Times New Roman" w:eastAsia="黑体" w:cs="Times New Roman"/>
          <w:color w:val="auto"/>
          <w:sz w:val="28"/>
          <w:szCs w:val="28"/>
        </w:rPr>
        <w:t>七、合同签订</w:t>
      </w:r>
      <w:bookmarkEnd w:id="43"/>
      <w:bookmarkEnd w:id="44"/>
      <w:bookmarkEnd w:id="45"/>
    </w:p>
    <w:p w14:paraId="52E2F7C7">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28. 签订合同</w:t>
      </w:r>
    </w:p>
    <w:p w14:paraId="010E0FC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28.1采购人应自中标通知书发出之日起30日内，按中标通知书指定的时间、地点与中标人签订政府采购合同。所签订的合同不得对招标文件确定的事项和中标人投标文件作实质性修改。</w:t>
      </w:r>
    </w:p>
    <w:p w14:paraId="3E6FECE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28.2招标文件、中标人的投标文件均为签订合同的依据。</w:t>
      </w:r>
    </w:p>
    <w:p w14:paraId="63EC6693">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28.3联</w:t>
      </w:r>
      <w:r>
        <w:rPr>
          <w:rFonts w:hint="default" w:ascii="Times New Roman" w:hAnsi="Times New Roman" w:cs="Times New Roman" w:eastAsiaTheme="minorEastAsia"/>
          <w:color w:val="auto"/>
          <w:spacing w:val="-2"/>
          <w:kern w:val="0"/>
          <w:szCs w:val="21"/>
        </w:rPr>
        <w:t>合</w:t>
      </w:r>
      <w:r>
        <w:rPr>
          <w:rFonts w:hint="default" w:ascii="Times New Roman" w:hAnsi="Times New Roman" w:cs="Times New Roman" w:eastAsiaTheme="minorEastAsia"/>
          <w:color w:val="auto"/>
          <w:kern w:val="0"/>
          <w:szCs w:val="21"/>
        </w:rPr>
        <w:t>体</w:t>
      </w:r>
      <w:r>
        <w:rPr>
          <w:rFonts w:hint="default" w:ascii="Times New Roman" w:hAnsi="Times New Roman" w:cs="Times New Roman" w:eastAsiaTheme="minorEastAsia"/>
          <w:color w:val="auto"/>
          <w:spacing w:val="-2"/>
          <w:kern w:val="0"/>
          <w:szCs w:val="21"/>
        </w:rPr>
        <w:t>中</w:t>
      </w:r>
      <w:r>
        <w:rPr>
          <w:rFonts w:hint="default" w:ascii="Times New Roman" w:hAnsi="Times New Roman" w:cs="Times New Roman" w:eastAsiaTheme="minorEastAsia"/>
          <w:color w:val="auto"/>
          <w:kern w:val="0"/>
          <w:szCs w:val="21"/>
        </w:rPr>
        <w:t>标的</w:t>
      </w:r>
      <w:r>
        <w:rPr>
          <w:rFonts w:hint="default" w:ascii="Times New Roman" w:hAnsi="Times New Roman" w:cs="Times New Roman" w:eastAsiaTheme="minorEastAsia"/>
          <w:color w:val="auto"/>
          <w:spacing w:val="-14"/>
          <w:kern w:val="0"/>
          <w:szCs w:val="21"/>
        </w:rPr>
        <w:t>，</w:t>
      </w:r>
      <w:r>
        <w:rPr>
          <w:rFonts w:hint="default" w:ascii="Times New Roman" w:hAnsi="Times New Roman" w:cs="Times New Roman" w:eastAsiaTheme="minorEastAsia"/>
          <w:color w:val="auto"/>
          <w:kern w:val="0"/>
          <w:szCs w:val="21"/>
        </w:rPr>
        <w:t>联</w:t>
      </w:r>
      <w:r>
        <w:rPr>
          <w:rFonts w:hint="default" w:ascii="Times New Roman" w:hAnsi="Times New Roman" w:cs="Times New Roman" w:eastAsiaTheme="minorEastAsia"/>
          <w:color w:val="auto"/>
          <w:spacing w:val="-2"/>
          <w:kern w:val="0"/>
          <w:szCs w:val="21"/>
        </w:rPr>
        <w:t>合</w:t>
      </w:r>
      <w:r>
        <w:rPr>
          <w:rFonts w:hint="default" w:ascii="Times New Roman" w:hAnsi="Times New Roman" w:cs="Times New Roman" w:eastAsiaTheme="minorEastAsia"/>
          <w:color w:val="auto"/>
          <w:kern w:val="0"/>
          <w:szCs w:val="21"/>
        </w:rPr>
        <w:t>体各</w:t>
      </w:r>
      <w:r>
        <w:rPr>
          <w:rFonts w:hint="default" w:ascii="Times New Roman" w:hAnsi="Times New Roman" w:cs="Times New Roman" w:eastAsiaTheme="minorEastAsia"/>
          <w:color w:val="auto"/>
          <w:spacing w:val="-2"/>
          <w:kern w:val="0"/>
          <w:szCs w:val="21"/>
        </w:rPr>
        <w:t>方</w:t>
      </w:r>
      <w:r>
        <w:rPr>
          <w:rFonts w:hint="default" w:ascii="Times New Roman" w:hAnsi="Times New Roman" w:cs="Times New Roman" w:eastAsiaTheme="minorEastAsia"/>
          <w:color w:val="auto"/>
          <w:kern w:val="0"/>
          <w:szCs w:val="21"/>
        </w:rPr>
        <w:t>应</w:t>
      </w:r>
      <w:r>
        <w:rPr>
          <w:rFonts w:hint="default" w:ascii="Times New Roman" w:hAnsi="Times New Roman" w:cs="Times New Roman" w:eastAsiaTheme="minorEastAsia"/>
          <w:color w:val="auto"/>
          <w:spacing w:val="-2"/>
          <w:kern w:val="0"/>
          <w:szCs w:val="21"/>
        </w:rPr>
        <w:t>当</w:t>
      </w:r>
      <w:r>
        <w:rPr>
          <w:rFonts w:hint="default" w:ascii="Times New Roman" w:hAnsi="Times New Roman" w:cs="Times New Roman" w:eastAsiaTheme="minorEastAsia"/>
          <w:color w:val="auto"/>
          <w:kern w:val="0"/>
          <w:szCs w:val="21"/>
        </w:rPr>
        <w:t>共</w:t>
      </w:r>
      <w:r>
        <w:rPr>
          <w:rFonts w:hint="default" w:ascii="Times New Roman" w:hAnsi="Times New Roman" w:cs="Times New Roman" w:eastAsiaTheme="minorEastAsia"/>
          <w:color w:val="auto"/>
          <w:spacing w:val="-2"/>
          <w:kern w:val="0"/>
          <w:szCs w:val="21"/>
        </w:rPr>
        <w:t>同</w:t>
      </w:r>
      <w:r>
        <w:rPr>
          <w:rFonts w:hint="default" w:ascii="Times New Roman" w:hAnsi="Times New Roman" w:cs="Times New Roman" w:eastAsiaTheme="minorEastAsia"/>
          <w:color w:val="auto"/>
          <w:kern w:val="0"/>
          <w:szCs w:val="21"/>
        </w:rPr>
        <w:t>与</w:t>
      </w:r>
      <w:r>
        <w:rPr>
          <w:rFonts w:hint="default" w:ascii="Times New Roman" w:hAnsi="Times New Roman" w:cs="Times New Roman" w:eastAsiaTheme="minorEastAsia"/>
          <w:color w:val="auto"/>
          <w:spacing w:val="-2"/>
          <w:kern w:val="0"/>
          <w:szCs w:val="21"/>
        </w:rPr>
        <w:t>采购人</w:t>
      </w:r>
      <w:r>
        <w:rPr>
          <w:rFonts w:hint="default" w:ascii="Times New Roman" w:hAnsi="Times New Roman" w:cs="Times New Roman" w:eastAsiaTheme="minorEastAsia"/>
          <w:color w:val="auto"/>
          <w:kern w:val="0"/>
          <w:szCs w:val="21"/>
        </w:rPr>
        <w:t>签订</w:t>
      </w:r>
      <w:r>
        <w:rPr>
          <w:rFonts w:hint="default" w:ascii="Times New Roman" w:hAnsi="Times New Roman" w:cs="Times New Roman" w:eastAsiaTheme="minorEastAsia"/>
          <w:color w:val="auto"/>
          <w:spacing w:val="-2"/>
          <w:kern w:val="0"/>
          <w:szCs w:val="21"/>
        </w:rPr>
        <w:t>合</w:t>
      </w:r>
      <w:r>
        <w:rPr>
          <w:rFonts w:hint="default" w:ascii="Times New Roman" w:hAnsi="Times New Roman" w:cs="Times New Roman" w:eastAsiaTheme="minorEastAsia"/>
          <w:color w:val="auto"/>
          <w:kern w:val="0"/>
          <w:szCs w:val="21"/>
        </w:rPr>
        <w:t>同</w:t>
      </w:r>
      <w:r>
        <w:rPr>
          <w:rFonts w:hint="default" w:ascii="Times New Roman" w:hAnsi="Times New Roman" w:cs="Times New Roman" w:eastAsiaTheme="minorEastAsia"/>
          <w:color w:val="auto"/>
          <w:spacing w:val="-14"/>
          <w:kern w:val="0"/>
          <w:szCs w:val="21"/>
        </w:rPr>
        <w:t>，</w:t>
      </w:r>
      <w:r>
        <w:rPr>
          <w:rFonts w:hint="default" w:ascii="Times New Roman" w:hAnsi="Times New Roman" w:cs="Times New Roman" w:eastAsiaTheme="minorEastAsia"/>
          <w:color w:val="auto"/>
          <w:kern w:val="0"/>
          <w:szCs w:val="21"/>
        </w:rPr>
        <w:t>就</w:t>
      </w:r>
      <w:r>
        <w:rPr>
          <w:rFonts w:hint="default" w:ascii="Times New Roman" w:hAnsi="Times New Roman" w:cs="Times New Roman" w:eastAsiaTheme="minorEastAsia"/>
          <w:color w:val="auto"/>
          <w:spacing w:val="-2"/>
          <w:kern w:val="0"/>
          <w:szCs w:val="21"/>
        </w:rPr>
        <w:t>中</w:t>
      </w:r>
      <w:r>
        <w:rPr>
          <w:rFonts w:hint="default" w:ascii="Times New Roman" w:hAnsi="Times New Roman" w:cs="Times New Roman" w:eastAsiaTheme="minorEastAsia"/>
          <w:color w:val="auto"/>
          <w:kern w:val="0"/>
          <w:szCs w:val="21"/>
        </w:rPr>
        <w:t>标</w:t>
      </w:r>
      <w:r>
        <w:rPr>
          <w:rFonts w:hint="default" w:ascii="Times New Roman" w:hAnsi="Times New Roman" w:cs="Times New Roman" w:eastAsiaTheme="minorEastAsia"/>
          <w:color w:val="auto"/>
          <w:spacing w:val="-2"/>
          <w:kern w:val="0"/>
          <w:szCs w:val="21"/>
        </w:rPr>
        <w:t>项</w:t>
      </w:r>
      <w:r>
        <w:rPr>
          <w:rFonts w:hint="default" w:ascii="Times New Roman" w:hAnsi="Times New Roman" w:cs="Times New Roman" w:eastAsiaTheme="minorEastAsia"/>
          <w:color w:val="auto"/>
          <w:kern w:val="0"/>
          <w:szCs w:val="21"/>
        </w:rPr>
        <w:t>目</w:t>
      </w:r>
      <w:r>
        <w:rPr>
          <w:rFonts w:hint="default" w:ascii="Times New Roman" w:hAnsi="Times New Roman" w:cs="Times New Roman" w:eastAsiaTheme="minorEastAsia"/>
          <w:color w:val="auto"/>
          <w:spacing w:val="-2"/>
          <w:kern w:val="0"/>
          <w:szCs w:val="21"/>
        </w:rPr>
        <w:t>向</w:t>
      </w:r>
      <w:r>
        <w:rPr>
          <w:rFonts w:hint="default" w:ascii="Times New Roman" w:hAnsi="Times New Roman" w:cs="Times New Roman" w:eastAsiaTheme="minorEastAsia"/>
          <w:color w:val="auto"/>
          <w:kern w:val="0"/>
          <w:szCs w:val="21"/>
        </w:rPr>
        <w:t>采购人承</w:t>
      </w:r>
      <w:r>
        <w:rPr>
          <w:rFonts w:hint="default" w:ascii="Times New Roman" w:hAnsi="Times New Roman" w:cs="Times New Roman" w:eastAsiaTheme="minorEastAsia"/>
          <w:color w:val="auto"/>
          <w:spacing w:val="-2"/>
          <w:kern w:val="0"/>
          <w:szCs w:val="21"/>
        </w:rPr>
        <w:t>担</w:t>
      </w:r>
      <w:r>
        <w:rPr>
          <w:rFonts w:hint="default" w:ascii="Times New Roman" w:hAnsi="Times New Roman" w:cs="Times New Roman" w:eastAsiaTheme="minorEastAsia"/>
          <w:color w:val="auto"/>
          <w:kern w:val="0"/>
          <w:szCs w:val="21"/>
        </w:rPr>
        <w:t>连带责</w:t>
      </w:r>
      <w:r>
        <w:rPr>
          <w:rFonts w:hint="default" w:ascii="Times New Roman" w:hAnsi="Times New Roman" w:cs="Times New Roman" w:eastAsiaTheme="minorEastAsia"/>
          <w:color w:val="auto"/>
          <w:spacing w:val="-2"/>
          <w:kern w:val="0"/>
          <w:szCs w:val="21"/>
        </w:rPr>
        <w:t>任</w:t>
      </w:r>
      <w:r>
        <w:rPr>
          <w:rFonts w:hint="default" w:ascii="Times New Roman" w:hAnsi="Times New Roman" w:cs="Times New Roman" w:eastAsiaTheme="minorEastAsia"/>
          <w:color w:val="auto"/>
          <w:kern w:val="0"/>
          <w:szCs w:val="21"/>
        </w:rPr>
        <w:t>。</w:t>
      </w:r>
    </w:p>
    <w:p w14:paraId="7F16C76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28.4中标合同将在招标公告指定媒体上公告，但合同中涉及国家秘密、商业秘密的内容除外。</w:t>
      </w:r>
    </w:p>
    <w:p w14:paraId="64044556">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28.5中标人</w:t>
      </w:r>
      <w:r>
        <w:rPr>
          <w:rFonts w:hint="default" w:ascii="Times New Roman" w:hAnsi="Times New Roman" w:cs="Times New Roman" w:eastAsiaTheme="minorEastAsia"/>
          <w:bCs/>
          <w:color w:val="auto"/>
          <w:szCs w:val="21"/>
        </w:rPr>
        <w:t>应当按照合同约定依法履行合同义务。政府采购合同的履行、违约责任和解决争议的方法等适用《中华人民共和国合同法》。</w:t>
      </w:r>
    </w:p>
    <w:p w14:paraId="13D594B4">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29.</w:t>
      </w:r>
      <w:r>
        <w:rPr>
          <w:rFonts w:hint="default" w:ascii="Times New Roman" w:hAnsi="Times New Roman" w:cs="Times New Roman" w:eastAsiaTheme="minorEastAsia"/>
          <w:b/>
          <w:color w:val="auto"/>
          <w:sz w:val="24"/>
        </w:rPr>
        <w:t xml:space="preserve"> 政府采购合同履行中</w:t>
      </w:r>
      <w:r>
        <w:rPr>
          <w:rFonts w:hint="default" w:ascii="Times New Roman" w:hAnsi="Times New Roman" w:cs="Times New Roman" w:eastAsiaTheme="minorEastAsia"/>
          <w:b/>
          <w:bCs/>
          <w:color w:val="auto"/>
          <w:sz w:val="24"/>
        </w:rPr>
        <w:t>数量的变更</w:t>
      </w:r>
    </w:p>
    <w:p w14:paraId="5B106DB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rPr>
        <w:t>29.1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09FC0775">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46" w:name="_Toc19586"/>
      <w:bookmarkStart w:id="47" w:name="_Toc14155"/>
      <w:bookmarkStart w:id="48" w:name="_Toc29913904"/>
      <w:r>
        <w:rPr>
          <w:rFonts w:hint="default" w:ascii="Times New Roman" w:hAnsi="Times New Roman" w:eastAsia="黑体" w:cs="Times New Roman"/>
          <w:color w:val="auto"/>
          <w:sz w:val="28"/>
          <w:szCs w:val="28"/>
        </w:rPr>
        <w:t>八、政府采购政策</w:t>
      </w:r>
      <w:bookmarkEnd w:id="46"/>
      <w:bookmarkEnd w:id="47"/>
      <w:bookmarkEnd w:id="48"/>
    </w:p>
    <w:p w14:paraId="62BA99DC">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 xml:space="preserve">30. 政府采购政策 </w:t>
      </w:r>
    </w:p>
    <w:p w14:paraId="795BF76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30.1 优先采购： </w:t>
      </w:r>
    </w:p>
    <w:p w14:paraId="231C2BE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（1）纳入财政部会同国务院有关部门发布的节能产品、环境标志产品政府采购品目清单，实施政府优先采购的，评审时按招标文件第四章第一节有关规定对该部分产品给予一定比例的价格折扣或者加分； </w:t>
      </w:r>
    </w:p>
    <w:p w14:paraId="0E43D4A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30.2 强制采购： </w:t>
      </w:r>
    </w:p>
    <w:p w14:paraId="20330506">
      <w:pPr>
        <w:shd w:val="clea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（1）纳入财政部会同国务院有关部门发布的节能产品政府采购品目清单，实施政府强制采购的（品目清单标注</w:t>
      </w:r>
      <w:r>
        <w:rPr>
          <w:rFonts w:hint="default" w:ascii="Times New Roman" w:hAnsi="Times New Roman" w:cs="Times New Roman" w:eastAsiaTheme="minorEastAsia"/>
          <w:color w:val="auto"/>
          <w:kern w:val="0"/>
        </w:rPr>
        <w:sym w:font="Wingdings" w:char="F0AB"/>
      </w:r>
      <w:r>
        <w:rPr>
          <w:rFonts w:hint="default" w:ascii="Times New Roman" w:hAnsi="Times New Roman" w:cs="Times New Roman" w:eastAsiaTheme="minorEastAsia"/>
          <w:color w:val="auto"/>
          <w:szCs w:val="21"/>
        </w:rPr>
        <w:t>符号产品），投标人投标产品应当取得国家确定的认证机构出具的、处于有效期之内的节能产品认证证书，否则其</w:t>
      </w:r>
      <w:r>
        <w:rPr>
          <w:rFonts w:hint="default" w:ascii="Times New Roman" w:hAnsi="Times New Roman" w:cs="Times New Roman" w:eastAsiaTheme="minorEastAsia"/>
          <w:b/>
          <w:bCs/>
          <w:color w:val="auto"/>
          <w:szCs w:val="21"/>
        </w:rPr>
        <w:t>投标无效</w:t>
      </w:r>
      <w:r>
        <w:rPr>
          <w:rFonts w:hint="default" w:ascii="Times New Roman" w:hAnsi="Times New Roman" w:cs="Times New Roman" w:eastAsiaTheme="minorEastAsia"/>
          <w:color w:val="auto"/>
          <w:szCs w:val="21"/>
        </w:rPr>
        <w:t xml:space="preserve">。 </w:t>
      </w:r>
    </w:p>
    <w:p w14:paraId="69F42F05">
      <w:pPr>
        <w:shd w:val="clea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30.3 价格评审优惠： </w:t>
      </w:r>
    </w:p>
    <w:p w14:paraId="1596B11D">
      <w:pPr>
        <w:shd w:val="clea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在政府采购活动中，供应商提供的货物、工程或者服务符合下列情形的：（一）在货物采购项目中，货物全部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 </w:t>
      </w:r>
    </w:p>
    <w:p w14:paraId="76536E87">
      <w:pPr>
        <w:shd w:val="clea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接受大中型企业与小微企业组成联合体或者允许大中型企业向一家或者多家小微企业分包的采购项目，对于联合协议或者分包意向协议约定小微企业的合同份额占到合同总金额 30%以上的，给予一定比例的价格折扣，用扣除后的价格参与评审。以联合体形式参加政府采购活动，联合体各方均为中小企业的，联合体视同中小企业。其中，联合体各方均为小微企业的，联合体视同小微企业； </w:t>
      </w:r>
    </w:p>
    <w:p w14:paraId="0C05B4CD">
      <w:pPr>
        <w:shd w:val="clea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（3）符合中小企业划分标准的个体工商户视同中小企业，享受评审中价格扣除等促进中小企业发展的政府采购政策。 </w:t>
      </w:r>
    </w:p>
    <w:p w14:paraId="5E89E25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（4）监狱企业、残疾人福利性单位视同小型、微型企业，享受评审中价格扣除等促进中小企业发展的政府采购政策。 </w:t>
      </w:r>
    </w:p>
    <w:p w14:paraId="1F6A5C8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（5）与大企业的负责人为同一人，或者与大企业存在直接控股、管理关系的中小企业，不享受评审中价格扣除等促进中小企业发展的政府采购政策。 </w:t>
      </w:r>
    </w:p>
    <w:p w14:paraId="4E76F67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（6）本章第 1.2 款规定采购项目或者采购包属于</w:t>
      </w:r>
      <w:r>
        <w:rPr>
          <w:rFonts w:hint="eastAsia" w:cs="Times New Roman" w:eastAsiaTheme="minorEastAsia"/>
          <w:color w:val="auto"/>
          <w:szCs w:val="21"/>
          <w:lang w:eastAsia="zh-CN"/>
        </w:rPr>
        <w:t>“</w:t>
      </w:r>
      <w:r>
        <w:rPr>
          <w:rFonts w:hint="default" w:ascii="Times New Roman" w:hAnsi="Times New Roman" w:cs="Times New Roman" w:eastAsiaTheme="minorEastAsia"/>
          <w:color w:val="auto"/>
          <w:szCs w:val="21"/>
        </w:rPr>
        <w:t>预留采购份额</w:t>
      </w:r>
      <w:r>
        <w:rPr>
          <w:rFonts w:hint="eastAsia" w:cs="Times New Roman" w:eastAsiaTheme="minorEastAsia"/>
          <w:color w:val="auto"/>
          <w:szCs w:val="21"/>
          <w:lang w:eastAsia="zh-CN"/>
        </w:rPr>
        <w:t>”</w:t>
      </w:r>
      <w:r>
        <w:rPr>
          <w:rFonts w:hint="default" w:ascii="Times New Roman" w:hAnsi="Times New Roman" w:cs="Times New Roman" w:eastAsiaTheme="minorEastAsia"/>
          <w:color w:val="auto"/>
          <w:szCs w:val="21"/>
        </w:rPr>
        <w:t>的，预留部分不再享受本款</w:t>
      </w:r>
      <w:r>
        <w:rPr>
          <w:rFonts w:hint="eastAsia" w:cs="Times New Roman" w:eastAsiaTheme="minorEastAsia"/>
          <w:color w:val="auto"/>
          <w:szCs w:val="21"/>
          <w:lang w:eastAsia="zh-CN"/>
        </w:rPr>
        <w:t>“</w:t>
      </w:r>
      <w:r>
        <w:rPr>
          <w:rFonts w:hint="default" w:ascii="Times New Roman" w:hAnsi="Times New Roman" w:cs="Times New Roman" w:eastAsiaTheme="minorEastAsia"/>
          <w:color w:val="auto"/>
          <w:szCs w:val="21"/>
        </w:rPr>
        <w:t>价格评审优惠</w:t>
      </w:r>
      <w:r>
        <w:rPr>
          <w:rFonts w:hint="eastAsia" w:cs="Times New Roman" w:eastAsiaTheme="minorEastAsia"/>
          <w:color w:val="auto"/>
          <w:szCs w:val="21"/>
          <w:lang w:eastAsia="zh-CN"/>
        </w:rPr>
        <w:t>”</w:t>
      </w:r>
      <w:r>
        <w:rPr>
          <w:rFonts w:hint="default" w:ascii="Times New Roman" w:hAnsi="Times New Roman" w:cs="Times New Roman" w:eastAsiaTheme="minorEastAsia"/>
          <w:color w:val="auto"/>
          <w:szCs w:val="21"/>
        </w:rPr>
        <w:t xml:space="preserve">的小微企业扶持政策。 </w:t>
      </w:r>
    </w:p>
    <w:p w14:paraId="3CA34B3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30.4 政府采购政策交叉与叠加 </w:t>
      </w:r>
    </w:p>
    <w:p w14:paraId="1FBFA3A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（1）投标产品取得两个及以上优先采购产品认证的，评审时只有其中一项产品能享受优先采购优惠（投标人自行选择，并在投标文件中并填报相关信息及数据） </w:t>
      </w:r>
    </w:p>
    <w:p w14:paraId="187461D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（2）投标人同时符合小型、微型企业及监狱企业、残疾人福利性单位要求的，评审时只有一种类型享受价格评审优惠政策； </w:t>
      </w:r>
    </w:p>
    <w:p w14:paraId="65B4B7D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30.5 在货物采购项目中，供应商提供的货物既有中小企业制造货物，也有大型企业制造货物的，不享受政府采购中小企业扶持政策。 </w:t>
      </w:r>
    </w:p>
    <w:p w14:paraId="6B82359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30.6 投标人符合本章第 31.1 款、第 31.2 款、第 31.3 款规定的，应提供相关证明资料。 </w:t>
      </w:r>
    </w:p>
    <w:p w14:paraId="3640998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（1）中小企业：按《关于印发＜政府采购促进中小企业发展办法＞的通知》(财库[2020]46号) 和《关于印发中小企业划型标准规定的通知》（工信部联企业〔2011〕300 号）文件规定提供中小企业声明函（格式）；</w:t>
      </w:r>
    </w:p>
    <w:p w14:paraId="2E268E5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（2）监狱企业：按《关于政府采购实现监狱企业发展有关问题的通知》(财库〔2014〕68 号)文件规定提供证明文件。 </w:t>
      </w:r>
    </w:p>
    <w:p w14:paraId="3C06A8E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（3）残疾人福利性单位：按《关于促进残疾人就业政府采购政策的通知》(财库〔2017〕141 号)文件规定提供《残疾人福利性单位声明函》（格式）。 </w:t>
      </w:r>
    </w:p>
    <w:p w14:paraId="12A73F2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30.7 执行中小企业预留采购份额政策的规定： </w:t>
      </w:r>
    </w:p>
    <w:p w14:paraId="0607AF6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（1）预留份额的采购项目或者采购包，应明确该项目或相关采购包专门面向中小企业采购，并作为供应商资格条件。 </w:t>
      </w:r>
    </w:p>
    <w:p w14:paraId="07A0A96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（2）要求以联合体形式参加或者合同分包的，应明确联合协议或者分包意向协议中中小企业合同金额应当达到的比例，并作为供应商资格条件。 </w:t>
      </w:r>
    </w:p>
    <w:p w14:paraId="7769755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（3）组成联合体或者接受分包合同的中小企业与联合体内其他企业(成员)、分包企业(投标人)之间不得存在直接控股、管理关系。 </w:t>
      </w:r>
    </w:p>
    <w:p w14:paraId="58D90CE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30.8 采购进口产品 </w:t>
      </w:r>
    </w:p>
    <w:p w14:paraId="1A7F128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进口产品是指符合《政府采购进口产品管理办法》（财库〔2007〕119 号）和《关于政府采购进口产品管理有关问题的通知》（财办库〔2008〕248 号）文件规定的产品。除【投标须知前附表】另有规定外，采购项目拒绝进口产品参加投标。本款规定同意购买进口产品的，不限制满足招标文件要求的国内产品参与投标竞争。 </w:t>
      </w:r>
    </w:p>
    <w:p w14:paraId="73F5E20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30.9 投标人有融资、担保需求的，可登陆中国湖南政府采购网查询相关银行、担保机构业务。</w:t>
      </w:r>
    </w:p>
    <w:p w14:paraId="72DE10C7">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49" w:name="_Toc29913905"/>
      <w:bookmarkStart w:id="50" w:name="_Toc21705"/>
      <w:bookmarkStart w:id="51" w:name="_Toc18116"/>
      <w:r>
        <w:rPr>
          <w:rFonts w:hint="default" w:ascii="Times New Roman" w:hAnsi="Times New Roman" w:eastAsia="黑体" w:cs="Times New Roman"/>
          <w:color w:val="auto"/>
          <w:sz w:val="28"/>
          <w:szCs w:val="28"/>
        </w:rPr>
        <w:t>九、其他规定</w:t>
      </w:r>
      <w:bookmarkEnd w:id="49"/>
      <w:bookmarkEnd w:id="50"/>
      <w:bookmarkEnd w:id="51"/>
    </w:p>
    <w:p w14:paraId="4CB03F05">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31.</w:t>
      </w:r>
      <w:r>
        <w:rPr>
          <w:rFonts w:hint="default" w:ascii="Times New Roman" w:hAnsi="Times New Roman" w:cs="Times New Roman" w:eastAsiaTheme="minorEastAsia"/>
          <w:b/>
          <w:color w:val="auto"/>
          <w:sz w:val="24"/>
        </w:rPr>
        <w:t>招标不足三家处理</w:t>
      </w:r>
    </w:p>
    <w:p w14:paraId="01B9544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31.1公开招标数额标准以上的采购项目，投标截止后投标人不足3家或者通过资格审查或符合性审查的投标人不足3家的，除采购任务取消情形外，按照以下方式处理：</w:t>
      </w:r>
    </w:p>
    <w:p w14:paraId="0F3DD20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（1）招标文件存在不合理条款或者招标程序不符合规定的，采购人、采购代理机构改正后依法重新招标；</w:t>
      </w:r>
    </w:p>
    <w:p w14:paraId="4A3D56B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（2）招标文件没有不合理条款、招标程序符合规定，需要采用其他采购方式采购的，采购人应当依法报财政部门批准。</w:t>
      </w:r>
    </w:p>
    <w:p w14:paraId="4A1FDE5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31.2属上款第（2）项情形的，评标委员会应出具的招标文件没有不合理条款的论证意见。</w:t>
      </w:r>
    </w:p>
    <w:p w14:paraId="62046843">
      <w:pPr>
        <w:adjustRightInd w:val="0"/>
        <w:snapToGrid w:val="0"/>
        <w:spacing w:beforeLines="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32.</w:t>
      </w:r>
      <w:r>
        <w:rPr>
          <w:rFonts w:hint="default" w:ascii="Times New Roman" w:hAnsi="Times New Roman" w:cs="Times New Roman" w:eastAsiaTheme="minorEastAsia"/>
          <w:b/>
          <w:color w:val="auto"/>
          <w:sz w:val="24"/>
        </w:rPr>
        <w:t xml:space="preserve"> 招标代理服务费</w:t>
      </w:r>
    </w:p>
    <w:p w14:paraId="723DA97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32.1招标代理服务费由采购人支付。</w:t>
      </w:r>
    </w:p>
    <w:p w14:paraId="36C7D053">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33. 需要补充的其他内容</w:t>
      </w:r>
    </w:p>
    <w:p w14:paraId="15C3E4F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33.1招标文件需要补充的其他内容见【投标须知前附表】。</w:t>
      </w:r>
    </w:p>
    <w:p w14:paraId="3F7CD796">
      <w:pPr>
        <w:adjustRightInd w:val="0"/>
        <w:snapToGrid w:val="0"/>
        <w:spacing w:beforeLines="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34.电子招投标的应急措施</w:t>
      </w:r>
    </w:p>
    <w:p w14:paraId="10F1049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34.1电子开标、评标如出现下列情形，导致系统短时间内无法恢复正常运行，影响到招投标</w:t>
      </w:r>
      <w:r>
        <w:rPr>
          <w:rFonts w:hint="default" w:ascii="Times New Roman" w:hAnsi="Times New Roman" w:cs="Times New Roman" w:eastAsiaTheme="minorEastAsia"/>
          <w:bCs/>
          <w:color w:val="auto"/>
          <w:szCs w:val="21"/>
        </w:rPr>
        <w:t>活动无法继续开展</w:t>
      </w:r>
      <w:r>
        <w:rPr>
          <w:rFonts w:hint="default" w:ascii="Times New Roman" w:hAnsi="Times New Roman" w:cs="Times New Roman" w:eastAsiaTheme="minorEastAsia"/>
          <w:color w:val="auto"/>
          <w:szCs w:val="21"/>
        </w:rPr>
        <w:t>时，按交易中心应急预案措施执行：</w:t>
      </w:r>
    </w:p>
    <w:p w14:paraId="741EB9DF">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（1）系统服务器发生故障，无法访问或无法使用系统； </w:t>
      </w:r>
    </w:p>
    <w:p w14:paraId="746A0744">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（2）系统的软件或数据库出现错误，不能进行正常操作； </w:t>
      </w:r>
    </w:p>
    <w:p w14:paraId="07C6858F">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（3）系统发现有安全漏洞，有潜在的泄密危险； </w:t>
      </w:r>
    </w:p>
    <w:p w14:paraId="2EF7A672">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（4）病毒发作或受到外来病毒的攻击；</w:t>
      </w:r>
    </w:p>
    <w:p w14:paraId="40366F5D">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（5）网络故障，无法访问或无法使用系统；</w:t>
      </w:r>
    </w:p>
    <w:p w14:paraId="53F3E8FA">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（6）电力中断等其他特殊情况。</w:t>
      </w:r>
    </w:p>
    <w:p w14:paraId="7E521409">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34.2出现上述情况之一时，经交易中心相关部门确认：</w:t>
      </w:r>
      <w:r>
        <w:rPr>
          <w:rFonts w:hint="default" w:ascii="Times New Roman" w:hAnsi="Times New Roman" w:cs="Times New Roman" w:eastAsiaTheme="minorEastAsia"/>
          <w:bCs/>
          <w:color w:val="auto"/>
          <w:szCs w:val="21"/>
        </w:rPr>
        <w:t>采购人或采购代理机构可选择采取如下措施，投标人不得对此持有异议。</w:t>
      </w:r>
    </w:p>
    <w:p w14:paraId="61A6522B">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（1）酌情延长投标文件文件解密时间，采取远程解密等，以保障招投标活动的继续实施；</w:t>
      </w:r>
    </w:p>
    <w:p w14:paraId="3AC88308">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（2）项目作延期开标处理，待系统恢复后再进行开标活动；</w:t>
      </w:r>
    </w:p>
    <w:p w14:paraId="4C1F67CF">
      <w:pPr>
        <w:adjustRightIn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（3）对已在评标的项目，评标委员会酌情延期进行评审，待系统恢复后再进行评审工作。</w:t>
      </w:r>
    </w:p>
    <w:p w14:paraId="33083763">
      <w:pPr>
        <w:pStyle w:val="22"/>
        <w:adjustRightInd w:val="0"/>
        <w:snapToGrid w:val="0"/>
        <w:spacing w:line="360" w:lineRule="auto"/>
        <w:jc w:val="center"/>
        <w:outlineLvl w:val="0"/>
        <w:rPr>
          <w:rFonts w:hint="default" w:ascii="Times New Roman" w:hAnsi="Times New Roman" w:eastAsia="黑体" w:cs="Times New Roman"/>
          <w:color w:val="auto"/>
          <w:sz w:val="32"/>
          <w:szCs w:val="32"/>
        </w:rPr>
      </w:pPr>
      <w:r>
        <w:rPr>
          <w:rFonts w:hint="default" w:ascii="Times New Roman" w:hAnsi="Times New Roman" w:cs="Times New Roman" w:eastAsiaTheme="minorEastAsia"/>
          <w:color w:val="auto"/>
        </w:rPr>
        <w:br w:type="page"/>
      </w:r>
      <w:bookmarkStart w:id="52" w:name="_Toc29913906"/>
      <w:bookmarkStart w:id="53" w:name="_Toc14652"/>
      <w:bookmarkStart w:id="54" w:name="_Toc19262"/>
      <w:r>
        <w:rPr>
          <w:rFonts w:hint="default" w:ascii="Times New Roman" w:hAnsi="Times New Roman" w:eastAsia="黑体" w:cs="Times New Roman"/>
          <w:b/>
          <w:color w:val="auto"/>
          <w:sz w:val="32"/>
          <w:szCs w:val="32"/>
        </w:rPr>
        <w:t>第三章 资格审查</w:t>
      </w:r>
      <w:bookmarkEnd w:id="52"/>
      <w:bookmarkEnd w:id="53"/>
      <w:bookmarkEnd w:id="54"/>
    </w:p>
    <w:p w14:paraId="404ABC59">
      <w:pPr>
        <w:pStyle w:val="5"/>
        <w:adjustRightInd w:val="0"/>
        <w:snapToGrid w:val="0"/>
        <w:spacing w:before="0" w:after="0" w:line="360" w:lineRule="auto"/>
        <w:rPr>
          <w:rFonts w:hint="default" w:ascii="Times New Roman" w:hAnsi="Times New Roman" w:eastAsia="黑体" w:cs="Times New Roman"/>
          <w:color w:val="auto"/>
          <w:sz w:val="24"/>
          <w:szCs w:val="24"/>
        </w:rPr>
      </w:pPr>
      <w:bookmarkStart w:id="55" w:name="_Toc23239"/>
      <w:bookmarkStart w:id="56" w:name="_Toc29913907"/>
      <w:bookmarkStart w:id="57" w:name="_Toc15106"/>
      <w:r>
        <w:rPr>
          <w:rFonts w:hint="default" w:ascii="Times New Roman" w:hAnsi="Times New Roman" w:eastAsia="黑体" w:cs="Times New Roman"/>
          <w:color w:val="auto"/>
          <w:sz w:val="24"/>
          <w:szCs w:val="24"/>
        </w:rPr>
        <w:t>1．资格审查主体</w:t>
      </w:r>
      <w:bookmarkEnd w:id="55"/>
      <w:bookmarkEnd w:id="56"/>
      <w:bookmarkEnd w:id="57"/>
    </w:p>
    <w:p w14:paraId="0E67C5CF">
      <w:pPr>
        <w:adjustRightInd w:val="0"/>
        <w:snapToGrid w:val="0"/>
        <w:spacing w:line="360" w:lineRule="auto"/>
        <w:ind w:firstLine="417" w:firstLineChars="199"/>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1.1资格审查主体：采购人、采购代理机构负责资格审查。</w:t>
      </w:r>
    </w:p>
    <w:p w14:paraId="58445F4E">
      <w:pPr>
        <w:pStyle w:val="5"/>
        <w:adjustRightInd w:val="0"/>
        <w:snapToGrid w:val="0"/>
        <w:spacing w:before="0" w:after="0" w:line="360" w:lineRule="auto"/>
        <w:rPr>
          <w:rFonts w:hint="default" w:ascii="Times New Roman" w:hAnsi="Times New Roman" w:eastAsia="黑体" w:cs="Times New Roman"/>
          <w:color w:val="auto"/>
          <w:sz w:val="24"/>
          <w:szCs w:val="24"/>
        </w:rPr>
      </w:pPr>
      <w:bookmarkStart w:id="58" w:name="_Toc29312"/>
      <w:bookmarkStart w:id="59" w:name="_Toc30018"/>
      <w:bookmarkStart w:id="60" w:name="_Toc29913908"/>
      <w:r>
        <w:rPr>
          <w:rFonts w:hint="default" w:ascii="Times New Roman" w:hAnsi="Times New Roman" w:eastAsia="黑体" w:cs="Times New Roman"/>
          <w:color w:val="auto"/>
          <w:sz w:val="24"/>
          <w:szCs w:val="24"/>
        </w:rPr>
        <w:t>2．资格审查</w:t>
      </w:r>
      <w:bookmarkEnd w:id="58"/>
      <w:bookmarkEnd w:id="59"/>
      <w:bookmarkEnd w:id="60"/>
    </w:p>
    <w:p w14:paraId="2C23CB82">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2.1资格审查依据法律法规和招标文件的规定，对投标文件中的资格证明文件、投标报价等进行审查，以确定投标供应商是否具备投标资格。</w:t>
      </w:r>
    </w:p>
    <w:p w14:paraId="74FACBDC">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2.2在资格审查时，投标人存在下列情况之一的，资格审查不合格，其投标无效：</w:t>
      </w:r>
    </w:p>
    <w:p w14:paraId="460B745C">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（1）不具备招标文件中规定的资格要求的，或提交的资格证明文件不符合招标文件要求的；</w:t>
      </w:r>
    </w:p>
    <w:p w14:paraId="5DC18FBA">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（2）联合体投标未提交联合体协议书，或未提交联合体各方资格证明文件的；</w:t>
      </w:r>
    </w:p>
    <w:p w14:paraId="12A3F461">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（3）投标文件的资格证明文件未按照招标文件要求进行电子签名、盖章的；</w:t>
      </w:r>
    </w:p>
    <w:p w14:paraId="10B23DA8">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（4）投标报价超过招标文件中规定的预算金额或者最高限价的；</w:t>
      </w:r>
    </w:p>
    <w:p w14:paraId="536FF94D">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（5）法律、法规和招标文件规定的其他投标无效情形的。</w:t>
      </w:r>
    </w:p>
    <w:p w14:paraId="451087C2">
      <w:pPr>
        <w:adjustRightInd w:val="0"/>
        <w:snapToGrid w:val="0"/>
        <w:spacing w:line="360" w:lineRule="auto"/>
        <w:ind w:firstLine="420" w:firstLineChars="200"/>
        <w:jc w:val="left"/>
        <w:rPr>
          <w:rFonts w:hint="default" w:ascii="Times New Roman" w:hAnsi="Times New Roman" w:cs="Times New Roman" w:eastAsiaTheme="minorEastAsia"/>
          <w:b/>
          <w:color w:val="auto"/>
          <w:sz w:val="32"/>
          <w:szCs w:val="32"/>
        </w:rPr>
      </w:pPr>
      <w:r>
        <w:rPr>
          <w:rFonts w:hint="default" w:ascii="Times New Roman" w:hAnsi="Times New Roman" w:cs="Times New Roman" w:eastAsiaTheme="minorEastAsia"/>
          <w:color w:val="auto"/>
        </w:rPr>
        <w:t>2.3信用记录。开标结束后</w:t>
      </w:r>
      <w:r>
        <w:rPr>
          <w:rFonts w:hint="default" w:ascii="Times New Roman" w:hAnsi="Times New Roman" w:cs="Times New Roman" w:eastAsiaTheme="minorEastAsia"/>
          <w:color w:val="auto"/>
          <w:szCs w:val="21"/>
        </w:rPr>
        <w:t>资格审查时，采购人、采购代理机构将对投标人信用记录进行甄别。</w:t>
      </w:r>
    </w:p>
    <w:p w14:paraId="4881B659">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信用信息查询的查询渠道：“信用中国”“信用湖南”“信用郴州”网站失信被执行人和重大税收违法案件当事人名单、“中国政府采购网”“湖南省政府采购网”网站政府采购严重违法失信行为记录名单。</w:t>
      </w:r>
    </w:p>
    <w:p w14:paraId="349D8D36">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42E76869">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（3）联合体形式投标的，联合体成员存在不良信用记录的，视同联合体存在不良信用记录。</w:t>
      </w:r>
    </w:p>
    <w:p w14:paraId="50BEB28A">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（4）信用信息查询记录和证据留存具体方式：</w:t>
      </w:r>
      <w:r>
        <w:rPr>
          <w:rFonts w:hint="default" w:ascii="Times New Roman" w:hAnsi="Times New Roman" w:cs="Times New Roman"/>
          <w:color w:val="auto"/>
          <w:szCs w:val="21"/>
        </w:rPr>
        <w:t>采购人、采购代理机构经办人将查询网页截图、打印，作为查询记录和证据，与其他采购文件一并保存。投标人不良信用记录以采购人、采购代理机构查询结果为准。</w:t>
      </w:r>
    </w:p>
    <w:p w14:paraId="054B2625">
      <w:pPr>
        <w:pStyle w:val="5"/>
        <w:adjustRightInd w:val="0"/>
        <w:snapToGrid w:val="0"/>
        <w:spacing w:before="0" w:after="0" w:line="360" w:lineRule="auto"/>
        <w:rPr>
          <w:rFonts w:hint="default" w:ascii="Times New Roman" w:hAnsi="Times New Roman" w:eastAsia="黑体" w:cs="Times New Roman"/>
          <w:color w:val="auto"/>
          <w:sz w:val="24"/>
          <w:szCs w:val="24"/>
        </w:rPr>
      </w:pPr>
      <w:bookmarkStart w:id="61" w:name="_Toc29913909"/>
      <w:bookmarkStart w:id="62" w:name="_Toc30489"/>
      <w:bookmarkStart w:id="63" w:name="_Toc10928"/>
      <w:r>
        <w:rPr>
          <w:rFonts w:hint="default" w:ascii="Times New Roman" w:hAnsi="Times New Roman" w:eastAsia="黑体" w:cs="Times New Roman"/>
          <w:color w:val="auto"/>
          <w:sz w:val="24"/>
          <w:szCs w:val="24"/>
        </w:rPr>
        <w:t>3．资格审查结果</w:t>
      </w:r>
      <w:bookmarkEnd w:id="61"/>
      <w:bookmarkEnd w:id="62"/>
      <w:bookmarkEnd w:id="63"/>
    </w:p>
    <w:p w14:paraId="73EB7A3A">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3.1未通过资格审查的投标人，采购人、采购代理机构应当告知其未通过的原因。</w:t>
      </w:r>
    </w:p>
    <w:p w14:paraId="52109A7A">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3.2资格审查结束后，采购人、采购代理机构应将资格审查结果告知评标委员会。</w:t>
      </w:r>
    </w:p>
    <w:p w14:paraId="1C1F99C9">
      <w:pPr>
        <w:adjustRightInd w:val="0"/>
        <w:snapToGrid w:val="0"/>
        <w:spacing w:line="360" w:lineRule="auto"/>
        <w:ind w:firstLine="420" w:firstLineChars="200"/>
        <w:jc w:val="left"/>
        <w:rPr>
          <w:rFonts w:hint="default" w:ascii="Times New Roman" w:hAnsi="Times New Roman" w:eastAsia="华文中宋" w:cs="Times New Roman"/>
          <w:b/>
          <w:bCs/>
          <w:color w:val="auto"/>
          <w:sz w:val="32"/>
        </w:rPr>
      </w:pPr>
      <w:r>
        <w:rPr>
          <w:rFonts w:hint="default" w:ascii="Times New Roman" w:hAnsi="Times New Roman" w:eastAsia="华文中宋" w:cs="Times New Roman"/>
          <w:color w:val="auto"/>
        </w:rPr>
        <w:br w:type="page"/>
      </w:r>
    </w:p>
    <w:p w14:paraId="570F7F25">
      <w:pPr>
        <w:pStyle w:val="6"/>
        <w:adjustRightInd w:val="0"/>
        <w:snapToGrid w:val="0"/>
        <w:spacing w:before="0" w:after="0" w:line="360" w:lineRule="auto"/>
        <w:rPr>
          <w:rFonts w:hint="default" w:ascii="Times New Roman" w:hAnsi="Times New Roman" w:cs="Times New Roman" w:eastAsiaTheme="minorEastAsia"/>
          <w:color w:val="auto"/>
          <w:sz w:val="21"/>
          <w:szCs w:val="21"/>
        </w:rPr>
      </w:pPr>
      <w:bookmarkStart w:id="64" w:name="_Toc27072"/>
      <w:bookmarkStart w:id="65" w:name="_Toc20651210"/>
      <w:bookmarkStart w:id="66" w:name="_Toc13622"/>
      <w:bookmarkStart w:id="67" w:name="_Toc29913910"/>
      <w:r>
        <w:rPr>
          <w:rFonts w:hint="default" w:ascii="Times New Roman" w:hAnsi="Times New Roman" w:cs="Times New Roman" w:eastAsiaTheme="minorEastAsia"/>
          <w:color w:val="auto"/>
          <w:sz w:val="21"/>
          <w:szCs w:val="21"/>
        </w:rPr>
        <w:t>附表1资格审查表</w:t>
      </w:r>
      <w:bookmarkEnd w:id="64"/>
      <w:bookmarkEnd w:id="65"/>
      <w:bookmarkEnd w:id="66"/>
    </w:p>
    <w:p w14:paraId="23864D9E">
      <w:pPr>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资格审查表</w:t>
      </w:r>
    </w:p>
    <w:p w14:paraId="4B730AC0">
      <w:pPr>
        <w:adjustRightInd w:val="0"/>
        <w:snapToGrid w:val="0"/>
        <w:spacing w:line="360" w:lineRule="auto"/>
        <w:rPr>
          <w:rFonts w:hint="default" w:ascii="Times New Roman" w:hAnsi="Times New Roman" w:eastAsia="黑体" w:cs="Times New Roman"/>
          <w:color w:val="auto"/>
          <w:sz w:val="28"/>
          <w:szCs w:val="28"/>
        </w:rPr>
      </w:pPr>
      <w:r>
        <w:rPr>
          <w:rFonts w:hint="default" w:ascii="Times New Roman" w:hAnsi="Times New Roman" w:cs="Times New Roman" w:eastAsiaTheme="minorEastAsia"/>
          <w:color w:val="auto"/>
          <w:szCs w:val="21"/>
        </w:rPr>
        <w:t>项目名称：                                          采购代理编号：</w:t>
      </w: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770"/>
        <w:gridCol w:w="4607"/>
      </w:tblGrid>
      <w:tr w14:paraId="7A183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75E1C709">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序号</w:t>
            </w:r>
          </w:p>
        </w:tc>
        <w:tc>
          <w:tcPr>
            <w:tcW w:w="3770" w:type="dxa"/>
            <w:vAlign w:val="center"/>
          </w:tcPr>
          <w:p w14:paraId="64FE4FDD">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审查项目</w:t>
            </w:r>
          </w:p>
        </w:tc>
        <w:tc>
          <w:tcPr>
            <w:tcW w:w="4607" w:type="dxa"/>
            <w:vAlign w:val="center"/>
          </w:tcPr>
          <w:p w14:paraId="6A8CD23E">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审查标准</w:t>
            </w:r>
          </w:p>
        </w:tc>
      </w:tr>
      <w:tr w14:paraId="69A5E9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ECC0A15">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1</w:t>
            </w:r>
          </w:p>
        </w:tc>
        <w:tc>
          <w:tcPr>
            <w:tcW w:w="3770" w:type="dxa"/>
            <w:vAlign w:val="center"/>
          </w:tcPr>
          <w:p w14:paraId="41B33251">
            <w:pPr>
              <w:adjustRightInd w:val="0"/>
              <w:snapToGrid w:val="0"/>
              <w:spacing w:line="380" w:lineRule="exac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具有独立承担民事责任的能力</w:t>
            </w:r>
          </w:p>
        </w:tc>
        <w:tc>
          <w:tcPr>
            <w:tcW w:w="4607" w:type="dxa"/>
            <w:vAlign w:val="center"/>
          </w:tcPr>
          <w:p w14:paraId="5474B40D">
            <w:pPr>
              <w:adjustRightInd w:val="0"/>
              <w:snapToGrid w:val="0"/>
              <w:spacing w:line="380" w:lineRule="exact"/>
              <w:jc w:val="left"/>
              <w:rPr>
                <w:rFonts w:hint="default" w:ascii="Times New Roman" w:hAnsi="Times New Roman" w:cs="Times New Roman"/>
                <w:color w:val="auto"/>
              </w:rPr>
            </w:pPr>
            <w:r>
              <w:rPr>
                <w:rFonts w:hint="default" w:ascii="Times New Roman" w:hAnsi="Times New Roman" w:cs="Times New Roman"/>
                <w:color w:val="auto"/>
              </w:rPr>
              <w:t>投标人是企业（包括合伙企业）的，应提供其在工商部门注册的有效“企业法人营业执照”或“营业执照”的复印件；</w:t>
            </w:r>
          </w:p>
          <w:p w14:paraId="6F2930AC">
            <w:pPr>
              <w:adjustRightInd w:val="0"/>
              <w:snapToGrid w:val="0"/>
              <w:spacing w:line="380" w:lineRule="exact"/>
              <w:jc w:val="left"/>
              <w:rPr>
                <w:rFonts w:hint="default" w:ascii="Times New Roman" w:hAnsi="Times New Roman" w:cs="Times New Roman"/>
                <w:color w:val="auto"/>
              </w:rPr>
            </w:pPr>
            <w:r>
              <w:rPr>
                <w:rFonts w:hint="default" w:ascii="Times New Roman" w:hAnsi="Times New Roman" w:cs="Times New Roman"/>
                <w:color w:val="auto"/>
              </w:rPr>
              <w:t>投标人是事业单位的，应提供其有效的“事业单位法人证书”复印件；</w:t>
            </w:r>
          </w:p>
          <w:p w14:paraId="10B1BB83">
            <w:pPr>
              <w:adjustRightInd w:val="0"/>
              <w:snapToGrid w:val="0"/>
              <w:spacing w:line="380" w:lineRule="exact"/>
              <w:jc w:val="left"/>
              <w:rPr>
                <w:rFonts w:hint="default" w:ascii="Times New Roman" w:hAnsi="Times New Roman" w:cs="Times New Roman"/>
                <w:color w:val="auto"/>
              </w:rPr>
            </w:pPr>
            <w:r>
              <w:rPr>
                <w:rFonts w:hint="default" w:ascii="Times New Roman" w:hAnsi="Times New Roman" w:cs="Times New Roman"/>
                <w:color w:val="auto"/>
              </w:rPr>
              <w:t>投标人是社会团体组织的，应提供有效的“社会团体法人登记证书”复印件；</w:t>
            </w:r>
          </w:p>
          <w:p w14:paraId="5BD060E4">
            <w:pPr>
              <w:adjustRightInd w:val="0"/>
              <w:snapToGrid w:val="0"/>
              <w:spacing w:line="380" w:lineRule="exact"/>
              <w:jc w:val="left"/>
              <w:rPr>
                <w:rFonts w:hint="default" w:ascii="Times New Roman" w:hAnsi="Times New Roman" w:cs="Times New Roman"/>
                <w:color w:val="auto"/>
              </w:rPr>
            </w:pPr>
            <w:r>
              <w:rPr>
                <w:rFonts w:hint="default" w:ascii="Times New Roman" w:hAnsi="Times New Roman" w:cs="Times New Roman"/>
                <w:color w:val="auto"/>
              </w:rPr>
              <w:t>投标人是非企业专业服务机构的，应提供其有效的“执业许可证”复印件；</w:t>
            </w:r>
          </w:p>
          <w:p w14:paraId="1D0B7754">
            <w:pPr>
              <w:adjustRightInd w:val="0"/>
              <w:snapToGrid w:val="0"/>
              <w:spacing w:line="380" w:lineRule="exact"/>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投标人是个体工商户的，应提供其有效的“个体工商户营业执照”复印件；</w:t>
            </w:r>
          </w:p>
        </w:tc>
      </w:tr>
      <w:tr w14:paraId="2C85B0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AC768D1">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w:t>
            </w:r>
          </w:p>
        </w:tc>
        <w:tc>
          <w:tcPr>
            <w:tcW w:w="3770" w:type="dxa"/>
            <w:vAlign w:val="center"/>
          </w:tcPr>
          <w:p w14:paraId="7696CDAB">
            <w:pPr>
              <w:adjustRightInd w:val="0"/>
              <w:snapToGrid w:val="0"/>
              <w:spacing w:line="380" w:lineRule="exac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具有良好的商业信誉和健全的财务会计制度</w:t>
            </w:r>
          </w:p>
        </w:tc>
        <w:tc>
          <w:tcPr>
            <w:tcW w:w="4607" w:type="dxa"/>
          </w:tcPr>
          <w:p w14:paraId="757DB11E">
            <w:pPr>
              <w:adjustRightInd w:val="0"/>
              <w:snapToGrid w:val="0"/>
              <w:spacing w:line="380" w:lineRule="exact"/>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w:t>
            </w:r>
            <w:r>
              <w:rPr>
                <w:rFonts w:hint="default" w:ascii="Times New Roman" w:hAnsi="Times New Roman" w:cs="Times New Roman"/>
                <w:color w:val="auto"/>
              </w:rPr>
              <w:t>湖南省政府采购供应商资格承诺函</w:t>
            </w:r>
            <w:r>
              <w:rPr>
                <w:rFonts w:hint="default" w:ascii="Times New Roman" w:hAnsi="Times New Roman" w:cs="Times New Roman"/>
                <w:color w:val="auto"/>
                <w:kern w:val="0"/>
              </w:rPr>
              <w:t>”，签署、盖章符合要求。</w:t>
            </w:r>
          </w:p>
        </w:tc>
      </w:tr>
      <w:tr w14:paraId="261A36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1137A6E">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3</w:t>
            </w:r>
          </w:p>
        </w:tc>
        <w:tc>
          <w:tcPr>
            <w:tcW w:w="3770" w:type="dxa"/>
            <w:vAlign w:val="center"/>
          </w:tcPr>
          <w:p w14:paraId="10BEFBD1">
            <w:pPr>
              <w:adjustRightInd w:val="0"/>
              <w:snapToGrid w:val="0"/>
              <w:spacing w:line="380" w:lineRule="exac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具有履行合同所必需的设备和专业技术能力</w:t>
            </w:r>
          </w:p>
        </w:tc>
        <w:tc>
          <w:tcPr>
            <w:tcW w:w="4607" w:type="dxa"/>
            <w:vAlign w:val="center"/>
          </w:tcPr>
          <w:p w14:paraId="5FD16FDB">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w:t>
            </w:r>
            <w:r>
              <w:rPr>
                <w:rFonts w:hint="default" w:ascii="Times New Roman" w:hAnsi="Times New Roman" w:cs="Times New Roman"/>
                <w:color w:val="auto"/>
              </w:rPr>
              <w:t>湖南省政府采购供应商资格承诺函</w:t>
            </w:r>
            <w:r>
              <w:rPr>
                <w:rFonts w:hint="default" w:ascii="Times New Roman" w:hAnsi="Times New Roman" w:cs="Times New Roman"/>
                <w:color w:val="auto"/>
                <w:kern w:val="0"/>
              </w:rPr>
              <w:t>”，签署、盖章符合要求。</w:t>
            </w:r>
          </w:p>
        </w:tc>
      </w:tr>
      <w:tr w14:paraId="2143B0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DE4917C">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4</w:t>
            </w:r>
          </w:p>
        </w:tc>
        <w:tc>
          <w:tcPr>
            <w:tcW w:w="3770" w:type="dxa"/>
            <w:vAlign w:val="center"/>
          </w:tcPr>
          <w:p w14:paraId="34C82C45">
            <w:pPr>
              <w:adjustRightInd w:val="0"/>
              <w:snapToGrid w:val="0"/>
              <w:spacing w:line="380" w:lineRule="exac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有依法缴纳税收和社会保障资金的良好记录</w:t>
            </w:r>
          </w:p>
        </w:tc>
        <w:tc>
          <w:tcPr>
            <w:tcW w:w="4607" w:type="dxa"/>
          </w:tcPr>
          <w:p w14:paraId="4C1D18EF">
            <w:pPr>
              <w:adjustRightInd w:val="0"/>
              <w:snapToGrid w:val="0"/>
              <w:spacing w:line="380" w:lineRule="exact"/>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w:t>
            </w:r>
            <w:r>
              <w:rPr>
                <w:rFonts w:hint="default" w:ascii="Times New Roman" w:hAnsi="Times New Roman" w:cs="Times New Roman"/>
                <w:color w:val="auto"/>
              </w:rPr>
              <w:t>湖南省政府采购供应商资格承诺函</w:t>
            </w:r>
            <w:r>
              <w:rPr>
                <w:rFonts w:hint="default" w:ascii="Times New Roman" w:hAnsi="Times New Roman" w:cs="Times New Roman"/>
                <w:color w:val="auto"/>
                <w:kern w:val="0"/>
              </w:rPr>
              <w:t>”，签署、盖章符合要求。</w:t>
            </w:r>
          </w:p>
        </w:tc>
      </w:tr>
      <w:tr w14:paraId="6191E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04DFD22">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5</w:t>
            </w:r>
          </w:p>
        </w:tc>
        <w:tc>
          <w:tcPr>
            <w:tcW w:w="3770" w:type="dxa"/>
          </w:tcPr>
          <w:p w14:paraId="2C55E145">
            <w:pPr>
              <w:adjustRightInd w:val="0"/>
              <w:snapToGrid w:val="0"/>
              <w:spacing w:line="380" w:lineRule="exact"/>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szCs w:val="21"/>
              </w:rPr>
              <w:t>参加政府采购活动前三年内，在经营活动中没有重大违法记录</w:t>
            </w:r>
          </w:p>
        </w:tc>
        <w:tc>
          <w:tcPr>
            <w:tcW w:w="4607" w:type="dxa"/>
            <w:vAlign w:val="center"/>
          </w:tcPr>
          <w:p w14:paraId="606F1A29">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w:t>
            </w:r>
            <w:r>
              <w:rPr>
                <w:rFonts w:hint="default" w:ascii="Times New Roman" w:hAnsi="Times New Roman" w:cs="Times New Roman"/>
                <w:color w:val="auto"/>
              </w:rPr>
              <w:t>湖南省政府采购供应商资格承诺函</w:t>
            </w:r>
            <w:r>
              <w:rPr>
                <w:rFonts w:hint="default" w:ascii="Times New Roman" w:hAnsi="Times New Roman" w:cs="Times New Roman"/>
                <w:color w:val="auto"/>
                <w:kern w:val="0"/>
              </w:rPr>
              <w:t>”，签署、盖章符合要求。</w:t>
            </w:r>
          </w:p>
        </w:tc>
      </w:tr>
      <w:tr w14:paraId="5B181E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846456">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6</w:t>
            </w:r>
          </w:p>
        </w:tc>
        <w:tc>
          <w:tcPr>
            <w:tcW w:w="3770" w:type="dxa"/>
          </w:tcPr>
          <w:p w14:paraId="335B6D78">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单位负责人为同一人或者存在直接控股、管理关系的不同投标人，不得参加同一合同项下的政府采购活动；</w:t>
            </w:r>
          </w:p>
        </w:tc>
        <w:tc>
          <w:tcPr>
            <w:tcW w:w="4607" w:type="dxa"/>
            <w:vAlign w:val="center"/>
          </w:tcPr>
          <w:p w14:paraId="6756620C">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提供“投标人资格声明”，签署、盖章符合要求。</w:t>
            </w:r>
          </w:p>
        </w:tc>
      </w:tr>
      <w:tr w14:paraId="0A5F3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9933044">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7</w:t>
            </w:r>
          </w:p>
        </w:tc>
        <w:tc>
          <w:tcPr>
            <w:tcW w:w="3770" w:type="dxa"/>
          </w:tcPr>
          <w:p w14:paraId="639D5DA6">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为本采购项目提供整体设计、规范编制或者项目管理、监理、检测等服务的，不得再参加此项目的其他招标采购活动；</w:t>
            </w:r>
          </w:p>
        </w:tc>
        <w:tc>
          <w:tcPr>
            <w:tcW w:w="4607" w:type="dxa"/>
            <w:vAlign w:val="center"/>
          </w:tcPr>
          <w:p w14:paraId="2EF34D26">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提供“投标人资格声明”，签署、盖章符合要求。</w:t>
            </w:r>
          </w:p>
        </w:tc>
      </w:tr>
      <w:tr w14:paraId="23A14F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9EA9E03">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8</w:t>
            </w:r>
          </w:p>
        </w:tc>
        <w:tc>
          <w:tcPr>
            <w:tcW w:w="3770" w:type="dxa"/>
          </w:tcPr>
          <w:p w14:paraId="6515169C">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tc>
        <w:tc>
          <w:tcPr>
            <w:tcW w:w="4607" w:type="dxa"/>
            <w:vAlign w:val="center"/>
          </w:tcPr>
          <w:p w14:paraId="68324C70">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kern w:val="0"/>
              </w:rPr>
              <w:t>提供“投标人资格声明”，签署、盖章符合要求。</w:t>
            </w:r>
          </w:p>
        </w:tc>
      </w:tr>
      <w:tr w14:paraId="470C44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79E6DF">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9</w:t>
            </w:r>
          </w:p>
        </w:tc>
        <w:tc>
          <w:tcPr>
            <w:tcW w:w="3770" w:type="dxa"/>
            <w:shd w:val="clear" w:color="auto" w:fill="auto"/>
            <w:vAlign w:val="center"/>
          </w:tcPr>
          <w:p w14:paraId="7A01F323">
            <w:pPr>
              <w:adjustRightInd w:val="0"/>
              <w:snapToGrid w:val="0"/>
              <w:spacing w:beforeLines="50" w:line="360" w:lineRule="auto"/>
              <w:rPr>
                <w:rFonts w:hint="default" w:ascii="Times New Roman" w:hAnsi="Times New Roman" w:cs="Times New Roman" w:eastAsiaTheme="minorEastAsia"/>
                <w:color w:val="auto"/>
                <w:kern w:val="0"/>
                <w:szCs w:val="21"/>
                <w:highlight w:val="none"/>
                <w:lang w:val="en-US" w:eastAsia="zh-CN"/>
              </w:rPr>
            </w:pPr>
            <w:r>
              <w:rPr>
                <w:rFonts w:hint="default" w:ascii="Times New Roman" w:hAnsi="Times New Roman" w:cs="Times New Roman" w:eastAsiaTheme="minorEastAsia"/>
                <w:color w:val="auto"/>
                <w:kern w:val="0"/>
                <w:szCs w:val="21"/>
                <w:highlight w:val="none"/>
                <w:lang w:val="en-US" w:eastAsia="zh-CN"/>
              </w:rPr>
              <w:t>特定资格条件</w:t>
            </w:r>
          </w:p>
        </w:tc>
        <w:tc>
          <w:tcPr>
            <w:tcW w:w="4607" w:type="dxa"/>
            <w:shd w:val="clear" w:color="auto" w:fill="auto"/>
            <w:vAlign w:val="center"/>
          </w:tcPr>
          <w:p w14:paraId="1A20C829">
            <w:pPr>
              <w:adjustRightInd w:val="0"/>
              <w:snapToGrid w:val="0"/>
              <w:spacing w:beforeLines="50" w:line="360" w:lineRule="auto"/>
              <w:rPr>
                <w:rFonts w:hint="default" w:ascii="Times New Roman" w:hAnsi="Times New Roman" w:cs="Times New Roman" w:eastAsiaTheme="minorEastAsia"/>
                <w:color w:val="auto"/>
                <w:kern w:val="0"/>
                <w:szCs w:val="21"/>
                <w:highlight w:val="none"/>
                <w:lang w:val="en-US" w:eastAsia="zh-CN"/>
              </w:rPr>
            </w:pPr>
            <w:r>
              <w:rPr>
                <w:rFonts w:hint="default" w:ascii="Times New Roman" w:hAnsi="Times New Roman" w:cs="Times New Roman" w:eastAsiaTheme="minorEastAsia"/>
                <w:color w:val="auto"/>
                <w:kern w:val="0"/>
                <w:szCs w:val="21"/>
                <w:highlight w:val="none"/>
                <w:lang w:val="en-US" w:eastAsia="zh-CN"/>
              </w:rPr>
              <w:t>供应商须具备行政主管部门颁发的国土空间规划乙级</w:t>
            </w:r>
            <w:r>
              <w:rPr>
                <w:rFonts w:hint="eastAsia" w:cs="Times New Roman" w:eastAsiaTheme="minorEastAsia"/>
                <w:color w:val="auto"/>
                <w:kern w:val="0"/>
                <w:szCs w:val="21"/>
                <w:highlight w:val="none"/>
                <w:lang w:val="en-US" w:eastAsia="zh-CN"/>
              </w:rPr>
              <w:t>及以上资质</w:t>
            </w:r>
            <w:r>
              <w:rPr>
                <w:rFonts w:hint="default" w:ascii="Times New Roman" w:hAnsi="Times New Roman" w:cs="Times New Roman" w:eastAsiaTheme="minorEastAsia"/>
                <w:color w:val="auto"/>
                <w:kern w:val="0"/>
                <w:szCs w:val="21"/>
                <w:highlight w:val="none"/>
                <w:lang w:val="en-US" w:eastAsia="zh-CN"/>
              </w:rPr>
              <w:t>和测绘乙级及以上资质且处于有效期内。</w:t>
            </w:r>
          </w:p>
        </w:tc>
      </w:tr>
      <w:tr w14:paraId="20016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2A00D41">
            <w:pPr>
              <w:adjustRightInd w:val="0"/>
              <w:snapToGrid w:val="0"/>
              <w:spacing w:beforeLines="50" w:line="360" w:lineRule="auto"/>
              <w:jc w:val="center"/>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Cs w:val="21"/>
              </w:rPr>
              <w:t>10</w:t>
            </w:r>
          </w:p>
        </w:tc>
        <w:tc>
          <w:tcPr>
            <w:tcW w:w="3770" w:type="dxa"/>
            <w:shd w:val="clear" w:color="auto" w:fill="auto"/>
            <w:vAlign w:val="center"/>
          </w:tcPr>
          <w:p w14:paraId="7E0982B7">
            <w:pPr>
              <w:adjustRightInd w:val="0"/>
              <w:snapToGrid w:val="0"/>
              <w:spacing w:beforeLines="50" w:line="360" w:lineRule="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color w:val="auto"/>
                <w:kern w:val="0"/>
                <w:highlight w:val="none"/>
                <w:shd w:val="clear" w:color="auto" w:fill="FFFFFF"/>
              </w:rPr>
              <w:t>联合体投标</w:t>
            </w:r>
          </w:p>
        </w:tc>
        <w:tc>
          <w:tcPr>
            <w:tcW w:w="4607" w:type="dxa"/>
            <w:shd w:val="clear" w:color="auto" w:fill="auto"/>
            <w:vAlign w:val="center"/>
          </w:tcPr>
          <w:p w14:paraId="79968066">
            <w:pPr>
              <w:adjustRightInd w:val="0"/>
              <w:snapToGrid w:val="0"/>
              <w:spacing w:beforeLines="50" w:line="360" w:lineRule="auto"/>
              <w:rPr>
                <w:rFonts w:hint="eastAsia"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highlight w:val="none"/>
                <w:shd w:val="clear" w:color="auto" w:fill="FFFFFF"/>
                <w:lang w:val="en-US" w:eastAsia="zh-CN"/>
              </w:rPr>
              <w:t>本项目接受</w:t>
            </w:r>
            <w:r>
              <w:rPr>
                <w:rFonts w:hint="default" w:ascii="Times New Roman" w:hAnsi="Times New Roman" w:cs="Times New Roman"/>
                <w:color w:val="auto"/>
                <w:kern w:val="0"/>
                <w:highlight w:val="none"/>
                <w:shd w:val="clear" w:color="auto" w:fill="FFFFFF"/>
              </w:rPr>
              <w:t>联合体投标</w:t>
            </w:r>
            <w:r>
              <w:rPr>
                <w:rFonts w:hint="eastAsia" w:cs="Times New Roman"/>
                <w:color w:val="auto"/>
                <w:kern w:val="0"/>
                <w:highlight w:val="none"/>
                <w:shd w:val="clear" w:color="auto" w:fill="FFFFFF"/>
                <w:lang w:eastAsia="zh-CN"/>
              </w:rPr>
              <w:t>，如为联合体投标需满足采购文件要求。具体要求：所有成员必须满足基本资格条件，联合体不能超过2家单位组成。联合体单位特定资格要求：联合体牵头单位需具备行政主管部门颁发的国土空间规划乙级及以上资质和测绘乙级及以上资质，成员单位需具备行政主管部门颁发测绘乙级及以上资质且都处于有效期内。</w:t>
            </w:r>
          </w:p>
        </w:tc>
      </w:tr>
      <w:tr w14:paraId="4B2455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5EBEB09">
            <w:pPr>
              <w:adjustRightInd w:val="0"/>
              <w:snapToGrid w:val="0"/>
              <w:spacing w:beforeLines="50" w:line="360" w:lineRule="auto"/>
              <w:jc w:val="center"/>
              <w:rPr>
                <w:rFonts w:hint="default" w:ascii="Times New Roman" w:hAnsi="Times New Roman" w:cs="Times New Roman" w:eastAsiaTheme="minorEastAsia"/>
                <w:color w:val="auto"/>
                <w:kern w:val="0"/>
                <w:sz w:val="21"/>
                <w:szCs w:val="21"/>
                <w:lang w:val="en-US" w:eastAsia="zh-CN" w:bidi="ar-SA"/>
              </w:rPr>
            </w:pPr>
            <w:r>
              <w:rPr>
                <w:rFonts w:hint="default" w:ascii="Times New Roman" w:hAnsi="Times New Roman" w:cs="Times New Roman" w:eastAsiaTheme="minorEastAsia"/>
                <w:color w:val="auto"/>
                <w:kern w:val="0"/>
                <w:szCs w:val="21"/>
              </w:rPr>
              <w:t>11</w:t>
            </w:r>
          </w:p>
        </w:tc>
        <w:tc>
          <w:tcPr>
            <w:tcW w:w="3770" w:type="dxa"/>
          </w:tcPr>
          <w:p w14:paraId="55079046">
            <w:pPr>
              <w:adjustRightInd w:val="0"/>
              <w:snapToGrid w:val="0"/>
              <w:spacing w:beforeLines="50" w:line="360" w:lineRule="auto"/>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投标文件的资格证明文件按照招标文件要求签署、盖章的</w:t>
            </w:r>
          </w:p>
        </w:tc>
        <w:tc>
          <w:tcPr>
            <w:tcW w:w="4607" w:type="dxa"/>
          </w:tcPr>
          <w:p w14:paraId="151D2F88">
            <w:pPr>
              <w:adjustRightInd w:val="0"/>
              <w:snapToGrid w:val="0"/>
              <w:spacing w:beforeLines="50" w:line="360" w:lineRule="auto"/>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投标文件的资格证明文件按照招标文件要求签署、盖章的</w:t>
            </w:r>
          </w:p>
        </w:tc>
      </w:tr>
      <w:tr w14:paraId="0BC04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D366424">
            <w:pPr>
              <w:adjustRightInd w:val="0"/>
              <w:snapToGrid w:val="0"/>
              <w:spacing w:beforeLines="50" w:line="360" w:lineRule="auto"/>
              <w:jc w:val="center"/>
              <w:rPr>
                <w:rFonts w:hint="default" w:ascii="Times New Roman" w:hAnsi="Times New Roman" w:cs="Times New Roman" w:eastAsiaTheme="minorEastAsia"/>
                <w:color w:val="auto"/>
                <w:kern w:val="0"/>
                <w:sz w:val="20"/>
                <w:szCs w:val="21"/>
                <w:lang w:val="en-US" w:eastAsia="zh-CN" w:bidi="ar-SA"/>
              </w:rPr>
            </w:pPr>
            <w:r>
              <w:rPr>
                <w:rFonts w:hint="default" w:ascii="Times New Roman" w:hAnsi="Times New Roman" w:cs="Times New Roman" w:eastAsiaTheme="minorEastAsia"/>
                <w:color w:val="auto"/>
                <w:kern w:val="0"/>
                <w:sz w:val="20"/>
                <w:szCs w:val="21"/>
              </w:rPr>
              <w:t>12</w:t>
            </w:r>
          </w:p>
        </w:tc>
        <w:tc>
          <w:tcPr>
            <w:tcW w:w="3770" w:type="dxa"/>
          </w:tcPr>
          <w:p w14:paraId="4C276E6D">
            <w:pPr>
              <w:adjustRightInd w:val="0"/>
              <w:snapToGrid w:val="0"/>
              <w:spacing w:beforeLines="50" w:line="360" w:lineRule="auto"/>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rPr>
              <w:t>投标报价未超过招标文件中规定的预算金额或者最高限价的</w:t>
            </w:r>
          </w:p>
        </w:tc>
        <w:tc>
          <w:tcPr>
            <w:tcW w:w="4607" w:type="dxa"/>
          </w:tcPr>
          <w:p w14:paraId="28FBE8BD">
            <w:pPr>
              <w:adjustRightInd w:val="0"/>
              <w:snapToGrid w:val="0"/>
              <w:spacing w:beforeLines="50" w:line="360" w:lineRule="auto"/>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rPr>
              <w:t>投标报价未超过招标文件中规定的预算金额或者最高限价的</w:t>
            </w:r>
          </w:p>
        </w:tc>
      </w:tr>
      <w:tr w14:paraId="6A8059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8E24CED">
            <w:pPr>
              <w:adjustRightInd w:val="0"/>
              <w:snapToGrid w:val="0"/>
              <w:spacing w:beforeLines="50" w:line="360" w:lineRule="auto"/>
              <w:jc w:val="center"/>
              <w:rPr>
                <w:rFonts w:hint="default" w:ascii="Times New Roman" w:hAnsi="Times New Roman" w:cs="Times New Roman" w:eastAsiaTheme="minorEastAsia"/>
                <w:color w:val="auto"/>
                <w:kern w:val="0"/>
                <w:sz w:val="20"/>
                <w:szCs w:val="21"/>
                <w:lang w:val="en-US" w:eastAsia="zh-CN" w:bidi="ar-SA"/>
              </w:rPr>
            </w:pPr>
            <w:r>
              <w:rPr>
                <w:rFonts w:hint="default" w:ascii="Times New Roman" w:hAnsi="Times New Roman" w:cs="Times New Roman" w:eastAsiaTheme="minorEastAsia"/>
                <w:color w:val="auto"/>
                <w:kern w:val="0"/>
                <w:sz w:val="20"/>
                <w:szCs w:val="21"/>
              </w:rPr>
              <w:t>13</w:t>
            </w:r>
          </w:p>
        </w:tc>
        <w:tc>
          <w:tcPr>
            <w:tcW w:w="3770" w:type="dxa"/>
          </w:tcPr>
          <w:p w14:paraId="4DCF5D40">
            <w:pPr>
              <w:adjustRightInd w:val="0"/>
              <w:snapToGrid w:val="0"/>
              <w:spacing w:beforeLines="50" w:line="360" w:lineRule="auto"/>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rPr>
              <w:t>法律、法规和招标文件规定的其他投标无效情形的</w:t>
            </w:r>
          </w:p>
        </w:tc>
        <w:tc>
          <w:tcPr>
            <w:tcW w:w="4607" w:type="dxa"/>
            <w:vAlign w:val="center"/>
          </w:tcPr>
          <w:p w14:paraId="58059F19">
            <w:pPr>
              <w:adjustRightInd w:val="0"/>
              <w:snapToGrid w:val="0"/>
              <w:spacing w:beforeLines="50" w:line="360" w:lineRule="auto"/>
              <w:jc w:val="left"/>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rPr>
              <w:t>法律、法规和招标文件规定的其他投标无效情形的</w:t>
            </w:r>
          </w:p>
        </w:tc>
      </w:tr>
      <w:tr w14:paraId="57737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29B25D8">
            <w:pPr>
              <w:adjustRightInd w:val="0"/>
              <w:snapToGrid w:val="0"/>
              <w:spacing w:beforeLines="50" w:line="360" w:lineRule="auto"/>
              <w:jc w:val="center"/>
              <w:rPr>
                <w:rFonts w:hint="default" w:ascii="Times New Roman" w:hAnsi="Times New Roman" w:cs="Times New Roman" w:eastAsiaTheme="minorEastAsia"/>
                <w:color w:val="auto"/>
                <w:kern w:val="0"/>
                <w:sz w:val="20"/>
                <w:szCs w:val="21"/>
                <w:lang w:val="en-US" w:eastAsia="zh-CN"/>
              </w:rPr>
            </w:pPr>
            <w:r>
              <w:rPr>
                <w:rFonts w:hint="default" w:ascii="Times New Roman" w:hAnsi="Times New Roman" w:cs="Times New Roman" w:eastAsiaTheme="minorEastAsia"/>
                <w:color w:val="auto"/>
                <w:kern w:val="0"/>
                <w:sz w:val="20"/>
                <w:szCs w:val="21"/>
                <w:lang w:val="en-US" w:eastAsia="zh-CN"/>
              </w:rPr>
              <w:t>1</w:t>
            </w:r>
            <w:r>
              <w:rPr>
                <w:rFonts w:hint="eastAsia" w:cs="Times New Roman" w:eastAsiaTheme="minorEastAsia"/>
                <w:color w:val="auto"/>
                <w:kern w:val="0"/>
                <w:sz w:val="20"/>
                <w:szCs w:val="21"/>
                <w:lang w:val="en-US" w:eastAsia="zh-CN"/>
              </w:rPr>
              <w:t>4</w:t>
            </w:r>
          </w:p>
        </w:tc>
        <w:tc>
          <w:tcPr>
            <w:tcW w:w="3770" w:type="dxa"/>
            <w:vAlign w:val="center"/>
          </w:tcPr>
          <w:p w14:paraId="442AC58A">
            <w:pPr>
              <w:adjustRightInd w:val="0"/>
              <w:snapToGrid w:val="0"/>
              <w:spacing w:line="380" w:lineRule="exact"/>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kern w:val="0"/>
              </w:rPr>
              <w:t>法定代表人（单位负责人）授权委托书（授权委托代理人参加投标）及法定代表人（单位负责人）身份证明</w:t>
            </w:r>
          </w:p>
        </w:tc>
        <w:tc>
          <w:tcPr>
            <w:tcW w:w="4607" w:type="dxa"/>
            <w:vAlign w:val="center"/>
          </w:tcPr>
          <w:p w14:paraId="70871554">
            <w:pPr>
              <w:adjustRightInd w:val="0"/>
              <w:snapToGrid w:val="0"/>
              <w:spacing w:line="380" w:lineRule="exact"/>
              <w:rPr>
                <w:rFonts w:hint="default" w:ascii="Times New Roman" w:hAnsi="Times New Roman" w:cs="Times New Roman" w:eastAsiaTheme="minorEastAsia"/>
                <w:color w:val="auto"/>
                <w:kern w:val="0"/>
                <w:sz w:val="20"/>
                <w:szCs w:val="21"/>
              </w:rPr>
            </w:pPr>
            <w:r>
              <w:rPr>
                <w:rFonts w:hint="default" w:ascii="Times New Roman" w:hAnsi="Times New Roman" w:cs="Times New Roman"/>
                <w:color w:val="auto"/>
              </w:rPr>
              <w:t>投标人代表可为投标人法定代表人</w:t>
            </w:r>
            <w:r>
              <w:rPr>
                <w:rFonts w:hint="default" w:ascii="Times New Roman" w:hAnsi="Times New Roman" w:cs="Times New Roman"/>
                <w:color w:val="auto"/>
                <w:kern w:val="0"/>
              </w:rPr>
              <w:t>（单位负责人）</w:t>
            </w:r>
            <w:r>
              <w:rPr>
                <w:rFonts w:hint="default" w:ascii="Times New Roman" w:hAnsi="Times New Roman" w:cs="Times New Roman"/>
                <w:color w:val="auto"/>
              </w:rPr>
              <w:t>，应提供法定代表人</w:t>
            </w:r>
            <w:r>
              <w:rPr>
                <w:rFonts w:hint="default" w:ascii="Times New Roman" w:hAnsi="Times New Roman" w:cs="Times New Roman"/>
                <w:color w:val="auto"/>
                <w:kern w:val="0"/>
              </w:rPr>
              <w:t>（单位负责人）</w:t>
            </w:r>
            <w:r>
              <w:rPr>
                <w:rFonts w:hint="default" w:ascii="Times New Roman" w:hAnsi="Times New Roman" w:cs="Times New Roman"/>
                <w:color w:val="auto"/>
              </w:rPr>
              <w:t>身份证明；投标人代表不是投标人的法定代表人</w:t>
            </w:r>
            <w:r>
              <w:rPr>
                <w:rFonts w:hint="default" w:ascii="Times New Roman" w:hAnsi="Times New Roman" w:cs="Times New Roman"/>
                <w:color w:val="auto"/>
                <w:kern w:val="0"/>
              </w:rPr>
              <w:t>（单位负责人）</w:t>
            </w:r>
            <w:r>
              <w:rPr>
                <w:rFonts w:hint="default" w:ascii="Times New Roman" w:hAnsi="Times New Roman" w:cs="Times New Roman"/>
                <w:color w:val="auto"/>
              </w:rPr>
              <w:t>的，应提供法定代表人</w:t>
            </w:r>
            <w:r>
              <w:rPr>
                <w:rFonts w:hint="default" w:ascii="Times New Roman" w:hAnsi="Times New Roman" w:cs="Times New Roman"/>
                <w:color w:val="auto"/>
                <w:kern w:val="0"/>
              </w:rPr>
              <w:t>（单位负责人）</w:t>
            </w:r>
            <w:r>
              <w:rPr>
                <w:rFonts w:hint="default" w:ascii="Times New Roman" w:hAnsi="Times New Roman" w:cs="Times New Roman"/>
                <w:color w:val="auto"/>
              </w:rPr>
              <w:t>授权委托书及法定代表人</w:t>
            </w:r>
            <w:r>
              <w:rPr>
                <w:rFonts w:hint="default" w:ascii="Times New Roman" w:hAnsi="Times New Roman" w:cs="Times New Roman"/>
                <w:color w:val="auto"/>
                <w:kern w:val="0"/>
              </w:rPr>
              <w:t>（单位负责人）</w:t>
            </w:r>
            <w:r>
              <w:rPr>
                <w:rFonts w:hint="default" w:ascii="Times New Roman" w:hAnsi="Times New Roman" w:cs="Times New Roman"/>
                <w:color w:val="auto"/>
              </w:rPr>
              <w:t>身份证明。签署、盖章符合要求。</w:t>
            </w:r>
          </w:p>
        </w:tc>
      </w:tr>
      <w:tr w14:paraId="160E69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83" w:type="dxa"/>
            <w:vAlign w:val="center"/>
          </w:tcPr>
          <w:p w14:paraId="04D58EA6">
            <w:pPr>
              <w:adjustRightInd w:val="0"/>
              <w:snapToGrid w:val="0"/>
              <w:spacing w:beforeLines="50" w:line="360" w:lineRule="auto"/>
              <w:jc w:val="center"/>
              <w:rPr>
                <w:rFonts w:hint="default" w:ascii="Times New Roman" w:hAnsi="Times New Roman" w:cs="Times New Roman" w:eastAsiaTheme="minorEastAsia"/>
                <w:color w:val="auto"/>
                <w:kern w:val="0"/>
                <w:sz w:val="20"/>
                <w:szCs w:val="21"/>
              </w:rPr>
            </w:pPr>
            <w:r>
              <w:rPr>
                <w:rFonts w:hint="default" w:ascii="Times New Roman" w:hAnsi="Times New Roman" w:cs="Times New Roman" w:eastAsiaTheme="minorEastAsia"/>
                <w:color w:val="auto"/>
                <w:kern w:val="0"/>
                <w:sz w:val="20"/>
                <w:szCs w:val="21"/>
              </w:rPr>
              <w:t>结论</w:t>
            </w:r>
          </w:p>
        </w:tc>
        <w:tc>
          <w:tcPr>
            <w:tcW w:w="8377" w:type="dxa"/>
            <w:gridSpan w:val="2"/>
            <w:vAlign w:val="center"/>
          </w:tcPr>
          <w:p w14:paraId="4751397D">
            <w:pPr>
              <w:adjustRightInd w:val="0"/>
              <w:snapToGrid w:val="0"/>
              <w:spacing w:beforeLines="50" w:line="360" w:lineRule="auto"/>
              <w:jc w:val="center"/>
              <w:rPr>
                <w:rFonts w:hint="default" w:ascii="Times New Roman" w:hAnsi="Times New Roman" w:cs="Times New Roman" w:eastAsiaTheme="minorEastAsia"/>
                <w:color w:val="auto"/>
                <w:kern w:val="0"/>
                <w:szCs w:val="21"/>
              </w:rPr>
            </w:pPr>
          </w:p>
        </w:tc>
      </w:tr>
    </w:tbl>
    <w:p w14:paraId="5C5198A9">
      <w:pPr>
        <w:rPr>
          <w:rFonts w:hint="default" w:ascii="Times New Roman" w:hAnsi="Times New Roman" w:cs="Times New Roman"/>
          <w:color w:val="auto"/>
        </w:rPr>
      </w:pPr>
    </w:p>
    <w:p w14:paraId="124AB8DA">
      <w:pPr>
        <w:widowControl/>
        <w:jc w:val="left"/>
        <w:rPr>
          <w:rFonts w:hint="default" w:ascii="Times New Roman" w:hAnsi="Times New Roman" w:eastAsia="黑体" w:cs="Times New Roman"/>
          <w:bCs/>
          <w:color w:val="auto"/>
          <w:szCs w:val="21"/>
        </w:rPr>
      </w:pPr>
      <w:r>
        <w:rPr>
          <w:rFonts w:hint="default" w:ascii="Times New Roman" w:hAnsi="Times New Roman" w:cs="Times New Roman"/>
          <w:b/>
          <w:color w:val="auto"/>
          <w:szCs w:val="21"/>
        </w:rPr>
        <w:br w:type="page"/>
      </w:r>
    </w:p>
    <w:p w14:paraId="09C86709">
      <w:pPr>
        <w:pStyle w:val="6"/>
        <w:adjustRightInd w:val="0"/>
        <w:snapToGrid w:val="0"/>
        <w:spacing w:before="0" w:after="0" w:line="360" w:lineRule="auto"/>
        <w:rPr>
          <w:rFonts w:hint="default" w:ascii="Times New Roman" w:hAnsi="Times New Roman" w:cs="Times New Roman"/>
          <w:b w:val="0"/>
          <w:color w:val="auto"/>
          <w:sz w:val="21"/>
          <w:szCs w:val="21"/>
        </w:rPr>
      </w:pPr>
      <w:bookmarkStart w:id="68" w:name="_Toc10464"/>
      <w:bookmarkStart w:id="69" w:name="_Toc19302"/>
      <w:bookmarkStart w:id="70" w:name="_Toc20651211"/>
      <w:r>
        <w:rPr>
          <w:rFonts w:hint="default" w:ascii="Times New Roman" w:hAnsi="Times New Roman" w:cs="Times New Roman"/>
          <w:b w:val="0"/>
          <w:color w:val="auto"/>
          <w:sz w:val="21"/>
          <w:szCs w:val="21"/>
        </w:rPr>
        <w:t>附表2 资格审查结果一览表</w:t>
      </w:r>
      <w:bookmarkEnd w:id="68"/>
      <w:bookmarkEnd w:id="69"/>
      <w:bookmarkEnd w:id="70"/>
    </w:p>
    <w:p w14:paraId="292CCAFF">
      <w:pPr>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资格审查结果一览表</w:t>
      </w:r>
    </w:p>
    <w:p w14:paraId="4F99A72A">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项目名称：                                           采购代理编号：</w:t>
      </w: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0CE9E4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51E1FF7F">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序号</w:t>
            </w:r>
          </w:p>
        </w:tc>
        <w:tc>
          <w:tcPr>
            <w:tcW w:w="2963" w:type="dxa"/>
            <w:vAlign w:val="center"/>
          </w:tcPr>
          <w:p w14:paraId="3FD407B2">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投标人名称</w:t>
            </w:r>
          </w:p>
        </w:tc>
        <w:tc>
          <w:tcPr>
            <w:tcW w:w="2439" w:type="dxa"/>
            <w:vAlign w:val="center"/>
          </w:tcPr>
          <w:p w14:paraId="24121B70">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资格审查结果</w:t>
            </w:r>
          </w:p>
          <w:p w14:paraId="289D65FA">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（合格/不合格）</w:t>
            </w:r>
          </w:p>
        </w:tc>
        <w:tc>
          <w:tcPr>
            <w:tcW w:w="2961" w:type="dxa"/>
            <w:vAlign w:val="center"/>
          </w:tcPr>
          <w:p w14:paraId="52D7145D">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资格审查不合格原因</w:t>
            </w:r>
          </w:p>
        </w:tc>
      </w:tr>
      <w:tr w14:paraId="0D0FE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405E156">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66BAD822">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7D85B1C5">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459B6142">
            <w:pPr>
              <w:adjustRightInd w:val="0"/>
              <w:snapToGrid w:val="0"/>
              <w:spacing w:line="360" w:lineRule="auto"/>
              <w:rPr>
                <w:rFonts w:hint="default" w:ascii="Times New Roman" w:hAnsi="Times New Roman" w:cs="Times New Roman" w:eastAsiaTheme="minorEastAsia"/>
                <w:color w:val="auto"/>
                <w:kern w:val="0"/>
                <w:sz w:val="24"/>
              </w:rPr>
            </w:pPr>
          </w:p>
        </w:tc>
      </w:tr>
      <w:tr w14:paraId="68FF8E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FF561DD">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256F7041">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4023044B">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23D9C5B0">
            <w:pPr>
              <w:adjustRightInd w:val="0"/>
              <w:snapToGrid w:val="0"/>
              <w:spacing w:line="360" w:lineRule="auto"/>
              <w:rPr>
                <w:rFonts w:hint="default" w:ascii="Times New Roman" w:hAnsi="Times New Roman" w:cs="Times New Roman" w:eastAsiaTheme="minorEastAsia"/>
                <w:color w:val="auto"/>
                <w:kern w:val="0"/>
                <w:sz w:val="24"/>
              </w:rPr>
            </w:pPr>
          </w:p>
        </w:tc>
      </w:tr>
      <w:tr w14:paraId="0A7B79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F4F1508">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05921FBA">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61DD03A5">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6B128628">
            <w:pPr>
              <w:adjustRightInd w:val="0"/>
              <w:snapToGrid w:val="0"/>
              <w:spacing w:line="360" w:lineRule="auto"/>
              <w:rPr>
                <w:rFonts w:hint="default" w:ascii="Times New Roman" w:hAnsi="Times New Roman" w:cs="Times New Roman" w:eastAsiaTheme="minorEastAsia"/>
                <w:color w:val="auto"/>
                <w:kern w:val="0"/>
                <w:sz w:val="24"/>
              </w:rPr>
            </w:pPr>
          </w:p>
        </w:tc>
      </w:tr>
      <w:tr w14:paraId="6CB7D5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9AB8F63">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1D7C55FE">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0A7148C1">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4D773CEA">
            <w:pPr>
              <w:adjustRightInd w:val="0"/>
              <w:snapToGrid w:val="0"/>
              <w:spacing w:line="360" w:lineRule="auto"/>
              <w:rPr>
                <w:rFonts w:hint="default" w:ascii="Times New Roman" w:hAnsi="Times New Roman" w:cs="Times New Roman" w:eastAsiaTheme="minorEastAsia"/>
                <w:color w:val="auto"/>
                <w:kern w:val="0"/>
                <w:sz w:val="24"/>
              </w:rPr>
            </w:pPr>
          </w:p>
        </w:tc>
      </w:tr>
      <w:tr w14:paraId="355967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10123EE">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1234870A">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76024BE5">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70070DFF">
            <w:pPr>
              <w:adjustRightInd w:val="0"/>
              <w:snapToGrid w:val="0"/>
              <w:spacing w:line="360" w:lineRule="auto"/>
              <w:rPr>
                <w:rFonts w:hint="default" w:ascii="Times New Roman" w:hAnsi="Times New Roman" w:cs="Times New Roman" w:eastAsiaTheme="minorEastAsia"/>
                <w:color w:val="auto"/>
                <w:kern w:val="0"/>
                <w:sz w:val="24"/>
              </w:rPr>
            </w:pPr>
          </w:p>
        </w:tc>
      </w:tr>
    </w:tbl>
    <w:p w14:paraId="1E91F6DA">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采购人（签字）：</w:t>
      </w:r>
    </w:p>
    <w:p w14:paraId="04A0F35B">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采购代理机构（签字）：</w:t>
      </w:r>
    </w:p>
    <w:p w14:paraId="39414286">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日期：年月日</w:t>
      </w:r>
    </w:p>
    <w:p w14:paraId="55197362">
      <w:pPr>
        <w:widowControl/>
        <w:jc w:val="left"/>
        <w:rPr>
          <w:rFonts w:hint="default" w:ascii="Times New Roman" w:hAnsi="Times New Roman" w:cs="Times New Roman" w:eastAsiaTheme="minorEastAsia"/>
          <w:color w:val="auto"/>
          <w:sz w:val="24"/>
        </w:rPr>
      </w:pPr>
    </w:p>
    <w:p w14:paraId="1745F505">
      <w:pPr>
        <w:pStyle w:val="6"/>
        <w:adjustRightInd w:val="0"/>
        <w:snapToGrid w:val="0"/>
        <w:spacing w:before="0" w:after="0" w:line="360" w:lineRule="auto"/>
        <w:rPr>
          <w:rFonts w:hint="default" w:ascii="Times New Roman" w:hAnsi="Times New Roman" w:cs="Times New Roman"/>
          <w:b w:val="0"/>
          <w:color w:val="auto"/>
          <w:sz w:val="21"/>
          <w:szCs w:val="21"/>
        </w:rPr>
      </w:pPr>
      <w:bookmarkStart w:id="71" w:name="_Toc2261"/>
      <w:bookmarkStart w:id="72" w:name="_Toc20651212"/>
      <w:bookmarkStart w:id="73" w:name="_Toc6430"/>
      <w:r>
        <w:rPr>
          <w:rFonts w:hint="default" w:ascii="Times New Roman" w:hAnsi="Times New Roman" w:cs="Times New Roman"/>
          <w:b w:val="0"/>
          <w:color w:val="auto"/>
          <w:sz w:val="21"/>
          <w:szCs w:val="21"/>
        </w:rPr>
        <w:t>附表3 资格审查合格投标人名单</w:t>
      </w:r>
      <w:bookmarkEnd w:id="71"/>
      <w:bookmarkEnd w:id="72"/>
      <w:bookmarkEnd w:id="73"/>
    </w:p>
    <w:p w14:paraId="5F732CC4">
      <w:pPr>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资格审查合格投标人名单</w:t>
      </w:r>
    </w:p>
    <w:p w14:paraId="28A96D65">
      <w:pPr>
        <w:adjustRightInd w:val="0"/>
        <w:snapToGrid w:val="0"/>
        <w:spacing w:line="360" w:lineRule="auto"/>
        <w:rPr>
          <w:rFonts w:hint="default" w:ascii="Times New Roman" w:hAnsi="Times New Roman" w:eastAsia="华文中宋" w:cs="Times New Roman"/>
          <w:color w:val="auto"/>
          <w:sz w:val="32"/>
          <w:szCs w:val="32"/>
        </w:rPr>
      </w:pPr>
      <w:r>
        <w:rPr>
          <w:rFonts w:hint="default" w:ascii="Times New Roman" w:hAnsi="Times New Roman" w:cs="Times New Roman" w:eastAsiaTheme="minorEastAsia"/>
          <w:color w:val="auto"/>
          <w:szCs w:val="21"/>
        </w:rPr>
        <w:t>项目名称：                                        采购代理编号：</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3A63F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615CA9A8">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序号</w:t>
            </w:r>
          </w:p>
        </w:tc>
        <w:tc>
          <w:tcPr>
            <w:tcW w:w="7796" w:type="dxa"/>
            <w:vAlign w:val="center"/>
          </w:tcPr>
          <w:p w14:paraId="67372C61">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合格投标人名称</w:t>
            </w:r>
          </w:p>
        </w:tc>
      </w:tr>
      <w:tr w14:paraId="27A74F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E5AE811">
            <w:pPr>
              <w:adjustRightInd w:val="0"/>
              <w:snapToGrid w:val="0"/>
              <w:spacing w:line="360" w:lineRule="auto"/>
              <w:rPr>
                <w:rFonts w:hint="default" w:ascii="Times New Roman" w:hAnsi="Times New Roman" w:cs="Times New Roman" w:eastAsiaTheme="minorEastAsia"/>
                <w:color w:val="auto"/>
                <w:kern w:val="0"/>
                <w:szCs w:val="21"/>
              </w:rPr>
            </w:pPr>
          </w:p>
        </w:tc>
        <w:tc>
          <w:tcPr>
            <w:tcW w:w="7796" w:type="dxa"/>
          </w:tcPr>
          <w:p w14:paraId="237893CC">
            <w:pPr>
              <w:adjustRightInd w:val="0"/>
              <w:snapToGrid w:val="0"/>
              <w:spacing w:line="360" w:lineRule="auto"/>
              <w:rPr>
                <w:rFonts w:hint="default" w:ascii="Times New Roman" w:hAnsi="Times New Roman" w:cs="Times New Roman" w:eastAsiaTheme="minorEastAsia"/>
                <w:color w:val="auto"/>
                <w:kern w:val="0"/>
                <w:szCs w:val="21"/>
              </w:rPr>
            </w:pPr>
          </w:p>
        </w:tc>
      </w:tr>
      <w:tr w14:paraId="53C8CF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08AF09D">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3449C686">
            <w:pPr>
              <w:adjustRightInd w:val="0"/>
              <w:snapToGrid w:val="0"/>
              <w:spacing w:line="360" w:lineRule="auto"/>
              <w:rPr>
                <w:rFonts w:hint="default" w:ascii="Times New Roman" w:hAnsi="Times New Roman" w:cs="Times New Roman" w:eastAsiaTheme="minorEastAsia"/>
                <w:color w:val="auto"/>
                <w:kern w:val="0"/>
                <w:sz w:val="24"/>
              </w:rPr>
            </w:pPr>
          </w:p>
        </w:tc>
      </w:tr>
      <w:tr w14:paraId="6808B6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C33E9FF">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394D06F4">
            <w:pPr>
              <w:adjustRightInd w:val="0"/>
              <w:snapToGrid w:val="0"/>
              <w:spacing w:line="360" w:lineRule="auto"/>
              <w:rPr>
                <w:rFonts w:hint="default" w:ascii="Times New Roman" w:hAnsi="Times New Roman" w:cs="Times New Roman" w:eastAsiaTheme="minorEastAsia"/>
                <w:color w:val="auto"/>
                <w:kern w:val="0"/>
                <w:sz w:val="24"/>
              </w:rPr>
            </w:pPr>
          </w:p>
        </w:tc>
      </w:tr>
      <w:tr w14:paraId="534061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59F78BE">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32A9BDD7">
            <w:pPr>
              <w:adjustRightInd w:val="0"/>
              <w:snapToGrid w:val="0"/>
              <w:spacing w:line="360" w:lineRule="auto"/>
              <w:rPr>
                <w:rFonts w:hint="default" w:ascii="Times New Roman" w:hAnsi="Times New Roman" w:cs="Times New Roman" w:eastAsiaTheme="minorEastAsia"/>
                <w:color w:val="auto"/>
                <w:kern w:val="0"/>
                <w:sz w:val="24"/>
              </w:rPr>
            </w:pPr>
          </w:p>
        </w:tc>
      </w:tr>
      <w:tr w14:paraId="52E129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22BAD8F">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3712965C">
            <w:pPr>
              <w:adjustRightInd w:val="0"/>
              <w:snapToGrid w:val="0"/>
              <w:spacing w:line="360" w:lineRule="auto"/>
              <w:rPr>
                <w:rFonts w:hint="default" w:ascii="Times New Roman" w:hAnsi="Times New Roman" w:cs="Times New Roman" w:eastAsiaTheme="minorEastAsia"/>
                <w:color w:val="auto"/>
                <w:kern w:val="0"/>
                <w:sz w:val="24"/>
              </w:rPr>
            </w:pPr>
          </w:p>
        </w:tc>
      </w:tr>
      <w:tr w14:paraId="58AFC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A002F4B">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757C3BD9">
            <w:pPr>
              <w:adjustRightInd w:val="0"/>
              <w:snapToGrid w:val="0"/>
              <w:spacing w:line="360" w:lineRule="auto"/>
              <w:rPr>
                <w:rFonts w:hint="default" w:ascii="Times New Roman" w:hAnsi="Times New Roman" w:cs="Times New Roman" w:eastAsiaTheme="minorEastAsia"/>
                <w:color w:val="auto"/>
                <w:kern w:val="0"/>
                <w:sz w:val="24"/>
              </w:rPr>
            </w:pPr>
          </w:p>
        </w:tc>
      </w:tr>
    </w:tbl>
    <w:p w14:paraId="44A2805F">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采购人（签字）：</w:t>
      </w:r>
    </w:p>
    <w:p w14:paraId="40E8A912">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采购代理机构（签字）：</w:t>
      </w:r>
    </w:p>
    <w:p w14:paraId="1BDE25C5">
      <w:pPr>
        <w:rPr>
          <w:rFonts w:hint="default" w:ascii="Times New Roman" w:hAnsi="Times New Roman" w:cs="Times New Roman"/>
          <w:color w:val="auto"/>
        </w:rPr>
      </w:pPr>
      <w:r>
        <w:rPr>
          <w:rFonts w:hint="default" w:ascii="Times New Roman" w:hAnsi="Times New Roman" w:cs="Times New Roman"/>
          <w:color w:val="auto"/>
        </w:rPr>
        <w:t>日期：       年   月   日</w:t>
      </w:r>
    </w:p>
    <w:p w14:paraId="0004F771">
      <w:pPr>
        <w:pStyle w:val="22"/>
        <w:adjustRightInd w:val="0"/>
        <w:snapToGrid w:val="0"/>
        <w:spacing w:line="360" w:lineRule="auto"/>
        <w:jc w:val="center"/>
        <w:outlineLvl w:val="0"/>
        <w:rPr>
          <w:rFonts w:hint="default" w:ascii="Times New Roman" w:hAnsi="Times New Roman" w:eastAsia="黑体" w:cs="Times New Roman"/>
          <w:b/>
          <w:color w:val="auto"/>
          <w:sz w:val="28"/>
          <w:szCs w:val="28"/>
        </w:rPr>
      </w:pPr>
      <w:r>
        <w:rPr>
          <w:rFonts w:hint="default" w:ascii="Times New Roman" w:hAnsi="Times New Roman" w:cs="Times New Roman"/>
          <w:color w:val="auto"/>
        </w:rPr>
        <w:br w:type="page"/>
      </w:r>
      <w:bookmarkStart w:id="74" w:name="_Toc6117"/>
      <w:bookmarkStart w:id="75" w:name="_Toc15313"/>
      <w:r>
        <w:rPr>
          <w:rFonts w:hint="default" w:ascii="Times New Roman" w:hAnsi="Times New Roman" w:eastAsia="黑体" w:cs="Times New Roman"/>
          <w:b/>
          <w:color w:val="auto"/>
          <w:sz w:val="32"/>
          <w:szCs w:val="32"/>
        </w:rPr>
        <w:t>第四章 评标方法及标准（综合评分法）</w:t>
      </w:r>
      <w:bookmarkEnd w:id="67"/>
      <w:bookmarkEnd w:id="74"/>
      <w:bookmarkEnd w:id="75"/>
    </w:p>
    <w:p w14:paraId="484E3159">
      <w:pPr>
        <w:pStyle w:val="4"/>
        <w:adjustRightInd w:val="0"/>
        <w:snapToGrid w:val="0"/>
        <w:jc w:val="center"/>
        <w:rPr>
          <w:rFonts w:hint="default" w:ascii="Times New Roman" w:hAnsi="Times New Roman" w:eastAsia="黑体" w:cs="Times New Roman"/>
          <w:color w:val="auto"/>
          <w:sz w:val="28"/>
          <w:szCs w:val="28"/>
        </w:rPr>
      </w:pPr>
      <w:bookmarkStart w:id="76" w:name="_Toc29913911"/>
      <w:bookmarkStart w:id="77" w:name="_Toc27055"/>
      <w:bookmarkStart w:id="78" w:name="_Toc22911"/>
      <w:r>
        <w:rPr>
          <w:rFonts w:hint="default" w:ascii="Times New Roman" w:hAnsi="Times New Roman" w:eastAsia="黑体" w:cs="Times New Roman"/>
          <w:color w:val="auto"/>
          <w:sz w:val="28"/>
          <w:szCs w:val="28"/>
        </w:rPr>
        <w:t>第一节 评标方法及标准前附表</w:t>
      </w:r>
      <w:bookmarkEnd w:id="76"/>
      <w:bookmarkEnd w:id="77"/>
      <w:bookmarkEnd w:id="78"/>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085F6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20" w:hRule="atLeast"/>
        </w:trPr>
        <w:tc>
          <w:tcPr>
            <w:tcW w:w="1700" w:type="dxa"/>
            <w:tcBorders>
              <w:top w:val="double" w:color="auto" w:sz="4" w:space="0"/>
              <w:bottom w:val="single" w:color="auto" w:sz="6" w:space="0"/>
            </w:tcBorders>
          </w:tcPr>
          <w:p w14:paraId="46DF6830">
            <w:pPr>
              <w:adjustRightInd w:val="0"/>
              <w:snapToGrid w:val="0"/>
              <w:spacing w:beforeLines="50" w:line="360" w:lineRule="auto"/>
              <w:jc w:val="center"/>
              <w:rPr>
                <w:rFonts w:hint="default" w:ascii="Times New Roman" w:hAnsi="Times New Roman" w:cs="Times New Roman"/>
                <w:b/>
                <w:color w:val="auto"/>
              </w:rPr>
            </w:pPr>
            <w:r>
              <w:rPr>
                <w:rFonts w:hint="default" w:ascii="Times New Roman" w:hAnsi="Times New Roman" w:cs="Times New Roman"/>
                <w:b/>
                <w:color w:val="auto"/>
              </w:rPr>
              <w:t>条款号</w:t>
            </w:r>
          </w:p>
        </w:tc>
        <w:tc>
          <w:tcPr>
            <w:tcW w:w="2271" w:type="dxa"/>
            <w:tcBorders>
              <w:top w:val="double" w:color="auto" w:sz="4" w:space="0"/>
              <w:bottom w:val="single" w:color="auto" w:sz="6" w:space="0"/>
            </w:tcBorders>
          </w:tcPr>
          <w:p w14:paraId="799F3B9D">
            <w:pPr>
              <w:adjustRightInd w:val="0"/>
              <w:snapToGrid w:val="0"/>
              <w:spacing w:beforeLines="50" w:line="360" w:lineRule="auto"/>
              <w:jc w:val="center"/>
              <w:rPr>
                <w:rFonts w:hint="default" w:ascii="Times New Roman" w:hAnsi="Times New Roman" w:cs="Times New Roman"/>
                <w:b/>
                <w:color w:val="auto"/>
              </w:rPr>
            </w:pPr>
            <w:r>
              <w:rPr>
                <w:rFonts w:hint="default" w:ascii="Times New Roman" w:hAnsi="Times New Roman" w:cs="Times New Roman"/>
                <w:b/>
                <w:color w:val="auto"/>
              </w:rPr>
              <w:t>条款名称</w:t>
            </w:r>
          </w:p>
        </w:tc>
        <w:tc>
          <w:tcPr>
            <w:tcW w:w="4818" w:type="dxa"/>
            <w:tcBorders>
              <w:top w:val="double" w:color="auto" w:sz="4" w:space="0"/>
              <w:bottom w:val="single" w:color="auto" w:sz="6" w:space="0"/>
            </w:tcBorders>
          </w:tcPr>
          <w:p w14:paraId="1FE7EAC6">
            <w:pPr>
              <w:adjustRightInd w:val="0"/>
              <w:snapToGrid w:val="0"/>
              <w:spacing w:beforeLines="50" w:line="360" w:lineRule="auto"/>
              <w:jc w:val="center"/>
              <w:rPr>
                <w:rFonts w:hint="default" w:ascii="Times New Roman" w:hAnsi="Times New Roman" w:cs="Times New Roman"/>
                <w:b/>
                <w:color w:val="auto"/>
              </w:rPr>
            </w:pPr>
            <w:r>
              <w:rPr>
                <w:rFonts w:hint="default" w:ascii="Times New Roman" w:hAnsi="Times New Roman" w:cs="Times New Roman"/>
                <w:b/>
                <w:color w:val="auto"/>
              </w:rPr>
              <w:t>编列内容规定</w:t>
            </w:r>
          </w:p>
        </w:tc>
      </w:tr>
      <w:tr w14:paraId="6F6BC9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1AF7CBAE">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第1.2</w:t>
            </w:r>
            <w:r>
              <w:rPr>
                <w:rFonts w:hint="default" w:ascii="Times New Roman" w:hAnsi="Times New Roman" w:cs="Times New Roman" w:eastAsiaTheme="minorEastAsia"/>
                <w:color w:val="auto"/>
                <w:kern w:val="0"/>
                <w:szCs w:val="21"/>
                <w:lang w:val="zh-CN"/>
              </w:rPr>
              <w:t>款</w:t>
            </w:r>
          </w:p>
        </w:tc>
        <w:tc>
          <w:tcPr>
            <w:tcW w:w="2271" w:type="dxa"/>
            <w:tcBorders>
              <w:top w:val="single" w:color="auto" w:sz="6" w:space="0"/>
              <w:bottom w:val="single" w:color="auto" w:sz="6" w:space="0"/>
            </w:tcBorders>
            <w:vAlign w:val="center"/>
          </w:tcPr>
          <w:p w14:paraId="3A86D9FB">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评标方法</w:t>
            </w:r>
          </w:p>
        </w:tc>
        <w:tc>
          <w:tcPr>
            <w:tcW w:w="4818" w:type="dxa"/>
            <w:tcBorders>
              <w:top w:val="single" w:color="auto" w:sz="6" w:space="0"/>
              <w:bottom w:val="single" w:color="auto" w:sz="6" w:space="0"/>
            </w:tcBorders>
            <w:vAlign w:val="center"/>
          </w:tcPr>
          <w:p w14:paraId="727D204D">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综合评分法</w:t>
            </w:r>
          </w:p>
        </w:tc>
      </w:tr>
      <w:tr w14:paraId="16288A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1665213F">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第3.4</w:t>
            </w:r>
            <w:r>
              <w:rPr>
                <w:rFonts w:hint="default" w:ascii="Times New Roman" w:hAnsi="Times New Roman" w:cs="Times New Roman" w:eastAsiaTheme="minorEastAsia"/>
                <w:color w:val="auto"/>
                <w:kern w:val="0"/>
                <w:szCs w:val="21"/>
                <w:lang w:val="zh-CN"/>
              </w:rPr>
              <w:t>款</w:t>
            </w:r>
          </w:p>
        </w:tc>
        <w:tc>
          <w:tcPr>
            <w:tcW w:w="2271" w:type="dxa"/>
            <w:tcBorders>
              <w:top w:val="single" w:color="auto" w:sz="6" w:space="0"/>
              <w:bottom w:val="single" w:color="auto" w:sz="6" w:space="0"/>
            </w:tcBorders>
            <w:vAlign w:val="center"/>
          </w:tcPr>
          <w:p w14:paraId="032B3B89">
            <w:pPr>
              <w:adjustRightInd w:val="0"/>
              <w:snapToGrid w:val="0"/>
              <w:spacing w:beforeLines="50" w:line="360" w:lineRule="auto"/>
              <w:jc w:val="center"/>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服务中配套货物非单一产品采购项目的核心产品</w:t>
            </w:r>
          </w:p>
        </w:tc>
        <w:tc>
          <w:tcPr>
            <w:tcW w:w="4818" w:type="dxa"/>
            <w:tcBorders>
              <w:top w:val="single" w:color="auto" w:sz="6" w:space="0"/>
              <w:bottom w:val="single" w:color="auto" w:sz="6" w:space="0"/>
            </w:tcBorders>
            <w:vAlign w:val="center"/>
          </w:tcPr>
          <w:p w14:paraId="5FCB243A">
            <w:pPr>
              <w:adjustRightInd w:val="0"/>
              <w:snapToGrid w:val="0"/>
              <w:spacing w:line="360" w:lineRule="auto"/>
              <w:rPr>
                <w:rFonts w:hint="default" w:ascii="Times New Roman" w:hAnsi="Times New Roman" w:cs="Times New Roman" w:eastAsiaTheme="minorEastAsia"/>
                <w:color w:val="auto"/>
                <w:szCs w:val="21"/>
                <w:u w:val="single"/>
              </w:rPr>
            </w:pPr>
            <w:r>
              <w:rPr>
                <w:rFonts w:hint="default" w:ascii="Times New Roman" w:hAnsi="Times New Roman" w:cs="Times New Roman"/>
                <w:color w:val="auto"/>
              </w:rPr>
              <w:t>核心产品为：</w:t>
            </w:r>
            <w:r>
              <w:rPr>
                <w:rFonts w:hint="default" w:ascii="Times New Roman" w:hAnsi="Times New Roman" w:cs="Times New Roman"/>
                <w:color w:val="auto"/>
                <w:szCs w:val="21"/>
                <w:u w:val="single"/>
              </w:rPr>
              <w:t xml:space="preserve">  /   </w:t>
            </w:r>
            <w:r>
              <w:rPr>
                <w:rFonts w:hint="default" w:ascii="Times New Roman" w:hAnsi="Times New Roman" w:cs="Times New Roman"/>
                <w:color w:val="auto"/>
              </w:rPr>
              <w:t>。</w:t>
            </w:r>
            <w:r>
              <w:rPr>
                <w:rFonts w:hint="default" w:ascii="Times New Roman" w:hAnsi="Times New Roman" w:cs="Times New Roman"/>
                <w:color w:val="auto"/>
                <w:kern w:val="0"/>
              </w:rPr>
              <w:t>（提示：根据采购项目技术构成、产品价格比重等合理确定具体产品为核心产品）（本项目不适用）</w:t>
            </w:r>
          </w:p>
        </w:tc>
      </w:tr>
      <w:tr w14:paraId="1A697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AB40CE7">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第4.2</w:t>
            </w:r>
            <w:r>
              <w:rPr>
                <w:rFonts w:hint="default" w:ascii="Times New Roman" w:hAnsi="Times New Roman" w:cs="Times New Roman" w:eastAsiaTheme="minorEastAsia"/>
                <w:color w:val="auto"/>
                <w:kern w:val="0"/>
                <w:szCs w:val="21"/>
                <w:lang w:val="zh-CN"/>
              </w:rPr>
              <w:t>款</w:t>
            </w:r>
          </w:p>
        </w:tc>
        <w:tc>
          <w:tcPr>
            <w:tcW w:w="2271" w:type="dxa"/>
            <w:tcBorders>
              <w:top w:val="single" w:color="auto" w:sz="6" w:space="0"/>
              <w:bottom w:val="single" w:color="auto" w:sz="6" w:space="0"/>
            </w:tcBorders>
            <w:vAlign w:val="center"/>
          </w:tcPr>
          <w:p w14:paraId="161933DC">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投标文件报价出现前后不一致的修正</w:t>
            </w:r>
          </w:p>
        </w:tc>
        <w:tc>
          <w:tcPr>
            <w:tcW w:w="4818" w:type="dxa"/>
            <w:tcBorders>
              <w:top w:val="single" w:color="auto" w:sz="6" w:space="0"/>
              <w:bottom w:val="single" w:color="auto" w:sz="6" w:space="0"/>
            </w:tcBorders>
            <w:vAlign w:val="center"/>
          </w:tcPr>
          <w:p w14:paraId="7010F5CD">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（1）投标文件中开标一览表内容与投标文件中相应内容不一致的，以开标一览表为准；</w:t>
            </w:r>
          </w:p>
          <w:p w14:paraId="3BFDA604">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（2）大写金额和小写金额不一致的，以大写金额为准；</w:t>
            </w:r>
          </w:p>
          <w:p w14:paraId="6A5DD7AA">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（3）单价金额小数点或者百分比有明显错位的，以开标一览表的总价为准，并修改单价；</w:t>
            </w:r>
          </w:p>
          <w:p w14:paraId="3A533D86">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（4）总价金额与按单价汇总金额不一致的，以单价金额计算结果为准。</w:t>
            </w:r>
          </w:p>
        </w:tc>
      </w:tr>
      <w:tr w14:paraId="6275F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shd w:val="clear" w:color="auto" w:fill="auto"/>
            <w:vAlign w:val="center"/>
          </w:tcPr>
          <w:p w14:paraId="135382B0">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第5.4（1）</w:t>
            </w:r>
            <w:r>
              <w:rPr>
                <w:rFonts w:hint="default" w:ascii="Times New Roman" w:hAnsi="Times New Roman" w:cs="Times New Roman" w:eastAsiaTheme="minorEastAsia"/>
                <w:color w:val="auto"/>
                <w:kern w:val="0"/>
                <w:szCs w:val="21"/>
                <w:lang w:val="zh-CN"/>
              </w:rPr>
              <w:t>项</w:t>
            </w:r>
          </w:p>
        </w:tc>
        <w:tc>
          <w:tcPr>
            <w:tcW w:w="2271" w:type="dxa"/>
            <w:tcBorders>
              <w:top w:val="single" w:color="auto" w:sz="6" w:space="0"/>
              <w:bottom w:val="single" w:color="auto" w:sz="6" w:space="0"/>
            </w:tcBorders>
            <w:shd w:val="clear" w:color="auto" w:fill="auto"/>
            <w:vAlign w:val="center"/>
          </w:tcPr>
          <w:p w14:paraId="313B7006">
            <w:pPr>
              <w:adjustRightInd w:val="0"/>
              <w:snapToGrid w:val="0"/>
              <w:spacing w:beforeLines="50" w:line="360" w:lineRule="auto"/>
              <w:jc w:val="center"/>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价格评审优惠</w:t>
            </w:r>
          </w:p>
        </w:tc>
        <w:tc>
          <w:tcPr>
            <w:tcW w:w="4818" w:type="dxa"/>
            <w:tcBorders>
              <w:top w:val="single" w:color="auto" w:sz="6" w:space="0"/>
              <w:bottom w:val="single" w:color="auto" w:sz="6" w:space="0"/>
            </w:tcBorders>
            <w:shd w:val="clear" w:color="auto" w:fill="auto"/>
            <w:vAlign w:val="center"/>
          </w:tcPr>
          <w:p w14:paraId="3899DE70">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投标人如提供有小微企业服务，投标文件必须按招标文件要求提供“享受政府采购政策优惠的证明材料”，否则评审时不予以考虑。</w:t>
            </w:r>
          </w:p>
          <w:p w14:paraId="53D2B014">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给予小型和微型企业的价格给予 10%-20%的扣除，用扣除 后的价格参与评审，本项目具体扣除比例为</w:t>
            </w:r>
            <w:r>
              <w:rPr>
                <w:rFonts w:hint="eastAsia" w:ascii="Times New Roman" w:hAnsi="Times New Roman" w:cs="Times New Roman"/>
                <w:color w:val="auto"/>
                <w:szCs w:val="21"/>
                <w:lang w:val="en-US" w:eastAsia="zh-CN"/>
              </w:rPr>
              <w:t>10</w:t>
            </w:r>
            <w:r>
              <w:rPr>
                <w:rFonts w:hint="default" w:ascii="Times New Roman" w:hAnsi="Times New Roman" w:cs="Times New Roman"/>
                <w:color w:val="auto"/>
                <w:szCs w:val="21"/>
              </w:rPr>
              <w:t>％。</w:t>
            </w:r>
          </w:p>
          <w:p w14:paraId="27287630">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 xml:space="preserve">对于联合协议或者分包意向协议约定小微企业的合同份额占到合同总金额30%以上的，采购人、采购代理机构应当对联合体或者大中型企业的报价给予2%-3%（工程项目为1%—2%）的扣除，用扣除后的价格参加评审，本项目具体扣除比例为 </w:t>
            </w:r>
            <w:r>
              <w:rPr>
                <w:rFonts w:hint="eastAsia" w:cs="Times New Roman"/>
                <w:color w:val="auto"/>
                <w:szCs w:val="21"/>
                <w:lang w:val="en-US" w:eastAsia="zh-CN"/>
              </w:rPr>
              <w:t>3</w:t>
            </w:r>
            <w:r>
              <w:rPr>
                <w:rFonts w:hint="default" w:ascii="Times New Roman" w:hAnsi="Times New Roman" w:cs="Times New Roman"/>
                <w:color w:val="auto"/>
                <w:szCs w:val="21"/>
              </w:rPr>
              <w:t>％。</w:t>
            </w:r>
          </w:p>
          <w:p w14:paraId="504C36E7">
            <w:pPr>
              <w:adjustRightInd w:val="0"/>
              <w:snapToGrid w:val="0"/>
              <w:spacing w:line="420" w:lineRule="exact"/>
              <w:rPr>
                <w:rFonts w:hint="default" w:ascii="Times New Roman" w:hAnsi="Times New Roman" w:cs="Times New Roman"/>
                <w:color w:val="auto"/>
              </w:rPr>
            </w:pPr>
            <w:r>
              <w:rPr>
                <w:rFonts w:hint="default" w:ascii="Times New Roman" w:hAnsi="Times New Roman" w:cs="Times New Roman"/>
                <w:color w:val="auto"/>
                <w:szCs w:val="21"/>
              </w:rPr>
              <w:t>在政府采购活动中，福利性</w:t>
            </w:r>
            <w:r>
              <w:rPr>
                <w:rFonts w:hint="default" w:ascii="Times New Roman" w:hAnsi="Times New Roman" w:cs="Times New Roman"/>
                <w:color w:val="auto"/>
              </w:rPr>
              <w:t>单位视同小型、微型企业。</w:t>
            </w:r>
          </w:p>
        </w:tc>
      </w:tr>
      <w:tr w14:paraId="590D3B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4F4C95E4">
            <w:pPr>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第6.1</w:t>
            </w:r>
            <w:r>
              <w:rPr>
                <w:rFonts w:hint="default" w:ascii="Times New Roman" w:hAnsi="Times New Roman" w:cs="Times New Roman" w:eastAsiaTheme="minorEastAsia"/>
                <w:color w:val="auto"/>
                <w:kern w:val="0"/>
                <w:szCs w:val="21"/>
                <w:lang w:val="zh-CN"/>
              </w:rPr>
              <w:t>款</w:t>
            </w:r>
          </w:p>
        </w:tc>
        <w:tc>
          <w:tcPr>
            <w:tcW w:w="2271" w:type="dxa"/>
            <w:tcBorders>
              <w:top w:val="single" w:color="auto" w:sz="6" w:space="0"/>
            </w:tcBorders>
            <w:vAlign w:val="center"/>
          </w:tcPr>
          <w:p w14:paraId="4504CAE1">
            <w:pPr>
              <w:adjustRightInd w:val="0"/>
              <w:snapToGrid w:val="0"/>
              <w:spacing w:beforeLines="50" w:line="360" w:lineRule="auto"/>
              <w:jc w:val="center"/>
              <w:rPr>
                <w:rFonts w:hint="eastAsia" w:ascii="Times New Roman" w:hAnsi="Times New Roman" w:cs="Times New Roman" w:eastAsiaTheme="minorEastAsia"/>
                <w:color w:val="auto"/>
                <w:szCs w:val="21"/>
                <w:lang w:eastAsia="zh-CN"/>
              </w:rPr>
            </w:pPr>
            <w:r>
              <w:rPr>
                <w:rFonts w:hint="default" w:ascii="Times New Roman" w:hAnsi="Times New Roman" w:cs="Times New Roman" w:eastAsiaTheme="minorEastAsia"/>
                <w:color w:val="auto"/>
                <w:szCs w:val="21"/>
              </w:rPr>
              <w:t>中标候选人并列的确定中标人的方式</w:t>
            </w:r>
            <w:r>
              <w:rPr>
                <w:rFonts w:hint="eastAsia" w:cs="Times New Roman" w:eastAsiaTheme="minorEastAsia"/>
                <w:color w:val="auto"/>
                <w:szCs w:val="21"/>
                <w:lang w:eastAsia="zh-CN"/>
              </w:rPr>
              <w:t>（综合评分法）</w:t>
            </w:r>
          </w:p>
        </w:tc>
        <w:tc>
          <w:tcPr>
            <w:tcW w:w="4818" w:type="dxa"/>
            <w:tcBorders>
              <w:top w:val="single" w:color="auto" w:sz="6" w:space="0"/>
              <w:bottom w:val="single" w:color="auto" w:sz="4" w:space="0"/>
            </w:tcBorders>
            <w:vAlign w:val="center"/>
          </w:tcPr>
          <w:p w14:paraId="30BCA77B">
            <w:pPr>
              <w:adjustRightInd w:val="0"/>
              <w:snapToGrid w:val="0"/>
              <w:spacing w:line="420" w:lineRule="exact"/>
              <w:rPr>
                <w:rFonts w:hint="default" w:ascii="Times New Roman" w:hAnsi="Times New Roman" w:cs="Times New Roman"/>
                <w:color w:val="auto"/>
                <w:szCs w:val="21"/>
              </w:rPr>
            </w:pPr>
            <w:r>
              <w:rPr>
                <w:rFonts w:hint="default" w:ascii="Times New Roman" w:hAnsi="Times New Roman" w:cs="Times New Roman"/>
                <w:color w:val="auto"/>
                <w:szCs w:val="21"/>
              </w:rPr>
              <w:t>按评审后得分由高到低顺序排列。得分相同的，按投标报价由低到高顺序排列。得分且投标报价相同的并列，投标文件满足招标文件全部实质性要求，且按照技术评审得分最高的投标人为排名第一的中标候选人。</w:t>
            </w:r>
          </w:p>
        </w:tc>
      </w:tr>
    </w:tbl>
    <w:p w14:paraId="1340C4B3">
      <w:pPr>
        <w:adjustRightInd w:val="0"/>
        <w:snapToGrid w:val="0"/>
        <w:spacing w:beforeLines="50" w:line="360" w:lineRule="auto"/>
        <w:ind w:firstLine="420" w:firstLineChars="200"/>
        <w:jc w:val="left"/>
        <w:rPr>
          <w:rFonts w:hint="default" w:ascii="Times New Roman" w:hAnsi="Times New Roman" w:eastAsia="黑体" w:cs="Times New Roman"/>
          <w:b/>
          <w:color w:val="auto"/>
          <w:sz w:val="28"/>
          <w:szCs w:val="28"/>
        </w:rPr>
      </w:pPr>
      <w:r>
        <w:rPr>
          <w:rFonts w:hint="default" w:ascii="Times New Roman" w:hAnsi="Times New Roman" w:cs="Times New Roman" w:eastAsiaTheme="minorEastAsia"/>
          <w:color w:val="auto"/>
        </w:rPr>
        <w:br w:type="page"/>
      </w:r>
    </w:p>
    <w:p w14:paraId="40B9DA11">
      <w:pPr>
        <w:pStyle w:val="4"/>
        <w:keepNext w:val="0"/>
        <w:keepLines w:val="0"/>
        <w:adjustRightInd w:val="0"/>
        <w:snapToGrid w:val="0"/>
        <w:spacing w:beforeLines="50"/>
        <w:jc w:val="center"/>
        <w:rPr>
          <w:rFonts w:hint="default" w:ascii="Times New Roman" w:hAnsi="Times New Roman" w:eastAsia="黑体" w:cs="Times New Roman"/>
          <w:color w:val="auto"/>
          <w:sz w:val="28"/>
          <w:szCs w:val="28"/>
        </w:rPr>
      </w:pPr>
      <w:bookmarkStart w:id="79" w:name="_Toc12691"/>
      <w:bookmarkStart w:id="80" w:name="_Toc29913912"/>
      <w:bookmarkStart w:id="81" w:name="_Toc5524"/>
      <w:r>
        <w:rPr>
          <w:rFonts w:hint="default" w:ascii="Times New Roman" w:hAnsi="Times New Roman" w:eastAsia="黑体" w:cs="Times New Roman"/>
          <w:color w:val="auto"/>
          <w:sz w:val="28"/>
          <w:szCs w:val="28"/>
        </w:rPr>
        <w:t>第二节 评标方法及标准</w:t>
      </w:r>
      <w:bookmarkEnd w:id="79"/>
      <w:bookmarkEnd w:id="80"/>
      <w:bookmarkEnd w:id="81"/>
    </w:p>
    <w:p w14:paraId="1BC1347E">
      <w:pPr>
        <w:pStyle w:val="5"/>
        <w:keepNext w:val="0"/>
        <w:keepLines w:val="0"/>
        <w:adjustRightInd w:val="0"/>
        <w:snapToGrid w:val="0"/>
        <w:spacing w:beforeLines="50" w:after="0" w:line="360" w:lineRule="auto"/>
        <w:rPr>
          <w:rFonts w:hint="default" w:ascii="Times New Roman" w:hAnsi="Times New Roman" w:eastAsia="黑体" w:cs="Times New Roman"/>
          <w:color w:val="auto"/>
          <w:sz w:val="24"/>
          <w:szCs w:val="24"/>
        </w:rPr>
      </w:pPr>
      <w:bookmarkStart w:id="82" w:name="_Toc13213"/>
      <w:bookmarkStart w:id="83" w:name="_Toc29913913"/>
      <w:bookmarkStart w:id="84" w:name="_Toc28315"/>
      <w:r>
        <w:rPr>
          <w:rFonts w:hint="default" w:ascii="Times New Roman" w:hAnsi="Times New Roman" w:eastAsia="黑体" w:cs="Times New Roman"/>
          <w:color w:val="auto"/>
          <w:sz w:val="24"/>
          <w:szCs w:val="24"/>
        </w:rPr>
        <w:t>1．评标方法</w:t>
      </w:r>
      <w:bookmarkEnd w:id="82"/>
      <w:bookmarkEnd w:id="83"/>
      <w:bookmarkEnd w:id="84"/>
    </w:p>
    <w:p w14:paraId="06C4549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1.1综合评分法，指投标文件满足招标文件全部实质性要求，且按照评审因素的量化指标评审得分最高的投标人为中标候选人的评标方法。</w:t>
      </w:r>
    </w:p>
    <w:p w14:paraId="1F13348B">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1.2本采购项目评标方法见本章第一节“评标规范前附表”</w:t>
      </w:r>
      <w:r>
        <w:rPr>
          <w:rFonts w:hint="default" w:ascii="Times New Roman" w:hAnsi="Times New Roman" w:eastAsia="华文中宋" w:cs="Times New Roman"/>
          <w:bCs/>
          <w:color w:val="auto"/>
          <w:szCs w:val="21"/>
        </w:rPr>
        <w:t>（</w:t>
      </w:r>
      <w:r>
        <w:rPr>
          <w:rFonts w:hint="default" w:ascii="Times New Roman" w:hAnsi="Times New Roman" w:cs="Times New Roman" w:eastAsiaTheme="minorEastAsia"/>
          <w:bCs/>
          <w:color w:val="auto"/>
          <w:szCs w:val="21"/>
        </w:rPr>
        <w:t>以下简称</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color w:val="auto"/>
          <w:szCs w:val="21"/>
        </w:rPr>
        <w:t>。</w:t>
      </w:r>
    </w:p>
    <w:p w14:paraId="32AEB599">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85" w:name="_Toc29913914"/>
      <w:bookmarkStart w:id="86" w:name="_Toc19427"/>
      <w:bookmarkStart w:id="87" w:name="_Toc30157"/>
      <w:r>
        <w:rPr>
          <w:rFonts w:hint="default" w:ascii="Times New Roman" w:hAnsi="Times New Roman" w:eastAsia="黑体" w:cs="Times New Roman"/>
          <w:bCs w:val="0"/>
          <w:color w:val="auto"/>
          <w:sz w:val="24"/>
          <w:szCs w:val="24"/>
        </w:rPr>
        <w:t>2．评标程序</w:t>
      </w:r>
      <w:bookmarkEnd w:id="85"/>
      <w:bookmarkEnd w:id="86"/>
      <w:bookmarkEnd w:id="87"/>
    </w:p>
    <w:p w14:paraId="28418E7A">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2.1评标程序分为投标文件符合性审查、澄清有关问题、比较和评价、推荐中标候选人。</w:t>
      </w:r>
    </w:p>
    <w:p w14:paraId="23F0AA65">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88" w:name="_Toc5640"/>
      <w:bookmarkStart w:id="89" w:name="_Toc2658"/>
      <w:bookmarkStart w:id="90" w:name="_Toc29913915"/>
      <w:r>
        <w:rPr>
          <w:rFonts w:hint="default" w:ascii="Times New Roman" w:hAnsi="Times New Roman" w:eastAsia="黑体" w:cs="Times New Roman"/>
          <w:bCs w:val="0"/>
          <w:color w:val="auto"/>
          <w:sz w:val="24"/>
          <w:szCs w:val="24"/>
        </w:rPr>
        <w:t>3．投标文件的符合性审查</w:t>
      </w:r>
      <w:bookmarkEnd w:id="88"/>
      <w:bookmarkEnd w:id="89"/>
      <w:bookmarkEnd w:id="90"/>
    </w:p>
    <w:p w14:paraId="32C76AC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3.1资格审查结束后，评标委员会依法按照本章第三节“投标文件的符合性审查”规定进行投标文件符合性。</w:t>
      </w:r>
    </w:p>
    <w:p w14:paraId="13D059B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3.2符合性审查合格投标人少于3家的，应予废标。</w:t>
      </w:r>
    </w:p>
    <w:p w14:paraId="68957C3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3.3单一产品采购项目：提供相同品牌产品的不同投标人参加同一合同项下投标的，按一家投标人计算。提供不同品牌产品的投标人不足三家的，应予废标。</w:t>
      </w:r>
    </w:p>
    <w:p w14:paraId="70FC9C7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3.4非单一产品采购项目：采购人或者采购代理机构将在</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color w:val="auto"/>
          <w:szCs w:val="21"/>
        </w:rPr>
        <w:t>中载明核心产品。多家投标人提供的核心产品品牌相同的，视为相同品牌，按本章本节第3.3款规定处理。</w:t>
      </w:r>
    </w:p>
    <w:p w14:paraId="3ACAEEA5">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91" w:name="_Toc483"/>
      <w:bookmarkStart w:id="92" w:name="_Toc29913916"/>
      <w:bookmarkStart w:id="93" w:name="_Toc23947"/>
      <w:r>
        <w:rPr>
          <w:rFonts w:hint="default" w:ascii="Times New Roman" w:hAnsi="Times New Roman" w:eastAsia="黑体" w:cs="Times New Roman"/>
          <w:bCs w:val="0"/>
          <w:color w:val="auto"/>
          <w:sz w:val="24"/>
          <w:szCs w:val="24"/>
        </w:rPr>
        <w:t>4．投标文件的澄清</w:t>
      </w:r>
      <w:bookmarkEnd w:id="91"/>
      <w:bookmarkEnd w:id="92"/>
      <w:bookmarkEnd w:id="93"/>
    </w:p>
    <w:p w14:paraId="2461BB7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4.1对于投标文件中含义不明确、同类问题表述不一致或者有明显文字和计算错误的内容，评标委员会应当以数据电文形式要求投标人作出必要的澄清、说明或者补正。</w:t>
      </w:r>
    </w:p>
    <w:p w14:paraId="4BFD3C2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4.2投标文件的投标报价出现前后不一致的，除</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color w:val="auto"/>
          <w:szCs w:val="21"/>
        </w:rPr>
        <w:t>另有规定外，按照下列规定修正：</w:t>
      </w:r>
    </w:p>
    <w:p w14:paraId="179F567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（1）投标文件中开标一览表内容与投标文件中相应内容不一致的，以开标一览表为准；</w:t>
      </w:r>
    </w:p>
    <w:p w14:paraId="1336E16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（2）大写金额和小写金额不一致的，以大写金额为准；</w:t>
      </w:r>
    </w:p>
    <w:p w14:paraId="7102B6F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（3）单价金额小数点或者百分比有明显错位的，以开标一览表的总价为准，并修改单价；</w:t>
      </w:r>
    </w:p>
    <w:p w14:paraId="77AF0D3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（4）总价金额与按单价汇总金额不一致的，以单价金额计算结果为准。</w:t>
      </w:r>
    </w:p>
    <w:p w14:paraId="0545F8B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4.3投标文件报价同时出现两种以上不一致的，按照前款规定的顺序修正。修正后的报价由投标人代表电子签名或者加盖单位电子章确认后产生约束力，投标人不确认的，其投标无效。</w:t>
      </w:r>
    </w:p>
    <w:p w14:paraId="3CF154C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5C23AE1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4.5有效的澄清材料，是投标文件的补充材料，成为投标文件的组成部分。</w:t>
      </w:r>
    </w:p>
    <w:p w14:paraId="7A25F7A0">
      <w:pPr>
        <w:adjustRightInd w:val="0"/>
        <w:snapToGrid w:val="0"/>
        <w:spacing w:beforeLines="50" w:line="360" w:lineRule="auto"/>
        <w:ind w:firstLine="420" w:firstLineChars="200"/>
        <w:jc w:val="left"/>
        <w:rPr>
          <w:rFonts w:hint="eastAsia" w:ascii="Times New Roman" w:hAnsi="Times New Roman" w:cs="Times New Roman" w:eastAsiaTheme="minorEastAsia"/>
          <w:color w:val="auto"/>
          <w:szCs w:val="21"/>
          <w:lang w:val="en-US" w:eastAsia="zh-CN"/>
        </w:rPr>
      </w:pPr>
      <w:r>
        <w:rPr>
          <w:rFonts w:hint="default" w:ascii="Times New Roman" w:hAnsi="Times New Roman" w:cs="Times New Roman" w:eastAsiaTheme="minorEastAsia"/>
          <w:color w:val="auto"/>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7479FF4C">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94" w:name="_Toc5596"/>
      <w:bookmarkStart w:id="95" w:name="_Toc29913917"/>
      <w:bookmarkStart w:id="96" w:name="_Toc17167"/>
      <w:r>
        <w:rPr>
          <w:rFonts w:hint="default" w:ascii="Times New Roman" w:hAnsi="Times New Roman" w:eastAsia="黑体" w:cs="Times New Roman"/>
          <w:bCs w:val="0"/>
          <w:color w:val="auto"/>
          <w:sz w:val="24"/>
          <w:szCs w:val="24"/>
        </w:rPr>
        <w:t>5．投标文件的比较与评价</w:t>
      </w:r>
      <w:bookmarkEnd w:id="94"/>
      <w:bookmarkEnd w:id="95"/>
      <w:bookmarkEnd w:id="96"/>
    </w:p>
    <w:p w14:paraId="05E6BCFA">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5.1评标委员会依法按照本章第三节“投标文件的比较与评价”规定，对资格性检查和符合性检查合格的投标文件进行比较和评价。</w:t>
      </w:r>
    </w:p>
    <w:p w14:paraId="7E06C85B">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5.2单一产品采购项目：</w:t>
      </w:r>
    </w:p>
    <w:p w14:paraId="24EBBAF8">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综合评分法：提供相同品牌产品且通过资格审查、符合性审查的不同投标人参加同一合同项下投标的，评审后得分最高的同品牌投标人获得中标人推荐资格；评审得分相同的，按照</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color w:val="auto"/>
          <w:szCs w:val="21"/>
        </w:rPr>
        <w:t>规定的方式确定一个投标人获得中标人推荐资格，招标文件未规定的采取随机抽取方式确定，其他同品牌投标人</w:t>
      </w:r>
      <w:r>
        <w:rPr>
          <w:rFonts w:hint="default" w:ascii="Times New Roman" w:hAnsi="Times New Roman" w:cs="Times New Roman" w:eastAsiaTheme="minorEastAsia"/>
          <w:b/>
          <w:color w:val="auto"/>
          <w:szCs w:val="21"/>
        </w:rPr>
        <w:t>不作为中标候选人</w:t>
      </w:r>
      <w:r>
        <w:rPr>
          <w:rFonts w:hint="default" w:ascii="Times New Roman" w:hAnsi="Times New Roman" w:cs="Times New Roman" w:eastAsiaTheme="minorEastAsia"/>
          <w:color w:val="auto"/>
          <w:szCs w:val="21"/>
        </w:rPr>
        <w:t>。</w:t>
      </w:r>
    </w:p>
    <w:p w14:paraId="243707C9">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5.3非单一产品采购项目：多家投标人提供的核心产品品牌相同的，视为相同品牌，按本章本节第 5.2 款规定处理。</w:t>
      </w:r>
    </w:p>
    <w:p w14:paraId="201F272F">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5.4政府采购政策：</w:t>
      </w:r>
    </w:p>
    <w:p w14:paraId="1CD4457A">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（1）</w:t>
      </w:r>
      <w:r>
        <w:rPr>
          <w:rFonts w:hint="default" w:ascii="Times New Roman" w:hAnsi="Times New Roman" w:cs="Times New Roman" w:eastAsiaTheme="minorEastAsia"/>
          <w:bCs/>
          <w:color w:val="auto"/>
          <w:szCs w:val="21"/>
        </w:rPr>
        <w:t>价格评审优惠：</w:t>
      </w:r>
      <w:r>
        <w:rPr>
          <w:rFonts w:hint="default" w:ascii="Times New Roman" w:hAnsi="Times New Roman" w:cs="Times New Roman" w:eastAsiaTheme="minorEastAsia"/>
          <w:color w:val="auto"/>
          <w:szCs w:val="21"/>
        </w:rPr>
        <w:t>按</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color w:val="auto"/>
          <w:szCs w:val="21"/>
        </w:rPr>
        <w:t>及第二章“投标须知”的相关规定给予一定的价格折扣。</w:t>
      </w:r>
    </w:p>
    <w:p w14:paraId="2357CD8F">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（2）优先采购：</w:t>
      </w:r>
      <w:r>
        <w:rPr>
          <w:rFonts w:hint="default" w:ascii="Times New Roman" w:hAnsi="Times New Roman" w:cs="Times New Roman" w:eastAsiaTheme="minorEastAsia"/>
          <w:bCs/>
          <w:color w:val="auto"/>
          <w:szCs w:val="21"/>
        </w:rPr>
        <w:t>评审时按</w:t>
      </w:r>
      <w:r>
        <w:rPr>
          <w:rFonts w:hint="default" w:ascii="Times New Roman" w:hAnsi="Times New Roman" w:cs="Times New Roman" w:eastAsiaTheme="minorEastAsia"/>
          <w:b/>
          <w:color w:val="auto"/>
          <w:szCs w:val="21"/>
        </w:rPr>
        <w:t>【评标方法及标准前附表】</w:t>
      </w:r>
      <w:r>
        <w:rPr>
          <w:rFonts w:hint="default" w:ascii="Times New Roman" w:hAnsi="Times New Roman" w:cs="Times New Roman" w:eastAsiaTheme="minorEastAsia"/>
          <w:bCs/>
          <w:color w:val="auto"/>
          <w:szCs w:val="21"/>
        </w:rPr>
        <w:t>及第二章</w:t>
      </w:r>
      <w:r>
        <w:rPr>
          <w:rFonts w:hint="default" w:ascii="Times New Roman" w:hAnsi="Times New Roman" w:cs="Times New Roman" w:eastAsiaTheme="minorEastAsia"/>
          <w:color w:val="auto"/>
          <w:szCs w:val="21"/>
        </w:rPr>
        <w:t>“投标须知”</w:t>
      </w:r>
      <w:r>
        <w:rPr>
          <w:rFonts w:hint="default" w:ascii="Times New Roman" w:hAnsi="Times New Roman" w:cs="Times New Roman" w:eastAsiaTheme="minorEastAsia"/>
          <w:bCs/>
          <w:color w:val="auto"/>
          <w:szCs w:val="21"/>
        </w:rPr>
        <w:t>的相关规定给予价格折扣或者加分。</w:t>
      </w:r>
    </w:p>
    <w:p w14:paraId="5105F208">
      <w:pPr>
        <w:pStyle w:val="5"/>
        <w:keepNext w:val="0"/>
        <w:keepLines w:val="0"/>
        <w:adjustRightInd w:val="0"/>
        <w:snapToGrid w:val="0"/>
        <w:spacing w:beforeLines="50" w:after="0" w:line="360" w:lineRule="auto"/>
        <w:rPr>
          <w:rFonts w:hint="default" w:ascii="Times New Roman" w:hAnsi="Times New Roman" w:eastAsia="黑体" w:cs="Times New Roman"/>
          <w:color w:val="auto"/>
          <w:sz w:val="24"/>
          <w:szCs w:val="24"/>
        </w:rPr>
      </w:pPr>
      <w:bookmarkStart w:id="97" w:name="_Toc23499"/>
      <w:bookmarkStart w:id="98" w:name="_Toc29913918"/>
      <w:bookmarkStart w:id="99" w:name="_Toc5305"/>
      <w:r>
        <w:rPr>
          <w:rFonts w:hint="default" w:ascii="Times New Roman" w:hAnsi="Times New Roman" w:eastAsia="黑体" w:cs="Times New Roman"/>
          <w:bCs w:val="0"/>
          <w:color w:val="auto"/>
          <w:sz w:val="24"/>
          <w:szCs w:val="24"/>
        </w:rPr>
        <w:t>6．</w:t>
      </w:r>
      <w:r>
        <w:rPr>
          <w:rFonts w:hint="default" w:ascii="Times New Roman" w:hAnsi="Times New Roman" w:eastAsia="黑体" w:cs="Times New Roman"/>
          <w:color w:val="auto"/>
          <w:sz w:val="24"/>
          <w:szCs w:val="24"/>
        </w:rPr>
        <w:t>推荐中标候选人</w:t>
      </w:r>
      <w:bookmarkEnd w:id="97"/>
      <w:bookmarkEnd w:id="98"/>
      <w:bookmarkEnd w:id="99"/>
    </w:p>
    <w:p w14:paraId="7EE4E6C4">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综合评分法：评标结果按评审后得分由高到低顺序排列。得分相同的，按投标报价由低到高顺序排列。得分且投标报价相同的并列，按</w:t>
      </w:r>
      <w:r>
        <w:rPr>
          <w:rFonts w:hint="default" w:ascii="Times New Roman" w:hAnsi="Times New Roman" w:cs="Times New Roman" w:eastAsiaTheme="minorEastAsia"/>
          <w:b/>
          <w:bCs/>
          <w:color w:val="auto"/>
          <w:szCs w:val="21"/>
        </w:rPr>
        <w:t>【评标方法及标准前附表】</w:t>
      </w:r>
      <w:r>
        <w:rPr>
          <w:rFonts w:hint="default" w:ascii="Times New Roman" w:hAnsi="Times New Roman" w:cs="Times New Roman" w:eastAsiaTheme="minorEastAsia"/>
          <w:bCs/>
          <w:color w:val="auto"/>
          <w:szCs w:val="21"/>
        </w:rPr>
        <w:t>规定的方式确定中标人；招标文件未规定的，采取随机抽取的方式确定。</w:t>
      </w:r>
    </w:p>
    <w:p w14:paraId="178F7DF0">
      <w:pPr>
        <w:pStyle w:val="5"/>
        <w:keepNext w:val="0"/>
        <w:keepLines w:val="0"/>
        <w:adjustRightInd w:val="0"/>
        <w:snapToGrid w:val="0"/>
        <w:spacing w:beforeLines="50" w:after="0" w:line="360" w:lineRule="auto"/>
        <w:rPr>
          <w:rFonts w:hint="default" w:ascii="Times New Roman" w:hAnsi="Times New Roman" w:eastAsia="黑体" w:cs="Times New Roman"/>
          <w:color w:val="auto"/>
          <w:sz w:val="24"/>
          <w:szCs w:val="24"/>
        </w:rPr>
      </w:pPr>
      <w:bookmarkStart w:id="100" w:name="_Toc29913919"/>
      <w:bookmarkStart w:id="101" w:name="_Toc11040"/>
      <w:bookmarkStart w:id="102" w:name="_Toc31626"/>
      <w:r>
        <w:rPr>
          <w:rFonts w:hint="default" w:ascii="Times New Roman" w:hAnsi="Times New Roman" w:eastAsia="黑体" w:cs="Times New Roman"/>
          <w:bCs w:val="0"/>
          <w:color w:val="auto"/>
          <w:sz w:val="24"/>
          <w:szCs w:val="24"/>
        </w:rPr>
        <w:t>7．</w:t>
      </w:r>
      <w:r>
        <w:rPr>
          <w:rFonts w:hint="default" w:ascii="Times New Roman" w:hAnsi="Times New Roman" w:eastAsia="黑体" w:cs="Times New Roman"/>
          <w:color w:val="auto"/>
          <w:sz w:val="24"/>
          <w:szCs w:val="24"/>
        </w:rPr>
        <w:t>编写评标报告</w:t>
      </w:r>
      <w:bookmarkEnd w:id="100"/>
      <w:bookmarkEnd w:id="101"/>
      <w:bookmarkEnd w:id="102"/>
    </w:p>
    <w:p w14:paraId="0D7E913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7.1评标</w:t>
      </w:r>
      <w:r>
        <w:rPr>
          <w:rFonts w:hint="default" w:ascii="Times New Roman" w:hAnsi="Times New Roman" w:cs="Times New Roman" w:eastAsiaTheme="minorEastAsia"/>
          <w:bCs/>
          <w:color w:val="auto"/>
          <w:szCs w:val="21"/>
        </w:rPr>
        <w:t>委员会</w:t>
      </w:r>
      <w:r>
        <w:rPr>
          <w:rFonts w:hint="default" w:ascii="Times New Roman" w:hAnsi="Times New Roman" w:cs="Times New Roman" w:eastAsiaTheme="minorEastAsia"/>
          <w:color w:val="auto"/>
          <w:szCs w:val="21"/>
        </w:rPr>
        <w:t>根据全体评标成员电子签名的原始评标记录和评标结果编写评标报告。</w:t>
      </w:r>
    </w:p>
    <w:p w14:paraId="675BD4F0">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7.2</w:t>
      </w:r>
      <w:r>
        <w:rPr>
          <w:rFonts w:hint="default" w:ascii="Times New Roman" w:hAnsi="Times New Roman" w:cs="Times New Roman" w:eastAsiaTheme="minorEastAsia"/>
          <w:bCs/>
          <w:color w:val="auto"/>
          <w:szCs w:val="21"/>
        </w:rPr>
        <w:t>评标委员会成员对需要共同认定的事项存在争议的，应当按照少数服从多数的原则作出结论。持不同意见的评标委员会成员应当在评标报告上签署不同意见及理由，否则视为同意评标报告。</w:t>
      </w:r>
    </w:p>
    <w:p w14:paraId="7301C569">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103" w:name="_Toc19548"/>
      <w:bookmarkStart w:id="104" w:name="_Toc9642"/>
      <w:bookmarkStart w:id="105" w:name="_Toc29913920"/>
      <w:r>
        <w:rPr>
          <w:rFonts w:hint="default" w:ascii="Times New Roman" w:hAnsi="Times New Roman" w:eastAsia="黑体" w:cs="Times New Roman"/>
          <w:bCs w:val="0"/>
          <w:color w:val="auto"/>
          <w:sz w:val="24"/>
          <w:szCs w:val="24"/>
        </w:rPr>
        <w:t>8．</w:t>
      </w:r>
      <w:r>
        <w:rPr>
          <w:rFonts w:hint="default" w:ascii="Times New Roman" w:hAnsi="Times New Roman" w:eastAsia="黑体" w:cs="Times New Roman"/>
          <w:color w:val="auto"/>
          <w:sz w:val="24"/>
          <w:szCs w:val="24"/>
        </w:rPr>
        <w:t>评标报告</w:t>
      </w:r>
      <w:r>
        <w:rPr>
          <w:rFonts w:hint="default" w:ascii="Times New Roman" w:hAnsi="Times New Roman" w:eastAsia="黑体" w:cs="Times New Roman"/>
          <w:bCs w:val="0"/>
          <w:color w:val="auto"/>
          <w:sz w:val="24"/>
          <w:szCs w:val="24"/>
        </w:rPr>
        <w:t>复核</w:t>
      </w:r>
      <w:bookmarkEnd w:id="103"/>
      <w:bookmarkEnd w:id="104"/>
      <w:bookmarkEnd w:id="105"/>
    </w:p>
    <w:p w14:paraId="4DBF7EEE">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8.1汇总结束后，评标委员会应当进行复核，特别要对拟推荐为中标候选供应商的、报价最低的、投标文件被认定为无效的进行重点复核。</w:t>
      </w:r>
    </w:p>
    <w:p w14:paraId="5B271A58">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8.2汇总完成后，除下列情形外，任何人不得修改评标结果：</w:t>
      </w:r>
    </w:p>
    <w:p w14:paraId="0CEA2CB4">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（1）分值汇总计算错误的；</w:t>
      </w:r>
    </w:p>
    <w:p w14:paraId="1816F660">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（2）分项评分超出评分标准范围的；</w:t>
      </w:r>
    </w:p>
    <w:p w14:paraId="6FB31777">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（3）评标委员会成员对客观评审因素评分不一致的；</w:t>
      </w:r>
    </w:p>
    <w:p w14:paraId="7D3A3DFC">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（4）经评标委员会认定评分畸高、畸低的。</w:t>
      </w:r>
    </w:p>
    <w:p w14:paraId="326BD57D">
      <w:pPr>
        <w:adjustRightInd w:val="0"/>
        <w:snapToGrid w:val="0"/>
        <w:spacing w:beforeLines="50" w:line="360" w:lineRule="auto"/>
        <w:ind w:firstLine="420" w:firstLineChars="200"/>
        <w:jc w:val="left"/>
        <w:rPr>
          <w:rFonts w:hint="default" w:ascii="Times New Roman" w:hAnsi="Times New Roman" w:cs="Times New Roman" w:eastAsiaTheme="minorEastAsia"/>
          <w:b/>
          <w:bCs/>
          <w:color w:val="auto"/>
          <w:szCs w:val="21"/>
        </w:rPr>
      </w:pPr>
      <w:r>
        <w:rPr>
          <w:rFonts w:hint="default" w:ascii="Times New Roman" w:hAnsi="Times New Roman" w:cs="Times New Roman" w:eastAsiaTheme="minorEastAsia"/>
          <w:bCs/>
          <w:color w:val="auto"/>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27ECE904">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106" w:name="_Toc22688"/>
      <w:bookmarkStart w:id="107" w:name="_Toc29913921"/>
      <w:bookmarkStart w:id="108" w:name="_Toc16390"/>
      <w:r>
        <w:rPr>
          <w:rFonts w:hint="default" w:ascii="Times New Roman" w:hAnsi="Times New Roman" w:eastAsia="黑体" w:cs="Times New Roman"/>
          <w:color w:val="auto"/>
          <w:sz w:val="24"/>
          <w:szCs w:val="24"/>
        </w:rPr>
        <w:t>9．</w:t>
      </w:r>
      <w:r>
        <w:rPr>
          <w:rFonts w:hint="default" w:ascii="Times New Roman" w:hAnsi="Times New Roman" w:eastAsia="黑体" w:cs="Times New Roman"/>
          <w:bCs w:val="0"/>
          <w:color w:val="auto"/>
          <w:sz w:val="24"/>
          <w:szCs w:val="24"/>
        </w:rPr>
        <w:t>停止评标</w:t>
      </w:r>
      <w:bookmarkEnd w:id="106"/>
      <w:bookmarkEnd w:id="107"/>
      <w:bookmarkEnd w:id="108"/>
    </w:p>
    <w:p w14:paraId="1F16A73C">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bCs/>
          <w:color w:val="auto"/>
          <w:szCs w:val="21"/>
        </w:rPr>
        <w:t>9.1</w:t>
      </w:r>
      <w:r>
        <w:rPr>
          <w:rFonts w:hint="default" w:ascii="Times New Roman" w:hAnsi="Times New Roman" w:cs="Times New Roman" w:eastAsiaTheme="minorEastAsia"/>
          <w:color w:val="auto"/>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29C4B42">
      <w:pPr>
        <w:pStyle w:val="5"/>
        <w:rPr>
          <w:rFonts w:hint="default" w:ascii="Times New Roman" w:hAnsi="Times New Roman" w:eastAsia="黑体" w:cs="Times New Roman"/>
          <w:color w:val="auto"/>
          <w:sz w:val="28"/>
          <w:szCs w:val="28"/>
        </w:rPr>
      </w:pPr>
      <w:bookmarkStart w:id="109" w:name="_Toc4307"/>
      <w:r>
        <w:rPr>
          <w:rFonts w:hint="default" w:ascii="Times New Roman" w:hAnsi="Times New Roman" w:eastAsia="黑体" w:cs="Times New Roman"/>
          <w:color w:val="auto"/>
          <w:sz w:val="28"/>
          <w:szCs w:val="28"/>
        </w:rPr>
        <w:t>10.废标</w:t>
      </w:r>
      <w:bookmarkEnd w:id="109"/>
    </w:p>
    <w:p w14:paraId="7B3E69B7">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10.1 根据有关法律法规和招标文件的有关规定，如出现下列情况之一的，应予以废标：</w:t>
      </w:r>
    </w:p>
    <w:p w14:paraId="0C6C049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（1）符合专业条件的投标人或者对招标文件作实质响应的投标人不足三家的；</w:t>
      </w:r>
    </w:p>
    <w:p w14:paraId="73931D2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（2）出现影响采购公正的违法、违规行为的；</w:t>
      </w:r>
    </w:p>
    <w:p w14:paraId="168D76D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（3）投标人的报价均超过招标人项目采购预算，招标人不能支付的；</w:t>
      </w:r>
    </w:p>
    <w:p w14:paraId="47DCB9C6">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（4）因重大变故，采购任务取消的。</w:t>
      </w:r>
    </w:p>
    <w:p w14:paraId="5696F528">
      <w:pPr>
        <w:pStyle w:val="5"/>
        <w:keepNext w:val="0"/>
        <w:keepLines w:val="0"/>
        <w:adjustRightInd w:val="0"/>
        <w:snapToGrid w:val="0"/>
        <w:spacing w:beforeLines="50" w:after="0" w:line="360" w:lineRule="auto"/>
        <w:rPr>
          <w:rFonts w:hint="default" w:ascii="Times New Roman" w:hAnsi="Times New Roman" w:eastAsia="黑体" w:cs="Times New Roman"/>
          <w:bCs w:val="0"/>
          <w:color w:val="auto"/>
          <w:sz w:val="24"/>
          <w:szCs w:val="24"/>
        </w:rPr>
      </w:pPr>
      <w:bookmarkStart w:id="110" w:name="_Toc29913922"/>
      <w:bookmarkStart w:id="111" w:name="_Toc16508"/>
      <w:bookmarkStart w:id="112" w:name="_Toc881"/>
      <w:r>
        <w:rPr>
          <w:rFonts w:hint="default" w:ascii="Times New Roman" w:hAnsi="Times New Roman" w:eastAsia="黑体" w:cs="Times New Roman"/>
          <w:color w:val="auto"/>
          <w:kern w:val="0"/>
          <w:sz w:val="24"/>
          <w:szCs w:val="24"/>
        </w:rPr>
        <w:t>11．重新组建评标委员会进行评标</w:t>
      </w:r>
      <w:bookmarkEnd w:id="110"/>
      <w:bookmarkEnd w:id="111"/>
      <w:bookmarkEnd w:id="112"/>
    </w:p>
    <w:p w14:paraId="4F8FE31F">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11.1评标委员会或者其成员存在下列情形导致评标结果无效的，采购人、采购代理机构可以重新组建评标委员会进行评标，并书面报告本级财政部门，但采购合同已经履行的除外：</w:t>
      </w:r>
    </w:p>
    <w:p w14:paraId="200829B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（1）评标委员会组成不符合《政府采购货物和服务招标投标管理办法》规定的；</w:t>
      </w:r>
    </w:p>
    <w:p w14:paraId="5DBB41F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（2）有《政府采购货物和服务招标投标管理办法》第六十二条第一至五项情形的；</w:t>
      </w:r>
    </w:p>
    <w:p w14:paraId="1799076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（3）评标委员会及其成员独立评标受到非法干预的；</w:t>
      </w:r>
    </w:p>
    <w:p w14:paraId="597BBA2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（4）有政府采购法实施条例第七十五条规定的违法行为的。</w:t>
      </w:r>
    </w:p>
    <w:p w14:paraId="56474588">
      <w:pPr>
        <w:adjustRightInd w:val="0"/>
        <w:snapToGrid w:val="0"/>
        <w:spacing w:beforeLines="50" w:line="360" w:lineRule="auto"/>
        <w:ind w:firstLine="420" w:firstLineChars="200"/>
        <w:jc w:val="left"/>
        <w:rPr>
          <w:rFonts w:hint="default" w:ascii="Times New Roman" w:hAnsi="Times New Roman" w:eastAsia="黑体" w:cs="Times New Roman"/>
          <w:b/>
          <w:color w:val="auto"/>
          <w:sz w:val="32"/>
          <w:szCs w:val="32"/>
        </w:rPr>
      </w:pPr>
      <w:r>
        <w:rPr>
          <w:rFonts w:hint="default" w:ascii="Times New Roman" w:hAnsi="Times New Roman" w:cs="Times New Roman" w:eastAsiaTheme="minorEastAsia"/>
          <w:color w:val="auto"/>
          <w:szCs w:val="21"/>
        </w:rPr>
        <w:t>11.2有违法违规行为的原评标委员会成员不得参加重新组建的评标委员会。</w:t>
      </w:r>
      <w:r>
        <w:rPr>
          <w:rFonts w:hint="default" w:ascii="Times New Roman" w:hAnsi="Times New Roman" w:eastAsia="黑体" w:cs="Times New Roman"/>
          <w:b/>
          <w:color w:val="auto"/>
          <w:sz w:val="32"/>
          <w:szCs w:val="32"/>
        </w:rPr>
        <w:br w:type="page"/>
      </w:r>
    </w:p>
    <w:p w14:paraId="3358A377">
      <w:pPr>
        <w:pStyle w:val="4"/>
        <w:adjustRightInd w:val="0"/>
        <w:snapToGrid w:val="0"/>
        <w:jc w:val="center"/>
        <w:rPr>
          <w:rFonts w:hint="default" w:ascii="Times New Roman" w:hAnsi="Times New Roman" w:eastAsia="黑体" w:cs="Times New Roman"/>
          <w:color w:val="auto"/>
          <w:sz w:val="28"/>
          <w:szCs w:val="28"/>
        </w:rPr>
      </w:pPr>
      <w:bookmarkStart w:id="113" w:name="_Toc30098"/>
      <w:bookmarkStart w:id="114" w:name="_Toc29913923"/>
      <w:bookmarkStart w:id="115" w:name="_Toc6913"/>
      <w:r>
        <w:rPr>
          <w:rFonts w:hint="default" w:ascii="Times New Roman" w:hAnsi="Times New Roman" w:eastAsia="黑体" w:cs="Times New Roman"/>
          <w:color w:val="auto"/>
          <w:sz w:val="28"/>
          <w:szCs w:val="28"/>
        </w:rPr>
        <w:t>第三节 投标文件的符合性审查</w:t>
      </w:r>
      <w:bookmarkEnd w:id="113"/>
      <w:bookmarkEnd w:id="114"/>
      <w:bookmarkEnd w:id="115"/>
    </w:p>
    <w:p w14:paraId="1D45E9D7">
      <w:pPr>
        <w:adjustRightInd w:val="0"/>
        <w:snapToGrid w:val="0"/>
        <w:spacing w:beforeLines="50" w:line="360" w:lineRule="auto"/>
        <w:rPr>
          <w:rFonts w:hint="default" w:ascii="Times New Roman" w:hAnsi="Times New Roman" w:eastAsia="黑体" w:cs="Times New Roman"/>
          <w:b/>
          <w:color w:val="auto"/>
          <w:sz w:val="24"/>
        </w:rPr>
      </w:pPr>
      <w:r>
        <w:rPr>
          <w:rFonts w:hint="default" w:ascii="Times New Roman" w:hAnsi="Times New Roman" w:eastAsia="黑体" w:cs="Times New Roman"/>
          <w:b/>
          <w:color w:val="auto"/>
          <w:sz w:val="24"/>
        </w:rPr>
        <w:t>1.符合性审查</w:t>
      </w:r>
    </w:p>
    <w:p w14:paraId="65C0D30D">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1.1</w:t>
      </w:r>
      <w:r>
        <w:rPr>
          <w:rFonts w:hint="default" w:ascii="Times New Roman" w:hAnsi="Times New Roman" w:cs="Times New Roman" w:eastAsiaTheme="minorEastAsia"/>
          <w:color w:val="auto"/>
          <w:szCs w:val="21"/>
        </w:rPr>
        <w:t>评标委员会应</w:t>
      </w:r>
      <w:r>
        <w:rPr>
          <w:rFonts w:hint="default" w:ascii="Times New Roman" w:hAnsi="Times New Roman" w:cs="Times New Roman" w:eastAsiaTheme="minorEastAsia"/>
          <w:color w:val="auto"/>
        </w:rPr>
        <w:t>对符合资格条件的投标人的投标文件进行符合性审查，以确定其是否满足招标文件的实质性要求。</w:t>
      </w:r>
    </w:p>
    <w:p w14:paraId="45276672">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2D3571D1">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（2）投标人不得通过修正或撤销不合要求的偏离从而使其投标成为实质上响应的投标。</w:t>
      </w:r>
    </w:p>
    <w:p w14:paraId="3C4A32AA">
      <w:pPr>
        <w:adjustRightInd w:val="0"/>
        <w:snapToGrid w:val="0"/>
        <w:spacing w:beforeLines="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kern w:val="0"/>
          <w:szCs w:val="21"/>
        </w:rPr>
        <w:t>1.2</w:t>
      </w:r>
      <w:r>
        <w:rPr>
          <w:rFonts w:hint="default" w:ascii="Times New Roman" w:hAnsi="Times New Roman" w:cs="Times New Roman" w:eastAsiaTheme="minorEastAsia"/>
          <w:color w:val="auto"/>
        </w:rPr>
        <w:t>未通过符合性审查的投标人，其投标将被认定为投标无效，不能进入下一阶段评审。通过符合性审查的投标人数量不足 3 家的，不得作进一步的比较和评价。</w:t>
      </w:r>
    </w:p>
    <w:p w14:paraId="54B9C8EB">
      <w:pPr>
        <w:adjustRightInd w:val="0"/>
        <w:snapToGrid w:val="0"/>
        <w:spacing w:beforeLines="50" w:line="360" w:lineRule="auto"/>
        <w:jc w:val="left"/>
        <w:rPr>
          <w:rFonts w:hint="default" w:ascii="Times New Roman" w:hAnsi="Times New Roman" w:eastAsia="黑体" w:cs="Times New Roman"/>
          <w:b/>
          <w:color w:val="auto"/>
          <w:sz w:val="24"/>
        </w:rPr>
      </w:pPr>
      <w:r>
        <w:rPr>
          <w:rFonts w:hint="default" w:ascii="Times New Roman" w:hAnsi="Times New Roman" w:eastAsia="黑体" w:cs="Times New Roman"/>
          <w:b/>
          <w:color w:val="auto"/>
          <w:sz w:val="24"/>
        </w:rPr>
        <w:t>2.投标无效</w:t>
      </w:r>
    </w:p>
    <w:p w14:paraId="2AFB172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2.1投标人存在下列情况之一的，符合性审查不合格，投标无效：</w:t>
      </w:r>
    </w:p>
    <w:p w14:paraId="74FD6C4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（1）投标文件中商务技术文件未按照招标文件规定要求签署、盖章的；</w:t>
      </w:r>
    </w:p>
    <w:p w14:paraId="729F9DA5">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（2）投标文件没有对招标文件的实质性要求和条件作出响应，或者对招标文件的偏离超出招标文件规定的偏离</w:t>
      </w:r>
      <w:r>
        <w:rPr>
          <w:rFonts w:hint="default" w:ascii="Times New Roman" w:hAnsi="Times New Roman" w:cs="Times New Roman" w:eastAsiaTheme="minorEastAsia"/>
          <w:color w:val="auto"/>
        </w:rPr>
        <w:t>范围和幅度</w:t>
      </w:r>
      <w:r>
        <w:rPr>
          <w:rFonts w:hint="default" w:ascii="Times New Roman" w:hAnsi="Times New Roman" w:cs="Times New Roman" w:eastAsiaTheme="minorEastAsia"/>
          <w:color w:val="auto"/>
          <w:szCs w:val="21"/>
        </w:rPr>
        <w:t>；</w:t>
      </w:r>
    </w:p>
    <w:p w14:paraId="30A4BF1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（3）投标有效期不足的；</w:t>
      </w:r>
    </w:p>
    <w:p w14:paraId="11673A9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（4）投标文件含有采购人不能接受的附加条件的；</w:t>
      </w:r>
    </w:p>
    <w:p w14:paraId="38532BDE">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（5）不符合本节第1.1款规定符合性审查标准的；</w:t>
      </w:r>
    </w:p>
    <w:p w14:paraId="5981635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（6）法律、法规和招标文件规定的其他投标无效情形的。</w:t>
      </w:r>
    </w:p>
    <w:p w14:paraId="0477DB3E">
      <w:pPr>
        <w:adjustRightInd w:val="0"/>
        <w:snapToGrid w:val="0"/>
        <w:spacing w:beforeLines="50" w:line="360" w:lineRule="auto"/>
        <w:ind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2.2在评标过程中发现投标人有不遵循公平竞争的原则，恶意串通，妨碍其他投标人的竞争行为，损害采购人或者其他投标人的合法权益的，评标委员会应当认定其</w:t>
      </w:r>
      <w:r>
        <w:rPr>
          <w:rFonts w:hint="default" w:ascii="Times New Roman" w:hAnsi="Times New Roman" w:cs="Times New Roman" w:eastAsiaTheme="minorEastAsia"/>
          <w:b/>
          <w:color w:val="auto"/>
          <w:kern w:val="0"/>
          <w:szCs w:val="21"/>
        </w:rPr>
        <w:t>投标无效</w:t>
      </w:r>
      <w:r>
        <w:rPr>
          <w:rFonts w:hint="default" w:ascii="Times New Roman" w:hAnsi="Times New Roman" w:cs="Times New Roman" w:eastAsiaTheme="minorEastAsia"/>
          <w:color w:val="auto"/>
          <w:kern w:val="0"/>
          <w:szCs w:val="21"/>
        </w:rPr>
        <w:t>，并书面报告本级财政部门。</w:t>
      </w:r>
    </w:p>
    <w:p w14:paraId="7E02A92B">
      <w:pPr>
        <w:rPr>
          <w:rFonts w:hint="default" w:ascii="Times New Roman" w:hAnsi="Times New Roman" w:cs="Times New Roman"/>
          <w:color w:val="auto"/>
        </w:rPr>
      </w:pPr>
    </w:p>
    <w:p w14:paraId="70F9E876">
      <w:pPr>
        <w:rPr>
          <w:rFonts w:hint="default" w:ascii="Times New Roman" w:hAnsi="Times New Roman" w:cs="Times New Roman"/>
          <w:color w:val="auto"/>
        </w:rPr>
      </w:pPr>
    </w:p>
    <w:p w14:paraId="5472B1F9">
      <w:pPr>
        <w:widowControl/>
        <w:jc w:val="left"/>
        <w:rPr>
          <w:rFonts w:hint="default" w:ascii="Times New Roman" w:hAnsi="Times New Roman" w:cs="Times New Roman"/>
          <w:b/>
          <w:color w:val="auto"/>
          <w:szCs w:val="21"/>
        </w:rPr>
      </w:pPr>
      <w:r>
        <w:rPr>
          <w:rFonts w:hint="default" w:ascii="Times New Roman" w:hAnsi="Times New Roman" w:cs="Times New Roman"/>
          <w:b/>
          <w:color w:val="auto"/>
          <w:szCs w:val="21"/>
        </w:rPr>
        <w:br w:type="page"/>
      </w:r>
    </w:p>
    <w:p w14:paraId="4A7D747B">
      <w:pPr>
        <w:pStyle w:val="5"/>
        <w:adjustRightInd w:val="0"/>
        <w:snapToGrid w:val="0"/>
        <w:spacing w:beforeLines="50" w:after="0" w:line="360" w:lineRule="auto"/>
        <w:rPr>
          <w:rFonts w:hint="default" w:ascii="Times New Roman" w:hAnsi="Times New Roman" w:cs="Times New Roman"/>
          <w:color w:val="auto"/>
          <w:sz w:val="21"/>
          <w:szCs w:val="21"/>
        </w:rPr>
      </w:pPr>
      <w:bookmarkStart w:id="116" w:name="_Toc20651227"/>
      <w:bookmarkStart w:id="117" w:name="_Toc8165"/>
      <w:bookmarkStart w:id="118" w:name="_Toc20064"/>
      <w:bookmarkStart w:id="119" w:name="_Toc29913924"/>
      <w:r>
        <w:rPr>
          <w:rFonts w:hint="default" w:ascii="Times New Roman" w:hAnsi="Times New Roman" w:cs="Times New Roman"/>
          <w:color w:val="auto"/>
          <w:sz w:val="21"/>
          <w:szCs w:val="21"/>
        </w:rPr>
        <w:t>附表1 符合性审查表</w:t>
      </w:r>
      <w:bookmarkEnd w:id="116"/>
      <w:bookmarkEnd w:id="117"/>
      <w:bookmarkEnd w:id="118"/>
    </w:p>
    <w:p w14:paraId="71282AAF">
      <w:pPr>
        <w:adjustRightInd w:val="0"/>
        <w:snapToGrid w:val="0"/>
        <w:spacing w:beforeLines="50"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符合性审查表</w:t>
      </w:r>
    </w:p>
    <w:p w14:paraId="6F4A8171">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项目名称：                                           采购代理编号： </w:t>
      </w: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520"/>
        <w:gridCol w:w="3857"/>
      </w:tblGrid>
      <w:tr w14:paraId="430C8B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33439D88">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序号</w:t>
            </w:r>
          </w:p>
        </w:tc>
        <w:tc>
          <w:tcPr>
            <w:tcW w:w="4520" w:type="dxa"/>
            <w:vAlign w:val="center"/>
          </w:tcPr>
          <w:p w14:paraId="77A545F0">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审查项目</w:t>
            </w:r>
          </w:p>
        </w:tc>
        <w:tc>
          <w:tcPr>
            <w:tcW w:w="3857" w:type="dxa"/>
            <w:vAlign w:val="center"/>
          </w:tcPr>
          <w:p w14:paraId="6A237998">
            <w:pPr>
              <w:adjustRightInd w:val="0"/>
              <w:snapToGrid w:val="0"/>
              <w:spacing w:beforeLines="50"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审查标准</w:t>
            </w:r>
          </w:p>
        </w:tc>
      </w:tr>
      <w:tr w14:paraId="74528D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1C7D6E0">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1</w:t>
            </w:r>
          </w:p>
        </w:tc>
        <w:tc>
          <w:tcPr>
            <w:tcW w:w="4520" w:type="dxa"/>
          </w:tcPr>
          <w:p w14:paraId="4C047BEB">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投标文件中商务技术文件未按照招标文件规定要求签署、盖章的；</w:t>
            </w:r>
          </w:p>
        </w:tc>
        <w:tc>
          <w:tcPr>
            <w:tcW w:w="3857" w:type="dxa"/>
            <w:vAlign w:val="center"/>
          </w:tcPr>
          <w:p w14:paraId="7E9B46DC">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25F50E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FAEF0F9">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w:t>
            </w:r>
          </w:p>
        </w:tc>
        <w:tc>
          <w:tcPr>
            <w:tcW w:w="4520" w:type="dxa"/>
          </w:tcPr>
          <w:p w14:paraId="069963F6">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投标文件没有对招标文件的实质性要求和条件作出响应，或者对招标文件的偏离超出招标文件规定的偏离范围和幅度；</w:t>
            </w:r>
          </w:p>
        </w:tc>
        <w:tc>
          <w:tcPr>
            <w:tcW w:w="3857" w:type="dxa"/>
            <w:vAlign w:val="center"/>
          </w:tcPr>
          <w:p w14:paraId="038B1DC1">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47EBD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1C11BC">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3</w:t>
            </w:r>
          </w:p>
        </w:tc>
        <w:tc>
          <w:tcPr>
            <w:tcW w:w="4520" w:type="dxa"/>
          </w:tcPr>
          <w:p w14:paraId="22440652">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投标有效期不足的；</w:t>
            </w:r>
          </w:p>
        </w:tc>
        <w:tc>
          <w:tcPr>
            <w:tcW w:w="3857" w:type="dxa"/>
            <w:vAlign w:val="center"/>
          </w:tcPr>
          <w:p w14:paraId="6E04447E">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0351DE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F2F85D3">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4</w:t>
            </w:r>
          </w:p>
        </w:tc>
        <w:tc>
          <w:tcPr>
            <w:tcW w:w="4520" w:type="dxa"/>
          </w:tcPr>
          <w:p w14:paraId="1B41E3FF">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投标文件含有采购人不能接受的附加条件的；</w:t>
            </w:r>
          </w:p>
        </w:tc>
        <w:tc>
          <w:tcPr>
            <w:tcW w:w="3857" w:type="dxa"/>
            <w:vAlign w:val="center"/>
          </w:tcPr>
          <w:p w14:paraId="147DFC19">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0B6B18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E896E75">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5</w:t>
            </w:r>
          </w:p>
        </w:tc>
        <w:tc>
          <w:tcPr>
            <w:tcW w:w="4520" w:type="dxa"/>
          </w:tcPr>
          <w:p w14:paraId="0BAE6B5C">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不符合本节第1.1款规定符合性审查标准的；</w:t>
            </w:r>
          </w:p>
        </w:tc>
        <w:tc>
          <w:tcPr>
            <w:tcW w:w="3857" w:type="dxa"/>
            <w:vAlign w:val="center"/>
          </w:tcPr>
          <w:p w14:paraId="40844A15">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71037A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2444BF2">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6</w:t>
            </w:r>
          </w:p>
        </w:tc>
        <w:tc>
          <w:tcPr>
            <w:tcW w:w="4520" w:type="dxa"/>
          </w:tcPr>
          <w:p w14:paraId="0D23E7A1">
            <w:pPr>
              <w:adjustRightInd w:val="0"/>
              <w:snapToGrid w:val="0"/>
              <w:spacing w:beforeLines="50" w:line="360" w:lineRule="auto"/>
              <w:jc w:val="left"/>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法律、法规和招标文件规定的其他投标无效情形的</w:t>
            </w:r>
          </w:p>
        </w:tc>
        <w:tc>
          <w:tcPr>
            <w:tcW w:w="3857" w:type="dxa"/>
            <w:vAlign w:val="center"/>
          </w:tcPr>
          <w:p w14:paraId="75AE2530">
            <w:pPr>
              <w:adjustRightInd w:val="0"/>
              <w:snapToGrid w:val="0"/>
              <w:spacing w:beforeLines="50"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color w:val="auto"/>
              </w:rPr>
              <w:t>是否符合招标文件的规定</w:t>
            </w:r>
          </w:p>
        </w:tc>
      </w:tr>
      <w:tr w14:paraId="11A3C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8CB2948">
            <w:pPr>
              <w:adjustRightInd w:val="0"/>
              <w:snapToGrid w:val="0"/>
              <w:spacing w:beforeLines="50" w:line="360" w:lineRule="auto"/>
              <w:jc w:val="center"/>
              <w:rPr>
                <w:rFonts w:hint="default" w:ascii="Times New Roman" w:hAnsi="Times New Roman" w:cs="Times New Roman" w:eastAsiaTheme="minorEastAsia"/>
                <w:color w:val="auto"/>
                <w:kern w:val="0"/>
                <w:sz w:val="20"/>
                <w:szCs w:val="21"/>
              </w:rPr>
            </w:pPr>
            <w:r>
              <w:rPr>
                <w:rFonts w:hint="default" w:ascii="Times New Roman" w:hAnsi="Times New Roman" w:cs="Times New Roman" w:eastAsiaTheme="minorEastAsia"/>
                <w:color w:val="auto"/>
                <w:kern w:val="0"/>
                <w:sz w:val="20"/>
                <w:szCs w:val="21"/>
              </w:rPr>
              <w:t>结论</w:t>
            </w:r>
          </w:p>
        </w:tc>
        <w:tc>
          <w:tcPr>
            <w:tcW w:w="8377" w:type="dxa"/>
            <w:gridSpan w:val="2"/>
            <w:vAlign w:val="center"/>
          </w:tcPr>
          <w:p w14:paraId="3E07EC5D">
            <w:pPr>
              <w:adjustRightInd w:val="0"/>
              <w:snapToGrid w:val="0"/>
              <w:spacing w:beforeLines="50" w:line="360" w:lineRule="auto"/>
              <w:jc w:val="center"/>
              <w:rPr>
                <w:rFonts w:hint="default" w:ascii="Times New Roman" w:hAnsi="Times New Roman" w:cs="Times New Roman" w:eastAsiaTheme="minorEastAsia"/>
                <w:color w:val="auto"/>
                <w:kern w:val="0"/>
                <w:sz w:val="20"/>
                <w:szCs w:val="21"/>
              </w:rPr>
            </w:pPr>
          </w:p>
        </w:tc>
      </w:tr>
    </w:tbl>
    <w:p w14:paraId="627ACEE5">
      <w:pPr>
        <w:adjustRightInd w:val="0"/>
        <w:snapToGrid w:val="0"/>
        <w:spacing w:line="360" w:lineRule="auto"/>
        <w:rPr>
          <w:rFonts w:hint="default" w:ascii="Times New Roman" w:hAnsi="Times New Roman" w:cs="Times New Roman" w:eastAsiaTheme="minorEastAsia"/>
          <w:color w:val="auto"/>
          <w:szCs w:val="21"/>
        </w:rPr>
      </w:pPr>
    </w:p>
    <w:p w14:paraId="6CD2493F">
      <w:pPr>
        <w:widowControl/>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br w:type="page"/>
      </w:r>
    </w:p>
    <w:p w14:paraId="1E8EB28E">
      <w:pPr>
        <w:pStyle w:val="5"/>
        <w:rPr>
          <w:rFonts w:hint="default" w:ascii="Times New Roman" w:hAnsi="Times New Roman" w:cs="Times New Roman"/>
          <w:color w:val="auto"/>
          <w:sz w:val="21"/>
          <w:szCs w:val="21"/>
        </w:rPr>
      </w:pPr>
      <w:bookmarkStart w:id="120" w:name="_Toc20651228"/>
      <w:bookmarkStart w:id="121" w:name="_Toc24980"/>
      <w:bookmarkStart w:id="122" w:name="_Toc8468"/>
      <w:r>
        <w:rPr>
          <w:rFonts w:hint="default" w:ascii="Times New Roman" w:hAnsi="Times New Roman" w:cs="Times New Roman"/>
          <w:color w:val="auto"/>
          <w:sz w:val="21"/>
          <w:szCs w:val="21"/>
        </w:rPr>
        <w:t>附表2 符合性审查结果一览表</w:t>
      </w:r>
      <w:bookmarkEnd w:id="120"/>
      <w:bookmarkEnd w:id="121"/>
      <w:bookmarkEnd w:id="122"/>
    </w:p>
    <w:p w14:paraId="45059904">
      <w:pPr>
        <w:adjustRightInd w:val="0"/>
        <w:snapToGrid w:val="0"/>
        <w:spacing w:beforeLines="50"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符合性审查结果一览表</w:t>
      </w:r>
    </w:p>
    <w:p w14:paraId="792FCCEC">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项目名称：                                           采购代理编号：</w:t>
      </w:r>
    </w:p>
    <w:tbl>
      <w:tblPr>
        <w:tblStyle w:val="44"/>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16220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53153EE3">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序号</w:t>
            </w:r>
          </w:p>
        </w:tc>
        <w:tc>
          <w:tcPr>
            <w:tcW w:w="2963" w:type="dxa"/>
            <w:vAlign w:val="center"/>
          </w:tcPr>
          <w:p w14:paraId="3FBA03CD">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投标人名称</w:t>
            </w:r>
          </w:p>
        </w:tc>
        <w:tc>
          <w:tcPr>
            <w:tcW w:w="2439" w:type="dxa"/>
            <w:vAlign w:val="center"/>
          </w:tcPr>
          <w:p w14:paraId="08AB7108">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符合性审查结果</w:t>
            </w:r>
          </w:p>
          <w:p w14:paraId="7B717ABB">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（合格/不合格）</w:t>
            </w:r>
          </w:p>
        </w:tc>
        <w:tc>
          <w:tcPr>
            <w:tcW w:w="2961" w:type="dxa"/>
            <w:vAlign w:val="center"/>
          </w:tcPr>
          <w:p w14:paraId="32E69B14">
            <w:pPr>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符合性审查不合格原因</w:t>
            </w:r>
          </w:p>
        </w:tc>
      </w:tr>
      <w:tr w14:paraId="259D8D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27747A8">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089AF3A0">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5070BCBF">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18378DE4">
            <w:pPr>
              <w:adjustRightInd w:val="0"/>
              <w:snapToGrid w:val="0"/>
              <w:spacing w:line="360" w:lineRule="auto"/>
              <w:rPr>
                <w:rFonts w:hint="default" w:ascii="Times New Roman" w:hAnsi="Times New Roman" w:cs="Times New Roman" w:eastAsiaTheme="minorEastAsia"/>
                <w:color w:val="auto"/>
                <w:kern w:val="0"/>
                <w:sz w:val="24"/>
              </w:rPr>
            </w:pPr>
          </w:p>
        </w:tc>
      </w:tr>
      <w:tr w14:paraId="61B32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F7F57D5">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6E94C32E">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46F50E23">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2E82F31B">
            <w:pPr>
              <w:adjustRightInd w:val="0"/>
              <w:snapToGrid w:val="0"/>
              <w:spacing w:line="360" w:lineRule="auto"/>
              <w:rPr>
                <w:rFonts w:hint="default" w:ascii="Times New Roman" w:hAnsi="Times New Roman" w:cs="Times New Roman" w:eastAsiaTheme="minorEastAsia"/>
                <w:color w:val="auto"/>
                <w:kern w:val="0"/>
                <w:sz w:val="24"/>
              </w:rPr>
            </w:pPr>
          </w:p>
        </w:tc>
      </w:tr>
      <w:tr w14:paraId="66F68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B6A1301">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506E6E6A">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4C996F18">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4358C8E3">
            <w:pPr>
              <w:adjustRightInd w:val="0"/>
              <w:snapToGrid w:val="0"/>
              <w:spacing w:line="360" w:lineRule="auto"/>
              <w:rPr>
                <w:rFonts w:hint="default" w:ascii="Times New Roman" w:hAnsi="Times New Roman" w:cs="Times New Roman" w:eastAsiaTheme="minorEastAsia"/>
                <w:color w:val="auto"/>
                <w:kern w:val="0"/>
                <w:sz w:val="24"/>
              </w:rPr>
            </w:pPr>
          </w:p>
        </w:tc>
      </w:tr>
      <w:tr w14:paraId="11491E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5BB8DAB">
            <w:pPr>
              <w:adjustRightInd w:val="0"/>
              <w:snapToGrid w:val="0"/>
              <w:spacing w:line="360" w:lineRule="auto"/>
              <w:rPr>
                <w:rFonts w:hint="default" w:ascii="Times New Roman" w:hAnsi="Times New Roman" w:cs="Times New Roman" w:eastAsiaTheme="minorEastAsia"/>
                <w:color w:val="auto"/>
                <w:kern w:val="0"/>
                <w:sz w:val="24"/>
              </w:rPr>
            </w:pPr>
          </w:p>
        </w:tc>
        <w:tc>
          <w:tcPr>
            <w:tcW w:w="2963" w:type="dxa"/>
          </w:tcPr>
          <w:p w14:paraId="5B10930E">
            <w:pPr>
              <w:adjustRightInd w:val="0"/>
              <w:snapToGrid w:val="0"/>
              <w:spacing w:line="360" w:lineRule="auto"/>
              <w:rPr>
                <w:rFonts w:hint="default" w:ascii="Times New Roman" w:hAnsi="Times New Roman" w:cs="Times New Roman" w:eastAsiaTheme="minorEastAsia"/>
                <w:color w:val="auto"/>
                <w:kern w:val="0"/>
                <w:sz w:val="24"/>
              </w:rPr>
            </w:pPr>
          </w:p>
        </w:tc>
        <w:tc>
          <w:tcPr>
            <w:tcW w:w="2439" w:type="dxa"/>
          </w:tcPr>
          <w:p w14:paraId="48E97401">
            <w:pPr>
              <w:adjustRightInd w:val="0"/>
              <w:snapToGrid w:val="0"/>
              <w:spacing w:line="360" w:lineRule="auto"/>
              <w:rPr>
                <w:rFonts w:hint="default" w:ascii="Times New Roman" w:hAnsi="Times New Roman" w:cs="Times New Roman" w:eastAsiaTheme="minorEastAsia"/>
                <w:color w:val="auto"/>
                <w:kern w:val="0"/>
                <w:sz w:val="24"/>
              </w:rPr>
            </w:pPr>
          </w:p>
        </w:tc>
        <w:tc>
          <w:tcPr>
            <w:tcW w:w="2961" w:type="dxa"/>
          </w:tcPr>
          <w:p w14:paraId="76F213A2">
            <w:pPr>
              <w:adjustRightInd w:val="0"/>
              <w:snapToGrid w:val="0"/>
              <w:spacing w:line="360" w:lineRule="auto"/>
              <w:rPr>
                <w:rFonts w:hint="default" w:ascii="Times New Roman" w:hAnsi="Times New Roman" w:cs="Times New Roman" w:eastAsiaTheme="minorEastAsia"/>
                <w:color w:val="auto"/>
                <w:kern w:val="0"/>
                <w:sz w:val="24"/>
              </w:rPr>
            </w:pPr>
          </w:p>
        </w:tc>
      </w:tr>
    </w:tbl>
    <w:p w14:paraId="13B16125">
      <w:pPr>
        <w:widowControl/>
        <w:jc w:val="left"/>
        <w:rPr>
          <w:rFonts w:hint="default" w:ascii="Times New Roman" w:hAnsi="Times New Roman" w:eastAsia="黑体" w:cs="Times New Roman"/>
          <w:bCs/>
          <w:color w:val="auto"/>
          <w:szCs w:val="21"/>
        </w:rPr>
      </w:pPr>
    </w:p>
    <w:p w14:paraId="1BA8124D">
      <w:pPr>
        <w:pStyle w:val="5"/>
        <w:rPr>
          <w:rFonts w:hint="default" w:ascii="Times New Roman" w:hAnsi="Times New Roman" w:cs="Times New Roman"/>
          <w:color w:val="auto"/>
          <w:sz w:val="21"/>
          <w:szCs w:val="21"/>
        </w:rPr>
      </w:pPr>
      <w:bookmarkStart w:id="123" w:name="_Toc3474"/>
      <w:bookmarkStart w:id="124" w:name="_Toc18021"/>
      <w:bookmarkStart w:id="125" w:name="_Toc20651229"/>
      <w:r>
        <w:rPr>
          <w:rFonts w:hint="default" w:ascii="Times New Roman" w:hAnsi="Times New Roman" w:cs="Times New Roman"/>
          <w:color w:val="auto"/>
          <w:sz w:val="21"/>
          <w:szCs w:val="21"/>
        </w:rPr>
        <w:t>附表3 符合性审查合格投标人名单</w:t>
      </w:r>
      <w:bookmarkEnd w:id="123"/>
      <w:bookmarkEnd w:id="124"/>
      <w:bookmarkEnd w:id="125"/>
    </w:p>
    <w:p w14:paraId="33CF1DA2">
      <w:pPr>
        <w:adjustRightInd w:val="0"/>
        <w:snapToGrid w:val="0"/>
        <w:spacing w:beforeLines="50"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符合性审查合格投标人名单</w:t>
      </w:r>
    </w:p>
    <w:p w14:paraId="59F811CB">
      <w:pPr>
        <w:adjustRightInd w:val="0"/>
        <w:snapToGrid w:val="0"/>
        <w:spacing w:beforeLines="50" w:line="360" w:lineRule="auto"/>
        <w:rPr>
          <w:rFonts w:hint="default" w:ascii="Times New Roman" w:hAnsi="Times New Roman" w:eastAsia="华文中宋" w:cs="Times New Roman"/>
          <w:color w:val="auto"/>
          <w:sz w:val="32"/>
          <w:szCs w:val="32"/>
        </w:rPr>
      </w:pPr>
      <w:r>
        <w:rPr>
          <w:rFonts w:hint="default" w:ascii="Times New Roman" w:hAnsi="Times New Roman" w:cs="Times New Roman" w:eastAsiaTheme="minorEastAsia"/>
          <w:color w:val="auto"/>
          <w:szCs w:val="21"/>
        </w:rPr>
        <w:t>项目名称：                                        采购代理编号：</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21ECA1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5FAB635C">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序号</w:t>
            </w:r>
          </w:p>
        </w:tc>
        <w:tc>
          <w:tcPr>
            <w:tcW w:w="7796" w:type="dxa"/>
            <w:vAlign w:val="center"/>
          </w:tcPr>
          <w:p w14:paraId="50A7485C">
            <w:pPr>
              <w:jc w:val="center"/>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合格投标人名称</w:t>
            </w:r>
          </w:p>
        </w:tc>
      </w:tr>
      <w:tr w14:paraId="496645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50855F7">
            <w:pPr>
              <w:adjustRightInd w:val="0"/>
              <w:snapToGrid w:val="0"/>
              <w:spacing w:line="360" w:lineRule="auto"/>
              <w:rPr>
                <w:rFonts w:hint="default" w:ascii="Times New Roman" w:hAnsi="Times New Roman" w:cs="Times New Roman" w:eastAsiaTheme="minorEastAsia"/>
                <w:color w:val="auto"/>
                <w:kern w:val="0"/>
                <w:szCs w:val="21"/>
              </w:rPr>
            </w:pPr>
          </w:p>
        </w:tc>
        <w:tc>
          <w:tcPr>
            <w:tcW w:w="7796" w:type="dxa"/>
          </w:tcPr>
          <w:p w14:paraId="4C4BFD9A">
            <w:pPr>
              <w:adjustRightInd w:val="0"/>
              <w:snapToGrid w:val="0"/>
              <w:spacing w:line="360" w:lineRule="auto"/>
              <w:rPr>
                <w:rFonts w:hint="default" w:ascii="Times New Roman" w:hAnsi="Times New Roman" w:cs="Times New Roman" w:eastAsiaTheme="minorEastAsia"/>
                <w:color w:val="auto"/>
                <w:kern w:val="0"/>
                <w:szCs w:val="21"/>
              </w:rPr>
            </w:pPr>
          </w:p>
        </w:tc>
      </w:tr>
      <w:tr w14:paraId="1C906F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D653863">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54A013CB">
            <w:pPr>
              <w:adjustRightInd w:val="0"/>
              <w:snapToGrid w:val="0"/>
              <w:spacing w:line="360" w:lineRule="auto"/>
              <w:rPr>
                <w:rFonts w:hint="default" w:ascii="Times New Roman" w:hAnsi="Times New Roman" w:cs="Times New Roman" w:eastAsiaTheme="minorEastAsia"/>
                <w:color w:val="auto"/>
                <w:kern w:val="0"/>
                <w:sz w:val="24"/>
              </w:rPr>
            </w:pPr>
          </w:p>
        </w:tc>
      </w:tr>
      <w:tr w14:paraId="15633C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2E64C15">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7052F2AE">
            <w:pPr>
              <w:adjustRightInd w:val="0"/>
              <w:snapToGrid w:val="0"/>
              <w:spacing w:line="360" w:lineRule="auto"/>
              <w:rPr>
                <w:rFonts w:hint="default" w:ascii="Times New Roman" w:hAnsi="Times New Roman" w:cs="Times New Roman" w:eastAsiaTheme="minorEastAsia"/>
                <w:color w:val="auto"/>
                <w:kern w:val="0"/>
                <w:sz w:val="24"/>
              </w:rPr>
            </w:pPr>
          </w:p>
        </w:tc>
      </w:tr>
      <w:tr w14:paraId="0BF732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BCB4D9C">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54DD0322">
            <w:pPr>
              <w:adjustRightInd w:val="0"/>
              <w:snapToGrid w:val="0"/>
              <w:spacing w:line="360" w:lineRule="auto"/>
              <w:rPr>
                <w:rFonts w:hint="default" w:ascii="Times New Roman" w:hAnsi="Times New Roman" w:cs="Times New Roman" w:eastAsiaTheme="minorEastAsia"/>
                <w:color w:val="auto"/>
                <w:kern w:val="0"/>
                <w:sz w:val="24"/>
              </w:rPr>
            </w:pPr>
          </w:p>
        </w:tc>
      </w:tr>
      <w:tr w14:paraId="308DF1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129BDCC">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1369F139">
            <w:pPr>
              <w:adjustRightInd w:val="0"/>
              <w:snapToGrid w:val="0"/>
              <w:spacing w:line="360" w:lineRule="auto"/>
              <w:rPr>
                <w:rFonts w:hint="default" w:ascii="Times New Roman" w:hAnsi="Times New Roman" w:cs="Times New Roman" w:eastAsiaTheme="minorEastAsia"/>
                <w:color w:val="auto"/>
                <w:kern w:val="0"/>
                <w:sz w:val="24"/>
              </w:rPr>
            </w:pPr>
          </w:p>
        </w:tc>
      </w:tr>
      <w:tr w14:paraId="418880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32DA236">
            <w:pPr>
              <w:adjustRightInd w:val="0"/>
              <w:snapToGrid w:val="0"/>
              <w:spacing w:line="360" w:lineRule="auto"/>
              <w:rPr>
                <w:rFonts w:hint="default" w:ascii="Times New Roman" w:hAnsi="Times New Roman" w:cs="Times New Roman" w:eastAsiaTheme="minorEastAsia"/>
                <w:color w:val="auto"/>
                <w:kern w:val="0"/>
                <w:sz w:val="24"/>
              </w:rPr>
            </w:pPr>
          </w:p>
        </w:tc>
        <w:tc>
          <w:tcPr>
            <w:tcW w:w="7796" w:type="dxa"/>
          </w:tcPr>
          <w:p w14:paraId="487627B8">
            <w:pPr>
              <w:adjustRightInd w:val="0"/>
              <w:snapToGrid w:val="0"/>
              <w:spacing w:line="360" w:lineRule="auto"/>
              <w:rPr>
                <w:rFonts w:hint="default" w:ascii="Times New Roman" w:hAnsi="Times New Roman" w:cs="Times New Roman" w:eastAsiaTheme="minorEastAsia"/>
                <w:color w:val="auto"/>
                <w:kern w:val="0"/>
                <w:sz w:val="24"/>
              </w:rPr>
            </w:pPr>
          </w:p>
        </w:tc>
      </w:tr>
    </w:tbl>
    <w:p w14:paraId="1E944FF8">
      <w:pPr>
        <w:rPr>
          <w:rFonts w:hint="default" w:ascii="Times New Roman" w:hAnsi="Times New Roman" w:cs="Times New Roman"/>
          <w:color w:val="auto"/>
          <w:w w:val="90"/>
        </w:rPr>
      </w:pPr>
    </w:p>
    <w:p w14:paraId="2214CEA6">
      <w:pPr>
        <w:rPr>
          <w:rFonts w:hint="default" w:ascii="Times New Roman" w:hAnsi="Times New Roman" w:eastAsia="黑体" w:cs="Times New Roman"/>
          <w:b/>
          <w:color w:val="auto"/>
          <w:sz w:val="32"/>
          <w:szCs w:val="32"/>
        </w:rPr>
      </w:pPr>
    </w:p>
    <w:p w14:paraId="7F246869">
      <w:pPr>
        <w:pStyle w:val="4"/>
        <w:adjustRightInd w:val="0"/>
        <w:snapToGrid w:val="0"/>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b w:val="0"/>
          <w:color w:val="auto"/>
          <w:sz w:val="32"/>
        </w:rPr>
        <w:br w:type="page"/>
      </w:r>
      <w:bookmarkStart w:id="126" w:name="_Toc23932"/>
      <w:bookmarkStart w:id="127" w:name="_Toc4744"/>
      <w:r>
        <w:rPr>
          <w:rFonts w:hint="default" w:ascii="Times New Roman" w:hAnsi="Times New Roman" w:eastAsia="黑体" w:cs="Times New Roman"/>
          <w:color w:val="auto"/>
          <w:sz w:val="28"/>
          <w:szCs w:val="28"/>
        </w:rPr>
        <w:t>第四节 投标文件的比较与评价</w:t>
      </w:r>
      <w:bookmarkEnd w:id="119"/>
      <w:bookmarkEnd w:id="126"/>
      <w:bookmarkEnd w:id="127"/>
    </w:p>
    <w:p w14:paraId="32F90ACE">
      <w:pPr>
        <w:widowControl/>
        <w:adjustRightInd w:val="0"/>
        <w:snapToGrid w:val="0"/>
        <w:spacing w:beforeLines="50" w:line="360" w:lineRule="auto"/>
        <w:jc w:val="left"/>
        <w:rPr>
          <w:rFonts w:hint="default" w:ascii="Times New Roman" w:hAnsi="Times New Roman" w:eastAsia="黑体" w:cs="Times New Roman"/>
          <w:b/>
          <w:color w:val="auto"/>
          <w:sz w:val="24"/>
        </w:rPr>
      </w:pPr>
      <w:r>
        <w:rPr>
          <w:rFonts w:hint="default" w:ascii="Times New Roman" w:hAnsi="Times New Roman" w:eastAsia="黑体" w:cs="Times New Roman"/>
          <w:b/>
          <w:color w:val="auto"/>
          <w:sz w:val="24"/>
        </w:rPr>
        <w:t>1.综合评分法</w:t>
      </w:r>
    </w:p>
    <w:p w14:paraId="6EED8273">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1.1综合评分法，指投标文件满足招标文件全部实质性要求，且按照评审因素的量化指标评审得分最高的投标人为中标候选人的评标方法。</w:t>
      </w:r>
    </w:p>
    <w:p w14:paraId="7B64420C">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C437113">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1.3未通过符合性审查的投标文件不得进入比较与评价。</w:t>
      </w:r>
    </w:p>
    <w:p w14:paraId="65033185">
      <w:pPr>
        <w:adjustRightInd w:val="0"/>
        <w:snapToGrid w:val="0"/>
        <w:spacing w:beforeLines="50" w:line="360" w:lineRule="auto"/>
        <w:jc w:val="left"/>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2.投标报价的算术修正及政府采购政策调整</w:t>
      </w:r>
    </w:p>
    <w:p w14:paraId="60DA7368">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2.1如果有算术错误，投标报价将按本章第二节第4.2款、第4.3款规定进行算术修正。</w:t>
      </w:r>
    </w:p>
    <w:p w14:paraId="52F341B1">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2.2需落实政府采购政策（价格评审优惠）的，按第二章“投标须知”及本章第二节第5.4（1）项的相关规定进行价格调整。</w:t>
      </w:r>
    </w:p>
    <w:p w14:paraId="2FEDF5EE">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2.3按本章本节第2.1款、第2.2款规定，以修正或调整后的价格确定投标人的投标报价和评标基准价，用于投标报价评价。</w:t>
      </w:r>
    </w:p>
    <w:p w14:paraId="2B8DDC53">
      <w:pPr>
        <w:adjustRightInd w:val="0"/>
        <w:snapToGrid w:val="0"/>
        <w:spacing w:beforeLines="50" w:line="360" w:lineRule="auto"/>
        <w:jc w:val="left"/>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3.投标报价评价</w:t>
      </w:r>
    </w:p>
    <w:p w14:paraId="25583290">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3.1投标报价评价：价格分应当采用低价优先法计算，即满足招标文件要求且投标价格最低的投标报价为评标基准价，其价格分为满分（报价权重分）。其他投标人的价格分统一按照下列公式计算：</w:t>
      </w:r>
    </w:p>
    <w:p w14:paraId="27F8F29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投标报价得分=（评标基准价</w:t>
      </w:r>
      <w:r>
        <w:rPr>
          <w:rFonts w:hint="default" w:ascii="Times New Roman" w:hAnsi="Times New Roman" w:cs="Times New Roman" w:eastAsiaTheme="minorEastAsia"/>
          <w:color w:val="auto"/>
          <w:szCs w:val="21"/>
          <w:vertAlign w:val="subscript"/>
        </w:rPr>
        <w:t>修正或调整</w:t>
      </w:r>
      <w:r>
        <w:rPr>
          <w:rFonts w:hint="default" w:ascii="Times New Roman" w:hAnsi="Times New Roman" w:cs="Times New Roman" w:eastAsiaTheme="minorEastAsia"/>
          <w:color w:val="auto"/>
          <w:szCs w:val="21"/>
        </w:rPr>
        <w:t>／投标报价</w:t>
      </w:r>
      <w:r>
        <w:rPr>
          <w:rFonts w:hint="default" w:ascii="Times New Roman" w:hAnsi="Times New Roman" w:cs="Times New Roman" w:eastAsiaTheme="minorEastAsia"/>
          <w:color w:val="auto"/>
          <w:szCs w:val="21"/>
          <w:vertAlign w:val="subscript"/>
        </w:rPr>
        <w:t>修正或调整</w:t>
      </w:r>
      <w:r>
        <w:rPr>
          <w:rFonts w:hint="default" w:ascii="Times New Roman" w:hAnsi="Times New Roman" w:cs="Times New Roman" w:eastAsiaTheme="minorEastAsia"/>
          <w:color w:val="auto"/>
          <w:szCs w:val="21"/>
        </w:rPr>
        <w:t>） × 报价权重分</w:t>
      </w:r>
    </w:p>
    <w:p w14:paraId="7850014B">
      <w:pPr>
        <w:adjustRightInd w:val="0"/>
        <w:snapToGrid w:val="0"/>
        <w:spacing w:beforeLines="50" w:line="360" w:lineRule="auto"/>
        <w:jc w:val="left"/>
        <w:rPr>
          <w:rFonts w:hint="default" w:ascii="Times New Roman" w:hAnsi="Times New Roman" w:eastAsia="黑体" w:cs="Times New Roman"/>
          <w:color w:val="auto"/>
          <w:sz w:val="24"/>
        </w:rPr>
      </w:pPr>
      <w:r>
        <w:rPr>
          <w:rFonts w:hint="default" w:ascii="Times New Roman" w:hAnsi="Times New Roman" w:eastAsia="黑体" w:cs="Times New Roman"/>
          <w:bCs/>
          <w:color w:val="auto"/>
          <w:sz w:val="24"/>
        </w:rPr>
        <w:t>4.</w:t>
      </w:r>
      <w:r>
        <w:rPr>
          <w:rFonts w:hint="default" w:ascii="Times New Roman" w:hAnsi="Times New Roman" w:eastAsia="黑体" w:cs="Times New Roman"/>
          <w:color w:val="auto"/>
          <w:sz w:val="24"/>
        </w:rPr>
        <w:t>技术、商务等评分项响应评价及政府采购政策加分</w:t>
      </w:r>
    </w:p>
    <w:p w14:paraId="4E7A5AE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4.1技术、商务等评分项响应评分。按</w:t>
      </w:r>
      <w:r>
        <w:rPr>
          <w:rFonts w:hint="default" w:ascii="Times New Roman" w:hAnsi="Times New Roman" w:cs="Times New Roman" w:eastAsiaTheme="minorEastAsia"/>
          <w:bCs/>
          <w:color w:val="auto"/>
          <w:szCs w:val="21"/>
        </w:rPr>
        <w:t>本章</w:t>
      </w:r>
      <w:r>
        <w:rPr>
          <w:rFonts w:hint="default" w:ascii="Times New Roman" w:hAnsi="Times New Roman" w:cs="Times New Roman" w:eastAsiaTheme="minorEastAsia"/>
          <w:color w:val="auto"/>
          <w:szCs w:val="21"/>
        </w:rPr>
        <w:t>本节附页1“评标方法及标准表”规定的评标因素和标准，对技术、商务等评分项计算得分。</w:t>
      </w:r>
    </w:p>
    <w:p w14:paraId="178E0B9D">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4.2需落实政府采购政策（优先采购）的，按第二章、本章第二节第5.3（2）项以及本节附页1“评标方法及标准表”的相关规定进行技术、价格、商务项得分(加分)计算。</w:t>
      </w:r>
    </w:p>
    <w:p w14:paraId="0D63C99B">
      <w:pPr>
        <w:adjustRightInd w:val="0"/>
        <w:snapToGrid w:val="0"/>
        <w:spacing w:beforeLines="50" w:line="360" w:lineRule="auto"/>
        <w:jc w:val="left"/>
        <w:rPr>
          <w:rFonts w:hint="default" w:ascii="Times New Roman" w:hAnsi="Times New Roman" w:eastAsia="黑体" w:cs="Times New Roman"/>
          <w:b/>
          <w:color w:val="auto"/>
          <w:sz w:val="24"/>
        </w:rPr>
      </w:pPr>
      <w:r>
        <w:rPr>
          <w:rFonts w:hint="default" w:ascii="Times New Roman" w:hAnsi="Times New Roman" w:eastAsia="黑体" w:cs="Times New Roman"/>
          <w:b/>
          <w:color w:val="auto"/>
          <w:sz w:val="24"/>
        </w:rPr>
        <w:t>5.评标总得分</w:t>
      </w:r>
    </w:p>
    <w:p w14:paraId="7362ED03">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5.1评标总得分为投标报价、技术、商务等评分项得分(含优先采购政策加分)之和。</w:t>
      </w:r>
    </w:p>
    <w:p w14:paraId="64B5A3F4">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评标总得分＝A</w:t>
      </w:r>
      <w:r>
        <w:rPr>
          <w:rFonts w:hint="default" w:ascii="Times New Roman" w:hAnsi="Times New Roman" w:cs="Times New Roman" w:eastAsiaTheme="minorEastAsia"/>
          <w:color w:val="auto"/>
          <w:szCs w:val="21"/>
          <w:vertAlign w:val="subscript"/>
        </w:rPr>
        <w:t>投标报价得分</w:t>
      </w:r>
      <w:r>
        <w:rPr>
          <w:rFonts w:hint="default" w:ascii="Times New Roman" w:hAnsi="Times New Roman" w:cs="Times New Roman" w:eastAsiaTheme="minorEastAsia"/>
          <w:color w:val="auto"/>
          <w:szCs w:val="21"/>
        </w:rPr>
        <w:t>＋A</w:t>
      </w:r>
      <w:r>
        <w:rPr>
          <w:rFonts w:hint="default" w:ascii="Times New Roman" w:hAnsi="Times New Roman" w:cs="Times New Roman" w:eastAsiaTheme="minorEastAsia"/>
          <w:color w:val="auto"/>
          <w:szCs w:val="21"/>
          <w:vertAlign w:val="subscript"/>
        </w:rPr>
        <w:t>技术项得分</w:t>
      </w:r>
      <w:r>
        <w:rPr>
          <w:rFonts w:hint="default" w:ascii="Times New Roman" w:hAnsi="Times New Roman" w:cs="Times New Roman" w:eastAsiaTheme="minorEastAsia"/>
          <w:color w:val="auto"/>
          <w:szCs w:val="21"/>
        </w:rPr>
        <w:t>＋A</w:t>
      </w:r>
      <w:r>
        <w:rPr>
          <w:rFonts w:hint="default" w:ascii="Times New Roman" w:hAnsi="Times New Roman" w:cs="Times New Roman" w:eastAsiaTheme="minorEastAsia"/>
          <w:color w:val="auto"/>
          <w:szCs w:val="21"/>
          <w:vertAlign w:val="subscript"/>
        </w:rPr>
        <w:t>商务项得分</w:t>
      </w:r>
      <w:r>
        <w:rPr>
          <w:rFonts w:hint="default" w:ascii="Times New Roman" w:hAnsi="Times New Roman" w:cs="Times New Roman" w:eastAsiaTheme="minorEastAsia"/>
          <w:color w:val="auto"/>
          <w:szCs w:val="21"/>
        </w:rPr>
        <w:t>＋A</w:t>
      </w:r>
      <w:r>
        <w:rPr>
          <w:rFonts w:hint="default" w:ascii="Times New Roman" w:hAnsi="Times New Roman" w:cs="Times New Roman" w:eastAsiaTheme="minorEastAsia"/>
          <w:color w:val="auto"/>
          <w:szCs w:val="21"/>
          <w:vertAlign w:val="subscript"/>
        </w:rPr>
        <w:t>优先采购加分</w:t>
      </w:r>
    </w:p>
    <w:p w14:paraId="1C2B16CC">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5.2评分分值计算保留小数点后两位，小数点后第三位“四舍五入”。</w:t>
      </w:r>
    </w:p>
    <w:p w14:paraId="499C3FD9">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kern w:val="0"/>
          <w:szCs w:val="21"/>
        </w:rPr>
        <w:t>5.3</w:t>
      </w:r>
      <w:r>
        <w:rPr>
          <w:rFonts w:hint="default" w:ascii="Times New Roman" w:hAnsi="Times New Roman" w:cs="Times New Roman" w:eastAsiaTheme="minorEastAsia"/>
          <w:color w:val="auto"/>
          <w:szCs w:val="21"/>
        </w:rPr>
        <w:t>评标时，评标委员会成员应当独立对满足招标文件全部实质性要求投标人的</w:t>
      </w:r>
      <w:r>
        <w:rPr>
          <w:rFonts w:hint="default" w:ascii="Times New Roman" w:hAnsi="Times New Roman" w:cs="Times New Roman" w:eastAsiaTheme="minorEastAsia"/>
          <w:bCs/>
          <w:color w:val="auto"/>
          <w:szCs w:val="21"/>
        </w:rPr>
        <w:t>投标文件</w:t>
      </w:r>
      <w:r>
        <w:rPr>
          <w:rFonts w:hint="default" w:ascii="Times New Roman" w:hAnsi="Times New Roman" w:cs="Times New Roman" w:eastAsiaTheme="minorEastAsia"/>
          <w:color w:val="auto"/>
          <w:szCs w:val="21"/>
        </w:rPr>
        <w:t>进行评价、评分，然后汇总每个投标人每项评分因素的得分。每个投标人的最终得分为所有评标委员会成员评分的算术平均值。</w:t>
      </w:r>
    </w:p>
    <w:p w14:paraId="0B20D5B8">
      <w:pPr>
        <w:adjustRightInd w:val="0"/>
        <w:snapToGrid w:val="0"/>
        <w:spacing w:beforeLines="50" w:line="360" w:lineRule="auto"/>
        <w:jc w:val="left"/>
        <w:rPr>
          <w:rFonts w:hint="default" w:ascii="Times New Roman" w:hAnsi="Times New Roman" w:eastAsia="黑体" w:cs="Times New Roman"/>
          <w:b/>
          <w:bCs/>
          <w:color w:val="auto"/>
          <w:sz w:val="24"/>
        </w:rPr>
      </w:pPr>
      <w:r>
        <w:rPr>
          <w:rFonts w:hint="default" w:ascii="Times New Roman" w:hAnsi="Times New Roman" w:eastAsia="黑体" w:cs="Times New Roman"/>
          <w:b/>
          <w:bCs/>
          <w:color w:val="auto"/>
          <w:sz w:val="24"/>
        </w:rPr>
        <w:t>6.中标候选人的推荐方法</w:t>
      </w:r>
    </w:p>
    <w:p w14:paraId="76ABA9A8">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405EB49D">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6.2得分且投标报价相同的并列，按本章第二节规定确定中标候选人。</w:t>
      </w:r>
    </w:p>
    <w:p w14:paraId="5C06D292">
      <w:pPr>
        <w:adjustRightInd w:val="0"/>
        <w:snapToGrid w:val="0"/>
        <w:spacing w:beforeLines="50" w:line="360" w:lineRule="auto"/>
        <w:ind w:firstLine="420" w:firstLineChars="200"/>
        <w:jc w:val="left"/>
        <w:rPr>
          <w:rFonts w:hint="default" w:ascii="Times New Roman" w:hAnsi="Times New Roman" w:cs="Times New Roman" w:eastAsiaTheme="minorEastAsia"/>
          <w:bCs/>
          <w:color w:val="auto"/>
          <w:szCs w:val="21"/>
        </w:rPr>
      </w:pPr>
    </w:p>
    <w:p w14:paraId="2B1ED614">
      <w:pPr>
        <w:widowControl/>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br w:type="page"/>
      </w:r>
    </w:p>
    <w:p w14:paraId="7576C942">
      <w:pPr>
        <w:pStyle w:val="5"/>
        <w:adjustRightInd w:val="0"/>
        <w:snapToGrid w:val="0"/>
        <w:spacing w:beforeLines="50" w:after="0" w:line="360" w:lineRule="auto"/>
        <w:rPr>
          <w:rFonts w:hint="default" w:ascii="Times New Roman" w:hAnsi="Times New Roman" w:cs="Times New Roman"/>
          <w:color w:val="auto"/>
          <w:sz w:val="21"/>
          <w:szCs w:val="21"/>
        </w:rPr>
      </w:pPr>
      <w:bookmarkStart w:id="128" w:name="_Toc29913925"/>
      <w:bookmarkStart w:id="129" w:name="_Toc9218"/>
      <w:bookmarkStart w:id="130" w:name="_Toc5581"/>
      <w:r>
        <w:rPr>
          <w:rFonts w:hint="default" w:ascii="Times New Roman" w:hAnsi="Times New Roman" w:cs="Times New Roman"/>
          <w:color w:val="auto"/>
          <w:sz w:val="21"/>
          <w:szCs w:val="21"/>
        </w:rPr>
        <w:t>附页1 评标方法及标准表</w:t>
      </w:r>
      <w:bookmarkEnd w:id="128"/>
      <w:bookmarkEnd w:id="129"/>
      <w:bookmarkEnd w:id="130"/>
    </w:p>
    <w:p w14:paraId="1D85AFE8">
      <w:pPr>
        <w:adjustRightInd w:val="0"/>
        <w:snapToGrid w:val="0"/>
        <w:spacing w:beforeLines="50"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评标方法及标准</w:t>
      </w:r>
    </w:p>
    <w:tbl>
      <w:tblPr>
        <w:tblStyle w:val="43"/>
        <w:tblW w:w="8860" w:type="dxa"/>
        <w:jc w:val="center"/>
        <w:tblLayout w:type="fixed"/>
        <w:tblCellMar>
          <w:top w:w="0" w:type="dxa"/>
          <w:left w:w="0" w:type="dxa"/>
          <w:bottom w:w="0" w:type="dxa"/>
          <w:right w:w="0" w:type="dxa"/>
        </w:tblCellMar>
      </w:tblPr>
      <w:tblGrid>
        <w:gridCol w:w="5442"/>
        <w:gridCol w:w="3418"/>
      </w:tblGrid>
      <w:tr w14:paraId="11CF445D">
        <w:tblPrEx>
          <w:tblCellMar>
            <w:top w:w="0" w:type="dxa"/>
            <w:left w:w="0" w:type="dxa"/>
            <w:bottom w:w="0" w:type="dxa"/>
            <w:right w:w="0" w:type="dxa"/>
          </w:tblCellMar>
        </w:tblPrEx>
        <w:trPr>
          <w:jc w:val="center"/>
        </w:trPr>
        <w:tc>
          <w:tcPr>
            <w:tcW w:w="8860" w:type="dxa"/>
            <w:gridSpan w:val="2"/>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7A5F3F1B">
            <w:pPr>
              <w:widowControl/>
              <w:spacing w:line="360" w:lineRule="auto"/>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评审因素及权值</w:t>
            </w:r>
          </w:p>
        </w:tc>
      </w:tr>
      <w:tr w14:paraId="32723863">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5B2B1AE4">
            <w:pPr>
              <w:widowControl/>
              <w:spacing w:line="360" w:lineRule="auto"/>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评审因素</w:t>
            </w:r>
          </w:p>
        </w:tc>
        <w:tc>
          <w:tcPr>
            <w:tcW w:w="3418" w:type="dxa"/>
            <w:tcBorders>
              <w:top w:val="single" w:color="000000" w:sz="6" w:space="0"/>
              <w:left w:val="single" w:color="000000" w:sz="6" w:space="0"/>
              <w:bottom w:val="single" w:color="000000" w:sz="6" w:space="0"/>
              <w:right w:val="single" w:color="000000" w:sz="6" w:space="0"/>
            </w:tcBorders>
            <w:noWrap/>
            <w:tcMar>
              <w:top w:w="0" w:type="dxa"/>
              <w:left w:w="0" w:type="dxa"/>
              <w:bottom w:w="0" w:type="dxa"/>
              <w:right w:w="0" w:type="dxa"/>
            </w:tcMar>
            <w:vAlign w:val="center"/>
          </w:tcPr>
          <w:p w14:paraId="0BB45999">
            <w:pPr>
              <w:widowControl/>
              <w:spacing w:line="360" w:lineRule="auto"/>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权值范围</w:t>
            </w:r>
          </w:p>
        </w:tc>
      </w:tr>
      <w:tr w14:paraId="5DB2A707">
        <w:tblPrEx>
          <w:tblCellMar>
            <w:top w:w="0" w:type="dxa"/>
            <w:left w:w="0" w:type="dxa"/>
            <w:bottom w:w="0" w:type="dxa"/>
            <w:right w:w="0" w:type="dxa"/>
          </w:tblCellMar>
        </w:tblPrEx>
        <w:trPr>
          <w:trHeight w:val="438" w:hRule="atLeast"/>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E8FD0C">
            <w:pPr>
              <w:widowControl/>
              <w:spacing w:line="36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技术部分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9B29572">
            <w:pPr>
              <w:widowControl/>
              <w:spacing w:line="360" w:lineRule="auto"/>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（A1）</w:t>
            </w:r>
            <w:r>
              <w:rPr>
                <w:rFonts w:hint="default" w:ascii="Times New Roman" w:hAnsi="Times New Roman" w:cs="Times New Roman"/>
                <w:color w:val="auto"/>
                <w:highlight w:val="none"/>
              </w:rPr>
              <w:t>0.</w:t>
            </w:r>
            <w:r>
              <w:rPr>
                <w:rFonts w:hint="eastAsia" w:cs="Times New Roman"/>
                <w:color w:val="auto"/>
                <w:highlight w:val="none"/>
                <w:lang w:val="en-US" w:eastAsia="zh-CN"/>
              </w:rPr>
              <w:t>45</w:t>
            </w:r>
          </w:p>
        </w:tc>
      </w:tr>
      <w:tr w14:paraId="28093A72">
        <w:tblPrEx>
          <w:tblCellMar>
            <w:top w:w="0" w:type="dxa"/>
            <w:left w:w="0" w:type="dxa"/>
            <w:bottom w:w="0" w:type="dxa"/>
            <w:right w:w="0" w:type="dxa"/>
          </w:tblCellMar>
        </w:tblPrEx>
        <w:trPr>
          <w:trHeight w:val="448" w:hRule="atLeast"/>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5931DDC">
            <w:pPr>
              <w:widowControl/>
              <w:spacing w:line="36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商务部分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9ED3EB4">
            <w:pPr>
              <w:widowControl/>
              <w:spacing w:line="360" w:lineRule="auto"/>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（A2）</w:t>
            </w:r>
            <w:r>
              <w:rPr>
                <w:rFonts w:hint="default" w:ascii="Times New Roman" w:hAnsi="Times New Roman" w:cs="Times New Roman"/>
                <w:color w:val="auto"/>
                <w:highlight w:val="none"/>
              </w:rPr>
              <w:t>0.</w:t>
            </w:r>
            <w:r>
              <w:rPr>
                <w:rFonts w:hint="default" w:ascii="Times New Roman" w:hAnsi="Times New Roman" w:cs="Times New Roman"/>
                <w:color w:val="auto"/>
                <w:highlight w:val="none"/>
                <w:lang w:val="en-US" w:eastAsia="zh-CN"/>
              </w:rPr>
              <w:t>45</w:t>
            </w:r>
          </w:p>
        </w:tc>
      </w:tr>
      <w:tr w14:paraId="163963F9">
        <w:tblPrEx>
          <w:tblCellMar>
            <w:top w:w="0" w:type="dxa"/>
            <w:left w:w="0" w:type="dxa"/>
            <w:bottom w:w="0" w:type="dxa"/>
            <w:right w:w="0" w:type="dxa"/>
          </w:tblCellMar>
        </w:tblPrEx>
        <w:trPr>
          <w:jc w:val="center"/>
        </w:trPr>
        <w:tc>
          <w:tcPr>
            <w:tcW w:w="544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BD19E05">
            <w:pPr>
              <w:widowControl/>
              <w:spacing w:line="360" w:lineRule="auto"/>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价格部分</w:t>
            </w:r>
          </w:p>
        </w:tc>
        <w:tc>
          <w:tcPr>
            <w:tcW w:w="3418"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E82C61C">
            <w:pPr>
              <w:widowControl/>
              <w:spacing w:line="360" w:lineRule="auto"/>
              <w:jc w:val="center"/>
              <w:rPr>
                <w:rFonts w:hint="default" w:ascii="Times New Roman" w:hAnsi="Times New Roman" w:eastAsia="宋体" w:cs="Times New Roman"/>
                <w:color w:val="auto"/>
                <w:kern w:val="0"/>
                <w:szCs w:val="21"/>
                <w:highlight w:val="none"/>
                <w:lang w:val="en-US" w:eastAsia="zh-CN"/>
              </w:rPr>
            </w:pPr>
            <w:r>
              <w:rPr>
                <w:rFonts w:hint="default" w:ascii="Times New Roman" w:hAnsi="Times New Roman" w:cs="Times New Roman"/>
                <w:color w:val="auto"/>
                <w:kern w:val="0"/>
                <w:szCs w:val="21"/>
                <w:highlight w:val="none"/>
              </w:rPr>
              <w:t>（A3）</w:t>
            </w:r>
            <w:r>
              <w:rPr>
                <w:rFonts w:hint="default" w:ascii="Times New Roman" w:hAnsi="Times New Roman" w:cs="Times New Roman"/>
                <w:color w:val="auto"/>
                <w:highlight w:val="none"/>
              </w:rPr>
              <w:t>0.</w:t>
            </w:r>
            <w:r>
              <w:rPr>
                <w:rFonts w:hint="eastAsia" w:cs="Times New Roman"/>
                <w:color w:val="auto"/>
                <w:highlight w:val="none"/>
                <w:lang w:val="en-US" w:eastAsia="zh-CN"/>
              </w:rPr>
              <w:t>10</w:t>
            </w:r>
          </w:p>
        </w:tc>
      </w:tr>
    </w:tbl>
    <w:p w14:paraId="6F3A706F">
      <w:pPr>
        <w:widowControl/>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Cs w:val="21"/>
          <w:highlight w:val="none"/>
        </w:rPr>
        <w:t xml:space="preserve">  </w:t>
      </w:r>
    </w:p>
    <w:tbl>
      <w:tblPr>
        <w:tblStyle w:val="43"/>
        <w:tblW w:w="8845" w:type="dxa"/>
        <w:jc w:val="center"/>
        <w:tblLayout w:type="fixed"/>
        <w:tblCellMar>
          <w:top w:w="0" w:type="dxa"/>
          <w:left w:w="0" w:type="dxa"/>
          <w:bottom w:w="0" w:type="dxa"/>
          <w:right w:w="0" w:type="dxa"/>
        </w:tblCellMar>
      </w:tblPr>
      <w:tblGrid>
        <w:gridCol w:w="626"/>
        <w:gridCol w:w="1104"/>
        <w:gridCol w:w="733"/>
        <w:gridCol w:w="6382"/>
      </w:tblGrid>
      <w:tr w14:paraId="59BD2109">
        <w:trPr>
          <w:jc w:val="center"/>
        </w:trPr>
        <w:tc>
          <w:tcPr>
            <w:tcW w:w="8845" w:type="dxa"/>
            <w:gridSpan w:val="4"/>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B37BBCD">
            <w:pPr>
              <w:widowControl/>
              <w:jc w:val="center"/>
              <w:rPr>
                <w:rFonts w:hint="default" w:ascii="Times New Roman" w:hAnsi="Times New Roman" w:cs="Times New Roman"/>
                <w:color w:val="auto"/>
                <w:kern w:val="0"/>
                <w:sz w:val="24"/>
                <w:highlight w:val="none"/>
              </w:rPr>
            </w:pPr>
            <w:r>
              <w:rPr>
                <w:rFonts w:hint="default" w:ascii="Times New Roman" w:hAnsi="Times New Roman" w:cs="Times New Roman"/>
                <w:color w:val="auto"/>
                <w:kern w:val="0"/>
                <w:szCs w:val="21"/>
                <w:highlight w:val="none"/>
              </w:rPr>
              <w:t>综合评分表</w:t>
            </w:r>
          </w:p>
        </w:tc>
      </w:tr>
      <w:tr w14:paraId="6BA6BC9F">
        <w:tblPrEx>
          <w:tblCellMar>
            <w:top w:w="0" w:type="dxa"/>
            <w:left w:w="0" w:type="dxa"/>
            <w:bottom w:w="0" w:type="dxa"/>
            <w:right w:w="0" w:type="dxa"/>
          </w:tblCellMar>
        </w:tblPrEx>
        <w:trPr>
          <w:jc w:val="center"/>
        </w:trPr>
        <w:tc>
          <w:tcPr>
            <w:tcW w:w="626"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533BD8">
            <w:pPr>
              <w:widowControl/>
              <w:spacing w:line="360" w:lineRule="exac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评审因素</w:t>
            </w:r>
          </w:p>
        </w:tc>
        <w:tc>
          <w:tcPr>
            <w:tcW w:w="110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73F43F0">
            <w:pPr>
              <w:widowControl/>
              <w:spacing w:line="360" w:lineRule="exac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计分因素</w:t>
            </w: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0B8F7A3">
            <w:pPr>
              <w:widowControl/>
              <w:spacing w:line="360" w:lineRule="exac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分值</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AE54F34">
            <w:pPr>
              <w:widowControl/>
              <w:spacing w:line="360" w:lineRule="exact"/>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计分标准</w:t>
            </w:r>
          </w:p>
        </w:tc>
      </w:tr>
      <w:tr w14:paraId="00DB4849">
        <w:tblPrEx>
          <w:tblCellMar>
            <w:top w:w="0" w:type="dxa"/>
            <w:left w:w="0" w:type="dxa"/>
            <w:bottom w:w="0" w:type="dxa"/>
            <w:right w:w="0" w:type="dxa"/>
          </w:tblCellMar>
        </w:tblPrEx>
        <w:trPr>
          <w:trHeight w:val="1542" w:hRule="atLeast"/>
          <w:jc w:val="center"/>
        </w:trPr>
        <w:tc>
          <w:tcPr>
            <w:tcW w:w="626" w:type="dxa"/>
            <w:vMerge w:val="restart"/>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2DEC498">
            <w:pPr>
              <w:widowControl/>
              <w:spacing w:line="360" w:lineRule="exact"/>
              <w:jc w:val="left"/>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技术部分(</w:t>
            </w:r>
            <w:r>
              <w:rPr>
                <w:rFonts w:hint="eastAsia" w:cs="Times New Roman"/>
                <w:color w:val="auto"/>
                <w:kern w:val="0"/>
                <w:szCs w:val="21"/>
                <w:highlight w:val="none"/>
                <w:lang w:val="en-US" w:eastAsia="zh-CN"/>
              </w:rPr>
              <w:t>A</w:t>
            </w:r>
            <w:r>
              <w:rPr>
                <w:rFonts w:hint="default" w:ascii="Times New Roman" w:hAnsi="Times New Roman" w:cs="Times New Roman"/>
                <w:color w:val="auto"/>
                <w:kern w:val="0"/>
                <w:szCs w:val="21"/>
                <w:highlight w:val="none"/>
              </w:rPr>
              <w:t>1)</w:t>
            </w:r>
          </w:p>
        </w:tc>
        <w:tc>
          <w:tcPr>
            <w:tcW w:w="110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8664B42">
            <w:pPr>
              <w:widowControl/>
              <w:spacing w:after="113" w:line="329" w:lineRule="atLeast"/>
              <w:jc w:val="left"/>
              <w:rPr>
                <w:rFonts w:hint="default" w:ascii="Times New Roman" w:hAnsi="Times New Roman" w:cs="Times New Roman"/>
                <w:b w:val="0"/>
                <w:bCs w:val="0"/>
                <w:color w:val="auto"/>
                <w:kern w:val="0"/>
                <w:szCs w:val="21"/>
              </w:rPr>
            </w:pPr>
            <w:r>
              <w:rPr>
                <w:rFonts w:hint="default" w:ascii="Times New Roman" w:hAnsi="Times New Roman" w:cs="Times New Roman"/>
                <w:b w:val="0"/>
                <w:bCs w:val="0"/>
                <w:color w:val="auto"/>
                <w:kern w:val="0"/>
                <w:szCs w:val="21"/>
              </w:rPr>
              <w:t>项目技术方案</w:t>
            </w:r>
          </w:p>
          <w:p w14:paraId="7D572E69">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37DF9BC">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eastAsia" w:cs="Times New Roman"/>
                <w:b w:val="0"/>
                <w:bCs w:val="0"/>
                <w:color w:val="auto"/>
                <w:kern w:val="0"/>
                <w:szCs w:val="21"/>
                <w:lang w:val="en-US" w:eastAsia="zh-CN"/>
              </w:rPr>
              <w:t>3</w:t>
            </w:r>
            <w:r>
              <w:rPr>
                <w:rFonts w:hint="default" w:ascii="Times New Roman" w:hAnsi="Times New Roman" w:cs="Times New Roman"/>
                <w:b w:val="0"/>
                <w:bCs w:val="0"/>
                <w:color w:val="auto"/>
                <w:kern w:val="0"/>
                <w:szCs w:val="21"/>
                <w:lang w:val="en-US" w:eastAsia="zh-CN"/>
              </w:rPr>
              <w:t>0</w:t>
            </w:r>
            <w:r>
              <w:rPr>
                <w:rFonts w:hint="default" w:ascii="Times New Roman" w:hAnsi="Times New Roman" w:cs="Times New Roman"/>
                <w:b w:val="0"/>
                <w:bCs w:val="0"/>
                <w:color w:val="auto"/>
                <w:kern w:val="0"/>
                <w:szCs w:val="21"/>
              </w:rPr>
              <w:t>分</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top"/>
          </w:tcPr>
          <w:p w14:paraId="62E9B8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eastAsia" w:ascii="宋体" w:hAnsi="宋体" w:eastAsia="宋体" w:cs="Arial"/>
                <w:b w:val="0"/>
                <w:bCs w:val="0"/>
                <w:color w:val="auto"/>
                <w:kern w:val="0"/>
                <w:szCs w:val="21"/>
                <w:lang w:eastAsia="zh-CN"/>
              </w:rPr>
            </w:pPr>
            <w:r>
              <w:rPr>
                <w:rFonts w:hint="eastAsia" w:ascii="宋体" w:hAnsi="宋体" w:cs="Arial"/>
                <w:b w:val="0"/>
                <w:bCs w:val="0"/>
                <w:color w:val="auto"/>
                <w:kern w:val="0"/>
                <w:szCs w:val="21"/>
              </w:rPr>
              <w:t>1</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rPr>
              <w:t>投标人对项目背景</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rPr>
              <w:t>任务目标理解准确、全面、逻辑清晰的</w:t>
            </w:r>
            <w:r>
              <w:rPr>
                <w:rFonts w:hint="eastAsia"/>
                <w:color w:val="auto"/>
                <w:highlight w:val="none"/>
              </w:rPr>
              <w:t>计10分，</w:t>
            </w:r>
            <w:r>
              <w:rPr>
                <w:rFonts w:hint="eastAsia"/>
                <w:color w:val="auto"/>
                <w:highlight w:val="none"/>
                <w:lang w:val="en-US" w:eastAsia="zh-CN"/>
              </w:rPr>
              <w:t>有缺漏项的每处扣5分；</w:t>
            </w:r>
            <w:r>
              <w:rPr>
                <w:rFonts w:hint="eastAsia"/>
                <w:color w:val="auto"/>
                <w:highlight w:val="none"/>
              </w:rPr>
              <w:t>有欠合理的每处扣</w:t>
            </w:r>
            <w:r>
              <w:rPr>
                <w:rFonts w:hint="eastAsia"/>
                <w:color w:val="auto"/>
                <w:highlight w:val="none"/>
                <w:lang w:val="en-US" w:eastAsia="zh-CN"/>
              </w:rPr>
              <w:t>3</w:t>
            </w:r>
            <w:r>
              <w:rPr>
                <w:rFonts w:hint="eastAsia"/>
                <w:color w:val="auto"/>
                <w:highlight w:val="none"/>
              </w:rPr>
              <w:t>分，本项分数扣完为止</w:t>
            </w:r>
            <w:r>
              <w:rPr>
                <w:rFonts w:hint="eastAsia"/>
                <w:color w:val="auto"/>
                <w:highlight w:val="none"/>
                <w:lang w:eastAsia="zh-CN"/>
              </w:rPr>
              <w:t>，</w:t>
            </w:r>
            <w:r>
              <w:rPr>
                <w:rFonts w:hint="eastAsia"/>
                <w:color w:val="auto"/>
                <w:highlight w:val="none"/>
                <w:lang w:val="en-US" w:eastAsia="zh-CN"/>
              </w:rPr>
              <w:t>未提供不得分</w:t>
            </w:r>
            <w:r>
              <w:rPr>
                <w:rFonts w:hint="eastAsia"/>
                <w:color w:val="auto"/>
                <w:highlight w:val="none"/>
                <w:lang w:eastAsia="zh-CN"/>
              </w:rPr>
              <w:t>；</w:t>
            </w:r>
          </w:p>
          <w:p w14:paraId="75B00E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eastAsia" w:ascii="Times New Roman" w:hAnsi="Times New Roman" w:eastAsia="宋体" w:cs="Times New Roman"/>
                <w:b w:val="0"/>
                <w:bCs w:val="0"/>
                <w:color w:val="auto"/>
                <w:kern w:val="0"/>
                <w:szCs w:val="21"/>
                <w:lang w:eastAsia="zh-CN"/>
              </w:rPr>
            </w:pPr>
            <w:r>
              <w:rPr>
                <w:rFonts w:hint="default" w:ascii="Times New Roman" w:hAnsi="Times New Roman" w:cs="Times New Roman"/>
                <w:b w:val="0"/>
                <w:bCs w:val="0"/>
                <w:color w:val="auto"/>
                <w:kern w:val="0"/>
                <w:szCs w:val="21"/>
              </w:rPr>
              <w:t>2</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rPr>
              <w:t>对郴州市现行矿产资源现状、现行矿产资源规划存在的主要问题</w:t>
            </w:r>
            <w:r>
              <w:rPr>
                <w:rFonts w:hint="eastAsia" w:cs="Times New Roman"/>
                <w:b w:val="0"/>
                <w:bCs w:val="0"/>
                <w:color w:val="auto"/>
                <w:kern w:val="0"/>
                <w:szCs w:val="21"/>
                <w:lang w:val="en-US" w:eastAsia="zh-CN"/>
              </w:rPr>
              <w:t>及未来发展方向</w:t>
            </w:r>
            <w:r>
              <w:rPr>
                <w:rFonts w:hint="default" w:ascii="Times New Roman" w:hAnsi="Times New Roman" w:cs="Times New Roman"/>
                <w:b w:val="0"/>
                <w:bCs w:val="0"/>
                <w:color w:val="auto"/>
                <w:kern w:val="0"/>
                <w:szCs w:val="21"/>
              </w:rPr>
              <w:t>进行分析。分析覆盖矿产资源现状与规划问题的核心维度，内容基于权威数据，问题指向具体，逻辑链条清晰</w:t>
            </w:r>
            <w:r>
              <w:rPr>
                <w:rFonts w:hint="eastAsia" w:cs="Times New Roman"/>
                <w:b w:val="0"/>
                <w:bCs w:val="0"/>
                <w:color w:val="auto"/>
                <w:kern w:val="0"/>
                <w:szCs w:val="21"/>
                <w:lang w:eastAsia="zh-CN"/>
              </w:rPr>
              <w:t>的</w:t>
            </w:r>
            <w:r>
              <w:rPr>
                <w:rFonts w:hint="default" w:ascii="Times New Roman" w:hAnsi="Times New Roman" w:cs="Times New Roman"/>
                <w:color w:val="auto"/>
                <w:highlight w:val="none"/>
              </w:rPr>
              <w:t>计</w:t>
            </w:r>
            <w:r>
              <w:rPr>
                <w:rFonts w:hint="eastAsia" w:cs="Times New Roman"/>
                <w:color w:val="auto"/>
                <w:highlight w:val="none"/>
                <w:lang w:val="en-US" w:eastAsia="zh-CN"/>
              </w:rPr>
              <w:t>10</w:t>
            </w:r>
            <w:r>
              <w:rPr>
                <w:rFonts w:hint="default" w:ascii="Times New Roman" w:hAnsi="Times New Roman" w:cs="Times New Roman"/>
                <w:color w:val="auto"/>
                <w:highlight w:val="none"/>
              </w:rPr>
              <w:t>分，</w:t>
            </w:r>
            <w:r>
              <w:rPr>
                <w:rFonts w:hint="default" w:ascii="Times New Roman" w:hAnsi="Times New Roman" w:cs="Times New Roman"/>
                <w:color w:val="auto"/>
                <w:highlight w:val="none"/>
                <w:lang w:val="en-US" w:eastAsia="zh-CN"/>
              </w:rPr>
              <w:t>有缺漏项的每处扣</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分；</w:t>
            </w:r>
            <w:r>
              <w:rPr>
                <w:rFonts w:hint="default" w:ascii="Times New Roman" w:hAnsi="Times New Roman" w:cs="Times New Roman"/>
                <w:color w:val="auto"/>
                <w:highlight w:val="none"/>
              </w:rPr>
              <w:t>有欠合理的每处扣</w:t>
            </w:r>
            <w:r>
              <w:rPr>
                <w:rFonts w:hint="eastAsia" w:cs="Times New Roman"/>
                <w:color w:val="auto"/>
                <w:highlight w:val="none"/>
                <w:lang w:val="en-US" w:eastAsia="zh-CN"/>
              </w:rPr>
              <w:t>3</w:t>
            </w:r>
            <w:r>
              <w:rPr>
                <w:rFonts w:hint="default" w:ascii="Times New Roman" w:hAnsi="Times New Roman" w:cs="Times New Roman"/>
                <w:color w:val="auto"/>
                <w:highlight w:val="none"/>
              </w:rPr>
              <w:t>分，本项分数扣完为止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未提供不得分</w:t>
            </w:r>
            <w:r>
              <w:rPr>
                <w:rFonts w:hint="eastAsia" w:cs="Times New Roman"/>
                <w:color w:val="auto"/>
                <w:highlight w:val="none"/>
                <w:lang w:eastAsia="zh-CN"/>
              </w:rPr>
              <w:t>；</w:t>
            </w:r>
          </w:p>
          <w:p w14:paraId="4FB307E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eastAsia" w:ascii="Times New Roman" w:hAnsi="Times New Roman" w:eastAsia="宋体" w:cs="Times New Roman"/>
                <w:color w:val="auto"/>
                <w:highlight w:val="none"/>
                <w:lang w:eastAsia="zh-CN"/>
              </w:rPr>
            </w:pPr>
            <w:r>
              <w:rPr>
                <w:rFonts w:hint="default" w:ascii="Times New Roman" w:hAnsi="Times New Roman" w:cs="Times New Roman"/>
                <w:b w:val="0"/>
                <w:bCs w:val="0"/>
                <w:color w:val="auto"/>
                <w:kern w:val="0"/>
                <w:szCs w:val="21"/>
              </w:rPr>
              <w:t>3</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rPr>
              <w:t>对项目工作任务的重难点分析认识深刻，理解透彻</w:t>
            </w:r>
            <w:r>
              <w:rPr>
                <w:rFonts w:hint="eastAsia" w:cs="Times New Roman"/>
                <w:b w:val="0"/>
                <w:bCs w:val="0"/>
                <w:color w:val="auto"/>
                <w:kern w:val="0"/>
                <w:szCs w:val="21"/>
                <w:lang w:eastAsia="zh-CN"/>
              </w:rPr>
              <w:t>的</w:t>
            </w:r>
            <w:r>
              <w:rPr>
                <w:rFonts w:hint="default" w:ascii="Times New Roman" w:hAnsi="Times New Roman" w:cs="Times New Roman"/>
                <w:color w:val="auto"/>
                <w:highlight w:val="none"/>
              </w:rPr>
              <w:t>计10分，</w:t>
            </w:r>
            <w:r>
              <w:rPr>
                <w:rFonts w:hint="default" w:ascii="Times New Roman" w:hAnsi="Times New Roman" w:cs="Times New Roman"/>
                <w:color w:val="auto"/>
                <w:highlight w:val="none"/>
                <w:lang w:val="en-US" w:eastAsia="zh-CN"/>
              </w:rPr>
              <w:t>有缺漏项的每处扣10分；</w:t>
            </w:r>
            <w:r>
              <w:rPr>
                <w:rFonts w:hint="default" w:ascii="Times New Roman" w:hAnsi="Times New Roman" w:cs="Times New Roman"/>
                <w:color w:val="auto"/>
                <w:highlight w:val="none"/>
              </w:rPr>
              <w:t>有欠合理的每处扣</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分，本项分数扣完为止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未提供不得分</w:t>
            </w:r>
            <w:r>
              <w:rPr>
                <w:rFonts w:hint="eastAsia" w:cs="Times New Roman"/>
                <w:color w:val="auto"/>
                <w:highlight w:val="none"/>
                <w:lang w:eastAsia="zh-CN"/>
              </w:rPr>
              <w:t>。</w:t>
            </w:r>
          </w:p>
          <w:p w14:paraId="0BDC1F1A">
            <w:pPr>
              <w:pStyle w:val="123"/>
              <w:keepNext w:val="0"/>
              <w:keepLines w:val="0"/>
              <w:pageBreakBefore w:val="0"/>
              <w:widowControl/>
              <w:kinsoku/>
              <w:wordWrap/>
              <w:overflowPunct/>
              <w:topLinePunct w:val="0"/>
              <w:autoSpaceDE/>
              <w:autoSpaceDN/>
              <w:bidi w:val="0"/>
              <w:adjustRightInd/>
              <w:snapToGrid/>
              <w:spacing w:line="300" w:lineRule="auto"/>
              <w:ind w:firstLine="422" w:firstLineChars="20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①欠合理是指内容不完整、照搬采购需求、未贴合采购需求、非专门针对本项目或者不适用本项目、套用其他项目方案、内容前后矛盾、存在歧义、逻辑混乱、错别字、无条理性、方案内容空洞等。</w:t>
            </w:r>
          </w:p>
          <w:p w14:paraId="4CB9053F">
            <w:pPr>
              <w:keepNext w:val="0"/>
              <w:keepLines w:val="0"/>
              <w:pageBreakBefore w:val="0"/>
              <w:widowControl/>
              <w:kinsoku/>
              <w:wordWrap/>
              <w:overflowPunct/>
              <w:topLinePunct w:val="0"/>
              <w:autoSpaceDE/>
              <w:autoSpaceDN/>
              <w:bidi w:val="0"/>
              <w:adjustRightInd/>
              <w:snapToGrid/>
              <w:spacing w:after="113" w:line="329" w:lineRule="atLeast"/>
              <w:ind w:firstLine="422" w:firstLineChars="200"/>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bCs/>
                <w:color w:val="auto"/>
                <w:szCs w:val="21"/>
                <w:highlight w:val="none"/>
              </w:rPr>
              <w:t>②缺漏项是指未提供对应内容；不满足是指方案中项目名称或其他项目信息与需求不符、涉及的技术规范标准等与国家或行业或招标文件要求不一致、表述错误。</w:t>
            </w:r>
          </w:p>
        </w:tc>
      </w:tr>
      <w:tr w14:paraId="6A48C44B">
        <w:tblPrEx>
          <w:tblCellMar>
            <w:top w:w="0" w:type="dxa"/>
            <w:left w:w="0" w:type="dxa"/>
            <w:bottom w:w="0" w:type="dxa"/>
            <w:right w:w="0" w:type="dxa"/>
          </w:tblCellMar>
        </w:tblPrEx>
        <w:trPr>
          <w:trHeight w:val="1537" w:hRule="atLeast"/>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2919DE2F">
            <w:pPr>
              <w:widowControl/>
              <w:spacing w:line="360" w:lineRule="exact"/>
              <w:jc w:val="left"/>
              <w:rPr>
                <w:rFonts w:hint="default" w:ascii="Times New Roman" w:hAnsi="Times New Roman" w:cs="Times New Roman"/>
                <w:color w:val="auto"/>
                <w:kern w:val="0"/>
                <w:szCs w:val="21"/>
                <w:highlight w:val="none"/>
              </w:rPr>
            </w:pPr>
          </w:p>
        </w:tc>
        <w:tc>
          <w:tcPr>
            <w:tcW w:w="110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597F250">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val="0"/>
                <w:bCs w:val="0"/>
                <w:color w:val="auto"/>
                <w:kern w:val="0"/>
                <w:szCs w:val="21"/>
              </w:rPr>
              <w:t>项目进度及保证措施</w:t>
            </w: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9BD093D">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val="0"/>
                <w:bCs w:val="0"/>
                <w:color w:val="auto"/>
                <w:kern w:val="0"/>
                <w:szCs w:val="21"/>
                <w:lang w:val="en-US" w:eastAsia="zh-CN"/>
              </w:rPr>
              <w:t>1</w:t>
            </w:r>
            <w:r>
              <w:rPr>
                <w:rFonts w:hint="eastAsia" w:cs="Times New Roman"/>
                <w:b w:val="0"/>
                <w:bCs w:val="0"/>
                <w:color w:val="auto"/>
                <w:kern w:val="0"/>
                <w:szCs w:val="21"/>
                <w:lang w:val="en-US" w:eastAsia="zh-CN"/>
              </w:rPr>
              <w:t>5</w:t>
            </w:r>
            <w:r>
              <w:rPr>
                <w:rFonts w:hint="default" w:ascii="Times New Roman" w:hAnsi="Times New Roman" w:cs="Times New Roman"/>
                <w:b w:val="0"/>
                <w:bCs w:val="0"/>
                <w:color w:val="auto"/>
                <w:kern w:val="0"/>
                <w:szCs w:val="21"/>
              </w:rPr>
              <w:t>分</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top"/>
          </w:tcPr>
          <w:p w14:paraId="14346E8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default" w:ascii="Times New Roman" w:hAnsi="Times New Roman" w:cs="Times New Roman"/>
                <w:color w:val="auto"/>
                <w:highlight w:val="none"/>
              </w:rPr>
            </w:pPr>
            <w:r>
              <w:rPr>
                <w:rFonts w:hint="eastAsia" w:ascii="宋体" w:hAnsi="宋体" w:cs="Arial"/>
                <w:b w:val="0"/>
                <w:bCs w:val="0"/>
                <w:color w:val="auto"/>
                <w:kern w:val="0"/>
                <w:szCs w:val="21"/>
              </w:rPr>
              <w:t>1</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rPr>
              <w:t>投标人需提供完整的进度安排（含全周期时间节点、阶段里程碑、工期测算依据）及配套的保证措施（覆盖组织、技术、资源、管理四大维度），内容完整、方案科学、与项目需求匹配的</w:t>
            </w:r>
            <w:r>
              <w:rPr>
                <w:rFonts w:hint="eastAsia" w:ascii="宋体" w:hAnsi="宋体" w:cs="Arial"/>
                <w:b w:val="0"/>
                <w:bCs w:val="0"/>
                <w:color w:val="auto"/>
                <w:kern w:val="0"/>
                <w:szCs w:val="21"/>
                <w:lang w:eastAsia="zh-CN"/>
              </w:rPr>
              <w:t>计</w:t>
            </w:r>
            <w:r>
              <w:rPr>
                <w:rFonts w:hint="eastAsia" w:ascii="宋体" w:hAnsi="宋体" w:cs="Arial"/>
                <w:b w:val="0"/>
                <w:bCs w:val="0"/>
                <w:color w:val="auto"/>
                <w:kern w:val="0"/>
                <w:szCs w:val="21"/>
              </w:rPr>
              <w:t>1</w:t>
            </w:r>
            <w:r>
              <w:rPr>
                <w:rFonts w:hint="eastAsia" w:ascii="宋体" w:hAnsi="宋体" w:cs="Arial"/>
                <w:b w:val="0"/>
                <w:bCs w:val="0"/>
                <w:color w:val="auto"/>
                <w:kern w:val="0"/>
                <w:szCs w:val="21"/>
                <w:lang w:val="en-US" w:eastAsia="zh-CN"/>
              </w:rPr>
              <w:t>5</w:t>
            </w:r>
            <w:r>
              <w:rPr>
                <w:rFonts w:hint="eastAsia" w:ascii="宋体" w:hAnsi="宋体" w:cs="Arial"/>
                <w:b w:val="0"/>
                <w:bCs w:val="0"/>
                <w:color w:val="auto"/>
                <w:kern w:val="0"/>
                <w:szCs w:val="21"/>
              </w:rPr>
              <w:t>分</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lang w:val="en-US" w:eastAsia="zh-CN"/>
              </w:rPr>
              <w:t>有缺漏项的每处扣5分；</w:t>
            </w:r>
            <w:r>
              <w:rPr>
                <w:rFonts w:hint="eastAsia" w:ascii="宋体" w:hAnsi="宋体" w:cs="Arial"/>
                <w:b w:val="0"/>
                <w:bCs w:val="0"/>
                <w:color w:val="auto"/>
                <w:kern w:val="0"/>
                <w:szCs w:val="21"/>
              </w:rPr>
              <w:t>有欠合理的每处扣</w:t>
            </w:r>
            <w:r>
              <w:rPr>
                <w:rFonts w:hint="eastAsia" w:ascii="宋体" w:hAnsi="宋体" w:cs="Arial"/>
                <w:b w:val="0"/>
                <w:bCs w:val="0"/>
                <w:color w:val="auto"/>
                <w:kern w:val="0"/>
                <w:szCs w:val="21"/>
                <w:lang w:val="en-US" w:eastAsia="zh-CN"/>
              </w:rPr>
              <w:t>3</w:t>
            </w:r>
            <w:r>
              <w:rPr>
                <w:rFonts w:hint="eastAsia" w:ascii="宋体" w:hAnsi="宋体" w:cs="Arial"/>
                <w:b w:val="0"/>
                <w:bCs w:val="0"/>
                <w:color w:val="auto"/>
                <w:kern w:val="0"/>
                <w:szCs w:val="21"/>
              </w:rPr>
              <w:t>分</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rPr>
              <w:t>本项分数扣完为止</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lang w:val="en-US" w:eastAsia="zh-CN"/>
              </w:rPr>
              <w:t>未提供不得分</w:t>
            </w:r>
            <w:r>
              <w:rPr>
                <w:rFonts w:hint="eastAsia" w:ascii="宋体" w:hAnsi="宋体" w:cs="Arial"/>
                <w:b w:val="0"/>
                <w:bCs w:val="0"/>
                <w:color w:val="auto"/>
                <w:kern w:val="0"/>
                <w:szCs w:val="21"/>
              </w:rPr>
              <w:t>。</w:t>
            </w:r>
          </w:p>
          <w:p w14:paraId="39D079D1">
            <w:pPr>
              <w:pStyle w:val="123"/>
              <w:keepNext w:val="0"/>
              <w:keepLines w:val="0"/>
              <w:pageBreakBefore w:val="0"/>
              <w:widowControl/>
              <w:kinsoku/>
              <w:wordWrap/>
              <w:overflowPunct/>
              <w:topLinePunct w:val="0"/>
              <w:autoSpaceDE/>
              <w:autoSpaceDN/>
              <w:bidi w:val="0"/>
              <w:adjustRightInd/>
              <w:snapToGrid/>
              <w:spacing w:line="300" w:lineRule="auto"/>
              <w:ind w:firstLine="422" w:firstLineChars="20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①欠合理是指内容不完整、照搬采购需求、未贴合采购需求、非专门针对本项目或者不适用本项目、套用其他项目方案、内容前后矛盾、存在歧义、逻辑混乱、错别字、无条理性、方案内容空洞等。</w:t>
            </w:r>
          </w:p>
          <w:p w14:paraId="095D8DF2">
            <w:pPr>
              <w:keepNext w:val="0"/>
              <w:keepLines w:val="0"/>
              <w:pageBreakBefore w:val="0"/>
              <w:widowControl/>
              <w:kinsoku/>
              <w:wordWrap/>
              <w:overflowPunct/>
              <w:topLinePunct w:val="0"/>
              <w:autoSpaceDE/>
              <w:autoSpaceDN/>
              <w:bidi w:val="0"/>
              <w:adjustRightInd/>
              <w:snapToGrid/>
              <w:spacing w:after="113" w:line="329" w:lineRule="atLeast"/>
              <w:ind w:firstLine="422" w:firstLineChars="200"/>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bCs/>
                <w:color w:val="auto"/>
                <w:szCs w:val="21"/>
                <w:highlight w:val="none"/>
              </w:rPr>
              <w:t>②缺漏项是指未提供对应内容；不满足是指方案中项目名称或其他项目信息与需求不符、涉及的技术规范标准等与国家或行业或招标文件要求不一致、表述错误。</w:t>
            </w:r>
          </w:p>
        </w:tc>
      </w:tr>
      <w:tr w14:paraId="1D1A13FF">
        <w:tblPrEx>
          <w:tblCellMar>
            <w:top w:w="0" w:type="dxa"/>
            <w:left w:w="0" w:type="dxa"/>
            <w:bottom w:w="0" w:type="dxa"/>
            <w:right w:w="0" w:type="dxa"/>
          </w:tblCellMar>
        </w:tblPrEx>
        <w:trPr>
          <w:trHeight w:val="1802" w:hRule="atLeast"/>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0C79F916">
            <w:pPr>
              <w:widowControl/>
              <w:spacing w:line="360" w:lineRule="exact"/>
              <w:jc w:val="left"/>
              <w:rPr>
                <w:rFonts w:hint="default" w:ascii="Times New Roman" w:hAnsi="Times New Roman" w:cs="Times New Roman"/>
                <w:color w:val="auto"/>
                <w:kern w:val="0"/>
                <w:szCs w:val="21"/>
                <w:highlight w:val="none"/>
              </w:rPr>
            </w:pPr>
          </w:p>
        </w:tc>
        <w:tc>
          <w:tcPr>
            <w:tcW w:w="110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93E5E06">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val="0"/>
                <w:bCs w:val="0"/>
                <w:color w:val="auto"/>
                <w:kern w:val="0"/>
                <w:szCs w:val="21"/>
              </w:rPr>
              <w:t>项目质量保证措施</w:t>
            </w: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D5FFD87">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eastAsia" w:cs="Times New Roman"/>
                <w:b w:val="0"/>
                <w:bCs w:val="0"/>
                <w:color w:val="auto"/>
                <w:kern w:val="0"/>
                <w:szCs w:val="21"/>
                <w:lang w:val="en-US" w:eastAsia="zh-CN"/>
              </w:rPr>
              <w:t>20</w:t>
            </w:r>
            <w:r>
              <w:rPr>
                <w:rFonts w:hint="default" w:ascii="Times New Roman" w:hAnsi="Times New Roman" w:cs="Times New Roman"/>
                <w:b w:val="0"/>
                <w:bCs w:val="0"/>
                <w:color w:val="auto"/>
                <w:kern w:val="0"/>
                <w:szCs w:val="21"/>
              </w:rPr>
              <w:t>分</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top"/>
          </w:tcPr>
          <w:p w14:paraId="33777AD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default" w:ascii="Times New Roman" w:hAnsi="Times New Roman" w:cs="Times New Roman"/>
                <w:color w:val="auto"/>
                <w:highlight w:val="none"/>
              </w:rPr>
            </w:pPr>
            <w:r>
              <w:rPr>
                <w:rFonts w:hint="eastAsia" w:ascii="宋体" w:hAnsi="宋体" w:cs="Arial"/>
                <w:b w:val="0"/>
                <w:bCs w:val="0"/>
                <w:color w:val="auto"/>
                <w:kern w:val="0"/>
                <w:szCs w:val="21"/>
              </w:rPr>
              <w:t>1</w:t>
            </w:r>
            <w:r>
              <w:rPr>
                <w:rFonts w:hint="eastAsia" w:ascii="宋体" w:hAnsi="宋体" w:cs="Arial"/>
                <w:b w:val="0"/>
                <w:bCs w:val="0"/>
                <w:color w:val="auto"/>
                <w:kern w:val="0"/>
                <w:szCs w:val="21"/>
                <w:lang w:eastAsia="zh-CN"/>
              </w:rPr>
              <w:t>.</w:t>
            </w:r>
            <w:r>
              <w:rPr>
                <w:rFonts w:hint="eastAsia" w:ascii="宋体" w:hAnsi="宋体" w:cs="Arial"/>
                <w:b w:val="0"/>
                <w:bCs w:val="0"/>
                <w:color w:val="auto"/>
                <w:kern w:val="0"/>
                <w:szCs w:val="21"/>
              </w:rPr>
              <w:t>投标人需提供完整的</w:t>
            </w:r>
            <w:r>
              <w:rPr>
                <w:rFonts w:hint="default" w:ascii="Times New Roman" w:hAnsi="Times New Roman" w:cs="Times New Roman"/>
                <w:b w:val="0"/>
                <w:bCs w:val="0"/>
                <w:color w:val="auto"/>
                <w:kern w:val="0"/>
                <w:szCs w:val="21"/>
              </w:rPr>
              <w:t>质量保证措施</w:t>
            </w:r>
            <w:r>
              <w:rPr>
                <w:rFonts w:hint="eastAsia" w:cs="Times New Roman"/>
                <w:b w:val="0"/>
                <w:bCs w:val="0"/>
                <w:color w:val="auto"/>
                <w:kern w:val="0"/>
                <w:szCs w:val="21"/>
                <w:lang w:eastAsia="zh-CN"/>
              </w:rPr>
              <w:t>（含团队资质保障、技术流程管控、数据质量保障、成果验收标准）</w:t>
            </w:r>
            <w:r>
              <w:rPr>
                <w:rFonts w:hint="default" w:ascii="Times New Roman" w:hAnsi="Times New Roman" w:cs="Times New Roman"/>
                <w:b w:val="0"/>
                <w:bCs w:val="0"/>
                <w:color w:val="auto"/>
                <w:kern w:val="0"/>
                <w:szCs w:val="21"/>
              </w:rPr>
              <w:t>，措施完善</w:t>
            </w:r>
            <w:r>
              <w:rPr>
                <w:rFonts w:hint="eastAsia" w:cs="Times New Roman"/>
                <w:b w:val="0"/>
                <w:bCs w:val="0"/>
                <w:color w:val="auto"/>
                <w:kern w:val="0"/>
                <w:szCs w:val="21"/>
                <w:lang w:eastAsia="zh-CN"/>
              </w:rPr>
              <w:t>、针对性强、与项目需求匹配的</w:t>
            </w:r>
            <w:r>
              <w:rPr>
                <w:rFonts w:hint="default" w:ascii="Times New Roman" w:hAnsi="Times New Roman" w:cs="Times New Roman"/>
                <w:color w:val="auto"/>
                <w:highlight w:val="none"/>
              </w:rPr>
              <w:t>计</w:t>
            </w:r>
            <w:r>
              <w:rPr>
                <w:rFonts w:hint="eastAsia" w:cs="Times New Roman"/>
                <w:color w:val="auto"/>
                <w:highlight w:val="none"/>
                <w:lang w:val="en-US" w:eastAsia="zh-CN"/>
              </w:rPr>
              <w:t>2</w:t>
            </w:r>
            <w:r>
              <w:rPr>
                <w:rFonts w:hint="default" w:ascii="Times New Roman" w:hAnsi="Times New Roman" w:cs="Times New Roman"/>
                <w:color w:val="auto"/>
                <w:highlight w:val="none"/>
              </w:rPr>
              <w:t>0分</w:t>
            </w:r>
            <w:r>
              <w:rPr>
                <w:rFonts w:hint="eastAsia" w:cs="Times New Roman"/>
                <w:color w:val="auto"/>
                <w:highlight w:val="none"/>
                <w:lang w:eastAsia="zh-CN"/>
              </w:rPr>
              <w:t>；</w:t>
            </w:r>
            <w:r>
              <w:rPr>
                <w:rFonts w:hint="default" w:ascii="Times New Roman" w:hAnsi="Times New Roman" w:cs="Times New Roman"/>
                <w:color w:val="auto"/>
                <w:highlight w:val="none"/>
                <w:lang w:val="en-US" w:eastAsia="zh-CN"/>
              </w:rPr>
              <w:t>有缺漏项的每处扣</w:t>
            </w:r>
            <w:r>
              <w:rPr>
                <w:rFonts w:hint="eastAsia" w:cs="Times New Roman"/>
                <w:color w:val="auto"/>
                <w:highlight w:val="none"/>
                <w:lang w:val="en-US" w:eastAsia="zh-CN"/>
              </w:rPr>
              <w:t>5</w:t>
            </w:r>
            <w:r>
              <w:rPr>
                <w:rFonts w:hint="default" w:ascii="Times New Roman" w:hAnsi="Times New Roman" w:cs="Times New Roman"/>
                <w:color w:val="auto"/>
                <w:highlight w:val="none"/>
                <w:lang w:val="en-US" w:eastAsia="zh-CN"/>
              </w:rPr>
              <w:t>分；</w:t>
            </w:r>
            <w:r>
              <w:rPr>
                <w:rFonts w:hint="default" w:ascii="Times New Roman" w:hAnsi="Times New Roman" w:cs="Times New Roman"/>
                <w:color w:val="auto"/>
                <w:highlight w:val="none"/>
              </w:rPr>
              <w:t>有欠合理的每处扣</w:t>
            </w:r>
            <w:r>
              <w:rPr>
                <w:rFonts w:hint="eastAsia" w:cs="Times New Roman"/>
                <w:color w:val="auto"/>
                <w:highlight w:val="none"/>
                <w:lang w:val="en-US" w:eastAsia="zh-CN"/>
              </w:rPr>
              <w:t>3</w:t>
            </w:r>
            <w:r>
              <w:rPr>
                <w:rFonts w:hint="default" w:ascii="Times New Roman" w:hAnsi="Times New Roman" w:cs="Times New Roman"/>
                <w:color w:val="auto"/>
                <w:highlight w:val="none"/>
              </w:rPr>
              <w:t>分，本项分数扣完为止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未提供不得分</w:t>
            </w:r>
            <w:r>
              <w:rPr>
                <w:rFonts w:hint="default" w:ascii="Times New Roman" w:hAnsi="Times New Roman" w:cs="Times New Roman"/>
                <w:color w:val="auto"/>
                <w:highlight w:val="none"/>
              </w:rPr>
              <w:t>。</w:t>
            </w:r>
          </w:p>
          <w:p w14:paraId="765FDB65">
            <w:pPr>
              <w:pStyle w:val="123"/>
              <w:keepNext w:val="0"/>
              <w:keepLines w:val="0"/>
              <w:pageBreakBefore w:val="0"/>
              <w:widowControl/>
              <w:kinsoku/>
              <w:wordWrap/>
              <w:overflowPunct/>
              <w:topLinePunct w:val="0"/>
              <w:autoSpaceDE/>
              <w:autoSpaceDN/>
              <w:bidi w:val="0"/>
              <w:adjustRightInd/>
              <w:snapToGrid/>
              <w:spacing w:line="300" w:lineRule="auto"/>
              <w:ind w:firstLine="422" w:firstLineChars="20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①欠合理是指内容不完整、照搬采购需求、未贴合采购需求、非专门针对本项目或者不适用本项目、套用其他项目方案、内容前后矛盾、存在歧义、逻辑混乱、错别字、无条理性、方案内容空洞等。</w:t>
            </w:r>
          </w:p>
          <w:p w14:paraId="250E30C1">
            <w:pPr>
              <w:keepNext w:val="0"/>
              <w:keepLines w:val="0"/>
              <w:pageBreakBefore w:val="0"/>
              <w:widowControl/>
              <w:kinsoku/>
              <w:wordWrap/>
              <w:overflowPunct/>
              <w:topLinePunct w:val="0"/>
              <w:autoSpaceDE/>
              <w:autoSpaceDN/>
              <w:bidi w:val="0"/>
              <w:adjustRightInd/>
              <w:snapToGrid/>
              <w:spacing w:after="113" w:line="329" w:lineRule="atLeast"/>
              <w:ind w:firstLine="422" w:firstLineChars="200"/>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bCs/>
                <w:color w:val="auto"/>
                <w:szCs w:val="21"/>
                <w:highlight w:val="none"/>
              </w:rPr>
              <w:t>②缺漏项是指未提供对应内容；不满足是指方案中项目名称或其他项目信息与需求不符、涉及的技术规范标准等与国家或行业或招标文件要求不一致、表述错误。</w:t>
            </w:r>
          </w:p>
        </w:tc>
      </w:tr>
      <w:tr w14:paraId="07BA83EC">
        <w:tblPrEx>
          <w:tblCellMar>
            <w:top w:w="0" w:type="dxa"/>
            <w:left w:w="0" w:type="dxa"/>
            <w:bottom w:w="0" w:type="dxa"/>
            <w:right w:w="0" w:type="dxa"/>
          </w:tblCellMar>
        </w:tblPrEx>
        <w:trPr>
          <w:trHeight w:val="1273" w:hRule="atLeast"/>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1CE22EFE">
            <w:pPr>
              <w:widowControl/>
              <w:spacing w:line="360" w:lineRule="exact"/>
              <w:jc w:val="left"/>
              <w:rPr>
                <w:rFonts w:hint="default" w:ascii="Times New Roman" w:hAnsi="Times New Roman" w:cs="Times New Roman"/>
                <w:color w:val="auto"/>
                <w:kern w:val="0"/>
                <w:szCs w:val="21"/>
                <w:highlight w:val="none"/>
              </w:rPr>
            </w:pPr>
          </w:p>
        </w:tc>
        <w:tc>
          <w:tcPr>
            <w:tcW w:w="110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1B99229">
            <w:pPr>
              <w:widowControl/>
              <w:spacing w:after="113" w:line="329" w:lineRule="atLeast"/>
              <w:jc w:val="left"/>
              <w:rPr>
                <w:rFonts w:hint="default" w:ascii="Times New Roman" w:hAnsi="Times New Roman" w:cs="Times New Roman"/>
                <w:b w:val="0"/>
                <w:bCs w:val="0"/>
                <w:color w:val="auto"/>
                <w:kern w:val="0"/>
                <w:szCs w:val="21"/>
              </w:rPr>
            </w:pPr>
            <w:r>
              <w:rPr>
                <w:rFonts w:hint="default" w:ascii="Times New Roman" w:hAnsi="Times New Roman" w:cs="Times New Roman"/>
                <w:b w:val="0"/>
                <w:bCs w:val="0"/>
                <w:color w:val="auto"/>
                <w:kern w:val="0"/>
                <w:szCs w:val="21"/>
              </w:rPr>
              <w:t>数据库建设</w:t>
            </w:r>
          </w:p>
          <w:p w14:paraId="0542A78D">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140E678">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eastAsia" w:cs="Times New Roman"/>
                <w:b w:val="0"/>
                <w:bCs w:val="0"/>
                <w:color w:val="auto"/>
                <w:kern w:val="0"/>
                <w:szCs w:val="21"/>
                <w:lang w:val="en-US" w:eastAsia="zh-CN"/>
              </w:rPr>
              <w:t>35</w:t>
            </w:r>
            <w:r>
              <w:rPr>
                <w:rFonts w:hint="default" w:ascii="Times New Roman" w:hAnsi="Times New Roman" w:cs="Times New Roman"/>
                <w:b w:val="0"/>
                <w:bCs w:val="0"/>
                <w:color w:val="auto"/>
                <w:kern w:val="0"/>
                <w:szCs w:val="21"/>
              </w:rPr>
              <w:t>分</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top"/>
          </w:tcPr>
          <w:p w14:paraId="5284A5F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default" w:ascii="Times New Roman" w:hAnsi="Times New Roman" w:cs="Times New Roman"/>
                <w:color w:val="auto"/>
                <w:highlight w:val="none"/>
              </w:rPr>
            </w:pPr>
            <w:r>
              <w:rPr>
                <w:rFonts w:hint="default" w:ascii="Times New Roman" w:hAnsi="Times New Roman" w:cs="Times New Roman"/>
                <w:b w:val="0"/>
                <w:bCs w:val="0"/>
                <w:color w:val="auto"/>
                <w:kern w:val="0"/>
                <w:szCs w:val="21"/>
              </w:rPr>
              <w:t>1</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rPr>
              <w:t>对本项目所需建立的矿产资源规划数据库工作有明晰的建库工作流程、专业的技术力量</w:t>
            </w:r>
            <w:r>
              <w:rPr>
                <w:rFonts w:hint="eastAsia" w:cs="Times New Roman"/>
                <w:b w:val="0"/>
                <w:bCs w:val="0"/>
                <w:color w:val="auto"/>
                <w:kern w:val="0"/>
                <w:szCs w:val="21"/>
                <w:lang w:eastAsia="zh-CN"/>
              </w:rPr>
              <w:t>、</w:t>
            </w:r>
            <w:r>
              <w:rPr>
                <w:rFonts w:hint="default" w:ascii="Times New Roman" w:hAnsi="Times New Roman" w:cs="Times New Roman"/>
                <w:b w:val="0"/>
                <w:bCs w:val="0"/>
                <w:color w:val="auto"/>
                <w:kern w:val="0"/>
                <w:szCs w:val="21"/>
              </w:rPr>
              <w:t>能够同步推进规划编制和数据库建设。数据库建设说明完善</w:t>
            </w:r>
            <w:r>
              <w:rPr>
                <w:rFonts w:hint="eastAsia" w:cs="Times New Roman"/>
                <w:b w:val="0"/>
                <w:bCs w:val="0"/>
                <w:color w:val="auto"/>
                <w:kern w:val="0"/>
                <w:szCs w:val="21"/>
                <w:lang w:eastAsia="zh-CN"/>
              </w:rPr>
              <w:t>、</w:t>
            </w:r>
            <w:r>
              <w:rPr>
                <w:rFonts w:hint="default" w:ascii="Times New Roman" w:hAnsi="Times New Roman" w:cs="Times New Roman"/>
                <w:b w:val="0"/>
                <w:bCs w:val="0"/>
                <w:color w:val="auto"/>
                <w:kern w:val="0"/>
                <w:szCs w:val="21"/>
              </w:rPr>
              <w:t>与项目需求匹配的</w:t>
            </w:r>
            <w:r>
              <w:rPr>
                <w:rFonts w:hint="default" w:ascii="Times New Roman" w:hAnsi="Times New Roman" w:cs="Times New Roman"/>
                <w:color w:val="auto"/>
                <w:highlight w:val="none"/>
              </w:rPr>
              <w:t>计</w:t>
            </w:r>
            <w:r>
              <w:rPr>
                <w:rFonts w:hint="eastAsia" w:cs="Times New Roman"/>
                <w:color w:val="auto"/>
                <w:highlight w:val="none"/>
                <w:lang w:val="en-US" w:eastAsia="zh-CN"/>
              </w:rPr>
              <w:t>35</w:t>
            </w:r>
            <w:r>
              <w:rPr>
                <w:rFonts w:hint="default" w:ascii="Times New Roman" w:hAnsi="Times New Roman" w:cs="Times New Roman"/>
                <w:color w:val="auto"/>
                <w:highlight w:val="none"/>
              </w:rPr>
              <w:t>分</w:t>
            </w:r>
            <w:r>
              <w:rPr>
                <w:rFonts w:hint="eastAsia" w:cs="Times New Roman"/>
                <w:color w:val="auto"/>
                <w:highlight w:val="none"/>
                <w:lang w:eastAsia="zh-CN"/>
              </w:rPr>
              <w:t>；</w:t>
            </w:r>
            <w:r>
              <w:rPr>
                <w:rFonts w:hint="default" w:ascii="Times New Roman" w:hAnsi="Times New Roman" w:cs="Times New Roman"/>
                <w:color w:val="auto"/>
                <w:highlight w:val="none"/>
                <w:lang w:val="en-US" w:eastAsia="zh-CN"/>
              </w:rPr>
              <w:t>有缺漏项的每处扣</w:t>
            </w:r>
            <w:r>
              <w:rPr>
                <w:rFonts w:hint="eastAsia" w:cs="Times New Roman"/>
                <w:color w:val="auto"/>
                <w:highlight w:val="none"/>
                <w:lang w:val="en-US" w:eastAsia="zh-CN"/>
              </w:rPr>
              <w:t>10</w:t>
            </w:r>
            <w:r>
              <w:rPr>
                <w:rFonts w:hint="default" w:ascii="Times New Roman" w:hAnsi="Times New Roman" w:cs="Times New Roman"/>
                <w:color w:val="auto"/>
                <w:highlight w:val="none"/>
                <w:lang w:val="en-US" w:eastAsia="zh-CN"/>
              </w:rPr>
              <w:t>分；</w:t>
            </w:r>
            <w:r>
              <w:rPr>
                <w:rFonts w:hint="default" w:ascii="Times New Roman" w:hAnsi="Times New Roman" w:cs="Times New Roman"/>
                <w:color w:val="auto"/>
                <w:highlight w:val="none"/>
              </w:rPr>
              <w:t>有欠合理的每处扣</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rPr>
              <w:t>分，本项分数扣完为止。</w:t>
            </w:r>
          </w:p>
          <w:p w14:paraId="0046B653">
            <w:pPr>
              <w:pStyle w:val="123"/>
              <w:keepNext w:val="0"/>
              <w:keepLines w:val="0"/>
              <w:pageBreakBefore w:val="0"/>
              <w:widowControl/>
              <w:kinsoku/>
              <w:wordWrap/>
              <w:overflowPunct/>
              <w:topLinePunct w:val="0"/>
              <w:autoSpaceDE/>
              <w:autoSpaceDN/>
              <w:bidi w:val="0"/>
              <w:adjustRightInd/>
              <w:snapToGrid/>
              <w:spacing w:line="300" w:lineRule="auto"/>
              <w:ind w:firstLine="422" w:firstLineChars="20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①欠合理是指内容不完整、照搬采购需求、未贴合采购需求、非专门针对本项目或者不适用本项目、套用其他项目方案、内容前后矛盾、存在歧义、逻辑混乱、错别字、无条理性、方案内容空洞等。</w:t>
            </w:r>
          </w:p>
          <w:p w14:paraId="5655C7AC">
            <w:pPr>
              <w:keepNext w:val="0"/>
              <w:keepLines w:val="0"/>
              <w:pageBreakBefore w:val="0"/>
              <w:widowControl/>
              <w:kinsoku/>
              <w:wordWrap/>
              <w:overflowPunct/>
              <w:topLinePunct w:val="0"/>
              <w:autoSpaceDE/>
              <w:autoSpaceDN/>
              <w:bidi w:val="0"/>
              <w:adjustRightInd/>
              <w:snapToGrid/>
              <w:spacing w:after="113" w:line="329" w:lineRule="atLeast"/>
              <w:ind w:firstLine="422" w:firstLineChars="200"/>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bCs/>
                <w:color w:val="auto"/>
                <w:szCs w:val="21"/>
                <w:highlight w:val="none"/>
              </w:rPr>
              <w:t>②缺漏项是指未提供对应内容；不满足是指方案中项目名称或其他项目信息与需求不符、涉及的技术规范标准等与国家或行业或招标文件要求不一致、表述错误。</w:t>
            </w:r>
          </w:p>
        </w:tc>
      </w:tr>
      <w:tr w14:paraId="3B0F7E75">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759411F0">
            <w:pPr>
              <w:widowControl/>
              <w:spacing w:line="360" w:lineRule="exact"/>
              <w:jc w:val="left"/>
              <w:rPr>
                <w:rFonts w:hint="default" w:ascii="Times New Roman" w:hAnsi="Times New Roman" w:cs="Times New Roman"/>
                <w:color w:val="auto"/>
                <w:kern w:val="0"/>
                <w:szCs w:val="21"/>
              </w:rPr>
            </w:pPr>
          </w:p>
        </w:tc>
        <w:tc>
          <w:tcPr>
            <w:tcW w:w="8219" w:type="dxa"/>
            <w:gridSpan w:val="3"/>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69C687E">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节能、环境标志产品加分(此仅限于节能、环境标志政府采购品目清单内产品，不是品目清单内的产品，在评审时不予加分)： </w:t>
            </w:r>
          </w:p>
          <w:p w14:paraId="2D7438E2">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所投环保产品的价格</w:t>
            </w:r>
          </w:p>
          <w:p w14:paraId="45ADD5C1">
            <w:pPr>
              <w:widowControl/>
              <w:spacing w:line="360" w:lineRule="exact"/>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———————————×技术权值×100×本项目加分比例= 应加分数</w:t>
            </w:r>
          </w:p>
          <w:p w14:paraId="5E3DC052">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项目总价格</w:t>
            </w:r>
          </w:p>
          <w:p w14:paraId="7CE9A528">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注：整包中某一品目为节能、环境标志政府采购品目清单内产品时只对该品目技术加分，并合计到技术最终得分。</w:t>
            </w:r>
          </w:p>
        </w:tc>
      </w:tr>
      <w:tr w14:paraId="2DAB43E7">
        <w:tblPrEx>
          <w:tblCellMar>
            <w:top w:w="0" w:type="dxa"/>
            <w:left w:w="0" w:type="dxa"/>
            <w:bottom w:w="0" w:type="dxa"/>
            <w:right w:w="0" w:type="dxa"/>
          </w:tblCellMar>
        </w:tblPrEx>
        <w:trPr>
          <w:trHeight w:val="747" w:hRule="atLeast"/>
          <w:jc w:val="center"/>
        </w:trPr>
        <w:tc>
          <w:tcPr>
            <w:tcW w:w="626" w:type="dxa"/>
            <w:vMerge w:val="restart"/>
            <w:tcBorders>
              <w:top w:val="single" w:color="000000" w:sz="6" w:space="0"/>
              <w:left w:val="single" w:color="000000" w:sz="6" w:space="0"/>
              <w:right w:val="single" w:color="000000" w:sz="6" w:space="0"/>
            </w:tcBorders>
            <w:tcMar>
              <w:top w:w="0" w:type="dxa"/>
              <w:left w:w="0" w:type="dxa"/>
              <w:bottom w:w="0" w:type="dxa"/>
              <w:right w:w="0" w:type="dxa"/>
            </w:tcMar>
            <w:vAlign w:val="center"/>
          </w:tcPr>
          <w:p w14:paraId="2BCC5D37">
            <w:pPr>
              <w:widowControl/>
              <w:spacing w:line="360" w:lineRule="exact"/>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商务部分</w:t>
            </w:r>
            <w:r>
              <w:rPr>
                <w:rFonts w:hint="default" w:ascii="Times New Roman" w:hAnsi="Times New Roman" w:cs="Times New Roman"/>
                <w:color w:val="auto"/>
                <w:kern w:val="0"/>
                <w:szCs w:val="21"/>
                <w:highlight w:val="none"/>
              </w:rPr>
              <w:t>(</w:t>
            </w:r>
            <w:r>
              <w:rPr>
                <w:rFonts w:hint="eastAsia" w:cs="Times New Roman"/>
                <w:color w:val="auto"/>
                <w:kern w:val="0"/>
                <w:szCs w:val="21"/>
                <w:highlight w:val="none"/>
                <w:lang w:val="en-US" w:eastAsia="zh-CN"/>
              </w:rPr>
              <w:t>A</w:t>
            </w:r>
            <w:r>
              <w:rPr>
                <w:rFonts w:hint="default" w:ascii="Times New Roman" w:hAnsi="Times New Roman" w:cs="Times New Roman"/>
                <w:color w:val="auto"/>
                <w:kern w:val="0"/>
                <w:szCs w:val="21"/>
                <w:highlight w:val="none"/>
              </w:rPr>
              <w:t>2)</w:t>
            </w:r>
          </w:p>
        </w:tc>
        <w:tc>
          <w:tcPr>
            <w:tcW w:w="1104" w:type="dxa"/>
            <w:tcBorders>
              <w:top w:val="single" w:color="000000" w:sz="6"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7A67EF9A">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default" w:ascii="Times New Roman" w:hAnsi="Times New Roman" w:cs="Times New Roman"/>
                <w:b w:val="0"/>
                <w:bCs w:val="0"/>
                <w:color w:val="auto"/>
                <w:kern w:val="0"/>
                <w:szCs w:val="21"/>
              </w:rPr>
              <w:t>投标人业绩</w:t>
            </w:r>
          </w:p>
        </w:tc>
        <w:tc>
          <w:tcPr>
            <w:tcW w:w="733"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14:paraId="6E5B55A0">
            <w:pPr>
              <w:widowControl/>
              <w:spacing w:after="113" w:line="329" w:lineRule="atLeast"/>
              <w:jc w:val="left"/>
              <w:rPr>
                <w:rFonts w:hint="default" w:ascii="Times New Roman" w:hAnsi="Times New Roman" w:eastAsia="宋体" w:cs="Times New Roman"/>
                <w:b w:val="0"/>
                <w:bCs w:val="0"/>
                <w:color w:val="auto"/>
                <w:kern w:val="0"/>
                <w:sz w:val="21"/>
                <w:szCs w:val="21"/>
                <w:lang w:val="en-US" w:eastAsia="zh-CN" w:bidi="ar-SA"/>
              </w:rPr>
            </w:pPr>
            <w:r>
              <w:rPr>
                <w:rFonts w:hint="eastAsia" w:cs="Times New Roman"/>
                <w:b w:val="0"/>
                <w:bCs w:val="0"/>
                <w:color w:val="auto"/>
                <w:kern w:val="0"/>
                <w:szCs w:val="21"/>
                <w:lang w:val="en-US" w:eastAsia="zh-CN"/>
              </w:rPr>
              <w:t>40</w:t>
            </w:r>
            <w:r>
              <w:rPr>
                <w:rFonts w:hint="default" w:ascii="Times New Roman" w:hAnsi="Times New Roman" w:cs="Times New Roman"/>
                <w:b w:val="0"/>
                <w:bCs w:val="0"/>
                <w:color w:val="auto"/>
                <w:kern w:val="0"/>
                <w:szCs w:val="21"/>
                <w:lang w:val="en-US" w:eastAsia="zh-CN"/>
              </w:rPr>
              <w:t>分</w:t>
            </w:r>
          </w:p>
        </w:tc>
        <w:tc>
          <w:tcPr>
            <w:tcW w:w="638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bottom"/>
          </w:tcPr>
          <w:p w14:paraId="46495676">
            <w:pPr>
              <w:keepNext w:val="0"/>
              <w:keepLines w:val="0"/>
              <w:pageBreakBefore w:val="0"/>
              <w:widowControl/>
              <w:kinsoku/>
              <w:wordWrap/>
              <w:overflowPunct/>
              <w:topLinePunct w:val="0"/>
              <w:autoSpaceDE/>
              <w:autoSpaceDN/>
              <w:bidi w:val="0"/>
              <w:adjustRightInd/>
              <w:snapToGrid/>
              <w:spacing w:after="113" w:line="329" w:lineRule="atLeast"/>
              <w:ind w:firstLine="420" w:firstLineChars="200"/>
              <w:jc w:val="left"/>
              <w:rPr>
                <w:rFonts w:hint="default" w:ascii="Times New Roman" w:hAnsi="Times New Roman" w:cs="Times New Roman"/>
                <w:b w:val="0"/>
                <w:bCs w:val="0"/>
                <w:color w:val="auto"/>
                <w:kern w:val="0"/>
                <w:szCs w:val="21"/>
                <w:lang w:val="en-US" w:eastAsia="zh-CN"/>
              </w:rPr>
            </w:pPr>
            <w:r>
              <w:rPr>
                <w:rFonts w:hint="eastAsia" w:ascii="宋体" w:hAnsi="宋体" w:cs="Arial"/>
                <w:b w:val="0"/>
                <w:bCs w:val="0"/>
                <w:color w:val="auto"/>
                <w:kern w:val="0"/>
                <w:szCs w:val="21"/>
              </w:rPr>
              <w:t>1</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lang w:val="en-US" w:eastAsia="zh-CN"/>
              </w:rPr>
              <w:t>近五年(2020-2026)：投标人承担过市级及以上矿产资源总体规划或专项规划项目业绩，每个计20分；县级及以上矿产资源总体规划或专项规划项目业绩，每个计10分，该</w:t>
            </w:r>
            <w:r>
              <w:rPr>
                <w:rFonts w:hint="eastAsia" w:cs="Times New Roman"/>
                <w:b w:val="0"/>
                <w:bCs w:val="0"/>
                <w:color w:val="auto"/>
                <w:kern w:val="0"/>
                <w:szCs w:val="21"/>
                <w:lang w:val="en-US" w:eastAsia="zh-CN"/>
              </w:rPr>
              <w:t>条</w:t>
            </w:r>
            <w:r>
              <w:rPr>
                <w:rFonts w:hint="default" w:ascii="Times New Roman" w:hAnsi="Times New Roman" w:cs="Times New Roman"/>
                <w:b w:val="0"/>
                <w:bCs w:val="0"/>
                <w:color w:val="auto"/>
                <w:kern w:val="0"/>
                <w:szCs w:val="21"/>
                <w:lang w:val="en-US" w:eastAsia="zh-CN"/>
              </w:rPr>
              <w:t>最多计20分。</w:t>
            </w:r>
          </w:p>
          <w:p w14:paraId="72210E82">
            <w:pPr>
              <w:keepNext w:val="0"/>
              <w:keepLines w:val="0"/>
              <w:pageBreakBefore w:val="0"/>
              <w:widowControl/>
              <w:kinsoku/>
              <w:wordWrap/>
              <w:overflowPunct/>
              <w:topLinePunct w:val="0"/>
              <w:autoSpaceDE/>
              <w:autoSpaceDN/>
              <w:bidi w:val="0"/>
              <w:adjustRightInd/>
              <w:snapToGrid/>
              <w:spacing w:after="113" w:line="329" w:lineRule="atLeast"/>
              <w:ind w:firstLine="420" w:firstLineChars="200"/>
              <w:jc w:val="left"/>
              <w:rPr>
                <w:rFonts w:hint="default" w:ascii="Times New Roman" w:hAnsi="Times New Roman" w:cs="Times New Roman"/>
                <w:b w:val="0"/>
                <w:bCs w:val="0"/>
                <w:color w:val="auto"/>
                <w:kern w:val="0"/>
                <w:szCs w:val="21"/>
                <w:lang w:val="en-US" w:eastAsia="zh-CN"/>
              </w:rPr>
            </w:pPr>
            <w:r>
              <w:rPr>
                <w:rFonts w:hint="eastAsia" w:ascii="宋体" w:hAnsi="宋体" w:cs="Arial"/>
                <w:b w:val="0"/>
                <w:bCs w:val="0"/>
                <w:color w:val="auto"/>
                <w:kern w:val="0"/>
                <w:szCs w:val="21"/>
                <w:lang w:val="en-US" w:eastAsia="zh-CN"/>
              </w:rPr>
              <w:t>2</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lang w:val="en-US" w:eastAsia="zh-CN"/>
              </w:rPr>
              <w:t>近五年(2020-2026)：投标人承担过市级及以上自然资源领域数据库建设工作的，每个计20分，县级自然资源领域数据库建设工作的，每个计10分，该</w:t>
            </w:r>
            <w:r>
              <w:rPr>
                <w:rFonts w:hint="eastAsia" w:cs="Times New Roman"/>
                <w:b w:val="0"/>
                <w:bCs w:val="0"/>
                <w:color w:val="auto"/>
                <w:kern w:val="0"/>
                <w:szCs w:val="21"/>
                <w:lang w:val="en-US" w:eastAsia="zh-CN"/>
              </w:rPr>
              <w:t>条</w:t>
            </w:r>
            <w:r>
              <w:rPr>
                <w:rFonts w:hint="default" w:ascii="Times New Roman" w:hAnsi="Times New Roman" w:cs="Times New Roman"/>
                <w:b w:val="0"/>
                <w:bCs w:val="0"/>
                <w:color w:val="auto"/>
                <w:kern w:val="0"/>
                <w:szCs w:val="21"/>
                <w:lang w:val="en-US" w:eastAsia="zh-CN"/>
              </w:rPr>
              <w:t>最多计20分。</w:t>
            </w:r>
          </w:p>
          <w:p w14:paraId="268574F5">
            <w:pPr>
              <w:keepNext w:val="0"/>
              <w:keepLines w:val="0"/>
              <w:pageBreakBefore w:val="0"/>
              <w:widowControl/>
              <w:kinsoku/>
              <w:wordWrap/>
              <w:overflowPunct/>
              <w:topLinePunct w:val="0"/>
              <w:autoSpaceDE/>
              <w:autoSpaceDN/>
              <w:bidi w:val="0"/>
              <w:adjustRightInd/>
              <w:snapToGrid/>
              <w:spacing w:after="113" w:line="329" w:lineRule="atLeast"/>
              <w:ind w:firstLine="420" w:firstLineChars="200"/>
              <w:jc w:val="left"/>
              <w:rPr>
                <w:rFonts w:hint="default" w:ascii="Times New Roman" w:hAnsi="Times New Roman" w:eastAsia="宋体" w:cs="Times New Roman"/>
                <w:b w:val="0"/>
                <w:bCs w:val="0"/>
                <w:color w:val="auto"/>
                <w:kern w:val="2"/>
                <w:sz w:val="21"/>
                <w:szCs w:val="24"/>
                <w:lang w:val="en-US" w:eastAsia="zh-CN" w:bidi="ar-SA"/>
              </w:rPr>
            </w:pPr>
            <w:r>
              <w:rPr>
                <w:rFonts w:hint="default" w:ascii="Times New Roman" w:hAnsi="Times New Roman" w:cs="Times New Roman"/>
                <w:b w:val="0"/>
                <w:bCs w:val="0"/>
                <w:color w:val="auto"/>
                <w:kern w:val="0"/>
                <w:szCs w:val="21"/>
                <w:lang w:val="en-US" w:eastAsia="zh-CN"/>
              </w:rPr>
              <w:t>注：投标文件中提供合同或相关证明资料扫描件加盖单位公章，不符合上述要求的不计分。</w:t>
            </w:r>
          </w:p>
        </w:tc>
      </w:tr>
      <w:tr w14:paraId="753C012A">
        <w:tblPrEx>
          <w:tblCellMar>
            <w:top w:w="0" w:type="dxa"/>
            <w:left w:w="0" w:type="dxa"/>
            <w:bottom w:w="0" w:type="dxa"/>
            <w:right w:w="0" w:type="dxa"/>
          </w:tblCellMar>
        </w:tblPrEx>
        <w:trPr>
          <w:trHeight w:val="1452" w:hRule="atLeast"/>
          <w:jc w:val="center"/>
        </w:trPr>
        <w:tc>
          <w:tcPr>
            <w:tcW w:w="626" w:type="dxa"/>
            <w:vMerge w:val="continue"/>
            <w:tcBorders>
              <w:left w:val="single" w:color="000000" w:sz="6" w:space="0"/>
              <w:right w:val="single" w:color="000000" w:sz="6" w:space="0"/>
            </w:tcBorders>
            <w:tcMar>
              <w:top w:w="0" w:type="dxa"/>
              <w:left w:w="0" w:type="dxa"/>
              <w:bottom w:w="0" w:type="dxa"/>
              <w:right w:w="0" w:type="dxa"/>
            </w:tcMar>
            <w:vAlign w:val="center"/>
          </w:tcPr>
          <w:p w14:paraId="4CD7640D">
            <w:pPr>
              <w:widowControl/>
              <w:spacing w:line="360" w:lineRule="exact"/>
              <w:jc w:val="left"/>
              <w:rPr>
                <w:rFonts w:hint="default" w:ascii="Times New Roman" w:hAnsi="Times New Roman" w:cs="Times New Roman"/>
                <w:color w:val="auto"/>
                <w:kern w:val="0"/>
                <w:szCs w:val="21"/>
              </w:rPr>
            </w:pPr>
          </w:p>
        </w:tc>
        <w:tc>
          <w:tcPr>
            <w:tcW w:w="1104" w:type="dxa"/>
            <w:tcBorders>
              <w:top w:val="single" w:color="auto" w:sz="4"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6D38AA8A">
            <w:pPr>
              <w:widowControl/>
              <w:spacing w:line="360" w:lineRule="exact"/>
              <w:jc w:val="center"/>
              <w:textAlignment w:val="baseline"/>
              <w:rPr>
                <w:rFonts w:hint="default" w:ascii="Times New Roman" w:hAnsi="Times New Roman" w:eastAsia="宋体" w:cs="Times New Roman"/>
                <w:b w:val="0"/>
                <w:bCs w:val="0"/>
                <w:color w:val="auto"/>
                <w:kern w:val="0"/>
                <w:sz w:val="21"/>
                <w:szCs w:val="21"/>
                <w:lang w:val="en-US" w:eastAsia="zh-CN" w:bidi="ar-SA"/>
              </w:rPr>
            </w:pPr>
            <w:r>
              <w:rPr>
                <w:rFonts w:hint="eastAsia" w:cs="Times New Roman"/>
                <w:b w:val="0"/>
                <w:bCs w:val="0"/>
                <w:color w:val="auto"/>
                <w:kern w:val="0"/>
                <w:szCs w:val="21"/>
                <w:lang w:eastAsia="zh-CN"/>
              </w:rPr>
              <w:t>技术实力</w:t>
            </w:r>
          </w:p>
        </w:tc>
        <w:tc>
          <w:tcPr>
            <w:tcW w:w="733" w:type="dxa"/>
            <w:tcBorders>
              <w:top w:val="single" w:color="000000" w:sz="6"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78168ACE">
            <w:pPr>
              <w:widowControl/>
              <w:spacing w:line="360" w:lineRule="exact"/>
              <w:jc w:val="center"/>
              <w:textAlignment w:val="baseline"/>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Cs w:val="21"/>
                <w:lang w:val="en-US" w:eastAsia="zh-CN"/>
              </w:rPr>
              <w:t>30分</w:t>
            </w:r>
          </w:p>
        </w:tc>
        <w:tc>
          <w:tcPr>
            <w:tcW w:w="638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14:paraId="4B6D953B">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firstLine="420" w:firstLineChars="200"/>
              <w:jc w:val="left"/>
              <w:rPr>
                <w:rFonts w:hint="eastAsia" w:ascii="Times New Roman" w:hAnsi="Times New Roman" w:cs="Times New Roman"/>
                <w:b w:val="0"/>
                <w:bCs w:val="0"/>
                <w:color w:val="auto"/>
                <w:kern w:val="0"/>
                <w:szCs w:val="21"/>
                <w:lang w:val="en-US" w:eastAsia="zh-CN"/>
              </w:rPr>
            </w:pPr>
            <w:r>
              <w:rPr>
                <w:rFonts w:hint="eastAsia" w:cs="Times New Roman"/>
                <w:b w:val="0"/>
                <w:bCs w:val="0"/>
                <w:color w:val="auto"/>
                <w:kern w:val="0"/>
                <w:szCs w:val="21"/>
                <w:lang w:val="en-US" w:eastAsia="zh-CN"/>
              </w:rPr>
              <w:t>1</w:t>
            </w:r>
            <w:r>
              <w:rPr>
                <w:rFonts w:hint="eastAsia" w:ascii="宋体" w:hAnsi="宋体" w:cs="Arial"/>
                <w:b w:val="0"/>
                <w:bCs w:val="0"/>
                <w:color w:val="auto"/>
                <w:kern w:val="0"/>
                <w:szCs w:val="21"/>
                <w:lang w:eastAsia="zh-CN"/>
              </w:rPr>
              <w:t>.</w:t>
            </w:r>
            <w:r>
              <w:rPr>
                <w:rFonts w:hint="eastAsia" w:ascii="Times New Roman" w:hAnsi="Times New Roman" w:cs="Times New Roman"/>
                <w:b w:val="0"/>
                <w:bCs w:val="0"/>
                <w:color w:val="auto"/>
                <w:kern w:val="0"/>
                <w:szCs w:val="21"/>
                <w:lang w:val="en-US" w:eastAsia="zh-CN"/>
              </w:rPr>
              <w:t>拟任项目负责人具有地质矿产类或资源勘查等相关专业正高级工程师（教授级工程师）技术职称的计</w:t>
            </w:r>
            <w:r>
              <w:rPr>
                <w:rFonts w:hint="eastAsia" w:cs="Times New Roman"/>
                <w:b w:val="0"/>
                <w:bCs w:val="0"/>
                <w:color w:val="auto"/>
                <w:kern w:val="0"/>
                <w:szCs w:val="21"/>
                <w:lang w:val="en-US" w:eastAsia="zh-CN"/>
              </w:rPr>
              <w:t>20</w:t>
            </w:r>
            <w:r>
              <w:rPr>
                <w:rFonts w:hint="eastAsia" w:ascii="Times New Roman" w:hAnsi="Times New Roman" w:cs="Times New Roman"/>
                <w:b w:val="0"/>
                <w:bCs w:val="0"/>
                <w:color w:val="auto"/>
                <w:kern w:val="0"/>
                <w:szCs w:val="21"/>
                <w:lang w:val="en-US" w:eastAsia="zh-CN"/>
              </w:rPr>
              <w:t>分；具有地质矿产类或资源勘查等相关专业副高级工程师（高级工程师）技术职称的计</w:t>
            </w:r>
            <w:r>
              <w:rPr>
                <w:rFonts w:hint="eastAsia" w:cs="Times New Roman"/>
                <w:b w:val="0"/>
                <w:bCs w:val="0"/>
                <w:color w:val="auto"/>
                <w:kern w:val="0"/>
                <w:szCs w:val="21"/>
                <w:lang w:val="en-US" w:eastAsia="zh-CN"/>
              </w:rPr>
              <w:t>10</w:t>
            </w:r>
            <w:r>
              <w:rPr>
                <w:rFonts w:hint="eastAsia" w:ascii="Times New Roman" w:hAnsi="Times New Roman" w:cs="Times New Roman"/>
                <w:b w:val="0"/>
                <w:bCs w:val="0"/>
                <w:color w:val="auto"/>
                <w:kern w:val="0"/>
                <w:szCs w:val="21"/>
                <w:lang w:val="en-US" w:eastAsia="zh-CN"/>
              </w:rPr>
              <w:t>分。</w:t>
            </w:r>
          </w:p>
          <w:p w14:paraId="24E9B06B">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firstLine="420" w:firstLineChars="200"/>
              <w:jc w:val="left"/>
              <w:rPr>
                <w:rFonts w:hint="eastAsia" w:ascii="Times New Roman" w:hAnsi="Times New Roman" w:cs="Times New Roman"/>
                <w:b w:val="0"/>
                <w:bCs w:val="0"/>
                <w:color w:val="auto"/>
                <w:kern w:val="0"/>
                <w:szCs w:val="21"/>
                <w:lang w:val="en-US" w:eastAsia="zh-CN"/>
              </w:rPr>
            </w:pPr>
            <w:r>
              <w:rPr>
                <w:rFonts w:hint="eastAsia" w:ascii="Times New Roman" w:hAnsi="Times New Roman" w:cs="Times New Roman"/>
                <w:b w:val="0"/>
                <w:bCs w:val="0"/>
                <w:color w:val="auto"/>
                <w:kern w:val="0"/>
                <w:szCs w:val="21"/>
                <w:lang w:val="en-US" w:eastAsia="zh-CN"/>
              </w:rPr>
              <w:t>2</w:t>
            </w:r>
            <w:r>
              <w:rPr>
                <w:rFonts w:hint="eastAsia" w:ascii="宋体" w:hAnsi="宋体" w:cs="Arial"/>
                <w:b w:val="0"/>
                <w:bCs w:val="0"/>
                <w:color w:val="auto"/>
                <w:kern w:val="0"/>
                <w:szCs w:val="21"/>
                <w:lang w:eastAsia="zh-CN"/>
              </w:rPr>
              <w:t>.</w:t>
            </w:r>
            <w:r>
              <w:rPr>
                <w:rFonts w:hint="eastAsia" w:ascii="Times New Roman" w:hAnsi="Times New Roman" w:cs="Times New Roman"/>
                <w:b w:val="0"/>
                <w:bCs w:val="0"/>
                <w:color w:val="auto"/>
                <w:kern w:val="0"/>
                <w:szCs w:val="21"/>
                <w:lang w:val="en-US" w:eastAsia="zh-CN"/>
              </w:rPr>
              <w:t>拟任项目技术负责人（项目负责人除外）具有地质调查与矿产勘查专业副高级工程师（高级工程师）技术职称的计</w:t>
            </w:r>
            <w:r>
              <w:rPr>
                <w:rFonts w:hint="eastAsia" w:cs="Times New Roman"/>
                <w:b w:val="0"/>
                <w:bCs w:val="0"/>
                <w:color w:val="auto"/>
                <w:kern w:val="0"/>
                <w:szCs w:val="21"/>
                <w:lang w:val="en-US" w:eastAsia="zh-CN"/>
              </w:rPr>
              <w:t>10</w:t>
            </w:r>
            <w:r>
              <w:rPr>
                <w:rFonts w:hint="eastAsia" w:ascii="Times New Roman" w:hAnsi="Times New Roman" w:cs="Times New Roman"/>
                <w:b w:val="0"/>
                <w:bCs w:val="0"/>
                <w:color w:val="auto"/>
                <w:kern w:val="0"/>
                <w:szCs w:val="21"/>
                <w:lang w:val="en-US" w:eastAsia="zh-CN"/>
              </w:rPr>
              <w:t>分；具有地质矿产类或资源勘查等相关专业中级工程师技术职称的计</w:t>
            </w:r>
            <w:r>
              <w:rPr>
                <w:rFonts w:hint="eastAsia" w:cs="Times New Roman"/>
                <w:b w:val="0"/>
                <w:bCs w:val="0"/>
                <w:color w:val="auto"/>
                <w:kern w:val="0"/>
                <w:szCs w:val="21"/>
                <w:lang w:val="en-US" w:eastAsia="zh-CN"/>
              </w:rPr>
              <w:t>5</w:t>
            </w:r>
            <w:r>
              <w:rPr>
                <w:rFonts w:hint="eastAsia" w:ascii="Times New Roman" w:hAnsi="Times New Roman" w:cs="Times New Roman"/>
                <w:b w:val="0"/>
                <w:bCs w:val="0"/>
                <w:color w:val="auto"/>
                <w:kern w:val="0"/>
                <w:szCs w:val="21"/>
                <w:lang w:val="en-US" w:eastAsia="zh-CN"/>
              </w:rPr>
              <w:t>分。</w:t>
            </w:r>
          </w:p>
          <w:p w14:paraId="784A0464">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left="0" w:leftChars="0" w:firstLine="420" w:firstLineChars="200"/>
              <w:jc w:val="left"/>
              <w:rPr>
                <w:rFonts w:hint="default" w:ascii="Times New Roman" w:hAnsi="Times New Roman" w:eastAsia="宋体" w:cs="Times New Roman"/>
                <w:b w:val="0"/>
                <w:bCs w:val="0"/>
                <w:color w:val="auto"/>
                <w:kern w:val="2"/>
                <w:sz w:val="21"/>
                <w:szCs w:val="21"/>
                <w:highlight w:val="yellow"/>
                <w:lang w:val="en-US" w:eastAsia="zh-CN" w:bidi="ar-SA"/>
              </w:rPr>
            </w:pPr>
            <w:r>
              <w:rPr>
                <w:rFonts w:hint="default" w:ascii="Times New Roman" w:hAnsi="Times New Roman" w:cs="Times New Roman"/>
                <w:b w:val="0"/>
                <w:bCs w:val="0"/>
                <w:color w:val="auto"/>
                <w:kern w:val="0"/>
                <w:szCs w:val="21"/>
                <w:lang w:val="en-US" w:eastAsia="zh-CN"/>
              </w:rPr>
              <w:t>注：</w:t>
            </w:r>
            <w:r>
              <w:rPr>
                <w:rFonts w:hint="eastAsia" w:cs="Times New Roman"/>
                <w:b w:val="0"/>
                <w:bCs w:val="0"/>
                <w:color w:val="auto"/>
                <w:szCs w:val="21"/>
                <w:highlight w:val="none"/>
                <w:lang w:eastAsia="zh-CN"/>
              </w:rPr>
              <w:t>以上人员须为投标人在职人员，提供</w:t>
            </w:r>
            <w:r>
              <w:rPr>
                <w:rFonts w:hint="default" w:cs="Times New Roman"/>
                <w:b w:val="0"/>
                <w:bCs w:val="0"/>
                <w:color w:val="auto"/>
                <w:szCs w:val="21"/>
                <w:highlight w:val="none"/>
                <w:lang w:eastAsia="zh-CN"/>
              </w:rPr>
              <w:t>有关证书的</w:t>
            </w:r>
            <w:r>
              <w:rPr>
                <w:rFonts w:hint="eastAsia" w:cs="Times New Roman"/>
                <w:b w:val="0"/>
                <w:bCs w:val="0"/>
                <w:color w:val="auto"/>
                <w:szCs w:val="21"/>
                <w:highlight w:val="none"/>
                <w:lang w:eastAsia="zh-CN"/>
              </w:rPr>
              <w:t>扫描</w:t>
            </w:r>
            <w:r>
              <w:rPr>
                <w:rFonts w:hint="default" w:cs="Times New Roman"/>
                <w:b w:val="0"/>
                <w:bCs w:val="0"/>
                <w:color w:val="auto"/>
                <w:szCs w:val="21"/>
                <w:highlight w:val="none"/>
                <w:lang w:eastAsia="zh-CN"/>
              </w:rPr>
              <w:t>件</w:t>
            </w:r>
            <w:r>
              <w:rPr>
                <w:rFonts w:hint="eastAsia" w:cs="Times New Roman"/>
                <w:b w:val="0"/>
                <w:bCs w:val="0"/>
                <w:color w:val="auto"/>
                <w:szCs w:val="21"/>
                <w:highlight w:val="none"/>
                <w:lang w:eastAsia="zh-CN"/>
              </w:rPr>
              <w:t>及投标人为其缴纳社保的证明材料加盖投标人公章</w:t>
            </w:r>
            <w:r>
              <w:rPr>
                <w:rFonts w:hint="default" w:cs="Times New Roman"/>
                <w:b w:val="0"/>
                <w:bCs w:val="0"/>
                <w:color w:val="auto"/>
                <w:szCs w:val="21"/>
                <w:highlight w:val="none"/>
                <w:lang w:eastAsia="zh-CN"/>
              </w:rPr>
              <w:t>，</w:t>
            </w:r>
            <w:r>
              <w:rPr>
                <w:rFonts w:hint="eastAsia" w:cs="Times New Roman"/>
                <w:b w:val="0"/>
                <w:bCs w:val="0"/>
                <w:color w:val="auto"/>
                <w:szCs w:val="21"/>
                <w:highlight w:val="none"/>
                <w:lang w:eastAsia="zh-CN"/>
              </w:rPr>
              <w:t>否则不计分</w:t>
            </w:r>
            <w:r>
              <w:rPr>
                <w:rFonts w:hint="default" w:cs="Times New Roman"/>
                <w:b w:val="0"/>
                <w:bCs w:val="0"/>
                <w:color w:val="auto"/>
                <w:szCs w:val="21"/>
                <w:highlight w:val="none"/>
                <w:lang w:eastAsia="zh-CN"/>
              </w:rPr>
              <w:t>。</w:t>
            </w:r>
          </w:p>
        </w:tc>
      </w:tr>
      <w:tr w14:paraId="19DC0582">
        <w:tblPrEx>
          <w:tblCellMar>
            <w:top w:w="0" w:type="dxa"/>
            <w:left w:w="0" w:type="dxa"/>
            <w:bottom w:w="0" w:type="dxa"/>
            <w:right w:w="0" w:type="dxa"/>
          </w:tblCellMar>
        </w:tblPrEx>
        <w:trPr>
          <w:trHeight w:val="1452" w:hRule="atLeast"/>
          <w:jc w:val="center"/>
        </w:trPr>
        <w:tc>
          <w:tcPr>
            <w:tcW w:w="626" w:type="dxa"/>
            <w:tcBorders>
              <w:left w:val="single" w:color="000000" w:sz="6" w:space="0"/>
              <w:right w:val="single" w:color="000000" w:sz="6" w:space="0"/>
            </w:tcBorders>
            <w:tcMar>
              <w:top w:w="0" w:type="dxa"/>
              <w:left w:w="0" w:type="dxa"/>
              <w:bottom w:w="0" w:type="dxa"/>
              <w:right w:w="0" w:type="dxa"/>
            </w:tcMar>
            <w:vAlign w:val="center"/>
          </w:tcPr>
          <w:p w14:paraId="2CD1EADB">
            <w:pPr>
              <w:widowControl/>
              <w:spacing w:line="360" w:lineRule="exact"/>
              <w:jc w:val="left"/>
              <w:rPr>
                <w:rFonts w:hint="default" w:ascii="Times New Roman" w:hAnsi="Times New Roman" w:cs="Times New Roman"/>
                <w:color w:val="auto"/>
                <w:kern w:val="0"/>
                <w:szCs w:val="21"/>
              </w:rPr>
            </w:pPr>
          </w:p>
        </w:tc>
        <w:tc>
          <w:tcPr>
            <w:tcW w:w="1104" w:type="dxa"/>
            <w:tcBorders>
              <w:top w:val="single" w:color="auto" w:sz="4"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3ACD9BA3">
            <w:pPr>
              <w:widowControl/>
              <w:spacing w:line="360" w:lineRule="exact"/>
              <w:jc w:val="center"/>
              <w:textAlignment w:val="baseline"/>
              <w:rPr>
                <w:rFonts w:hint="eastAsia" w:ascii="Times New Roman" w:hAnsi="Times New Roman" w:eastAsia="宋体" w:cs="Times New Roman"/>
                <w:b w:val="0"/>
                <w:bCs w:val="0"/>
                <w:color w:val="auto"/>
                <w:kern w:val="0"/>
                <w:sz w:val="21"/>
                <w:szCs w:val="21"/>
                <w:highlight w:val="none"/>
                <w:lang w:val="en-US" w:eastAsia="zh-CN" w:bidi="ar-SA"/>
              </w:rPr>
            </w:pPr>
            <w:r>
              <w:rPr>
                <w:rFonts w:hint="eastAsia" w:cs="Times New Roman"/>
                <w:b w:val="0"/>
                <w:bCs w:val="0"/>
                <w:color w:val="auto"/>
                <w:kern w:val="0"/>
                <w:szCs w:val="21"/>
                <w:highlight w:val="none"/>
                <w:lang w:eastAsia="zh-CN"/>
              </w:rPr>
              <w:t>获奖情况</w:t>
            </w:r>
          </w:p>
        </w:tc>
        <w:tc>
          <w:tcPr>
            <w:tcW w:w="733" w:type="dxa"/>
            <w:tcBorders>
              <w:top w:val="single" w:color="000000" w:sz="6"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15FFB30C">
            <w:pPr>
              <w:widowControl/>
              <w:spacing w:line="360" w:lineRule="exact"/>
              <w:jc w:val="center"/>
              <w:textAlignment w:val="baseline"/>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cs="Times New Roman"/>
                <w:b w:val="0"/>
                <w:bCs w:val="0"/>
                <w:color w:val="auto"/>
                <w:kern w:val="0"/>
                <w:szCs w:val="21"/>
                <w:lang w:val="en-US" w:eastAsia="zh-CN"/>
              </w:rPr>
              <w:t>20分</w:t>
            </w:r>
          </w:p>
        </w:tc>
        <w:tc>
          <w:tcPr>
            <w:tcW w:w="638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14:paraId="5E598AE5">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firstLine="420" w:firstLineChars="200"/>
              <w:jc w:val="left"/>
              <w:rPr>
                <w:rFonts w:hint="default" w:cs="Times New Roman"/>
                <w:b w:val="0"/>
                <w:bCs w:val="0"/>
                <w:color w:val="auto"/>
                <w:szCs w:val="21"/>
                <w:highlight w:val="none"/>
                <w:lang w:eastAsia="zh-CN"/>
              </w:rPr>
            </w:pPr>
            <w:r>
              <w:rPr>
                <w:rFonts w:hint="eastAsia" w:cs="Times New Roman"/>
                <w:b w:val="0"/>
                <w:bCs w:val="0"/>
                <w:color w:val="auto"/>
                <w:szCs w:val="21"/>
                <w:highlight w:val="none"/>
                <w:lang w:val="en-US" w:eastAsia="zh-CN"/>
              </w:rPr>
              <w:t>1</w:t>
            </w:r>
            <w:r>
              <w:rPr>
                <w:rFonts w:hint="eastAsia" w:ascii="宋体" w:hAnsi="宋体" w:cs="Arial"/>
                <w:b w:val="0"/>
                <w:bCs w:val="0"/>
                <w:color w:val="auto"/>
                <w:kern w:val="0"/>
                <w:szCs w:val="21"/>
                <w:lang w:eastAsia="zh-CN"/>
              </w:rPr>
              <w:t>.</w:t>
            </w:r>
            <w:r>
              <w:rPr>
                <w:rFonts w:hint="default" w:cs="Times New Roman"/>
                <w:b w:val="0"/>
                <w:bCs w:val="0"/>
                <w:color w:val="auto"/>
                <w:szCs w:val="21"/>
                <w:highlight w:val="none"/>
                <w:lang w:eastAsia="zh-CN"/>
              </w:rPr>
              <w:t>投标人</w:t>
            </w:r>
            <w:r>
              <w:rPr>
                <w:rFonts w:hint="eastAsia" w:cs="Times New Roman"/>
                <w:b w:val="0"/>
                <w:bCs w:val="0"/>
                <w:color w:val="auto"/>
                <w:szCs w:val="21"/>
                <w:highlight w:val="none"/>
                <w:lang w:eastAsia="zh-CN"/>
              </w:rPr>
              <w:t>具有</w:t>
            </w:r>
            <w:r>
              <w:rPr>
                <w:rFonts w:hint="default" w:cs="Times New Roman"/>
                <w:b w:val="0"/>
                <w:bCs w:val="0"/>
                <w:color w:val="auto"/>
                <w:szCs w:val="21"/>
                <w:highlight w:val="none"/>
                <w:lang w:eastAsia="zh-CN"/>
              </w:rPr>
              <w:t>省</w:t>
            </w:r>
            <w:r>
              <w:rPr>
                <w:rFonts w:hint="eastAsia" w:cs="Times New Roman"/>
                <w:b w:val="0"/>
                <w:bCs w:val="0"/>
                <w:color w:val="auto"/>
                <w:szCs w:val="21"/>
                <w:highlight w:val="none"/>
                <w:lang w:eastAsia="zh-CN"/>
              </w:rPr>
              <w:t>部</w:t>
            </w:r>
            <w:r>
              <w:rPr>
                <w:rFonts w:hint="default" w:cs="Times New Roman"/>
                <w:b w:val="0"/>
                <w:bCs w:val="0"/>
                <w:color w:val="auto"/>
                <w:szCs w:val="21"/>
                <w:highlight w:val="none"/>
                <w:lang w:eastAsia="zh-CN"/>
              </w:rPr>
              <w:t>级及以上机构颁发的</w:t>
            </w:r>
            <w:r>
              <w:rPr>
                <w:rFonts w:hint="eastAsia" w:cs="Times New Roman"/>
                <w:b w:val="0"/>
                <w:bCs w:val="0"/>
                <w:color w:val="auto"/>
                <w:szCs w:val="21"/>
                <w:highlight w:val="none"/>
                <w:lang w:eastAsia="zh-CN"/>
              </w:rPr>
              <w:t>“</w:t>
            </w:r>
            <w:r>
              <w:rPr>
                <w:rFonts w:hint="default" w:cs="Times New Roman"/>
                <w:b w:val="0"/>
                <w:bCs w:val="0"/>
                <w:color w:val="auto"/>
                <w:szCs w:val="21"/>
                <w:highlight w:val="none"/>
                <w:lang w:eastAsia="zh-CN"/>
              </w:rPr>
              <w:t>模范地勘单位</w:t>
            </w:r>
            <w:r>
              <w:rPr>
                <w:rFonts w:hint="eastAsia" w:cs="Times New Roman"/>
                <w:b w:val="0"/>
                <w:bCs w:val="0"/>
                <w:color w:val="auto"/>
                <w:szCs w:val="21"/>
                <w:highlight w:val="none"/>
                <w:lang w:eastAsia="zh-CN"/>
              </w:rPr>
              <w:t>”</w:t>
            </w:r>
            <w:r>
              <w:rPr>
                <w:rFonts w:hint="default" w:cs="Times New Roman"/>
                <w:b w:val="0"/>
                <w:bCs w:val="0"/>
                <w:color w:val="auto"/>
                <w:szCs w:val="21"/>
                <w:highlight w:val="none"/>
                <w:lang w:eastAsia="zh-CN"/>
              </w:rPr>
              <w:t>或</w:t>
            </w:r>
            <w:r>
              <w:rPr>
                <w:rFonts w:hint="eastAsia" w:cs="Times New Roman"/>
                <w:b w:val="0"/>
                <w:bCs w:val="0"/>
                <w:color w:val="auto"/>
                <w:szCs w:val="21"/>
                <w:highlight w:val="none"/>
                <w:lang w:eastAsia="zh-CN"/>
              </w:rPr>
              <w:t>“</w:t>
            </w:r>
            <w:r>
              <w:rPr>
                <w:rFonts w:hint="default" w:cs="Times New Roman"/>
                <w:b w:val="0"/>
                <w:bCs w:val="0"/>
                <w:color w:val="auto"/>
                <w:szCs w:val="21"/>
                <w:highlight w:val="none"/>
                <w:lang w:eastAsia="zh-CN"/>
              </w:rPr>
              <w:t>先进集体</w:t>
            </w:r>
            <w:r>
              <w:rPr>
                <w:rFonts w:hint="eastAsia" w:cs="Times New Roman"/>
                <w:b w:val="0"/>
                <w:bCs w:val="0"/>
                <w:color w:val="auto"/>
                <w:szCs w:val="21"/>
                <w:highlight w:val="none"/>
                <w:lang w:eastAsia="zh-CN"/>
              </w:rPr>
              <w:t>”</w:t>
            </w:r>
            <w:r>
              <w:rPr>
                <w:rFonts w:hint="default" w:cs="Times New Roman"/>
                <w:b w:val="0"/>
                <w:bCs w:val="0"/>
                <w:color w:val="auto"/>
                <w:szCs w:val="21"/>
                <w:highlight w:val="none"/>
                <w:lang w:eastAsia="zh-CN"/>
              </w:rPr>
              <w:t>荣誉，每提供一个计</w:t>
            </w:r>
            <w:r>
              <w:rPr>
                <w:rFonts w:hint="eastAsia" w:cs="Times New Roman"/>
                <w:b w:val="0"/>
                <w:bCs w:val="0"/>
                <w:color w:val="auto"/>
                <w:szCs w:val="21"/>
                <w:highlight w:val="none"/>
                <w:lang w:val="en-US" w:eastAsia="zh-CN"/>
              </w:rPr>
              <w:t>4</w:t>
            </w:r>
            <w:r>
              <w:rPr>
                <w:rFonts w:hint="default" w:cs="Times New Roman"/>
                <w:b w:val="0"/>
                <w:bCs w:val="0"/>
                <w:color w:val="auto"/>
                <w:szCs w:val="21"/>
                <w:highlight w:val="none"/>
                <w:lang w:eastAsia="zh-CN"/>
              </w:rPr>
              <w:t>分，最高计</w:t>
            </w:r>
            <w:r>
              <w:rPr>
                <w:rFonts w:hint="eastAsia" w:cs="Times New Roman"/>
                <w:b w:val="0"/>
                <w:bCs w:val="0"/>
                <w:color w:val="auto"/>
                <w:szCs w:val="21"/>
                <w:highlight w:val="none"/>
                <w:lang w:val="en-US" w:eastAsia="zh-CN"/>
              </w:rPr>
              <w:t>8</w:t>
            </w:r>
            <w:r>
              <w:rPr>
                <w:rFonts w:hint="default" w:cs="Times New Roman"/>
                <w:b w:val="0"/>
                <w:bCs w:val="0"/>
                <w:color w:val="auto"/>
                <w:szCs w:val="21"/>
                <w:highlight w:val="none"/>
                <w:lang w:eastAsia="zh-CN"/>
              </w:rPr>
              <w:t>分；</w:t>
            </w:r>
          </w:p>
          <w:p w14:paraId="52F1AEAE">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firstLine="420" w:firstLineChars="200"/>
              <w:jc w:val="left"/>
              <w:rPr>
                <w:rFonts w:hint="default" w:cs="Times New Roman"/>
                <w:b w:val="0"/>
                <w:bCs w:val="0"/>
                <w:color w:val="auto"/>
                <w:szCs w:val="21"/>
                <w:highlight w:val="none"/>
                <w:lang w:eastAsia="zh-CN"/>
              </w:rPr>
            </w:pPr>
            <w:r>
              <w:rPr>
                <w:rFonts w:hint="eastAsia" w:cs="Times New Roman"/>
                <w:b w:val="0"/>
                <w:bCs w:val="0"/>
                <w:color w:val="auto"/>
                <w:szCs w:val="21"/>
                <w:highlight w:val="none"/>
                <w:lang w:val="en-US" w:eastAsia="zh-CN"/>
              </w:rPr>
              <w:t>2</w:t>
            </w:r>
            <w:r>
              <w:rPr>
                <w:rFonts w:hint="eastAsia" w:ascii="宋体" w:hAnsi="宋体" w:cs="Arial"/>
                <w:b w:val="0"/>
                <w:bCs w:val="0"/>
                <w:color w:val="auto"/>
                <w:kern w:val="0"/>
                <w:szCs w:val="21"/>
                <w:lang w:eastAsia="zh-CN"/>
              </w:rPr>
              <w:t>.</w:t>
            </w:r>
            <w:r>
              <w:rPr>
                <w:rFonts w:hint="default" w:cs="Times New Roman"/>
                <w:b w:val="0"/>
                <w:bCs w:val="0"/>
                <w:color w:val="auto"/>
                <w:szCs w:val="21"/>
                <w:highlight w:val="none"/>
                <w:lang w:eastAsia="zh-CN"/>
              </w:rPr>
              <w:t>投标</w:t>
            </w:r>
            <w:r>
              <w:rPr>
                <w:rFonts w:hint="eastAsia" w:cs="Times New Roman"/>
                <w:b w:val="0"/>
                <w:bCs w:val="0"/>
                <w:color w:val="auto"/>
                <w:szCs w:val="21"/>
                <w:highlight w:val="none"/>
                <w:lang w:eastAsia="zh-CN"/>
              </w:rPr>
              <w:t>人</w:t>
            </w:r>
            <w:r>
              <w:rPr>
                <w:rFonts w:hint="default" w:cs="Times New Roman"/>
                <w:b w:val="0"/>
                <w:bCs w:val="0"/>
                <w:color w:val="auto"/>
                <w:szCs w:val="21"/>
                <w:highlight w:val="none"/>
                <w:lang w:eastAsia="zh-CN"/>
              </w:rPr>
              <w:t>完成的勘查成果获得</w:t>
            </w:r>
            <w:r>
              <w:rPr>
                <w:rFonts w:hint="eastAsia" w:cs="Times New Roman"/>
                <w:b w:val="0"/>
                <w:bCs w:val="0"/>
                <w:color w:val="auto"/>
                <w:szCs w:val="21"/>
                <w:highlight w:val="none"/>
                <w:lang w:eastAsia="zh-CN"/>
              </w:rPr>
              <w:t>过</w:t>
            </w:r>
            <w:r>
              <w:rPr>
                <w:rFonts w:hint="default" w:cs="Times New Roman"/>
                <w:b w:val="0"/>
                <w:bCs w:val="0"/>
                <w:color w:val="auto"/>
                <w:szCs w:val="21"/>
                <w:highlight w:val="none"/>
                <w:lang w:eastAsia="zh-CN"/>
              </w:rPr>
              <w:t>省</w:t>
            </w:r>
            <w:r>
              <w:rPr>
                <w:rFonts w:hint="eastAsia" w:cs="Times New Roman"/>
                <w:b w:val="0"/>
                <w:bCs w:val="0"/>
                <w:color w:val="auto"/>
                <w:szCs w:val="21"/>
                <w:highlight w:val="none"/>
                <w:lang w:eastAsia="zh-CN"/>
              </w:rPr>
              <w:t>部</w:t>
            </w:r>
            <w:r>
              <w:rPr>
                <w:rFonts w:hint="default" w:cs="Times New Roman"/>
                <w:b w:val="0"/>
                <w:bCs w:val="0"/>
                <w:color w:val="auto"/>
                <w:szCs w:val="21"/>
                <w:highlight w:val="none"/>
                <w:lang w:eastAsia="zh-CN"/>
              </w:rPr>
              <w:t>级及以上机构颁发</w:t>
            </w:r>
            <w:r>
              <w:rPr>
                <w:rFonts w:hint="eastAsia" w:cs="Times New Roman"/>
                <w:b w:val="0"/>
                <w:bCs w:val="0"/>
                <w:color w:val="auto"/>
                <w:szCs w:val="21"/>
                <w:highlight w:val="none"/>
                <w:lang w:eastAsia="zh-CN"/>
              </w:rPr>
              <w:t>的</w:t>
            </w:r>
            <w:r>
              <w:rPr>
                <w:rFonts w:hint="default" w:cs="Times New Roman"/>
                <w:b w:val="0"/>
                <w:bCs w:val="0"/>
                <w:color w:val="auto"/>
                <w:szCs w:val="21"/>
                <w:highlight w:val="none"/>
                <w:lang w:eastAsia="zh-CN"/>
              </w:rPr>
              <w:t>科学技术奖项的，每提供一个计</w:t>
            </w:r>
            <w:r>
              <w:rPr>
                <w:rFonts w:hint="eastAsia" w:cs="Times New Roman"/>
                <w:b w:val="0"/>
                <w:bCs w:val="0"/>
                <w:color w:val="auto"/>
                <w:szCs w:val="21"/>
                <w:highlight w:val="none"/>
                <w:lang w:val="en-US" w:eastAsia="zh-CN"/>
              </w:rPr>
              <w:t>4</w:t>
            </w:r>
            <w:r>
              <w:rPr>
                <w:rFonts w:hint="default" w:cs="Times New Roman"/>
                <w:b w:val="0"/>
                <w:bCs w:val="0"/>
                <w:color w:val="auto"/>
                <w:szCs w:val="21"/>
                <w:highlight w:val="none"/>
                <w:lang w:eastAsia="zh-CN"/>
              </w:rPr>
              <w:t>分，最高计</w:t>
            </w:r>
            <w:r>
              <w:rPr>
                <w:rFonts w:hint="eastAsia" w:cs="Times New Roman"/>
                <w:b w:val="0"/>
                <w:bCs w:val="0"/>
                <w:color w:val="auto"/>
                <w:szCs w:val="21"/>
                <w:highlight w:val="none"/>
                <w:lang w:val="en-US" w:eastAsia="zh-CN"/>
              </w:rPr>
              <w:t>8</w:t>
            </w:r>
            <w:r>
              <w:rPr>
                <w:rFonts w:hint="default" w:cs="Times New Roman"/>
                <w:b w:val="0"/>
                <w:bCs w:val="0"/>
                <w:color w:val="auto"/>
                <w:szCs w:val="21"/>
                <w:highlight w:val="none"/>
                <w:lang w:eastAsia="zh-CN"/>
              </w:rPr>
              <w:t>分；</w:t>
            </w:r>
          </w:p>
          <w:p w14:paraId="78456ED7">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firstLine="420" w:firstLineChars="200"/>
              <w:jc w:val="left"/>
              <w:rPr>
                <w:rFonts w:hint="default" w:cs="Times New Roman"/>
                <w:b w:val="0"/>
                <w:bCs w:val="0"/>
                <w:color w:val="auto"/>
                <w:szCs w:val="21"/>
                <w:highlight w:val="none"/>
                <w:lang w:eastAsia="zh-CN"/>
              </w:rPr>
            </w:pPr>
            <w:r>
              <w:rPr>
                <w:rFonts w:hint="eastAsia" w:cs="Times New Roman"/>
                <w:b w:val="0"/>
                <w:bCs w:val="0"/>
                <w:color w:val="auto"/>
                <w:szCs w:val="21"/>
                <w:highlight w:val="none"/>
                <w:lang w:val="en-US" w:eastAsia="zh-CN"/>
              </w:rPr>
              <w:t>3</w:t>
            </w:r>
            <w:r>
              <w:rPr>
                <w:rFonts w:hint="eastAsia" w:ascii="宋体" w:hAnsi="宋体" w:cs="Arial"/>
                <w:b w:val="0"/>
                <w:bCs w:val="0"/>
                <w:color w:val="auto"/>
                <w:kern w:val="0"/>
                <w:szCs w:val="21"/>
                <w:lang w:eastAsia="zh-CN"/>
              </w:rPr>
              <w:t>.</w:t>
            </w:r>
            <w:r>
              <w:rPr>
                <w:rFonts w:hint="default" w:cs="Times New Roman"/>
                <w:b w:val="0"/>
                <w:bCs w:val="0"/>
                <w:color w:val="auto"/>
                <w:szCs w:val="21"/>
                <w:highlight w:val="none"/>
                <w:lang w:eastAsia="zh-CN"/>
              </w:rPr>
              <w:t>投标人具有国家科学技术进步奖，每提供一个计</w:t>
            </w:r>
            <w:r>
              <w:rPr>
                <w:rFonts w:hint="eastAsia" w:cs="Times New Roman"/>
                <w:b w:val="0"/>
                <w:bCs w:val="0"/>
                <w:color w:val="auto"/>
                <w:szCs w:val="21"/>
                <w:highlight w:val="none"/>
                <w:lang w:val="en-US" w:eastAsia="zh-CN"/>
              </w:rPr>
              <w:t>4</w:t>
            </w:r>
            <w:r>
              <w:rPr>
                <w:rFonts w:hint="default" w:cs="Times New Roman"/>
                <w:b w:val="0"/>
                <w:bCs w:val="0"/>
                <w:color w:val="auto"/>
                <w:szCs w:val="21"/>
                <w:highlight w:val="none"/>
                <w:lang w:eastAsia="zh-CN"/>
              </w:rPr>
              <w:t>分；具有省或部级科学技术进步奖，每提供一个计</w:t>
            </w:r>
            <w:r>
              <w:rPr>
                <w:rFonts w:hint="eastAsia" w:cs="Times New Roman"/>
                <w:b w:val="0"/>
                <w:bCs w:val="0"/>
                <w:color w:val="auto"/>
                <w:szCs w:val="21"/>
                <w:highlight w:val="none"/>
                <w:lang w:val="en-US" w:eastAsia="zh-CN"/>
              </w:rPr>
              <w:t>2</w:t>
            </w:r>
            <w:r>
              <w:rPr>
                <w:rFonts w:hint="default" w:cs="Times New Roman"/>
                <w:b w:val="0"/>
                <w:bCs w:val="0"/>
                <w:color w:val="auto"/>
                <w:szCs w:val="21"/>
                <w:highlight w:val="none"/>
                <w:lang w:eastAsia="zh-CN"/>
              </w:rPr>
              <w:t>分；具有县或市级科学技术进步奖，每提供一个计</w:t>
            </w:r>
            <w:r>
              <w:rPr>
                <w:rFonts w:hint="eastAsia" w:cs="Times New Roman"/>
                <w:b w:val="0"/>
                <w:bCs w:val="0"/>
                <w:color w:val="auto"/>
                <w:szCs w:val="21"/>
                <w:highlight w:val="none"/>
                <w:lang w:val="en-US" w:eastAsia="zh-CN"/>
              </w:rPr>
              <w:t>1</w:t>
            </w:r>
            <w:r>
              <w:rPr>
                <w:rFonts w:hint="default" w:cs="Times New Roman"/>
                <w:b w:val="0"/>
                <w:bCs w:val="0"/>
                <w:color w:val="auto"/>
                <w:szCs w:val="21"/>
                <w:highlight w:val="none"/>
                <w:lang w:eastAsia="zh-CN"/>
              </w:rPr>
              <w:t>分，最高计</w:t>
            </w:r>
            <w:r>
              <w:rPr>
                <w:rFonts w:hint="eastAsia" w:cs="Times New Roman"/>
                <w:b w:val="0"/>
                <w:bCs w:val="0"/>
                <w:color w:val="auto"/>
                <w:szCs w:val="21"/>
                <w:highlight w:val="none"/>
                <w:lang w:val="en-US" w:eastAsia="zh-CN"/>
              </w:rPr>
              <w:t>4</w:t>
            </w:r>
            <w:r>
              <w:rPr>
                <w:rFonts w:hint="default" w:cs="Times New Roman"/>
                <w:b w:val="0"/>
                <w:bCs w:val="0"/>
                <w:color w:val="auto"/>
                <w:szCs w:val="21"/>
                <w:highlight w:val="none"/>
                <w:lang w:eastAsia="zh-CN"/>
              </w:rPr>
              <w:t>分。</w:t>
            </w:r>
          </w:p>
          <w:p w14:paraId="3FE614CC">
            <w:pPr>
              <w:keepNext w:val="0"/>
              <w:keepLines w:val="0"/>
              <w:pageBreakBefore w:val="0"/>
              <w:widowControl/>
              <w:numPr>
                <w:ilvl w:val="0"/>
                <w:numId w:val="0"/>
              </w:numPr>
              <w:kinsoku/>
              <w:wordWrap/>
              <w:overflowPunct/>
              <w:topLinePunct w:val="0"/>
              <w:autoSpaceDE/>
              <w:autoSpaceDN/>
              <w:bidi w:val="0"/>
              <w:adjustRightInd/>
              <w:snapToGrid/>
              <w:spacing w:after="113" w:line="329" w:lineRule="atLeast"/>
              <w:ind w:left="0" w:leftChars="0" w:firstLine="420" w:firstLineChars="200"/>
              <w:jc w:val="left"/>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val="0"/>
                <w:bCs w:val="0"/>
                <w:color w:val="auto"/>
                <w:kern w:val="0"/>
                <w:szCs w:val="21"/>
                <w:lang w:val="en-US" w:eastAsia="zh-CN"/>
              </w:rPr>
              <w:t>注：</w:t>
            </w:r>
            <w:r>
              <w:rPr>
                <w:rFonts w:hint="default" w:cs="Times New Roman"/>
                <w:b w:val="0"/>
                <w:bCs w:val="0"/>
                <w:color w:val="auto"/>
                <w:szCs w:val="21"/>
                <w:highlight w:val="none"/>
                <w:lang w:eastAsia="zh-CN"/>
              </w:rPr>
              <w:t>该项需提供证明材料扫描件并加盖投标人公章，否则不计分。该项最高计</w:t>
            </w:r>
            <w:r>
              <w:rPr>
                <w:rFonts w:hint="eastAsia" w:cs="Times New Roman"/>
                <w:b w:val="0"/>
                <w:bCs w:val="0"/>
                <w:color w:val="auto"/>
                <w:szCs w:val="21"/>
                <w:highlight w:val="none"/>
                <w:lang w:val="en-US" w:eastAsia="zh-CN"/>
              </w:rPr>
              <w:t>20</w:t>
            </w:r>
            <w:r>
              <w:rPr>
                <w:rFonts w:hint="default" w:cs="Times New Roman"/>
                <w:b w:val="0"/>
                <w:bCs w:val="0"/>
                <w:color w:val="auto"/>
                <w:szCs w:val="21"/>
                <w:highlight w:val="none"/>
                <w:lang w:eastAsia="zh-CN"/>
              </w:rPr>
              <w:t>分。</w:t>
            </w:r>
          </w:p>
        </w:tc>
      </w:tr>
      <w:tr w14:paraId="4AE39593">
        <w:tblPrEx>
          <w:tblCellMar>
            <w:top w:w="0" w:type="dxa"/>
            <w:left w:w="0" w:type="dxa"/>
            <w:bottom w:w="0" w:type="dxa"/>
            <w:right w:w="0" w:type="dxa"/>
          </w:tblCellMar>
        </w:tblPrEx>
        <w:trPr>
          <w:trHeight w:val="492" w:hRule="atLeast"/>
          <w:jc w:val="center"/>
        </w:trPr>
        <w:tc>
          <w:tcPr>
            <w:tcW w:w="626" w:type="dxa"/>
            <w:tcBorders>
              <w:left w:val="single" w:color="000000" w:sz="6" w:space="0"/>
              <w:right w:val="single" w:color="000000" w:sz="6" w:space="0"/>
            </w:tcBorders>
            <w:tcMar>
              <w:top w:w="0" w:type="dxa"/>
              <w:left w:w="0" w:type="dxa"/>
              <w:bottom w:w="0" w:type="dxa"/>
              <w:right w:w="0" w:type="dxa"/>
            </w:tcMar>
            <w:vAlign w:val="center"/>
          </w:tcPr>
          <w:p w14:paraId="4F12620E">
            <w:pPr>
              <w:widowControl/>
              <w:spacing w:line="360" w:lineRule="exact"/>
              <w:jc w:val="left"/>
              <w:rPr>
                <w:rFonts w:hint="default" w:ascii="Times New Roman" w:hAnsi="Times New Roman" w:cs="Times New Roman"/>
                <w:color w:val="auto"/>
                <w:kern w:val="0"/>
                <w:szCs w:val="21"/>
              </w:rPr>
            </w:pPr>
          </w:p>
        </w:tc>
        <w:tc>
          <w:tcPr>
            <w:tcW w:w="1104" w:type="dxa"/>
            <w:tcBorders>
              <w:top w:val="single" w:color="auto" w:sz="4"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38307C5C">
            <w:pPr>
              <w:widowControl/>
              <w:spacing w:line="360" w:lineRule="exact"/>
              <w:jc w:val="center"/>
              <w:textAlignment w:val="baseline"/>
              <w:rPr>
                <w:rFonts w:hint="eastAsia" w:ascii="Times New Roman" w:hAnsi="Times New Roman" w:eastAsia="宋体" w:cs="Times New Roman"/>
                <w:color w:val="auto"/>
                <w:kern w:val="0"/>
                <w:sz w:val="21"/>
                <w:szCs w:val="21"/>
                <w:lang w:val="en-US" w:eastAsia="zh-CN" w:bidi="ar-SA"/>
              </w:rPr>
            </w:pPr>
            <w:r>
              <w:rPr>
                <w:rFonts w:hint="default" w:ascii="Times New Roman" w:hAnsi="Times New Roman" w:cs="Times New Roman"/>
                <w:b w:val="0"/>
                <w:bCs w:val="0"/>
                <w:color w:val="auto"/>
                <w:kern w:val="0"/>
                <w:szCs w:val="21"/>
              </w:rPr>
              <w:t>售后服务方案</w:t>
            </w:r>
          </w:p>
        </w:tc>
        <w:tc>
          <w:tcPr>
            <w:tcW w:w="733" w:type="dxa"/>
            <w:tcBorders>
              <w:top w:val="single" w:color="000000" w:sz="6" w:space="0"/>
              <w:left w:val="single" w:color="000000" w:sz="6" w:space="0"/>
              <w:bottom w:val="single" w:color="auto" w:sz="4" w:space="0"/>
              <w:right w:val="single" w:color="000000" w:sz="6" w:space="0"/>
            </w:tcBorders>
            <w:shd w:val="clear" w:color="auto" w:fill="auto"/>
            <w:tcMar>
              <w:top w:w="0" w:type="dxa"/>
              <w:left w:w="0" w:type="dxa"/>
              <w:bottom w:w="0" w:type="dxa"/>
              <w:right w:w="0" w:type="dxa"/>
            </w:tcMar>
            <w:vAlign w:val="center"/>
          </w:tcPr>
          <w:p w14:paraId="0AE7C531">
            <w:pPr>
              <w:widowControl/>
              <w:spacing w:line="360" w:lineRule="exact"/>
              <w:jc w:val="center"/>
              <w:textAlignment w:val="baseline"/>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Cs w:val="21"/>
                <w:lang w:val="en-US" w:eastAsia="zh-CN"/>
              </w:rPr>
              <w:t>10分</w:t>
            </w:r>
          </w:p>
        </w:tc>
        <w:tc>
          <w:tcPr>
            <w:tcW w:w="6382" w:type="dxa"/>
            <w:tcBorders>
              <w:top w:val="single" w:color="000000" w:sz="6" w:space="0"/>
              <w:left w:val="single" w:color="000000" w:sz="6" w:space="0"/>
              <w:bottom w:val="single" w:color="000000" w:sz="6" w:space="0"/>
              <w:right w:val="single" w:color="000000" w:sz="6" w:space="0"/>
            </w:tcBorders>
            <w:shd w:val="clear" w:color="auto" w:fill="auto"/>
            <w:tcMar>
              <w:top w:w="0" w:type="dxa"/>
              <w:left w:w="0" w:type="dxa"/>
              <w:bottom w:w="0" w:type="dxa"/>
              <w:right w:w="0" w:type="dxa"/>
            </w:tcMar>
            <w:vAlign w:val="center"/>
          </w:tcPr>
          <w:p w14:paraId="14D994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baseline"/>
              <w:rPr>
                <w:rFonts w:hint="default" w:ascii="Times New Roman" w:hAnsi="Times New Roman" w:cs="Times New Roman"/>
                <w:color w:val="auto"/>
                <w:highlight w:val="none"/>
              </w:rPr>
            </w:pPr>
            <w:r>
              <w:rPr>
                <w:rFonts w:hint="eastAsia" w:ascii="宋体" w:hAnsi="宋体" w:cs="Arial"/>
                <w:b w:val="0"/>
                <w:bCs w:val="0"/>
                <w:color w:val="auto"/>
                <w:kern w:val="0"/>
                <w:szCs w:val="21"/>
              </w:rPr>
              <w:t>1</w:t>
            </w:r>
            <w:r>
              <w:rPr>
                <w:rFonts w:hint="eastAsia" w:ascii="宋体" w:hAnsi="宋体" w:cs="Arial"/>
                <w:b w:val="0"/>
                <w:bCs w:val="0"/>
                <w:color w:val="auto"/>
                <w:kern w:val="0"/>
                <w:szCs w:val="21"/>
                <w:lang w:eastAsia="zh-CN"/>
              </w:rPr>
              <w:t>.</w:t>
            </w:r>
            <w:r>
              <w:rPr>
                <w:rFonts w:hint="default" w:ascii="Times New Roman" w:hAnsi="Times New Roman" w:cs="Times New Roman"/>
                <w:b w:val="0"/>
                <w:bCs w:val="0"/>
                <w:color w:val="auto"/>
                <w:kern w:val="0"/>
                <w:szCs w:val="21"/>
              </w:rPr>
              <w:t>投标人具有售后服务方案，且售后服务方案（</w:t>
            </w:r>
            <w:r>
              <w:rPr>
                <w:rFonts w:hint="eastAsia" w:cs="Times New Roman"/>
                <w:b w:val="0"/>
                <w:bCs w:val="0"/>
                <w:color w:val="auto"/>
                <w:kern w:val="0"/>
                <w:szCs w:val="21"/>
                <w:lang w:eastAsia="zh-CN"/>
              </w:rPr>
              <w:t>含</w:t>
            </w:r>
            <w:r>
              <w:rPr>
                <w:rFonts w:hint="default" w:ascii="Times New Roman" w:hAnsi="Times New Roman" w:cs="Times New Roman"/>
                <w:b w:val="0"/>
                <w:bCs w:val="0"/>
                <w:color w:val="auto"/>
                <w:kern w:val="0"/>
                <w:szCs w:val="21"/>
              </w:rPr>
              <w:t>承诺完成的内容、深度、时间、后续服务保证措施等）服务承诺全面、合理</w:t>
            </w:r>
            <w:r>
              <w:rPr>
                <w:rFonts w:hint="eastAsia" w:cs="Times New Roman"/>
                <w:b w:val="0"/>
                <w:bCs w:val="0"/>
                <w:color w:val="auto"/>
                <w:kern w:val="0"/>
                <w:szCs w:val="21"/>
                <w:lang w:eastAsia="zh-CN"/>
              </w:rPr>
              <w:t>、满足项目需求的</w:t>
            </w:r>
            <w:r>
              <w:rPr>
                <w:rFonts w:hint="default" w:ascii="Times New Roman" w:hAnsi="Times New Roman" w:cs="Times New Roman"/>
                <w:color w:val="auto"/>
                <w:highlight w:val="none"/>
              </w:rPr>
              <w:t>计</w:t>
            </w:r>
            <w:r>
              <w:rPr>
                <w:rFonts w:hint="eastAsia" w:cs="Times New Roman"/>
                <w:color w:val="auto"/>
                <w:highlight w:val="none"/>
                <w:lang w:val="en-US" w:eastAsia="zh-CN"/>
              </w:rPr>
              <w:t>10</w:t>
            </w:r>
            <w:r>
              <w:rPr>
                <w:rFonts w:hint="default" w:ascii="Times New Roman" w:hAnsi="Times New Roman" w:cs="Times New Roman"/>
                <w:color w:val="auto"/>
                <w:highlight w:val="none"/>
              </w:rPr>
              <w:t>分，</w:t>
            </w:r>
            <w:r>
              <w:rPr>
                <w:rFonts w:hint="default" w:ascii="Times New Roman" w:hAnsi="Times New Roman" w:cs="Times New Roman"/>
                <w:color w:val="auto"/>
                <w:highlight w:val="none"/>
                <w:lang w:val="en-US" w:eastAsia="zh-CN"/>
              </w:rPr>
              <w:t>有缺漏项的每处扣</w:t>
            </w:r>
            <w:r>
              <w:rPr>
                <w:rFonts w:hint="eastAsia" w:cs="Times New Roman"/>
                <w:color w:val="auto"/>
                <w:highlight w:val="none"/>
                <w:lang w:val="en-US" w:eastAsia="zh-CN"/>
              </w:rPr>
              <w:t>2.5</w:t>
            </w:r>
            <w:r>
              <w:rPr>
                <w:rFonts w:hint="default" w:ascii="Times New Roman" w:hAnsi="Times New Roman" w:cs="Times New Roman"/>
                <w:color w:val="auto"/>
                <w:highlight w:val="none"/>
                <w:lang w:val="en-US" w:eastAsia="zh-CN"/>
              </w:rPr>
              <w:t>分；</w:t>
            </w:r>
            <w:r>
              <w:rPr>
                <w:rFonts w:hint="default" w:ascii="Times New Roman" w:hAnsi="Times New Roman" w:cs="Times New Roman"/>
                <w:color w:val="auto"/>
                <w:highlight w:val="none"/>
              </w:rPr>
              <w:t>有欠合理的每处扣</w:t>
            </w:r>
            <w:r>
              <w:rPr>
                <w:rFonts w:hint="eastAsia" w:cs="Times New Roman"/>
                <w:color w:val="auto"/>
                <w:highlight w:val="none"/>
                <w:lang w:val="en-US" w:eastAsia="zh-CN"/>
              </w:rPr>
              <w:t>1</w:t>
            </w:r>
            <w:r>
              <w:rPr>
                <w:rFonts w:hint="default" w:ascii="Times New Roman" w:hAnsi="Times New Roman" w:cs="Times New Roman"/>
                <w:color w:val="auto"/>
                <w:highlight w:val="none"/>
              </w:rPr>
              <w:t>分，本项分数扣完为止</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未提供不得分</w:t>
            </w:r>
            <w:r>
              <w:rPr>
                <w:rFonts w:hint="default" w:ascii="Times New Roman" w:hAnsi="Times New Roman" w:cs="Times New Roman"/>
                <w:color w:val="auto"/>
                <w:highlight w:val="none"/>
              </w:rPr>
              <w:t>。</w:t>
            </w:r>
          </w:p>
          <w:p w14:paraId="55E3569C">
            <w:pPr>
              <w:pStyle w:val="123"/>
              <w:keepNext w:val="0"/>
              <w:keepLines w:val="0"/>
              <w:pageBreakBefore w:val="0"/>
              <w:widowControl/>
              <w:kinsoku/>
              <w:wordWrap/>
              <w:overflowPunct/>
              <w:topLinePunct w:val="0"/>
              <w:autoSpaceDE/>
              <w:autoSpaceDN/>
              <w:bidi w:val="0"/>
              <w:adjustRightInd/>
              <w:snapToGrid/>
              <w:spacing w:line="300" w:lineRule="auto"/>
              <w:ind w:firstLine="422" w:firstLineChars="200"/>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①欠合理是指内容不完整、照搬采购需求、未贴合采购需求、非专门针对本项目或者不适用本项目、套用其他项目方案、内容前后矛盾、存在歧义、逻辑混乱、错别字、无条理性、方案内容空洞等。</w:t>
            </w:r>
          </w:p>
          <w:p w14:paraId="14ABA511">
            <w:pPr>
              <w:keepNext w:val="0"/>
              <w:keepLines w:val="0"/>
              <w:pageBreakBefore w:val="0"/>
              <w:widowControl/>
              <w:kinsoku/>
              <w:wordWrap/>
              <w:overflowPunct/>
              <w:topLinePunct w:val="0"/>
              <w:autoSpaceDE/>
              <w:autoSpaceDN/>
              <w:bidi w:val="0"/>
              <w:adjustRightInd/>
              <w:snapToGrid/>
              <w:spacing w:after="113" w:line="329" w:lineRule="atLeast"/>
              <w:ind w:firstLine="422" w:firstLineChars="200"/>
              <w:jc w:val="left"/>
              <w:rPr>
                <w:rFonts w:hint="default"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b/>
                <w:bCs/>
                <w:color w:val="auto"/>
                <w:szCs w:val="21"/>
                <w:highlight w:val="none"/>
              </w:rPr>
              <w:t>②缺漏项是指未提供对应内容；不满足是指方案中项目名称或其他项目信息与需求不符、涉及的技术规范标准等与国家或行业或招标文件要求不一致、表述错误。</w:t>
            </w:r>
          </w:p>
        </w:tc>
      </w:tr>
      <w:tr w14:paraId="01002B1F">
        <w:tblPrEx>
          <w:tblCellMar>
            <w:top w:w="0" w:type="dxa"/>
            <w:left w:w="0" w:type="dxa"/>
            <w:bottom w:w="0" w:type="dxa"/>
            <w:right w:w="0" w:type="dxa"/>
          </w:tblCellMar>
        </w:tblPrEx>
        <w:trPr>
          <w:jc w:val="center"/>
        </w:trPr>
        <w:tc>
          <w:tcPr>
            <w:tcW w:w="626" w:type="dxa"/>
            <w:vMerge w:val="restart"/>
            <w:tcBorders>
              <w:top w:val="single" w:color="auto" w:sz="4"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AB7168C">
            <w:pPr>
              <w:widowControl/>
              <w:spacing w:line="360" w:lineRule="exact"/>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价格部分</w:t>
            </w:r>
            <w:r>
              <w:rPr>
                <w:rFonts w:hint="default" w:ascii="Times New Roman" w:hAnsi="Times New Roman" w:cs="Times New Roman"/>
                <w:color w:val="auto"/>
                <w:kern w:val="0"/>
                <w:szCs w:val="21"/>
                <w:highlight w:val="none"/>
              </w:rPr>
              <w:t>(</w:t>
            </w:r>
            <w:r>
              <w:rPr>
                <w:rFonts w:hint="eastAsia" w:cs="Times New Roman"/>
                <w:color w:val="auto"/>
                <w:kern w:val="0"/>
                <w:szCs w:val="21"/>
                <w:highlight w:val="none"/>
                <w:lang w:val="en-US" w:eastAsia="zh-CN"/>
              </w:rPr>
              <w:t>A</w:t>
            </w:r>
            <w:r>
              <w:rPr>
                <w:rFonts w:hint="default" w:ascii="Times New Roman" w:hAnsi="Times New Roman" w:cs="Times New Roman"/>
                <w:color w:val="auto"/>
                <w:kern w:val="0"/>
                <w:szCs w:val="21"/>
                <w:highlight w:val="none"/>
              </w:rPr>
              <w:t>3)</w:t>
            </w:r>
          </w:p>
        </w:tc>
        <w:tc>
          <w:tcPr>
            <w:tcW w:w="1104" w:type="dxa"/>
            <w:tcBorders>
              <w:top w:val="single" w:color="auto" w:sz="4"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FAE263D">
            <w:pPr>
              <w:widowControl/>
              <w:spacing w:line="360" w:lineRule="exact"/>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投标报价 </w:t>
            </w:r>
          </w:p>
        </w:tc>
        <w:tc>
          <w:tcPr>
            <w:tcW w:w="733"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7324A7D">
            <w:pPr>
              <w:widowControl/>
              <w:spacing w:line="360" w:lineRule="exact"/>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100分 </w:t>
            </w:r>
          </w:p>
        </w:tc>
        <w:tc>
          <w:tcPr>
            <w:tcW w:w="6382"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A16849C">
            <w:pPr>
              <w:keepNext w:val="0"/>
              <w:keepLines w:val="0"/>
              <w:pageBreakBefore w:val="0"/>
              <w:widowControl/>
              <w:kinsoku/>
              <w:wordWrap/>
              <w:overflowPunct/>
              <w:topLinePunct w:val="0"/>
              <w:autoSpaceDE/>
              <w:autoSpaceDN/>
              <w:bidi w:val="0"/>
              <w:adjustRightInd/>
              <w:snapToGrid/>
              <w:spacing w:after="120" w:line="360" w:lineRule="exact"/>
              <w:ind w:left="105" w:leftChars="50" w:right="105" w:rightChars="50" w:firstLine="420" w:firstLineChars="200"/>
              <w:jc w:val="left"/>
              <w:textAlignment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投标报价调整（扶持中小企业发展优惠政策、残疾人福利性单位优惠政策）：如整包投标，整包某一品目为中小企业产品或残疾人福利性单位产品，只对其品目中小企业产品或残疾人福利性单位产品报价进行折扣，再合计到投标报价总价中。本项目的具体扣除比例详见第四章 评标方法及标准。</w:t>
            </w:r>
          </w:p>
          <w:p w14:paraId="73235891">
            <w:pPr>
              <w:keepNext w:val="0"/>
              <w:keepLines w:val="0"/>
              <w:pageBreakBefore w:val="0"/>
              <w:widowControl/>
              <w:kinsoku/>
              <w:wordWrap/>
              <w:overflowPunct/>
              <w:topLinePunct w:val="0"/>
              <w:autoSpaceDE/>
              <w:autoSpaceDN/>
              <w:bidi w:val="0"/>
              <w:adjustRightInd/>
              <w:snapToGrid/>
              <w:spacing w:after="120" w:line="360" w:lineRule="exact"/>
              <w:ind w:left="105" w:leftChars="50" w:right="105" w:rightChars="50" w:firstLine="420" w:firstLineChars="200"/>
              <w:jc w:val="left"/>
              <w:textAlignment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2、满足招标文件要求且投标报价中最低的投标报价为评标基准价其价格分为满分；其他投标人的价格分统一按照以下公式计算：</w:t>
            </w:r>
          </w:p>
          <w:p w14:paraId="0700C15B">
            <w:pPr>
              <w:keepNext w:val="0"/>
              <w:keepLines w:val="0"/>
              <w:pageBreakBefore w:val="0"/>
              <w:widowControl/>
              <w:kinsoku/>
              <w:wordWrap/>
              <w:overflowPunct/>
              <w:topLinePunct w:val="0"/>
              <w:autoSpaceDE/>
              <w:autoSpaceDN/>
              <w:bidi w:val="0"/>
              <w:adjustRightInd/>
              <w:snapToGrid/>
              <w:spacing w:after="120" w:line="360" w:lineRule="exact"/>
              <w:ind w:left="105" w:leftChars="50" w:right="105" w:rightChars="50" w:firstLine="420" w:firstLineChars="200"/>
              <w:jc w:val="left"/>
              <w:textAlignment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投标报价得分=（评标基准价/投标报价）×价格权值×100 </w:t>
            </w:r>
          </w:p>
        </w:tc>
      </w:tr>
      <w:tr w14:paraId="7851EB49">
        <w:tblPrEx>
          <w:tblCellMar>
            <w:top w:w="0" w:type="dxa"/>
            <w:left w:w="0" w:type="dxa"/>
            <w:bottom w:w="0" w:type="dxa"/>
            <w:right w:w="0" w:type="dxa"/>
          </w:tblCellMar>
        </w:tblPrEx>
        <w:trPr>
          <w:jc w:val="center"/>
        </w:trPr>
        <w:tc>
          <w:tcPr>
            <w:tcW w:w="626" w:type="dxa"/>
            <w:vMerge w:val="continue"/>
            <w:tcBorders>
              <w:top w:val="single" w:color="000000" w:sz="6" w:space="0"/>
              <w:left w:val="single" w:color="000000" w:sz="6" w:space="0"/>
              <w:bottom w:val="single" w:color="000000" w:sz="6" w:space="0"/>
              <w:right w:val="single" w:color="000000" w:sz="6" w:space="0"/>
            </w:tcBorders>
            <w:vAlign w:val="center"/>
          </w:tcPr>
          <w:p w14:paraId="57BB9CED">
            <w:pPr>
              <w:widowControl/>
              <w:spacing w:line="360" w:lineRule="exact"/>
              <w:jc w:val="left"/>
              <w:rPr>
                <w:rFonts w:hint="default" w:ascii="Times New Roman" w:hAnsi="Times New Roman" w:cs="Times New Roman"/>
                <w:color w:val="auto"/>
                <w:kern w:val="0"/>
                <w:szCs w:val="21"/>
              </w:rPr>
            </w:pPr>
          </w:p>
        </w:tc>
        <w:tc>
          <w:tcPr>
            <w:tcW w:w="8219" w:type="dxa"/>
            <w:gridSpan w:val="3"/>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7C17F02">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 xml:space="preserve">节能、环境标志产品加分(此仅限于节能、环境标志政府采购品目清单内产品，不是品目清单内的产品，在评审时不予以考虑)： </w:t>
            </w:r>
          </w:p>
          <w:p w14:paraId="1977DE6E">
            <w:pPr>
              <w:widowControl/>
              <w:spacing w:line="360" w:lineRule="exact"/>
              <w:ind w:firstLine="210" w:firstLineChars="100"/>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所投环保产品的价格</w:t>
            </w:r>
          </w:p>
          <w:p w14:paraId="26CF149D">
            <w:pPr>
              <w:widowControl/>
              <w:spacing w:line="360" w:lineRule="exact"/>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———————————×价格权值×100×本项目加分比例=应加分数</w:t>
            </w:r>
          </w:p>
          <w:p w14:paraId="553DC3F5">
            <w:pPr>
              <w:widowControl/>
              <w:spacing w:line="360" w:lineRule="exact"/>
              <w:ind w:firstLine="525" w:firstLineChars="250"/>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项目总价格</w:t>
            </w:r>
          </w:p>
          <w:p w14:paraId="34E2998B">
            <w:pPr>
              <w:widowControl/>
              <w:spacing w:line="360" w:lineRule="exac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注：整包中某一品目为节能、环境标志政府采购品目清单内产品时只对该品目价格加分，并合计到价格最终得分。</w:t>
            </w:r>
          </w:p>
        </w:tc>
      </w:tr>
    </w:tbl>
    <w:p w14:paraId="16A8D80A">
      <w:pPr>
        <w:widowControl/>
        <w:jc w:val="left"/>
        <w:rPr>
          <w:rFonts w:hint="default" w:ascii="Times New Roman" w:hAnsi="Times New Roman" w:eastAsia="黑体" w:cs="Times New Roman"/>
          <w:b/>
          <w:bCs/>
          <w:color w:val="auto"/>
          <w:sz w:val="32"/>
          <w:szCs w:val="32"/>
        </w:rPr>
      </w:pPr>
      <w:r>
        <w:rPr>
          <w:rFonts w:hint="default" w:ascii="Times New Roman" w:hAnsi="Times New Roman" w:eastAsia="黑体" w:cs="Times New Roman"/>
          <w:b/>
          <w:color w:val="auto"/>
          <w:sz w:val="28"/>
          <w:szCs w:val="28"/>
        </w:rPr>
        <w:br w:type="page"/>
      </w:r>
    </w:p>
    <w:p w14:paraId="4B1E0728">
      <w:pPr>
        <w:pStyle w:val="2"/>
        <w:keepNext w:val="0"/>
        <w:adjustRightInd w:val="0"/>
        <w:snapToGrid w:val="0"/>
        <w:spacing w:beforeLines="50" w:line="360" w:lineRule="auto"/>
        <w:rPr>
          <w:rFonts w:hint="default" w:ascii="Times New Roman" w:hAnsi="Times New Roman" w:eastAsia="黑体" w:cs="Times New Roman"/>
          <w:color w:val="auto"/>
          <w:sz w:val="32"/>
          <w:szCs w:val="32"/>
        </w:rPr>
      </w:pPr>
      <w:bookmarkStart w:id="131" w:name="_Toc16677"/>
      <w:bookmarkStart w:id="132" w:name="_Toc22482"/>
      <w:bookmarkStart w:id="133" w:name="_Toc29913941"/>
      <w:r>
        <w:rPr>
          <w:rFonts w:hint="default" w:ascii="Times New Roman" w:hAnsi="Times New Roman" w:eastAsia="黑体" w:cs="Times New Roman"/>
          <w:color w:val="auto"/>
          <w:sz w:val="32"/>
          <w:szCs w:val="32"/>
        </w:rPr>
        <w:t>第五章 采购需求</w:t>
      </w:r>
      <w:bookmarkEnd w:id="131"/>
      <w:bookmarkEnd w:id="132"/>
      <w:bookmarkEnd w:id="133"/>
    </w:p>
    <w:p w14:paraId="4DFCF65F">
      <w:pPr>
        <w:pStyle w:val="4"/>
        <w:adjustRightInd w:val="0"/>
        <w:snapToGrid w:val="0"/>
        <w:spacing w:beforeLines="50"/>
        <w:jc w:val="center"/>
        <w:rPr>
          <w:rFonts w:hint="default" w:ascii="Times New Roman" w:hAnsi="Times New Roman" w:eastAsia="黑体" w:cs="Times New Roman"/>
          <w:color w:val="auto"/>
          <w:sz w:val="52"/>
          <w:szCs w:val="52"/>
        </w:rPr>
      </w:pPr>
      <w:bookmarkStart w:id="134" w:name="_Toc6934"/>
      <w:bookmarkStart w:id="135" w:name="_Toc26541"/>
      <w:r>
        <w:rPr>
          <w:rFonts w:hint="default" w:ascii="Times New Roman" w:hAnsi="Times New Roman" w:eastAsia="黑体" w:cs="Times New Roman"/>
          <w:color w:val="auto"/>
          <w:sz w:val="28"/>
          <w:szCs w:val="28"/>
        </w:rPr>
        <w:t>第一节 采购清单一览表</w:t>
      </w:r>
      <w:bookmarkEnd w:id="134"/>
      <w:bookmarkEnd w:id="135"/>
    </w:p>
    <w:tbl>
      <w:tblPr>
        <w:tblStyle w:val="43"/>
        <w:tblW w:w="9071" w:type="dxa"/>
        <w:tblInd w:w="-17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17"/>
        <w:gridCol w:w="1877"/>
        <w:gridCol w:w="1517"/>
        <w:gridCol w:w="1316"/>
        <w:gridCol w:w="850"/>
        <w:gridCol w:w="1150"/>
        <w:gridCol w:w="1059"/>
        <w:gridCol w:w="585"/>
      </w:tblGrid>
      <w:tr w14:paraId="6E8AC1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717" w:type="dxa"/>
            <w:vMerge w:val="restart"/>
            <w:vAlign w:val="center"/>
          </w:tcPr>
          <w:p w14:paraId="1A449FA8">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包号</w:t>
            </w:r>
          </w:p>
        </w:tc>
        <w:tc>
          <w:tcPr>
            <w:tcW w:w="1877" w:type="dxa"/>
            <w:vMerge w:val="restart"/>
            <w:vAlign w:val="center"/>
          </w:tcPr>
          <w:p w14:paraId="25F2D42E">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包名称</w:t>
            </w:r>
          </w:p>
        </w:tc>
        <w:tc>
          <w:tcPr>
            <w:tcW w:w="1517" w:type="dxa"/>
            <w:vMerge w:val="restart"/>
            <w:vAlign w:val="center"/>
          </w:tcPr>
          <w:p w14:paraId="0307D570">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分项项目名称</w:t>
            </w:r>
          </w:p>
          <w:p w14:paraId="31436773">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（条目号/品目名称）</w:t>
            </w:r>
          </w:p>
        </w:tc>
        <w:tc>
          <w:tcPr>
            <w:tcW w:w="1316" w:type="dxa"/>
            <w:vMerge w:val="restart"/>
            <w:tcBorders>
              <w:left w:val="single" w:color="auto" w:sz="4" w:space="0"/>
            </w:tcBorders>
            <w:vAlign w:val="center"/>
          </w:tcPr>
          <w:p w14:paraId="7FD10D03">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配套货物是否接受进口产品投标</w:t>
            </w:r>
          </w:p>
        </w:tc>
        <w:tc>
          <w:tcPr>
            <w:tcW w:w="850" w:type="dxa"/>
            <w:vMerge w:val="restart"/>
            <w:vAlign w:val="center"/>
          </w:tcPr>
          <w:p w14:paraId="6C0C41F7">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c>
          <w:tcPr>
            <w:tcW w:w="2209" w:type="dxa"/>
            <w:gridSpan w:val="2"/>
            <w:vAlign w:val="center"/>
          </w:tcPr>
          <w:p w14:paraId="2F589ADC">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服务要求</w:t>
            </w:r>
          </w:p>
        </w:tc>
        <w:tc>
          <w:tcPr>
            <w:tcW w:w="585" w:type="dxa"/>
            <w:vMerge w:val="restart"/>
            <w:vAlign w:val="center"/>
          </w:tcPr>
          <w:p w14:paraId="1B1BEED4">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备注</w:t>
            </w:r>
          </w:p>
        </w:tc>
      </w:tr>
      <w:tr w14:paraId="1935BC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717" w:type="dxa"/>
            <w:vMerge w:val="continue"/>
            <w:vAlign w:val="center"/>
          </w:tcPr>
          <w:p w14:paraId="73EEE261">
            <w:pPr>
              <w:adjustRightInd w:val="0"/>
              <w:snapToGrid w:val="0"/>
              <w:spacing w:beforeLines="50" w:line="360" w:lineRule="auto"/>
              <w:rPr>
                <w:rFonts w:hint="default" w:ascii="Times New Roman" w:hAnsi="Times New Roman" w:cs="Times New Roman"/>
                <w:color w:val="auto"/>
                <w:szCs w:val="21"/>
              </w:rPr>
            </w:pPr>
          </w:p>
        </w:tc>
        <w:tc>
          <w:tcPr>
            <w:tcW w:w="1877" w:type="dxa"/>
            <w:vMerge w:val="continue"/>
            <w:vAlign w:val="center"/>
          </w:tcPr>
          <w:p w14:paraId="5D3AF13D">
            <w:pPr>
              <w:adjustRightInd w:val="0"/>
              <w:snapToGrid w:val="0"/>
              <w:spacing w:beforeLines="50" w:line="360" w:lineRule="auto"/>
              <w:rPr>
                <w:rFonts w:hint="default" w:ascii="Times New Roman" w:hAnsi="Times New Roman" w:cs="Times New Roman"/>
                <w:color w:val="auto"/>
                <w:szCs w:val="21"/>
              </w:rPr>
            </w:pPr>
          </w:p>
        </w:tc>
        <w:tc>
          <w:tcPr>
            <w:tcW w:w="1517" w:type="dxa"/>
            <w:vMerge w:val="continue"/>
            <w:vAlign w:val="center"/>
          </w:tcPr>
          <w:p w14:paraId="01E41BE3">
            <w:pPr>
              <w:adjustRightInd w:val="0"/>
              <w:snapToGrid w:val="0"/>
              <w:spacing w:beforeLines="50" w:line="360" w:lineRule="auto"/>
              <w:rPr>
                <w:rFonts w:hint="default" w:ascii="Times New Roman" w:hAnsi="Times New Roman" w:cs="Times New Roman"/>
                <w:color w:val="auto"/>
                <w:szCs w:val="21"/>
              </w:rPr>
            </w:pPr>
          </w:p>
        </w:tc>
        <w:tc>
          <w:tcPr>
            <w:tcW w:w="1316" w:type="dxa"/>
            <w:vMerge w:val="continue"/>
            <w:tcBorders>
              <w:left w:val="single" w:color="auto" w:sz="4" w:space="0"/>
            </w:tcBorders>
            <w:vAlign w:val="center"/>
          </w:tcPr>
          <w:p w14:paraId="2D4413E8">
            <w:pPr>
              <w:adjustRightInd w:val="0"/>
              <w:snapToGrid w:val="0"/>
              <w:spacing w:beforeLines="50" w:line="360" w:lineRule="auto"/>
              <w:rPr>
                <w:rFonts w:hint="default" w:ascii="Times New Roman" w:hAnsi="Times New Roman" w:cs="Times New Roman"/>
                <w:color w:val="auto"/>
                <w:szCs w:val="21"/>
              </w:rPr>
            </w:pPr>
          </w:p>
        </w:tc>
        <w:tc>
          <w:tcPr>
            <w:tcW w:w="850" w:type="dxa"/>
            <w:vMerge w:val="continue"/>
            <w:vAlign w:val="center"/>
          </w:tcPr>
          <w:p w14:paraId="6EC0929B">
            <w:pPr>
              <w:adjustRightInd w:val="0"/>
              <w:snapToGrid w:val="0"/>
              <w:spacing w:beforeLines="50" w:line="360" w:lineRule="auto"/>
              <w:rPr>
                <w:rFonts w:hint="default" w:ascii="Times New Roman" w:hAnsi="Times New Roman" w:cs="Times New Roman"/>
                <w:color w:val="auto"/>
                <w:szCs w:val="21"/>
              </w:rPr>
            </w:pPr>
          </w:p>
        </w:tc>
        <w:tc>
          <w:tcPr>
            <w:tcW w:w="1150" w:type="dxa"/>
            <w:vAlign w:val="center"/>
          </w:tcPr>
          <w:p w14:paraId="26EADF86">
            <w:pPr>
              <w:adjustRightInd w:val="0"/>
              <w:snapToGrid w:val="0"/>
              <w:spacing w:beforeLines="50"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时间</w:t>
            </w:r>
          </w:p>
        </w:tc>
        <w:tc>
          <w:tcPr>
            <w:tcW w:w="1059" w:type="dxa"/>
            <w:vAlign w:val="center"/>
          </w:tcPr>
          <w:p w14:paraId="5EBB3B82">
            <w:pPr>
              <w:adjustRightInd w:val="0"/>
              <w:snapToGrid w:val="0"/>
              <w:spacing w:beforeLines="50"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地点</w:t>
            </w:r>
          </w:p>
        </w:tc>
        <w:tc>
          <w:tcPr>
            <w:tcW w:w="585" w:type="dxa"/>
            <w:vMerge w:val="continue"/>
            <w:vAlign w:val="center"/>
          </w:tcPr>
          <w:p w14:paraId="1EF2174E">
            <w:pPr>
              <w:adjustRightInd w:val="0"/>
              <w:snapToGrid w:val="0"/>
              <w:spacing w:beforeLines="50" w:line="360" w:lineRule="auto"/>
              <w:rPr>
                <w:rFonts w:hint="default" w:ascii="Times New Roman" w:hAnsi="Times New Roman" w:cs="Times New Roman"/>
                <w:color w:val="auto"/>
                <w:szCs w:val="21"/>
              </w:rPr>
            </w:pPr>
          </w:p>
        </w:tc>
      </w:tr>
      <w:tr w14:paraId="3294B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717" w:type="dxa"/>
            <w:vAlign w:val="center"/>
          </w:tcPr>
          <w:p w14:paraId="26D50D7E">
            <w:pPr>
              <w:adjustRightInd w:val="0"/>
              <w:snapToGrid w:val="0"/>
              <w:spacing w:beforeLines="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1包</w:t>
            </w:r>
          </w:p>
        </w:tc>
        <w:tc>
          <w:tcPr>
            <w:tcW w:w="1877" w:type="dxa"/>
            <w:vAlign w:val="center"/>
          </w:tcPr>
          <w:p w14:paraId="74F04346">
            <w:pPr>
              <w:adjustRightInd w:val="0"/>
              <w:snapToGrid w:val="0"/>
              <w:spacing w:beforeLines="50" w:line="360" w:lineRule="auto"/>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lang w:eastAsia="zh-CN"/>
              </w:rPr>
              <w:t>郴州市矿产资源总体规划（2026年-2030年）编制项目</w:t>
            </w:r>
          </w:p>
        </w:tc>
        <w:tc>
          <w:tcPr>
            <w:tcW w:w="1517" w:type="dxa"/>
            <w:vAlign w:val="center"/>
          </w:tcPr>
          <w:p w14:paraId="1E512968">
            <w:pPr>
              <w:adjustRightInd w:val="0"/>
              <w:snapToGrid w:val="0"/>
              <w:spacing w:beforeLines="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C13010000区域规划和设计服务</w:t>
            </w:r>
          </w:p>
        </w:tc>
        <w:tc>
          <w:tcPr>
            <w:tcW w:w="1316" w:type="dxa"/>
            <w:tcBorders>
              <w:left w:val="single" w:color="auto" w:sz="4" w:space="0"/>
            </w:tcBorders>
            <w:vAlign w:val="center"/>
          </w:tcPr>
          <w:p w14:paraId="5E85BF1E">
            <w:pPr>
              <w:adjustRightInd w:val="0"/>
              <w:snapToGrid w:val="0"/>
              <w:spacing w:beforeLines="50"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否</w:t>
            </w:r>
          </w:p>
        </w:tc>
        <w:tc>
          <w:tcPr>
            <w:tcW w:w="850" w:type="dxa"/>
            <w:vAlign w:val="center"/>
          </w:tcPr>
          <w:p w14:paraId="598B99AD">
            <w:pPr>
              <w:adjustRightInd w:val="0"/>
              <w:snapToGrid w:val="0"/>
              <w:spacing w:beforeLines="50" w:line="360" w:lineRule="auto"/>
              <w:jc w:val="center"/>
              <w:rPr>
                <w:rFonts w:hint="default" w:ascii="Times New Roman" w:hAnsi="Times New Roman" w:eastAsia="宋体" w:cs="Times New Roman"/>
                <w:color w:val="auto"/>
                <w:szCs w:val="21"/>
                <w:lang w:eastAsia="zh-CN"/>
              </w:rPr>
            </w:pPr>
            <w:r>
              <w:rPr>
                <w:rFonts w:hint="default" w:ascii="Times New Roman" w:hAnsi="Times New Roman" w:cs="Times New Roman"/>
                <w:color w:val="auto"/>
                <w:szCs w:val="21"/>
              </w:rPr>
              <w:t>1</w:t>
            </w:r>
            <w:r>
              <w:rPr>
                <w:rFonts w:hint="default" w:ascii="Times New Roman" w:hAnsi="Times New Roman" w:cs="Times New Roman"/>
                <w:color w:val="auto"/>
                <w:szCs w:val="21"/>
                <w:lang w:eastAsia="zh-CN"/>
              </w:rPr>
              <w:t>项</w:t>
            </w:r>
          </w:p>
        </w:tc>
        <w:tc>
          <w:tcPr>
            <w:tcW w:w="1150" w:type="dxa"/>
            <w:vAlign w:val="center"/>
          </w:tcPr>
          <w:p w14:paraId="032F8413">
            <w:pPr>
              <w:adjustRightInd w:val="0"/>
              <w:snapToGrid w:val="0"/>
              <w:spacing w:beforeLines="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以</w:t>
            </w:r>
            <w:r>
              <w:rPr>
                <w:rFonts w:hint="eastAsia" w:cs="Times New Roman"/>
                <w:color w:val="auto"/>
                <w:szCs w:val="21"/>
                <w:lang w:eastAsia="zh-CN"/>
              </w:rPr>
              <w:t>合同</w:t>
            </w:r>
            <w:r>
              <w:rPr>
                <w:rFonts w:hint="default" w:ascii="Times New Roman" w:hAnsi="Times New Roman" w:cs="Times New Roman"/>
                <w:color w:val="auto"/>
                <w:szCs w:val="21"/>
              </w:rPr>
              <w:t>签订时间开始计算1年</w:t>
            </w:r>
          </w:p>
        </w:tc>
        <w:tc>
          <w:tcPr>
            <w:tcW w:w="1059" w:type="dxa"/>
            <w:vAlign w:val="center"/>
          </w:tcPr>
          <w:p w14:paraId="018C5F4C">
            <w:pPr>
              <w:adjustRightInd w:val="0"/>
              <w:snapToGrid w:val="0"/>
              <w:spacing w:beforeLines="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指定服务地点及范围</w:t>
            </w:r>
          </w:p>
        </w:tc>
        <w:tc>
          <w:tcPr>
            <w:tcW w:w="585" w:type="dxa"/>
            <w:vAlign w:val="center"/>
          </w:tcPr>
          <w:p w14:paraId="6100C3FE">
            <w:pPr>
              <w:adjustRightInd w:val="0"/>
              <w:snapToGrid w:val="0"/>
              <w:spacing w:beforeLines="50" w:line="360" w:lineRule="auto"/>
              <w:rPr>
                <w:rFonts w:hint="default" w:ascii="Times New Roman" w:hAnsi="Times New Roman" w:cs="Times New Roman"/>
                <w:color w:val="auto"/>
                <w:szCs w:val="21"/>
              </w:rPr>
            </w:pPr>
          </w:p>
        </w:tc>
      </w:tr>
    </w:tbl>
    <w:p w14:paraId="034AC91E">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注：1、“包”为最小合同单位（最小投标单位）。每“包”内容应细化到“品目”（如果分品目的）。</w:t>
      </w:r>
    </w:p>
    <w:p w14:paraId="66B16684">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2、投标人必须对一个完整、独立的包进行投标，不得仅对一个包中的部分品目投标，否则</w:t>
      </w:r>
      <w:r>
        <w:rPr>
          <w:rFonts w:hint="default" w:ascii="Times New Roman" w:hAnsi="Times New Roman" w:cs="Times New Roman" w:eastAsiaTheme="minorEastAsia"/>
          <w:b/>
          <w:color w:val="auto"/>
          <w:szCs w:val="21"/>
        </w:rPr>
        <w:t>投标无效。</w:t>
      </w:r>
    </w:p>
    <w:p w14:paraId="2425FEA5">
      <w:pPr>
        <w:adjustRightInd w:val="0"/>
        <w:snapToGrid w:val="0"/>
        <w:spacing w:beforeLines="50" w:line="360" w:lineRule="auto"/>
        <w:ind w:firstLine="420" w:firstLineChars="200"/>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szCs w:val="21"/>
        </w:rPr>
        <w:t>3、货物的主要技术参数或规格：</w:t>
      </w:r>
      <w:r>
        <w:rPr>
          <w:rFonts w:hint="default" w:ascii="Times New Roman" w:hAnsi="Times New Roman" w:cs="Times New Roman" w:eastAsiaTheme="minorEastAsia"/>
          <w:color w:val="auto"/>
          <w:kern w:val="0"/>
          <w:szCs w:val="21"/>
        </w:rPr>
        <w:t>详见“技术要求”中的具体技术参数。</w:t>
      </w:r>
    </w:p>
    <w:p w14:paraId="0E250D5D">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bCs/>
          <w:color w:val="auto"/>
          <w:kern w:val="0"/>
          <w:szCs w:val="21"/>
        </w:rPr>
        <w:t>4、投标人应</w:t>
      </w:r>
      <w:r>
        <w:rPr>
          <w:rFonts w:hint="default" w:ascii="Times New Roman" w:hAnsi="Times New Roman" w:cs="Times New Roman"/>
          <w:color w:val="auto"/>
          <w:kern w:val="0"/>
          <w:szCs w:val="21"/>
        </w:rPr>
        <w:t>在投标文件《分项报价明细表》中按</w:t>
      </w:r>
      <w:r>
        <w:rPr>
          <w:rFonts w:hint="default" w:ascii="Times New Roman" w:hAnsi="Times New Roman" w:cs="Times New Roman"/>
          <w:color w:val="auto"/>
          <w:szCs w:val="21"/>
        </w:rPr>
        <w:t>分项项目名称（包括</w:t>
      </w:r>
      <w:r>
        <w:rPr>
          <w:rFonts w:hint="default" w:ascii="Times New Roman" w:hAnsi="Times New Roman" w:cs="Times New Roman"/>
          <w:color w:val="auto"/>
          <w:kern w:val="0"/>
          <w:szCs w:val="21"/>
        </w:rPr>
        <w:t>条目号/品目名称）顺序逐项填写，且每个品目中的条目均需按招标文件规定报价。如有缺项、漏项，其</w:t>
      </w:r>
      <w:r>
        <w:rPr>
          <w:rFonts w:hint="default" w:ascii="Times New Roman" w:hAnsi="Times New Roman" w:cs="Times New Roman"/>
          <w:b/>
          <w:color w:val="auto"/>
          <w:kern w:val="0"/>
          <w:szCs w:val="21"/>
        </w:rPr>
        <w:t>投标无效</w:t>
      </w:r>
      <w:r>
        <w:rPr>
          <w:rFonts w:hint="default" w:ascii="Times New Roman" w:hAnsi="Times New Roman" w:cs="Times New Roman"/>
          <w:color w:val="auto"/>
          <w:kern w:val="0"/>
          <w:szCs w:val="21"/>
        </w:rPr>
        <w:t>。</w:t>
      </w:r>
      <w:bookmarkStart w:id="136" w:name="_Toc12779"/>
    </w:p>
    <w:p w14:paraId="280D6F46">
      <w:pP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br w:type="page"/>
      </w:r>
    </w:p>
    <w:p w14:paraId="7DCA9C33">
      <w:pPr>
        <w:pStyle w:val="4"/>
        <w:adjustRightInd w:val="0"/>
        <w:snapToGrid w:val="0"/>
        <w:spacing w:beforeLines="50"/>
        <w:jc w:val="center"/>
        <w:rPr>
          <w:rFonts w:hint="default" w:ascii="Times New Roman" w:hAnsi="Times New Roman" w:eastAsia="黑体" w:cs="Times New Roman"/>
          <w:color w:val="auto"/>
          <w:sz w:val="28"/>
          <w:szCs w:val="28"/>
        </w:rPr>
      </w:pPr>
      <w:bookmarkStart w:id="137" w:name="_Toc18186"/>
      <w:r>
        <w:rPr>
          <w:rFonts w:hint="default" w:ascii="Times New Roman" w:hAnsi="Times New Roman" w:eastAsia="黑体" w:cs="Times New Roman"/>
          <w:color w:val="auto"/>
          <w:sz w:val="28"/>
          <w:szCs w:val="28"/>
        </w:rPr>
        <w:t>第二节 技术、商务要求</w:t>
      </w:r>
      <w:bookmarkEnd w:id="136"/>
      <w:bookmarkEnd w:id="137"/>
    </w:p>
    <w:p w14:paraId="16640E22">
      <w:pPr>
        <w:pStyle w:val="2"/>
        <w:jc w:val="both"/>
        <w:rPr>
          <w:rFonts w:hint="default" w:ascii="Times New Roman" w:hAnsi="Times New Roman" w:eastAsia="宋体" w:cs="Times New Roman"/>
          <w:color w:val="auto"/>
          <w:sz w:val="24"/>
          <w:szCs w:val="24"/>
        </w:rPr>
      </w:pPr>
      <w:bookmarkStart w:id="138" w:name="_Toc36477552"/>
      <w:r>
        <w:rPr>
          <w:rFonts w:hint="default" w:ascii="Times New Roman" w:hAnsi="Times New Roman" w:eastAsia="宋体" w:cs="Times New Roman"/>
          <w:color w:val="auto"/>
          <w:sz w:val="24"/>
          <w:szCs w:val="24"/>
        </w:rPr>
        <w:t>一、目的意义</w:t>
      </w:r>
      <w:bookmarkEnd w:id="138"/>
    </w:p>
    <w:p w14:paraId="45BB1F72">
      <w:pPr>
        <w:adjustRightInd w:val="0"/>
        <w:snapToGrid w:val="0"/>
        <w:spacing w:line="600" w:lineRule="exact"/>
        <w:ind w:firstLine="480" w:firstLineChars="200"/>
        <w:rPr>
          <w:rFonts w:hint="default" w:ascii="Times New Roman" w:hAnsi="Times New Roman" w:eastAsia="宋体" w:cs="Times New Roman"/>
          <w:color w:val="auto"/>
          <w:sz w:val="24"/>
          <w:szCs w:val="24"/>
          <w:lang w:val="zh-TW" w:bidi="zh-TW"/>
        </w:rPr>
      </w:pPr>
      <w:bookmarkStart w:id="139" w:name="bookmark38"/>
      <w:bookmarkEnd w:id="139"/>
      <w:r>
        <w:rPr>
          <w:rFonts w:hint="default" w:ascii="Times New Roman" w:hAnsi="Times New Roman" w:eastAsia="宋体" w:cs="Times New Roman"/>
          <w:color w:val="auto"/>
          <w:sz w:val="24"/>
          <w:szCs w:val="24"/>
          <w:lang w:val="zh-TW" w:bidi="zh-TW"/>
        </w:rPr>
        <w:t>为贯彻落实《矿产资源法》、《矿产资源规划编制实施办法》、自然资源部办公厅关于印发《“十五五”省级矿产资源规划编制技术规程》和《“十五五”市县级矿产资源规划编制指南》的通知自然资办函〔2025〕2255 号、《湖南省矿产资源总体规划(2026-2030年)编制工作方案》的通知》（湘自资发〔2025〕27 号）、关于开展全省矿产资源规划(2026-2030 年)编制工作的通知（湘自资办发〔2025〕45 号）等要求，启动郴州市矿产资源总体规划（2026年-2030年）编制项目工作，统筹矿产资源勘查、开发利用和保护，对郴州市矿产资源总体规划（2026年-2030年）编制项目进行采购，该项目包括郴州市矿产资源总体规划（2026年-2030年）编制及规划数据库建设等工作。</w:t>
      </w:r>
    </w:p>
    <w:p w14:paraId="18252675">
      <w:pPr>
        <w:pStyle w:val="2"/>
        <w:jc w:val="both"/>
        <w:rPr>
          <w:rFonts w:hint="default" w:ascii="Times New Roman" w:hAnsi="Times New Roman" w:eastAsia="宋体" w:cs="Times New Roman"/>
          <w:color w:val="auto"/>
          <w:sz w:val="24"/>
          <w:szCs w:val="24"/>
        </w:rPr>
      </w:pPr>
      <w:bookmarkStart w:id="140" w:name="_Toc36477553"/>
      <w:r>
        <w:rPr>
          <w:rFonts w:hint="default" w:ascii="Times New Roman" w:hAnsi="Times New Roman" w:eastAsia="宋体" w:cs="Times New Roman"/>
          <w:color w:val="auto"/>
          <w:sz w:val="24"/>
          <w:szCs w:val="24"/>
        </w:rPr>
        <w:t>二、总体思路与编制原则</w:t>
      </w:r>
      <w:bookmarkEnd w:id="140"/>
    </w:p>
    <w:p w14:paraId="3CBCF51A">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（一）总体思路</w:t>
      </w:r>
    </w:p>
    <w:p w14:paraId="6011D5D5">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en-US" w:eastAsia="zh-CN" w:bidi="zh-TW"/>
        </w:rPr>
        <w:t>坚持以习近平新时代中国特色社会主义思想为指导，全面贯彻落实党中央、国务院和省委、省政府决策部署，牢固树立总体国家安全观，服务新一轮找矿突破战略行动，推进战略性矿产增储上产，保障初级产品产业链供应链安全。规划编制要根据当地矿产资源禀赋和勘查开发现状，聚焦打造万亿矿业产业集群，强化源头引导管控，统筹勘查、开采、利用和保护布局，加强矿产资源有效供给，确保规划与区域经济社会发展相协调、与矿业产业发展相适应。规划基期为2025年，2030年为目标年，展望到 2035年。</w:t>
      </w:r>
    </w:p>
    <w:p w14:paraId="20CE2380">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（二）编制原则</w:t>
      </w:r>
    </w:p>
    <w:p w14:paraId="792A0DE2">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坚持生态保护与矿业开发协调发展。牢固树立绿水青山就是金山银山的理念，严格落实党中央生态文明建设总体要求，坚持生态优先、强化保护，将“生态优先”理念贯穿于规划编制、实施和监督管理全过程，促使生态环境保护与矿业开发协调发展。</w:t>
      </w:r>
    </w:p>
    <w:p w14:paraId="7789DC75">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坚持地方经济发展与矿业开发均衡适应。立足区域内资源禀赋、经济社会发展对矿产品需求等情况，科学规划，优化勘查开发布局，推动矿产资源绿色开发、高效利用，保障全区经济社会发展的资源需求，助力地方经济社会持续健康发展。</w:t>
      </w:r>
    </w:p>
    <w:p w14:paraId="339E02FB">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——坚持科学配置资源，优化矿业秩序。以市场为基础，加强政府引导，高效配置资源，优化矿业秩序，提高矿产资源节约与综合利用水平，促进产业结构升级和矿业规模化、集约化、高质量发展。</w:t>
      </w:r>
    </w:p>
    <w:p w14:paraId="39BCDFFC">
      <w:pPr>
        <w:adjustRightInd w:val="0"/>
        <w:snapToGrid w:val="0"/>
        <w:spacing w:line="600" w:lineRule="exact"/>
        <w:ind w:firstLine="480" w:firstLineChars="200"/>
        <w:rPr>
          <w:rFonts w:hint="default" w:ascii="Times New Roman" w:hAnsi="Times New Roman" w:eastAsia="宋体" w:cs="Times New Roman"/>
          <w:color w:val="auto"/>
          <w:sz w:val="24"/>
          <w:szCs w:val="24"/>
          <w:lang w:val="zh-TW" w:eastAsia="zh-TW"/>
        </w:rPr>
      </w:pPr>
      <w:r>
        <w:rPr>
          <w:rFonts w:hint="default" w:ascii="Times New Roman" w:hAnsi="Times New Roman" w:eastAsia="宋体" w:cs="Times New Roman"/>
          <w:color w:val="auto"/>
          <w:sz w:val="24"/>
          <w:szCs w:val="24"/>
          <w:lang w:val="zh-TW"/>
        </w:rPr>
        <w:t>——坚持有机衔接，统筹协调。在市政府统筹协调下，明确政府和相关部门责任，形成政府领导、部门协调、分工明确、责任落实的工作机制，规划与区域经济社会发展、生态建设、国土空间等相关规划有机衔接，推进规划编制工作。</w:t>
      </w:r>
    </w:p>
    <w:p w14:paraId="53A9077D">
      <w:pPr>
        <w:pStyle w:val="2"/>
        <w:jc w:val="both"/>
        <w:rPr>
          <w:rFonts w:hint="default" w:ascii="Times New Roman" w:hAnsi="Times New Roman" w:eastAsia="宋体" w:cs="Times New Roman"/>
          <w:color w:val="auto"/>
          <w:sz w:val="24"/>
          <w:szCs w:val="24"/>
        </w:rPr>
      </w:pPr>
      <w:bookmarkStart w:id="141" w:name="_Toc36477554"/>
      <w:r>
        <w:rPr>
          <w:rFonts w:hint="default" w:ascii="Times New Roman" w:hAnsi="Times New Roman" w:eastAsia="宋体" w:cs="Times New Roman"/>
          <w:color w:val="auto"/>
          <w:sz w:val="24"/>
          <w:szCs w:val="24"/>
        </w:rPr>
        <w:t>三、主要工作任务</w:t>
      </w:r>
      <w:bookmarkEnd w:id="141"/>
    </w:p>
    <w:p w14:paraId="65C3331B">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1、全面收集我市矿产资源现状相关资料，厘清我市矿产资源现状勘查、开发利用现状情况。</w:t>
      </w:r>
    </w:p>
    <w:p w14:paraId="5AE2C8CB">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2、广泛开展调研，充分吸收相关各部门意见和建议，确保规划与各部门衔接不冲突。</w:t>
      </w:r>
    </w:p>
    <w:p w14:paraId="6820C39A">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default" w:ascii="Times New Roman" w:hAnsi="Times New Roman" w:eastAsia="宋体" w:cs="Times New Roman"/>
          <w:color w:val="auto"/>
          <w:sz w:val="24"/>
          <w:szCs w:val="24"/>
          <w:lang w:val="zh-TW"/>
        </w:rPr>
        <w:t>3、进行实地调研，调查各县市区矿产资源需求和拟设置情况，核实各县市区拟设置规划区块实际，对是否符合设置要求进行全面审查。</w:t>
      </w:r>
    </w:p>
    <w:p w14:paraId="25481702">
      <w:pPr>
        <w:adjustRightInd w:val="0"/>
        <w:snapToGrid w:val="0"/>
        <w:spacing w:line="600" w:lineRule="exact"/>
        <w:ind w:firstLine="480" w:firstLineChars="200"/>
        <w:rPr>
          <w:rFonts w:hint="eastAsia" w:cs="Times New Roman"/>
          <w:color w:val="auto"/>
          <w:sz w:val="24"/>
          <w:szCs w:val="24"/>
          <w:lang w:val="en-US" w:eastAsia="zh-CN"/>
        </w:rPr>
      </w:pPr>
      <w:r>
        <w:rPr>
          <w:rFonts w:hint="default" w:ascii="Times New Roman" w:hAnsi="Times New Roman" w:eastAsia="宋体" w:cs="Times New Roman"/>
          <w:color w:val="auto"/>
          <w:sz w:val="24"/>
          <w:szCs w:val="24"/>
          <w:lang w:val="zh-TW"/>
        </w:rPr>
        <w:t>4、编制郴州市矿产资源总体规划（2026年-2030年）文图表，科学开展相应专题研究，</w:t>
      </w:r>
      <w:r>
        <w:rPr>
          <w:rFonts w:hint="eastAsia" w:cs="Times New Roman"/>
          <w:color w:val="auto"/>
          <w:sz w:val="24"/>
          <w:szCs w:val="24"/>
          <w:lang w:val="en-US" w:eastAsia="zh-CN"/>
        </w:rPr>
        <w:t>并编制专题报告。</w:t>
      </w:r>
    </w:p>
    <w:p w14:paraId="17F2BAF7">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zh-TW"/>
        </w:rPr>
        <w:t>建设</w:t>
      </w:r>
      <w:r>
        <w:rPr>
          <w:rFonts w:hint="eastAsia" w:cs="Times New Roman"/>
          <w:color w:val="auto"/>
          <w:sz w:val="24"/>
          <w:szCs w:val="24"/>
          <w:shd w:val="clear"/>
          <w:lang w:val="en-US" w:eastAsia="zh-CN"/>
        </w:rPr>
        <w:t>郴州</w:t>
      </w:r>
      <w:r>
        <w:rPr>
          <w:rFonts w:hint="default" w:ascii="Times New Roman" w:hAnsi="Times New Roman" w:eastAsia="宋体" w:cs="Times New Roman"/>
          <w:color w:val="auto"/>
          <w:sz w:val="24"/>
          <w:szCs w:val="24"/>
          <w:shd w:val="clear"/>
          <w:lang w:val="zh-TW"/>
        </w:rPr>
        <w:t>市矿产资源</w:t>
      </w:r>
      <w:r>
        <w:rPr>
          <w:rFonts w:hint="eastAsia" w:cs="Times New Roman"/>
          <w:color w:val="auto"/>
          <w:sz w:val="24"/>
          <w:szCs w:val="24"/>
          <w:shd w:val="clear"/>
          <w:lang w:val="zh-TW" w:eastAsia="zh-CN"/>
        </w:rPr>
        <w:t>“</w:t>
      </w:r>
      <w:r>
        <w:rPr>
          <w:rFonts w:hint="eastAsia" w:cs="Times New Roman"/>
          <w:color w:val="auto"/>
          <w:sz w:val="24"/>
          <w:szCs w:val="24"/>
          <w:shd w:val="clear"/>
          <w:lang w:val="en-US" w:eastAsia="zh-CN"/>
        </w:rPr>
        <w:t>一张图</w:t>
      </w:r>
      <w:r>
        <w:rPr>
          <w:rFonts w:hint="eastAsia" w:cs="Times New Roman"/>
          <w:color w:val="auto"/>
          <w:sz w:val="24"/>
          <w:szCs w:val="24"/>
          <w:shd w:val="clear"/>
          <w:lang w:val="zh-TW" w:eastAsia="zh-CN"/>
        </w:rPr>
        <w:t>”</w:t>
      </w:r>
      <w:r>
        <w:rPr>
          <w:rFonts w:hint="default" w:ascii="Times New Roman" w:hAnsi="Times New Roman" w:eastAsia="宋体" w:cs="Times New Roman"/>
          <w:color w:val="auto"/>
          <w:sz w:val="24"/>
          <w:szCs w:val="24"/>
          <w:lang w:val="zh-TW"/>
        </w:rPr>
        <w:t>数据库。</w:t>
      </w:r>
    </w:p>
    <w:p w14:paraId="58BFCBB2">
      <w:pPr>
        <w:pStyle w:val="126"/>
        <w:spacing w:line="540" w:lineRule="exact"/>
        <w:ind w:firstLine="482"/>
        <w:rPr>
          <w:rFonts w:hint="default" w:ascii="Times New Roman" w:hAnsi="Times New Roman" w:eastAsia="宋体" w:cs="Times New Roman"/>
          <w:b/>
          <w:bCs/>
          <w:color w:val="auto"/>
          <w:kern w:val="2"/>
          <w:sz w:val="24"/>
          <w:szCs w:val="24"/>
          <w:lang w:bidi="zh-TW"/>
        </w:rPr>
      </w:pPr>
      <w:r>
        <w:rPr>
          <w:rFonts w:hint="default" w:ascii="Times New Roman" w:hAnsi="Times New Roman" w:eastAsia="宋体" w:cs="Times New Roman"/>
          <w:b/>
          <w:bCs/>
          <w:color w:val="auto"/>
          <w:kern w:val="2"/>
          <w:sz w:val="24"/>
          <w:szCs w:val="24"/>
          <w:lang w:bidi="zh-TW"/>
        </w:rPr>
        <w:t>四、工作进度</w:t>
      </w:r>
    </w:p>
    <w:p w14:paraId="2DD9E142">
      <w:pPr>
        <w:shd w:val="clear"/>
        <w:adjustRightInd w:val="0"/>
        <w:snapToGrid w:val="0"/>
        <w:spacing w:line="600" w:lineRule="exact"/>
        <w:ind w:firstLine="480" w:firstLineChars="200"/>
        <w:rPr>
          <w:rFonts w:hint="default" w:ascii="Times New Roman" w:hAnsi="Times New Roman" w:eastAsia="宋体" w:cs="Times New Roman"/>
          <w:color w:val="auto"/>
          <w:sz w:val="24"/>
          <w:szCs w:val="24"/>
          <w:highlight w:val="none"/>
          <w:lang w:val="zh-TW"/>
        </w:rPr>
      </w:pPr>
      <w:r>
        <w:rPr>
          <w:rFonts w:hint="default" w:ascii="Times New Roman" w:hAnsi="Times New Roman" w:eastAsia="宋体" w:cs="Times New Roman"/>
          <w:color w:val="auto"/>
          <w:sz w:val="24"/>
          <w:szCs w:val="24"/>
          <w:highlight w:val="none"/>
          <w:lang w:val="zh-TW"/>
        </w:rPr>
        <w:t>4.1调研及资料收集（202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zh-TW"/>
        </w:rPr>
        <w:t>年</w:t>
      </w:r>
      <w:r>
        <w:rPr>
          <w:rFonts w:hint="eastAsia" w:cs="Times New Roman"/>
          <w:color w:val="auto"/>
          <w:sz w:val="24"/>
          <w:szCs w:val="24"/>
          <w:highlight w:val="none"/>
          <w:lang w:val="en-US" w:eastAsia="zh-CN"/>
        </w:rPr>
        <w:t>9</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底前</w:t>
      </w:r>
      <w:r>
        <w:rPr>
          <w:rFonts w:hint="default" w:ascii="Times New Roman" w:hAnsi="Times New Roman" w:eastAsia="宋体" w:cs="Times New Roman"/>
          <w:color w:val="auto"/>
          <w:sz w:val="24"/>
          <w:szCs w:val="24"/>
          <w:highlight w:val="none"/>
          <w:lang w:val="zh-TW"/>
        </w:rPr>
        <w:t>）</w:t>
      </w:r>
    </w:p>
    <w:p w14:paraId="5EC0BE91">
      <w:pPr>
        <w:shd w:val="clear"/>
        <w:adjustRightInd w:val="0"/>
        <w:snapToGrid w:val="0"/>
        <w:spacing w:line="600" w:lineRule="exact"/>
        <w:ind w:firstLine="480" w:firstLineChars="200"/>
        <w:rPr>
          <w:rFonts w:hint="default" w:ascii="Times New Roman" w:hAnsi="Times New Roman" w:eastAsia="宋体" w:cs="Times New Roman"/>
          <w:color w:val="auto"/>
          <w:sz w:val="24"/>
          <w:szCs w:val="24"/>
          <w:highlight w:val="none"/>
          <w:lang w:val="zh-TW"/>
        </w:rPr>
      </w:pPr>
      <w:r>
        <w:rPr>
          <w:rFonts w:hint="eastAsia" w:cs="Times New Roman"/>
          <w:color w:val="auto"/>
          <w:sz w:val="24"/>
          <w:szCs w:val="24"/>
          <w:highlight w:val="none"/>
          <w:lang w:val="en-US" w:eastAsia="zh-CN"/>
        </w:rPr>
        <w:t>在郴州市辖区内</w:t>
      </w:r>
      <w:r>
        <w:rPr>
          <w:rFonts w:hint="default" w:ascii="Times New Roman" w:hAnsi="Times New Roman" w:eastAsia="宋体" w:cs="Times New Roman"/>
          <w:color w:val="auto"/>
          <w:sz w:val="24"/>
          <w:szCs w:val="24"/>
          <w:highlight w:val="none"/>
          <w:lang w:val="zh-TW"/>
        </w:rPr>
        <w:t>收集编制《规划》所需资料</w:t>
      </w:r>
      <w:r>
        <w:rPr>
          <w:rFonts w:hint="eastAsia" w:cs="Times New Roman"/>
          <w:color w:val="auto"/>
          <w:sz w:val="24"/>
          <w:szCs w:val="24"/>
          <w:highlight w:val="none"/>
          <w:lang w:val="zh-TW" w:eastAsia="zh-CN"/>
        </w:rPr>
        <w:t>，</w:t>
      </w:r>
      <w:r>
        <w:rPr>
          <w:rFonts w:hint="default" w:ascii="Times New Roman" w:hAnsi="Times New Roman" w:eastAsia="宋体" w:cs="Times New Roman"/>
          <w:color w:val="auto"/>
          <w:sz w:val="24"/>
          <w:szCs w:val="24"/>
          <w:highlight w:val="none"/>
          <w:lang w:val="zh-TW"/>
        </w:rPr>
        <w:t>开展多方调研</w:t>
      </w:r>
      <w:r>
        <w:rPr>
          <w:rFonts w:hint="eastAsia" w:cs="Times New Roman"/>
          <w:color w:val="auto"/>
          <w:sz w:val="24"/>
          <w:szCs w:val="24"/>
          <w:highlight w:val="none"/>
          <w:lang w:val="en-US" w:eastAsia="zh-CN"/>
        </w:rPr>
        <w:t>及详实的地质勘查工作，摸清资源底数</w:t>
      </w:r>
      <w:r>
        <w:rPr>
          <w:rFonts w:hint="default" w:ascii="Times New Roman" w:hAnsi="Times New Roman" w:eastAsia="宋体" w:cs="Times New Roman"/>
          <w:color w:val="auto"/>
          <w:sz w:val="24"/>
          <w:szCs w:val="24"/>
          <w:highlight w:val="none"/>
          <w:lang w:val="zh-TW"/>
        </w:rPr>
        <w:t>。</w:t>
      </w:r>
    </w:p>
    <w:p w14:paraId="68689B7F">
      <w:pPr>
        <w:shd w:val="clear"/>
        <w:adjustRightInd w:val="0"/>
        <w:snapToGrid w:val="0"/>
        <w:spacing w:line="600" w:lineRule="exact"/>
        <w:ind w:firstLine="480" w:firstLineChars="200"/>
        <w:rPr>
          <w:rFonts w:hint="default" w:ascii="Times New Roman" w:hAnsi="Times New Roman" w:eastAsia="宋体" w:cs="Times New Roman"/>
          <w:color w:val="auto"/>
          <w:sz w:val="24"/>
          <w:szCs w:val="24"/>
          <w:highlight w:val="none"/>
          <w:lang w:val="zh-TW"/>
        </w:rPr>
      </w:pPr>
      <w:r>
        <w:rPr>
          <w:rFonts w:hint="default" w:ascii="Times New Roman" w:hAnsi="Times New Roman" w:eastAsia="宋体" w:cs="Times New Roman"/>
          <w:color w:val="auto"/>
          <w:sz w:val="24"/>
          <w:szCs w:val="24"/>
          <w:highlight w:val="none"/>
          <w:lang w:val="zh-TW"/>
        </w:rPr>
        <w:t>4.2</w:t>
      </w:r>
      <w:r>
        <w:rPr>
          <w:rFonts w:hint="eastAsia" w:cs="Times New Roman"/>
          <w:color w:val="auto"/>
          <w:sz w:val="24"/>
          <w:szCs w:val="24"/>
          <w:highlight w:val="none"/>
          <w:lang w:val="en-US" w:eastAsia="zh-CN"/>
        </w:rPr>
        <w:t>编制规划</w:t>
      </w:r>
      <w:r>
        <w:rPr>
          <w:rFonts w:hint="default" w:ascii="Times New Roman" w:hAnsi="Times New Roman" w:eastAsia="宋体" w:cs="Times New Roman"/>
          <w:color w:val="auto"/>
          <w:sz w:val="24"/>
          <w:szCs w:val="24"/>
          <w:highlight w:val="none"/>
          <w:lang w:val="zh-TW"/>
        </w:rPr>
        <w:t>文图表</w:t>
      </w:r>
      <w:r>
        <w:rPr>
          <w:rFonts w:hint="eastAsia" w:cs="Times New Roman"/>
          <w:color w:val="auto"/>
          <w:sz w:val="24"/>
          <w:szCs w:val="24"/>
          <w:highlight w:val="none"/>
          <w:lang w:val="en-US" w:eastAsia="zh-CN"/>
        </w:rPr>
        <w:t>及</w:t>
      </w:r>
      <w:r>
        <w:rPr>
          <w:rFonts w:hint="default" w:ascii="Times New Roman" w:hAnsi="Times New Roman" w:eastAsia="宋体" w:cs="Times New Roman"/>
          <w:color w:val="auto"/>
          <w:sz w:val="24"/>
          <w:szCs w:val="24"/>
          <w:highlight w:val="none"/>
          <w:lang w:val="zh-TW"/>
        </w:rPr>
        <w:t>专题研究（202</w:t>
      </w:r>
      <w:r>
        <w:rPr>
          <w:rFonts w:hint="default"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zh-TW"/>
        </w:rPr>
        <w:t>年</w:t>
      </w:r>
      <w:r>
        <w:rPr>
          <w:rFonts w:hint="eastAsia" w:cs="Times New Roman"/>
          <w:color w:val="auto"/>
          <w:sz w:val="24"/>
          <w:szCs w:val="24"/>
          <w:highlight w:val="none"/>
          <w:lang w:val="en-US" w:eastAsia="zh-CN"/>
        </w:rPr>
        <w:t>9月</w:t>
      </w:r>
      <w:r>
        <w:rPr>
          <w:rFonts w:hint="default" w:ascii="Times New Roman" w:hAnsi="Times New Roman" w:eastAsia="宋体" w:cs="Times New Roman"/>
          <w:color w:val="auto"/>
          <w:sz w:val="24"/>
          <w:szCs w:val="24"/>
          <w:highlight w:val="none"/>
          <w:lang w:val="zh-TW"/>
        </w:rPr>
        <w:t>-</w:t>
      </w:r>
      <w:r>
        <w:rPr>
          <w:rFonts w:hint="default" w:ascii="Times New Roman" w:hAnsi="Times New Roman" w:eastAsia="宋体" w:cs="Times New Roman"/>
          <w:color w:val="auto"/>
          <w:sz w:val="24"/>
          <w:szCs w:val="24"/>
          <w:highlight w:val="none"/>
          <w:lang w:val="zh-TW" w:eastAsia="zh-TW"/>
        </w:rPr>
        <w:t>20</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zh-TW"/>
        </w:rPr>
        <w:t>年</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月</w:t>
      </w:r>
      <w:r>
        <w:rPr>
          <w:rFonts w:hint="default" w:ascii="Times New Roman" w:hAnsi="Times New Roman" w:eastAsia="宋体" w:cs="Times New Roman"/>
          <w:color w:val="auto"/>
          <w:sz w:val="24"/>
          <w:szCs w:val="24"/>
          <w:highlight w:val="none"/>
          <w:lang w:val="zh-TW"/>
        </w:rPr>
        <w:t>）</w:t>
      </w:r>
    </w:p>
    <w:p w14:paraId="623ACB84">
      <w:pPr>
        <w:shd w:val="clear"/>
        <w:adjustRightInd w:val="0"/>
        <w:snapToGrid w:val="0"/>
        <w:spacing w:line="600" w:lineRule="exact"/>
        <w:ind w:firstLine="480" w:firstLineChars="200"/>
        <w:rPr>
          <w:rFonts w:hint="eastAsia" w:ascii="Times New Roman" w:hAnsi="Times New Roman" w:eastAsia="宋体" w:cs="Times New Roman"/>
          <w:color w:val="auto"/>
          <w:sz w:val="24"/>
          <w:szCs w:val="24"/>
          <w:highlight w:val="none"/>
          <w:lang w:val="zh-TW" w:eastAsia="zh-CN"/>
        </w:rPr>
      </w:pPr>
      <w:r>
        <w:rPr>
          <w:rFonts w:hint="eastAsia" w:cs="Times New Roman"/>
          <w:color w:val="auto"/>
          <w:sz w:val="24"/>
          <w:szCs w:val="24"/>
          <w:highlight w:val="none"/>
          <w:lang w:val="en-US" w:eastAsia="zh-CN"/>
        </w:rPr>
        <w:t>依据地质勘查成果及我市矿业发展战略，</w:t>
      </w:r>
      <w:r>
        <w:rPr>
          <w:rFonts w:hint="default" w:ascii="Times New Roman" w:hAnsi="Times New Roman" w:eastAsia="宋体" w:cs="Times New Roman"/>
          <w:color w:val="auto"/>
          <w:sz w:val="24"/>
          <w:szCs w:val="24"/>
          <w:highlight w:val="none"/>
          <w:lang w:val="zh-TW"/>
        </w:rPr>
        <w:t>编制总体规划</w:t>
      </w:r>
      <w:r>
        <w:rPr>
          <w:rFonts w:hint="eastAsia" w:cs="Times New Roman"/>
          <w:color w:val="auto"/>
          <w:sz w:val="24"/>
          <w:szCs w:val="24"/>
          <w:highlight w:val="none"/>
          <w:lang w:val="en-US" w:eastAsia="zh-CN"/>
        </w:rPr>
        <w:t>文图表，并针对战略性矿产及我市优势、特色矿产等</w:t>
      </w:r>
      <w:r>
        <w:rPr>
          <w:rFonts w:hint="default" w:ascii="Times New Roman" w:hAnsi="Times New Roman" w:eastAsia="宋体" w:cs="Times New Roman"/>
          <w:color w:val="auto"/>
          <w:sz w:val="24"/>
          <w:szCs w:val="24"/>
          <w:highlight w:val="none"/>
          <w:lang w:val="zh-TW"/>
        </w:rPr>
        <w:t>开展研究并编制专题报告</w:t>
      </w:r>
      <w:r>
        <w:rPr>
          <w:rFonts w:hint="eastAsia" w:cs="Times New Roman"/>
          <w:color w:val="auto"/>
          <w:sz w:val="24"/>
          <w:szCs w:val="24"/>
          <w:highlight w:val="none"/>
          <w:lang w:val="zh-TW" w:eastAsia="zh-CN"/>
        </w:rPr>
        <w:t>。</w:t>
      </w:r>
    </w:p>
    <w:p w14:paraId="38E37344">
      <w:pPr>
        <w:shd w:val="clear"/>
        <w:adjustRightInd w:val="0"/>
        <w:snapToGrid w:val="0"/>
        <w:spacing w:line="600" w:lineRule="exact"/>
        <w:ind w:firstLine="480" w:firstLineChars="200"/>
        <w:rPr>
          <w:rFonts w:hint="default" w:ascii="Times New Roman" w:hAnsi="Times New Roman" w:eastAsia="宋体" w:cs="Times New Roman"/>
          <w:color w:val="auto"/>
          <w:sz w:val="24"/>
          <w:szCs w:val="24"/>
          <w:highlight w:val="none"/>
          <w:lang w:val="zh-TW"/>
        </w:rPr>
      </w:pPr>
      <w:r>
        <w:rPr>
          <w:rFonts w:hint="default" w:ascii="Times New Roman" w:hAnsi="Times New Roman" w:eastAsia="宋体" w:cs="Times New Roman"/>
          <w:color w:val="auto"/>
          <w:sz w:val="24"/>
          <w:szCs w:val="24"/>
          <w:highlight w:val="none"/>
          <w:lang w:val="zh-TW"/>
        </w:rPr>
        <w:t>4.3数据库建设（</w:t>
      </w:r>
      <w:r>
        <w:rPr>
          <w:rFonts w:hint="default" w:ascii="Times New Roman" w:hAnsi="Times New Roman" w:eastAsia="宋体" w:cs="Times New Roman"/>
          <w:color w:val="auto"/>
          <w:sz w:val="24"/>
          <w:szCs w:val="24"/>
          <w:highlight w:val="none"/>
          <w:lang w:val="zh-TW" w:eastAsia="zh-TW"/>
        </w:rPr>
        <w:t>20</w:t>
      </w:r>
      <w:r>
        <w:rPr>
          <w:rFonts w:hint="default" w:ascii="Times New Roman" w:hAnsi="Times New Roman" w:eastAsia="宋体" w:cs="Times New Roman"/>
          <w:color w:val="auto"/>
          <w:sz w:val="24"/>
          <w:szCs w:val="24"/>
          <w:highlight w:val="none"/>
          <w:lang w:val="en-US" w:eastAsia="zh-CN"/>
        </w:rPr>
        <w:t>2</w:t>
      </w:r>
      <w:r>
        <w:rPr>
          <w:rFonts w:hint="eastAsia" w:cs="Times New Roman"/>
          <w:color w:val="auto"/>
          <w:sz w:val="24"/>
          <w:szCs w:val="24"/>
          <w:highlight w:val="none"/>
          <w:lang w:val="en-US" w:eastAsia="zh-CN"/>
        </w:rPr>
        <w:t>7</w:t>
      </w:r>
      <w:r>
        <w:rPr>
          <w:rFonts w:hint="default" w:ascii="Times New Roman" w:hAnsi="Times New Roman" w:eastAsia="宋体" w:cs="Times New Roman"/>
          <w:color w:val="auto"/>
          <w:sz w:val="24"/>
          <w:szCs w:val="24"/>
          <w:highlight w:val="none"/>
          <w:lang w:val="zh-TW"/>
        </w:rPr>
        <w:t>年</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月</w:t>
      </w:r>
      <w:r>
        <w:rPr>
          <w:rFonts w:hint="eastAsia" w:cs="Times New Roman"/>
          <w:color w:val="auto"/>
          <w:sz w:val="24"/>
          <w:szCs w:val="24"/>
          <w:highlight w:val="none"/>
          <w:lang w:val="en-US" w:eastAsia="zh-CN"/>
        </w:rPr>
        <w:t>底前</w:t>
      </w:r>
      <w:r>
        <w:rPr>
          <w:rFonts w:hint="default" w:ascii="Times New Roman" w:hAnsi="Times New Roman" w:eastAsia="宋体" w:cs="Times New Roman"/>
          <w:color w:val="auto"/>
          <w:sz w:val="24"/>
          <w:szCs w:val="24"/>
          <w:highlight w:val="none"/>
          <w:lang w:val="zh-TW"/>
        </w:rPr>
        <w:t>）</w:t>
      </w:r>
    </w:p>
    <w:p w14:paraId="7D3FF958">
      <w:pPr>
        <w:shd w:val="clear"/>
        <w:adjustRightInd w:val="0"/>
        <w:snapToGrid w:val="0"/>
        <w:spacing w:line="600" w:lineRule="exact"/>
        <w:ind w:firstLine="480" w:firstLineChars="200"/>
        <w:rPr>
          <w:rFonts w:hint="eastAsia" w:ascii="Times New Roman" w:hAnsi="Times New Roman" w:eastAsia="宋体" w:cs="Times New Roman"/>
          <w:color w:val="auto"/>
          <w:sz w:val="24"/>
          <w:szCs w:val="24"/>
          <w:highlight w:val="none"/>
          <w:lang w:val="zh-TW" w:eastAsia="zh-CN"/>
        </w:rPr>
      </w:pPr>
      <w:r>
        <w:rPr>
          <w:rFonts w:hint="default" w:ascii="Times New Roman" w:hAnsi="Times New Roman" w:eastAsia="宋体" w:cs="Times New Roman"/>
          <w:color w:val="auto"/>
          <w:sz w:val="24"/>
          <w:szCs w:val="24"/>
          <w:highlight w:val="none"/>
          <w:lang w:val="zh-TW"/>
        </w:rPr>
        <w:t>建</w:t>
      </w:r>
      <w:r>
        <w:rPr>
          <w:rFonts w:hint="default" w:ascii="Times New Roman" w:hAnsi="Times New Roman" w:eastAsia="宋体" w:cs="Times New Roman"/>
          <w:color w:val="auto"/>
          <w:sz w:val="24"/>
          <w:szCs w:val="24"/>
          <w:highlight w:val="none"/>
          <w:shd w:val="clear"/>
          <w:lang w:val="zh-TW"/>
        </w:rPr>
        <w:t>设</w:t>
      </w:r>
      <w:r>
        <w:rPr>
          <w:rFonts w:hint="eastAsia" w:cs="Times New Roman"/>
          <w:color w:val="auto"/>
          <w:sz w:val="24"/>
          <w:szCs w:val="24"/>
          <w:highlight w:val="none"/>
          <w:shd w:val="clear"/>
          <w:lang w:val="en-US" w:eastAsia="zh-CN"/>
        </w:rPr>
        <w:t>郴州市矿产资源</w:t>
      </w:r>
      <w:r>
        <w:rPr>
          <w:rFonts w:hint="eastAsia" w:cs="Times New Roman"/>
          <w:color w:val="auto"/>
          <w:sz w:val="24"/>
          <w:szCs w:val="24"/>
          <w:highlight w:val="none"/>
          <w:shd w:val="clear"/>
          <w:lang w:val="zh-TW" w:eastAsia="zh-CN"/>
        </w:rPr>
        <w:t>“</w:t>
      </w:r>
      <w:r>
        <w:rPr>
          <w:rFonts w:hint="eastAsia" w:cs="Times New Roman"/>
          <w:color w:val="auto"/>
          <w:sz w:val="24"/>
          <w:szCs w:val="24"/>
          <w:highlight w:val="none"/>
          <w:shd w:val="clear"/>
          <w:lang w:val="en-US" w:eastAsia="zh-CN"/>
        </w:rPr>
        <w:t>一张图</w:t>
      </w:r>
      <w:r>
        <w:rPr>
          <w:rFonts w:hint="eastAsia" w:cs="Times New Roman"/>
          <w:color w:val="auto"/>
          <w:sz w:val="24"/>
          <w:szCs w:val="24"/>
          <w:highlight w:val="none"/>
          <w:shd w:val="clear"/>
          <w:lang w:val="zh-TW" w:eastAsia="zh-CN"/>
        </w:rPr>
        <w:t>”</w:t>
      </w:r>
      <w:r>
        <w:rPr>
          <w:rFonts w:hint="default" w:ascii="Times New Roman" w:hAnsi="Times New Roman" w:eastAsia="宋体" w:cs="Times New Roman"/>
          <w:color w:val="auto"/>
          <w:sz w:val="24"/>
          <w:szCs w:val="24"/>
          <w:highlight w:val="none"/>
          <w:shd w:val="clear"/>
          <w:lang w:val="zh-TW"/>
        </w:rPr>
        <w:t>数</w:t>
      </w:r>
      <w:r>
        <w:rPr>
          <w:rFonts w:hint="default" w:ascii="Times New Roman" w:hAnsi="Times New Roman" w:eastAsia="宋体" w:cs="Times New Roman"/>
          <w:color w:val="auto"/>
          <w:sz w:val="24"/>
          <w:szCs w:val="24"/>
          <w:highlight w:val="none"/>
          <w:lang w:val="zh-TW"/>
        </w:rPr>
        <w:t>据库</w:t>
      </w:r>
      <w:r>
        <w:rPr>
          <w:rFonts w:hint="eastAsia" w:cs="Times New Roman"/>
          <w:color w:val="auto"/>
          <w:sz w:val="24"/>
          <w:szCs w:val="24"/>
          <w:highlight w:val="none"/>
          <w:lang w:val="zh-TW" w:eastAsia="zh-CN"/>
        </w:rPr>
        <w:t>。</w:t>
      </w:r>
    </w:p>
    <w:p w14:paraId="4DC0C3B0">
      <w:pPr>
        <w:adjustRightInd w:val="0"/>
        <w:snapToGrid w:val="0"/>
        <w:spacing w:line="600" w:lineRule="exact"/>
        <w:ind w:firstLine="480" w:firstLineChars="200"/>
        <w:rPr>
          <w:rFonts w:hint="eastAsia" w:ascii="Times New Roman" w:hAnsi="Times New Roman" w:eastAsia="宋体" w:cs="Times New Roman"/>
          <w:color w:val="auto"/>
          <w:sz w:val="24"/>
          <w:szCs w:val="24"/>
          <w:lang w:val="zh-TW" w:eastAsia="zh-CN"/>
        </w:rPr>
      </w:pPr>
      <w:r>
        <w:rPr>
          <w:rFonts w:hint="default" w:ascii="Times New Roman" w:hAnsi="Times New Roman" w:eastAsia="宋体" w:cs="Times New Roman"/>
          <w:color w:val="auto"/>
          <w:sz w:val="24"/>
          <w:szCs w:val="24"/>
          <w:lang w:val="zh-TW"/>
        </w:rPr>
        <w:t>4.4规划审查与报批</w:t>
      </w:r>
      <w:r>
        <w:rPr>
          <w:rFonts w:hint="eastAsia" w:cs="Times New Roman"/>
          <w:color w:val="auto"/>
          <w:sz w:val="24"/>
          <w:szCs w:val="24"/>
          <w:lang w:val="zh-TW" w:eastAsia="zh-CN"/>
        </w:rPr>
        <w:t>（2027年6月底前）</w:t>
      </w:r>
    </w:p>
    <w:p w14:paraId="1DA25365">
      <w:pPr>
        <w:adjustRightInd w:val="0"/>
        <w:snapToGrid w:val="0"/>
        <w:spacing w:line="600" w:lineRule="exact"/>
        <w:ind w:firstLine="480" w:firstLineChars="200"/>
        <w:rPr>
          <w:rFonts w:hint="default" w:ascii="Times New Roman" w:hAnsi="Times New Roman" w:eastAsia="宋体" w:cs="Times New Roman"/>
          <w:color w:val="auto"/>
          <w:sz w:val="24"/>
          <w:szCs w:val="24"/>
          <w:lang w:val="zh-TW"/>
        </w:rPr>
      </w:pPr>
      <w:r>
        <w:rPr>
          <w:rFonts w:hint="eastAsia" w:cs="Times New Roman"/>
          <w:color w:val="auto"/>
          <w:sz w:val="24"/>
          <w:szCs w:val="24"/>
          <w:lang w:val="en-US" w:eastAsia="zh-CN"/>
        </w:rPr>
        <w:t>按照</w:t>
      </w:r>
      <w:r>
        <w:rPr>
          <w:rFonts w:hint="default" w:ascii="Times New Roman" w:hAnsi="Times New Roman" w:eastAsia="宋体" w:cs="Times New Roman"/>
          <w:color w:val="auto"/>
          <w:sz w:val="24"/>
          <w:szCs w:val="24"/>
          <w:lang w:val="zh-TW"/>
        </w:rPr>
        <w:t>省自然资源厅规定</w:t>
      </w:r>
      <w:r>
        <w:rPr>
          <w:rFonts w:hint="eastAsia" w:cs="Times New Roman"/>
          <w:color w:val="auto"/>
          <w:sz w:val="24"/>
          <w:szCs w:val="24"/>
          <w:lang w:val="en-US" w:eastAsia="zh-CN"/>
        </w:rPr>
        <w:t>时间要求在2027年6月底前完成《规划》审批工作</w:t>
      </w:r>
      <w:r>
        <w:rPr>
          <w:rFonts w:hint="default" w:ascii="Times New Roman" w:hAnsi="Times New Roman" w:eastAsia="宋体" w:cs="Times New Roman"/>
          <w:color w:val="auto"/>
          <w:sz w:val="24"/>
          <w:szCs w:val="24"/>
          <w:lang w:val="zh-TW"/>
        </w:rPr>
        <w:t>。</w:t>
      </w:r>
    </w:p>
    <w:p w14:paraId="1DE34DB1">
      <w:pPr>
        <w:rPr>
          <w:rFonts w:hint="default" w:ascii="Times New Roman" w:hAnsi="Times New Roman" w:eastAsia="宋体" w:cs="Times New Roman"/>
          <w:color w:val="auto"/>
          <w:sz w:val="24"/>
          <w:szCs w:val="24"/>
          <w:lang w:bidi="zh-TW"/>
        </w:rPr>
      </w:pPr>
    </w:p>
    <w:p w14:paraId="34379BFC">
      <w:pPr>
        <w:pStyle w:val="2"/>
        <w:jc w:val="both"/>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五、项目周期：</w:t>
      </w:r>
      <w:r>
        <w:rPr>
          <w:rFonts w:hint="default" w:ascii="Times New Roman" w:hAnsi="Times New Roman" w:eastAsia="宋体" w:cs="Times New Roman"/>
          <w:b w:val="0"/>
          <w:bCs w:val="0"/>
          <w:color w:val="auto"/>
          <w:sz w:val="24"/>
          <w:szCs w:val="24"/>
        </w:rPr>
        <w:t>壹年</w:t>
      </w:r>
      <w:r>
        <w:rPr>
          <w:rFonts w:hint="eastAsia" w:ascii="Times New Roman" w:hAnsi="Times New Roman" w:cs="Times New Roman"/>
          <w:b w:val="0"/>
          <w:bCs w:val="0"/>
          <w:color w:val="auto"/>
          <w:sz w:val="24"/>
          <w:szCs w:val="24"/>
          <w:lang w:eastAsia="zh-CN"/>
        </w:rPr>
        <w:t>（</w:t>
      </w:r>
      <w:r>
        <w:rPr>
          <w:rFonts w:hint="eastAsia" w:ascii="Times New Roman" w:hAnsi="Times New Roman" w:cs="Times New Roman"/>
          <w:b w:val="0"/>
          <w:bCs w:val="0"/>
          <w:color w:val="auto"/>
          <w:sz w:val="24"/>
          <w:szCs w:val="24"/>
          <w:lang w:val="en-US" w:eastAsia="zh-CN"/>
        </w:rPr>
        <w:t>具体以合同签订为准</w:t>
      </w:r>
      <w:r>
        <w:rPr>
          <w:rFonts w:hint="eastAsia" w:ascii="Times New Roman" w:hAnsi="Times New Roman" w:cs="Times New Roman"/>
          <w:b w:val="0"/>
          <w:bCs w:val="0"/>
          <w:color w:val="auto"/>
          <w:sz w:val="24"/>
          <w:szCs w:val="24"/>
          <w:lang w:eastAsia="zh-CN"/>
        </w:rPr>
        <w:t>）</w:t>
      </w:r>
    </w:p>
    <w:p w14:paraId="1CFC7E01">
      <w:pPr>
        <w:pStyle w:val="2"/>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六、付款方式</w:t>
      </w:r>
      <w:r>
        <w:rPr>
          <w:rFonts w:hint="eastAsia" w:ascii="Times New Roman" w:hAnsi="Times New Roman" w:cs="Times New Roman"/>
          <w:color w:val="auto"/>
          <w:sz w:val="24"/>
          <w:szCs w:val="24"/>
          <w:lang w:eastAsia="zh-CN"/>
        </w:rPr>
        <w:t>：</w:t>
      </w:r>
      <w:r>
        <w:rPr>
          <w:rFonts w:hint="default" w:ascii="Times New Roman" w:hAnsi="Times New Roman" w:eastAsia="宋体" w:cs="Times New Roman"/>
          <w:b w:val="0"/>
          <w:bCs w:val="0"/>
          <w:color w:val="auto"/>
          <w:sz w:val="24"/>
          <w:szCs w:val="24"/>
        </w:rPr>
        <w:t>签订合同</w:t>
      </w:r>
      <w:r>
        <w:rPr>
          <w:rFonts w:hint="eastAsia" w:cs="Times New Roman"/>
          <w:b w:val="0"/>
          <w:bCs w:val="0"/>
          <w:color w:val="auto"/>
          <w:sz w:val="24"/>
          <w:szCs w:val="24"/>
          <w:lang w:eastAsia="zh-CN"/>
        </w:rPr>
        <w:t>时</w:t>
      </w:r>
      <w:r>
        <w:rPr>
          <w:rFonts w:hint="default" w:ascii="Times New Roman" w:hAnsi="Times New Roman" w:eastAsia="宋体" w:cs="Times New Roman"/>
          <w:b w:val="0"/>
          <w:bCs w:val="0"/>
          <w:color w:val="auto"/>
          <w:sz w:val="24"/>
          <w:szCs w:val="24"/>
        </w:rPr>
        <w:t>约定。</w:t>
      </w:r>
    </w:p>
    <w:p w14:paraId="75D1532D">
      <w:pPr>
        <w:pStyle w:val="126"/>
        <w:ind w:firstLine="422"/>
        <w:rPr>
          <w:rFonts w:hint="default" w:ascii="Times New Roman" w:hAnsi="Times New Roman" w:eastAsia="黑体" w:cs="Times New Roman"/>
          <w:b/>
          <w:bCs/>
          <w:color w:val="auto"/>
          <w:szCs w:val="21"/>
        </w:rPr>
      </w:pPr>
    </w:p>
    <w:p w14:paraId="60889850">
      <w:pPr>
        <w:adjustRightInd w:val="0"/>
        <w:snapToGrid w:val="0"/>
        <w:spacing w:beforeLines="50" w:line="360" w:lineRule="auto"/>
        <w:rPr>
          <w:rFonts w:hint="default" w:ascii="Times New Roman" w:hAnsi="Times New Roman" w:cs="Times New Roman"/>
          <w:color w:val="auto"/>
          <w:kern w:val="0"/>
          <w:szCs w:val="21"/>
        </w:rPr>
      </w:pPr>
    </w:p>
    <w:p w14:paraId="3B98DD3C">
      <w:pPr>
        <w:widowControl/>
        <w:jc w:val="left"/>
        <w:rPr>
          <w:rFonts w:hint="default" w:ascii="Times New Roman" w:hAnsi="Times New Roman" w:eastAsia="黑体" w:cs="Times New Roman"/>
          <w:b/>
          <w:bCs/>
          <w:color w:val="auto"/>
          <w:sz w:val="24"/>
        </w:rPr>
      </w:pPr>
    </w:p>
    <w:p w14:paraId="1A26E201">
      <w:pPr>
        <w:rPr>
          <w:rFonts w:hint="default" w:ascii="Times New Roman" w:hAnsi="Times New Roman" w:eastAsia="黑体" w:cs="Times New Roman"/>
          <w:b/>
          <w:color w:val="auto"/>
          <w:sz w:val="32"/>
          <w:szCs w:val="32"/>
        </w:rPr>
      </w:pPr>
      <w:bookmarkStart w:id="142" w:name="_Toc29913944"/>
      <w:bookmarkStart w:id="143" w:name="_Toc12981"/>
      <w:r>
        <w:rPr>
          <w:rFonts w:hint="default" w:ascii="Times New Roman" w:hAnsi="Times New Roman" w:eastAsia="黑体" w:cs="Times New Roman"/>
          <w:b/>
          <w:color w:val="auto"/>
          <w:sz w:val="32"/>
          <w:szCs w:val="32"/>
        </w:rPr>
        <w:br w:type="page"/>
      </w:r>
    </w:p>
    <w:p w14:paraId="16A8D967">
      <w:pPr>
        <w:pStyle w:val="22"/>
        <w:adjustRightInd w:val="0"/>
        <w:snapToGrid w:val="0"/>
        <w:spacing w:line="360" w:lineRule="auto"/>
        <w:jc w:val="center"/>
        <w:outlineLvl w:val="0"/>
        <w:rPr>
          <w:rFonts w:hint="default" w:ascii="Times New Roman" w:hAnsi="Times New Roman" w:eastAsia="黑体" w:cs="Times New Roman"/>
          <w:b/>
          <w:color w:val="auto"/>
          <w:sz w:val="32"/>
          <w:szCs w:val="32"/>
        </w:rPr>
      </w:pPr>
      <w:bookmarkStart w:id="144" w:name="_Toc27842"/>
      <w:r>
        <w:rPr>
          <w:rFonts w:hint="default" w:ascii="Times New Roman" w:hAnsi="Times New Roman" w:eastAsia="黑体" w:cs="Times New Roman"/>
          <w:b/>
          <w:color w:val="auto"/>
          <w:sz w:val="32"/>
          <w:szCs w:val="32"/>
        </w:rPr>
        <w:t>第六章 政府采购合同</w:t>
      </w:r>
      <w:bookmarkEnd w:id="142"/>
      <w:bookmarkEnd w:id="143"/>
      <w:bookmarkEnd w:id="144"/>
    </w:p>
    <w:p w14:paraId="4D6205B0">
      <w:pPr>
        <w:pStyle w:val="4"/>
        <w:adjustRightInd w:val="0"/>
        <w:snapToGrid w:val="0"/>
        <w:jc w:val="center"/>
        <w:rPr>
          <w:rFonts w:hint="default" w:ascii="Times New Roman" w:hAnsi="Times New Roman" w:eastAsia="黑体" w:cs="Times New Roman"/>
          <w:color w:val="auto"/>
          <w:sz w:val="28"/>
          <w:szCs w:val="28"/>
        </w:rPr>
      </w:pPr>
      <w:bookmarkStart w:id="145" w:name="_Toc29913945"/>
      <w:bookmarkStart w:id="146" w:name="_Toc27385"/>
      <w:bookmarkStart w:id="147" w:name="_Toc14860"/>
      <w:r>
        <w:rPr>
          <w:rFonts w:hint="default" w:ascii="Times New Roman" w:hAnsi="Times New Roman" w:eastAsia="黑体" w:cs="Times New Roman"/>
          <w:color w:val="auto"/>
          <w:sz w:val="28"/>
          <w:szCs w:val="28"/>
        </w:rPr>
        <w:t>第一节 政府采购合同协议书</w:t>
      </w:r>
      <w:bookmarkEnd w:id="145"/>
      <w:bookmarkEnd w:id="146"/>
      <w:bookmarkEnd w:id="147"/>
    </w:p>
    <w:p w14:paraId="006F81FB">
      <w:pPr>
        <w:adjustRightInd w:val="0"/>
        <w:snapToGrid w:val="0"/>
        <w:spacing w:beforeLines="50" w:line="360" w:lineRule="auto"/>
        <w:ind w:firstLine="5460" w:firstLineChars="26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采购合同编号：</w:t>
      </w:r>
    </w:p>
    <w:p w14:paraId="74EF2732">
      <w:pPr>
        <w:adjustRightInd w:val="0"/>
        <w:snapToGrid w:val="0"/>
        <w:spacing w:beforeLines="50" w:line="360" w:lineRule="auto"/>
        <w:jc w:val="center"/>
        <w:rPr>
          <w:rFonts w:hint="default" w:ascii="Times New Roman" w:hAnsi="Times New Roman" w:cs="Times New Roman" w:eastAsiaTheme="minorEastAsia"/>
          <w:b/>
          <w:color w:val="auto"/>
          <w:szCs w:val="21"/>
        </w:rPr>
      </w:pPr>
    </w:p>
    <w:p w14:paraId="222791B7">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采购人（全称）：</w:t>
      </w:r>
      <w:r>
        <w:rPr>
          <w:rFonts w:hint="default" w:ascii="Times New Roman" w:hAnsi="Times New Roman" w:cs="Times New Roman" w:eastAsiaTheme="minorEastAsia"/>
          <w:color w:val="auto"/>
          <w:szCs w:val="21"/>
          <w:u w:val="single"/>
        </w:rPr>
        <w:t>郴州市自然资源和规划局</w:t>
      </w:r>
      <w:r>
        <w:rPr>
          <w:rFonts w:hint="default" w:ascii="Times New Roman" w:hAnsi="Times New Roman" w:cs="Times New Roman" w:eastAsiaTheme="minorEastAsia"/>
          <w:color w:val="auto"/>
          <w:szCs w:val="21"/>
        </w:rPr>
        <w:t>（甲方）</w:t>
      </w:r>
    </w:p>
    <w:p w14:paraId="465610A3">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供应商（全称）：</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（乙方）</w:t>
      </w:r>
    </w:p>
    <w:p w14:paraId="4E701891">
      <w:pPr>
        <w:pStyle w:val="18"/>
        <w:adjustRightInd w:val="0"/>
        <w:snapToGrid w:val="0"/>
        <w:spacing w:beforeLines="50" w:after="0" w:line="360" w:lineRule="auto"/>
        <w:rPr>
          <w:rFonts w:hint="default" w:ascii="Times New Roman" w:hAnsi="Times New Roman" w:cs="Times New Roman" w:eastAsiaTheme="minorEastAsia"/>
          <w:color w:val="auto"/>
          <w:szCs w:val="21"/>
        </w:rPr>
      </w:pPr>
    </w:p>
    <w:p w14:paraId="7877D86A">
      <w:pPr>
        <w:pStyle w:val="18"/>
        <w:adjustRightInd w:val="0"/>
        <w:snapToGrid w:val="0"/>
        <w:spacing w:beforeLines="50" w:after="0" w:line="360" w:lineRule="auto"/>
        <w:ind w:left="0" w:leftChars="0"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为了保护甲、乙双方合法权益，根据</w:t>
      </w:r>
      <w:r>
        <w:rPr>
          <w:rFonts w:hint="default" w:ascii="Times New Roman" w:hAnsi="Times New Roman" w:cs="Times New Roman"/>
          <w:color w:val="auto"/>
          <w:szCs w:val="21"/>
        </w:rPr>
        <w:t>《中华人民共和国民法典》</w:t>
      </w:r>
      <w:r>
        <w:rPr>
          <w:rFonts w:hint="default" w:ascii="Times New Roman" w:hAnsi="Times New Roman" w:cs="Times New Roman" w:eastAsiaTheme="minorEastAsia"/>
          <w:color w:val="auto"/>
          <w:szCs w:val="21"/>
        </w:rPr>
        <w:t>、《中华人民共和国政府采购法》及其他有关法律、法规、规章，双方签订本合同协议书。</w:t>
      </w:r>
    </w:p>
    <w:p w14:paraId="47362C68">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1.项目信息</w:t>
      </w:r>
    </w:p>
    <w:p w14:paraId="272E58FE">
      <w:pPr>
        <w:pStyle w:val="18"/>
        <w:adjustRightInd w:val="0"/>
        <w:snapToGrid w:val="0"/>
        <w:spacing w:beforeLines="50" w:after="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（1）采购项目名称：</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u w:val="single"/>
          <w:lang w:eastAsia="zh-CN"/>
        </w:rPr>
        <w:t>郴州市矿产资源总体规划（2026年-2030年）编制项目</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 xml:space="preserve"> </w:t>
      </w:r>
    </w:p>
    <w:p w14:paraId="3A068F1B">
      <w:pPr>
        <w:pStyle w:val="18"/>
        <w:adjustRightInd w:val="0"/>
        <w:snapToGrid w:val="0"/>
        <w:spacing w:beforeLines="50" w:after="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（2）采购计划编号：</w:t>
      </w:r>
      <w:r>
        <w:rPr>
          <w:rFonts w:hint="default" w:ascii="Times New Roman" w:hAnsi="Times New Roman" w:cs="Times New Roman" w:eastAsiaTheme="minorEastAsia"/>
          <w:color w:val="auto"/>
          <w:szCs w:val="21"/>
          <w:u w:val="single"/>
        </w:rPr>
        <w:t xml:space="preserve"> 郴财采计[2026]    号  </w:t>
      </w:r>
      <w:r>
        <w:rPr>
          <w:rFonts w:hint="default" w:ascii="Times New Roman" w:hAnsi="Times New Roman" w:cs="Times New Roman" w:eastAsiaTheme="minorEastAsia"/>
          <w:color w:val="auto"/>
          <w:szCs w:val="21"/>
        </w:rPr>
        <w:t xml:space="preserve">  </w:t>
      </w:r>
    </w:p>
    <w:p w14:paraId="733A7593">
      <w:pPr>
        <w:adjustRightInd w:val="0"/>
        <w:snapToGrid w:val="0"/>
        <w:spacing w:beforeLines="50" w:line="360" w:lineRule="auto"/>
        <w:ind w:firstLine="420" w:firstLineChars="200"/>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color w:val="auto"/>
          <w:szCs w:val="21"/>
        </w:rPr>
        <w:t>（3）项目内容：</w:t>
      </w:r>
      <w:r>
        <w:rPr>
          <w:rFonts w:hint="default" w:ascii="Times New Roman" w:hAnsi="Times New Roman" w:cs="Times New Roman" w:eastAsiaTheme="minorEastAsia"/>
          <w:color w:val="auto"/>
          <w:szCs w:val="21"/>
          <w:u w:val="single"/>
        </w:rPr>
        <w:t xml:space="preserve">      </w:t>
      </w:r>
    </w:p>
    <w:p w14:paraId="411E93DE">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（4）项目负责人：</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w:t>
      </w:r>
    </w:p>
    <w:p w14:paraId="1176F573">
      <w:pPr>
        <w:adjustRightInd w:val="0"/>
        <w:snapToGrid w:val="0"/>
        <w:spacing w:beforeLines="50" w:line="360" w:lineRule="auto"/>
        <w:ind w:firstLine="413" w:firstLineChars="196"/>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2.合同金额</w:t>
      </w:r>
    </w:p>
    <w:p w14:paraId="5EB1979E">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（1）合同金额小写：</w:t>
      </w:r>
    </w:p>
    <w:p w14:paraId="1C369FE9">
      <w:pPr>
        <w:adjustRightInd w:val="0"/>
        <w:snapToGrid w:val="0"/>
        <w:spacing w:beforeLines="50" w:line="360" w:lineRule="auto"/>
        <w:ind w:firstLine="1260" w:firstLineChars="6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大写：</w:t>
      </w:r>
    </w:p>
    <w:p w14:paraId="056CEB1A">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（2）具体标的见附件。</w:t>
      </w:r>
    </w:p>
    <w:p w14:paraId="35F6F8CA">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（3）合同价格形式： 。</w:t>
      </w:r>
    </w:p>
    <w:p w14:paraId="361BB3AC">
      <w:pPr>
        <w:adjustRightInd w:val="0"/>
        <w:snapToGrid w:val="0"/>
        <w:spacing w:beforeLines="50" w:line="360" w:lineRule="auto"/>
        <w:ind w:firstLine="422" w:firstLineChars="200"/>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b/>
          <w:color w:val="auto"/>
          <w:szCs w:val="21"/>
        </w:rPr>
        <w:t>3.履行合同的时间、地点及方式</w:t>
      </w:r>
    </w:p>
    <w:p w14:paraId="1B16D982">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起始日期：年月日，完成日期：年月日。总日历天数：天。</w:t>
      </w:r>
    </w:p>
    <w:p w14:paraId="0949CC3B">
      <w:pPr>
        <w:adjustRightInd w:val="0"/>
        <w:snapToGrid w:val="0"/>
        <w:spacing w:beforeLines="50" w:line="360" w:lineRule="auto"/>
        <w:ind w:firstLine="630" w:firstLineChars="300"/>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color w:val="auto"/>
          <w:szCs w:val="21"/>
        </w:rPr>
        <w:t>地点</w:t>
      </w:r>
      <w:r>
        <w:rPr>
          <w:rFonts w:hint="default" w:ascii="Times New Roman" w:hAnsi="Times New Roman" w:cs="Times New Roman" w:eastAsiaTheme="minorEastAsia"/>
          <w:b/>
          <w:color w:val="auto"/>
          <w:szCs w:val="21"/>
        </w:rPr>
        <w:t>：</w:t>
      </w:r>
    </w:p>
    <w:p w14:paraId="3C72FED0">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方式：</w:t>
      </w:r>
    </w:p>
    <w:p w14:paraId="39CAD386">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4.付款：</w:t>
      </w:r>
    </w:p>
    <w:p w14:paraId="319F4CFA">
      <w:pPr>
        <w:adjustRightInd w:val="0"/>
        <w:snapToGrid w:val="0"/>
        <w:spacing w:beforeLines="50" w:line="360" w:lineRule="auto"/>
        <w:ind w:firstLine="630" w:firstLineChars="300"/>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color w:val="auto"/>
          <w:szCs w:val="21"/>
        </w:rPr>
        <w:t xml:space="preserve">1、。  </w:t>
      </w:r>
    </w:p>
    <w:p w14:paraId="5C47EEB6">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5.解决合同纠纷方式</w:t>
      </w:r>
    </w:p>
    <w:p w14:paraId="2D1F2779">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首先通过双方协商解决，协商解决不成，则通过以下途径之一解决纠纷：</w:t>
      </w:r>
    </w:p>
    <w:p w14:paraId="0D79C6FD">
      <w:pPr>
        <w:adjustRightInd w:val="0"/>
        <w:snapToGrid w:val="0"/>
        <w:spacing w:beforeLines="50" w:line="360" w:lineRule="auto"/>
        <w:ind w:firstLine="840" w:firstLineChars="4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提请仲裁       ☑ 向人民法院提起诉讼</w:t>
      </w:r>
    </w:p>
    <w:p w14:paraId="562702D3">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6.组成合同的文件</w:t>
      </w:r>
    </w:p>
    <w:p w14:paraId="66C06149">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本协议书与下列文件一起构成合同文件，如下述文件之间有任何抵触、矛盾或歧义，应按以下顺序解释：</w:t>
      </w:r>
    </w:p>
    <w:p w14:paraId="4849B704">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（1）在采购或合同履行过程中乙方作出的承诺以及双方协商达成的变更或补充协议</w:t>
      </w:r>
    </w:p>
    <w:p w14:paraId="7E4DB7B5">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（2）本合同协议书</w:t>
      </w:r>
    </w:p>
    <w:p w14:paraId="2E985A54">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（3）中标通知书</w:t>
      </w:r>
    </w:p>
    <w:p w14:paraId="4F7BE9EA">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（4）投标文件</w:t>
      </w:r>
    </w:p>
    <w:p w14:paraId="5A86F0D2">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（5）政府采购合同专用条款</w:t>
      </w:r>
    </w:p>
    <w:p w14:paraId="5E863887">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（6）政府采购合同通用条款</w:t>
      </w:r>
    </w:p>
    <w:p w14:paraId="5FEB076D">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（7）标准、规范及有关技术文件，图纸。</w:t>
      </w:r>
    </w:p>
    <w:p w14:paraId="18576DA0">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（8）其他合同文件。</w:t>
      </w:r>
    </w:p>
    <w:p w14:paraId="2997A6A7">
      <w:pPr>
        <w:adjustRightInd w:val="0"/>
        <w:snapToGrid w:val="0"/>
        <w:spacing w:beforeLines="50" w:line="360" w:lineRule="auto"/>
        <w:ind w:firstLine="310" w:firstLineChars="147"/>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7.合同生效</w:t>
      </w:r>
    </w:p>
    <w:p w14:paraId="49DB1F91">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本合同自生效。</w:t>
      </w:r>
    </w:p>
    <w:p w14:paraId="43367C16">
      <w:pPr>
        <w:adjustRightInd w:val="0"/>
        <w:snapToGrid w:val="0"/>
        <w:spacing w:beforeLines="50" w:line="360" w:lineRule="auto"/>
        <w:ind w:firstLine="310" w:firstLineChars="147"/>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8.合同份数</w:t>
      </w:r>
    </w:p>
    <w:p w14:paraId="2010B140">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本合同一式份，采购人执份，供应商执份，均具有同等法律效力。</w:t>
      </w:r>
    </w:p>
    <w:p w14:paraId="5B13DC74">
      <w:pPr>
        <w:adjustRightInd w:val="0"/>
        <w:snapToGrid w:val="0"/>
        <w:spacing w:beforeLines="50" w:line="360" w:lineRule="auto"/>
        <w:rPr>
          <w:rFonts w:hint="default" w:ascii="Times New Roman" w:hAnsi="Times New Roman" w:cs="Times New Roman" w:eastAsiaTheme="minorEastAsia"/>
          <w:color w:val="auto"/>
          <w:szCs w:val="21"/>
        </w:rPr>
      </w:pPr>
    </w:p>
    <w:p w14:paraId="3D74764B">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合同订立时间：年月日</w:t>
      </w:r>
    </w:p>
    <w:p w14:paraId="570C0543">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合同订立地点：</w:t>
      </w:r>
    </w:p>
    <w:p w14:paraId="2F54F997">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p>
    <w:p w14:paraId="491149D1">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甲      方：（公章）                     乙      方：（公章）</w:t>
      </w:r>
    </w:p>
    <w:p w14:paraId="63FD10D2">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法定代表人：         法定代表人：</w:t>
      </w:r>
    </w:p>
    <w:p w14:paraId="6AC499A1">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委托代理人：         委托代理人：</w:t>
      </w:r>
    </w:p>
    <w:p w14:paraId="3A20DA3B">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电      话：         电      话：</w:t>
      </w:r>
    </w:p>
    <w:p w14:paraId="13E677D8">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传      真：         传      真：</w:t>
      </w:r>
    </w:p>
    <w:p w14:paraId="47CFC6B6">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                                    开 户 银 行：</w:t>
      </w:r>
    </w:p>
    <w:p w14:paraId="516B0D88">
      <w:pPr>
        <w:adjustRightInd w:val="0"/>
        <w:snapToGrid w:val="0"/>
        <w:spacing w:beforeLines="50"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 xml:space="preserve">         帐       号：</w:t>
      </w:r>
    </w:p>
    <w:p w14:paraId="029476A8">
      <w:pPr>
        <w:autoSpaceDE w:val="0"/>
        <w:autoSpaceDN w:val="0"/>
        <w:adjustRightInd w:val="0"/>
        <w:snapToGrid w:val="0"/>
        <w:spacing w:before="50" w:line="360" w:lineRule="auto"/>
        <w:ind w:firstLine="420" w:firstLineChars="200"/>
        <w:jc w:val="left"/>
        <w:rPr>
          <w:rFonts w:hint="default" w:ascii="Times New Roman" w:hAnsi="Times New Roman" w:eastAsia="黑体" w:cs="Times New Roman"/>
          <w:b/>
          <w:bCs/>
          <w:color w:val="auto"/>
          <w:sz w:val="32"/>
        </w:rPr>
      </w:pPr>
      <w:r>
        <w:rPr>
          <w:rFonts w:hint="default" w:ascii="Times New Roman" w:hAnsi="Times New Roman" w:cs="Times New Roman" w:eastAsiaTheme="minorEastAsia"/>
          <w:color w:val="auto"/>
          <w:szCs w:val="21"/>
          <w:u w:val="single"/>
        </w:rPr>
        <w:br w:type="page"/>
      </w:r>
    </w:p>
    <w:p w14:paraId="1C3C45CA">
      <w:pPr>
        <w:pStyle w:val="4"/>
        <w:adjustRightInd w:val="0"/>
        <w:snapToGrid w:val="0"/>
        <w:spacing w:beforeLines="50"/>
        <w:jc w:val="center"/>
        <w:rPr>
          <w:rFonts w:hint="default" w:ascii="Times New Roman" w:hAnsi="Times New Roman" w:eastAsia="黑体" w:cs="Times New Roman"/>
          <w:color w:val="auto"/>
          <w:sz w:val="44"/>
          <w:szCs w:val="44"/>
        </w:rPr>
      </w:pPr>
      <w:bookmarkStart w:id="148" w:name="_Toc18102"/>
      <w:bookmarkStart w:id="149" w:name="_Toc9549"/>
      <w:bookmarkStart w:id="150" w:name="_Toc29913947"/>
      <w:r>
        <w:rPr>
          <w:rFonts w:hint="default" w:ascii="Times New Roman" w:hAnsi="Times New Roman" w:eastAsia="黑体" w:cs="Times New Roman"/>
          <w:color w:val="auto"/>
          <w:sz w:val="28"/>
          <w:szCs w:val="28"/>
        </w:rPr>
        <w:t>第二节 政府采购合同通用条款</w:t>
      </w:r>
      <w:bookmarkEnd w:id="148"/>
      <w:bookmarkEnd w:id="149"/>
    </w:p>
    <w:p w14:paraId="1D3BF5BD">
      <w:pPr>
        <w:tabs>
          <w:tab w:val="left" w:pos="8820"/>
          <w:tab w:val="left" w:pos="9345"/>
          <w:tab w:val="left" w:pos="9765"/>
        </w:tabs>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color w:val="auto"/>
          <w:sz w:val="24"/>
        </w:rPr>
        <w:t>1.</w:t>
      </w:r>
      <w:r>
        <w:rPr>
          <w:rFonts w:hint="default" w:ascii="Times New Roman" w:hAnsi="Times New Roman" w:cs="Times New Roman" w:eastAsiaTheme="minorEastAsia"/>
          <w:b/>
          <w:bCs/>
          <w:color w:val="auto"/>
          <w:sz w:val="24"/>
        </w:rPr>
        <w:t>定义</w:t>
      </w:r>
    </w:p>
    <w:p w14:paraId="2CC94C7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1.1合同当事人</w:t>
      </w:r>
    </w:p>
    <w:p w14:paraId="2EE7477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（1）采购人（以下称甲方）是指使用财政性资金，通过政府采购程序向供应商购买货物、服务的国家机关、事业单位、团体组织。本次采购的甲方名称、地址见</w:t>
      </w:r>
      <w:r>
        <w:rPr>
          <w:rFonts w:hint="default" w:ascii="Times New Roman" w:hAnsi="Times New Roman" w:cs="Times New Roman" w:eastAsiaTheme="minorEastAsia"/>
          <w:b/>
          <w:color w:val="auto"/>
          <w:szCs w:val="21"/>
        </w:rPr>
        <w:t>【政府采购合同专用条款】。</w:t>
      </w:r>
    </w:p>
    <w:p w14:paraId="44E12937">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（2）供应商（以下称乙方）是指参加政府采购活动而取得中标结果，并向采购人提供货物、服务的法人、其他组织或者自然人。</w:t>
      </w:r>
    </w:p>
    <w:p w14:paraId="070E8FBD">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1.2本合同下列术语应解释为：</w:t>
      </w:r>
    </w:p>
    <w:p w14:paraId="29DA14D4">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（1）“合同”系指甲乙双方签署的、政府采购合同协议书中载明的甲乙双方所达成的协议，包括所有的附件、附录和上述文件所提到的构成合同的所有文件。</w:t>
      </w:r>
    </w:p>
    <w:p w14:paraId="38F945DE">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（2）“合同价”系指根据本合同规定乙方在正确地完全履行合同义务后甲方应支付给乙方的价款。</w:t>
      </w:r>
    </w:p>
    <w:p w14:paraId="1E63E1EC">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（3）“货物”系指乙方根据本合同规定须向甲方提供的各种形态和种类的物品，包括原材料、设备、产品（包括软件）及相关的其备品备件、工具、手册及其它技术资料和材料。</w:t>
      </w:r>
    </w:p>
    <w:p w14:paraId="0C553C99">
      <w:pPr>
        <w:tabs>
          <w:tab w:val="left" w:pos="570"/>
          <w:tab w:val="left" w:pos="888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服务”系指根据合同规定，乙方应提供的技术、管理和其它服务，包括但不限于：管理和质量保证、运输、保险、检验、现场准备、安装、集成、调试、培训、维修、技术支持等以及合同中规定乙方应承担的其它义务。</w:t>
      </w:r>
    </w:p>
    <w:p w14:paraId="49F9B631">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（5）“合同条款”系指本合同条款。</w:t>
      </w:r>
    </w:p>
    <w:p w14:paraId="6CB7AD19">
      <w:pPr>
        <w:tabs>
          <w:tab w:val="left" w:pos="570"/>
          <w:tab w:val="left" w:pos="9240"/>
          <w:tab w:val="left" w:pos="9555"/>
        </w:tabs>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（6）“项目现场”系指本合同项下货物安装、运行的现场，其名称见</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w:t>
      </w:r>
    </w:p>
    <w:p w14:paraId="00D87B5E">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2.合同的适用范围</w:t>
      </w:r>
    </w:p>
    <w:p w14:paraId="7EBF2D0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 本合同条款适用于没有被本合同其他部分的条款所取代的范围。</w:t>
      </w:r>
    </w:p>
    <w:p w14:paraId="16E920E4">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 合同内容根据招标文件、投标文件而确定。</w:t>
      </w:r>
    </w:p>
    <w:p w14:paraId="6C72FB95">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3.</w:t>
      </w:r>
      <w:r>
        <w:rPr>
          <w:rFonts w:hint="default" w:ascii="Times New Roman" w:hAnsi="Times New Roman" w:cs="Times New Roman" w:eastAsiaTheme="minorEastAsia"/>
          <w:b/>
          <w:color w:val="auto"/>
          <w:sz w:val="24"/>
        </w:rPr>
        <w:t>合同标的及金额</w:t>
      </w:r>
    </w:p>
    <w:p w14:paraId="0A253465">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3.1 合同标的及金额应与中标结果一致。</w:t>
      </w:r>
    </w:p>
    <w:p w14:paraId="4C4AB5E0">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4.</w:t>
      </w:r>
      <w:r>
        <w:rPr>
          <w:rFonts w:hint="default" w:ascii="Times New Roman" w:hAnsi="Times New Roman" w:cs="Times New Roman" w:eastAsiaTheme="minorEastAsia"/>
          <w:b/>
          <w:color w:val="auto"/>
          <w:sz w:val="24"/>
        </w:rPr>
        <w:t>合同价款</w:t>
      </w:r>
    </w:p>
    <w:p w14:paraId="7E229870">
      <w:pPr>
        <w:adjustRightInd w:val="0"/>
        <w:snapToGrid w:val="0"/>
        <w:spacing w:before="50" w:line="360" w:lineRule="auto"/>
        <w:ind w:firstLine="420" w:firstLineChars="200"/>
        <w:jc w:val="left"/>
        <w:rPr>
          <w:rFonts w:hint="default" w:ascii="Times New Roman" w:hAnsi="Times New Roman" w:cs="Times New Roman" w:eastAsiaTheme="minorEastAsia"/>
          <w:b/>
          <w:bCs/>
          <w:i/>
          <w:iCs/>
          <w:color w:val="auto"/>
          <w:szCs w:val="21"/>
        </w:rPr>
      </w:pPr>
      <w:r>
        <w:rPr>
          <w:rFonts w:hint="default" w:ascii="Times New Roman" w:hAnsi="Times New Roman" w:cs="Times New Roman" w:eastAsiaTheme="minorEastAsia"/>
          <w:color w:val="auto"/>
          <w:szCs w:val="21"/>
        </w:rPr>
        <w:t>4.1具体合同价款见本合同第3.1条。乙方为履行本合同而发生的所有费用均应包含在合同价款中，甲方不再另行支付其它任何费用。</w:t>
      </w:r>
    </w:p>
    <w:p w14:paraId="201F5586">
      <w:pPr>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5.履行合同的时间、地点和方式</w:t>
      </w:r>
    </w:p>
    <w:p w14:paraId="39BCD812">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5.1 乙方应当在甲方确定的时间、指定的地点履行合同，具体的服务时间、地点和方式见</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w:t>
      </w:r>
    </w:p>
    <w:p w14:paraId="49D03EC7">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5.2 乙方提供服务的应当在甲方指定的地点完成服务项目。</w:t>
      </w:r>
    </w:p>
    <w:p w14:paraId="1F7F4839">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6.服务</w:t>
      </w:r>
      <w:r>
        <w:rPr>
          <w:rFonts w:hint="default" w:ascii="Times New Roman" w:hAnsi="Times New Roman" w:cs="Times New Roman" w:eastAsiaTheme="minorEastAsia"/>
          <w:b/>
          <w:color w:val="auto"/>
          <w:sz w:val="24"/>
        </w:rPr>
        <w:t>的验收</w:t>
      </w:r>
    </w:p>
    <w:p w14:paraId="155E2317">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6.1乙方提供的服务由甲方或者甲方的最终用户负责验收。</w:t>
      </w:r>
    </w:p>
    <w:p w14:paraId="3DC7EC12">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6.2甲方或者甲方的最终用户应当按照采购合同规定的技术、服务等要求组织对乙方履约的验收，并出具验收书。验收书应当包括每一项技术、服务等要求的履约情况。</w:t>
      </w:r>
    </w:p>
    <w:p w14:paraId="0E68E08D">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6.3 在验收过程中发现数量不足或有质量、安全、技术等问题，乙方应负责按照甲方的要求采取补足、更换等处理措施，并承担由此发生的一切费用和损失。</w:t>
      </w:r>
    </w:p>
    <w:p w14:paraId="2E9AFBBD">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6.4 甲方在乙方按合同规定提交服务或安装、调试后，无正当理由而拖延接收、验收或拒绝接收、验收的，应承担因此给乙方造成的直接损失。</w:t>
      </w:r>
    </w:p>
    <w:p w14:paraId="09B323CF">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6.5大型或者复杂的项目，应当邀请国家认可的质量检测机构参加验收，并由其出具验收报告单。</w:t>
      </w:r>
    </w:p>
    <w:p w14:paraId="217539E1">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6.6政府向社会公众提供的公共服务项目，验收时应当邀请服务对象参与并出具意见，验收结果应当向社会公告。</w:t>
      </w:r>
    </w:p>
    <w:p w14:paraId="04261760">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6.7 乙方提供的进口产品，乙方应出示中华人民共和国进出口商品检验部门出具的检验证书（招标文件第五章采购需求另有约定的除外）。</w:t>
      </w:r>
    </w:p>
    <w:p w14:paraId="55E32055">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7.货物包装要求</w:t>
      </w:r>
    </w:p>
    <w:p w14:paraId="6D275BB2">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4E3E893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7.2 每一个包装箱内应附一份详细装箱单、质量证书和保修保养证书。</w:t>
      </w:r>
    </w:p>
    <w:p w14:paraId="45F56C9D">
      <w:pPr>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8.运输和保险</w:t>
      </w:r>
    </w:p>
    <w:p w14:paraId="1323CB8B">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8.1乙方负责办理将货物运抵本合同第5.1条规定的交货地点的一切运输事项，相关费用应包括在合同总价中。</w:t>
      </w:r>
    </w:p>
    <w:p w14:paraId="59870FE7">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8.2乙方应向保险公司投保以甲方为受益人的发运合同货物发票金额的110％运输一切险。</w:t>
      </w:r>
    </w:p>
    <w:p w14:paraId="1F7D19C1">
      <w:pPr>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9.质量标准和保证</w:t>
      </w:r>
    </w:p>
    <w:p w14:paraId="44EA567B">
      <w:pPr>
        <w:pStyle w:val="22"/>
        <w:adjustRightInd w:val="0"/>
        <w:snapToGrid w:val="0"/>
        <w:spacing w:before="50" w:line="360" w:lineRule="auto"/>
        <w:ind w:firstLine="420" w:firstLineChars="200"/>
        <w:jc w:val="left"/>
        <w:rPr>
          <w:rFonts w:hint="default" w:ascii="Times New Roman" w:hAnsi="Times New Roman" w:cs="Times New Roman" w:eastAsiaTheme="minorEastAsia"/>
          <w:b/>
          <w:color w:val="auto"/>
        </w:rPr>
      </w:pPr>
      <w:r>
        <w:rPr>
          <w:rFonts w:hint="default" w:ascii="Times New Roman" w:hAnsi="Times New Roman" w:cs="Times New Roman" w:eastAsiaTheme="minorEastAsia"/>
          <w:color w:val="auto"/>
        </w:rPr>
        <w:t>9.1 质量标准</w:t>
      </w:r>
    </w:p>
    <w:p w14:paraId="22459CC1">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（1）本合同下交付的服务应符合招标文件第四章“技术规格、参数与要求”所述的标准。如果没有提及适用标准，则应符合中华人民共和国有关机构发布的最新版本的标准。</w:t>
      </w:r>
    </w:p>
    <w:p w14:paraId="5C5399FC">
      <w:pPr>
        <w:pStyle w:val="22"/>
        <w:adjustRightInd w:val="0"/>
        <w:snapToGrid w:val="0"/>
        <w:spacing w:before="50" w:line="360" w:lineRule="auto"/>
        <w:ind w:firstLine="420" w:firstLineChars="2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（2）采用中华人民共和国法定计量单位。</w:t>
      </w:r>
    </w:p>
    <w:p w14:paraId="15B750D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（3）乙方所提供的服务还应符合国家有关安全、环保、卫生等规定。</w:t>
      </w:r>
    </w:p>
    <w:p w14:paraId="3B3BF458">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9.2 保证</w:t>
      </w:r>
    </w:p>
    <w:p w14:paraId="54BD3E6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规定或乙方承诺（两者以较长的为准）的质量保证期内，本保证保持有效。</w:t>
      </w:r>
    </w:p>
    <w:p w14:paraId="611B7273">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（2）在质量保证期内所发现的缺陷，甲方应尽快以书面形式通知乙方。</w:t>
      </w:r>
    </w:p>
    <w:p w14:paraId="69E6A4E8">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（3）乙方收到通知后应在</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规定的响应时间内以合理的速度免费维修或更换有缺陷的货物或部件。</w:t>
      </w:r>
    </w:p>
    <w:p w14:paraId="37EC2FA9">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（4）在质量保证期内，如果货物的质量或规格与合同不符，或证实货物是有缺陷的，包括潜在的缺陷或使用不符合要求的材料等，甲方可以根据本合同第15.1条规定以书面形式向乙方提出补救措施或索赔。</w:t>
      </w:r>
    </w:p>
    <w:p w14:paraId="340A2991">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（5）乙方在约定的时间内未能弥补缺陷，甲方可采取必要的补救措施，但其风险和费用将由乙方承担，甲方根据合同规定对乙方行使的其他权利不受影响。</w:t>
      </w:r>
    </w:p>
    <w:p w14:paraId="66B7B87F">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10.权利瑕疵担保</w:t>
      </w:r>
    </w:p>
    <w:p w14:paraId="7333F218">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10.1 乙方保证对其出售的服务享有合法的权利。</w:t>
      </w:r>
    </w:p>
    <w:p w14:paraId="509DFEE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10.2 乙方保证在其出售的服务上不存在任何未曾向甲方透露的担保物权，如抵押权、质押权、留置权等。</w:t>
      </w:r>
    </w:p>
    <w:p w14:paraId="611CF5A4">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10.3 如甲方使用该服务构成上述侵权的，则由乙方承担全部责任。</w:t>
      </w:r>
    </w:p>
    <w:p w14:paraId="71D365C6">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11.知识产权保护</w:t>
      </w:r>
    </w:p>
    <w:p w14:paraId="5825DABD">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11.1 乙方对其所提供的服务应当享有知识产权或经权利人合法授权，保证没有侵犯任何第三人的知识产权和商业秘密等权利。</w:t>
      </w:r>
    </w:p>
    <w:p w14:paraId="3AE1A46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11.2 甲方使用乙方提供的服务对第三人构成侵权的，应当由乙方承担全部法律责任，给甲方造成损害的，乙方应当承担赔偿责任。</w:t>
      </w:r>
    </w:p>
    <w:p w14:paraId="7E5EB554">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11.3 甲方委托乙方开发的产品，甲方享有知识产权，未经甲方许可不得转让任何第三人。</w:t>
      </w:r>
    </w:p>
    <w:p w14:paraId="2DAF1536">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12.保密义务</w:t>
      </w:r>
    </w:p>
    <w:p w14:paraId="35E59A4D">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12.1 甲、乙双方在采购和履行合同过程中所获悉的对方属于保密的内容，双方均有保密义务。</w:t>
      </w:r>
    </w:p>
    <w:p w14:paraId="454C6925">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13.合同价款支付</w:t>
      </w:r>
    </w:p>
    <w:p w14:paraId="7823AA97">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13.1验收合格后，乙方出具正规发票给甲方，凭甲方开具的《政府采购合同验收报告单》办理合同价</w:t>
      </w:r>
      <w:r>
        <w:rPr>
          <w:rFonts w:hint="default" w:ascii="Times New Roman" w:hAnsi="Times New Roman" w:cs="Times New Roman" w:eastAsiaTheme="minorEastAsia"/>
          <w:bCs/>
          <w:color w:val="auto"/>
          <w:szCs w:val="21"/>
        </w:rPr>
        <w:t>款</w:t>
      </w:r>
      <w:r>
        <w:rPr>
          <w:rFonts w:hint="default" w:ascii="Times New Roman" w:hAnsi="Times New Roman" w:cs="Times New Roman" w:eastAsiaTheme="minorEastAsia"/>
          <w:color w:val="auto"/>
          <w:szCs w:val="21"/>
        </w:rPr>
        <w:t>结算手续。</w:t>
      </w:r>
    </w:p>
    <w:p w14:paraId="1303521F">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13.2 合同价款构成中应当由财政支付的部分，甲方应当在货物验收合格后的十五个工作日内向国库管理部门申请支付，经国库管理部门审核后直接支付给乙方。</w:t>
      </w:r>
    </w:p>
    <w:p w14:paraId="0AD0B105">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13.3 合同价款构成中应当由甲方自行支付的部分，甲方应当在货物验收合格后十五个工作内支付。</w:t>
      </w:r>
    </w:p>
    <w:p w14:paraId="068A0779">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13.4支付合同价</w:t>
      </w:r>
      <w:r>
        <w:rPr>
          <w:rFonts w:hint="default" w:ascii="Times New Roman" w:hAnsi="Times New Roman" w:cs="Times New Roman" w:eastAsiaTheme="minorEastAsia"/>
          <w:bCs/>
          <w:color w:val="auto"/>
          <w:szCs w:val="21"/>
        </w:rPr>
        <w:t>款</w:t>
      </w:r>
      <w:r>
        <w:rPr>
          <w:rFonts w:hint="default" w:ascii="Times New Roman" w:hAnsi="Times New Roman" w:cs="Times New Roman" w:eastAsiaTheme="minorEastAsia"/>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278F5FC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13.5 合同价款支付方式</w:t>
      </w:r>
      <w:r>
        <w:rPr>
          <w:rFonts w:hint="default" w:ascii="Times New Roman" w:hAnsi="Times New Roman" w:cs="Times New Roman" w:eastAsiaTheme="minorEastAsia"/>
          <w:bCs/>
          <w:color w:val="auto"/>
          <w:szCs w:val="21"/>
        </w:rPr>
        <w:t>和条件在</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中另有规定。</w:t>
      </w:r>
    </w:p>
    <w:p w14:paraId="38E7F412">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14.</w:t>
      </w:r>
      <w:r>
        <w:rPr>
          <w:rFonts w:hint="default" w:ascii="Times New Roman" w:hAnsi="Times New Roman" w:cs="Times New Roman"/>
          <w:b/>
          <w:color w:val="auto"/>
          <w:sz w:val="24"/>
        </w:rPr>
        <w:t>乙方应提供的</w:t>
      </w:r>
      <w:r>
        <w:rPr>
          <w:rFonts w:hint="default" w:ascii="Times New Roman" w:hAnsi="Times New Roman" w:cs="Times New Roman" w:eastAsiaTheme="minorEastAsia"/>
          <w:b/>
          <w:color w:val="auto"/>
          <w:sz w:val="24"/>
        </w:rPr>
        <w:t>服务</w:t>
      </w:r>
    </w:p>
    <w:p w14:paraId="5D0CE52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14.1 乙方应向甲方提交所提供货物的技术文件，包括相应的中文技术文件，如：产品目录、图纸、操作手册、使用说明、维护手册或服务指南。这些文件应包装好随同货物一起发运。</w:t>
      </w:r>
    </w:p>
    <w:p w14:paraId="1386ED28">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14.2 乙方还应提供下列服务：</w:t>
      </w:r>
    </w:p>
    <w:p w14:paraId="5BC5251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（1）货物的现场移动、安装、调试、启动监督及技术支持；</w:t>
      </w:r>
    </w:p>
    <w:p w14:paraId="1F03F01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（2）提供货物组装和维修所需的专用工具和辅助材料；</w:t>
      </w:r>
    </w:p>
    <w:p w14:paraId="2A4C3D17">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（3）在合同各方商定的一定期限内对所有的货物实施运行监督、维修，但前提条件是该服务并不能免除乙方在质量保证期内所承担的义务；</w:t>
      </w:r>
    </w:p>
    <w:p w14:paraId="48780C05">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（4）在制造商或项目现场就货物的安装、启动、运营、维护对甲方操作人员进行培训；</w:t>
      </w:r>
    </w:p>
    <w:p w14:paraId="0F26C53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规定由乙方提供的其他服务。</w:t>
      </w:r>
    </w:p>
    <w:p w14:paraId="4B3B356A">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14.3 乙方提供的服务的费用应包含在合同价款中，甲方不再另行支付。</w:t>
      </w:r>
    </w:p>
    <w:p w14:paraId="0631A8BA">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15.违约责任</w:t>
      </w:r>
    </w:p>
    <w:p w14:paraId="3011335B">
      <w:pPr>
        <w:adjustRightInd w:val="0"/>
        <w:snapToGrid w:val="0"/>
        <w:spacing w:before="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15.1质量瑕疵的补救措施和索赔</w:t>
      </w:r>
    </w:p>
    <w:p w14:paraId="17C584F7">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如果乙方提供的服务或产品不符合质量标准或存在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315E0BCF">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①乙方同意退货并将货款退还给甲方，由此发生的一切费用和损失由乙方承担。</w:t>
      </w:r>
    </w:p>
    <w:p w14:paraId="798B3576">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②根据货物的质量状况以及甲方所遭受的损失，经过甲乙双方商定降低货物的价格。</w:t>
      </w:r>
    </w:p>
    <w:p w14:paraId="1E1BCE6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23156356">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如不足以弥补甲方损失的，甲方有权进一步要求乙方赔偿。</w:t>
      </w:r>
    </w:p>
    <w:p w14:paraId="1D7CD3DA">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15.2 迟延交付服务的违约责任</w:t>
      </w:r>
    </w:p>
    <w:p w14:paraId="10659588">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7D8AC78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（2）除本合同</w:t>
      </w:r>
      <w:r>
        <w:rPr>
          <w:rFonts w:hint="default" w:ascii="Times New Roman" w:hAnsi="Times New Roman" w:cs="Times New Roman" w:eastAsiaTheme="minorEastAsia"/>
          <w:bCs/>
          <w:color w:val="auto"/>
          <w:szCs w:val="21"/>
        </w:rPr>
        <w:t>第20条</w:t>
      </w:r>
      <w:r>
        <w:rPr>
          <w:rFonts w:hint="default" w:ascii="Times New Roman" w:hAnsi="Times New Roman" w:cs="Times New Roman" w:eastAsiaTheme="minorEastAsia"/>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62A6D9CA">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123C384">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16.合同的变更</w:t>
      </w:r>
    </w:p>
    <w:p w14:paraId="781D9744">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16.1 在合同履行过程中，甲、乙双方可就合同履行的时间、地点和方式等协商进行变更。协商一致后，双方应签订书面的补充协议。</w:t>
      </w:r>
    </w:p>
    <w:p w14:paraId="74A48F81">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16.2 在不改变合同其他条款的前提下，甲方有权在合同价款百分之十的范围内追加与合同标的相同的货物或服务，并就此与乙方签订补充合同，乙方不得拒绝。</w:t>
      </w:r>
    </w:p>
    <w:p w14:paraId="2A5CB75A">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16.3 除双方签署书面协议，并成为合同不可分割的一部分外，本合同条件不得有任何变更。</w:t>
      </w:r>
    </w:p>
    <w:p w14:paraId="79876820">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17.合同中止与终止</w:t>
      </w:r>
    </w:p>
    <w:p w14:paraId="7E74B9F7">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17.1合同的中止</w:t>
      </w:r>
    </w:p>
    <w:p w14:paraId="393AC87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（1）合同在履行过程中，因采购计划调整，甲方可以要求中止履行，待计划确定后继续履行；</w:t>
      </w:r>
    </w:p>
    <w:p w14:paraId="6C1453D0">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（2）合同履行过程中因供应商就采购过程或结果提起投诉的，甲方认为有必要或财政部门责令中止的，应当中止合同的履行。</w:t>
      </w:r>
    </w:p>
    <w:p w14:paraId="124026CD">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17.2合同的终止</w:t>
      </w:r>
    </w:p>
    <w:p w14:paraId="24C1AC8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（1）合同因有效期限届满而终止；</w:t>
      </w:r>
    </w:p>
    <w:p w14:paraId="7A07F22A">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（2）乙方未能依照本合同约定条件履行合同，已构成根本性违约的，甲方有权终止本合同，并追究乙方的违约责任。</w:t>
      </w:r>
    </w:p>
    <w:p w14:paraId="317B6AC6">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（3）如果乙方丧失履约能力或被宣告破产，甲方可在任何时候以书面形式通知乙方终止合同而不给乙方补偿。</w:t>
      </w:r>
    </w:p>
    <w:p w14:paraId="6C197BD4">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（4）如果乙方在履行合同过程中有不正当竞争行为，甲方有权解除合同，并按《中华人民共和国反不正当竞争法》规定由有关部门追究其法律责任。</w:t>
      </w:r>
    </w:p>
    <w:p w14:paraId="128605B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（5）如果合同的履行将损害国家利益或社会公共利益，甲方有权终止合同的履行，给乙方造成损失的予以相应补偿。</w:t>
      </w:r>
    </w:p>
    <w:p w14:paraId="5DD3450D">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18.合同转让和分包</w:t>
      </w:r>
    </w:p>
    <w:p w14:paraId="28578B81">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18.1 乙方不得以任何形式将合同转包。</w:t>
      </w:r>
    </w:p>
    <w:p w14:paraId="50B66F5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18.2 乙方未在投标文件中说明，不得将</w:t>
      </w:r>
      <w:r>
        <w:rPr>
          <w:rFonts w:hint="default" w:ascii="Times New Roman" w:hAnsi="Times New Roman" w:cs="Times New Roman" w:eastAsiaTheme="minorEastAsia"/>
          <w:bCs/>
          <w:color w:val="auto"/>
          <w:szCs w:val="21"/>
        </w:rPr>
        <w:t>合同</w:t>
      </w:r>
      <w:r>
        <w:rPr>
          <w:rFonts w:hint="default" w:ascii="Times New Roman" w:hAnsi="Times New Roman" w:cs="Times New Roman" w:eastAsiaTheme="minorEastAsia"/>
          <w:color w:val="auto"/>
          <w:szCs w:val="21"/>
        </w:rPr>
        <w:t>的非主体、非关键性工作分包给他人。</w:t>
      </w:r>
    </w:p>
    <w:p w14:paraId="25EF06C7">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19.不可抗力</w:t>
      </w:r>
    </w:p>
    <w:p w14:paraId="43D89D1D">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19.1 不可抗力是指合同双方不可预见、不可避免、不可克服的自然灾害和社会事件。</w:t>
      </w:r>
    </w:p>
    <w:p w14:paraId="152DD58E">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19.2 任何一方对由于不可抗力造成的部分或全部不能履行合同不承担违约责任。但迟延履行后发生不可抗力的，不能免除责任。</w:t>
      </w:r>
    </w:p>
    <w:p w14:paraId="5CC2F0F6">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19.3 遇有不可抗力的一方，应在三日内将事件的情况以书面形式通知另一方，并在事件发生后十日内，向另一方提交合同不能履行或部分不能履行或需要延期履行理由的报告。</w:t>
      </w:r>
    </w:p>
    <w:p w14:paraId="0FF03E9F">
      <w:pPr>
        <w:autoSpaceDE w:val="0"/>
        <w:autoSpaceDN w:val="0"/>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20.解决争议的方法</w:t>
      </w:r>
    </w:p>
    <w:p w14:paraId="162D69CB">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20.1 合同各方应通过友好协商，解决在执行合同过程中所发生的或与合同有关的一切争端。如从协商开始后十日内仍不能解决，可以向财政部门提请调解。</w:t>
      </w:r>
    </w:p>
    <w:p w14:paraId="0B4AF7F1">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20.2 调解不成可以按</w:t>
      </w:r>
      <w:r>
        <w:rPr>
          <w:rFonts w:hint="default" w:ascii="Times New Roman" w:hAnsi="Times New Roman" w:cs="Times New Roman" w:eastAsiaTheme="minorEastAsia"/>
          <w:b/>
          <w:color w:val="auto"/>
          <w:szCs w:val="21"/>
        </w:rPr>
        <w:t>【政府采购合同专用条款】</w:t>
      </w:r>
      <w:r>
        <w:rPr>
          <w:rFonts w:hint="default" w:ascii="Times New Roman" w:hAnsi="Times New Roman" w:cs="Times New Roman" w:eastAsiaTheme="minorEastAsia"/>
          <w:color w:val="auto"/>
          <w:szCs w:val="21"/>
        </w:rPr>
        <w:t>中约定中规定下列方式之一提起仲裁或诉讼：</w:t>
      </w:r>
    </w:p>
    <w:p w14:paraId="620D9A56">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（1）向甲方所在地仲裁机构提起仲裁；</w:t>
      </w:r>
    </w:p>
    <w:p w14:paraId="48FD0565">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（2）向甲方所在地人民法院提起诉讼。</w:t>
      </w:r>
    </w:p>
    <w:p w14:paraId="04025505">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20.3 如仲裁或诉讼事项不影响合同其它部分的履行，则在仲裁或诉讼期间，除正在进行仲裁或诉讼的部分外，合同的其它部分应继续执行。</w:t>
      </w:r>
    </w:p>
    <w:p w14:paraId="723A5789">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color w:val="auto"/>
          <w:sz w:val="24"/>
        </w:rPr>
        <w:t>21.法律适用</w:t>
      </w:r>
    </w:p>
    <w:p w14:paraId="027E594C">
      <w:pPr>
        <w:autoSpaceDE w:val="0"/>
        <w:autoSpaceDN w:val="0"/>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21.1 本合同适用中华人民共和国现行法律、行政法规和规章，如合同条款与法律、行政法规和规章不一致的，按照法律、行政法规和规章修改本合同。</w:t>
      </w:r>
    </w:p>
    <w:p w14:paraId="483C6C87">
      <w:pPr>
        <w:autoSpaceDE w:val="0"/>
        <w:autoSpaceDN w:val="0"/>
        <w:adjustRightInd w:val="0"/>
        <w:snapToGrid w:val="0"/>
        <w:spacing w:before="50" w:line="360" w:lineRule="auto"/>
        <w:jc w:val="left"/>
        <w:rPr>
          <w:rFonts w:hint="default" w:ascii="Times New Roman" w:hAnsi="Times New Roman" w:cs="Times New Roman" w:eastAsiaTheme="minorEastAsia"/>
          <w:b/>
          <w:color w:val="auto"/>
          <w:sz w:val="24"/>
        </w:rPr>
      </w:pPr>
      <w:r>
        <w:rPr>
          <w:rFonts w:hint="default" w:ascii="Times New Roman" w:hAnsi="Times New Roman" w:cs="Times New Roman" w:eastAsiaTheme="minorEastAsia"/>
          <w:b/>
          <w:bCs/>
          <w:color w:val="auto"/>
          <w:sz w:val="24"/>
        </w:rPr>
        <w:t>22.</w:t>
      </w:r>
      <w:r>
        <w:rPr>
          <w:rFonts w:hint="default" w:ascii="Times New Roman" w:hAnsi="Times New Roman" w:cs="Times New Roman" w:eastAsiaTheme="minorEastAsia"/>
          <w:b/>
          <w:color w:val="auto"/>
          <w:sz w:val="24"/>
        </w:rPr>
        <w:t>通知</w:t>
      </w:r>
    </w:p>
    <w:p w14:paraId="20DE3F74">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22.1本合同一方给另一方的通知均应采用书面形式，传真或快递送到本合同中规定的对方的地址和办理签收手续，</w:t>
      </w:r>
    </w:p>
    <w:p w14:paraId="6376C3BF">
      <w:pPr>
        <w:adjustRightInd w:val="0"/>
        <w:snapToGrid w:val="0"/>
        <w:spacing w:before="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22.2通知以送到之日或通知书中规定的生效之日起生效，两者中以较迟之日为准。</w:t>
      </w:r>
    </w:p>
    <w:p w14:paraId="40A60D94">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23. 合同未尽事项</w:t>
      </w:r>
    </w:p>
    <w:p w14:paraId="3F98EAC6">
      <w:pPr>
        <w:adjustRightInd w:val="0"/>
        <w:snapToGrid w:val="0"/>
        <w:spacing w:before="50" w:line="360" w:lineRule="auto"/>
        <w:ind w:firstLine="420" w:firstLineChars="200"/>
        <w:jc w:val="left"/>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23.1合同未尽事项见</w:t>
      </w:r>
      <w:r>
        <w:rPr>
          <w:rFonts w:hint="default" w:ascii="Times New Roman" w:hAnsi="Times New Roman" w:cs="Times New Roman" w:eastAsiaTheme="minorEastAsia"/>
          <w:b/>
          <w:color w:val="auto"/>
          <w:szCs w:val="21"/>
        </w:rPr>
        <w:t>【政府采购合同专用条款】。</w:t>
      </w:r>
    </w:p>
    <w:p w14:paraId="4F073F88">
      <w:pPr>
        <w:adjustRightInd w:val="0"/>
        <w:snapToGrid w:val="0"/>
        <w:spacing w:before="50" w:line="360" w:lineRule="auto"/>
        <w:jc w:val="left"/>
        <w:rPr>
          <w:rFonts w:hint="default" w:ascii="Times New Roman" w:hAnsi="Times New Roman" w:cs="Times New Roman" w:eastAsiaTheme="minorEastAsia"/>
          <w:b/>
          <w:bCs/>
          <w:color w:val="auto"/>
          <w:sz w:val="24"/>
        </w:rPr>
      </w:pPr>
      <w:r>
        <w:rPr>
          <w:rFonts w:hint="default" w:ascii="Times New Roman" w:hAnsi="Times New Roman" w:cs="Times New Roman" w:eastAsiaTheme="minorEastAsia"/>
          <w:b/>
          <w:bCs/>
          <w:color w:val="auto"/>
          <w:sz w:val="24"/>
        </w:rPr>
        <w:t>24.合同生效</w:t>
      </w:r>
    </w:p>
    <w:p w14:paraId="7725E29E">
      <w:pPr>
        <w:rPr>
          <w:rFonts w:hint="default" w:ascii="Times New Roman" w:hAnsi="Times New Roman" w:cs="Times New Roman"/>
          <w:color w:val="auto"/>
        </w:rPr>
      </w:pPr>
      <w:bookmarkStart w:id="151" w:name="_Toc18579"/>
      <w:r>
        <w:rPr>
          <w:rFonts w:hint="default" w:ascii="Times New Roman" w:hAnsi="Times New Roman" w:cs="Times New Roman"/>
          <w:color w:val="auto"/>
        </w:rPr>
        <w:t>24.1 本合同在合同双方签字盖章后生效。</w:t>
      </w:r>
      <w:bookmarkEnd w:id="151"/>
    </w:p>
    <w:p w14:paraId="1487936E">
      <w:pPr>
        <w:rPr>
          <w:rFonts w:hint="default" w:ascii="Times New Roman" w:hAnsi="Times New Roman" w:cs="Times New Roman"/>
          <w:color w:val="auto"/>
        </w:rPr>
      </w:pPr>
      <w:r>
        <w:rPr>
          <w:rFonts w:hint="default" w:ascii="Times New Roman" w:hAnsi="Times New Roman" w:cs="Times New Roman"/>
          <w:color w:val="auto"/>
        </w:rPr>
        <w:br w:type="page"/>
      </w:r>
    </w:p>
    <w:p w14:paraId="7C1603DC">
      <w:pPr>
        <w:pStyle w:val="4"/>
        <w:jc w:val="center"/>
        <w:rPr>
          <w:rFonts w:hint="default" w:ascii="Times New Roman" w:hAnsi="Times New Roman" w:eastAsia="黑体" w:cs="Times New Roman"/>
          <w:color w:val="auto"/>
          <w:sz w:val="28"/>
          <w:szCs w:val="28"/>
        </w:rPr>
      </w:pPr>
      <w:bookmarkStart w:id="152" w:name="_Toc32481"/>
      <w:r>
        <w:rPr>
          <w:rFonts w:hint="default" w:ascii="Times New Roman" w:hAnsi="Times New Roman" w:eastAsia="黑体" w:cs="Times New Roman"/>
          <w:color w:val="auto"/>
          <w:sz w:val="28"/>
          <w:szCs w:val="28"/>
        </w:rPr>
        <w:t>第三节 政府采购合同专用条款</w:t>
      </w:r>
      <w:bookmarkEnd w:id="152"/>
    </w:p>
    <w:tbl>
      <w:tblPr>
        <w:tblStyle w:val="43"/>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484B42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03CE6E47">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464C4963">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第1.1款</w:t>
            </w:r>
          </w:p>
        </w:tc>
        <w:tc>
          <w:tcPr>
            <w:tcW w:w="1843" w:type="dxa"/>
            <w:vAlign w:val="center"/>
          </w:tcPr>
          <w:p w14:paraId="11909D73">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xml:space="preserve">甲方名称、地址 </w:t>
            </w:r>
          </w:p>
        </w:tc>
        <w:tc>
          <w:tcPr>
            <w:tcW w:w="5464" w:type="dxa"/>
            <w:vAlign w:val="center"/>
          </w:tcPr>
          <w:p w14:paraId="28CB8175">
            <w:pPr>
              <w:adjustRightInd w:val="0"/>
              <w:snapToGrid w:val="0"/>
              <w:spacing w:line="360" w:lineRule="auto"/>
              <w:jc w:val="left"/>
              <w:rPr>
                <w:rFonts w:hint="default" w:ascii="Times New Roman" w:hAnsi="Times New Roman" w:cs="Times New Roman"/>
                <w:color w:val="auto"/>
                <w:szCs w:val="21"/>
                <w:u w:val="single"/>
              </w:rPr>
            </w:pPr>
            <w:r>
              <w:rPr>
                <w:rFonts w:hint="default" w:ascii="Times New Roman" w:hAnsi="Times New Roman" w:cs="Times New Roman"/>
                <w:color w:val="auto"/>
                <w:szCs w:val="21"/>
              </w:rPr>
              <w:t>名称：郴州市自然资源和规划局</w:t>
            </w:r>
          </w:p>
          <w:p w14:paraId="7D3E1806">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地址：郴州市北湖区青年大道6号</w:t>
            </w:r>
          </w:p>
        </w:tc>
      </w:tr>
      <w:tr w14:paraId="6DFED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99B4C94">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0217FB96">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第1.2（6）项</w:t>
            </w:r>
          </w:p>
        </w:tc>
        <w:tc>
          <w:tcPr>
            <w:tcW w:w="1843" w:type="dxa"/>
            <w:vAlign w:val="center"/>
          </w:tcPr>
          <w:p w14:paraId="493FBFA7">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项目现场</w:t>
            </w:r>
          </w:p>
        </w:tc>
        <w:tc>
          <w:tcPr>
            <w:tcW w:w="5464" w:type="dxa"/>
            <w:vAlign w:val="center"/>
          </w:tcPr>
          <w:p w14:paraId="0BFE7CF2">
            <w:pPr>
              <w:adjustRightInd w:val="0"/>
              <w:snapToGrid w:val="0"/>
              <w:spacing w:line="360" w:lineRule="auto"/>
              <w:jc w:val="left"/>
              <w:rPr>
                <w:rFonts w:hint="default" w:ascii="Times New Roman" w:hAnsi="Times New Roman" w:cs="Times New Roman"/>
                <w:color w:val="auto"/>
                <w:szCs w:val="21"/>
                <w:u w:val="single"/>
              </w:rPr>
            </w:pPr>
            <w:r>
              <w:rPr>
                <w:rFonts w:hint="default" w:ascii="Times New Roman" w:hAnsi="Times New Roman" w:cs="Times New Roman"/>
                <w:color w:val="auto"/>
                <w:szCs w:val="21"/>
              </w:rPr>
              <w:t>郴州市自然资源和规划局指定地点</w:t>
            </w:r>
          </w:p>
        </w:tc>
      </w:tr>
      <w:tr w14:paraId="5574F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7B0EE0CB">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3602AC44">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第5.1款</w:t>
            </w:r>
          </w:p>
        </w:tc>
        <w:tc>
          <w:tcPr>
            <w:tcW w:w="1843" w:type="dxa"/>
            <w:vAlign w:val="center"/>
          </w:tcPr>
          <w:p w14:paraId="1671F5E5">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履行合同的时间、地点及方式</w:t>
            </w:r>
          </w:p>
        </w:tc>
        <w:tc>
          <w:tcPr>
            <w:tcW w:w="5464" w:type="dxa"/>
            <w:vAlign w:val="center"/>
          </w:tcPr>
          <w:p w14:paraId="5273755B">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服务周期：壹年（具体以合同签订为准）</w:t>
            </w:r>
          </w:p>
          <w:p w14:paraId="68FFA455">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服务地点及范围：郴州市自然资源和规划局指定服务地点及范围</w:t>
            </w:r>
          </w:p>
        </w:tc>
      </w:tr>
      <w:tr w14:paraId="492843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0989D6D">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2B83A30D">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第9.2（1）项</w:t>
            </w:r>
          </w:p>
        </w:tc>
        <w:tc>
          <w:tcPr>
            <w:tcW w:w="1843" w:type="dxa"/>
            <w:vAlign w:val="center"/>
          </w:tcPr>
          <w:p w14:paraId="147DF396">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售后服务期</w:t>
            </w:r>
          </w:p>
        </w:tc>
        <w:tc>
          <w:tcPr>
            <w:tcW w:w="5464" w:type="dxa"/>
            <w:vAlign w:val="center"/>
          </w:tcPr>
          <w:p w14:paraId="65924D93">
            <w:pPr>
              <w:spacing w:line="400" w:lineRule="exact"/>
              <w:rPr>
                <w:rFonts w:hint="default" w:ascii="Times New Roman" w:hAnsi="Times New Roman" w:cs="Times New Roman"/>
                <w:color w:val="auto"/>
                <w:szCs w:val="21"/>
                <w:u w:val="single"/>
              </w:rPr>
            </w:pPr>
            <w:r>
              <w:rPr>
                <w:rFonts w:hint="default" w:ascii="Times New Roman" w:hAnsi="Times New Roman" w:cs="Times New Roman"/>
                <w:color w:val="auto"/>
                <w:szCs w:val="21"/>
              </w:rPr>
              <w:t>第五章采购需求</w:t>
            </w:r>
          </w:p>
        </w:tc>
      </w:tr>
      <w:tr w14:paraId="054A1B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840D33A">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188D755C">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第9.2（3）项</w:t>
            </w:r>
          </w:p>
        </w:tc>
        <w:tc>
          <w:tcPr>
            <w:tcW w:w="1843" w:type="dxa"/>
            <w:vAlign w:val="center"/>
          </w:tcPr>
          <w:p w14:paraId="19B5EFF6">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响应时间</w:t>
            </w:r>
          </w:p>
        </w:tc>
        <w:tc>
          <w:tcPr>
            <w:tcW w:w="5464" w:type="dxa"/>
            <w:vAlign w:val="center"/>
          </w:tcPr>
          <w:p w14:paraId="1FB7FBB0">
            <w:pPr>
              <w:adjustRightInd w:val="0"/>
              <w:snapToGrid w:val="0"/>
              <w:spacing w:line="360" w:lineRule="auto"/>
              <w:jc w:val="lef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第五章采购需求</w:t>
            </w:r>
          </w:p>
        </w:tc>
      </w:tr>
      <w:tr w14:paraId="0B0785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8621B0A">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62B4F7B5">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第13.5款</w:t>
            </w:r>
          </w:p>
        </w:tc>
        <w:tc>
          <w:tcPr>
            <w:tcW w:w="1843" w:type="dxa"/>
            <w:vAlign w:val="center"/>
          </w:tcPr>
          <w:p w14:paraId="24C8EFC8">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合同价款支付方式</w:t>
            </w:r>
            <w:r>
              <w:rPr>
                <w:rFonts w:hint="default" w:ascii="Times New Roman" w:hAnsi="Times New Roman" w:cs="Times New Roman"/>
                <w:bCs/>
                <w:color w:val="auto"/>
                <w:szCs w:val="21"/>
              </w:rPr>
              <w:t>和条件</w:t>
            </w:r>
          </w:p>
        </w:tc>
        <w:tc>
          <w:tcPr>
            <w:tcW w:w="5464" w:type="dxa"/>
            <w:vAlign w:val="center"/>
          </w:tcPr>
          <w:p w14:paraId="73691B21">
            <w:pPr>
              <w:adjustRightInd w:val="0"/>
              <w:snapToGrid w:val="0"/>
              <w:spacing w:line="360" w:lineRule="auto"/>
              <w:jc w:val="left"/>
              <w:rPr>
                <w:rFonts w:hint="eastAsia" w:ascii="Times New Roman" w:hAnsi="Times New Roman" w:eastAsia="宋体" w:cs="Times New Roman"/>
                <w:color w:val="auto"/>
                <w:szCs w:val="21"/>
                <w:u w:val="none"/>
                <w:lang w:eastAsia="zh-CN"/>
              </w:rPr>
            </w:pPr>
            <w:r>
              <w:rPr>
                <w:rFonts w:hint="default" w:ascii="Times New Roman" w:hAnsi="Times New Roman" w:cs="Times New Roman"/>
                <w:color w:val="auto"/>
                <w:szCs w:val="21"/>
                <w:u w:val="none"/>
              </w:rPr>
              <w:t>支付方式：</w:t>
            </w:r>
            <w:r>
              <w:rPr>
                <w:rFonts w:hint="eastAsia" w:cs="Times New Roman"/>
                <w:color w:val="auto"/>
                <w:szCs w:val="21"/>
                <w:u w:val="none"/>
                <w:lang w:eastAsia="zh-CN"/>
              </w:rPr>
              <w:t>签订合同时约定</w:t>
            </w:r>
          </w:p>
          <w:p w14:paraId="2DE8CC2A">
            <w:pPr>
              <w:adjustRightInd w:val="0"/>
              <w:snapToGrid w:val="0"/>
              <w:spacing w:line="360" w:lineRule="auto"/>
              <w:jc w:val="lef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支付条件：</w:t>
            </w:r>
            <w:r>
              <w:rPr>
                <w:rFonts w:hint="eastAsia" w:cs="Times New Roman"/>
                <w:color w:val="auto"/>
                <w:szCs w:val="21"/>
                <w:u w:val="none"/>
                <w:lang w:eastAsia="zh-CN"/>
              </w:rPr>
              <w:t>签订合同时约定</w:t>
            </w:r>
          </w:p>
        </w:tc>
      </w:tr>
      <w:tr w14:paraId="172DFC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4D69A73">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65483D51">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第14.2（5）项</w:t>
            </w:r>
          </w:p>
        </w:tc>
        <w:tc>
          <w:tcPr>
            <w:tcW w:w="1843" w:type="dxa"/>
            <w:vAlign w:val="center"/>
          </w:tcPr>
          <w:p w14:paraId="14FE6968">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乙方提供的其他服务</w:t>
            </w:r>
          </w:p>
        </w:tc>
        <w:tc>
          <w:tcPr>
            <w:tcW w:w="5464" w:type="dxa"/>
            <w:vAlign w:val="center"/>
          </w:tcPr>
          <w:p w14:paraId="2C1349C8">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第五章采购需求</w:t>
            </w:r>
          </w:p>
        </w:tc>
      </w:tr>
      <w:tr w14:paraId="6F61E5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A4B3E30">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0AB44A4A">
            <w:pPr>
              <w:adjustRightInd w:val="0"/>
              <w:snapToGrid w:val="0"/>
              <w:spacing w:line="360" w:lineRule="auto"/>
              <w:jc w:val="center"/>
              <w:rPr>
                <w:rFonts w:hint="default" w:ascii="Times New Roman" w:hAnsi="Times New Roman" w:cs="Times New Roman"/>
                <w:bCs/>
                <w:color w:val="auto"/>
                <w:szCs w:val="21"/>
              </w:rPr>
            </w:pPr>
            <w:r>
              <w:rPr>
                <w:rFonts w:hint="default" w:ascii="Times New Roman" w:hAnsi="Times New Roman" w:cs="Times New Roman"/>
                <w:color w:val="auto"/>
                <w:szCs w:val="21"/>
              </w:rPr>
              <w:t>第20.2款</w:t>
            </w:r>
          </w:p>
        </w:tc>
        <w:tc>
          <w:tcPr>
            <w:tcW w:w="1843" w:type="dxa"/>
            <w:vAlign w:val="center"/>
          </w:tcPr>
          <w:p w14:paraId="21CD2E09">
            <w:pPr>
              <w:adjustRightInd w:val="0"/>
              <w:snapToGrid w:val="0"/>
              <w:spacing w:line="360" w:lineRule="auto"/>
              <w:jc w:val="left"/>
              <w:rPr>
                <w:rFonts w:hint="default" w:ascii="Times New Roman" w:hAnsi="Times New Roman" w:cs="Times New Roman"/>
                <w:bCs/>
                <w:color w:val="auto"/>
                <w:szCs w:val="21"/>
              </w:rPr>
            </w:pPr>
            <w:r>
              <w:rPr>
                <w:rFonts w:hint="default" w:ascii="Times New Roman" w:hAnsi="Times New Roman" w:cs="Times New Roman"/>
                <w:color w:val="auto"/>
                <w:szCs w:val="21"/>
              </w:rPr>
              <w:t>解决争议的方式</w:t>
            </w:r>
          </w:p>
        </w:tc>
        <w:tc>
          <w:tcPr>
            <w:tcW w:w="5464" w:type="dxa"/>
            <w:vAlign w:val="center"/>
          </w:tcPr>
          <w:p w14:paraId="3885F387">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color w:val="auto"/>
                <w:szCs w:val="21"/>
              </w:rPr>
              <w:t>☑ 诉讼</w:t>
            </w:r>
          </w:p>
          <w:p w14:paraId="2BFD4CBE">
            <w:pPr>
              <w:adjustRightInd w:val="0"/>
              <w:snapToGrid w:val="0"/>
              <w:spacing w:line="360" w:lineRule="auto"/>
              <w:jc w:val="left"/>
              <w:rPr>
                <w:rFonts w:hint="default" w:ascii="Times New Roman" w:hAnsi="Times New Roman" w:cs="Times New Roman"/>
                <w:color w:val="auto"/>
                <w:szCs w:val="21"/>
              </w:rPr>
            </w:pPr>
            <w:r>
              <w:rPr>
                <w:rFonts w:hint="eastAsia" w:cs="Times New Roman"/>
                <w:color w:val="auto"/>
                <w:szCs w:val="21"/>
                <w:lang w:eastAsia="zh-CN"/>
              </w:rPr>
              <w:t>□</w:t>
            </w:r>
            <w:r>
              <w:rPr>
                <w:rFonts w:hint="default" w:ascii="Times New Roman" w:hAnsi="Times New Roman" w:cs="Times New Roman"/>
                <w:color w:val="auto"/>
                <w:szCs w:val="21"/>
              </w:rPr>
              <w:t xml:space="preserve"> 仲裁</w:t>
            </w:r>
          </w:p>
        </w:tc>
      </w:tr>
      <w:tr w14:paraId="5BA49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51FF3CD">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本章第二节</w:t>
            </w:r>
          </w:p>
          <w:p w14:paraId="7115432B">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第23.1款</w:t>
            </w:r>
          </w:p>
        </w:tc>
        <w:tc>
          <w:tcPr>
            <w:tcW w:w="1843" w:type="dxa"/>
            <w:vAlign w:val="center"/>
          </w:tcPr>
          <w:p w14:paraId="416ECE09">
            <w:pPr>
              <w:adjustRightInd w:val="0"/>
              <w:snapToGrid w:val="0"/>
              <w:spacing w:line="360" w:lineRule="auto"/>
              <w:jc w:val="left"/>
              <w:rPr>
                <w:rFonts w:hint="default" w:ascii="Times New Roman" w:hAnsi="Times New Roman" w:cs="Times New Roman"/>
                <w:color w:val="auto"/>
                <w:szCs w:val="21"/>
              </w:rPr>
            </w:pPr>
            <w:r>
              <w:rPr>
                <w:rFonts w:hint="default" w:ascii="Times New Roman" w:hAnsi="Times New Roman" w:cs="Times New Roman"/>
                <w:bCs/>
                <w:color w:val="auto"/>
                <w:szCs w:val="21"/>
              </w:rPr>
              <w:t>合同未尽事项</w:t>
            </w:r>
          </w:p>
        </w:tc>
        <w:tc>
          <w:tcPr>
            <w:tcW w:w="5464" w:type="dxa"/>
            <w:vAlign w:val="center"/>
          </w:tcPr>
          <w:p w14:paraId="783F887C">
            <w:pPr>
              <w:adjustRightInd w:val="0"/>
              <w:snapToGrid w:val="0"/>
              <w:spacing w:line="360" w:lineRule="auto"/>
              <w:jc w:val="left"/>
              <w:rPr>
                <w:rFonts w:hint="eastAsia" w:ascii="Times New Roman" w:hAnsi="Times New Roman" w:eastAsia="宋体" w:cs="Times New Roman"/>
                <w:color w:val="auto"/>
                <w:szCs w:val="21"/>
                <w:u w:val="single"/>
                <w:lang w:eastAsia="zh-CN"/>
              </w:rPr>
            </w:pPr>
            <w:r>
              <w:rPr>
                <w:rFonts w:hint="default" w:ascii="Times New Roman" w:hAnsi="Times New Roman" w:cs="Times New Roman"/>
                <w:color w:val="auto"/>
                <w:szCs w:val="21"/>
                <w:u w:val="single"/>
              </w:rPr>
              <w:t>协商</w:t>
            </w:r>
            <w:r>
              <w:rPr>
                <w:rFonts w:hint="eastAsia" w:cs="Times New Roman"/>
                <w:color w:val="auto"/>
                <w:szCs w:val="21"/>
                <w:u w:val="single"/>
                <w:lang w:eastAsia="zh-CN"/>
              </w:rPr>
              <w:t>解决</w:t>
            </w:r>
          </w:p>
        </w:tc>
      </w:tr>
    </w:tbl>
    <w:p w14:paraId="17CDD574">
      <w:pPr>
        <w:jc w:val="center"/>
        <w:rPr>
          <w:rFonts w:hint="default" w:ascii="Times New Roman" w:hAnsi="Times New Roman" w:cs="Times New Roman"/>
          <w:b/>
          <w:bCs/>
          <w:color w:val="auto"/>
          <w:sz w:val="52"/>
          <w:szCs w:val="30"/>
        </w:rPr>
      </w:pPr>
      <w:r>
        <w:rPr>
          <w:rFonts w:hint="default" w:ascii="Times New Roman" w:hAnsi="Times New Roman" w:eastAsia="黑体" w:cs="Times New Roman"/>
          <w:b/>
          <w:bCs/>
          <w:color w:val="auto"/>
          <w:sz w:val="28"/>
          <w:szCs w:val="28"/>
        </w:rPr>
        <w:br w:type="page"/>
      </w:r>
      <w:bookmarkEnd w:id="150"/>
    </w:p>
    <w:p w14:paraId="2F676A9B">
      <w:pPr>
        <w:rPr>
          <w:rFonts w:hint="default" w:ascii="Times New Roman" w:hAnsi="Times New Roman" w:cs="Times New Roman"/>
          <w:color w:val="auto"/>
        </w:rPr>
      </w:pPr>
    </w:p>
    <w:p w14:paraId="0BD0D01B">
      <w:pPr>
        <w:pStyle w:val="22"/>
        <w:adjustRightInd w:val="0"/>
        <w:snapToGrid w:val="0"/>
        <w:spacing w:line="360" w:lineRule="auto"/>
        <w:jc w:val="center"/>
        <w:outlineLvl w:val="0"/>
        <w:rPr>
          <w:rFonts w:hint="default" w:ascii="Times New Roman" w:hAnsi="Times New Roman" w:eastAsia="黑体" w:cs="Times New Roman"/>
          <w:b/>
          <w:color w:val="auto"/>
          <w:sz w:val="32"/>
          <w:szCs w:val="32"/>
        </w:rPr>
      </w:pPr>
      <w:bookmarkStart w:id="153" w:name="_Toc8717"/>
      <w:bookmarkStart w:id="154" w:name="_Toc29913948"/>
      <w:bookmarkStart w:id="155" w:name="_Toc23469"/>
      <w:r>
        <w:rPr>
          <w:rFonts w:hint="default" w:ascii="Times New Roman" w:hAnsi="Times New Roman" w:eastAsia="黑体" w:cs="Times New Roman"/>
          <w:b/>
          <w:color w:val="auto"/>
          <w:sz w:val="32"/>
          <w:szCs w:val="32"/>
        </w:rPr>
        <w:t>第七章 投标文件的组成</w:t>
      </w:r>
      <w:bookmarkEnd w:id="153"/>
      <w:bookmarkEnd w:id="154"/>
      <w:bookmarkEnd w:id="155"/>
    </w:p>
    <w:p w14:paraId="73E3D43A">
      <w:pPr>
        <w:adjustRightInd w:val="0"/>
        <w:snapToGrid w:val="0"/>
        <w:spacing w:line="360" w:lineRule="auto"/>
        <w:ind w:left="-88" w:leftChars="-42"/>
        <w:jc w:val="center"/>
        <w:rPr>
          <w:rFonts w:hint="default" w:ascii="Times New Roman" w:hAnsi="Times New Roman" w:cs="Times New Roman"/>
          <w:b/>
          <w:bCs/>
          <w:color w:val="auto"/>
          <w:sz w:val="32"/>
        </w:rPr>
      </w:pPr>
    </w:p>
    <w:p w14:paraId="4BDE001C">
      <w:pPr>
        <w:adjustRightInd w:val="0"/>
        <w:snapToGrid w:val="0"/>
        <w:spacing w:beforeLines="50" w:line="360" w:lineRule="auto"/>
        <w:jc w:val="left"/>
        <w:rPr>
          <w:rFonts w:hint="default" w:ascii="Times New Roman" w:hAnsi="Times New Roman" w:cs="Times New Roman"/>
          <w:b/>
          <w:color w:val="auto"/>
          <w:szCs w:val="21"/>
        </w:rPr>
      </w:pPr>
      <w:r>
        <w:rPr>
          <w:rFonts w:hint="default" w:ascii="Times New Roman" w:hAnsi="Times New Roman" w:cs="Times New Roman"/>
          <w:b/>
          <w:color w:val="auto"/>
          <w:szCs w:val="21"/>
        </w:rPr>
        <w:t>第一部分 资格证明文件</w:t>
      </w:r>
    </w:p>
    <w:p w14:paraId="0F2BA5C2">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一、开标一览表</w:t>
      </w:r>
    </w:p>
    <w:p w14:paraId="669D9BB4">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二、法定代表人（单位负责人）身份证明或授权委托书</w:t>
      </w:r>
    </w:p>
    <w:p w14:paraId="73CEA98E">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三、投标人提供的资格证明文件</w:t>
      </w:r>
    </w:p>
    <w:p w14:paraId="700EC53F">
      <w:pPr>
        <w:adjustRightInd w:val="0"/>
        <w:snapToGrid w:val="0"/>
        <w:spacing w:beforeLines="50" w:line="360" w:lineRule="auto"/>
        <w:jc w:val="left"/>
        <w:rPr>
          <w:rFonts w:hint="default" w:ascii="Times New Roman" w:hAnsi="Times New Roman" w:cs="Times New Roman"/>
          <w:b/>
          <w:color w:val="auto"/>
          <w:szCs w:val="21"/>
        </w:rPr>
      </w:pPr>
      <w:r>
        <w:rPr>
          <w:rFonts w:hint="default" w:ascii="Times New Roman" w:hAnsi="Times New Roman" w:cs="Times New Roman"/>
          <w:b/>
          <w:color w:val="auto"/>
          <w:szCs w:val="21"/>
        </w:rPr>
        <w:t>第二部分 商务技术文件</w:t>
      </w:r>
    </w:p>
    <w:p w14:paraId="045888B9">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四、投标函</w:t>
      </w:r>
    </w:p>
    <w:p w14:paraId="67B09A25">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五、分项报价</w:t>
      </w:r>
    </w:p>
    <w:p w14:paraId="109757C4">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六、采购需求（服务及配套货物）响应</w:t>
      </w:r>
    </w:p>
    <w:p w14:paraId="0C823B85">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七、合同条款偏离表</w:t>
      </w:r>
    </w:p>
    <w:p w14:paraId="06334A7A">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八、采购需求（服务及配套货物）偏离表</w:t>
      </w:r>
    </w:p>
    <w:p w14:paraId="19A6B129">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九、享受政府采购政策优惠的证明资料和清单表</w:t>
      </w:r>
    </w:p>
    <w:p w14:paraId="20258802">
      <w:pPr>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十、投标服务（服务及配套货物）符合招标文件规定的证明文件</w:t>
      </w:r>
    </w:p>
    <w:p w14:paraId="2B2C0F4A">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十一、投标人认为需提供的其他资料</w:t>
      </w:r>
    </w:p>
    <w:p w14:paraId="05EC2591">
      <w:pPr>
        <w:adjustRightInd w:val="0"/>
        <w:snapToGrid w:val="0"/>
        <w:spacing w:beforeLines="50" w:line="360" w:lineRule="auto"/>
        <w:ind w:firstLine="422"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注：1、投标人应按照电子招标文件格式及投标工具编制资格证明文件，不得将其编制到商务和技术文件中。否则，由于编制失误所产生的后果，由投标人自行承担。</w:t>
      </w:r>
    </w:p>
    <w:p w14:paraId="642D6FD4">
      <w:pPr>
        <w:adjustRightInd w:val="0"/>
        <w:snapToGrid w:val="0"/>
        <w:spacing w:beforeLines="50" w:line="360" w:lineRule="auto"/>
        <w:ind w:firstLine="422"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2、投标人应按照电子招标文件格式及投标工具编制商务和技术及综合评分表相关资料。否则，由于编制失误所产生的后果，由投标人自行承担。</w:t>
      </w:r>
    </w:p>
    <w:p w14:paraId="45E6299B">
      <w:pPr>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p>
    <w:p w14:paraId="2F4FEADB">
      <w:pPr>
        <w:adjustRightInd w:val="0"/>
        <w:snapToGrid w:val="0"/>
        <w:spacing w:line="360" w:lineRule="auto"/>
        <w:jc w:val="center"/>
        <w:rPr>
          <w:rFonts w:hint="default" w:ascii="Times New Roman" w:hAnsi="Times New Roman" w:eastAsia="仿宋_GB2312" w:cs="Times New Roman"/>
          <w:color w:val="auto"/>
          <w:szCs w:val="21"/>
        </w:rPr>
      </w:pPr>
    </w:p>
    <w:p w14:paraId="4BAF22AA">
      <w:pPr>
        <w:adjustRightInd w:val="0"/>
        <w:snapToGrid w:val="0"/>
        <w:spacing w:line="360" w:lineRule="auto"/>
        <w:jc w:val="cente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Cs w:val="21"/>
        </w:rPr>
        <w:br w:type="page"/>
      </w:r>
    </w:p>
    <w:p w14:paraId="3226A51A">
      <w:pPr>
        <w:adjustRightInd w:val="0"/>
        <w:snapToGrid w:val="0"/>
        <w:spacing w:line="360" w:lineRule="auto"/>
        <w:jc w:val="center"/>
        <w:rPr>
          <w:rFonts w:hint="default" w:ascii="Times New Roman" w:hAnsi="Times New Roman" w:eastAsia="黑体" w:cs="Times New Roman"/>
          <w:color w:val="auto"/>
          <w:sz w:val="32"/>
          <w:szCs w:val="32"/>
        </w:rPr>
      </w:pPr>
    </w:p>
    <w:p w14:paraId="4FC6B8B7">
      <w:pPr>
        <w:adjustRightInd w:val="0"/>
        <w:snapToGrid w:val="0"/>
        <w:spacing w:line="360" w:lineRule="auto"/>
        <w:jc w:val="center"/>
        <w:rPr>
          <w:rFonts w:hint="default" w:ascii="Times New Roman" w:hAnsi="Times New Roman" w:eastAsia="黑体" w:cs="Times New Roman"/>
          <w:color w:val="auto"/>
          <w:sz w:val="32"/>
          <w:szCs w:val="32"/>
        </w:rPr>
      </w:pPr>
    </w:p>
    <w:p w14:paraId="14FD79FD">
      <w:pPr>
        <w:adjustRightInd w:val="0"/>
        <w:snapToGrid w:val="0"/>
        <w:spacing w:line="360" w:lineRule="auto"/>
        <w:jc w:val="center"/>
        <w:rPr>
          <w:rFonts w:hint="default" w:ascii="Times New Roman" w:hAnsi="Times New Roman" w:eastAsia="黑体" w:cs="Times New Roman"/>
          <w:color w:val="auto"/>
          <w:sz w:val="32"/>
          <w:szCs w:val="32"/>
        </w:rPr>
      </w:pPr>
    </w:p>
    <w:p w14:paraId="6C61A843">
      <w:pPr>
        <w:pStyle w:val="22"/>
        <w:adjustRightInd w:val="0"/>
        <w:snapToGrid w:val="0"/>
        <w:spacing w:line="360" w:lineRule="auto"/>
        <w:jc w:val="center"/>
        <w:rPr>
          <w:rFonts w:hint="default" w:ascii="Times New Roman" w:hAnsi="Times New Roman" w:cs="Times New Roman" w:eastAsiaTheme="minorEastAsia"/>
          <w:b/>
          <w:bCs/>
          <w:color w:val="auto"/>
          <w:sz w:val="72"/>
          <w:szCs w:val="72"/>
        </w:rPr>
      </w:pPr>
      <w:r>
        <w:rPr>
          <w:rFonts w:hint="default" w:ascii="Times New Roman" w:hAnsi="Times New Roman" w:cs="Times New Roman" w:eastAsiaTheme="minorEastAsia"/>
          <w:b/>
          <w:bCs/>
          <w:color w:val="auto"/>
          <w:sz w:val="72"/>
          <w:szCs w:val="72"/>
        </w:rPr>
        <w:t>政府采购</w:t>
      </w:r>
    </w:p>
    <w:p w14:paraId="53ECF3B6">
      <w:pPr>
        <w:adjustRightInd w:val="0"/>
        <w:snapToGrid w:val="0"/>
        <w:spacing w:line="360" w:lineRule="auto"/>
        <w:jc w:val="center"/>
        <w:rPr>
          <w:rFonts w:hint="default" w:ascii="Times New Roman" w:hAnsi="Times New Roman" w:cs="Times New Roman" w:eastAsiaTheme="minorEastAsia"/>
          <w:b/>
          <w:bCs/>
          <w:color w:val="auto"/>
          <w:sz w:val="84"/>
          <w:szCs w:val="84"/>
        </w:rPr>
      </w:pPr>
      <w:r>
        <w:rPr>
          <w:rFonts w:hint="default" w:ascii="Times New Roman" w:hAnsi="Times New Roman" w:cs="Times New Roman" w:eastAsiaTheme="minorEastAsia"/>
          <w:b/>
          <w:bCs/>
          <w:color w:val="auto"/>
          <w:sz w:val="84"/>
          <w:szCs w:val="84"/>
        </w:rPr>
        <w:t>投 标 文 件</w:t>
      </w:r>
    </w:p>
    <w:p w14:paraId="1CE98A23">
      <w:pPr>
        <w:pStyle w:val="4"/>
        <w:adjustRightInd w:val="0"/>
        <w:snapToGrid w:val="0"/>
        <w:jc w:val="center"/>
        <w:rPr>
          <w:rFonts w:hint="default" w:ascii="Times New Roman" w:hAnsi="Times New Roman" w:eastAsia="黑体" w:cs="Times New Roman"/>
          <w:color w:val="auto"/>
          <w:sz w:val="44"/>
          <w:szCs w:val="44"/>
        </w:rPr>
      </w:pPr>
      <w:bookmarkStart w:id="156" w:name="_Toc29913949"/>
      <w:bookmarkStart w:id="157" w:name="_Toc25344"/>
      <w:bookmarkStart w:id="158" w:name="_Toc4223"/>
      <w:r>
        <w:rPr>
          <w:rFonts w:hint="default" w:ascii="Times New Roman" w:hAnsi="Times New Roman" w:eastAsia="黑体" w:cs="Times New Roman"/>
          <w:color w:val="auto"/>
          <w:sz w:val="44"/>
          <w:szCs w:val="44"/>
        </w:rPr>
        <w:t>第一部分 资格证明文件</w:t>
      </w:r>
      <w:bookmarkEnd w:id="156"/>
      <w:bookmarkEnd w:id="157"/>
      <w:bookmarkEnd w:id="158"/>
    </w:p>
    <w:p w14:paraId="624344DA">
      <w:pPr>
        <w:adjustRightInd w:val="0"/>
        <w:snapToGrid w:val="0"/>
        <w:spacing w:line="360" w:lineRule="auto"/>
        <w:rPr>
          <w:rFonts w:hint="default" w:ascii="Times New Roman" w:hAnsi="Times New Roman" w:eastAsia="黑体" w:cs="Times New Roman"/>
          <w:b/>
          <w:color w:val="auto"/>
          <w:sz w:val="32"/>
          <w:szCs w:val="32"/>
        </w:rPr>
      </w:pPr>
    </w:p>
    <w:p w14:paraId="676AE249">
      <w:pPr>
        <w:adjustRightInd w:val="0"/>
        <w:snapToGrid w:val="0"/>
        <w:spacing w:line="360" w:lineRule="auto"/>
        <w:rPr>
          <w:rFonts w:hint="default" w:ascii="Times New Roman" w:hAnsi="Times New Roman" w:cs="Times New Roman" w:eastAsiaTheme="minorEastAsia"/>
          <w:b/>
          <w:color w:val="auto"/>
          <w:sz w:val="30"/>
          <w:szCs w:val="30"/>
        </w:rPr>
      </w:pPr>
    </w:p>
    <w:p w14:paraId="554132C9">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采购项目名称：</w:t>
      </w:r>
    </w:p>
    <w:p w14:paraId="464758A0">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rPr>
      </w:pPr>
      <w:r>
        <w:rPr>
          <w:rFonts w:hint="default" w:ascii="Times New Roman" w:hAnsi="Times New Roman" w:cs="Times New Roman" w:eastAsiaTheme="minorEastAsia"/>
          <w:b/>
          <w:bCs/>
          <w:color w:val="auto"/>
          <w:sz w:val="30"/>
          <w:szCs w:val="30"/>
        </w:rPr>
        <w:t>采   购   人：</w:t>
      </w:r>
    </w:p>
    <w:p w14:paraId="62DAE267">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政府采购编号：</w:t>
      </w:r>
    </w:p>
    <w:p w14:paraId="4042DFEA">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采购代理编号：</w:t>
      </w:r>
    </w:p>
    <w:p w14:paraId="159DE5E0">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采购代理机构：</w:t>
      </w:r>
    </w:p>
    <w:p w14:paraId="2BD645CB">
      <w:pPr>
        <w:adjustRightInd w:val="0"/>
        <w:snapToGrid w:val="0"/>
        <w:spacing w:line="360" w:lineRule="auto"/>
        <w:rPr>
          <w:rFonts w:hint="default" w:ascii="Times New Roman" w:hAnsi="Times New Roman" w:eastAsia="黑体" w:cs="Times New Roman"/>
          <w:color w:val="auto"/>
          <w:sz w:val="30"/>
          <w:szCs w:val="30"/>
        </w:rPr>
      </w:pPr>
    </w:p>
    <w:p w14:paraId="22F0E9D0">
      <w:pPr>
        <w:adjustRightInd w:val="0"/>
        <w:snapToGrid w:val="0"/>
        <w:rPr>
          <w:rFonts w:hint="default" w:ascii="Times New Roman" w:hAnsi="Times New Roman" w:eastAsia="黑体" w:cs="Times New Roman"/>
          <w:color w:val="auto"/>
          <w:sz w:val="30"/>
          <w:szCs w:val="30"/>
        </w:rPr>
      </w:pPr>
    </w:p>
    <w:p w14:paraId="372563D8">
      <w:pPr>
        <w:adjustRightInd w:val="0"/>
        <w:snapToGrid w:val="0"/>
        <w:spacing w:line="360" w:lineRule="auto"/>
        <w:rPr>
          <w:rFonts w:hint="default" w:ascii="Times New Roman" w:hAnsi="Times New Roman" w:eastAsia="黑体" w:cs="Times New Roman"/>
          <w:color w:val="auto"/>
          <w:sz w:val="30"/>
          <w:szCs w:val="30"/>
        </w:rPr>
      </w:pPr>
    </w:p>
    <w:p w14:paraId="1BA4CCD1">
      <w:pPr>
        <w:adjustRightInd w:val="0"/>
        <w:snapToGrid w:val="0"/>
        <w:spacing w:line="360" w:lineRule="auto"/>
        <w:rPr>
          <w:rFonts w:hint="default" w:ascii="Times New Roman" w:hAnsi="Times New Roman" w:eastAsia="黑体" w:cs="Times New Roman"/>
          <w:color w:val="auto"/>
          <w:sz w:val="30"/>
          <w:szCs w:val="30"/>
        </w:rPr>
      </w:pPr>
    </w:p>
    <w:p w14:paraId="0E490B3D">
      <w:pPr>
        <w:adjustRightInd w:val="0"/>
        <w:snapToGrid w:val="0"/>
        <w:spacing w:line="360" w:lineRule="auto"/>
        <w:rPr>
          <w:rFonts w:hint="default" w:ascii="Times New Roman" w:hAnsi="Times New Roman" w:eastAsia="黑体" w:cs="Times New Roman"/>
          <w:color w:val="auto"/>
          <w:sz w:val="30"/>
          <w:szCs w:val="30"/>
        </w:rPr>
      </w:pPr>
    </w:p>
    <w:p w14:paraId="24258EBE">
      <w:pPr>
        <w:adjustRightInd w:val="0"/>
        <w:snapToGrid w:val="0"/>
        <w:spacing w:line="360" w:lineRule="auto"/>
        <w:ind w:firstLine="1984" w:firstLineChars="620"/>
        <w:rPr>
          <w:rFonts w:hint="default" w:ascii="Times New Roman" w:hAnsi="Times New Roman" w:eastAsia="黑体" w:cs="Times New Roman"/>
          <w:color w:val="auto"/>
          <w:sz w:val="32"/>
          <w:szCs w:val="32"/>
          <w:u w:val="single"/>
        </w:rPr>
      </w:pPr>
      <w:r>
        <w:rPr>
          <w:rFonts w:hint="default" w:ascii="Times New Roman" w:hAnsi="Times New Roman" w:eastAsia="黑体" w:cs="Times New Roman"/>
          <w:color w:val="auto"/>
          <w:sz w:val="32"/>
          <w:szCs w:val="32"/>
        </w:rPr>
        <w:t>投标人</w:t>
      </w:r>
    </w:p>
    <w:p w14:paraId="2F4D101E">
      <w:pPr>
        <w:adjustRightInd w:val="0"/>
        <w:snapToGrid w:val="0"/>
        <w:spacing w:line="360" w:lineRule="auto"/>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32"/>
          <w:szCs w:val="32"/>
        </w:rPr>
        <w:t>年  月  日</w:t>
      </w:r>
      <w:r>
        <w:rPr>
          <w:rFonts w:hint="default" w:ascii="Times New Roman" w:hAnsi="Times New Roman" w:eastAsia="黑体" w:cs="Times New Roman"/>
          <w:color w:val="auto"/>
          <w:sz w:val="28"/>
          <w:szCs w:val="28"/>
        </w:rPr>
        <w:br w:type="page"/>
      </w:r>
    </w:p>
    <w:p w14:paraId="75E24CA7">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159" w:name="_Toc29913950"/>
      <w:bookmarkStart w:id="160" w:name="_Toc16153"/>
      <w:bookmarkStart w:id="161" w:name="_Toc12854"/>
      <w:r>
        <w:rPr>
          <w:rFonts w:hint="default" w:ascii="Times New Roman" w:hAnsi="Times New Roman" w:eastAsia="黑体" w:cs="Times New Roman"/>
          <w:color w:val="auto"/>
          <w:sz w:val="28"/>
          <w:szCs w:val="28"/>
        </w:rPr>
        <w:t>一、开标一览表</w:t>
      </w:r>
      <w:bookmarkEnd w:id="159"/>
      <w:bookmarkEnd w:id="160"/>
      <w:bookmarkEnd w:id="161"/>
    </w:p>
    <w:p w14:paraId="0D4084EA">
      <w:pPr>
        <w:adjustRightInd w:val="0"/>
        <w:snapToGrid w:val="0"/>
        <w:spacing w:line="360" w:lineRule="auto"/>
        <w:ind w:left="-88" w:leftChars="-42"/>
        <w:jc w:val="center"/>
        <w:rPr>
          <w:rFonts w:hint="default" w:ascii="Times New Roman" w:hAnsi="Times New Roman" w:eastAsia="仿宋_GB2312" w:cs="Times New Roman"/>
          <w:color w:val="auto"/>
          <w:sz w:val="24"/>
        </w:rPr>
      </w:pPr>
    </w:p>
    <w:p w14:paraId="7EA7E549">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政府采购计划号：</w:t>
      </w:r>
    </w:p>
    <w:p w14:paraId="07AA3B82">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委托代理编号：                      项目名称：</w:t>
      </w:r>
    </w:p>
    <w:p w14:paraId="3951A64D">
      <w:pPr>
        <w:adjustRightInd w:val="0"/>
        <w:snapToGrid w:val="0"/>
        <w:spacing w:line="360" w:lineRule="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包号：</w:t>
      </w:r>
      <w:r>
        <w:rPr>
          <w:rFonts w:hint="default" w:ascii="Times New Roman" w:hAnsi="Times New Roman" w:cs="Times New Roman" w:eastAsiaTheme="minorEastAsia"/>
          <w:color w:val="auto"/>
          <w:szCs w:val="21"/>
          <w:u w:val="single"/>
        </w:rPr>
        <w:t>__    ________</w:t>
      </w:r>
      <w:r>
        <w:rPr>
          <w:rFonts w:hint="default" w:ascii="Times New Roman" w:hAnsi="Times New Roman" w:cs="Times New Roman" w:eastAsiaTheme="minorEastAsia"/>
          <w:color w:val="auto"/>
          <w:szCs w:val="21"/>
        </w:rPr>
        <w:t xml:space="preserve">                               包名称：</w:t>
      </w:r>
      <w:r>
        <w:rPr>
          <w:rFonts w:hint="default" w:ascii="Times New Roman" w:hAnsi="Times New Roman" w:cs="Times New Roman" w:eastAsiaTheme="minorEastAsia"/>
          <w:color w:val="auto"/>
          <w:szCs w:val="21"/>
          <w:u w:val="single"/>
        </w:rPr>
        <w:t>__    ________</w:t>
      </w:r>
    </w:p>
    <w:tbl>
      <w:tblPr>
        <w:tblStyle w:val="44"/>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0BADE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2902383">
            <w:pPr>
              <w:adjustRightInd w:val="0"/>
              <w:snapToGrid w:val="0"/>
              <w:spacing w:line="360" w:lineRule="auto"/>
              <w:jc w:val="center"/>
              <w:rPr>
                <w:rFonts w:hint="default" w:ascii="Times New Roman" w:hAnsi="Times New Roman" w:cs="Times New Roman" w:eastAsiaTheme="minorEastAsia"/>
                <w:b/>
                <w:color w:val="auto"/>
                <w:kern w:val="0"/>
                <w:sz w:val="20"/>
                <w:szCs w:val="21"/>
              </w:rPr>
            </w:pPr>
            <w:r>
              <w:rPr>
                <w:rFonts w:hint="default" w:ascii="Times New Roman" w:hAnsi="Times New Roman" w:cs="Times New Roman" w:eastAsiaTheme="minorEastAsia"/>
                <w:b/>
                <w:color w:val="auto"/>
                <w:kern w:val="0"/>
                <w:szCs w:val="21"/>
              </w:rPr>
              <w:t>投标报价</w:t>
            </w:r>
          </w:p>
        </w:tc>
        <w:tc>
          <w:tcPr>
            <w:tcW w:w="3119" w:type="dxa"/>
            <w:vAlign w:val="center"/>
          </w:tcPr>
          <w:p w14:paraId="777BCAB4">
            <w:pPr>
              <w:adjustRightInd w:val="0"/>
              <w:snapToGrid w:val="0"/>
              <w:spacing w:line="360" w:lineRule="auto"/>
              <w:jc w:val="center"/>
              <w:rPr>
                <w:rFonts w:hint="default" w:ascii="Times New Roman" w:hAnsi="Times New Roman" w:cs="Times New Roman" w:eastAsiaTheme="minorEastAsia"/>
                <w:b/>
                <w:color w:val="auto"/>
                <w:kern w:val="0"/>
                <w:szCs w:val="21"/>
              </w:rPr>
            </w:pPr>
            <w:r>
              <w:rPr>
                <w:rFonts w:hint="default" w:ascii="Times New Roman" w:hAnsi="Times New Roman" w:cs="Times New Roman" w:eastAsiaTheme="minorEastAsia"/>
                <w:b/>
                <w:color w:val="auto"/>
                <w:kern w:val="0"/>
                <w:szCs w:val="21"/>
              </w:rPr>
              <w:t>其他内容</w:t>
            </w:r>
          </w:p>
        </w:tc>
      </w:tr>
      <w:tr w14:paraId="147D2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CA7B2D">
            <w:pPr>
              <w:adjustRightInd w:val="0"/>
              <w:snapToGrid w:val="0"/>
              <w:spacing w:line="360" w:lineRule="auto"/>
              <w:ind w:firstLine="840" w:firstLineChars="400"/>
              <w:rPr>
                <w:rFonts w:hint="default" w:ascii="Times New Roman" w:hAnsi="Times New Roman" w:cs="Times New Roman" w:eastAsiaTheme="minorEastAsia"/>
                <w:color w:val="auto"/>
                <w:kern w:val="0"/>
                <w:szCs w:val="21"/>
              </w:rPr>
            </w:pPr>
          </w:p>
          <w:p w14:paraId="0E4A465D">
            <w:pPr>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大写：     （</w:t>
            </w:r>
            <w:r>
              <w:rPr>
                <w:rFonts w:hint="default" w:ascii="Times New Roman" w:hAnsi="Times New Roman" w:cs="Times New Roman" w:eastAsiaTheme="minorEastAsia"/>
                <w:color w:val="auto"/>
                <w:kern w:val="0"/>
                <w:sz w:val="20"/>
                <w:szCs w:val="21"/>
              </w:rPr>
              <w:t>人民币元</w:t>
            </w:r>
            <w:r>
              <w:rPr>
                <w:rFonts w:hint="default" w:ascii="Times New Roman" w:hAnsi="Times New Roman" w:cs="Times New Roman" w:eastAsiaTheme="minorEastAsia"/>
                <w:color w:val="auto"/>
                <w:kern w:val="0"/>
                <w:szCs w:val="21"/>
              </w:rPr>
              <w:t>）</w:t>
            </w:r>
          </w:p>
          <w:p w14:paraId="1A3668E5">
            <w:pPr>
              <w:adjustRightInd w:val="0"/>
              <w:snapToGrid w:val="0"/>
              <w:spacing w:line="360" w:lineRule="auto"/>
              <w:jc w:val="center"/>
              <w:rPr>
                <w:rFonts w:hint="default" w:ascii="Times New Roman" w:hAnsi="Times New Roman" w:cs="Times New Roman" w:eastAsiaTheme="minorEastAsia"/>
                <w:color w:val="auto"/>
                <w:kern w:val="0"/>
                <w:szCs w:val="21"/>
                <w:u w:val="single"/>
              </w:rPr>
            </w:pPr>
            <w:r>
              <w:rPr>
                <w:rFonts w:hint="default" w:ascii="Times New Roman" w:hAnsi="Times New Roman" w:cs="Times New Roman" w:eastAsiaTheme="minorEastAsia"/>
                <w:color w:val="auto"/>
                <w:kern w:val="0"/>
                <w:szCs w:val="21"/>
              </w:rPr>
              <w:t>小写：     （</w:t>
            </w:r>
            <w:r>
              <w:rPr>
                <w:rFonts w:hint="default" w:ascii="Times New Roman" w:hAnsi="Times New Roman" w:cs="Times New Roman" w:eastAsiaTheme="minorEastAsia"/>
                <w:color w:val="auto"/>
                <w:kern w:val="0"/>
                <w:sz w:val="20"/>
                <w:szCs w:val="21"/>
              </w:rPr>
              <w:t>人民币元</w:t>
            </w:r>
            <w:r>
              <w:rPr>
                <w:rFonts w:hint="default" w:ascii="Times New Roman" w:hAnsi="Times New Roman" w:cs="Times New Roman" w:eastAsiaTheme="minorEastAsia"/>
                <w:color w:val="auto"/>
                <w:kern w:val="0"/>
                <w:szCs w:val="21"/>
              </w:rPr>
              <w:t>）</w:t>
            </w:r>
          </w:p>
          <w:p w14:paraId="2F00E1B6">
            <w:pPr>
              <w:adjustRightInd w:val="0"/>
              <w:snapToGrid w:val="0"/>
              <w:spacing w:line="360" w:lineRule="auto"/>
              <w:jc w:val="center"/>
              <w:rPr>
                <w:rFonts w:hint="default" w:ascii="Times New Roman" w:hAnsi="Times New Roman" w:cs="Times New Roman" w:eastAsiaTheme="minorEastAsia"/>
                <w:color w:val="auto"/>
                <w:kern w:val="0"/>
                <w:sz w:val="20"/>
                <w:szCs w:val="21"/>
              </w:rPr>
            </w:pPr>
            <w:r>
              <w:rPr>
                <w:rFonts w:hint="default" w:ascii="Times New Roman" w:hAnsi="Times New Roman" w:cs="Times New Roman" w:eastAsiaTheme="minorEastAsia"/>
                <w:color w:val="auto"/>
                <w:kern w:val="0"/>
                <w:szCs w:val="21"/>
              </w:rPr>
              <w:t>（</w:t>
            </w:r>
            <w:r>
              <w:rPr>
                <w:rFonts w:hint="default" w:ascii="Times New Roman" w:hAnsi="Times New Roman" w:eastAsia="黑体" w:cs="Times New Roman"/>
                <w:color w:val="auto"/>
                <w:kern w:val="0"/>
                <w:sz w:val="24"/>
              </w:rPr>
              <w:t>大写金额与小写金额不一致时，以大写金额为准</w:t>
            </w:r>
            <w:r>
              <w:rPr>
                <w:rFonts w:hint="default" w:ascii="Times New Roman" w:hAnsi="Times New Roman" w:cs="Times New Roman" w:eastAsiaTheme="minorEastAsia"/>
                <w:color w:val="auto"/>
                <w:kern w:val="0"/>
                <w:szCs w:val="21"/>
              </w:rPr>
              <w:t>）</w:t>
            </w:r>
          </w:p>
        </w:tc>
        <w:tc>
          <w:tcPr>
            <w:tcW w:w="3119" w:type="dxa"/>
            <w:vAlign w:val="center"/>
          </w:tcPr>
          <w:p w14:paraId="3165D47B">
            <w:pPr>
              <w:adjustRightInd w:val="0"/>
              <w:snapToGrid w:val="0"/>
              <w:spacing w:line="360" w:lineRule="auto"/>
              <w:jc w:val="center"/>
              <w:rPr>
                <w:rFonts w:hint="default" w:ascii="Times New Roman" w:hAnsi="Times New Roman" w:cs="Times New Roman" w:eastAsiaTheme="minorEastAsia"/>
                <w:color w:val="auto"/>
                <w:kern w:val="0"/>
                <w:szCs w:val="21"/>
              </w:rPr>
            </w:pPr>
          </w:p>
        </w:tc>
      </w:tr>
    </w:tbl>
    <w:p w14:paraId="4D60975B">
      <w:pPr>
        <w:adjustRightInd w:val="0"/>
        <w:snapToGrid w:val="0"/>
        <w:spacing w:line="360" w:lineRule="auto"/>
        <w:rPr>
          <w:rFonts w:hint="default" w:ascii="Times New Roman" w:hAnsi="Times New Roman" w:cs="Times New Roman" w:eastAsiaTheme="minorEastAsia"/>
          <w:b/>
          <w:color w:val="auto"/>
          <w:szCs w:val="21"/>
        </w:rPr>
      </w:pPr>
    </w:p>
    <w:p w14:paraId="04696D6C">
      <w:pPr>
        <w:adjustRightInd w:val="0"/>
        <w:snapToGrid w:val="0"/>
        <w:spacing w:line="360" w:lineRule="auto"/>
        <w:rPr>
          <w:rFonts w:hint="default" w:ascii="Times New Roman" w:hAnsi="Times New Roman" w:cs="Times New Roman" w:eastAsiaTheme="minorEastAsia"/>
          <w:b/>
          <w:color w:val="auto"/>
          <w:szCs w:val="21"/>
        </w:rPr>
      </w:pPr>
    </w:p>
    <w:p w14:paraId="6FEEFD93">
      <w:pPr>
        <w:adjustRightInd w:val="0"/>
        <w:snapToGrid w:val="0"/>
        <w:spacing w:line="360" w:lineRule="auto"/>
        <w:rPr>
          <w:rFonts w:hint="default" w:ascii="Times New Roman" w:hAnsi="Times New Roman" w:cs="Times New Roman" w:eastAsiaTheme="minorEastAsia"/>
          <w:b/>
          <w:color w:val="auto"/>
          <w:szCs w:val="21"/>
        </w:rPr>
      </w:pPr>
    </w:p>
    <w:p w14:paraId="05C47D75">
      <w:pPr>
        <w:adjustRightInd w:val="0"/>
        <w:snapToGrid w:val="0"/>
        <w:spacing w:line="360" w:lineRule="auto"/>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备注：1、本“开标一览表”所填报价应与交易平台上所填电子“开标一览表”报价一致，否则，以交易平台上所填电子“开标一览表”报价为准。</w:t>
      </w:r>
    </w:p>
    <w:p w14:paraId="39525504">
      <w:pPr>
        <w:adjustRightInd w:val="0"/>
        <w:snapToGrid w:val="0"/>
        <w:spacing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2、本表须按包填写，一个“包号”一份。</w:t>
      </w:r>
    </w:p>
    <w:p w14:paraId="02B9C65E">
      <w:pPr>
        <w:adjustRightInd w:val="0"/>
        <w:snapToGrid w:val="0"/>
        <w:spacing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3、投标人提交两份及以上投标报价不同的“开标一览表”，且未书面说明哪个有效或以哪个为准的，其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w:t>
      </w:r>
    </w:p>
    <w:p w14:paraId="0D4BD3DE">
      <w:pPr>
        <w:adjustRightInd w:val="0"/>
        <w:snapToGrid w:val="0"/>
        <w:spacing w:line="360" w:lineRule="auto"/>
        <w:ind w:firstLine="630" w:firstLineChars="300"/>
        <w:jc w:val="left"/>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Cs w:val="21"/>
        </w:rPr>
        <w:t>4、</w:t>
      </w:r>
      <w:r>
        <w:rPr>
          <w:rFonts w:hint="default" w:ascii="Times New Roman" w:hAnsi="Times New Roman" w:cs="Times New Roman" w:eastAsiaTheme="minorEastAsia"/>
          <w:color w:val="auto"/>
        </w:rPr>
        <w:t>投标人在投标截止时间前修改“开标一览表”中的投标报价的，应同时修改投标文件“分项报价明细表”“享受政府采购政策优惠的证明资料”以及“联合体协议书”（如果影响）等相关内容。</w:t>
      </w:r>
    </w:p>
    <w:p w14:paraId="3A304C29">
      <w:pPr>
        <w:adjustRightInd w:val="0"/>
        <w:snapToGrid w:val="0"/>
        <w:spacing w:line="360" w:lineRule="auto"/>
        <w:ind w:firstLine="420" w:firstLineChars="200"/>
        <w:rPr>
          <w:rFonts w:hint="default" w:ascii="Times New Roman" w:hAnsi="Times New Roman" w:cs="Times New Roman" w:eastAsiaTheme="minorEastAsia"/>
          <w:color w:val="auto"/>
          <w:szCs w:val="21"/>
        </w:rPr>
      </w:pPr>
    </w:p>
    <w:p w14:paraId="5B00D3DA">
      <w:pPr>
        <w:adjustRightInd w:val="0"/>
        <w:snapToGrid w:val="0"/>
        <w:spacing w:line="360" w:lineRule="auto"/>
        <w:ind w:firstLine="420" w:firstLineChars="200"/>
        <w:rPr>
          <w:rFonts w:hint="default" w:ascii="Times New Roman" w:hAnsi="Times New Roman" w:cs="Times New Roman" w:eastAsiaTheme="minorEastAsia"/>
          <w:color w:val="auto"/>
          <w:szCs w:val="21"/>
        </w:rPr>
      </w:pPr>
    </w:p>
    <w:p w14:paraId="5327EFCD">
      <w:pPr>
        <w:adjustRightInd w:val="0"/>
        <w:snapToGrid w:val="0"/>
        <w:spacing w:line="360" w:lineRule="auto"/>
        <w:rPr>
          <w:rFonts w:hint="default" w:ascii="Times New Roman" w:hAnsi="Times New Roman" w:cs="Times New Roman" w:eastAsiaTheme="minorEastAsia"/>
          <w:color w:val="auto"/>
          <w:szCs w:val="21"/>
        </w:rPr>
      </w:pPr>
    </w:p>
    <w:p w14:paraId="79B4B79A">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投标人名称（盖单位电子章）：</w:t>
      </w:r>
    </w:p>
    <w:p w14:paraId="1A0F9356">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或其授权的代理人（签字或签章）：_</w:t>
      </w:r>
    </w:p>
    <w:p w14:paraId="27B8C135">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日期：年月日</w:t>
      </w:r>
    </w:p>
    <w:p w14:paraId="18EC4CDF">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br w:type="page"/>
      </w:r>
      <w:bookmarkStart w:id="162" w:name="_Toc29913951"/>
    </w:p>
    <w:bookmarkEnd w:id="162"/>
    <w:p w14:paraId="12DFE34D">
      <w:pPr>
        <w:pStyle w:val="5"/>
        <w:jc w:val="center"/>
        <w:rPr>
          <w:rFonts w:hint="default" w:ascii="Times New Roman" w:hAnsi="Times New Roman" w:eastAsia="黑体" w:cs="Times New Roman"/>
          <w:color w:val="auto"/>
          <w:sz w:val="28"/>
          <w:szCs w:val="28"/>
        </w:rPr>
      </w:pPr>
      <w:bookmarkStart w:id="163" w:name="_Toc29913953"/>
      <w:bookmarkStart w:id="164" w:name="_Toc6678"/>
      <w:r>
        <w:rPr>
          <w:rFonts w:hint="default" w:ascii="Times New Roman" w:hAnsi="Times New Roman" w:eastAsia="黑体" w:cs="Times New Roman"/>
          <w:color w:val="auto"/>
          <w:sz w:val="28"/>
          <w:szCs w:val="28"/>
        </w:rPr>
        <w:t>二、法定代表人（单位负责人）身份证明</w:t>
      </w:r>
      <w:bookmarkEnd w:id="163"/>
      <w:bookmarkEnd w:id="164"/>
    </w:p>
    <w:p w14:paraId="5C6C40EE">
      <w:pPr>
        <w:tabs>
          <w:tab w:val="left" w:pos="3880"/>
        </w:tabs>
        <w:autoSpaceDE w:val="0"/>
        <w:autoSpaceDN w:val="0"/>
        <w:adjustRightInd w:val="0"/>
        <w:snapToGrid w:val="0"/>
        <w:spacing w:line="360" w:lineRule="auto"/>
        <w:ind w:left="100" w:right="-20"/>
        <w:jc w:val="left"/>
        <w:rPr>
          <w:rFonts w:hint="default" w:ascii="Times New Roman" w:hAnsi="Times New Roman" w:cs="Times New Roman" w:eastAsiaTheme="minorEastAsia"/>
          <w:color w:val="auto"/>
          <w:kern w:val="0"/>
          <w:position w:val="-4"/>
          <w:szCs w:val="21"/>
        </w:rPr>
      </w:pPr>
    </w:p>
    <w:p w14:paraId="511A1E1C">
      <w:pPr>
        <w:tabs>
          <w:tab w:val="left" w:pos="3880"/>
        </w:tabs>
        <w:autoSpaceDE w:val="0"/>
        <w:autoSpaceDN w:val="0"/>
        <w:adjustRightInd w:val="0"/>
        <w:snapToGrid w:val="0"/>
        <w:spacing w:line="360" w:lineRule="auto"/>
        <w:ind w:left="100" w:right="-2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position w:val="-4"/>
          <w:szCs w:val="21"/>
        </w:rPr>
        <w:t>投标</w:t>
      </w:r>
      <w:r>
        <w:rPr>
          <w:rFonts w:hint="default" w:ascii="Times New Roman" w:hAnsi="Times New Roman" w:cs="Times New Roman" w:eastAsiaTheme="minorEastAsia"/>
          <w:color w:val="auto"/>
          <w:spacing w:val="-2"/>
          <w:kern w:val="0"/>
          <w:position w:val="-4"/>
          <w:szCs w:val="21"/>
        </w:rPr>
        <w:t>人</w:t>
      </w:r>
      <w:r>
        <w:rPr>
          <w:rFonts w:hint="default" w:ascii="Times New Roman" w:hAnsi="Times New Roman" w:cs="Times New Roman" w:eastAsiaTheme="minorEastAsia"/>
          <w:color w:val="auto"/>
          <w:kern w:val="0"/>
          <w:position w:val="-4"/>
          <w:szCs w:val="21"/>
        </w:rPr>
        <w:t>名</w:t>
      </w:r>
      <w:r>
        <w:rPr>
          <w:rFonts w:hint="default" w:ascii="Times New Roman" w:hAnsi="Times New Roman" w:cs="Times New Roman" w:eastAsiaTheme="minorEastAsia"/>
          <w:color w:val="auto"/>
          <w:spacing w:val="-2"/>
          <w:kern w:val="0"/>
          <w:position w:val="-4"/>
          <w:szCs w:val="21"/>
        </w:rPr>
        <w:t>称</w:t>
      </w:r>
      <w:r>
        <w:rPr>
          <w:rFonts w:hint="default" w:ascii="Times New Roman" w:hAnsi="Times New Roman" w:cs="Times New Roman" w:eastAsiaTheme="minorEastAsia"/>
          <w:color w:val="auto"/>
          <w:kern w:val="0"/>
          <w:position w:val="-4"/>
          <w:szCs w:val="21"/>
        </w:rPr>
        <w:t>：</w:t>
      </w:r>
    </w:p>
    <w:p w14:paraId="52874E6F">
      <w:pPr>
        <w:tabs>
          <w:tab w:val="left" w:pos="2400"/>
          <w:tab w:val="left" w:pos="3880"/>
          <w:tab w:val="left" w:pos="5340"/>
          <w:tab w:val="left" w:pos="6820"/>
        </w:tabs>
        <w:autoSpaceDE w:val="0"/>
        <w:autoSpaceDN w:val="0"/>
        <w:adjustRightInd w:val="0"/>
        <w:snapToGrid w:val="0"/>
        <w:spacing w:line="360" w:lineRule="auto"/>
        <w:ind w:left="100" w:right="-20"/>
        <w:jc w:val="left"/>
        <w:rPr>
          <w:rFonts w:hint="default" w:ascii="Times New Roman" w:hAnsi="Times New Roman" w:cs="Times New Roman" w:eastAsiaTheme="minorEastAsia"/>
          <w:color w:val="auto"/>
          <w:kern w:val="0"/>
          <w:position w:val="-2"/>
          <w:szCs w:val="21"/>
        </w:rPr>
      </w:pPr>
      <w:r>
        <w:rPr>
          <w:rFonts w:hint="default" w:ascii="Times New Roman" w:hAnsi="Times New Roman" w:cs="Times New Roman" w:eastAsiaTheme="minorEastAsia"/>
          <w:color w:val="auto"/>
          <w:kern w:val="0"/>
          <w:position w:val="-2"/>
          <w:szCs w:val="21"/>
        </w:rPr>
        <w:t>统一社会信用代码：</w:t>
      </w:r>
    </w:p>
    <w:p w14:paraId="1596ADF9">
      <w:pPr>
        <w:tabs>
          <w:tab w:val="left" w:pos="2400"/>
          <w:tab w:val="left" w:pos="3880"/>
          <w:tab w:val="left" w:pos="5340"/>
          <w:tab w:val="left" w:pos="6820"/>
        </w:tabs>
        <w:autoSpaceDE w:val="0"/>
        <w:autoSpaceDN w:val="0"/>
        <w:adjustRightInd w:val="0"/>
        <w:snapToGrid w:val="0"/>
        <w:spacing w:line="360" w:lineRule="auto"/>
        <w:ind w:left="100" w:right="-20"/>
        <w:jc w:val="left"/>
        <w:rPr>
          <w:rFonts w:hint="default" w:ascii="Times New Roman" w:hAnsi="Times New Roman" w:cs="Times New Roman" w:eastAsiaTheme="minorEastAsia"/>
          <w:color w:val="auto"/>
          <w:kern w:val="0"/>
          <w:position w:val="-2"/>
          <w:szCs w:val="21"/>
        </w:rPr>
      </w:pPr>
      <w:r>
        <w:rPr>
          <w:rFonts w:hint="default" w:ascii="Times New Roman" w:hAnsi="Times New Roman" w:cs="Times New Roman" w:eastAsiaTheme="minorEastAsia"/>
          <w:color w:val="auto"/>
          <w:kern w:val="0"/>
          <w:position w:val="-2"/>
          <w:szCs w:val="21"/>
        </w:rPr>
        <w:t>注册地址：</w:t>
      </w:r>
    </w:p>
    <w:p w14:paraId="68E9DCD1">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position w:val="-2"/>
          <w:szCs w:val="21"/>
        </w:rPr>
        <w:t>姓名</w:t>
      </w:r>
      <w:r>
        <w:rPr>
          <w:rFonts w:hint="default" w:ascii="Times New Roman" w:hAnsi="Times New Roman" w:cs="Times New Roman" w:eastAsiaTheme="minorEastAsia"/>
          <w:color w:val="auto"/>
          <w:spacing w:val="-2"/>
          <w:kern w:val="0"/>
          <w:position w:val="-2"/>
          <w:szCs w:val="21"/>
        </w:rPr>
        <w:t>：</w:t>
      </w:r>
      <w:r>
        <w:rPr>
          <w:rFonts w:hint="default" w:ascii="Times New Roman" w:hAnsi="Times New Roman" w:cs="Times New Roman" w:eastAsiaTheme="minorEastAsia"/>
          <w:color w:val="auto"/>
          <w:kern w:val="0"/>
          <w:position w:val="-2"/>
          <w:szCs w:val="21"/>
        </w:rPr>
        <w:t>性别</w:t>
      </w:r>
      <w:r>
        <w:rPr>
          <w:rFonts w:hint="default" w:ascii="Times New Roman" w:hAnsi="Times New Roman" w:cs="Times New Roman" w:eastAsiaTheme="minorEastAsia"/>
          <w:color w:val="auto"/>
          <w:spacing w:val="-2"/>
          <w:kern w:val="0"/>
          <w:position w:val="-2"/>
          <w:szCs w:val="21"/>
        </w:rPr>
        <w:t>：</w:t>
      </w:r>
      <w:r>
        <w:rPr>
          <w:rFonts w:hint="default" w:ascii="Times New Roman" w:hAnsi="Times New Roman" w:cs="Times New Roman" w:eastAsiaTheme="minorEastAsia"/>
          <w:color w:val="auto"/>
          <w:kern w:val="0"/>
          <w:position w:val="-2"/>
          <w:szCs w:val="21"/>
        </w:rPr>
        <w:t>年</w:t>
      </w:r>
      <w:r>
        <w:rPr>
          <w:rFonts w:hint="default" w:ascii="Times New Roman" w:hAnsi="Times New Roman" w:cs="Times New Roman" w:eastAsiaTheme="minorEastAsia"/>
          <w:color w:val="auto"/>
          <w:spacing w:val="-2"/>
          <w:kern w:val="0"/>
          <w:position w:val="-2"/>
          <w:szCs w:val="21"/>
        </w:rPr>
        <w:t>龄</w:t>
      </w:r>
      <w:r>
        <w:rPr>
          <w:rFonts w:hint="default" w:ascii="Times New Roman" w:hAnsi="Times New Roman" w:cs="Times New Roman" w:eastAsiaTheme="minorEastAsia"/>
          <w:color w:val="auto"/>
          <w:kern w:val="0"/>
          <w:position w:val="-2"/>
          <w:szCs w:val="21"/>
        </w:rPr>
        <w:t>：职</w:t>
      </w:r>
      <w:r>
        <w:rPr>
          <w:rFonts w:hint="default" w:ascii="Times New Roman" w:hAnsi="Times New Roman" w:cs="Times New Roman" w:eastAsiaTheme="minorEastAsia"/>
          <w:color w:val="auto"/>
          <w:spacing w:val="-2"/>
          <w:kern w:val="0"/>
          <w:position w:val="-2"/>
          <w:szCs w:val="21"/>
        </w:rPr>
        <w:t>务</w:t>
      </w:r>
      <w:r>
        <w:rPr>
          <w:rFonts w:hint="default" w:ascii="Times New Roman" w:hAnsi="Times New Roman" w:cs="Times New Roman" w:eastAsiaTheme="minorEastAsia"/>
          <w:color w:val="auto"/>
          <w:kern w:val="0"/>
          <w:position w:val="-2"/>
          <w:szCs w:val="21"/>
        </w:rPr>
        <w:t>：系</w:t>
      </w:r>
      <w:r>
        <w:rPr>
          <w:rFonts w:hint="default" w:ascii="Times New Roman" w:hAnsi="Times New Roman" w:cs="Times New Roman" w:eastAsiaTheme="minorEastAsia"/>
          <w:color w:val="auto"/>
          <w:spacing w:val="-2"/>
          <w:kern w:val="0"/>
          <w:position w:val="-2"/>
          <w:szCs w:val="21"/>
        </w:rPr>
        <w:t>（</w:t>
      </w:r>
      <w:r>
        <w:rPr>
          <w:rFonts w:hint="default" w:ascii="Times New Roman" w:hAnsi="Times New Roman" w:cs="Times New Roman" w:eastAsiaTheme="minorEastAsia"/>
          <w:color w:val="auto"/>
          <w:kern w:val="0"/>
          <w:position w:val="-2"/>
          <w:szCs w:val="21"/>
        </w:rPr>
        <w:t>投</w:t>
      </w:r>
      <w:r>
        <w:rPr>
          <w:rFonts w:hint="default" w:ascii="Times New Roman" w:hAnsi="Times New Roman" w:cs="Times New Roman" w:eastAsiaTheme="minorEastAsia"/>
          <w:color w:val="auto"/>
          <w:spacing w:val="-2"/>
          <w:kern w:val="0"/>
          <w:position w:val="-2"/>
          <w:szCs w:val="21"/>
        </w:rPr>
        <w:t>标</w:t>
      </w:r>
      <w:r>
        <w:rPr>
          <w:rFonts w:hint="default" w:ascii="Times New Roman" w:hAnsi="Times New Roman" w:cs="Times New Roman" w:eastAsiaTheme="minorEastAsia"/>
          <w:color w:val="auto"/>
          <w:kern w:val="0"/>
          <w:position w:val="-2"/>
          <w:szCs w:val="21"/>
        </w:rPr>
        <w:t>人</w:t>
      </w:r>
      <w:r>
        <w:rPr>
          <w:rFonts w:hint="default" w:ascii="Times New Roman" w:hAnsi="Times New Roman" w:cs="Times New Roman" w:eastAsiaTheme="minorEastAsia"/>
          <w:color w:val="auto"/>
          <w:spacing w:val="-2"/>
          <w:kern w:val="0"/>
          <w:position w:val="-2"/>
          <w:szCs w:val="21"/>
        </w:rPr>
        <w:t>名</w:t>
      </w:r>
      <w:r>
        <w:rPr>
          <w:rFonts w:hint="default" w:ascii="Times New Roman" w:hAnsi="Times New Roman" w:cs="Times New Roman" w:eastAsiaTheme="minorEastAsia"/>
          <w:color w:val="auto"/>
          <w:kern w:val="0"/>
          <w:position w:val="-2"/>
          <w:szCs w:val="21"/>
        </w:rPr>
        <w:t>称</w:t>
      </w:r>
      <w:r>
        <w:rPr>
          <w:rFonts w:hint="default" w:ascii="Times New Roman" w:hAnsi="Times New Roman" w:cs="Times New Roman" w:eastAsiaTheme="minorEastAsia"/>
          <w:color w:val="auto"/>
          <w:spacing w:val="-2"/>
          <w:kern w:val="0"/>
          <w:position w:val="-2"/>
          <w:szCs w:val="21"/>
        </w:rPr>
        <w:t>）</w:t>
      </w:r>
      <w:r>
        <w:rPr>
          <w:rFonts w:hint="default" w:ascii="Times New Roman" w:hAnsi="Times New Roman" w:cs="Times New Roman" w:eastAsiaTheme="minorEastAsia"/>
          <w:color w:val="auto"/>
          <w:kern w:val="0"/>
          <w:position w:val="-2"/>
          <w:szCs w:val="21"/>
        </w:rPr>
        <w:t>的</w:t>
      </w:r>
      <w:r>
        <w:rPr>
          <w:rFonts w:hint="default" w:ascii="Times New Roman" w:hAnsi="Times New Roman" w:cs="Times New Roman" w:eastAsiaTheme="minorEastAsia"/>
          <w:color w:val="auto"/>
          <w:spacing w:val="-2"/>
          <w:kern w:val="0"/>
          <w:position w:val="-2"/>
          <w:szCs w:val="21"/>
        </w:rPr>
        <w:t>法定</w:t>
      </w:r>
      <w:r>
        <w:rPr>
          <w:rFonts w:hint="default" w:ascii="Times New Roman" w:hAnsi="Times New Roman" w:cs="Times New Roman" w:eastAsiaTheme="minorEastAsia"/>
          <w:color w:val="auto"/>
          <w:kern w:val="0"/>
          <w:position w:val="-2"/>
          <w:szCs w:val="21"/>
        </w:rPr>
        <w:t>代表</w:t>
      </w:r>
      <w:r>
        <w:rPr>
          <w:rFonts w:hint="default" w:ascii="Times New Roman" w:hAnsi="Times New Roman" w:cs="Times New Roman" w:eastAsiaTheme="minorEastAsia"/>
          <w:color w:val="auto"/>
          <w:spacing w:val="-2"/>
          <w:kern w:val="0"/>
          <w:position w:val="-2"/>
          <w:szCs w:val="21"/>
        </w:rPr>
        <w:t>人</w:t>
      </w:r>
      <w:r>
        <w:rPr>
          <w:rFonts w:hint="default" w:ascii="Times New Roman" w:hAnsi="Times New Roman" w:cs="Times New Roman" w:eastAsiaTheme="minorEastAsia"/>
          <w:color w:val="auto"/>
          <w:kern w:val="0"/>
          <w:position w:val="-2"/>
          <w:szCs w:val="21"/>
        </w:rPr>
        <w:t>（</w:t>
      </w:r>
      <w:r>
        <w:rPr>
          <w:rFonts w:hint="default" w:ascii="Times New Roman" w:hAnsi="Times New Roman" w:cs="Times New Roman" w:eastAsiaTheme="minorEastAsia"/>
          <w:color w:val="auto"/>
          <w:spacing w:val="-2"/>
          <w:kern w:val="0"/>
          <w:position w:val="-2"/>
          <w:szCs w:val="21"/>
        </w:rPr>
        <w:t>单</w:t>
      </w:r>
      <w:r>
        <w:rPr>
          <w:rFonts w:hint="default" w:ascii="Times New Roman" w:hAnsi="Times New Roman" w:cs="Times New Roman" w:eastAsiaTheme="minorEastAsia"/>
          <w:color w:val="auto"/>
          <w:kern w:val="0"/>
          <w:position w:val="-2"/>
          <w:szCs w:val="21"/>
        </w:rPr>
        <w:t>位</w:t>
      </w:r>
      <w:r>
        <w:rPr>
          <w:rFonts w:hint="default" w:ascii="Times New Roman" w:hAnsi="Times New Roman" w:cs="Times New Roman" w:eastAsiaTheme="minorEastAsia"/>
          <w:color w:val="auto"/>
          <w:spacing w:val="-2"/>
          <w:kern w:val="0"/>
          <w:position w:val="-2"/>
          <w:szCs w:val="21"/>
        </w:rPr>
        <w:t>负</w:t>
      </w:r>
      <w:r>
        <w:rPr>
          <w:rFonts w:hint="default" w:ascii="Times New Roman" w:hAnsi="Times New Roman" w:cs="Times New Roman" w:eastAsiaTheme="minorEastAsia"/>
          <w:color w:val="auto"/>
          <w:kern w:val="0"/>
          <w:position w:val="-2"/>
          <w:szCs w:val="21"/>
        </w:rPr>
        <w:t>责</w:t>
      </w:r>
      <w:r>
        <w:rPr>
          <w:rFonts w:hint="default" w:ascii="Times New Roman" w:hAnsi="Times New Roman" w:cs="Times New Roman" w:eastAsiaTheme="minorEastAsia"/>
          <w:color w:val="auto"/>
          <w:spacing w:val="-2"/>
          <w:kern w:val="0"/>
          <w:position w:val="-2"/>
          <w:szCs w:val="21"/>
        </w:rPr>
        <w:t>人</w:t>
      </w:r>
      <w:r>
        <w:rPr>
          <w:rFonts w:hint="default" w:ascii="Times New Roman" w:hAnsi="Times New Roman" w:cs="Times New Roman" w:eastAsiaTheme="minorEastAsia"/>
          <w:color w:val="auto"/>
          <w:spacing w:val="-106"/>
          <w:kern w:val="0"/>
          <w:position w:val="-2"/>
          <w:szCs w:val="21"/>
        </w:rPr>
        <w:t>）</w:t>
      </w:r>
      <w:r>
        <w:rPr>
          <w:rFonts w:hint="default" w:ascii="Times New Roman" w:hAnsi="Times New Roman" w:cs="Times New Roman" w:eastAsiaTheme="minorEastAsia"/>
          <w:color w:val="auto"/>
          <w:kern w:val="0"/>
          <w:position w:val="-2"/>
          <w:szCs w:val="21"/>
        </w:rPr>
        <w:t>。</w:t>
      </w:r>
    </w:p>
    <w:p w14:paraId="3B5B640F">
      <w:pPr>
        <w:autoSpaceDE w:val="0"/>
        <w:autoSpaceDN w:val="0"/>
        <w:adjustRightInd w:val="0"/>
        <w:snapToGrid w:val="0"/>
        <w:spacing w:line="360" w:lineRule="auto"/>
        <w:ind w:left="520" w:right="-20"/>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特此</w:t>
      </w:r>
      <w:r>
        <w:rPr>
          <w:rFonts w:hint="default" w:ascii="Times New Roman" w:hAnsi="Times New Roman" w:cs="Times New Roman" w:eastAsiaTheme="minorEastAsia"/>
          <w:color w:val="auto"/>
          <w:spacing w:val="-2"/>
          <w:kern w:val="0"/>
          <w:szCs w:val="21"/>
        </w:rPr>
        <w:t>证</w:t>
      </w:r>
      <w:r>
        <w:rPr>
          <w:rFonts w:hint="default" w:ascii="Times New Roman" w:hAnsi="Times New Roman" w:cs="Times New Roman" w:eastAsiaTheme="minorEastAsia"/>
          <w:color w:val="auto"/>
          <w:kern w:val="0"/>
          <w:szCs w:val="21"/>
        </w:rPr>
        <w:t>明。</w:t>
      </w:r>
    </w:p>
    <w:p w14:paraId="4852BDD5">
      <w:pPr>
        <w:autoSpaceDE w:val="0"/>
        <w:autoSpaceDN w:val="0"/>
        <w:adjustRightInd w:val="0"/>
        <w:snapToGrid w:val="0"/>
        <w:spacing w:line="360" w:lineRule="auto"/>
        <w:ind w:left="100" w:right="4231"/>
        <w:jc w:val="left"/>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附：</w:t>
      </w: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kern w:val="0"/>
          <w:szCs w:val="21"/>
        </w:rPr>
        <w:t>身</w:t>
      </w:r>
      <w:r>
        <w:rPr>
          <w:rFonts w:hint="default" w:ascii="Times New Roman" w:hAnsi="Times New Roman" w:cs="Times New Roman" w:eastAsiaTheme="minorEastAsia"/>
          <w:color w:val="auto"/>
          <w:spacing w:val="-2"/>
          <w:kern w:val="0"/>
          <w:szCs w:val="21"/>
        </w:rPr>
        <w:t>份</w:t>
      </w:r>
      <w:r>
        <w:rPr>
          <w:rFonts w:hint="default" w:ascii="Times New Roman" w:hAnsi="Times New Roman" w:cs="Times New Roman" w:eastAsiaTheme="minorEastAsia"/>
          <w:color w:val="auto"/>
          <w:kern w:val="0"/>
          <w:szCs w:val="21"/>
        </w:rPr>
        <w:t>证</w:t>
      </w:r>
      <w:r>
        <w:rPr>
          <w:rFonts w:hint="default" w:ascii="Times New Roman" w:hAnsi="Times New Roman" w:cs="Times New Roman" w:eastAsiaTheme="minorEastAsia"/>
          <w:color w:val="auto"/>
          <w:spacing w:val="-2"/>
          <w:kern w:val="0"/>
          <w:szCs w:val="21"/>
        </w:rPr>
        <w:t>复</w:t>
      </w:r>
      <w:r>
        <w:rPr>
          <w:rFonts w:hint="default" w:ascii="Times New Roman" w:hAnsi="Times New Roman" w:cs="Times New Roman" w:eastAsiaTheme="minorEastAsia"/>
          <w:color w:val="auto"/>
          <w:kern w:val="0"/>
          <w:szCs w:val="21"/>
        </w:rPr>
        <w:t>印</w:t>
      </w:r>
      <w:r>
        <w:rPr>
          <w:rFonts w:hint="default" w:ascii="Times New Roman" w:hAnsi="Times New Roman" w:cs="Times New Roman" w:eastAsiaTheme="minorEastAsia"/>
          <w:color w:val="auto"/>
          <w:spacing w:val="-2"/>
          <w:kern w:val="0"/>
          <w:szCs w:val="21"/>
        </w:rPr>
        <w:t>件</w:t>
      </w:r>
      <w:r>
        <w:rPr>
          <w:rFonts w:hint="default" w:ascii="Times New Roman" w:hAnsi="Times New Roman" w:cs="Times New Roman" w:eastAsiaTheme="minorEastAsia"/>
          <w:color w:val="auto"/>
          <w:kern w:val="0"/>
          <w:szCs w:val="21"/>
        </w:rPr>
        <w:t>。</w:t>
      </w:r>
    </w:p>
    <w:tbl>
      <w:tblPr>
        <w:tblStyle w:val="4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5D4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69ECC45">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身份证（正面）</w:t>
            </w:r>
            <w:r>
              <w:rPr>
                <w:rFonts w:hint="default" w:ascii="Times New Roman" w:hAnsi="Times New Roman" w:cs="Times New Roman" w:eastAsiaTheme="minorEastAsia"/>
                <w:color w:val="auto"/>
                <w:spacing w:val="-2"/>
                <w:kern w:val="0"/>
                <w:szCs w:val="21"/>
              </w:rPr>
              <w:t>复</w:t>
            </w:r>
            <w:r>
              <w:rPr>
                <w:rFonts w:hint="default" w:ascii="Times New Roman" w:hAnsi="Times New Roman" w:cs="Times New Roman" w:eastAsiaTheme="minorEastAsia"/>
                <w:color w:val="auto"/>
                <w:kern w:val="0"/>
                <w:szCs w:val="21"/>
              </w:rPr>
              <w:t>印</w:t>
            </w:r>
            <w:r>
              <w:rPr>
                <w:rFonts w:hint="default" w:ascii="Times New Roman" w:hAnsi="Times New Roman" w:cs="Times New Roman" w:eastAsiaTheme="minorEastAsia"/>
                <w:color w:val="auto"/>
                <w:spacing w:val="-2"/>
                <w:kern w:val="0"/>
                <w:szCs w:val="21"/>
              </w:rPr>
              <w:t>件</w:t>
            </w:r>
          </w:p>
        </w:tc>
        <w:tc>
          <w:tcPr>
            <w:tcW w:w="3899" w:type="dxa"/>
            <w:vAlign w:val="center"/>
          </w:tcPr>
          <w:p w14:paraId="0CAB7D3F">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身份证（反面）</w:t>
            </w:r>
            <w:r>
              <w:rPr>
                <w:rFonts w:hint="default" w:ascii="Times New Roman" w:hAnsi="Times New Roman" w:cs="Times New Roman" w:eastAsiaTheme="minorEastAsia"/>
                <w:color w:val="auto"/>
                <w:spacing w:val="-2"/>
                <w:kern w:val="0"/>
                <w:szCs w:val="21"/>
              </w:rPr>
              <w:t>复</w:t>
            </w:r>
            <w:r>
              <w:rPr>
                <w:rFonts w:hint="default" w:ascii="Times New Roman" w:hAnsi="Times New Roman" w:cs="Times New Roman" w:eastAsiaTheme="minorEastAsia"/>
                <w:color w:val="auto"/>
                <w:kern w:val="0"/>
                <w:szCs w:val="21"/>
              </w:rPr>
              <w:t>印</w:t>
            </w:r>
            <w:r>
              <w:rPr>
                <w:rFonts w:hint="default" w:ascii="Times New Roman" w:hAnsi="Times New Roman" w:cs="Times New Roman" w:eastAsiaTheme="minorEastAsia"/>
                <w:color w:val="auto"/>
                <w:spacing w:val="-2"/>
                <w:kern w:val="0"/>
                <w:szCs w:val="21"/>
              </w:rPr>
              <w:t>件</w:t>
            </w:r>
          </w:p>
        </w:tc>
      </w:tr>
    </w:tbl>
    <w:p w14:paraId="11EBD534">
      <w:pPr>
        <w:adjustRightInd w:val="0"/>
        <w:snapToGrid w:val="0"/>
        <w:spacing w:line="360" w:lineRule="auto"/>
        <w:rPr>
          <w:rFonts w:hint="default" w:ascii="Times New Roman" w:hAnsi="Times New Roman" w:cs="Times New Roman"/>
          <w:color w:val="auto"/>
          <w:szCs w:val="21"/>
        </w:rPr>
      </w:pPr>
    </w:p>
    <w:p w14:paraId="5E84EEA8">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注：投标人代表为法定代表人（单位负责人）的提供。自然人投标的无需提供。</w:t>
      </w:r>
    </w:p>
    <w:p w14:paraId="1ABD0BCB">
      <w:pPr>
        <w:adjustRightInd w:val="0"/>
        <w:snapToGrid w:val="0"/>
        <w:spacing w:line="360" w:lineRule="auto"/>
        <w:rPr>
          <w:rFonts w:hint="default" w:ascii="Times New Roman" w:hAnsi="Times New Roman" w:cs="Times New Roman"/>
          <w:color w:val="auto"/>
          <w:szCs w:val="21"/>
        </w:rPr>
      </w:pPr>
    </w:p>
    <w:p w14:paraId="5E94DBFA">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6680CD8B">
      <w:pPr>
        <w:adjustRightInd w:val="0"/>
        <w:snapToGrid w:val="0"/>
        <w:spacing w:line="360" w:lineRule="auto"/>
        <w:ind w:right="42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日期：</w:t>
      </w:r>
      <w:r>
        <w:rPr>
          <w:rFonts w:hint="default" w:ascii="Times New Roman" w:hAnsi="Times New Roman" w:cs="Times New Roman"/>
          <w:color w:val="auto"/>
          <w:szCs w:val="21"/>
        </w:rPr>
        <w:t>年月日</w:t>
      </w:r>
    </w:p>
    <w:p w14:paraId="65B5EC13">
      <w:pPr>
        <w:adjustRightInd w:val="0"/>
        <w:snapToGrid w:val="0"/>
        <w:spacing w:line="360" w:lineRule="auto"/>
        <w:rPr>
          <w:rFonts w:hint="default" w:ascii="Times New Roman" w:hAnsi="Times New Roman" w:cs="Times New Roman"/>
          <w:color w:val="auto"/>
        </w:rPr>
      </w:pPr>
    </w:p>
    <w:p w14:paraId="2F75378D">
      <w:pPr>
        <w:widowControl/>
        <w:jc w:val="left"/>
        <w:rPr>
          <w:rFonts w:hint="default" w:ascii="Times New Roman" w:hAnsi="Times New Roman" w:cs="Times New Roman"/>
          <w:color w:val="auto"/>
        </w:rPr>
      </w:pPr>
      <w:r>
        <w:rPr>
          <w:rFonts w:hint="default" w:ascii="Times New Roman" w:hAnsi="Times New Roman" w:cs="Times New Roman"/>
          <w:color w:val="auto"/>
        </w:rPr>
        <w:br w:type="page"/>
      </w:r>
    </w:p>
    <w:p w14:paraId="05037A53">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165" w:name="_Toc32478"/>
      <w:bookmarkStart w:id="166" w:name="_Toc7677"/>
      <w:bookmarkStart w:id="167" w:name="_Toc29913954"/>
      <w:r>
        <w:rPr>
          <w:rFonts w:hint="default" w:ascii="Times New Roman" w:hAnsi="Times New Roman" w:eastAsia="黑体" w:cs="Times New Roman"/>
          <w:color w:val="auto"/>
          <w:sz w:val="28"/>
          <w:szCs w:val="28"/>
        </w:rPr>
        <w:t>三、授权委托书</w:t>
      </w:r>
      <w:bookmarkEnd w:id="165"/>
      <w:bookmarkEnd w:id="166"/>
      <w:bookmarkEnd w:id="167"/>
    </w:p>
    <w:p w14:paraId="0B8AEC3E">
      <w:pPr>
        <w:autoSpaceDE w:val="0"/>
        <w:autoSpaceDN w:val="0"/>
        <w:adjustRightInd w:val="0"/>
        <w:snapToGrid w:val="0"/>
        <w:spacing w:line="360" w:lineRule="auto"/>
        <w:ind w:firstLine="446" w:firstLineChars="200"/>
        <w:jc w:val="left"/>
        <w:rPr>
          <w:rFonts w:hint="default" w:ascii="Times New Roman" w:hAnsi="Times New Roman" w:cs="Times New Roman"/>
          <w:b/>
          <w:color w:val="auto"/>
          <w:spacing w:val="6"/>
          <w:szCs w:val="21"/>
        </w:rPr>
      </w:pPr>
    </w:p>
    <w:p w14:paraId="14CA66BA">
      <w:pPr>
        <w:autoSpaceDE w:val="0"/>
        <w:autoSpaceDN w:val="0"/>
        <w:adjustRightInd w:val="0"/>
        <w:snapToGrid w:val="0"/>
        <w:spacing w:line="360" w:lineRule="auto"/>
        <w:ind w:firstLine="420" w:firstLineChars="200"/>
        <w:jc w:val="left"/>
        <w:rPr>
          <w:rFonts w:hint="default" w:ascii="Times New Roman" w:hAnsi="Times New Roman" w:cs="Times New Roman"/>
          <w:color w:val="auto"/>
          <w:kern w:val="0"/>
          <w:szCs w:val="21"/>
        </w:rPr>
      </w:pPr>
    </w:p>
    <w:p w14:paraId="6C067A6C">
      <w:pPr>
        <w:autoSpaceDE w:val="0"/>
        <w:autoSpaceDN w:val="0"/>
        <w:adjustRightInd w:val="0"/>
        <w:snapToGrid w:val="0"/>
        <w:spacing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本人（姓名、职务）系 （</w:t>
      </w:r>
      <w:r>
        <w:rPr>
          <w:rFonts w:hint="default" w:ascii="Times New Roman" w:hAnsi="Times New Roman" w:cs="Times New Roman"/>
          <w:color w:val="auto"/>
          <w:szCs w:val="21"/>
        </w:rPr>
        <w:t>投标人</w:t>
      </w:r>
      <w:r>
        <w:rPr>
          <w:rFonts w:hint="default" w:ascii="Times New Roman" w:hAnsi="Times New Roman" w:cs="Times New Roman"/>
          <w:color w:val="auto"/>
          <w:kern w:val="0"/>
          <w:szCs w:val="21"/>
        </w:rPr>
        <w:t>名称）的法定代表人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kern w:val="0"/>
          <w:szCs w:val="21"/>
        </w:rPr>
        <w:t>，现授权（姓名、职务）为我方代理人。代理人根据授权，以我方名义签署、澄清、说明、补正、递交、撤回、修改（项目名称）（</w:t>
      </w:r>
      <w:r>
        <w:rPr>
          <w:rFonts w:hint="default" w:ascii="Times New Roman" w:hAnsi="Times New Roman" w:cs="Times New Roman" w:eastAsiaTheme="minorEastAsia"/>
          <w:color w:val="auto"/>
        </w:rPr>
        <w:t>政府</w:t>
      </w:r>
      <w:r>
        <w:rPr>
          <w:rFonts w:hint="default" w:ascii="Times New Roman" w:hAnsi="Times New Roman" w:cs="Times New Roman" w:eastAsiaTheme="minorEastAsia"/>
          <w:iCs/>
          <w:color w:val="auto"/>
        </w:rPr>
        <w:t>采购编号： ，</w:t>
      </w:r>
      <w:r>
        <w:rPr>
          <w:rFonts w:hint="default" w:ascii="Times New Roman" w:hAnsi="Times New Roman" w:cs="Times New Roman"/>
          <w:color w:val="auto"/>
          <w:kern w:val="0"/>
          <w:szCs w:val="21"/>
        </w:rPr>
        <w:t>采购代理编号：）投标文件、签订合同和处理有关事宜，其法律后果由我方承担。</w:t>
      </w:r>
    </w:p>
    <w:p w14:paraId="41F82AA7">
      <w:pPr>
        <w:autoSpaceDE w:val="0"/>
        <w:autoSpaceDN w:val="0"/>
        <w:adjustRightInd w:val="0"/>
        <w:snapToGrid w:val="0"/>
        <w:spacing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委托期限： 。</w:t>
      </w:r>
    </w:p>
    <w:p w14:paraId="5D430DAC">
      <w:pPr>
        <w:adjustRightInd w:val="0"/>
        <w:snapToGrid w:val="0"/>
        <w:spacing w:line="360" w:lineRule="auto"/>
        <w:ind w:firstLine="435"/>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代理人无转委托权。</w:t>
      </w:r>
    </w:p>
    <w:p w14:paraId="1E6746D9">
      <w:pPr>
        <w:adjustRightInd w:val="0"/>
        <w:snapToGrid w:val="0"/>
        <w:spacing w:line="360" w:lineRule="auto"/>
        <w:ind w:firstLine="435"/>
        <w:rPr>
          <w:rFonts w:hint="default" w:ascii="Times New Roman" w:hAnsi="Times New Roman" w:cs="Times New Roman" w:eastAsiaTheme="minorEastAsia"/>
          <w:color w:val="auto"/>
          <w:kern w:val="0"/>
          <w:szCs w:val="21"/>
        </w:rPr>
      </w:pPr>
      <w:r>
        <w:rPr>
          <w:rFonts w:hint="default" w:ascii="Times New Roman" w:hAnsi="Times New Roman" w:cs="Times New Roman"/>
          <w:color w:val="auto"/>
          <w:szCs w:val="21"/>
        </w:rPr>
        <w:t>本授权书于年月日签字生效，特此声明。</w:t>
      </w:r>
    </w:p>
    <w:tbl>
      <w:tblPr>
        <w:tblStyle w:val="4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7308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132947B2">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身份证（正面）</w:t>
            </w:r>
            <w:r>
              <w:rPr>
                <w:rFonts w:hint="default" w:ascii="Times New Roman" w:hAnsi="Times New Roman" w:cs="Times New Roman" w:eastAsiaTheme="minorEastAsia"/>
                <w:color w:val="auto"/>
                <w:spacing w:val="-2"/>
                <w:kern w:val="0"/>
                <w:szCs w:val="21"/>
              </w:rPr>
              <w:t>复</w:t>
            </w:r>
            <w:r>
              <w:rPr>
                <w:rFonts w:hint="default" w:ascii="Times New Roman" w:hAnsi="Times New Roman" w:cs="Times New Roman" w:eastAsiaTheme="minorEastAsia"/>
                <w:color w:val="auto"/>
                <w:kern w:val="0"/>
                <w:szCs w:val="21"/>
              </w:rPr>
              <w:t>印</w:t>
            </w:r>
            <w:r>
              <w:rPr>
                <w:rFonts w:hint="default" w:ascii="Times New Roman" w:hAnsi="Times New Roman" w:cs="Times New Roman" w:eastAsiaTheme="minorEastAsia"/>
                <w:color w:val="auto"/>
                <w:spacing w:val="-2"/>
                <w:kern w:val="0"/>
                <w:szCs w:val="21"/>
              </w:rPr>
              <w:t>件</w:t>
            </w:r>
          </w:p>
        </w:tc>
        <w:tc>
          <w:tcPr>
            <w:tcW w:w="3899" w:type="dxa"/>
            <w:vAlign w:val="center"/>
          </w:tcPr>
          <w:p w14:paraId="26C32497">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身份证（反面）</w:t>
            </w:r>
            <w:r>
              <w:rPr>
                <w:rFonts w:hint="default" w:ascii="Times New Roman" w:hAnsi="Times New Roman" w:cs="Times New Roman" w:eastAsiaTheme="minorEastAsia"/>
                <w:color w:val="auto"/>
                <w:spacing w:val="-2"/>
                <w:kern w:val="0"/>
                <w:szCs w:val="21"/>
              </w:rPr>
              <w:t>复</w:t>
            </w:r>
            <w:r>
              <w:rPr>
                <w:rFonts w:hint="default" w:ascii="Times New Roman" w:hAnsi="Times New Roman" w:cs="Times New Roman" w:eastAsiaTheme="minorEastAsia"/>
                <w:color w:val="auto"/>
                <w:kern w:val="0"/>
                <w:szCs w:val="21"/>
              </w:rPr>
              <w:t>印</w:t>
            </w:r>
            <w:r>
              <w:rPr>
                <w:rFonts w:hint="default" w:ascii="Times New Roman" w:hAnsi="Times New Roman" w:cs="Times New Roman" w:eastAsiaTheme="minorEastAsia"/>
                <w:color w:val="auto"/>
                <w:spacing w:val="-2"/>
                <w:kern w:val="0"/>
                <w:szCs w:val="21"/>
              </w:rPr>
              <w:t>件</w:t>
            </w:r>
          </w:p>
        </w:tc>
      </w:tr>
    </w:tbl>
    <w:p w14:paraId="66D5DDD6">
      <w:pPr>
        <w:adjustRightInd w:val="0"/>
        <w:snapToGrid w:val="0"/>
        <w:spacing w:line="360" w:lineRule="auto"/>
        <w:ind w:firstLine="420" w:firstLineChars="200"/>
        <w:rPr>
          <w:rFonts w:hint="default" w:ascii="Times New Roman" w:hAnsi="Times New Roman" w:cs="Times New Roman"/>
          <w:color w:val="auto"/>
          <w:szCs w:val="21"/>
        </w:rPr>
      </w:pPr>
    </w:p>
    <w:p w14:paraId="723DB1A6">
      <w:pPr>
        <w:adjustRightInd w:val="0"/>
        <w:snapToGrid w:val="0"/>
        <w:spacing w:line="360" w:lineRule="auto"/>
        <w:ind w:firstLine="420" w:firstLineChars="200"/>
        <w:rPr>
          <w:rFonts w:hint="default" w:ascii="Times New Roman" w:hAnsi="Times New Roman" w:cs="Times New Roman"/>
          <w:color w:val="auto"/>
          <w:szCs w:val="21"/>
        </w:rPr>
      </w:pPr>
    </w:p>
    <w:p w14:paraId="18488D55">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注：投标人代表不是投标人的法定代表人（单位负责人）的提供。自然人投标的无需提供。</w:t>
      </w:r>
    </w:p>
    <w:p w14:paraId="73A69F02">
      <w:pPr>
        <w:adjustRightInd w:val="0"/>
        <w:snapToGrid w:val="0"/>
        <w:spacing w:line="360" w:lineRule="auto"/>
        <w:ind w:firstLine="420" w:firstLineChars="200"/>
        <w:rPr>
          <w:rFonts w:hint="default" w:ascii="Times New Roman" w:hAnsi="Times New Roman" w:cs="Times New Roman"/>
          <w:color w:val="auto"/>
          <w:szCs w:val="21"/>
        </w:rPr>
      </w:pPr>
    </w:p>
    <w:p w14:paraId="207DEE29">
      <w:pPr>
        <w:adjustRightInd w:val="0"/>
        <w:snapToGrid w:val="0"/>
        <w:spacing w:line="360" w:lineRule="auto"/>
        <w:ind w:firstLine="420" w:firstLineChars="200"/>
        <w:rPr>
          <w:rFonts w:hint="default" w:ascii="Times New Roman" w:hAnsi="Times New Roman" w:cs="Times New Roman"/>
          <w:color w:val="auto"/>
          <w:szCs w:val="21"/>
        </w:rPr>
      </w:pPr>
    </w:p>
    <w:p w14:paraId="5FE26708">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17684099">
      <w:pPr>
        <w:adjustRightInd w:val="0"/>
        <w:snapToGrid w:val="0"/>
        <w:spacing w:line="360" w:lineRule="auto"/>
        <w:ind w:right="420"/>
        <w:rPr>
          <w:rFonts w:hint="default" w:ascii="Times New Roman" w:hAnsi="Times New Roman" w:cs="Times New Roman"/>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（签字或签章）：</w:t>
      </w:r>
    </w:p>
    <w:p w14:paraId="5A664BD9">
      <w:pPr>
        <w:adjustRightInd w:val="0"/>
        <w:snapToGrid w:val="0"/>
        <w:spacing w:line="360" w:lineRule="auto"/>
        <w:ind w:right="420"/>
        <w:rPr>
          <w:rFonts w:hint="default" w:ascii="Times New Roman" w:hAnsi="Times New Roman" w:cs="Times New Roman"/>
          <w:color w:val="auto"/>
          <w:szCs w:val="21"/>
        </w:rPr>
      </w:pPr>
      <w:r>
        <w:rPr>
          <w:rFonts w:hint="default" w:ascii="Times New Roman" w:hAnsi="Times New Roman" w:cs="Times New Roman"/>
          <w:color w:val="auto"/>
          <w:szCs w:val="21"/>
        </w:rPr>
        <w:t>委托代理人（签字或签章）：</w:t>
      </w:r>
    </w:p>
    <w:p w14:paraId="09143154">
      <w:pPr>
        <w:adjustRightInd w:val="0"/>
        <w:snapToGrid w:val="0"/>
        <w:spacing w:line="360" w:lineRule="auto"/>
        <w:ind w:right="42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日期：</w:t>
      </w:r>
      <w:r>
        <w:rPr>
          <w:rFonts w:hint="default" w:ascii="Times New Roman" w:hAnsi="Times New Roman" w:cs="Times New Roman"/>
          <w:color w:val="auto"/>
          <w:szCs w:val="21"/>
        </w:rPr>
        <w:t>年月日</w:t>
      </w:r>
    </w:p>
    <w:p w14:paraId="49F0BE66">
      <w:pPr>
        <w:adjustRightInd w:val="0"/>
        <w:snapToGrid w:val="0"/>
        <w:spacing w:line="360" w:lineRule="auto"/>
        <w:jc w:val="left"/>
        <w:rPr>
          <w:rFonts w:hint="default" w:ascii="Times New Roman" w:hAnsi="Times New Roman" w:eastAsia="黑体" w:cs="Times New Roman"/>
          <w:bCs/>
          <w:color w:val="auto"/>
          <w:sz w:val="28"/>
          <w:szCs w:val="28"/>
        </w:rPr>
      </w:pPr>
      <w:r>
        <w:rPr>
          <w:rFonts w:hint="default" w:ascii="Times New Roman" w:hAnsi="Times New Roman" w:eastAsia="黑体" w:cs="Times New Roman"/>
          <w:bCs/>
          <w:color w:val="auto"/>
          <w:sz w:val="28"/>
          <w:szCs w:val="28"/>
        </w:rPr>
        <w:br w:type="page"/>
      </w:r>
    </w:p>
    <w:p w14:paraId="6E2FCE3A">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168" w:name="_Toc25723"/>
      <w:bookmarkStart w:id="169" w:name="_Toc29913955"/>
      <w:bookmarkStart w:id="170" w:name="_Toc8345"/>
      <w:r>
        <w:rPr>
          <w:rFonts w:hint="default" w:ascii="Times New Roman" w:hAnsi="Times New Roman" w:eastAsia="黑体" w:cs="Times New Roman"/>
          <w:color w:val="auto"/>
          <w:sz w:val="28"/>
          <w:szCs w:val="28"/>
        </w:rPr>
        <w:t>四、投标人提供的资格证明文件</w:t>
      </w:r>
      <w:bookmarkEnd w:id="168"/>
      <w:bookmarkEnd w:id="169"/>
      <w:bookmarkEnd w:id="170"/>
    </w:p>
    <w:p w14:paraId="524BEC71">
      <w:pPr>
        <w:pStyle w:val="22"/>
        <w:adjustRightInd w:val="0"/>
        <w:snapToGrid w:val="0"/>
        <w:spacing w:line="360" w:lineRule="auto"/>
        <w:jc w:val="center"/>
        <w:rPr>
          <w:rFonts w:hint="default" w:ascii="Times New Roman" w:hAnsi="Times New Roman" w:cs="Times New Roman"/>
          <w:b/>
          <w:bCs/>
          <w:color w:val="auto"/>
          <w:sz w:val="24"/>
          <w:szCs w:val="24"/>
        </w:rPr>
      </w:pPr>
    </w:p>
    <w:p w14:paraId="2530F0C5">
      <w:pPr>
        <w:pStyle w:val="22"/>
        <w:adjustRightInd w:val="0"/>
        <w:snapToGrid w:val="0"/>
        <w:spacing w:line="360" w:lineRule="auto"/>
        <w:jc w:val="center"/>
        <w:rPr>
          <w:rFonts w:hint="default" w:ascii="Times New Roman" w:hAnsi="Times New Roman" w:eastAsia="黑体" w:cs="Times New Roman"/>
          <w:b/>
          <w:bCs/>
          <w:color w:val="auto"/>
          <w:sz w:val="28"/>
          <w:szCs w:val="28"/>
        </w:rPr>
      </w:pPr>
      <w:r>
        <w:rPr>
          <w:rFonts w:hint="default" w:ascii="Times New Roman" w:hAnsi="Times New Roman" w:eastAsia="黑体" w:cs="Times New Roman"/>
          <w:b/>
          <w:bCs/>
          <w:color w:val="auto"/>
          <w:sz w:val="28"/>
          <w:szCs w:val="28"/>
        </w:rPr>
        <w:t>须  知</w:t>
      </w:r>
    </w:p>
    <w:p w14:paraId="26BC8E0D">
      <w:pPr>
        <w:tabs>
          <w:tab w:val="left" w:pos="4725"/>
        </w:tabs>
        <w:adjustRightInd w:val="0"/>
        <w:snapToGrid w:val="0"/>
        <w:spacing w:beforeLines="50" w:line="360" w:lineRule="auto"/>
        <w:ind w:firstLine="422" w:firstLineChars="200"/>
        <w:rPr>
          <w:rFonts w:hint="default" w:ascii="Times New Roman" w:hAnsi="Times New Roman" w:cs="Times New Roman"/>
          <w:b/>
          <w:bCs/>
          <w:color w:val="auto"/>
          <w:szCs w:val="21"/>
        </w:rPr>
      </w:pPr>
      <w:r>
        <w:rPr>
          <w:rFonts w:hint="default" w:ascii="Times New Roman" w:hAnsi="Times New Roman" w:cs="Times New Roman"/>
          <w:b/>
          <w:color w:val="auto"/>
          <w:szCs w:val="21"/>
        </w:rPr>
        <w:t>1、投标人</w:t>
      </w:r>
      <w:r>
        <w:rPr>
          <w:rFonts w:hint="default" w:ascii="Times New Roman" w:hAnsi="Times New Roman" w:cs="Times New Roman"/>
          <w:b/>
          <w:bCs/>
          <w:color w:val="auto"/>
          <w:szCs w:val="21"/>
        </w:rPr>
        <w:t>应按第二章第15.1款要求提供下列的证明材料</w:t>
      </w:r>
    </w:p>
    <w:p w14:paraId="5B582278">
      <w:pPr>
        <w:tabs>
          <w:tab w:val="left" w:pos="4725"/>
        </w:tabs>
        <w:adjustRightInd w:val="0"/>
        <w:snapToGrid w:val="0"/>
        <w:spacing w:beforeLines="50" w:line="360" w:lineRule="auto"/>
        <w:ind w:firstLine="735" w:firstLineChars="35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附件4-1 法人或者其他组织的营业执照等主体资格证明文件，自然人的身份证明</w:t>
      </w:r>
    </w:p>
    <w:p w14:paraId="03810905">
      <w:pPr>
        <w:tabs>
          <w:tab w:val="left" w:pos="4725"/>
        </w:tabs>
        <w:adjustRightInd w:val="0"/>
        <w:snapToGrid w:val="0"/>
        <w:spacing w:beforeLines="50" w:line="360" w:lineRule="auto"/>
        <w:ind w:firstLine="735" w:firstLineChars="35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附件4-2 投标人资格声明(格式)、</w:t>
      </w:r>
      <w:r>
        <w:rPr>
          <w:rFonts w:hint="default" w:ascii="Times New Roman" w:hAnsi="Times New Roman" w:cs="Times New Roman"/>
          <w:color w:val="auto"/>
        </w:rPr>
        <w:t>湖南省政府采购供应商资格承诺函</w:t>
      </w:r>
    </w:p>
    <w:p w14:paraId="23366819">
      <w:pPr>
        <w:tabs>
          <w:tab w:val="left" w:pos="4725"/>
        </w:tabs>
        <w:adjustRightInd w:val="0"/>
        <w:snapToGrid w:val="0"/>
        <w:spacing w:beforeLines="50" w:line="360" w:lineRule="auto"/>
        <w:ind w:firstLine="735" w:firstLineChars="35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附件4-3 符合特定资格条件证明材料复印件或者情况说明</w:t>
      </w:r>
    </w:p>
    <w:p w14:paraId="12880540">
      <w:pPr>
        <w:tabs>
          <w:tab w:val="left" w:pos="4725"/>
        </w:tabs>
        <w:adjustRightInd w:val="0"/>
        <w:snapToGrid w:val="0"/>
        <w:spacing w:beforeLines="50" w:line="360" w:lineRule="auto"/>
        <w:ind w:firstLine="735" w:firstLineChars="35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附件4-4 联合体协议书（格式）（联合体形式投标的提供）</w:t>
      </w:r>
    </w:p>
    <w:p w14:paraId="04FA7D3C">
      <w:pPr>
        <w:tabs>
          <w:tab w:val="left" w:pos="4725"/>
        </w:tabs>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2、投标人以联合体形式投标的，除应提交联合协议书(本节附4-4)外，参加联合体的各方均应提交上款资格证明材料。</w:t>
      </w:r>
    </w:p>
    <w:p w14:paraId="6FF50BC0">
      <w:pPr>
        <w:tabs>
          <w:tab w:val="left" w:pos="4725"/>
        </w:tabs>
        <w:adjustRightInd w:val="0"/>
        <w:snapToGrid w:val="0"/>
        <w:spacing w:line="360" w:lineRule="auto"/>
        <w:rPr>
          <w:rFonts w:hint="default" w:ascii="Times New Roman" w:hAnsi="Times New Roman" w:cs="Times New Roman" w:eastAsiaTheme="minorEastAsia"/>
          <w:color w:val="auto"/>
          <w:szCs w:val="21"/>
        </w:rPr>
      </w:pPr>
    </w:p>
    <w:p w14:paraId="57B52FBD">
      <w:pPr>
        <w:widowControl/>
        <w:adjustRightInd w:val="0"/>
        <w:snapToGrid w:val="0"/>
        <w:spacing w:line="360" w:lineRule="auto"/>
        <w:jc w:val="left"/>
        <w:rPr>
          <w:rFonts w:hint="default" w:ascii="Times New Roman" w:hAnsi="Times New Roman" w:eastAsia="黑体" w:cs="Times New Roman"/>
          <w:color w:val="auto"/>
          <w:szCs w:val="21"/>
        </w:rPr>
      </w:pPr>
      <w:r>
        <w:rPr>
          <w:rFonts w:hint="default" w:ascii="Times New Roman" w:hAnsi="Times New Roman" w:eastAsia="黑体" w:cs="Times New Roman"/>
          <w:color w:val="auto"/>
          <w:szCs w:val="21"/>
        </w:rPr>
        <w:br w:type="page"/>
      </w:r>
    </w:p>
    <w:p w14:paraId="1A10455C">
      <w:pPr>
        <w:pStyle w:val="6"/>
        <w:rPr>
          <w:rFonts w:hint="default" w:ascii="Times New Roman" w:hAnsi="Times New Roman" w:cs="Times New Roman"/>
          <w:b w:val="0"/>
          <w:color w:val="auto"/>
          <w:sz w:val="21"/>
          <w:szCs w:val="21"/>
        </w:rPr>
      </w:pPr>
      <w:bookmarkStart w:id="171" w:name="_Toc31793"/>
      <w:bookmarkStart w:id="172" w:name="_Toc29913956"/>
      <w:bookmarkStart w:id="173" w:name="_Toc18063"/>
      <w:r>
        <w:rPr>
          <w:rFonts w:hint="default" w:ascii="Times New Roman" w:hAnsi="Times New Roman" w:cs="Times New Roman"/>
          <w:b w:val="0"/>
          <w:color w:val="auto"/>
          <w:sz w:val="21"/>
          <w:szCs w:val="21"/>
        </w:rPr>
        <w:t>附件4-1 法人或者其他组织的营业执照等主体资格证明文件，自然人的身份证明</w:t>
      </w:r>
      <w:bookmarkEnd w:id="171"/>
      <w:bookmarkEnd w:id="172"/>
      <w:bookmarkEnd w:id="173"/>
    </w:p>
    <w:p w14:paraId="35F980F0">
      <w:pPr>
        <w:widowControl/>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法人或者其他组织的营业执照等主体资格证明文件，自然人的身份证明</w:t>
      </w:r>
    </w:p>
    <w:p w14:paraId="40E11FCA">
      <w:pPr>
        <w:widowControl/>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p>
    <w:p w14:paraId="00A795A5">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注：按第二章第14.1（2）项要求提供。</w:t>
      </w:r>
    </w:p>
    <w:p w14:paraId="5F10F647">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eastAsiaTheme="minorEastAsia"/>
          <w:color w:val="auto"/>
          <w:szCs w:val="21"/>
        </w:rPr>
        <w:t>（1）</w:t>
      </w:r>
      <w:r>
        <w:rPr>
          <w:rFonts w:hint="default" w:ascii="Times New Roman" w:hAnsi="Times New Roman" w:cs="Times New Roman"/>
          <w:color w:val="auto"/>
        </w:rPr>
        <w:t>投标人为法人的，应提交营业执照或法人登记证书的复印件；</w:t>
      </w:r>
    </w:p>
    <w:p w14:paraId="0492CB2C">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eastAsiaTheme="minorEastAsia"/>
          <w:color w:val="auto"/>
          <w:szCs w:val="21"/>
        </w:rPr>
        <w:t>（2）</w:t>
      </w:r>
      <w:r>
        <w:rPr>
          <w:rFonts w:hint="default" w:ascii="Times New Roman" w:hAnsi="Times New Roman" w:cs="Times New Roman"/>
          <w:color w:val="auto"/>
        </w:rPr>
        <w:t>投标人为非法人组织的，应提交依法登记证书复印件；</w:t>
      </w:r>
    </w:p>
    <w:p w14:paraId="6592183D">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eastAsiaTheme="minorEastAsia"/>
          <w:color w:val="auto"/>
          <w:szCs w:val="21"/>
        </w:rPr>
        <w:t>（3）</w:t>
      </w:r>
      <w:r>
        <w:rPr>
          <w:rFonts w:hint="default" w:ascii="Times New Roman" w:hAnsi="Times New Roman" w:cs="Times New Roman"/>
          <w:color w:val="auto"/>
        </w:rPr>
        <w:t>投标人为个体工商户的，应提交个体工商户营业执照复印件；</w:t>
      </w:r>
    </w:p>
    <w:p w14:paraId="3F4AC19C">
      <w:pPr>
        <w:adjustRightInd w:val="0"/>
        <w:snapToGrid w:val="0"/>
        <w:spacing w:beforeLines="50" w:line="360" w:lineRule="auto"/>
        <w:ind w:firstLine="420" w:firstLineChars="200"/>
        <w:rPr>
          <w:rFonts w:hint="default" w:ascii="Times New Roman" w:hAnsi="Times New Roman" w:cs="Times New Roman"/>
          <w:color w:val="auto"/>
        </w:rPr>
      </w:pPr>
      <w:r>
        <w:rPr>
          <w:rFonts w:hint="default" w:ascii="Times New Roman" w:hAnsi="Times New Roman" w:cs="Times New Roman" w:eastAsiaTheme="minorEastAsia"/>
          <w:color w:val="auto"/>
          <w:szCs w:val="21"/>
        </w:rPr>
        <w:t>（4）</w:t>
      </w:r>
      <w:r>
        <w:rPr>
          <w:rFonts w:hint="default" w:ascii="Times New Roman" w:hAnsi="Times New Roman" w:cs="Times New Roman"/>
          <w:color w:val="auto"/>
        </w:rPr>
        <w:t>投标人为自然人的，应提交自然人的身份证明复印件。</w:t>
      </w:r>
    </w:p>
    <w:p w14:paraId="1B075006">
      <w:pPr>
        <w:adjustRightInd w:val="0"/>
        <w:snapToGrid w:val="0"/>
        <w:spacing w:beforeLines="50" w:line="360" w:lineRule="auto"/>
        <w:ind w:firstLine="420" w:firstLineChars="200"/>
        <w:rPr>
          <w:rFonts w:hint="default" w:ascii="Times New Roman" w:hAnsi="Times New Roman" w:cs="Times New Roman"/>
          <w:color w:val="auto"/>
        </w:rPr>
      </w:pPr>
    </w:p>
    <w:p w14:paraId="2EDDC751">
      <w:pPr>
        <w:widowControl/>
        <w:jc w:val="left"/>
        <w:rPr>
          <w:rFonts w:hint="default" w:ascii="Times New Roman" w:hAnsi="Times New Roman" w:eastAsia="黑体" w:cs="Times New Roman"/>
          <w:bCs/>
          <w:color w:val="auto"/>
          <w:szCs w:val="21"/>
        </w:rPr>
      </w:pPr>
      <w:r>
        <w:rPr>
          <w:rFonts w:hint="default" w:ascii="Times New Roman" w:hAnsi="Times New Roman" w:cs="Times New Roman"/>
          <w:b/>
          <w:color w:val="auto"/>
          <w:szCs w:val="21"/>
        </w:rPr>
        <w:br w:type="page"/>
      </w:r>
    </w:p>
    <w:p w14:paraId="260E4ADC">
      <w:pPr>
        <w:pStyle w:val="6"/>
        <w:adjustRightInd w:val="0"/>
        <w:snapToGrid w:val="0"/>
        <w:spacing w:beforeLines="50" w:after="0" w:line="360" w:lineRule="auto"/>
        <w:rPr>
          <w:rFonts w:hint="default" w:ascii="Times New Roman" w:hAnsi="Times New Roman" w:cs="Times New Roman"/>
          <w:b w:val="0"/>
          <w:color w:val="auto"/>
          <w:sz w:val="21"/>
          <w:szCs w:val="21"/>
        </w:rPr>
      </w:pPr>
      <w:bookmarkStart w:id="174" w:name="_Toc20857"/>
      <w:bookmarkStart w:id="175" w:name="_Toc3609"/>
      <w:bookmarkStart w:id="176" w:name="_Toc29913957"/>
      <w:r>
        <w:rPr>
          <w:rFonts w:hint="default" w:ascii="Times New Roman" w:hAnsi="Times New Roman" w:cs="Times New Roman"/>
          <w:b w:val="0"/>
          <w:color w:val="auto"/>
          <w:sz w:val="21"/>
          <w:szCs w:val="21"/>
        </w:rPr>
        <w:t>附件4-2 投标人资格声明(格式)</w:t>
      </w:r>
      <w:bookmarkEnd w:id="174"/>
      <w:bookmarkEnd w:id="175"/>
      <w:bookmarkEnd w:id="176"/>
    </w:p>
    <w:p w14:paraId="5F55BF2B">
      <w:pPr>
        <w:widowControl/>
        <w:adjustRightInd w:val="0"/>
        <w:snapToGrid w:val="0"/>
        <w:spacing w:beforeLines="50" w:line="360" w:lineRule="auto"/>
        <w:jc w:val="center"/>
        <w:rPr>
          <w:rFonts w:hint="default" w:ascii="Times New Roman" w:hAnsi="Times New Roman" w:cs="Times New Roman" w:eastAsiaTheme="minorEastAsia"/>
          <w:color w:val="auto"/>
          <w:szCs w:val="21"/>
        </w:rPr>
      </w:pPr>
      <w:r>
        <w:rPr>
          <w:rFonts w:hint="default" w:ascii="Times New Roman" w:hAnsi="Times New Roman" w:eastAsia="黑体" w:cs="Times New Roman"/>
          <w:b/>
          <w:color w:val="auto"/>
          <w:sz w:val="28"/>
          <w:szCs w:val="28"/>
        </w:rPr>
        <w:t>投标人资格声明(格式)</w:t>
      </w:r>
    </w:p>
    <w:p w14:paraId="0163191B">
      <w:pPr>
        <w:widowControl/>
        <w:adjustRightInd w:val="0"/>
        <w:snapToGrid w:val="0"/>
        <w:spacing w:beforeLines="50" w:line="360" w:lineRule="auto"/>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致(采购人、采购代理机构)：</w:t>
      </w:r>
    </w:p>
    <w:p w14:paraId="19036F08">
      <w:pPr>
        <w:widowControl/>
        <w:adjustRightInd w:val="0"/>
        <w:snapToGrid w:val="0"/>
        <w:spacing w:beforeLines="50"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按照《中华人民共和国政府采购法》第二十二条和招标文件的规定，我单位郑重声明如下：</w:t>
      </w:r>
    </w:p>
    <w:p w14:paraId="5223E090">
      <w:pPr>
        <w:widowControl/>
        <w:adjustRightInd w:val="0"/>
        <w:snapToGrid w:val="0"/>
        <w:spacing w:beforeLines="50"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一、我单位是按照中华人民共和国法律规定登记注册的，注册地点为，全称为，统一社会信用代码为，法定代表人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为，具有独立承担民事责任的能力。</w:t>
      </w:r>
    </w:p>
    <w:p w14:paraId="3A4D67EE">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二、我单位未被</w:t>
      </w:r>
      <w:r>
        <w:rPr>
          <w:rFonts w:hint="default" w:ascii="Times New Roman" w:hAnsi="Times New Roman" w:eastAsia="华文中宋" w:cs="Times New Roman"/>
          <w:color w:val="auto"/>
          <w:szCs w:val="21"/>
        </w:rPr>
        <w:t>“</w:t>
      </w:r>
      <w:r>
        <w:rPr>
          <w:rFonts w:hint="default" w:ascii="Times New Roman" w:hAnsi="Times New Roman" w:cs="Times New Roman"/>
          <w:color w:val="auto"/>
          <w:szCs w:val="21"/>
        </w:rPr>
        <w:t>国家企业信用信息系统</w:t>
      </w:r>
      <w:r>
        <w:rPr>
          <w:rFonts w:hint="default" w:ascii="Times New Roman" w:hAnsi="Times New Roman" w:eastAsia="华文中宋" w:cs="Times New Roman"/>
          <w:color w:val="auto"/>
          <w:szCs w:val="21"/>
        </w:rPr>
        <w:t>”</w:t>
      </w:r>
      <w:r>
        <w:rPr>
          <w:rFonts w:hint="default" w:ascii="Times New Roman" w:hAnsi="Times New Roman" w:cs="Times New Roman"/>
          <w:color w:val="auto"/>
          <w:szCs w:val="21"/>
        </w:rPr>
        <w:t>列入经营异常名录或者严重违法企业名单。</w:t>
      </w:r>
    </w:p>
    <w:p w14:paraId="4C96EA38">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kern w:val="0"/>
          <w:szCs w:val="21"/>
        </w:rPr>
        <w:t>三、</w:t>
      </w:r>
      <w:r>
        <w:rPr>
          <w:rFonts w:hint="default" w:ascii="Times New Roman" w:hAnsi="Times New Roman" w:cs="Times New Roman"/>
          <w:color w:val="auto"/>
          <w:szCs w:val="21"/>
        </w:rPr>
        <w:t>我单位具有良好的商业信誉和健全的财务会计制度。</w:t>
      </w:r>
    </w:p>
    <w:p w14:paraId="37219847">
      <w:pPr>
        <w:widowControl/>
        <w:adjustRightInd w:val="0"/>
        <w:snapToGrid w:val="0"/>
        <w:spacing w:beforeLines="50"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四、我</w:t>
      </w:r>
      <w:r>
        <w:rPr>
          <w:rFonts w:hint="default" w:ascii="Times New Roman" w:hAnsi="Times New Roman" w:cs="Times New Roman"/>
          <w:color w:val="auto"/>
          <w:szCs w:val="21"/>
        </w:rPr>
        <w:t>单位</w:t>
      </w:r>
      <w:r>
        <w:rPr>
          <w:rFonts w:hint="default" w:ascii="Times New Roman" w:hAnsi="Times New Roman" w:cs="Times New Roman"/>
          <w:color w:val="auto"/>
          <w:kern w:val="0"/>
          <w:szCs w:val="21"/>
        </w:rPr>
        <w:t>依法进行纳税和社会保险申报并实际履行了义务。</w:t>
      </w:r>
    </w:p>
    <w:p w14:paraId="592C775D">
      <w:pPr>
        <w:widowControl/>
        <w:adjustRightInd w:val="0"/>
        <w:snapToGrid w:val="0"/>
        <w:spacing w:beforeLines="50"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五、我单位具有履行本项目采购合同所必需的设备和专业技术能力，并具有履行合同的良好</w:t>
      </w:r>
      <w:r>
        <w:rPr>
          <w:rFonts w:hint="default" w:ascii="Times New Roman" w:hAnsi="Times New Roman" w:cs="Times New Roman" w:eastAsiaTheme="minorEastAsia"/>
          <w:color w:val="auto"/>
          <w:szCs w:val="21"/>
        </w:rPr>
        <w:t>记录</w:t>
      </w:r>
      <w:r>
        <w:rPr>
          <w:rFonts w:hint="default" w:ascii="Times New Roman" w:hAnsi="Times New Roman" w:cs="Times New Roman"/>
          <w:color w:val="auto"/>
          <w:szCs w:val="21"/>
        </w:rPr>
        <w:t>。</w:t>
      </w:r>
    </w:p>
    <w:p w14:paraId="02EEA2F3">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AE895FC">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供应商在参加政府采购活动前3年内因违法经营被禁止在一定期限内参加政府采购活动，期限届满的，可以参加政府采购活动。</w:t>
      </w:r>
    </w:p>
    <w:p w14:paraId="3DB2A90B">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七、我单位具备法律、行政法规规定的其他条件。</w:t>
      </w:r>
    </w:p>
    <w:p w14:paraId="208E8CBE">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kern w:val="0"/>
          <w:szCs w:val="21"/>
        </w:rPr>
        <w:t>八、</w:t>
      </w:r>
      <w:r>
        <w:rPr>
          <w:rFonts w:hint="default" w:ascii="Times New Roman" w:hAnsi="Times New Roman" w:cs="Times New Roman"/>
          <w:color w:val="auto"/>
          <w:szCs w:val="21"/>
        </w:rPr>
        <w:t>与我单位存在“单位负责人为同一人或者存在直接控股、管理关系”的其他单位信息如下（如无，填写“无”）：</w:t>
      </w:r>
    </w:p>
    <w:p w14:paraId="16802969">
      <w:pPr>
        <w:adjustRightInd w:val="0"/>
        <w:snapToGrid w:val="0"/>
        <w:spacing w:beforeLines="50"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1、</w:t>
      </w:r>
      <w:r>
        <w:rPr>
          <w:rFonts w:hint="default" w:ascii="Times New Roman" w:hAnsi="Times New Roman" w:cs="Times New Roman"/>
          <w:color w:val="auto"/>
          <w:szCs w:val="21"/>
        </w:rPr>
        <w:t>与我单位的法定代表人（单位负责人）为同一人的其他单位如下：</w:t>
      </w:r>
    </w:p>
    <w:p w14:paraId="494901FB">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2、我</w:t>
      </w:r>
      <w:r>
        <w:rPr>
          <w:rFonts w:hint="default" w:ascii="Times New Roman" w:hAnsi="Times New Roman" w:cs="Times New Roman"/>
          <w:color w:val="auto"/>
          <w:szCs w:val="21"/>
        </w:rPr>
        <w:t>单位</w:t>
      </w:r>
      <w:r>
        <w:rPr>
          <w:rFonts w:hint="default" w:ascii="Times New Roman" w:hAnsi="Times New Roman" w:cs="Times New Roman" w:eastAsiaTheme="minorEastAsia"/>
          <w:color w:val="auto"/>
          <w:szCs w:val="21"/>
        </w:rPr>
        <w:t>直接控股的其他单位如下：</w:t>
      </w:r>
    </w:p>
    <w:p w14:paraId="533A11EF">
      <w:pPr>
        <w:adjustRightInd w:val="0"/>
        <w:snapToGrid w:val="0"/>
        <w:spacing w:beforeLines="50"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3、与我</w:t>
      </w:r>
      <w:r>
        <w:rPr>
          <w:rFonts w:hint="default" w:ascii="Times New Roman" w:hAnsi="Times New Roman" w:cs="Times New Roman"/>
          <w:color w:val="auto"/>
          <w:szCs w:val="21"/>
        </w:rPr>
        <w:t>单位存在</w:t>
      </w:r>
      <w:r>
        <w:rPr>
          <w:rFonts w:hint="default" w:ascii="Times New Roman" w:hAnsi="Times New Roman" w:cs="Times New Roman" w:eastAsiaTheme="minorEastAsia"/>
          <w:color w:val="auto"/>
          <w:szCs w:val="21"/>
        </w:rPr>
        <w:t>管理关系的其他单位如下：</w:t>
      </w:r>
    </w:p>
    <w:p w14:paraId="44B4622F">
      <w:pPr>
        <w:widowControl/>
        <w:adjustRightInd w:val="0"/>
        <w:snapToGrid w:val="0"/>
        <w:spacing w:beforeLines="50" w:line="360" w:lineRule="auto"/>
        <w:ind w:firstLine="420" w:firstLineChars="200"/>
        <w:jc w:val="left"/>
        <w:rPr>
          <w:rFonts w:hint="default" w:ascii="Times New Roman" w:hAnsi="Times New Roman" w:cs="Times New Roman"/>
          <w:color w:val="auto"/>
          <w:szCs w:val="21"/>
        </w:rPr>
      </w:pPr>
      <w:r>
        <w:rPr>
          <w:rFonts w:hint="default" w:ascii="Times New Roman" w:hAnsi="Times New Roman" w:cs="Times New Roman"/>
          <w:color w:val="auto"/>
          <w:szCs w:val="21"/>
        </w:rPr>
        <w:t>九、</w:t>
      </w:r>
      <w:r>
        <w:rPr>
          <w:rFonts w:hint="default" w:ascii="Times New Roman" w:hAnsi="Times New Roman" w:cs="Times New Roman" w:eastAsiaTheme="minorEastAsia"/>
          <w:color w:val="auto"/>
          <w:szCs w:val="21"/>
        </w:rPr>
        <w:t>我单位不属于为本项目提供整体设计、规范编制或者项目管理、监理、检测等服务的投标人。</w:t>
      </w:r>
    </w:p>
    <w:p w14:paraId="5A86C077">
      <w:pPr>
        <w:widowControl/>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十、我单位无以下不良信用记录情形：</w:t>
      </w:r>
    </w:p>
    <w:p w14:paraId="661558B8">
      <w:pPr>
        <w:widowControl/>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1、在“信用中国”、“信用湖南”、“信用郴州”网站被列入失信被执行人和重大税收违法案件当事人名单</w:t>
      </w:r>
      <w:r>
        <w:rPr>
          <w:rFonts w:hint="default" w:ascii="Times New Roman" w:hAnsi="Times New Roman" w:cs="Times New Roman"/>
          <w:color w:val="auto"/>
          <w:szCs w:val="21"/>
        </w:rPr>
        <w:t>；</w:t>
      </w:r>
    </w:p>
    <w:p w14:paraId="63FC7DF8">
      <w:pPr>
        <w:widowControl/>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2、在“中国政府采购网”、“湖南省政府采购网”网站被列入政府采购严重违法失信行为记录名单</w:t>
      </w:r>
      <w:r>
        <w:rPr>
          <w:rFonts w:hint="default" w:ascii="Times New Roman" w:hAnsi="Times New Roman" w:cs="Times New Roman"/>
          <w:color w:val="auto"/>
          <w:szCs w:val="21"/>
        </w:rPr>
        <w:t>；</w:t>
      </w:r>
    </w:p>
    <w:p w14:paraId="74DD8191">
      <w:pPr>
        <w:widowControl/>
        <w:adjustRightInd w:val="0"/>
        <w:snapToGrid w:val="0"/>
        <w:spacing w:beforeLines="50"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3、不符合《政府采购法》第二十二条规定的条件。</w:t>
      </w:r>
    </w:p>
    <w:p w14:paraId="31ED719E">
      <w:pPr>
        <w:widowControl/>
        <w:adjustRightInd w:val="0"/>
        <w:snapToGrid w:val="0"/>
        <w:spacing w:beforeLines="50" w:line="360" w:lineRule="auto"/>
        <w:ind w:firstLine="420" w:firstLineChars="200"/>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我单位保证上述声明的事项都是真实的，如有虚假，我单位愿意承担相应的法律责任，并承担因此所造成的一切损失。</w:t>
      </w:r>
    </w:p>
    <w:p w14:paraId="20E52720">
      <w:pPr>
        <w:widowControl/>
        <w:adjustRightInd w:val="0"/>
        <w:snapToGrid w:val="0"/>
        <w:spacing w:beforeLines="50" w:line="360" w:lineRule="auto"/>
        <w:jc w:val="left"/>
        <w:rPr>
          <w:rFonts w:hint="default" w:ascii="Times New Roman" w:hAnsi="Times New Roman" w:cs="Times New Roman"/>
          <w:color w:val="auto"/>
          <w:szCs w:val="21"/>
        </w:rPr>
      </w:pPr>
    </w:p>
    <w:p w14:paraId="49A92052">
      <w:pPr>
        <w:widowControl/>
        <w:adjustRightInd w:val="0"/>
        <w:snapToGrid w:val="0"/>
        <w:spacing w:beforeLines="50" w:line="360" w:lineRule="auto"/>
        <w:jc w:val="left"/>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注：第三条“良好的商业信誉”是指投标人经营状况良好，无本资格声明第十条情形。</w:t>
      </w:r>
    </w:p>
    <w:p w14:paraId="1001AD4A">
      <w:pPr>
        <w:widowControl/>
        <w:adjustRightInd w:val="0"/>
        <w:snapToGrid w:val="0"/>
        <w:spacing w:beforeLines="50" w:line="360" w:lineRule="auto"/>
        <w:jc w:val="left"/>
        <w:rPr>
          <w:rFonts w:hint="default" w:ascii="Times New Roman" w:hAnsi="Times New Roman" w:cs="Times New Roman"/>
          <w:color w:val="auto"/>
          <w:szCs w:val="21"/>
        </w:rPr>
      </w:pPr>
    </w:p>
    <w:p w14:paraId="7E671275">
      <w:pPr>
        <w:widowControl/>
        <w:adjustRightInd w:val="0"/>
        <w:snapToGrid w:val="0"/>
        <w:spacing w:line="360" w:lineRule="auto"/>
        <w:jc w:val="left"/>
        <w:rPr>
          <w:rFonts w:hint="default" w:ascii="Times New Roman" w:hAnsi="Times New Roman" w:cs="Times New Roman"/>
          <w:color w:val="auto"/>
          <w:kern w:val="0"/>
          <w:szCs w:val="21"/>
        </w:rPr>
      </w:pPr>
      <w:r>
        <w:rPr>
          <w:rFonts w:hint="default" w:ascii="Times New Roman" w:hAnsi="Times New Roman" w:cs="Times New Roman"/>
          <w:color w:val="auto"/>
          <w:szCs w:val="21"/>
        </w:rPr>
        <w:t>投标人名称（盖单位电子公章）：</w:t>
      </w:r>
    </w:p>
    <w:p w14:paraId="4EF9E1A7">
      <w:pPr>
        <w:widowControl/>
        <w:adjustRightInd w:val="0"/>
        <w:snapToGrid w:val="0"/>
        <w:spacing w:line="360" w:lineRule="auto"/>
        <w:jc w:val="left"/>
        <w:rPr>
          <w:rFonts w:hint="default" w:ascii="Times New Roman" w:hAnsi="Times New Roman" w:cs="Times New Roman" w:eastAsiaTheme="minorEastAsia"/>
          <w:b/>
          <w:bCs/>
          <w:color w:val="auto"/>
          <w:kern w:val="0"/>
          <w:sz w:val="44"/>
          <w:szCs w:val="44"/>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rPr>
        <w:t>或委托代理人：（签字或签章）</w:t>
      </w:r>
    </w:p>
    <w:p w14:paraId="3A755CB9">
      <w:pPr>
        <w:widowControl/>
        <w:adjustRightInd w:val="0"/>
        <w:snapToGrid w:val="0"/>
        <w:spacing w:line="360" w:lineRule="auto"/>
        <w:jc w:val="left"/>
        <w:rPr>
          <w:rFonts w:hint="default" w:ascii="Times New Roman" w:hAnsi="Times New Roman" w:cs="Times New Roman" w:eastAsiaTheme="minorEastAsia"/>
          <w:color w:val="auto"/>
          <w:szCs w:val="21"/>
        </w:rPr>
      </w:pPr>
      <w:r>
        <w:rPr>
          <w:rFonts w:hint="default" w:ascii="Times New Roman" w:hAnsi="Times New Roman" w:cs="Times New Roman"/>
          <w:color w:val="auto"/>
          <w:szCs w:val="21"/>
        </w:rPr>
        <w:t>日期：年月日</w:t>
      </w:r>
    </w:p>
    <w:p w14:paraId="40716FB0">
      <w:pPr>
        <w:widowControl/>
        <w:jc w:val="left"/>
        <w:rPr>
          <w:rFonts w:hint="default" w:ascii="Times New Roman" w:hAnsi="Times New Roman" w:eastAsia="黑体" w:cs="Times New Roman"/>
          <w:bCs/>
          <w:color w:val="auto"/>
          <w:szCs w:val="21"/>
        </w:rPr>
      </w:pPr>
      <w:r>
        <w:rPr>
          <w:rFonts w:hint="default" w:ascii="Times New Roman" w:hAnsi="Times New Roman" w:cs="Times New Roman"/>
          <w:b/>
          <w:color w:val="auto"/>
          <w:szCs w:val="21"/>
        </w:rPr>
        <w:br w:type="page"/>
      </w:r>
    </w:p>
    <w:p w14:paraId="2DCE105E">
      <w:pPr>
        <w:pStyle w:val="6"/>
        <w:jc w:val="center"/>
        <w:rPr>
          <w:rFonts w:hint="default" w:ascii="Times New Roman" w:hAnsi="Times New Roman" w:eastAsia="宋体" w:cs="Times New Roman"/>
          <w:color w:val="auto"/>
        </w:rPr>
      </w:pPr>
      <w:bookmarkStart w:id="177" w:name="_Toc30006"/>
      <w:bookmarkStart w:id="178" w:name="_Toc26565"/>
      <w:bookmarkStart w:id="179" w:name="_Toc29913958"/>
      <w:r>
        <w:rPr>
          <w:rFonts w:hint="default" w:ascii="Times New Roman" w:hAnsi="Times New Roman" w:eastAsia="宋体" w:cs="Times New Roman"/>
          <w:color w:val="auto"/>
        </w:rPr>
        <w:t>湖南省政府采购供应商资格承诺函</w:t>
      </w:r>
      <w:bookmarkEnd w:id="177"/>
    </w:p>
    <w:p w14:paraId="3D5ECF05">
      <w:pPr>
        <w:pStyle w:val="119"/>
        <w:spacing w:before="0" w:beforeAutospacing="0" w:after="0" w:afterAutospacing="0" w:line="480" w:lineRule="atLeast"/>
        <w:ind w:firstLine="422"/>
        <w:rPr>
          <w:rFonts w:hint="default" w:ascii="Times New Roman" w:hAnsi="Times New Roman" w:eastAsia="微软雅黑" w:cs="Times New Roman"/>
          <w:color w:val="auto"/>
        </w:rPr>
      </w:pPr>
      <w:r>
        <w:rPr>
          <w:rFonts w:hint="default" w:ascii="Times New Roman" w:hAnsi="Times New Roman" w:cs="Times New Roman"/>
          <w:b/>
          <w:bCs/>
          <w:color w:val="auto"/>
        </w:rPr>
        <w:t>致</w:t>
      </w:r>
      <w:r>
        <w:rPr>
          <w:rFonts w:hint="default" w:ascii="Times New Roman" w:hAnsi="Times New Roman" w:cs="Times New Roman"/>
          <w:b/>
          <w:bCs/>
          <w:color w:val="auto"/>
          <w:u w:val="single"/>
        </w:rPr>
        <w:t>            </w:t>
      </w:r>
      <w:r>
        <w:rPr>
          <w:rFonts w:hint="default" w:ascii="Times New Roman" w:hAnsi="Times New Roman" w:cs="Times New Roman"/>
          <w:b/>
          <w:bCs/>
          <w:color w:val="auto"/>
        </w:rPr>
        <w:t>（采购人、采购代理机构）：</w:t>
      </w:r>
    </w:p>
    <w:p w14:paraId="4238F40B">
      <w:pPr>
        <w:pStyle w:val="119"/>
        <w:spacing w:before="0" w:beforeAutospacing="0" w:after="0" w:afterAutospacing="0" w:line="480" w:lineRule="atLeast"/>
        <w:ind w:firstLine="420"/>
        <w:rPr>
          <w:rFonts w:hint="default" w:ascii="Times New Roman" w:hAnsi="Times New Roman" w:eastAsia="微软雅黑" w:cs="Times New Roman"/>
          <w:color w:val="auto"/>
        </w:rPr>
      </w:pPr>
      <w:r>
        <w:rPr>
          <w:rFonts w:hint="default" w:ascii="Times New Roman" w:hAnsi="Times New Roman" w:cs="Times New Roman"/>
          <w:color w:val="auto"/>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19D7A71">
      <w:pPr>
        <w:pStyle w:val="119"/>
        <w:spacing w:before="0" w:beforeAutospacing="0" w:after="0" w:afterAutospacing="0" w:line="480" w:lineRule="atLeast"/>
        <w:ind w:firstLine="420"/>
        <w:rPr>
          <w:rFonts w:hint="default" w:ascii="Times New Roman" w:hAnsi="Times New Roman" w:eastAsia="微软雅黑" w:cs="Times New Roman"/>
          <w:color w:val="auto"/>
        </w:rPr>
      </w:pPr>
      <w:r>
        <w:rPr>
          <w:rFonts w:hint="default" w:ascii="Times New Roman" w:hAnsi="Times New Roman" w:cs="Times New Roman"/>
          <w:color w:val="auto"/>
          <w:sz w:val="21"/>
          <w:szCs w:val="21"/>
        </w:rPr>
        <w:t>按照《政府采购促进中小企业发展管理办法》（财库〔2020〕46号），本公司企业规模为：□大型  □中型  □小型  □微型</w:t>
      </w:r>
    </w:p>
    <w:p w14:paraId="7F727700">
      <w:pPr>
        <w:pStyle w:val="119"/>
        <w:spacing w:before="0" w:beforeAutospacing="0" w:after="0" w:afterAutospacing="0" w:line="360" w:lineRule="auto"/>
        <w:ind w:firstLine="420" w:firstLineChars="200"/>
        <w:rPr>
          <w:rFonts w:hint="default" w:ascii="Times New Roman" w:hAnsi="Times New Roman" w:cs="Times New Roman"/>
          <w:color w:val="auto"/>
          <w:sz w:val="21"/>
          <w:szCs w:val="21"/>
        </w:rPr>
      </w:pPr>
    </w:p>
    <w:p w14:paraId="645A210A">
      <w:pPr>
        <w:pStyle w:val="119"/>
        <w:spacing w:before="0" w:beforeAutospacing="0" w:after="0" w:afterAutospacing="0" w:line="360" w:lineRule="auto"/>
        <w:ind w:firstLine="420" w:firstLineChars="200"/>
        <w:rPr>
          <w:rFonts w:hint="default" w:ascii="Times New Roman" w:hAnsi="Times New Roman" w:eastAsia="微软雅黑" w:cs="Times New Roman"/>
          <w:color w:val="auto"/>
        </w:rPr>
      </w:pPr>
      <w:r>
        <w:rPr>
          <w:rFonts w:hint="default" w:ascii="Times New Roman" w:hAnsi="Times New Roman" w:cs="Times New Roman"/>
          <w:color w:val="auto"/>
          <w:sz w:val="21"/>
          <w:szCs w:val="21"/>
        </w:rPr>
        <w:t>公司机构代码：</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；注册登记机构：</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；日期</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；有效期：</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；注册资本：</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；地址</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；经济行业：</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；经济性质：</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w:t>
      </w:r>
    </w:p>
    <w:p w14:paraId="7F30C757">
      <w:pPr>
        <w:pStyle w:val="119"/>
        <w:spacing w:before="0" w:beforeAutospacing="0" w:after="0" w:afterAutospacing="0" w:line="360" w:lineRule="auto"/>
        <w:ind w:firstLine="420" w:firstLineChars="200"/>
        <w:rPr>
          <w:rFonts w:hint="default" w:ascii="Times New Roman" w:hAnsi="Times New Roman" w:eastAsia="微软雅黑" w:cs="Times New Roman"/>
          <w:color w:val="auto"/>
        </w:rPr>
      </w:pPr>
      <w:r>
        <w:rPr>
          <w:rFonts w:hint="default" w:ascii="Times New Roman" w:hAnsi="Times New Roman" w:cs="Times New Roman"/>
          <w:color w:val="auto"/>
          <w:sz w:val="21"/>
          <w:szCs w:val="21"/>
        </w:rPr>
        <w:t>法定代表人姓名（签字）：</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；身份证号：</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；手机号：</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w:t>
      </w:r>
    </w:p>
    <w:p w14:paraId="1D1F5FAE">
      <w:pPr>
        <w:pStyle w:val="119"/>
        <w:spacing w:before="0" w:beforeAutospacing="0" w:after="0" w:afterAutospacing="0" w:line="360" w:lineRule="auto"/>
        <w:ind w:firstLine="420" w:firstLineChars="200"/>
        <w:rPr>
          <w:rFonts w:hint="default" w:ascii="Times New Roman" w:hAnsi="Times New Roman" w:eastAsia="微软雅黑" w:cs="Times New Roman"/>
          <w:color w:val="auto"/>
        </w:rPr>
      </w:pPr>
      <w:r>
        <w:rPr>
          <w:rFonts w:hint="default" w:ascii="Times New Roman" w:hAnsi="Times New Roman" w:cs="Times New Roman"/>
          <w:color w:val="auto"/>
          <w:sz w:val="21"/>
          <w:szCs w:val="21"/>
        </w:rPr>
        <w:t>授权代表人姓名（签字）：</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；身份证号：</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；手机号：</w:t>
      </w:r>
      <w:r>
        <w:rPr>
          <w:rFonts w:hint="default" w:ascii="Times New Roman" w:hAnsi="Times New Roman" w:cs="Times New Roman"/>
          <w:color w:val="auto"/>
          <w:sz w:val="21"/>
          <w:szCs w:val="21"/>
          <w:u w:val="single"/>
        </w:rPr>
        <w:t>           </w:t>
      </w:r>
      <w:r>
        <w:rPr>
          <w:rFonts w:hint="default" w:ascii="Times New Roman" w:hAnsi="Times New Roman" w:cs="Times New Roman"/>
          <w:color w:val="auto"/>
          <w:sz w:val="21"/>
          <w:szCs w:val="21"/>
        </w:rPr>
        <w:t>；</w:t>
      </w:r>
    </w:p>
    <w:p w14:paraId="202A2292">
      <w:pPr>
        <w:pStyle w:val="119"/>
        <w:spacing w:before="0" w:beforeAutospacing="0" w:after="0" w:afterAutospacing="0" w:line="420" w:lineRule="atLeast"/>
        <w:ind w:left="228" w:firstLine="420"/>
        <w:rPr>
          <w:rFonts w:hint="default" w:ascii="Times New Roman" w:hAnsi="Times New Roman" w:eastAsia="微软雅黑" w:cs="Times New Roman"/>
          <w:color w:val="auto"/>
        </w:rPr>
      </w:pPr>
      <w:r>
        <w:rPr>
          <w:rFonts w:hint="default" w:ascii="Times New Roman" w:hAnsi="Times New Roman" w:eastAsia="微软雅黑" w:cs="Times New Roman"/>
          <w:color w:val="auto"/>
          <w:sz w:val="21"/>
          <w:szCs w:val="21"/>
        </w:rPr>
        <w:t> </w:t>
      </w:r>
    </w:p>
    <w:p w14:paraId="785D9ED3">
      <w:pPr>
        <w:pStyle w:val="119"/>
        <w:spacing w:before="0" w:beforeAutospacing="0" w:after="0" w:afterAutospacing="0" w:line="420" w:lineRule="atLeast"/>
        <w:ind w:left="228" w:firstLine="420"/>
        <w:jc w:val="both"/>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投标人名称（盖公章）：</w:t>
      </w:r>
    </w:p>
    <w:p w14:paraId="35789B47">
      <w:pPr>
        <w:ind w:firstLine="630" w:firstLineChars="300"/>
        <w:rPr>
          <w:rFonts w:hint="default" w:ascii="Times New Roman" w:hAnsi="Times New Roman" w:cs="Times New Roman"/>
          <w:color w:val="auto"/>
        </w:rPr>
      </w:pPr>
    </w:p>
    <w:p w14:paraId="3AB55E75">
      <w:pPr>
        <w:ind w:firstLine="630" w:firstLineChars="300"/>
        <w:rPr>
          <w:rFonts w:hint="default" w:ascii="Times New Roman" w:hAnsi="Times New Roman" w:cs="Times New Roman"/>
          <w:color w:val="auto"/>
        </w:rPr>
      </w:pPr>
      <w:r>
        <w:rPr>
          <w:rFonts w:hint="default" w:ascii="Times New Roman" w:hAnsi="Times New Roman" w:cs="Times New Roman"/>
          <w:color w:val="auto"/>
        </w:rPr>
        <w:t>日期：       年    月    日</w:t>
      </w:r>
    </w:p>
    <w:p w14:paraId="6A64F3B2">
      <w:pPr>
        <w:ind w:firstLine="630" w:firstLineChars="300"/>
        <w:rPr>
          <w:rFonts w:hint="default" w:ascii="Times New Roman" w:hAnsi="Times New Roman" w:cs="Times New Roman"/>
          <w:color w:val="auto"/>
        </w:rPr>
      </w:pPr>
    </w:p>
    <w:p w14:paraId="68A956AB">
      <w:pPr>
        <w:ind w:firstLine="630" w:firstLineChars="300"/>
        <w:rPr>
          <w:rFonts w:hint="default" w:ascii="Times New Roman" w:hAnsi="Times New Roman" w:cs="Times New Roman"/>
          <w:color w:val="auto"/>
        </w:rPr>
      </w:pPr>
    </w:p>
    <w:p w14:paraId="6ECD0D5B">
      <w:pPr>
        <w:ind w:firstLine="630" w:firstLineChars="300"/>
        <w:rPr>
          <w:rFonts w:hint="default" w:ascii="Times New Roman" w:hAnsi="Times New Roman" w:cs="Times New Roman"/>
          <w:color w:val="auto"/>
        </w:rPr>
      </w:pPr>
    </w:p>
    <w:p w14:paraId="0CADDB61">
      <w:pPr>
        <w:ind w:firstLine="630" w:firstLineChars="300"/>
        <w:rPr>
          <w:rFonts w:hint="default" w:ascii="Times New Roman" w:hAnsi="Times New Roman" w:cs="Times New Roman"/>
          <w:color w:val="auto"/>
        </w:rPr>
      </w:pPr>
    </w:p>
    <w:p w14:paraId="01735EB5">
      <w:pPr>
        <w:ind w:firstLine="630" w:firstLineChars="300"/>
        <w:rPr>
          <w:rFonts w:hint="default" w:ascii="Times New Roman" w:hAnsi="Times New Roman" w:cs="Times New Roman"/>
          <w:color w:val="auto"/>
        </w:rPr>
      </w:pPr>
    </w:p>
    <w:p w14:paraId="4D96FE12">
      <w:pPr>
        <w:ind w:firstLine="630" w:firstLineChars="300"/>
        <w:rPr>
          <w:rFonts w:hint="default" w:ascii="Times New Roman" w:hAnsi="Times New Roman" w:cs="Times New Roman"/>
          <w:color w:val="auto"/>
        </w:rPr>
      </w:pPr>
    </w:p>
    <w:p w14:paraId="63DB94FB">
      <w:pPr>
        <w:ind w:firstLine="630" w:firstLineChars="300"/>
        <w:rPr>
          <w:rFonts w:hint="default" w:ascii="Times New Roman" w:hAnsi="Times New Roman" w:cs="Times New Roman"/>
          <w:color w:val="auto"/>
        </w:rPr>
      </w:pPr>
    </w:p>
    <w:p w14:paraId="6330F4DB">
      <w:pPr>
        <w:ind w:firstLine="630" w:firstLineChars="300"/>
        <w:rPr>
          <w:rFonts w:hint="default" w:ascii="Times New Roman" w:hAnsi="Times New Roman" w:cs="Times New Roman"/>
          <w:color w:val="auto"/>
        </w:rPr>
      </w:pPr>
    </w:p>
    <w:p w14:paraId="54CC94AB">
      <w:pPr>
        <w:ind w:firstLine="630" w:firstLineChars="300"/>
        <w:rPr>
          <w:rFonts w:hint="default" w:ascii="Times New Roman" w:hAnsi="Times New Roman" w:cs="Times New Roman"/>
          <w:color w:val="auto"/>
        </w:rPr>
      </w:pPr>
    </w:p>
    <w:p w14:paraId="36D0496B">
      <w:pPr>
        <w:rPr>
          <w:rFonts w:hint="default" w:ascii="Times New Roman" w:hAnsi="Times New Roman" w:cs="Times New Roman"/>
          <w:color w:val="auto"/>
          <w:szCs w:val="21"/>
        </w:rPr>
      </w:pPr>
      <w:r>
        <w:rPr>
          <w:rFonts w:hint="default" w:ascii="Times New Roman" w:hAnsi="Times New Roman" w:cs="Times New Roman"/>
          <w:color w:val="auto"/>
          <w:szCs w:val="21"/>
        </w:rPr>
        <w:br w:type="page"/>
      </w:r>
    </w:p>
    <w:p w14:paraId="7D0DBB1C">
      <w:pPr>
        <w:pStyle w:val="6"/>
        <w:rPr>
          <w:rFonts w:hint="default" w:ascii="Times New Roman" w:hAnsi="Times New Roman" w:cs="Times New Roman"/>
          <w:b w:val="0"/>
          <w:color w:val="auto"/>
          <w:sz w:val="21"/>
          <w:szCs w:val="21"/>
        </w:rPr>
      </w:pPr>
      <w:bookmarkStart w:id="180" w:name="_Toc12690"/>
      <w:r>
        <w:rPr>
          <w:rFonts w:hint="default" w:ascii="Times New Roman" w:hAnsi="Times New Roman" w:cs="Times New Roman"/>
          <w:b w:val="0"/>
          <w:color w:val="auto"/>
          <w:sz w:val="21"/>
          <w:szCs w:val="21"/>
        </w:rPr>
        <w:t>附件4-3 符合特定资格条件证明材料复印件或者情况说明</w:t>
      </w:r>
      <w:bookmarkEnd w:id="178"/>
      <w:bookmarkEnd w:id="179"/>
      <w:bookmarkEnd w:id="180"/>
    </w:p>
    <w:p w14:paraId="1093D38C">
      <w:pPr>
        <w:widowControl/>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符合特定资格条件证明材料复印件或者情况说明</w:t>
      </w:r>
    </w:p>
    <w:p w14:paraId="18FB1F19">
      <w:pPr>
        <w:widowControl/>
        <w:adjustRightInd w:val="0"/>
        <w:snapToGrid w:val="0"/>
        <w:spacing w:line="360" w:lineRule="auto"/>
        <w:ind w:firstLine="560" w:firstLineChars="200"/>
        <w:jc w:val="left"/>
        <w:rPr>
          <w:rFonts w:hint="default" w:ascii="Times New Roman" w:hAnsi="Times New Roman" w:eastAsia="黑体" w:cs="Times New Roman"/>
          <w:color w:val="auto"/>
          <w:sz w:val="28"/>
          <w:szCs w:val="28"/>
        </w:rPr>
      </w:pPr>
    </w:p>
    <w:p w14:paraId="053EA929">
      <w:pPr>
        <w:widowControl/>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注：按第二章第14.1（3）项要求提供。</w:t>
      </w:r>
    </w:p>
    <w:p w14:paraId="7AE8C00F">
      <w:pPr>
        <w:widowControl/>
        <w:jc w:val="left"/>
        <w:rPr>
          <w:rFonts w:hint="default" w:ascii="Times New Roman" w:hAnsi="Times New Roman" w:eastAsia="黑体" w:cs="Times New Roman"/>
          <w:color w:val="auto"/>
          <w:szCs w:val="21"/>
        </w:rPr>
      </w:pPr>
      <w:r>
        <w:rPr>
          <w:rFonts w:hint="default" w:ascii="Times New Roman" w:hAnsi="Times New Roman" w:eastAsia="黑体" w:cs="Times New Roman"/>
          <w:color w:val="auto"/>
          <w:szCs w:val="21"/>
        </w:rPr>
        <w:br w:type="page"/>
      </w:r>
    </w:p>
    <w:p w14:paraId="3A3BE385">
      <w:pPr>
        <w:pStyle w:val="6"/>
        <w:rPr>
          <w:rFonts w:hint="default" w:ascii="Times New Roman" w:hAnsi="Times New Roman" w:cs="Times New Roman"/>
          <w:b w:val="0"/>
          <w:color w:val="auto"/>
          <w:kern w:val="0"/>
          <w:sz w:val="21"/>
          <w:szCs w:val="21"/>
        </w:rPr>
      </w:pPr>
      <w:bookmarkStart w:id="181" w:name="_Toc3798"/>
      <w:bookmarkStart w:id="182" w:name="_Toc14195"/>
      <w:bookmarkStart w:id="183" w:name="_Toc29913959"/>
      <w:r>
        <w:rPr>
          <w:rFonts w:hint="default" w:ascii="Times New Roman" w:hAnsi="Times New Roman" w:cs="Times New Roman"/>
          <w:b w:val="0"/>
          <w:color w:val="auto"/>
          <w:sz w:val="21"/>
          <w:szCs w:val="21"/>
        </w:rPr>
        <w:t>附件4-4 联合体协议书（格式）</w:t>
      </w:r>
      <w:bookmarkEnd w:id="181"/>
      <w:bookmarkEnd w:id="182"/>
      <w:bookmarkEnd w:id="183"/>
    </w:p>
    <w:p w14:paraId="65814038">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eastAsia="黑体" w:cs="Times New Roman"/>
          <w:b/>
          <w:color w:val="auto"/>
          <w:sz w:val="28"/>
          <w:szCs w:val="28"/>
        </w:rPr>
        <w:t>联合体协议书</w:t>
      </w:r>
    </w:p>
    <w:p w14:paraId="29C93456">
      <w:pPr>
        <w:adjustRightInd w:val="0"/>
        <w:snapToGrid w:val="0"/>
        <w:spacing w:line="360" w:lineRule="auto"/>
        <w:rPr>
          <w:rFonts w:hint="default" w:ascii="Times New Roman" w:hAnsi="Times New Roman" w:cs="Times New Roman" w:eastAsiaTheme="minorEastAsia"/>
          <w:color w:val="auto"/>
          <w:szCs w:val="21"/>
        </w:rPr>
      </w:pPr>
    </w:p>
    <w:p w14:paraId="5098078C">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致（采购人、采购代理机构）：</w:t>
      </w:r>
    </w:p>
    <w:p w14:paraId="1262AFAC">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经研究，我们决定自愿组成联合体共同参加（项目名称）（采购代理编号： ）项目的投标。现就联合体投标事宜订立如下协议：</w:t>
      </w:r>
    </w:p>
    <w:p w14:paraId="114239AB">
      <w:pPr>
        <w:adjustRightInd w:val="0"/>
        <w:snapToGrid w:val="0"/>
        <w:spacing w:line="360" w:lineRule="auto"/>
        <w:ind w:firstLine="420" w:firstLineChars="200"/>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color w:val="auto"/>
          <w:szCs w:val="21"/>
        </w:rPr>
        <w:t>一、联合体基本信息：（各方公司名称、地址、注册资金、营业执照、</w:t>
      </w: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姓名）</w:t>
      </w:r>
    </w:p>
    <w:p w14:paraId="5E207965">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二、（某成员单位名称）为（联合体名称）牵头人。</w:t>
      </w:r>
    </w:p>
    <w:p w14:paraId="2A67F6E8">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E13EAF2">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四．联合体将严格按照招标文件的各项要求，递交投标文件，参加投标，履行中标义务和中标后的合同，并向采购人承担连带责任。</w:t>
      </w:r>
    </w:p>
    <w:p w14:paraId="677518C8">
      <w:pPr>
        <w:adjustRightInd w:val="0"/>
        <w:snapToGrid w:val="0"/>
        <w:spacing w:line="360" w:lineRule="auto"/>
        <w:ind w:firstLine="420" w:firstLineChars="200"/>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color w:val="auto"/>
          <w:szCs w:val="21"/>
        </w:rPr>
        <w:t>五、联合体各成员单位内部的职责分工如下：。按照本条上述分工，联合体各成员的协议合同金额占联合体协议合同总金额比例如下：。</w:t>
      </w:r>
    </w:p>
    <w:p w14:paraId="132FF95F">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六、本协议书自签署之日起生效，合同履行完毕后自动失效。</w:t>
      </w:r>
    </w:p>
    <w:p w14:paraId="351BBECB">
      <w:pPr>
        <w:adjustRightInd w:val="0"/>
        <w:snapToGrid w:val="0"/>
        <w:spacing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七、本协议书一式份，联合体成员和采购人各执一份。</w:t>
      </w:r>
    </w:p>
    <w:p w14:paraId="3284314E">
      <w:pPr>
        <w:adjustRightInd w:val="0"/>
        <w:snapToGrid w:val="0"/>
        <w:spacing w:line="360" w:lineRule="auto"/>
        <w:rPr>
          <w:rFonts w:hint="default" w:ascii="Times New Roman" w:hAnsi="Times New Roman" w:cs="Times New Roman" w:eastAsiaTheme="minorEastAsia"/>
          <w:color w:val="auto"/>
          <w:szCs w:val="21"/>
        </w:rPr>
      </w:pPr>
    </w:p>
    <w:p w14:paraId="45C572C8">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牵头人名称（盖单位电子章）：</w:t>
      </w:r>
    </w:p>
    <w:p w14:paraId="23CFF9F6">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或其委托代理人（签字或签章）：</w:t>
      </w:r>
    </w:p>
    <w:p w14:paraId="429EF3C3">
      <w:pPr>
        <w:adjustRightInd w:val="0"/>
        <w:snapToGrid w:val="0"/>
        <w:spacing w:line="360" w:lineRule="auto"/>
        <w:rPr>
          <w:rFonts w:hint="default" w:ascii="Times New Roman" w:hAnsi="Times New Roman" w:cs="Times New Roman" w:eastAsiaTheme="minorEastAsia"/>
          <w:color w:val="auto"/>
          <w:szCs w:val="21"/>
        </w:rPr>
      </w:pPr>
    </w:p>
    <w:p w14:paraId="15159C7D">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成员1名称（盖单位电子章）：</w:t>
      </w:r>
    </w:p>
    <w:p w14:paraId="0AE08D8D">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或其委托代理人（签字或签章）：</w:t>
      </w:r>
    </w:p>
    <w:p w14:paraId="01C7F47F">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成员2名称（盖单位电子章）：</w:t>
      </w:r>
    </w:p>
    <w:p w14:paraId="11CCC8A2">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或其委托代理人（签字或签章）：</w:t>
      </w:r>
    </w:p>
    <w:p w14:paraId="12482F14">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w:t>
      </w:r>
    </w:p>
    <w:p w14:paraId="1EF13862">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 xml:space="preserve">日期：年月日  </w:t>
      </w:r>
    </w:p>
    <w:p w14:paraId="343B5426">
      <w:pPr>
        <w:widowControl/>
        <w:adjustRightInd w:val="0"/>
        <w:snapToGrid w:val="0"/>
        <w:spacing w:line="360" w:lineRule="auto"/>
        <w:ind w:firstLine="422"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注</w:t>
      </w:r>
      <w:r>
        <w:rPr>
          <w:rFonts w:hint="default" w:ascii="Times New Roman" w:hAnsi="Times New Roman" w:cs="Times New Roman" w:eastAsiaTheme="minorEastAsia"/>
          <w:color w:val="auto"/>
          <w:szCs w:val="21"/>
        </w:rPr>
        <w:t>：1、本协议书由委托代理人签字的，应附法定代表人（单位负责人）授权委托书。</w:t>
      </w:r>
    </w:p>
    <w:p w14:paraId="4BA06AED">
      <w:pPr>
        <w:widowControl/>
        <w:adjustRightInd w:val="0"/>
        <w:snapToGrid w:val="0"/>
        <w:spacing w:line="360" w:lineRule="auto"/>
        <w:ind w:firstLine="420" w:firstLineChars="200"/>
        <w:jc w:val="left"/>
        <w:rPr>
          <w:rFonts w:hint="default" w:ascii="Times New Roman" w:hAnsi="Times New Roman" w:eastAsia="黑体" w:cs="Times New Roman"/>
          <w:color w:val="auto"/>
          <w:sz w:val="32"/>
          <w:szCs w:val="32"/>
        </w:rPr>
      </w:pPr>
      <w:r>
        <w:rPr>
          <w:rFonts w:hint="default" w:ascii="Times New Roman" w:hAnsi="Times New Roman" w:cs="Times New Roman" w:eastAsiaTheme="minorEastAsia"/>
          <w:color w:val="auto"/>
          <w:szCs w:val="21"/>
        </w:rPr>
        <w:t>2、投标人在提交投标文件的截止时间前修改“开标一览表”中的投标报价，影响本协议书第五条的，应同时修改本协议书第五条。否则，评审时价格评审优惠不予以考虑。</w:t>
      </w:r>
      <w:r>
        <w:rPr>
          <w:rFonts w:hint="default" w:ascii="Times New Roman" w:hAnsi="Times New Roman" w:cs="Times New Roman"/>
          <w:color w:val="auto"/>
          <w:szCs w:val="21"/>
        </w:rPr>
        <w:br w:type="page"/>
      </w:r>
    </w:p>
    <w:p w14:paraId="37BD101D">
      <w:pPr>
        <w:adjustRightInd w:val="0"/>
        <w:snapToGrid w:val="0"/>
        <w:spacing w:line="360" w:lineRule="auto"/>
        <w:jc w:val="center"/>
        <w:rPr>
          <w:rFonts w:hint="default" w:ascii="Times New Roman" w:hAnsi="Times New Roman" w:eastAsia="黑体" w:cs="Times New Roman"/>
          <w:color w:val="auto"/>
          <w:sz w:val="32"/>
          <w:szCs w:val="32"/>
        </w:rPr>
      </w:pPr>
    </w:p>
    <w:p w14:paraId="319BCFBC">
      <w:pPr>
        <w:adjustRightInd w:val="0"/>
        <w:snapToGrid w:val="0"/>
        <w:spacing w:line="360" w:lineRule="auto"/>
        <w:jc w:val="center"/>
        <w:rPr>
          <w:rFonts w:hint="default" w:ascii="Times New Roman" w:hAnsi="Times New Roman" w:eastAsia="黑体" w:cs="Times New Roman"/>
          <w:color w:val="auto"/>
          <w:sz w:val="32"/>
          <w:szCs w:val="32"/>
        </w:rPr>
      </w:pPr>
    </w:p>
    <w:p w14:paraId="2DA61A06">
      <w:pPr>
        <w:pStyle w:val="22"/>
        <w:adjustRightInd w:val="0"/>
        <w:snapToGrid w:val="0"/>
        <w:spacing w:line="360" w:lineRule="auto"/>
        <w:jc w:val="center"/>
        <w:rPr>
          <w:rFonts w:hint="default" w:ascii="Times New Roman" w:hAnsi="Times New Roman" w:eastAsia="华文中宋" w:cs="Times New Roman"/>
          <w:bCs/>
          <w:color w:val="auto"/>
          <w:sz w:val="72"/>
          <w:szCs w:val="72"/>
        </w:rPr>
      </w:pPr>
      <w:r>
        <w:rPr>
          <w:rFonts w:hint="default" w:ascii="Times New Roman" w:hAnsi="Times New Roman" w:eastAsia="华文中宋" w:cs="Times New Roman"/>
          <w:bCs/>
          <w:color w:val="auto"/>
          <w:sz w:val="72"/>
          <w:szCs w:val="72"/>
        </w:rPr>
        <w:t>政府采购</w:t>
      </w:r>
    </w:p>
    <w:p w14:paraId="3627E029">
      <w:pPr>
        <w:adjustRightInd w:val="0"/>
        <w:snapToGrid w:val="0"/>
        <w:spacing w:line="360" w:lineRule="auto"/>
        <w:jc w:val="center"/>
        <w:rPr>
          <w:rFonts w:hint="default" w:ascii="Times New Roman" w:hAnsi="Times New Roman" w:cs="Times New Roman" w:eastAsiaTheme="minorEastAsia"/>
          <w:b/>
          <w:bCs/>
          <w:color w:val="auto"/>
          <w:sz w:val="84"/>
          <w:szCs w:val="84"/>
        </w:rPr>
      </w:pPr>
      <w:r>
        <w:rPr>
          <w:rFonts w:hint="default" w:ascii="Times New Roman" w:hAnsi="Times New Roman" w:cs="Times New Roman" w:eastAsiaTheme="minorEastAsia"/>
          <w:b/>
          <w:bCs/>
          <w:color w:val="auto"/>
          <w:sz w:val="84"/>
          <w:szCs w:val="84"/>
        </w:rPr>
        <w:t>投 标 文 件</w:t>
      </w:r>
    </w:p>
    <w:p w14:paraId="4CE463B9">
      <w:pPr>
        <w:pStyle w:val="4"/>
        <w:adjustRightInd w:val="0"/>
        <w:snapToGrid w:val="0"/>
        <w:jc w:val="center"/>
        <w:rPr>
          <w:rFonts w:hint="default" w:ascii="Times New Roman" w:hAnsi="Times New Roman" w:eastAsia="黑体" w:cs="Times New Roman"/>
          <w:color w:val="auto"/>
          <w:sz w:val="44"/>
          <w:szCs w:val="44"/>
        </w:rPr>
      </w:pPr>
      <w:bookmarkStart w:id="184" w:name="_Toc29913960"/>
      <w:bookmarkStart w:id="185" w:name="_Toc18869"/>
      <w:bookmarkStart w:id="186" w:name="_Toc10663"/>
      <w:r>
        <w:rPr>
          <w:rFonts w:hint="default" w:ascii="Times New Roman" w:hAnsi="Times New Roman" w:eastAsia="黑体" w:cs="Times New Roman"/>
          <w:color w:val="auto"/>
          <w:sz w:val="44"/>
          <w:szCs w:val="44"/>
        </w:rPr>
        <w:t>第二部分 商务技术文件</w:t>
      </w:r>
      <w:bookmarkEnd w:id="184"/>
      <w:bookmarkEnd w:id="185"/>
      <w:bookmarkEnd w:id="186"/>
    </w:p>
    <w:p w14:paraId="212EB07F">
      <w:pPr>
        <w:adjustRightInd w:val="0"/>
        <w:snapToGrid w:val="0"/>
        <w:spacing w:line="360" w:lineRule="auto"/>
        <w:rPr>
          <w:rFonts w:hint="default" w:ascii="Times New Roman" w:hAnsi="Times New Roman" w:cs="Times New Roman" w:eastAsiaTheme="minorEastAsia"/>
          <w:color w:val="auto"/>
          <w:sz w:val="32"/>
          <w:szCs w:val="32"/>
        </w:rPr>
      </w:pPr>
    </w:p>
    <w:p w14:paraId="545EA743">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rPr>
      </w:pPr>
    </w:p>
    <w:p w14:paraId="3CF4FB12">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采购项目名称：</w:t>
      </w:r>
    </w:p>
    <w:p w14:paraId="21CF22B2">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rPr>
      </w:pPr>
      <w:r>
        <w:rPr>
          <w:rFonts w:hint="default" w:ascii="Times New Roman" w:hAnsi="Times New Roman" w:cs="Times New Roman" w:eastAsiaTheme="minorEastAsia"/>
          <w:b/>
          <w:bCs/>
          <w:color w:val="auto"/>
          <w:sz w:val="30"/>
          <w:szCs w:val="30"/>
        </w:rPr>
        <w:t>采   购   人：</w:t>
      </w:r>
    </w:p>
    <w:p w14:paraId="6BDC7DD3">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政府采购编号：</w:t>
      </w:r>
    </w:p>
    <w:p w14:paraId="3F5DE520">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采购代理编号：</w:t>
      </w:r>
    </w:p>
    <w:p w14:paraId="5ACB1B67">
      <w:pPr>
        <w:pStyle w:val="22"/>
        <w:adjustRightInd w:val="0"/>
        <w:snapToGrid w:val="0"/>
        <w:spacing w:line="360" w:lineRule="auto"/>
        <w:ind w:firstLine="1988" w:firstLineChars="660"/>
        <w:rPr>
          <w:rFonts w:hint="default" w:ascii="Times New Roman" w:hAnsi="Times New Roman" w:cs="Times New Roman" w:eastAsiaTheme="minorEastAsia"/>
          <w:b/>
          <w:bCs/>
          <w:color w:val="auto"/>
          <w:sz w:val="30"/>
          <w:szCs w:val="30"/>
          <w:u w:val="single"/>
        </w:rPr>
      </w:pPr>
      <w:r>
        <w:rPr>
          <w:rFonts w:hint="default" w:ascii="Times New Roman" w:hAnsi="Times New Roman" w:cs="Times New Roman" w:eastAsiaTheme="minorEastAsia"/>
          <w:b/>
          <w:bCs/>
          <w:color w:val="auto"/>
          <w:sz w:val="30"/>
          <w:szCs w:val="30"/>
        </w:rPr>
        <w:t>采购代理机构：</w:t>
      </w:r>
    </w:p>
    <w:p w14:paraId="5FA0E97F">
      <w:pPr>
        <w:adjustRightInd w:val="0"/>
        <w:snapToGrid w:val="0"/>
        <w:spacing w:line="360" w:lineRule="auto"/>
        <w:rPr>
          <w:rFonts w:hint="default" w:ascii="Times New Roman" w:hAnsi="Times New Roman" w:cs="Times New Roman" w:eastAsiaTheme="minorEastAsia"/>
          <w:color w:val="auto"/>
          <w:sz w:val="30"/>
          <w:szCs w:val="30"/>
        </w:rPr>
      </w:pPr>
    </w:p>
    <w:p w14:paraId="2AE74C54">
      <w:pPr>
        <w:adjustRightInd w:val="0"/>
        <w:snapToGrid w:val="0"/>
        <w:spacing w:line="360" w:lineRule="auto"/>
        <w:rPr>
          <w:rFonts w:hint="default" w:ascii="Times New Roman" w:hAnsi="Times New Roman" w:cs="Times New Roman" w:eastAsiaTheme="minorEastAsia"/>
          <w:color w:val="auto"/>
          <w:sz w:val="30"/>
          <w:szCs w:val="30"/>
        </w:rPr>
      </w:pPr>
    </w:p>
    <w:p w14:paraId="561FBB12">
      <w:pPr>
        <w:adjustRightInd w:val="0"/>
        <w:snapToGrid w:val="0"/>
        <w:spacing w:line="360" w:lineRule="auto"/>
        <w:rPr>
          <w:rFonts w:hint="default" w:ascii="Times New Roman" w:hAnsi="Times New Roman" w:cs="Times New Roman" w:eastAsiaTheme="minorEastAsia"/>
          <w:color w:val="auto"/>
          <w:sz w:val="30"/>
          <w:szCs w:val="30"/>
        </w:rPr>
      </w:pPr>
    </w:p>
    <w:p w14:paraId="639CC982">
      <w:pPr>
        <w:adjustRightInd w:val="0"/>
        <w:snapToGrid w:val="0"/>
        <w:spacing w:line="360" w:lineRule="auto"/>
        <w:rPr>
          <w:rFonts w:hint="default" w:ascii="Times New Roman" w:hAnsi="Times New Roman" w:cs="Times New Roman" w:eastAsiaTheme="minorEastAsia"/>
          <w:color w:val="auto"/>
          <w:sz w:val="30"/>
          <w:szCs w:val="30"/>
        </w:rPr>
      </w:pPr>
    </w:p>
    <w:p w14:paraId="53E22A1F">
      <w:pPr>
        <w:adjustRightInd w:val="0"/>
        <w:snapToGrid w:val="0"/>
        <w:spacing w:line="360" w:lineRule="auto"/>
        <w:ind w:left="1273" w:leftChars="606" w:firstLine="2"/>
        <w:rPr>
          <w:rFonts w:hint="default" w:ascii="Times New Roman" w:hAnsi="Times New Roman" w:cs="Times New Roman" w:eastAsiaTheme="minorEastAsia"/>
          <w:color w:val="auto"/>
          <w:sz w:val="32"/>
          <w:szCs w:val="32"/>
          <w:u w:val="single"/>
        </w:rPr>
      </w:pPr>
      <w:r>
        <w:rPr>
          <w:rFonts w:hint="default" w:ascii="Times New Roman" w:hAnsi="Times New Roman" w:cs="Times New Roman" w:eastAsiaTheme="minorEastAsia"/>
          <w:color w:val="auto"/>
          <w:sz w:val="32"/>
          <w:szCs w:val="32"/>
        </w:rPr>
        <w:t>投标人</w:t>
      </w:r>
    </w:p>
    <w:p w14:paraId="2E36A264">
      <w:pPr>
        <w:adjustRightInd w:val="0"/>
        <w:snapToGrid w:val="0"/>
        <w:spacing w:line="360" w:lineRule="auto"/>
        <w:jc w:val="center"/>
        <w:rPr>
          <w:rFonts w:hint="default" w:ascii="Times New Roman" w:hAnsi="Times New Roman" w:cs="Times New Roman" w:eastAsiaTheme="minorEastAsia"/>
          <w:color w:val="auto"/>
          <w:sz w:val="32"/>
          <w:szCs w:val="32"/>
        </w:rPr>
      </w:pPr>
      <w:r>
        <w:rPr>
          <w:rFonts w:hint="default" w:ascii="Times New Roman" w:hAnsi="Times New Roman" w:cs="Times New Roman" w:eastAsiaTheme="minorEastAsia"/>
          <w:color w:val="auto"/>
          <w:sz w:val="32"/>
          <w:szCs w:val="32"/>
        </w:rPr>
        <w:t>年  月  日</w:t>
      </w:r>
    </w:p>
    <w:p w14:paraId="6F673457">
      <w:pPr>
        <w:rPr>
          <w:rFonts w:hint="default" w:ascii="Times New Roman" w:hAnsi="Times New Roman" w:eastAsia="黑体" w:cs="Times New Roman"/>
          <w:color w:val="auto"/>
          <w:sz w:val="28"/>
          <w:szCs w:val="28"/>
        </w:rPr>
      </w:pPr>
      <w:bookmarkStart w:id="187" w:name="_Toc9352"/>
      <w:bookmarkStart w:id="188" w:name="_Toc29913961"/>
      <w:bookmarkStart w:id="189" w:name="_Toc17412"/>
      <w:r>
        <w:rPr>
          <w:rFonts w:hint="default" w:ascii="Times New Roman" w:hAnsi="Times New Roman" w:eastAsia="黑体" w:cs="Times New Roman"/>
          <w:color w:val="auto"/>
          <w:sz w:val="28"/>
          <w:szCs w:val="28"/>
        </w:rPr>
        <w:br w:type="page"/>
      </w:r>
    </w:p>
    <w:p w14:paraId="5929BA0E">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五、投标函</w:t>
      </w:r>
      <w:bookmarkEnd w:id="187"/>
      <w:bookmarkEnd w:id="188"/>
      <w:bookmarkEnd w:id="189"/>
    </w:p>
    <w:p w14:paraId="7C592AC7">
      <w:pPr>
        <w:adjustRightInd w:val="0"/>
        <w:snapToGrid w:val="0"/>
        <w:spacing w:beforeLines="50"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致：（采购人、采购代理机构）：</w:t>
      </w:r>
    </w:p>
    <w:p w14:paraId="18F0B33B">
      <w:pPr>
        <w:adjustRightInd w:val="0"/>
        <w:snapToGrid w:val="0"/>
        <w:spacing w:beforeLines="50" w:line="360" w:lineRule="auto"/>
        <w:ind w:firstLine="435"/>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根据贵方为</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（项目名称）的投标邀请（</w:t>
      </w:r>
      <w:r>
        <w:rPr>
          <w:rFonts w:hint="default" w:ascii="Times New Roman" w:hAnsi="Times New Roman" w:cs="Times New Roman" w:eastAsiaTheme="minorEastAsia"/>
          <w:color w:val="auto"/>
        </w:rPr>
        <w:t>政府</w:t>
      </w:r>
      <w:r>
        <w:rPr>
          <w:rFonts w:hint="default" w:ascii="Times New Roman" w:hAnsi="Times New Roman" w:cs="Times New Roman" w:eastAsiaTheme="minorEastAsia"/>
          <w:iCs/>
          <w:color w:val="auto"/>
        </w:rPr>
        <w:t>采购编号：</w:t>
      </w:r>
      <w:r>
        <w:rPr>
          <w:rFonts w:hint="default" w:ascii="Times New Roman" w:hAnsi="Times New Roman" w:cs="Times New Roman" w:eastAsiaTheme="minorEastAsia"/>
          <w:iCs/>
          <w:color w:val="auto"/>
          <w:u w:val="single"/>
        </w:rPr>
        <w:t xml:space="preserve">   </w:t>
      </w:r>
      <w:r>
        <w:rPr>
          <w:rFonts w:hint="default" w:ascii="Times New Roman" w:hAnsi="Times New Roman" w:cs="Times New Roman" w:eastAsiaTheme="minorEastAsia"/>
          <w:iCs/>
          <w:color w:val="auto"/>
        </w:rPr>
        <w:t>，</w:t>
      </w:r>
      <w:r>
        <w:rPr>
          <w:rFonts w:hint="default" w:ascii="Times New Roman" w:hAnsi="Times New Roman" w:cs="Times New Roman" w:eastAsiaTheme="minorEastAsia"/>
          <w:color w:val="auto"/>
          <w:szCs w:val="21"/>
        </w:rPr>
        <w:t>采购代理编号</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），签字代表</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（姓名、职务）经正式授权并代表投标人</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（投标人名称）提交包含下述内容的电子投标文件一份至郴州市公共资源交易中心政府采购电子交易系统，参加项目第包投标，并在此声明，所递交的投标文件内容合法、完整、真实。</w:t>
      </w:r>
    </w:p>
    <w:p w14:paraId="09D857AF">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第一部分 资格证明文件</w:t>
      </w:r>
    </w:p>
    <w:p w14:paraId="1A2CAFF5">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一、开标一览表</w:t>
      </w:r>
    </w:p>
    <w:p w14:paraId="2505F595">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二、法定代表人（单位负责人）身份证明或授权委托书</w:t>
      </w:r>
    </w:p>
    <w:p w14:paraId="09A3C7ED">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三、投标人提供的资格证明文件</w:t>
      </w:r>
    </w:p>
    <w:p w14:paraId="0207DC0B">
      <w:pPr>
        <w:adjustRightInd w:val="0"/>
        <w:snapToGrid w:val="0"/>
        <w:spacing w:beforeLines="50" w:line="360" w:lineRule="auto"/>
        <w:ind w:firstLine="422"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第二部分 商务技术文件</w:t>
      </w:r>
    </w:p>
    <w:p w14:paraId="6B1F3C0C">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四、投标函</w:t>
      </w:r>
    </w:p>
    <w:p w14:paraId="369CD569">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五、分项报价</w:t>
      </w:r>
    </w:p>
    <w:p w14:paraId="213DDB1B">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六、采购需求响应</w:t>
      </w:r>
    </w:p>
    <w:p w14:paraId="05A90F74">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七、合同条款偏离表</w:t>
      </w:r>
    </w:p>
    <w:p w14:paraId="18CAAD06">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八、采购需求偏离表</w:t>
      </w:r>
    </w:p>
    <w:p w14:paraId="6C6FD4FE">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九、享受政府采购政策优惠的证明资料</w:t>
      </w:r>
    </w:p>
    <w:p w14:paraId="7575BC9B">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十、投标服务符合招标文件规定的证明文件</w:t>
      </w:r>
    </w:p>
    <w:p w14:paraId="3A34B992">
      <w:pPr>
        <w:adjustRightInd w:val="0"/>
        <w:snapToGrid w:val="0"/>
        <w:spacing w:beforeLines="50" w:line="360" w:lineRule="auto"/>
        <w:ind w:firstLine="630" w:firstLineChars="3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十一、投标人认为需提供的其他资料</w:t>
      </w:r>
    </w:p>
    <w:p w14:paraId="1A124F75">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在此，签字代表宣布同意如下：</w:t>
      </w:r>
    </w:p>
    <w:p w14:paraId="70359C05">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1、投标人严格按照招标文件的规定报价，见《开标一览表》。</w:t>
      </w:r>
    </w:p>
    <w:p w14:paraId="3FDB0DCC">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2、投标人将按招标文件的规定履行合同责任和义务。</w:t>
      </w:r>
    </w:p>
    <w:p w14:paraId="3862C95C">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3、投标人已详细审查招标文件。我们完全理解并同意放弃对这方面有不明及误解的权力。</w:t>
      </w:r>
    </w:p>
    <w:p w14:paraId="1FB8A5DA">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Cs w:val="21"/>
        </w:rPr>
        <w:t>4、本投标有效期为自招标文件规定的提交投标文件截止之日起个</w:t>
      </w:r>
      <w:r>
        <w:rPr>
          <w:rFonts w:hint="default" w:ascii="Times New Roman" w:hAnsi="Times New Roman" w:cs="Times New Roman" w:eastAsiaTheme="minorEastAsia"/>
          <w:color w:val="auto"/>
          <w:szCs w:val="21"/>
          <w:u w:val="single"/>
        </w:rPr>
        <w:t xml:space="preserve">    </w:t>
      </w:r>
      <w:r>
        <w:rPr>
          <w:rFonts w:hint="default" w:ascii="Times New Roman" w:hAnsi="Times New Roman" w:cs="Times New Roman" w:eastAsiaTheme="minorEastAsia"/>
          <w:color w:val="auto"/>
          <w:szCs w:val="21"/>
        </w:rPr>
        <w:t>日历日。在投标有效期内，</w:t>
      </w:r>
      <w:r>
        <w:rPr>
          <w:rFonts w:hint="default" w:ascii="Times New Roman" w:hAnsi="Times New Roman" w:cs="Times New Roman" w:eastAsiaTheme="minorEastAsia"/>
          <w:color w:val="auto"/>
        </w:rPr>
        <w:t>投标人同意遵守本</w:t>
      </w:r>
      <w:r>
        <w:rPr>
          <w:rFonts w:hint="default" w:ascii="Times New Roman" w:hAnsi="Times New Roman" w:cs="Times New Roman" w:eastAsiaTheme="minorEastAsia"/>
          <w:color w:val="auto"/>
          <w:szCs w:val="21"/>
        </w:rPr>
        <w:t>投标</w:t>
      </w:r>
      <w:r>
        <w:rPr>
          <w:rFonts w:hint="default" w:ascii="Times New Roman" w:hAnsi="Times New Roman" w:cs="Times New Roman" w:eastAsiaTheme="minorEastAsia"/>
          <w:color w:val="auto"/>
        </w:rPr>
        <w:t>文件中的承诺且在此期限期满之前</w:t>
      </w:r>
      <w:r>
        <w:rPr>
          <w:rFonts w:hint="default" w:ascii="Times New Roman" w:hAnsi="Times New Roman" w:cs="Times New Roman" w:eastAsiaTheme="minorEastAsia"/>
          <w:color w:val="auto"/>
          <w:szCs w:val="21"/>
        </w:rPr>
        <w:t>投标</w:t>
      </w:r>
      <w:r>
        <w:rPr>
          <w:rFonts w:hint="default" w:ascii="Times New Roman" w:hAnsi="Times New Roman" w:cs="Times New Roman" w:eastAsiaTheme="minorEastAsia"/>
          <w:color w:val="auto"/>
        </w:rPr>
        <w:t>文件</w:t>
      </w:r>
      <w:r>
        <w:rPr>
          <w:rFonts w:hint="default" w:ascii="Times New Roman" w:hAnsi="Times New Roman" w:cs="Times New Roman" w:eastAsiaTheme="minorEastAsia"/>
          <w:color w:val="auto"/>
          <w:szCs w:val="21"/>
        </w:rPr>
        <w:t>对我方具有法律约束力</w:t>
      </w:r>
      <w:r>
        <w:rPr>
          <w:rFonts w:hint="default" w:ascii="Times New Roman" w:hAnsi="Times New Roman" w:cs="Times New Roman" w:eastAsiaTheme="minorEastAsia"/>
          <w:color w:val="auto"/>
        </w:rPr>
        <w:t>。</w:t>
      </w:r>
    </w:p>
    <w:p w14:paraId="7586CDEF">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5、</w:t>
      </w:r>
      <w:r>
        <w:rPr>
          <w:rFonts w:hint="default" w:ascii="Times New Roman" w:hAnsi="Times New Roman" w:cs="Times New Roman" w:eastAsiaTheme="minorEastAsia"/>
          <w:color w:val="auto"/>
          <w:szCs w:val="21"/>
        </w:rPr>
        <w:t>同意提供贵方可能要求的与其投标有关的一切数据或资料。</w:t>
      </w:r>
    </w:p>
    <w:p w14:paraId="3F1C2237">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6、与本投标有关的一切正式往来信函请寄：</w:t>
      </w:r>
    </w:p>
    <w:p w14:paraId="7F23F76E">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地址：；邮编： ；电话：；电子邮箱： 。</w:t>
      </w:r>
    </w:p>
    <w:p w14:paraId="22A92484">
      <w:pPr>
        <w:adjustRightInd w:val="0"/>
        <w:snapToGrid w:val="0"/>
        <w:spacing w:beforeLines="50" w:line="360" w:lineRule="auto"/>
        <w:ind w:firstLine="420" w:firstLineChars="200"/>
        <w:rPr>
          <w:rFonts w:hint="default" w:ascii="Times New Roman" w:hAnsi="Times New Roman" w:cs="Times New Roman" w:eastAsiaTheme="minorEastAsia"/>
          <w:color w:val="auto"/>
          <w:szCs w:val="21"/>
        </w:rPr>
      </w:pPr>
    </w:p>
    <w:p w14:paraId="210E4401">
      <w:pPr>
        <w:pStyle w:val="22"/>
        <w:adjustRightInd w:val="0"/>
        <w:snapToGrid w:val="0"/>
        <w:spacing w:beforeLines="50" w:line="360" w:lineRule="auto"/>
        <w:rPr>
          <w:rFonts w:hint="default" w:ascii="Times New Roman" w:hAnsi="Times New Roman" w:cs="Times New Roman" w:eastAsiaTheme="minorEastAsia"/>
          <w:color w:val="auto"/>
        </w:rPr>
      </w:pPr>
    </w:p>
    <w:p w14:paraId="7C2E9424">
      <w:pPr>
        <w:pStyle w:val="22"/>
        <w:adjustRightInd w:val="0"/>
        <w:snapToGrid w:val="0"/>
        <w:spacing w:beforeLines="50" w:line="360" w:lineRule="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 xml:space="preserve">投标人名称（盖单位电子章）：                       </w:t>
      </w:r>
    </w:p>
    <w:p w14:paraId="2CEB3317">
      <w:pPr>
        <w:adjustRightInd w:val="0"/>
        <w:snapToGrid w:val="0"/>
        <w:spacing w:beforeLines="50" w:line="360" w:lineRule="auto"/>
        <w:rPr>
          <w:rFonts w:hint="default" w:ascii="Times New Roman" w:hAnsi="Times New Roman" w:cs="Times New Roman" w:eastAsiaTheme="minorEastAsia"/>
          <w:color w:val="auto"/>
          <w:szCs w:val="21"/>
          <w:u w:val="single"/>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eastAsiaTheme="minorEastAsia"/>
          <w:color w:val="auto"/>
          <w:szCs w:val="21"/>
        </w:rPr>
        <w:t>或其授权的代理人（签字或签章）：</w:t>
      </w:r>
    </w:p>
    <w:p w14:paraId="13111EF4">
      <w:pPr>
        <w:adjustRightInd w:val="0"/>
        <w:snapToGrid w:val="0"/>
        <w:spacing w:beforeLines="50" w:line="360" w:lineRule="auto"/>
        <w:rPr>
          <w:rFonts w:hint="default" w:ascii="Times New Roman" w:hAnsi="Times New Roman" w:eastAsia="黑体" w:cs="Times New Roman"/>
          <w:b/>
          <w:bCs/>
          <w:color w:val="auto"/>
          <w:sz w:val="28"/>
          <w:szCs w:val="28"/>
        </w:rPr>
      </w:pPr>
      <w:r>
        <w:rPr>
          <w:rFonts w:hint="default" w:ascii="Times New Roman" w:hAnsi="Times New Roman" w:cs="Times New Roman" w:eastAsiaTheme="minorEastAsia"/>
          <w:color w:val="auto"/>
          <w:szCs w:val="21"/>
        </w:rPr>
        <w:t>日期：年月日</w:t>
      </w:r>
      <w:r>
        <w:rPr>
          <w:rFonts w:hint="default" w:ascii="Times New Roman" w:hAnsi="Times New Roman" w:eastAsia="黑体" w:cs="Times New Roman"/>
          <w:b/>
          <w:bCs/>
          <w:color w:val="auto"/>
          <w:sz w:val="28"/>
          <w:szCs w:val="28"/>
        </w:rPr>
        <w:br w:type="page"/>
      </w:r>
    </w:p>
    <w:p w14:paraId="1172E7AC">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190" w:name="_Toc8157"/>
      <w:bookmarkStart w:id="191" w:name="_Toc29913962"/>
      <w:bookmarkStart w:id="192" w:name="_Toc11138"/>
      <w:r>
        <w:rPr>
          <w:rFonts w:hint="default" w:ascii="Times New Roman" w:hAnsi="Times New Roman" w:eastAsia="黑体" w:cs="Times New Roman"/>
          <w:color w:val="auto"/>
          <w:sz w:val="28"/>
          <w:szCs w:val="28"/>
        </w:rPr>
        <w:t>六、分项报价</w:t>
      </w:r>
      <w:bookmarkEnd w:id="190"/>
      <w:bookmarkEnd w:id="191"/>
      <w:bookmarkEnd w:id="192"/>
    </w:p>
    <w:p w14:paraId="3374841B">
      <w:pPr>
        <w:pStyle w:val="6"/>
        <w:jc w:val="left"/>
        <w:rPr>
          <w:rFonts w:hint="default" w:ascii="Times New Roman" w:hAnsi="Times New Roman" w:cs="Times New Roman"/>
          <w:b w:val="0"/>
          <w:color w:val="auto"/>
          <w:kern w:val="0"/>
          <w:sz w:val="21"/>
          <w:szCs w:val="21"/>
        </w:rPr>
      </w:pPr>
      <w:bookmarkStart w:id="193" w:name="_Toc11318"/>
      <w:bookmarkStart w:id="194" w:name="_Toc2213"/>
      <w:bookmarkStart w:id="195" w:name="_Toc29913963"/>
      <w:r>
        <w:rPr>
          <w:rFonts w:hint="default" w:ascii="Times New Roman" w:hAnsi="Times New Roman" w:cs="Times New Roman"/>
          <w:b w:val="0"/>
          <w:bCs w:val="0"/>
          <w:color w:val="auto"/>
          <w:spacing w:val="6"/>
          <w:kern w:val="0"/>
          <w:sz w:val="21"/>
          <w:szCs w:val="21"/>
        </w:rPr>
        <w:t xml:space="preserve">附件6-1 </w:t>
      </w:r>
      <w:r>
        <w:rPr>
          <w:rFonts w:hint="default" w:ascii="Times New Roman" w:hAnsi="Times New Roman" w:cs="Times New Roman"/>
          <w:b w:val="0"/>
          <w:color w:val="auto"/>
          <w:spacing w:val="-2"/>
          <w:kern w:val="0"/>
          <w:sz w:val="21"/>
          <w:szCs w:val="21"/>
        </w:rPr>
        <w:t>分</w:t>
      </w:r>
      <w:r>
        <w:rPr>
          <w:rFonts w:hint="default" w:ascii="Times New Roman" w:hAnsi="Times New Roman" w:cs="Times New Roman"/>
          <w:b w:val="0"/>
          <w:color w:val="auto"/>
          <w:kern w:val="0"/>
          <w:sz w:val="21"/>
          <w:szCs w:val="21"/>
        </w:rPr>
        <w:t>项</w:t>
      </w:r>
      <w:r>
        <w:rPr>
          <w:rFonts w:hint="default" w:ascii="Times New Roman" w:hAnsi="Times New Roman" w:cs="Times New Roman"/>
          <w:b w:val="0"/>
          <w:color w:val="auto"/>
          <w:spacing w:val="-2"/>
          <w:kern w:val="0"/>
          <w:sz w:val="21"/>
          <w:szCs w:val="21"/>
        </w:rPr>
        <w:t>报</w:t>
      </w:r>
      <w:r>
        <w:rPr>
          <w:rFonts w:hint="default" w:ascii="Times New Roman" w:hAnsi="Times New Roman" w:cs="Times New Roman"/>
          <w:b w:val="0"/>
          <w:color w:val="auto"/>
          <w:kern w:val="0"/>
          <w:sz w:val="21"/>
          <w:szCs w:val="21"/>
        </w:rPr>
        <w:t>价说明</w:t>
      </w:r>
      <w:bookmarkEnd w:id="193"/>
      <w:bookmarkEnd w:id="194"/>
      <w:bookmarkEnd w:id="195"/>
    </w:p>
    <w:p w14:paraId="55C61BBC">
      <w:pPr>
        <w:autoSpaceDE w:val="0"/>
        <w:autoSpaceDN w:val="0"/>
        <w:adjustRightInd w:val="0"/>
        <w:snapToGrid w:val="0"/>
        <w:spacing w:line="360" w:lineRule="auto"/>
        <w:jc w:val="center"/>
        <w:rPr>
          <w:rFonts w:hint="default" w:ascii="Times New Roman" w:hAnsi="Times New Roman" w:eastAsia="黑体" w:cs="Times New Roman"/>
          <w:b/>
          <w:color w:val="auto"/>
          <w:kern w:val="0"/>
          <w:sz w:val="28"/>
          <w:szCs w:val="28"/>
        </w:rPr>
      </w:pPr>
      <w:r>
        <w:rPr>
          <w:rFonts w:hint="default" w:ascii="Times New Roman" w:hAnsi="Times New Roman" w:eastAsia="黑体" w:cs="Times New Roman"/>
          <w:b/>
          <w:color w:val="auto"/>
          <w:spacing w:val="-2"/>
          <w:kern w:val="0"/>
          <w:sz w:val="28"/>
          <w:szCs w:val="28"/>
        </w:rPr>
        <w:t>分</w:t>
      </w:r>
      <w:r>
        <w:rPr>
          <w:rFonts w:hint="default" w:ascii="Times New Roman" w:hAnsi="Times New Roman" w:eastAsia="黑体" w:cs="Times New Roman"/>
          <w:b/>
          <w:color w:val="auto"/>
          <w:kern w:val="0"/>
          <w:sz w:val="28"/>
          <w:szCs w:val="28"/>
        </w:rPr>
        <w:t>项</w:t>
      </w:r>
      <w:r>
        <w:rPr>
          <w:rFonts w:hint="default" w:ascii="Times New Roman" w:hAnsi="Times New Roman" w:eastAsia="黑体" w:cs="Times New Roman"/>
          <w:b/>
          <w:color w:val="auto"/>
          <w:spacing w:val="-2"/>
          <w:kern w:val="0"/>
          <w:sz w:val="28"/>
          <w:szCs w:val="28"/>
        </w:rPr>
        <w:t>报</w:t>
      </w:r>
      <w:r>
        <w:rPr>
          <w:rFonts w:hint="default" w:ascii="Times New Roman" w:hAnsi="Times New Roman" w:eastAsia="黑体" w:cs="Times New Roman"/>
          <w:b/>
          <w:color w:val="auto"/>
          <w:kern w:val="0"/>
          <w:sz w:val="28"/>
          <w:szCs w:val="28"/>
        </w:rPr>
        <w:t>价说明</w:t>
      </w:r>
    </w:p>
    <w:p w14:paraId="32BB4EF9">
      <w:pPr>
        <w:autoSpaceDE w:val="0"/>
        <w:autoSpaceDN w:val="0"/>
        <w:adjustRightInd w:val="0"/>
        <w:snapToGrid w:val="0"/>
        <w:spacing w:line="360" w:lineRule="auto"/>
        <w:jc w:val="left"/>
        <w:rPr>
          <w:rFonts w:hint="default" w:ascii="Times New Roman" w:hAnsi="Times New Roman" w:cs="Times New Roman"/>
          <w:color w:val="auto"/>
        </w:rPr>
      </w:pPr>
      <w:r>
        <w:rPr>
          <w:rFonts w:hint="default" w:ascii="Times New Roman" w:hAnsi="Times New Roman" w:cs="Times New Roman" w:eastAsiaTheme="minorEastAsia"/>
          <w:color w:val="auto"/>
          <w:kern w:val="0"/>
          <w:szCs w:val="21"/>
        </w:rPr>
        <w:t>备注：投标人应按招标文件第二章相关要求，对本节</w:t>
      </w:r>
      <w:r>
        <w:rPr>
          <w:rFonts w:hint="default" w:ascii="Times New Roman" w:hAnsi="Times New Roman" w:cs="Times New Roman" w:eastAsiaTheme="minorEastAsia"/>
          <w:bCs/>
          <w:color w:val="auto"/>
          <w:szCs w:val="21"/>
        </w:rPr>
        <w:t>“</w:t>
      </w:r>
      <w:r>
        <w:rPr>
          <w:rFonts w:hint="default" w:ascii="Times New Roman" w:hAnsi="Times New Roman" w:cs="Times New Roman" w:eastAsiaTheme="minorEastAsia"/>
          <w:color w:val="auto"/>
          <w:kern w:val="0"/>
          <w:szCs w:val="21"/>
        </w:rPr>
        <w:t>分项报价明细表</w:t>
      </w:r>
      <w:r>
        <w:rPr>
          <w:rFonts w:hint="default" w:ascii="Times New Roman" w:hAnsi="Times New Roman" w:cs="Times New Roman" w:eastAsiaTheme="minorEastAsia"/>
          <w:bCs/>
          <w:color w:val="auto"/>
          <w:szCs w:val="21"/>
        </w:rPr>
        <w:t>”进行</w:t>
      </w:r>
      <w:r>
        <w:rPr>
          <w:rFonts w:hint="default" w:ascii="Times New Roman" w:hAnsi="Times New Roman" w:cs="Times New Roman" w:eastAsiaTheme="minorEastAsia"/>
          <w:color w:val="auto"/>
          <w:kern w:val="0"/>
          <w:szCs w:val="21"/>
        </w:rPr>
        <w:t>编制，并说明。</w:t>
      </w:r>
    </w:p>
    <w:p w14:paraId="4EB49EF0">
      <w:pPr>
        <w:pStyle w:val="6"/>
        <w:spacing w:after="0" w:line="377" w:lineRule="auto"/>
        <w:jc w:val="left"/>
        <w:rPr>
          <w:rFonts w:hint="default" w:ascii="Times New Roman" w:hAnsi="Times New Roman" w:cs="Times New Roman"/>
          <w:b w:val="0"/>
          <w:color w:val="auto"/>
          <w:kern w:val="0"/>
          <w:position w:val="-3"/>
          <w:sz w:val="21"/>
          <w:szCs w:val="21"/>
        </w:rPr>
      </w:pPr>
      <w:bookmarkStart w:id="196" w:name="_Toc29913964"/>
      <w:bookmarkStart w:id="197" w:name="_Toc5442"/>
      <w:bookmarkStart w:id="198" w:name="_Toc8675"/>
      <w:r>
        <w:rPr>
          <w:rFonts w:hint="default" w:ascii="Times New Roman" w:hAnsi="Times New Roman" w:cs="Times New Roman"/>
          <w:b w:val="0"/>
          <w:bCs w:val="0"/>
          <w:color w:val="auto"/>
          <w:spacing w:val="6"/>
          <w:kern w:val="0"/>
          <w:sz w:val="21"/>
          <w:szCs w:val="21"/>
        </w:rPr>
        <w:t xml:space="preserve">附件6-2 </w:t>
      </w:r>
      <w:r>
        <w:rPr>
          <w:rFonts w:hint="default" w:ascii="Times New Roman" w:hAnsi="Times New Roman" w:cs="Times New Roman"/>
          <w:b w:val="0"/>
          <w:color w:val="auto"/>
          <w:spacing w:val="-2"/>
          <w:kern w:val="0"/>
          <w:position w:val="-3"/>
          <w:sz w:val="21"/>
          <w:szCs w:val="21"/>
        </w:rPr>
        <w:t>分</w:t>
      </w:r>
      <w:r>
        <w:rPr>
          <w:rFonts w:hint="default" w:ascii="Times New Roman" w:hAnsi="Times New Roman" w:cs="Times New Roman"/>
          <w:b w:val="0"/>
          <w:color w:val="auto"/>
          <w:kern w:val="0"/>
          <w:position w:val="-3"/>
          <w:sz w:val="21"/>
          <w:szCs w:val="21"/>
        </w:rPr>
        <w:t>项</w:t>
      </w:r>
      <w:r>
        <w:rPr>
          <w:rFonts w:hint="default" w:ascii="Times New Roman" w:hAnsi="Times New Roman" w:cs="Times New Roman"/>
          <w:b w:val="0"/>
          <w:color w:val="auto"/>
          <w:spacing w:val="-2"/>
          <w:kern w:val="0"/>
          <w:position w:val="-3"/>
          <w:sz w:val="21"/>
          <w:szCs w:val="21"/>
        </w:rPr>
        <w:t>报</w:t>
      </w:r>
      <w:r>
        <w:rPr>
          <w:rFonts w:hint="default" w:ascii="Times New Roman" w:hAnsi="Times New Roman" w:cs="Times New Roman"/>
          <w:b w:val="0"/>
          <w:color w:val="auto"/>
          <w:kern w:val="0"/>
          <w:position w:val="-3"/>
          <w:sz w:val="21"/>
          <w:szCs w:val="21"/>
        </w:rPr>
        <w:t>价明细表</w:t>
      </w:r>
      <w:bookmarkEnd w:id="196"/>
      <w:bookmarkEnd w:id="197"/>
    </w:p>
    <w:p w14:paraId="7C4E0A12">
      <w:pPr>
        <w:pStyle w:val="6"/>
        <w:spacing w:after="0" w:line="377" w:lineRule="auto"/>
        <w:jc w:val="center"/>
        <w:rPr>
          <w:rFonts w:hint="default" w:ascii="Times New Roman" w:hAnsi="Times New Roman" w:cs="Times New Roman"/>
          <w:b w:val="0"/>
          <w:color w:val="auto"/>
          <w:kern w:val="0"/>
          <w:position w:val="-3"/>
        </w:rPr>
      </w:pPr>
      <w:bookmarkStart w:id="199" w:name="_Toc9871"/>
      <w:r>
        <w:rPr>
          <w:rFonts w:hint="default" w:ascii="Times New Roman" w:hAnsi="Times New Roman" w:cs="Times New Roman"/>
          <w:color w:val="auto"/>
          <w:spacing w:val="-2"/>
          <w:kern w:val="0"/>
          <w:position w:val="-3"/>
        </w:rPr>
        <w:t>分</w:t>
      </w:r>
      <w:r>
        <w:rPr>
          <w:rFonts w:hint="default" w:ascii="Times New Roman" w:hAnsi="Times New Roman" w:cs="Times New Roman"/>
          <w:color w:val="auto"/>
          <w:kern w:val="0"/>
          <w:position w:val="-3"/>
        </w:rPr>
        <w:t>项</w:t>
      </w:r>
      <w:r>
        <w:rPr>
          <w:rFonts w:hint="default" w:ascii="Times New Roman" w:hAnsi="Times New Roman" w:cs="Times New Roman"/>
          <w:color w:val="auto"/>
          <w:spacing w:val="-2"/>
          <w:kern w:val="0"/>
          <w:position w:val="-3"/>
        </w:rPr>
        <w:t>报</w:t>
      </w:r>
      <w:r>
        <w:rPr>
          <w:rFonts w:hint="default" w:ascii="Times New Roman" w:hAnsi="Times New Roman" w:cs="Times New Roman"/>
          <w:color w:val="auto"/>
          <w:kern w:val="0"/>
          <w:position w:val="-3"/>
        </w:rPr>
        <w:t>价明细表</w:t>
      </w:r>
      <w:bookmarkEnd w:id="198"/>
      <w:bookmarkEnd w:id="199"/>
    </w:p>
    <w:p w14:paraId="1BEEEE7A">
      <w:pPr>
        <w:adjustRightInd w:val="0"/>
        <w:snapToGrid w:val="0"/>
        <w:spacing w:line="360" w:lineRule="auto"/>
        <w:jc w:val="center"/>
        <w:rPr>
          <w:rFonts w:hint="default" w:ascii="Times New Roman" w:hAnsi="Times New Roman" w:cs="Times New Roman"/>
          <w:color w:val="auto"/>
        </w:rPr>
      </w:pPr>
    </w:p>
    <w:p w14:paraId="072693FD">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采购代理编号：</w:t>
      </w:r>
      <w:r>
        <w:rPr>
          <w:rFonts w:hint="default" w:ascii="Times New Roman" w:hAnsi="Times New Roman" w:cs="Times New Roman" w:eastAsiaTheme="minorEastAsia"/>
          <w:color w:val="auto"/>
          <w:szCs w:val="21"/>
          <w:u w:val="single"/>
        </w:rPr>
        <w:t>__    ________</w:t>
      </w:r>
      <w:r>
        <w:rPr>
          <w:rFonts w:hint="default" w:ascii="Times New Roman" w:hAnsi="Times New Roman" w:cs="Times New Roman" w:eastAsiaTheme="minorEastAsia"/>
          <w:color w:val="auto"/>
          <w:szCs w:val="21"/>
        </w:rPr>
        <w:t xml:space="preserve">                       项目名称：</w:t>
      </w:r>
      <w:r>
        <w:rPr>
          <w:rFonts w:hint="default" w:ascii="Times New Roman" w:hAnsi="Times New Roman" w:cs="Times New Roman" w:eastAsiaTheme="minorEastAsia"/>
          <w:color w:val="auto"/>
          <w:szCs w:val="21"/>
          <w:u w:val="single"/>
        </w:rPr>
        <w:t>____            ______</w:t>
      </w:r>
    </w:p>
    <w:p w14:paraId="6A054DA1">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包号：</w:t>
      </w:r>
      <w:r>
        <w:rPr>
          <w:rFonts w:hint="default" w:ascii="Times New Roman" w:hAnsi="Times New Roman" w:cs="Times New Roman" w:eastAsiaTheme="minorEastAsia"/>
          <w:color w:val="auto"/>
          <w:szCs w:val="21"/>
          <w:u w:val="single"/>
        </w:rPr>
        <w:t xml:space="preserve">__    ________         </w:t>
      </w:r>
      <w:r>
        <w:rPr>
          <w:rFonts w:hint="default" w:ascii="Times New Roman" w:hAnsi="Times New Roman" w:cs="Times New Roman" w:eastAsiaTheme="minorEastAsia"/>
          <w:color w:val="auto"/>
          <w:szCs w:val="21"/>
        </w:rPr>
        <w:t xml:space="preserve">                      包名称：</w:t>
      </w:r>
      <w:r>
        <w:rPr>
          <w:rFonts w:hint="default" w:ascii="Times New Roman" w:hAnsi="Times New Roman" w:cs="Times New Roman" w:eastAsiaTheme="minorEastAsia"/>
          <w:color w:val="auto"/>
          <w:szCs w:val="21"/>
          <w:u w:val="single"/>
        </w:rPr>
        <w:t xml:space="preserve">__    ________  </w:t>
      </w:r>
    </w:p>
    <w:tbl>
      <w:tblPr>
        <w:tblStyle w:val="43"/>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75B3B9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768747A5">
            <w:pPr>
              <w:autoSpaceDE w:val="0"/>
              <w:autoSpaceDN w:val="0"/>
              <w:adjustRightInd w:val="0"/>
              <w:snapToGrid w:val="0"/>
              <w:spacing w:line="360" w:lineRule="auto"/>
              <w:ind w:right="-20"/>
              <w:jc w:val="center"/>
              <w:rPr>
                <w:rFonts w:hint="default" w:ascii="Times New Roman" w:hAnsi="Times New Roman" w:eastAsia="宋体" w:cs="Times New Roman"/>
                <w:color w:val="auto"/>
                <w:kern w:val="0"/>
                <w:position w:val="-1"/>
                <w:szCs w:val="21"/>
              </w:rPr>
            </w:pPr>
            <w:r>
              <w:rPr>
                <w:rFonts w:hint="default" w:ascii="Times New Roman" w:hAnsi="Times New Roman" w:eastAsia="宋体" w:cs="Times New Roman"/>
                <w:color w:val="auto"/>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0A3B8172">
            <w:pPr>
              <w:autoSpaceDE w:val="0"/>
              <w:autoSpaceDN w:val="0"/>
              <w:adjustRightInd w:val="0"/>
              <w:snapToGrid w:val="0"/>
              <w:spacing w:line="360" w:lineRule="auto"/>
              <w:ind w:right="-2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服务内容</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138E1183">
            <w:pPr>
              <w:autoSpaceDE w:val="0"/>
              <w:autoSpaceDN w:val="0"/>
              <w:adjustRightInd w:val="0"/>
              <w:snapToGrid w:val="0"/>
              <w:spacing w:line="360" w:lineRule="auto"/>
              <w:ind w:right="-2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服务周期</w:t>
            </w:r>
          </w:p>
        </w:tc>
        <w:tc>
          <w:tcPr>
            <w:tcW w:w="1092" w:type="dxa"/>
            <w:vMerge w:val="restart"/>
            <w:tcBorders>
              <w:top w:val="double" w:color="auto" w:sz="4" w:space="0"/>
              <w:left w:val="single" w:color="auto" w:sz="6" w:space="0"/>
              <w:right w:val="single" w:color="auto" w:sz="4" w:space="0"/>
            </w:tcBorders>
            <w:vAlign w:val="center"/>
          </w:tcPr>
          <w:p w14:paraId="3BEC1268">
            <w:pPr>
              <w:autoSpaceDE w:val="0"/>
              <w:autoSpaceDN w:val="0"/>
              <w:adjustRightInd w:val="0"/>
              <w:snapToGrid w:val="0"/>
              <w:spacing w:line="360" w:lineRule="auto"/>
              <w:ind w:right="-20"/>
              <w:jc w:val="center"/>
              <w:rPr>
                <w:rFonts w:hint="default" w:ascii="Times New Roman" w:hAnsi="Times New Roman" w:eastAsia="宋体" w:cs="Times New Roman"/>
                <w:color w:val="auto"/>
                <w:kern w:val="0"/>
                <w:position w:val="-1"/>
                <w:szCs w:val="21"/>
              </w:rPr>
            </w:pPr>
            <w:r>
              <w:rPr>
                <w:rFonts w:hint="default" w:ascii="Times New Roman" w:hAnsi="Times New Roman" w:eastAsia="宋体" w:cs="Times New Roman"/>
                <w:color w:val="auto"/>
                <w:kern w:val="0"/>
                <w:szCs w:val="21"/>
              </w:rPr>
              <w:t>数量</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27DC3D5F">
            <w:pPr>
              <w:autoSpaceDE w:val="0"/>
              <w:autoSpaceDN w:val="0"/>
              <w:adjustRightInd w:val="0"/>
              <w:snapToGrid w:val="0"/>
              <w:spacing w:line="360" w:lineRule="auto"/>
              <w:ind w:right="-20"/>
              <w:jc w:val="center"/>
              <w:rPr>
                <w:rFonts w:hint="default" w:ascii="Times New Roman" w:hAnsi="Times New Roman" w:eastAsia="宋体" w:cs="Times New Roman"/>
                <w:color w:val="auto"/>
                <w:kern w:val="0"/>
                <w:position w:val="-1"/>
                <w:szCs w:val="21"/>
              </w:rPr>
            </w:pPr>
            <w:r>
              <w:rPr>
                <w:rFonts w:hint="default" w:ascii="Times New Roman" w:hAnsi="Times New Roman" w:eastAsia="宋体" w:cs="Times New Roman"/>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966C585">
            <w:pPr>
              <w:autoSpaceDE w:val="0"/>
              <w:autoSpaceDN w:val="0"/>
              <w:adjustRightInd w:val="0"/>
              <w:snapToGrid w:val="0"/>
              <w:spacing w:line="360" w:lineRule="auto"/>
              <w:ind w:right="-20"/>
              <w:jc w:val="center"/>
              <w:rPr>
                <w:rFonts w:hint="default" w:ascii="Times New Roman" w:hAnsi="Times New Roman" w:eastAsia="宋体" w:cs="Times New Roman"/>
                <w:color w:val="auto"/>
                <w:kern w:val="0"/>
                <w:position w:val="-1"/>
                <w:szCs w:val="21"/>
              </w:rPr>
            </w:pPr>
            <w:r>
              <w:rPr>
                <w:rFonts w:hint="default" w:ascii="Times New Roman" w:hAnsi="Times New Roman" w:eastAsia="宋体" w:cs="Times New Roman"/>
                <w:color w:val="auto"/>
                <w:kern w:val="0"/>
                <w:position w:val="-1"/>
                <w:szCs w:val="21"/>
              </w:rPr>
              <w:t>备注</w:t>
            </w:r>
          </w:p>
        </w:tc>
      </w:tr>
      <w:tr w14:paraId="226A66AB">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42F76C23">
            <w:pPr>
              <w:autoSpaceDE w:val="0"/>
              <w:autoSpaceDN w:val="0"/>
              <w:adjustRightInd w:val="0"/>
              <w:snapToGrid w:val="0"/>
              <w:spacing w:line="360" w:lineRule="auto"/>
              <w:ind w:left="352" w:right="-20"/>
              <w:jc w:val="left"/>
              <w:rPr>
                <w:rFonts w:hint="default" w:ascii="Times New Roman" w:hAnsi="Times New Roman" w:eastAsia="宋体" w:cs="Times New Roman"/>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F75004F">
            <w:pPr>
              <w:autoSpaceDE w:val="0"/>
              <w:autoSpaceDN w:val="0"/>
              <w:adjustRightInd w:val="0"/>
              <w:snapToGrid w:val="0"/>
              <w:spacing w:line="360" w:lineRule="auto"/>
              <w:ind w:right="-20"/>
              <w:jc w:val="center"/>
              <w:rPr>
                <w:rFonts w:hint="default" w:ascii="Times New Roman" w:hAnsi="Times New Roman" w:eastAsia="宋体" w:cs="Times New Roman"/>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3FA35CE">
            <w:pPr>
              <w:autoSpaceDE w:val="0"/>
              <w:autoSpaceDN w:val="0"/>
              <w:adjustRightInd w:val="0"/>
              <w:snapToGrid w:val="0"/>
              <w:spacing w:line="360" w:lineRule="auto"/>
              <w:ind w:right="-20"/>
              <w:jc w:val="center"/>
              <w:rPr>
                <w:rFonts w:hint="default" w:ascii="Times New Roman" w:hAnsi="Times New Roman" w:eastAsia="宋体" w:cs="Times New Roman"/>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03C3B678">
            <w:pPr>
              <w:autoSpaceDE w:val="0"/>
              <w:autoSpaceDN w:val="0"/>
              <w:adjustRightInd w:val="0"/>
              <w:snapToGrid w:val="0"/>
              <w:spacing w:line="360" w:lineRule="auto"/>
              <w:ind w:right="-20"/>
              <w:jc w:val="center"/>
              <w:rPr>
                <w:rFonts w:hint="default" w:ascii="Times New Roman" w:hAnsi="Times New Roman"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672035E5">
            <w:pPr>
              <w:autoSpaceDE w:val="0"/>
              <w:autoSpaceDN w:val="0"/>
              <w:adjustRightInd w:val="0"/>
              <w:snapToGrid w:val="0"/>
              <w:spacing w:line="360" w:lineRule="auto"/>
              <w:ind w:right="-2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54A56C7">
            <w:pPr>
              <w:autoSpaceDE w:val="0"/>
              <w:autoSpaceDN w:val="0"/>
              <w:adjustRightInd w:val="0"/>
              <w:snapToGrid w:val="0"/>
              <w:spacing w:line="360" w:lineRule="auto"/>
              <w:ind w:left="70" w:right="-2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7C1C3C2C">
            <w:pPr>
              <w:autoSpaceDE w:val="0"/>
              <w:autoSpaceDN w:val="0"/>
              <w:adjustRightInd w:val="0"/>
              <w:snapToGrid w:val="0"/>
              <w:spacing w:line="360" w:lineRule="auto"/>
              <w:ind w:left="422" w:right="-20"/>
              <w:jc w:val="left"/>
              <w:rPr>
                <w:rFonts w:hint="default" w:ascii="Times New Roman" w:hAnsi="Times New Roman" w:eastAsia="宋体" w:cs="Times New Roman"/>
                <w:color w:val="auto"/>
                <w:kern w:val="0"/>
                <w:szCs w:val="21"/>
              </w:rPr>
            </w:pPr>
          </w:p>
        </w:tc>
      </w:tr>
      <w:tr w14:paraId="2CFE42A8">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5EF9AE2A">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63AEE67F">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6B60627">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8404BAE">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675643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1DE3B6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61C4E5">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FA8F4A4">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33912CE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3DCE942">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6AB7EB33">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B4BEC41">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1C4C7C6">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3DB5959">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79208E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7E57DA6">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CEDD3A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0FB38D3C">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0842687">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2C66D9E5">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4D7A993">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48F80E2">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80A27B3">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D08410">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DECB62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32EF8D5">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692A6F8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7D6E12">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1F36B1F6">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C9F5451">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CEDCA2B">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F68CC9E">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9D3F1F8">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74A5D49">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F37407B">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2A8B02E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900F74D">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31CE7D5F">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7F2DD4A">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0B511EF">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D4E8A50">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1E48BE3">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628068E">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5BF1983">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0C3299E1">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67DDE5A">
            <w:pPr>
              <w:jc w:val="center"/>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w:t>
            </w:r>
          </w:p>
        </w:tc>
        <w:tc>
          <w:tcPr>
            <w:tcW w:w="1383" w:type="dxa"/>
            <w:tcBorders>
              <w:top w:val="single" w:color="auto" w:sz="6" w:space="0"/>
              <w:left w:val="single" w:color="auto" w:sz="6" w:space="0"/>
              <w:bottom w:val="single" w:color="auto" w:sz="6" w:space="0"/>
              <w:right w:val="single" w:color="auto" w:sz="6" w:space="0"/>
            </w:tcBorders>
          </w:tcPr>
          <w:p w14:paraId="760E3263">
            <w:pPr>
              <w:autoSpaceDE w:val="0"/>
              <w:autoSpaceDN w:val="0"/>
              <w:adjustRightInd w:val="0"/>
              <w:snapToGrid w:val="0"/>
              <w:spacing w:line="360" w:lineRule="auto"/>
              <w:ind w:left="527" w:right="507"/>
              <w:jc w:val="center"/>
              <w:rPr>
                <w:rFonts w:hint="default" w:ascii="Times New Roman" w:hAnsi="Times New Roman" w:eastAsia="宋体" w:cs="Times New Roman"/>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0292135">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12E3ACD">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5E2F290">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5A1413E">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BFE3A01">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31A34E7">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r w14:paraId="0239C9CE">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4F9D5B7D">
            <w:pPr>
              <w:autoSpaceDE w:val="0"/>
              <w:autoSpaceDN w:val="0"/>
              <w:adjustRightInd w:val="0"/>
              <w:snapToGrid w:val="0"/>
              <w:spacing w:line="360" w:lineRule="auto"/>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445DF9CB">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c>
          <w:tcPr>
            <w:tcW w:w="914" w:type="dxa"/>
            <w:tcBorders>
              <w:top w:val="single" w:color="auto" w:sz="6" w:space="0"/>
              <w:left w:val="single" w:color="auto" w:sz="6" w:space="0"/>
              <w:bottom w:val="double" w:color="auto" w:sz="4" w:space="0"/>
              <w:right w:val="double" w:color="auto" w:sz="4" w:space="0"/>
            </w:tcBorders>
          </w:tcPr>
          <w:p w14:paraId="6A5FFDD2">
            <w:pPr>
              <w:autoSpaceDE w:val="0"/>
              <w:autoSpaceDN w:val="0"/>
              <w:adjustRightInd w:val="0"/>
              <w:snapToGrid w:val="0"/>
              <w:spacing w:line="360" w:lineRule="auto"/>
              <w:jc w:val="left"/>
              <w:rPr>
                <w:rFonts w:hint="default" w:ascii="Times New Roman" w:hAnsi="Times New Roman" w:eastAsia="宋体" w:cs="Times New Roman"/>
                <w:color w:val="auto"/>
                <w:kern w:val="0"/>
                <w:szCs w:val="21"/>
              </w:rPr>
            </w:pPr>
          </w:p>
        </w:tc>
      </w:tr>
    </w:tbl>
    <w:p w14:paraId="15CCFE9C">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备注：</w:t>
      </w:r>
      <w:r>
        <w:rPr>
          <w:rFonts w:hint="default" w:ascii="Times New Roman" w:hAnsi="Times New Roman" w:cs="Times New Roman" w:eastAsiaTheme="minorEastAsia"/>
          <w:color w:val="auto"/>
          <w:szCs w:val="21"/>
        </w:rPr>
        <w:t>（1）</w:t>
      </w:r>
      <w:r>
        <w:rPr>
          <w:rFonts w:hint="default" w:ascii="Times New Roman" w:hAnsi="Times New Roman" w:cs="Times New Roman" w:eastAsiaTheme="minorEastAsia"/>
          <w:b/>
          <w:color w:val="auto"/>
          <w:szCs w:val="21"/>
        </w:rPr>
        <w:t>本表应对应</w:t>
      </w:r>
      <w:r>
        <w:rPr>
          <w:rFonts w:hint="default" w:ascii="Times New Roman" w:hAnsi="Times New Roman" w:cs="Times New Roman"/>
          <w:color w:val="auto"/>
          <w:szCs w:val="21"/>
        </w:rPr>
        <w:t>“</w:t>
      </w:r>
      <w:r>
        <w:rPr>
          <w:rFonts w:hint="default" w:ascii="Times New Roman" w:hAnsi="Times New Roman" w:cs="Times New Roman" w:eastAsiaTheme="minorEastAsia"/>
          <w:b/>
          <w:color w:val="auto"/>
          <w:szCs w:val="21"/>
        </w:rPr>
        <w:t>开标一览表</w:t>
      </w:r>
      <w:r>
        <w:rPr>
          <w:rFonts w:hint="default" w:ascii="Times New Roman" w:hAnsi="Times New Roman" w:cs="Times New Roman"/>
          <w:color w:val="auto"/>
          <w:szCs w:val="21"/>
        </w:rPr>
        <w:t>”</w:t>
      </w:r>
      <w:r>
        <w:rPr>
          <w:rFonts w:hint="default" w:ascii="Times New Roman" w:hAnsi="Times New Roman" w:cs="Times New Roman" w:eastAsiaTheme="minorEastAsia"/>
          <w:b/>
          <w:color w:val="auto"/>
          <w:szCs w:val="21"/>
        </w:rPr>
        <w:t>，按包填写</w:t>
      </w:r>
      <w:r>
        <w:rPr>
          <w:rFonts w:hint="default" w:ascii="Times New Roman" w:hAnsi="Times New Roman" w:cs="Times New Roman" w:eastAsiaTheme="minorEastAsia"/>
          <w:color w:val="auto"/>
          <w:szCs w:val="21"/>
        </w:rPr>
        <w:t>。</w:t>
      </w:r>
      <w:r>
        <w:rPr>
          <w:rFonts w:hint="default" w:ascii="Times New Roman" w:hAnsi="Times New Roman" w:cs="Times New Roman"/>
          <w:color w:val="auto"/>
          <w:szCs w:val="21"/>
        </w:rPr>
        <w:t>投标人如果不提供分项报价明细表，其</w:t>
      </w:r>
      <w:r>
        <w:rPr>
          <w:rFonts w:hint="default" w:ascii="Times New Roman" w:hAnsi="Times New Roman" w:cs="Times New Roman"/>
          <w:b/>
          <w:color w:val="auto"/>
          <w:szCs w:val="21"/>
        </w:rPr>
        <w:t>投标无效</w:t>
      </w:r>
      <w:r>
        <w:rPr>
          <w:rFonts w:hint="default" w:ascii="Times New Roman" w:hAnsi="Times New Roman" w:cs="Times New Roman"/>
          <w:color w:val="auto"/>
          <w:szCs w:val="21"/>
        </w:rPr>
        <w:t>。</w:t>
      </w:r>
    </w:p>
    <w:p w14:paraId="35777F54">
      <w:pPr>
        <w:adjustRightInd w:val="0"/>
        <w:snapToGrid w:val="0"/>
        <w:spacing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（2）</w:t>
      </w:r>
      <w:r>
        <w:rPr>
          <w:rFonts w:hint="default" w:ascii="Times New Roman" w:hAnsi="Times New Roman" w:cs="Times New Roman"/>
          <w:color w:val="auto"/>
          <w:szCs w:val="21"/>
        </w:rPr>
        <w:t>不得填写“免费”或“赠与”，也不得进行“零”报价，否则</w:t>
      </w:r>
      <w:r>
        <w:rPr>
          <w:rFonts w:hint="default" w:ascii="Times New Roman" w:hAnsi="Times New Roman" w:cs="Times New Roman"/>
          <w:b/>
          <w:color w:val="auto"/>
          <w:szCs w:val="21"/>
        </w:rPr>
        <w:t>投标无效</w:t>
      </w:r>
      <w:r>
        <w:rPr>
          <w:rFonts w:hint="default" w:ascii="Times New Roman" w:hAnsi="Times New Roman" w:cs="Times New Roman"/>
          <w:color w:val="auto"/>
          <w:szCs w:val="21"/>
        </w:rPr>
        <w:t>。</w:t>
      </w:r>
    </w:p>
    <w:p w14:paraId="087D5C2F">
      <w:pPr>
        <w:adjustRightInd w:val="0"/>
        <w:snapToGrid w:val="0"/>
        <w:spacing w:line="360" w:lineRule="auto"/>
        <w:ind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（3）</w:t>
      </w:r>
      <w:r>
        <w:rPr>
          <w:rFonts w:hint="default" w:ascii="Times New Roman" w:hAnsi="Times New Roman" w:cs="Times New Roman"/>
          <w:color w:val="auto"/>
          <w:szCs w:val="21"/>
        </w:rPr>
        <w:t>如果开标一览表内容与本表内容不一致的，以开标一览表内容为准。</w:t>
      </w:r>
    </w:p>
    <w:p w14:paraId="2CBBCD19">
      <w:pPr>
        <w:adjustRightInd w:val="0"/>
        <w:snapToGrid w:val="0"/>
        <w:spacing w:line="360" w:lineRule="auto"/>
        <w:ind w:firstLine="420"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（4）</w:t>
      </w:r>
      <w:r>
        <w:rPr>
          <w:rFonts w:hint="default" w:ascii="Times New Roman" w:hAnsi="Times New Roman" w:cs="Times New Roman" w:eastAsiaTheme="minorEastAsia"/>
          <w:bCs/>
          <w:color w:val="auto"/>
          <w:szCs w:val="21"/>
        </w:rPr>
        <w:t>投标人在投标截止时间前修改“开标一览表”中的投标报价的，应按第二章第13.7款规定修改本表相应内容。否则，</w:t>
      </w:r>
      <w:r>
        <w:rPr>
          <w:rFonts w:hint="default" w:ascii="Times New Roman" w:hAnsi="Times New Roman" w:cs="Times New Roman"/>
          <w:color w:val="auto"/>
          <w:szCs w:val="21"/>
        </w:rPr>
        <w:t>本表相应内容按投标报价修改的相同比例进行调整。</w:t>
      </w:r>
    </w:p>
    <w:p w14:paraId="6F6EBDFE">
      <w:pPr>
        <w:adjustRightInd w:val="0"/>
        <w:snapToGrid w:val="0"/>
        <w:spacing w:line="360" w:lineRule="auto"/>
        <w:rPr>
          <w:rFonts w:hint="default" w:ascii="Times New Roman" w:hAnsi="Times New Roman" w:cs="Times New Roman"/>
          <w:color w:val="auto"/>
          <w:szCs w:val="21"/>
        </w:rPr>
      </w:pPr>
    </w:p>
    <w:p w14:paraId="5B6E8F10">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0889C61F">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或其授权的代理人（签字或签章）：</w:t>
      </w:r>
    </w:p>
    <w:p w14:paraId="0345F541">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日期：年月日</w:t>
      </w:r>
    </w:p>
    <w:p w14:paraId="250E3A1A">
      <w:pPr>
        <w:adjustRightInd w:val="0"/>
        <w:snapToGrid w:val="0"/>
        <w:spacing w:line="360" w:lineRule="auto"/>
        <w:rPr>
          <w:rFonts w:hint="default" w:ascii="Times New Roman" w:hAnsi="Times New Roman" w:cs="Times New Roman"/>
          <w:color w:val="auto"/>
          <w:szCs w:val="21"/>
        </w:rPr>
        <w:sectPr>
          <w:headerReference r:id="rId8" w:type="default"/>
          <w:footerReference r:id="rId9" w:type="default"/>
          <w:pgSz w:w="11906" w:h="16838"/>
          <w:pgMar w:top="1474" w:right="1474" w:bottom="1474" w:left="1588" w:header="851" w:footer="992" w:gutter="0"/>
          <w:pgNumType w:fmt="decimal"/>
          <w:cols w:space="720" w:num="1"/>
          <w:docGrid w:type="lines" w:linePitch="312" w:charSpace="0"/>
        </w:sectPr>
      </w:pPr>
    </w:p>
    <w:p w14:paraId="0DA42C1B">
      <w:pPr>
        <w:adjustRightInd w:val="0"/>
        <w:snapToGrid w:val="0"/>
        <w:spacing w:line="360" w:lineRule="auto"/>
        <w:rPr>
          <w:rFonts w:hint="default" w:ascii="Times New Roman" w:hAnsi="Times New Roman" w:cs="Times New Roman"/>
          <w:color w:val="auto"/>
          <w:szCs w:val="21"/>
        </w:rPr>
      </w:pPr>
    </w:p>
    <w:p w14:paraId="227744E5">
      <w:pPr>
        <w:pStyle w:val="5"/>
        <w:adjustRightInd w:val="0"/>
        <w:snapToGrid w:val="0"/>
        <w:spacing w:before="0" w:after="0" w:line="360" w:lineRule="auto"/>
        <w:jc w:val="center"/>
        <w:rPr>
          <w:rFonts w:hint="default" w:ascii="Times New Roman" w:hAnsi="Times New Roman" w:eastAsia="黑体" w:cs="Times New Roman"/>
          <w:color w:val="auto"/>
          <w:sz w:val="44"/>
          <w:szCs w:val="44"/>
        </w:rPr>
      </w:pPr>
      <w:bookmarkStart w:id="200" w:name="_Toc9099"/>
      <w:bookmarkStart w:id="201" w:name="_Toc28564"/>
      <w:bookmarkStart w:id="202" w:name="_Toc29913967"/>
      <w:r>
        <w:rPr>
          <w:rFonts w:hint="default" w:ascii="Times New Roman" w:hAnsi="Times New Roman" w:eastAsia="黑体" w:cs="Times New Roman"/>
          <w:color w:val="auto"/>
          <w:sz w:val="28"/>
          <w:szCs w:val="28"/>
        </w:rPr>
        <w:t>七、采购需求响应</w:t>
      </w:r>
      <w:bookmarkEnd w:id="200"/>
      <w:bookmarkEnd w:id="201"/>
    </w:p>
    <w:p w14:paraId="7C686F75">
      <w:pPr>
        <w:adjustRightInd w:val="0"/>
        <w:snapToGrid w:val="0"/>
        <w:spacing w:line="360" w:lineRule="auto"/>
        <w:rPr>
          <w:rFonts w:hint="default" w:ascii="Times New Roman" w:hAnsi="Times New Roman" w:cs="Times New Roman" w:eastAsiaTheme="minorEastAsia"/>
          <w:b/>
          <w:color w:val="auto"/>
          <w:szCs w:val="21"/>
        </w:rPr>
      </w:pPr>
    </w:p>
    <w:p w14:paraId="275B529C">
      <w:pPr>
        <w:adjustRightInd w:val="0"/>
        <w:snapToGrid w:val="0"/>
        <w:spacing w:line="360" w:lineRule="auto"/>
        <w:rPr>
          <w:rFonts w:hint="default" w:ascii="Times New Roman" w:hAnsi="Times New Roman" w:cs="Times New Roman"/>
          <w:b/>
          <w:color w:val="auto"/>
        </w:rPr>
      </w:pPr>
      <w:r>
        <w:rPr>
          <w:rFonts w:hint="default" w:ascii="Times New Roman" w:hAnsi="Times New Roman" w:cs="Times New Roman" w:eastAsiaTheme="minorEastAsia"/>
          <w:b/>
          <w:color w:val="auto"/>
          <w:szCs w:val="21"/>
        </w:rPr>
        <w:t>编制说明</w:t>
      </w:r>
      <w:r>
        <w:rPr>
          <w:rFonts w:hint="default" w:ascii="Times New Roman" w:hAnsi="Times New Roman" w:cs="Times New Roman" w:eastAsiaTheme="minorEastAsia"/>
          <w:bCs/>
          <w:color w:val="auto"/>
          <w:szCs w:val="21"/>
        </w:rPr>
        <w:t>：</w:t>
      </w:r>
      <w:r>
        <w:rPr>
          <w:rFonts w:hint="default" w:ascii="Times New Roman" w:hAnsi="Times New Roman" w:cs="Times New Roman"/>
          <w:b/>
          <w:color w:val="auto"/>
        </w:rPr>
        <w:t>投标人应按招标文件第五章采购需求自行编写采购需求响应文件（其内容可包括，且不限于详细的技术指标和服务的组织及保证措施等，格式自拟）。</w:t>
      </w:r>
    </w:p>
    <w:p w14:paraId="44A45C2B">
      <w:pPr>
        <w:pStyle w:val="24"/>
        <w:adjustRightInd w:val="0"/>
        <w:snapToGrid w:val="0"/>
        <w:spacing w:line="360" w:lineRule="auto"/>
        <w:ind w:left="-88" w:leftChars="-42"/>
        <w:rPr>
          <w:rFonts w:hint="default" w:ascii="Times New Roman" w:hAnsi="Times New Roman" w:cs="Times New Roman"/>
          <w:bCs/>
          <w:color w:val="auto"/>
          <w:sz w:val="21"/>
          <w:szCs w:val="21"/>
        </w:rPr>
      </w:pPr>
    </w:p>
    <w:p w14:paraId="64C37056">
      <w:pPr>
        <w:rPr>
          <w:rFonts w:hint="default" w:ascii="Times New Roman" w:hAnsi="Times New Roman" w:cs="Times New Roman"/>
          <w:color w:val="auto"/>
        </w:rPr>
      </w:pPr>
    </w:p>
    <w:p w14:paraId="7A9C2747">
      <w:pPr>
        <w:rPr>
          <w:rFonts w:hint="default" w:ascii="Times New Roman" w:hAnsi="Times New Roman" w:cs="Times New Roman"/>
          <w:color w:val="auto"/>
        </w:rPr>
      </w:pPr>
    </w:p>
    <w:p w14:paraId="41550EBE">
      <w:pPr>
        <w:pStyle w:val="24"/>
        <w:tabs>
          <w:tab w:val="left" w:pos="6208"/>
        </w:tabs>
        <w:adjustRightInd w:val="0"/>
        <w:snapToGrid w:val="0"/>
        <w:spacing w:line="360" w:lineRule="auto"/>
        <w:ind w:left="-88" w:leftChars="-42"/>
        <w:rPr>
          <w:rFonts w:hint="default" w:ascii="Times New Roman" w:hAnsi="Times New Roman" w:cs="Times New Roman"/>
          <w:bCs/>
          <w:color w:val="auto"/>
          <w:sz w:val="21"/>
          <w:szCs w:val="21"/>
        </w:rPr>
      </w:pPr>
    </w:p>
    <w:p w14:paraId="66B518DA">
      <w:pPr>
        <w:adjustRightInd w:val="0"/>
        <w:snapToGrid w:val="0"/>
        <w:spacing w:line="360" w:lineRule="auto"/>
        <w:rPr>
          <w:rFonts w:hint="default" w:ascii="Times New Roman" w:hAnsi="Times New Roman" w:cs="Times New Roman"/>
          <w:color w:val="auto"/>
          <w:szCs w:val="21"/>
        </w:rPr>
      </w:pPr>
    </w:p>
    <w:p w14:paraId="2E4C6753">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5F2D1561">
      <w:pPr>
        <w:adjustRightInd w:val="0"/>
        <w:snapToGrid w:val="0"/>
        <w:spacing w:line="360" w:lineRule="auto"/>
        <w:rPr>
          <w:rFonts w:hint="default" w:ascii="Times New Roman" w:hAnsi="Times New Roman" w:cs="Times New Roman"/>
          <w:color w:val="auto"/>
          <w:szCs w:val="21"/>
          <w:u w:val="single"/>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或其授权的代理人（签字或签章）：</w:t>
      </w:r>
    </w:p>
    <w:p w14:paraId="58999407">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日期：年月日</w:t>
      </w:r>
    </w:p>
    <w:p w14:paraId="1818457C">
      <w:pPr>
        <w:rPr>
          <w:rFonts w:hint="default" w:ascii="Times New Roman" w:hAnsi="Times New Roman" w:cs="Times New Roman"/>
          <w:color w:val="auto"/>
        </w:rPr>
      </w:pPr>
    </w:p>
    <w:p w14:paraId="238FD7E2">
      <w:pPr>
        <w:rPr>
          <w:rFonts w:hint="default" w:ascii="Times New Roman" w:hAnsi="Times New Roman" w:cs="Times New Roman"/>
          <w:color w:val="auto"/>
        </w:rPr>
      </w:pPr>
    </w:p>
    <w:p w14:paraId="0C41C4DE">
      <w:pPr>
        <w:pStyle w:val="6"/>
        <w:adjustRightInd w:val="0"/>
        <w:snapToGrid w:val="0"/>
        <w:spacing w:beforeLines="50" w:after="0" w:line="360" w:lineRule="auto"/>
        <w:rPr>
          <w:rFonts w:hint="default" w:ascii="Times New Roman" w:hAnsi="Times New Roman" w:cs="Times New Roman"/>
          <w:b w:val="0"/>
          <w:color w:val="auto"/>
          <w:sz w:val="21"/>
          <w:szCs w:val="21"/>
        </w:rPr>
      </w:pPr>
      <w:bookmarkStart w:id="203" w:name="_Toc15795"/>
      <w:bookmarkStart w:id="204" w:name="_Toc5988"/>
      <w:r>
        <w:rPr>
          <w:rFonts w:hint="default" w:ascii="Times New Roman" w:hAnsi="Times New Roman" w:cs="Times New Roman"/>
          <w:b w:val="0"/>
          <w:color w:val="auto"/>
          <w:spacing w:val="6"/>
          <w:kern w:val="0"/>
          <w:sz w:val="21"/>
          <w:szCs w:val="21"/>
        </w:rPr>
        <w:t>附件7-1 响应</w:t>
      </w:r>
      <w:r>
        <w:rPr>
          <w:rFonts w:hint="default" w:ascii="Times New Roman" w:hAnsi="Times New Roman" w:cs="Times New Roman"/>
          <w:b w:val="0"/>
          <w:color w:val="auto"/>
          <w:sz w:val="21"/>
          <w:szCs w:val="21"/>
        </w:rPr>
        <w:t>-览表</w:t>
      </w:r>
      <w:bookmarkEnd w:id="203"/>
      <w:bookmarkEnd w:id="204"/>
    </w:p>
    <w:p w14:paraId="5606BB1A">
      <w:pPr>
        <w:adjustRightInd w:val="0"/>
        <w:snapToGrid w:val="0"/>
        <w:spacing w:beforeLines="50" w:line="360" w:lineRule="auto"/>
        <w:jc w:val="center"/>
        <w:rPr>
          <w:rFonts w:hint="default" w:ascii="Times New Roman" w:hAnsi="Times New Roman" w:eastAsia="黑体" w:cs="Times New Roman"/>
          <w:b/>
          <w:bCs/>
          <w:color w:val="auto"/>
          <w:sz w:val="28"/>
          <w:szCs w:val="28"/>
        </w:rPr>
      </w:pPr>
      <w:r>
        <w:rPr>
          <w:rFonts w:hint="default" w:ascii="Times New Roman" w:hAnsi="Times New Roman" w:eastAsia="黑体" w:cs="Times New Roman"/>
          <w:b/>
          <w:bCs/>
          <w:color w:val="auto"/>
          <w:sz w:val="28"/>
          <w:szCs w:val="28"/>
        </w:rPr>
        <w:t>响应-览表</w:t>
      </w:r>
    </w:p>
    <w:p w14:paraId="472DE69B">
      <w:pPr>
        <w:adjustRightInd w:val="0"/>
        <w:snapToGrid w:val="0"/>
        <w:spacing w:beforeLines="50" w:line="360" w:lineRule="auto"/>
        <w:jc w:val="center"/>
        <w:rPr>
          <w:rFonts w:hint="default" w:ascii="Times New Roman" w:hAnsi="Times New Roman" w:eastAsia="黑体" w:cs="Times New Roman"/>
          <w:b/>
          <w:bCs/>
          <w:color w:val="auto"/>
          <w:sz w:val="28"/>
          <w:szCs w:val="28"/>
        </w:rPr>
      </w:pPr>
    </w:p>
    <w:tbl>
      <w:tblPr>
        <w:tblStyle w:val="43"/>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7BF1CA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147B03B9">
            <w:pPr>
              <w:jc w:val="center"/>
              <w:rPr>
                <w:rFonts w:hint="default" w:ascii="Times New Roman" w:hAnsi="Times New Roman" w:cs="Times New Roman"/>
                <w:color w:val="auto"/>
                <w:szCs w:val="21"/>
              </w:rPr>
            </w:pPr>
            <w:r>
              <w:rPr>
                <w:rFonts w:hint="default" w:ascii="Times New Roman" w:hAnsi="Times New Roman" w:cs="Times New Roman"/>
                <w:color w:val="auto"/>
                <w:szCs w:val="21"/>
              </w:rPr>
              <w:t xml:space="preserve">包号 </w:t>
            </w:r>
          </w:p>
        </w:tc>
        <w:tc>
          <w:tcPr>
            <w:tcW w:w="957" w:type="dxa"/>
            <w:vMerge w:val="restart"/>
            <w:tcBorders>
              <w:right w:val="single" w:color="auto" w:sz="4" w:space="0"/>
            </w:tcBorders>
            <w:vAlign w:val="center"/>
          </w:tcPr>
          <w:p w14:paraId="2C6A0226">
            <w:pPr>
              <w:jc w:val="center"/>
              <w:rPr>
                <w:rFonts w:hint="default" w:ascii="Times New Roman" w:hAnsi="Times New Roman" w:cs="Times New Roman"/>
                <w:color w:val="auto"/>
                <w:szCs w:val="21"/>
              </w:rPr>
            </w:pPr>
            <w:r>
              <w:rPr>
                <w:rFonts w:hint="default" w:ascii="Times New Roman" w:hAnsi="Times New Roman" w:cs="Times New Roman"/>
                <w:color w:val="auto"/>
                <w:szCs w:val="21"/>
              </w:rPr>
              <w:t>包名称</w:t>
            </w:r>
          </w:p>
        </w:tc>
        <w:tc>
          <w:tcPr>
            <w:tcW w:w="2124" w:type="dxa"/>
            <w:vMerge w:val="restart"/>
            <w:tcBorders>
              <w:left w:val="single" w:color="auto" w:sz="4" w:space="0"/>
            </w:tcBorders>
            <w:vAlign w:val="center"/>
          </w:tcPr>
          <w:p w14:paraId="60AA61C1">
            <w:pPr>
              <w:jc w:val="center"/>
              <w:rPr>
                <w:rFonts w:hint="default" w:ascii="Times New Roman" w:hAnsi="Times New Roman" w:cs="Times New Roman"/>
                <w:color w:val="auto"/>
                <w:szCs w:val="21"/>
              </w:rPr>
            </w:pPr>
            <w:r>
              <w:rPr>
                <w:rFonts w:hint="default" w:ascii="Times New Roman" w:hAnsi="Times New Roman" w:cs="Times New Roman"/>
                <w:color w:val="auto"/>
                <w:szCs w:val="21"/>
              </w:rPr>
              <w:t>分项项目名称</w:t>
            </w:r>
          </w:p>
          <w:p w14:paraId="1B5C68FB">
            <w:pPr>
              <w:jc w:val="center"/>
              <w:rPr>
                <w:rFonts w:hint="default" w:ascii="Times New Roman" w:hAnsi="Times New Roman" w:cs="Times New Roman"/>
                <w:color w:val="auto"/>
                <w:szCs w:val="21"/>
              </w:rPr>
            </w:pPr>
            <w:r>
              <w:rPr>
                <w:rFonts w:hint="default" w:ascii="Times New Roman" w:hAnsi="Times New Roman" w:cs="Times New Roman"/>
                <w:color w:val="auto"/>
                <w:szCs w:val="21"/>
              </w:rPr>
              <w:t>（条目号/品目名称）</w:t>
            </w:r>
          </w:p>
        </w:tc>
        <w:tc>
          <w:tcPr>
            <w:tcW w:w="2127" w:type="dxa"/>
            <w:vMerge w:val="restart"/>
            <w:vAlign w:val="center"/>
          </w:tcPr>
          <w:p w14:paraId="53953F8C">
            <w:pPr>
              <w:jc w:val="center"/>
              <w:rPr>
                <w:rFonts w:hint="default" w:ascii="Times New Roman" w:hAnsi="Times New Roman" w:cs="Times New Roman"/>
                <w:color w:val="auto"/>
                <w:szCs w:val="21"/>
              </w:rPr>
            </w:pPr>
            <w:r>
              <w:rPr>
                <w:rFonts w:hint="default" w:ascii="Times New Roman" w:hAnsi="Times New Roman" w:cs="Times New Roman"/>
                <w:color w:val="auto"/>
                <w:szCs w:val="21"/>
              </w:rPr>
              <w:t>主要技术条款要求</w:t>
            </w:r>
          </w:p>
        </w:tc>
        <w:tc>
          <w:tcPr>
            <w:tcW w:w="992" w:type="dxa"/>
            <w:vMerge w:val="restart"/>
            <w:vAlign w:val="center"/>
          </w:tcPr>
          <w:p w14:paraId="31D0E03F">
            <w:pPr>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c>
          <w:tcPr>
            <w:tcW w:w="1460" w:type="dxa"/>
            <w:gridSpan w:val="2"/>
            <w:vAlign w:val="center"/>
          </w:tcPr>
          <w:p w14:paraId="709FCE84">
            <w:pPr>
              <w:jc w:val="center"/>
              <w:rPr>
                <w:rFonts w:hint="default" w:ascii="Times New Roman" w:hAnsi="Times New Roman" w:cs="Times New Roman"/>
                <w:color w:val="auto"/>
                <w:szCs w:val="21"/>
              </w:rPr>
            </w:pPr>
            <w:r>
              <w:rPr>
                <w:rFonts w:hint="default" w:ascii="Times New Roman" w:hAnsi="Times New Roman" w:cs="Times New Roman"/>
                <w:color w:val="auto"/>
                <w:szCs w:val="21"/>
              </w:rPr>
              <w:t>服务</w:t>
            </w:r>
          </w:p>
        </w:tc>
        <w:tc>
          <w:tcPr>
            <w:tcW w:w="971" w:type="dxa"/>
            <w:vMerge w:val="restart"/>
            <w:vAlign w:val="center"/>
          </w:tcPr>
          <w:p w14:paraId="2019E3CC">
            <w:pPr>
              <w:jc w:val="center"/>
              <w:rPr>
                <w:rFonts w:hint="default" w:ascii="Times New Roman" w:hAnsi="Times New Roman" w:cs="Times New Roman"/>
                <w:color w:val="auto"/>
                <w:szCs w:val="21"/>
              </w:rPr>
            </w:pPr>
            <w:r>
              <w:rPr>
                <w:rFonts w:hint="default" w:ascii="Times New Roman" w:hAnsi="Times New Roman" w:cs="Times New Roman"/>
                <w:color w:val="auto"/>
                <w:szCs w:val="21"/>
              </w:rPr>
              <w:t>备注</w:t>
            </w:r>
          </w:p>
        </w:tc>
      </w:tr>
      <w:tr w14:paraId="754DB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6AA9DC55">
            <w:pPr>
              <w:jc w:val="center"/>
              <w:rPr>
                <w:rFonts w:hint="default" w:ascii="Times New Roman" w:hAnsi="Times New Roman" w:cs="Times New Roman"/>
                <w:color w:val="auto"/>
                <w:szCs w:val="21"/>
              </w:rPr>
            </w:pPr>
          </w:p>
        </w:tc>
        <w:tc>
          <w:tcPr>
            <w:tcW w:w="957" w:type="dxa"/>
            <w:vMerge w:val="continue"/>
            <w:tcBorders>
              <w:right w:val="single" w:color="auto" w:sz="4" w:space="0"/>
            </w:tcBorders>
            <w:vAlign w:val="center"/>
          </w:tcPr>
          <w:p w14:paraId="2A9D478B">
            <w:pPr>
              <w:jc w:val="center"/>
              <w:rPr>
                <w:rFonts w:hint="default" w:ascii="Times New Roman" w:hAnsi="Times New Roman" w:cs="Times New Roman"/>
                <w:color w:val="auto"/>
                <w:szCs w:val="21"/>
              </w:rPr>
            </w:pPr>
          </w:p>
        </w:tc>
        <w:tc>
          <w:tcPr>
            <w:tcW w:w="2124" w:type="dxa"/>
            <w:vMerge w:val="continue"/>
            <w:tcBorders>
              <w:left w:val="single" w:color="auto" w:sz="4" w:space="0"/>
            </w:tcBorders>
            <w:vAlign w:val="center"/>
          </w:tcPr>
          <w:p w14:paraId="47BEA4DE">
            <w:pPr>
              <w:jc w:val="center"/>
              <w:rPr>
                <w:rFonts w:hint="default" w:ascii="Times New Roman" w:hAnsi="Times New Roman" w:cs="Times New Roman"/>
                <w:color w:val="auto"/>
                <w:szCs w:val="21"/>
              </w:rPr>
            </w:pPr>
          </w:p>
        </w:tc>
        <w:tc>
          <w:tcPr>
            <w:tcW w:w="2127" w:type="dxa"/>
            <w:vMerge w:val="continue"/>
            <w:vAlign w:val="center"/>
          </w:tcPr>
          <w:p w14:paraId="739E04EE">
            <w:pPr>
              <w:jc w:val="center"/>
              <w:rPr>
                <w:rFonts w:hint="default" w:ascii="Times New Roman" w:hAnsi="Times New Roman" w:cs="Times New Roman"/>
                <w:color w:val="auto"/>
                <w:szCs w:val="21"/>
              </w:rPr>
            </w:pPr>
          </w:p>
        </w:tc>
        <w:tc>
          <w:tcPr>
            <w:tcW w:w="992" w:type="dxa"/>
            <w:vMerge w:val="continue"/>
            <w:vAlign w:val="center"/>
          </w:tcPr>
          <w:p w14:paraId="41437E59">
            <w:pPr>
              <w:jc w:val="center"/>
              <w:rPr>
                <w:rFonts w:hint="default" w:ascii="Times New Roman" w:hAnsi="Times New Roman" w:cs="Times New Roman"/>
                <w:color w:val="auto"/>
                <w:szCs w:val="21"/>
              </w:rPr>
            </w:pPr>
          </w:p>
        </w:tc>
        <w:tc>
          <w:tcPr>
            <w:tcW w:w="709" w:type="dxa"/>
            <w:vAlign w:val="center"/>
          </w:tcPr>
          <w:p w14:paraId="07F4F233">
            <w:pPr>
              <w:jc w:val="center"/>
              <w:rPr>
                <w:rFonts w:hint="default" w:ascii="Times New Roman" w:hAnsi="Times New Roman" w:cs="Times New Roman"/>
                <w:color w:val="auto"/>
                <w:szCs w:val="21"/>
              </w:rPr>
            </w:pPr>
            <w:r>
              <w:rPr>
                <w:rFonts w:hint="default" w:ascii="Times New Roman" w:hAnsi="Times New Roman" w:cs="Times New Roman"/>
                <w:color w:val="auto"/>
                <w:szCs w:val="21"/>
              </w:rPr>
              <w:t>时间</w:t>
            </w:r>
          </w:p>
        </w:tc>
        <w:tc>
          <w:tcPr>
            <w:tcW w:w="751" w:type="dxa"/>
            <w:vAlign w:val="center"/>
          </w:tcPr>
          <w:p w14:paraId="2F73CC1F">
            <w:pPr>
              <w:jc w:val="center"/>
              <w:rPr>
                <w:rFonts w:hint="default" w:ascii="Times New Roman" w:hAnsi="Times New Roman" w:cs="Times New Roman"/>
                <w:color w:val="auto"/>
                <w:szCs w:val="21"/>
              </w:rPr>
            </w:pPr>
            <w:r>
              <w:rPr>
                <w:rFonts w:hint="default" w:ascii="Times New Roman" w:hAnsi="Times New Roman" w:cs="Times New Roman"/>
                <w:color w:val="auto"/>
                <w:szCs w:val="21"/>
              </w:rPr>
              <w:t>地点</w:t>
            </w:r>
          </w:p>
        </w:tc>
        <w:tc>
          <w:tcPr>
            <w:tcW w:w="971" w:type="dxa"/>
            <w:vMerge w:val="continue"/>
          </w:tcPr>
          <w:p w14:paraId="0884BFD8">
            <w:pPr>
              <w:rPr>
                <w:rFonts w:hint="default" w:ascii="Times New Roman" w:hAnsi="Times New Roman" w:cs="Times New Roman"/>
                <w:color w:val="auto"/>
                <w:szCs w:val="21"/>
              </w:rPr>
            </w:pPr>
          </w:p>
        </w:tc>
      </w:tr>
      <w:tr w14:paraId="1D602D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1630893">
            <w:pPr>
              <w:rPr>
                <w:rFonts w:hint="default" w:ascii="Times New Roman" w:hAnsi="Times New Roman" w:cs="Times New Roman"/>
                <w:color w:val="auto"/>
                <w:szCs w:val="21"/>
              </w:rPr>
            </w:pPr>
          </w:p>
        </w:tc>
        <w:tc>
          <w:tcPr>
            <w:tcW w:w="957" w:type="dxa"/>
            <w:tcBorders>
              <w:right w:val="single" w:color="auto" w:sz="4" w:space="0"/>
            </w:tcBorders>
          </w:tcPr>
          <w:p w14:paraId="72C65791">
            <w:pPr>
              <w:rPr>
                <w:rFonts w:hint="default" w:ascii="Times New Roman" w:hAnsi="Times New Roman" w:cs="Times New Roman"/>
                <w:color w:val="auto"/>
                <w:szCs w:val="21"/>
              </w:rPr>
            </w:pPr>
          </w:p>
        </w:tc>
        <w:tc>
          <w:tcPr>
            <w:tcW w:w="2124" w:type="dxa"/>
            <w:tcBorders>
              <w:left w:val="single" w:color="auto" w:sz="4" w:space="0"/>
            </w:tcBorders>
          </w:tcPr>
          <w:p w14:paraId="3BD0E40C">
            <w:pPr>
              <w:rPr>
                <w:rFonts w:hint="default" w:ascii="Times New Roman" w:hAnsi="Times New Roman" w:cs="Times New Roman"/>
                <w:color w:val="auto"/>
                <w:szCs w:val="21"/>
              </w:rPr>
            </w:pPr>
          </w:p>
        </w:tc>
        <w:tc>
          <w:tcPr>
            <w:tcW w:w="2127" w:type="dxa"/>
          </w:tcPr>
          <w:p w14:paraId="1428EC86">
            <w:pPr>
              <w:rPr>
                <w:rFonts w:hint="default" w:ascii="Times New Roman" w:hAnsi="Times New Roman" w:cs="Times New Roman"/>
                <w:color w:val="auto"/>
                <w:szCs w:val="21"/>
              </w:rPr>
            </w:pPr>
          </w:p>
        </w:tc>
        <w:tc>
          <w:tcPr>
            <w:tcW w:w="992" w:type="dxa"/>
          </w:tcPr>
          <w:p w14:paraId="5BB670C8">
            <w:pPr>
              <w:rPr>
                <w:rFonts w:hint="default" w:ascii="Times New Roman" w:hAnsi="Times New Roman" w:cs="Times New Roman"/>
                <w:color w:val="auto"/>
                <w:szCs w:val="21"/>
              </w:rPr>
            </w:pPr>
          </w:p>
        </w:tc>
        <w:tc>
          <w:tcPr>
            <w:tcW w:w="709" w:type="dxa"/>
            <w:tcBorders>
              <w:bottom w:val="single" w:color="auto" w:sz="4" w:space="0"/>
            </w:tcBorders>
          </w:tcPr>
          <w:p w14:paraId="0F6DA5E5">
            <w:pPr>
              <w:rPr>
                <w:rFonts w:hint="default" w:ascii="Times New Roman" w:hAnsi="Times New Roman" w:cs="Times New Roman"/>
                <w:color w:val="auto"/>
                <w:szCs w:val="21"/>
              </w:rPr>
            </w:pPr>
          </w:p>
        </w:tc>
        <w:tc>
          <w:tcPr>
            <w:tcW w:w="751" w:type="dxa"/>
            <w:tcBorders>
              <w:bottom w:val="single" w:color="auto" w:sz="4" w:space="0"/>
            </w:tcBorders>
          </w:tcPr>
          <w:p w14:paraId="3A694875">
            <w:pPr>
              <w:rPr>
                <w:rFonts w:hint="default" w:ascii="Times New Roman" w:hAnsi="Times New Roman" w:cs="Times New Roman"/>
                <w:color w:val="auto"/>
                <w:szCs w:val="21"/>
              </w:rPr>
            </w:pPr>
          </w:p>
        </w:tc>
        <w:tc>
          <w:tcPr>
            <w:tcW w:w="971" w:type="dxa"/>
          </w:tcPr>
          <w:p w14:paraId="07FB8350">
            <w:pPr>
              <w:rPr>
                <w:rFonts w:hint="default" w:ascii="Times New Roman" w:hAnsi="Times New Roman" w:cs="Times New Roman"/>
                <w:color w:val="auto"/>
                <w:szCs w:val="21"/>
              </w:rPr>
            </w:pPr>
          </w:p>
        </w:tc>
      </w:tr>
      <w:tr w14:paraId="0DD54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CA80102">
            <w:pPr>
              <w:rPr>
                <w:rFonts w:hint="default" w:ascii="Times New Roman" w:hAnsi="Times New Roman" w:cs="Times New Roman"/>
                <w:color w:val="auto"/>
                <w:szCs w:val="21"/>
              </w:rPr>
            </w:pPr>
          </w:p>
        </w:tc>
        <w:tc>
          <w:tcPr>
            <w:tcW w:w="957" w:type="dxa"/>
            <w:tcBorders>
              <w:right w:val="single" w:color="auto" w:sz="4" w:space="0"/>
            </w:tcBorders>
          </w:tcPr>
          <w:p w14:paraId="76B6FA47">
            <w:pPr>
              <w:rPr>
                <w:rFonts w:hint="default" w:ascii="Times New Roman" w:hAnsi="Times New Roman" w:cs="Times New Roman"/>
                <w:color w:val="auto"/>
                <w:szCs w:val="21"/>
              </w:rPr>
            </w:pPr>
          </w:p>
        </w:tc>
        <w:tc>
          <w:tcPr>
            <w:tcW w:w="2124" w:type="dxa"/>
            <w:tcBorders>
              <w:left w:val="single" w:color="auto" w:sz="4" w:space="0"/>
            </w:tcBorders>
          </w:tcPr>
          <w:p w14:paraId="69D007B6">
            <w:pPr>
              <w:rPr>
                <w:rFonts w:hint="default" w:ascii="Times New Roman" w:hAnsi="Times New Roman" w:cs="Times New Roman"/>
                <w:color w:val="auto"/>
                <w:szCs w:val="21"/>
              </w:rPr>
            </w:pPr>
          </w:p>
        </w:tc>
        <w:tc>
          <w:tcPr>
            <w:tcW w:w="2127" w:type="dxa"/>
          </w:tcPr>
          <w:p w14:paraId="3FCE0EAE">
            <w:pPr>
              <w:rPr>
                <w:rFonts w:hint="default" w:ascii="Times New Roman" w:hAnsi="Times New Roman" w:cs="Times New Roman"/>
                <w:color w:val="auto"/>
                <w:szCs w:val="21"/>
              </w:rPr>
            </w:pPr>
          </w:p>
        </w:tc>
        <w:tc>
          <w:tcPr>
            <w:tcW w:w="992" w:type="dxa"/>
          </w:tcPr>
          <w:p w14:paraId="20C4B615">
            <w:pPr>
              <w:rPr>
                <w:rFonts w:hint="default" w:ascii="Times New Roman" w:hAnsi="Times New Roman" w:cs="Times New Roman"/>
                <w:color w:val="auto"/>
                <w:szCs w:val="21"/>
              </w:rPr>
            </w:pPr>
          </w:p>
        </w:tc>
        <w:tc>
          <w:tcPr>
            <w:tcW w:w="709" w:type="dxa"/>
            <w:tcBorders>
              <w:top w:val="single" w:color="auto" w:sz="4" w:space="0"/>
              <w:bottom w:val="single" w:color="auto" w:sz="4" w:space="0"/>
            </w:tcBorders>
          </w:tcPr>
          <w:p w14:paraId="0A152BA4">
            <w:pPr>
              <w:rPr>
                <w:rFonts w:hint="default" w:ascii="Times New Roman" w:hAnsi="Times New Roman" w:cs="Times New Roman"/>
                <w:color w:val="auto"/>
                <w:szCs w:val="21"/>
              </w:rPr>
            </w:pPr>
          </w:p>
        </w:tc>
        <w:tc>
          <w:tcPr>
            <w:tcW w:w="751" w:type="dxa"/>
            <w:tcBorders>
              <w:top w:val="single" w:color="auto" w:sz="4" w:space="0"/>
              <w:bottom w:val="single" w:color="auto" w:sz="4" w:space="0"/>
            </w:tcBorders>
          </w:tcPr>
          <w:p w14:paraId="7AE9796C">
            <w:pPr>
              <w:rPr>
                <w:rFonts w:hint="default" w:ascii="Times New Roman" w:hAnsi="Times New Roman" w:cs="Times New Roman"/>
                <w:color w:val="auto"/>
                <w:szCs w:val="21"/>
              </w:rPr>
            </w:pPr>
          </w:p>
        </w:tc>
        <w:tc>
          <w:tcPr>
            <w:tcW w:w="971" w:type="dxa"/>
          </w:tcPr>
          <w:p w14:paraId="4B0B3826">
            <w:pPr>
              <w:rPr>
                <w:rFonts w:hint="default" w:ascii="Times New Roman" w:hAnsi="Times New Roman" w:cs="Times New Roman"/>
                <w:color w:val="auto"/>
                <w:szCs w:val="21"/>
              </w:rPr>
            </w:pPr>
          </w:p>
        </w:tc>
      </w:tr>
      <w:tr w14:paraId="1E0085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F062F6E">
            <w:pPr>
              <w:rPr>
                <w:rFonts w:hint="default" w:ascii="Times New Roman" w:hAnsi="Times New Roman" w:cs="Times New Roman"/>
                <w:color w:val="auto"/>
                <w:szCs w:val="21"/>
              </w:rPr>
            </w:pPr>
          </w:p>
        </w:tc>
        <w:tc>
          <w:tcPr>
            <w:tcW w:w="957" w:type="dxa"/>
            <w:tcBorders>
              <w:right w:val="single" w:color="auto" w:sz="4" w:space="0"/>
            </w:tcBorders>
          </w:tcPr>
          <w:p w14:paraId="5832E58A">
            <w:pPr>
              <w:rPr>
                <w:rFonts w:hint="default" w:ascii="Times New Roman" w:hAnsi="Times New Roman" w:cs="Times New Roman"/>
                <w:color w:val="auto"/>
                <w:szCs w:val="21"/>
              </w:rPr>
            </w:pPr>
          </w:p>
        </w:tc>
        <w:tc>
          <w:tcPr>
            <w:tcW w:w="2124" w:type="dxa"/>
            <w:tcBorders>
              <w:left w:val="single" w:color="auto" w:sz="4" w:space="0"/>
            </w:tcBorders>
          </w:tcPr>
          <w:p w14:paraId="027CDB90">
            <w:pPr>
              <w:rPr>
                <w:rFonts w:hint="default" w:ascii="Times New Roman" w:hAnsi="Times New Roman" w:cs="Times New Roman"/>
                <w:color w:val="auto"/>
                <w:szCs w:val="21"/>
              </w:rPr>
            </w:pPr>
          </w:p>
        </w:tc>
        <w:tc>
          <w:tcPr>
            <w:tcW w:w="2127" w:type="dxa"/>
          </w:tcPr>
          <w:p w14:paraId="4BDADE3C">
            <w:pPr>
              <w:rPr>
                <w:rFonts w:hint="default" w:ascii="Times New Roman" w:hAnsi="Times New Roman" w:cs="Times New Roman"/>
                <w:color w:val="auto"/>
                <w:szCs w:val="21"/>
              </w:rPr>
            </w:pPr>
          </w:p>
        </w:tc>
        <w:tc>
          <w:tcPr>
            <w:tcW w:w="992" w:type="dxa"/>
          </w:tcPr>
          <w:p w14:paraId="7B238A66">
            <w:pPr>
              <w:rPr>
                <w:rFonts w:hint="default" w:ascii="Times New Roman" w:hAnsi="Times New Roman" w:cs="Times New Roman"/>
                <w:color w:val="auto"/>
                <w:szCs w:val="21"/>
              </w:rPr>
            </w:pPr>
          </w:p>
        </w:tc>
        <w:tc>
          <w:tcPr>
            <w:tcW w:w="709" w:type="dxa"/>
            <w:tcBorders>
              <w:top w:val="single" w:color="auto" w:sz="4" w:space="0"/>
              <w:bottom w:val="single" w:color="auto" w:sz="4" w:space="0"/>
            </w:tcBorders>
          </w:tcPr>
          <w:p w14:paraId="6304819E">
            <w:pPr>
              <w:rPr>
                <w:rFonts w:hint="default" w:ascii="Times New Roman" w:hAnsi="Times New Roman" w:cs="Times New Roman"/>
                <w:color w:val="auto"/>
                <w:szCs w:val="21"/>
              </w:rPr>
            </w:pPr>
          </w:p>
        </w:tc>
        <w:tc>
          <w:tcPr>
            <w:tcW w:w="751" w:type="dxa"/>
            <w:tcBorders>
              <w:top w:val="single" w:color="auto" w:sz="4" w:space="0"/>
              <w:bottom w:val="single" w:color="auto" w:sz="4" w:space="0"/>
            </w:tcBorders>
          </w:tcPr>
          <w:p w14:paraId="450E5006">
            <w:pPr>
              <w:rPr>
                <w:rFonts w:hint="default" w:ascii="Times New Roman" w:hAnsi="Times New Roman" w:cs="Times New Roman"/>
                <w:color w:val="auto"/>
                <w:szCs w:val="21"/>
              </w:rPr>
            </w:pPr>
          </w:p>
        </w:tc>
        <w:tc>
          <w:tcPr>
            <w:tcW w:w="971" w:type="dxa"/>
          </w:tcPr>
          <w:p w14:paraId="1C41FBFD">
            <w:pPr>
              <w:rPr>
                <w:rFonts w:hint="default" w:ascii="Times New Roman" w:hAnsi="Times New Roman" w:cs="Times New Roman"/>
                <w:color w:val="auto"/>
                <w:szCs w:val="21"/>
              </w:rPr>
            </w:pPr>
          </w:p>
        </w:tc>
      </w:tr>
      <w:tr w14:paraId="3188D6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28008F8">
            <w:pPr>
              <w:rPr>
                <w:rFonts w:hint="default" w:ascii="Times New Roman" w:hAnsi="Times New Roman" w:cs="Times New Roman"/>
                <w:color w:val="auto"/>
                <w:szCs w:val="21"/>
              </w:rPr>
            </w:pPr>
          </w:p>
        </w:tc>
        <w:tc>
          <w:tcPr>
            <w:tcW w:w="957" w:type="dxa"/>
            <w:tcBorders>
              <w:right w:val="single" w:color="auto" w:sz="4" w:space="0"/>
            </w:tcBorders>
          </w:tcPr>
          <w:p w14:paraId="03CDEC48">
            <w:pPr>
              <w:rPr>
                <w:rFonts w:hint="default" w:ascii="Times New Roman" w:hAnsi="Times New Roman" w:cs="Times New Roman"/>
                <w:color w:val="auto"/>
                <w:szCs w:val="21"/>
              </w:rPr>
            </w:pPr>
          </w:p>
        </w:tc>
        <w:tc>
          <w:tcPr>
            <w:tcW w:w="2124" w:type="dxa"/>
            <w:tcBorders>
              <w:left w:val="single" w:color="auto" w:sz="4" w:space="0"/>
            </w:tcBorders>
          </w:tcPr>
          <w:p w14:paraId="6E7455D6">
            <w:pPr>
              <w:rPr>
                <w:rFonts w:hint="default" w:ascii="Times New Roman" w:hAnsi="Times New Roman" w:cs="Times New Roman"/>
                <w:color w:val="auto"/>
                <w:szCs w:val="21"/>
              </w:rPr>
            </w:pPr>
          </w:p>
        </w:tc>
        <w:tc>
          <w:tcPr>
            <w:tcW w:w="2127" w:type="dxa"/>
          </w:tcPr>
          <w:p w14:paraId="5CB4E899">
            <w:pPr>
              <w:rPr>
                <w:rFonts w:hint="default" w:ascii="Times New Roman" w:hAnsi="Times New Roman" w:cs="Times New Roman"/>
                <w:color w:val="auto"/>
                <w:szCs w:val="21"/>
              </w:rPr>
            </w:pPr>
          </w:p>
        </w:tc>
        <w:tc>
          <w:tcPr>
            <w:tcW w:w="992" w:type="dxa"/>
          </w:tcPr>
          <w:p w14:paraId="57B0680F">
            <w:pPr>
              <w:rPr>
                <w:rFonts w:hint="default" w:ascii="Times New Roman" w:hAnsi="Times New Roman" w:cs="Times New Roman"/>
                <w:color w:val="auto"/>
                <w:szCs w:val="21"/>
              </w:rPr>
            </w:pPr>
          </w:p>
        </w:tc>
        <w:tc>
          <w:tcPr>
            <w:tcW w:w="709" w:type="dxa"/>
            <w:tcBorders>
              <w:top w:val="single" w:color="auto" w:sz="4" w:space="0"/>
              <w:bottom w:val="single" w:color="auto" w:sz="4" w:space="0"/>
            </w:tcBorders>
          </w:tcPr>
          <w:p w14:paraId="49906126">
            <w:pPr>
              <w:rPr>
                <w:rFonts w:hint="default" w:ascii="Times New Roman" w:hAnsi="Times New Roman" w:cs="Times New Roman"/>
                <w:color w:val="auto"/>
                <w:szCs w:val="21"/>
              </w:rPr>
            </w:pPr>
          </w:p>
        </w:tc>
        <w:tc>
          <w:tcPr>
            <w:tcW w:w="751" w:type="dxa"/>
            <w:tcBorders>
              <w:top w:val="single" w:color="auto" w:sz="4" w:space="0"/>
              <w:bottom w:val="single" w:color="auto" w:sz="4" w:space="0"/>
            </w:tcBorders>
          </w:tcPr>
          <w:p w14:paraId="15623816">
            <w:pPr>
              <w:rPr>
                <w:rFonts w:hint="default" w:ascii="Times New Roman" w:hAnsi="Times New Roman" w:cs="Times New Roman"/>
                <w:color w:val="auto"/>
                <w:szCs w:val="21"/>
              </w:rPr>
            </w:pPr>
          </w:p>
        </w:tc>
        <w:tc>
          <w:tcPr>
            <w:tcW w:w="971" w:type="dxa"/>
          </w:tcPr>
          <w:p w14:paraId="5ADEA845">
            <w:pPr>
              <w:rPr>
                <w:rFonts w:hint="default" w:ascii="Times New Roman" w:hAnsi="Times New Roman" w:cs="Times New Roman"/>
                <w:color w:val="auto"/>
                <w:szCs w:val="21"/>
              </w:rPr>
            </w:pPr>
          </w:p>
        </w:tc>
      </w:tr>
      <w:tr w14:paraId="33E6C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4AEB7DE">
            <w:pPr>
              <w:rPr>
                <w:rFonts w:hint="default" w:ascii="Times New Roman" w:hAnsi="Times New Roman" w:cs="Times New Roman"/>
                <w:color w:val="auto"/>
                <w:szCs w:val="21"/>
              </w:rPr>
            </w:pPr>
          </w:p>
        </w:tc>
        <w:tc>
          <w:tcPr>
            <w:tcW w:w="957" w:type="dxa"/>
            <w:tcBorders>
              <w:right w:val="single" w:color="auto" w:sz="4" w:space="0"/>
            </w:tcBorders>
          </w:tcPr>
          <w:p w14:paraId="23EFBE98">
            <w:pPr>
              <w:rPr>
                <w:rFonts w:hint="default" w:ascii="Times New Roman" w:hAnsi="Times New Roman" w:cs="Times New Roman"/>
                <w:color w:val="auto"/>
                <w:szCs w:val="21"/>
              </w:rPr>
            </w:pPr>
          </w:p>
        </w:tc>
        <w:tc>
          <w:tcPr>
            <w:tcW w:w="2124" w:type="dxa"/>
            <w:tcBorders>
              <w:left w:val="single" w:color="auto" w:sz="4" w:space="0"/>
            </w:tcBorders>
          </w:tcPr>
          <w:p w14:paraId="7328FE96">
            <w:pPr>
              <w:rPr>
                <w:rFonts w:hint="default" w:ascii="Times New Roman" w:hAnsi="Times New Roman" w:cs="Times New Roman"/>
                <w:color w:val="auto"/>
                <w:szCs w:val="21"/>
              </w:rPr>
            </w:pPr>
          </w:p>
        </w:tc>
        <w:tc>
          <w:tcPr>
            <w:tcW w:w="2127" w:type="dxa"/>
          </w:tcPr>
          <w:p w14:paraId="7FEF32CE">
            <w:pPr>
              <w:rPr>
                <w:rFonts w:hint="default" w:ascii="Times New Roman" w:hAnsi="Times New Roman" w:cs="Times New Roman"/>
                <w:color w:val="auto"/>
                <w:szCs w:val="21"/>
              </w:rPr>
            </w:pPr>
          </w:p>
        </w:tc>
        <w:tc>
          <w:tcPr>
            <w:tcW w:w="992" w:type="dxa"/>
          </w:tcPr>
          <w:p w14:paraId="4DAB4CF4">
            <w:pPr>
              <w:rPr>
                <w:rFonts w:hint="default" w:ascii="Times New Roman" w:hAnsi="Times New Roman" w:cs="Times New Roman"/>
                <w:color w:val="auto"/>
                <w:szCs w:val="21"/>
              </w:rPr>
            </w:pPr>
          </w:p>
        </w:tc>
        <w:tc>
          <w:tcPr>
            <w:tcW w:w="709" w:type="dxa"/>
            <w:tcBorders>
              <w:top w:val="single" w:color="auto" w:sz="4" w:space="0"/>
            </w:tcBorders>
          </w:tcPr>
          <w:p w14:paraId="4508BAB6">
            <w:pPr>
              <w:rPr>
                <w:rFonts w:hint="default" w:ascii="Times New Roman" w:hAnsi="Times New Roman" w:cs="Times New Roman"/>
                <w:color w:val="auto"/>
                <w:szCs w:val="21"/>
              </w:rPr>
            </w:pPr>
          </w:p>
        </w:tc>
        <w:tc>
          <w:tcPr>
            <w:tcW w:w="751" w:type="dxa"/>
            <w:tcBorders>
              <w:top w:val="single" w:color="auto" w:sz="4" w:space="0"/>
            </w:tcBorders>
          </w:tcPr>
          <w:p w14:paraId="2DC5842A">
            <w:pPr>
              <w:rPr>
                <w:rFonts w:hint="default" w:ascii="Times New Roman" w:hAnsi="Times New Roman" w:cs="Times New Roman"/>
                <w:color w:val="auto"/>
                <w:szCs w:val="21"/>
              </w:rPr>
            </w:pPr>
          </w:p>
        </w:tc>
        <w:tc>
          <w:tcPr>
            <w:tcW w:w="971" w:type="dxa"/>
          </w:tcPr>
          <w:p w14:paraId="54620DB6">
            <w:pPr>
              <w:rPr>
                <w:rFonts w:hint="default" w:ascii="Times New Roman" w:hAnsi="Times New Roman" w:cs="Times New Roman"/>
                <w:color w:val="auto"/>
                <w:szCs w:val="21"/>
              </w:rPr>
            </w:pPr>
          </w:p>
        </w:tc>
      </w:tr>
    </w:tbl>
    <w:p w14:paraId="0B024918">
      <w:pPr>
        <w:adjustRightInd w:val="0"/>
        <w:snapToGrid w:val="0"/>
        <w:spacing w:beforeLines="50" w:line="360" w:lineRule="auto"/>
        <w:jc w:val="center"/>
        <w:rPr>
          <w:rFonts w:hint="default" w:ascii="Times New Roman" w:hAnsi="Times New Roman" w:eastAsia="黑体" w:cs="Times New Roman"/>
          <w:b/>
          <w:bCs/>
          <w:color w:val="auto"/>
          <w:sz w:val="28"/>
          <w:szCs w:val="28"/>
        </w:rPr>
      </w:pPr>
    </w:p>
    <w:p w14:paraId="29E1EEBB">
      <w:pPr>
        <w:jc w:val="center"/>
        <w:rPr>
          <w:rFonts w:hint="default" w:ascii="Times New Roman" w:hAnsi="Times New Roman" w:cs="Times New Roman" w:eastAsiaTheme="minorEastAsia"/>
          <w:color w:val="auto"/>
          <w:szCs w:val="21"/>
        </w:rPr>
      </w:pPr>
    </w:p>
    <w:p w14:paraId="3A2DB578">
      <w:pPr>
        <w:adjustRightInd w:val="0"/>
        <w:snapToGrid w:val="0"/>
        <w:spacing w:line="360" w:lineRule="auto"/>
        <w:rPr>
          <w:rFonts w:hint="default" w:ascii="Times New Roman" w:hAnsi="Times New Roman" w:cs="Times New Roman"/>
          <w:color w:val="auto"/>
        </w:rPr>
      </w:pPr>
    </w:p>
    <w:p w14:paraId="190EF47B">
      <w:pPr>
        <w:adjustRightInd w:val="0"/>
        <w:snapToGrid w:val="0"/>
        <w:spacing w:line="360" w:lineRule="auto"/>
        <w:rPr>
          <w:rFonts w:hint="default" w:ascii="Times New Roman" w:hAnsi="Times New Roman" w:cs="Times New Roman"/>
          <w:color w:val="auto"/>
          <w:szCs w:val="21"/>
        </w:rPr>
      </w:pPr>
    </w:p>
    <w:p w14:paraId="41AD47AD">
      <w:pPr>
        <w:adjustRightInd w:val="0"/>
        <w:snapToGrid w:val="0"/>
        <w:spacing w:line="360" w:lineRule="auto"/>
        <w:rPr>
          <w:rFonts w:hint="default" w:ascii="Times New Roman" w:hAnsi="Times New Roman" w:cs="Times New Roman"/>
          <w:color w:val="auto"/>
          <w:szCs w:val="21"/>
        </w:rPr>
      </w:pPr>
    </w:p>
    <w:p w14:paraId="5AAA40B8">
      <w:pPr>
        <w:adjustRightInd w:val="0"/>
        <w:snapToGrid w:val="0"/>
        <w:spacing w:line="360" w:lineRule="auto"/>
        <w:rPr>
          <w:rFonts w:hint="default" w:ascii="Times New Roman" w:hAnsi="Times New Roman" w:eastAsia="黑体" w:cs="Times New Roman"/>
          <w:color w:val="auto"/>
          <w:sz w:val="28"/>
          <w:szCs w:val="28"/>
        </w:rPr>
        <w:sectPr>
          <w:headerReference r:id="rId12" w:type="first"/>
          <w:headerReference r:id="rId10" w:type="default"/>
          <w:footerReference r:id="rId13" w:type="default"/>
          <w:headerReference r:id="rId11" w:type="even"/>
          <w:pgSz w:w="11906" w:h="16838"/>
          <w:pgMar w:top="1474" w:right="1474" w:bottom="1474" w:left="1588" w:header="851" w:footer="992" w:gutter="0"/>
          <w:pgNumType w:fmt="decimal"/>
          <w:cols w:space="720" w:num="1"/>
          <w:docGrid w:type="lines" w:linePitch="312" w:charSpace="0"/>
        </w:sectPr>
      </w:pPr>
    </w:p>
    <w:p w14:paraId="5FE0AED4">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205" w:name="_Toc25457"/>
      <w:bookmarkStart w:id="206" w:name="_Toc17181"/>
      <w:r>
        <w:rPr>
          <w:rFonts w:hint="default" w:ascii="Times New Roman" w:hAnsi="Times New Roman" w:eastAsia="黑体" w:cs="Times New Roman"/>
          <w:color w:val="auto"/>
          <w:sz w:val="28"/>
          <w:szCs w:val="28"/>
        </w:rPr>
        <w:t>八、合同条款偏离表</w:t>
      </w:r>
      <w:bookmarkEnd w:id="202"/>
      <w:bookmarkEnd w:id="205"/>
      <w:bookmarkEnd w:id="206"/>
    </w:p>
    <w:p w14:paraId="4E7B2A9A">
      <w:pPr>
        <w:adjustRightInd w:val="0"/>
        <w:snapToGrid w:val="0"/>
        <w:spacing w:beforeLines="50" w:line="360" w:lineRule="auto"/>
        <w:rPr>
          <w:rFonts w:hint="default" w:ascii="Times New Roman" w:hAnsi="Times New Roman" w:cs="Times New Roman" w:eastAsiaTheme="minorEastAsia"/>
          <w:color w:val="auto"/>
          <w:szCs w:val="21"/>
          <w:u w:val="single"/>
        </w:rPr>
      </w:pPr>
      <w:r>
        <w:rPr>
          <w:rFonts w:hint="default" w:ascii="Times New Roman" w:hAnsi="Times New Roman" w:cs="Times New Roman"/>
          <w:color w:val="auto"/>
          <w:spacing w:val="28"/>
          <w:szCs w:val="21"/>
        </w:rPr>
        <w:t>采购代理编号</w:t>
      </w:r>
      <w:r>
        <w:rPr>
          <w:rFonts w:hint="default" w:ascii="Times New Roman" w:hAnsi="Times New Roman" w:cs="Times New Roman"/>
          <w:color w:val="auto"/>
          <w:szCs w:val="21"/>
        </w:rPr>
        <w:t xml:space="preserve">： </w:t>
      </w:r>
      <w:r>
        <w:rPr>
          <w:rFonts w:hint="default" w:ascii="Times New Roman" w:hAnsi="Times New Roman" w:cs="Times New Roman" w:eastAsiaTheme="minorEastAsia"/>
          <w:color w:val="auto"/>
          <w:szCs w:val="21"/>
        </w:rPr>
        <w:t>项目名称：</w:t>
      </w:r>
      <w:r>
        <w:rPr>
          <w:rFonts w:hint="default" w:ascii="Times New Roman" w:hAnsi="Times New Roman" w:cs="Times New Roman" w:eastAsiaTheme="minorEastAsia"/>
          <w:color w:val="auto"/>
          <w:szCs w:val="21"/>
          <w:u w:val="single"/>
        </w:rPr>
        <w:t>____            ______</w:t>
      </w:r>
    </w:p>
    <w:p w14:paraId="596A2336">
      <w:pPr>
        <w:adjustRightInd w:val="0"/>
        <w:snapToGrid w:val="0"/>
        <w:spacing w:before="50" w:line="360" w:lineRule="auto"/>
        <w:rPr>
          <w:rFonts w:hint="default" w:ascii="Times New Roman" w:hAnsi="Times New Roman" w:cs="Times New Roman"/>
          <w:color w:val="auto"/>
          <w:szCs w:val="21"/>
          <w:u w:val="single"/>
        </w:rPr>
      </w:pPr>
      <w:r>
        <w:rPr>
          <w:rFonts w:hint="default" w:ascii="Times New Roman" w:hAnsi="Times New Roman" w:cs="Times New Roman" w:eastAsiaTheme="minorEastAsia"/>
          <w:color w:val="auto"/>
          <w:szCs w:val="21"/>
        </w:rPr>
        <w:t>包           号：</w:t>
      </w:r>
      <w:r>
        <w:rPr>
          <w:rFonts w:hint="default" w:ascii="Times New Roman" w:hAnsi="Times New Roman" w:cs="Times New Roman" w:eastAsiaTheme="minorEastAsia"/>
          <w:color w:val="auto"/>
          <w:szCs w:val="21"/>
          <w:u w:val="single"/>
        </w:rPr>
        <w:t xml:space="preserve">__    ________          </w:t>
      </w:r>
      <w:r>
        <w:rPr>
          <w:rFonts w:hint="default" w:ascii="Times New Roman" w:hAnsi="Times New Roman" w:cs="Times New Roman" w:eastAsiaTheme="minorEastAsia"/>
          <w:color w:val="auto"/>
          <w:szCs w:val="21"/>
        </w:rPr>
        <w:t xml:space="preserve">           包名称：</w:t>
      </w:r>
      <w:r>
        <w:rPr>
          <w:rFonts w:hint="default" w:ascii="Times New Roman" w:hAnsi="Times New Roman" w:cs="Times New Roman" w:eastAsiaTheme="minorEastAsia"/>
          <w:color w:val="auto"/>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19B6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7603971">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bCs/>
                <w:color w:val="auto"/>
                <w:szCs w:val="21"/>
              </w:rPr>
              <w:t>序</w:t>
            </w:r>
            <w:r>
              <w:rPr>
                <w:rFonts w:hint="default" w:ascii="Times New Roman" w:hAnsi="Times New Roman" w:cs="Times New Roman" w:eastAsiaTheme="minorEastAsia"/>
                <w:color w:val="auto"/>
                <w:szCs w:val="21"/>
              </w:rPr>
              <w:t>号</w:t>
            </w:r>
          </w:p>
        </w:tc>
        <w:tc>
          <w:tcPr>
            <w:tcW w:w="2410" w:type="dxa"/>
            <w:vAlign w:val="center"/>
          </w:tcPr>
          <w:p w14:paraId="2490961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招标文件章节</w:t>
            </w:r>
            <w:r>
              <w:rPr>
                <w:rFonts w:hint="default" w:ascii="Times New Roman" w:hAnsi="Times New Roman" w:cs="Times New Roman" w:eastAsiaTheme="minorEastAsia"/>
                <w:bCs/>
                <w:color w:val="auto"/>
                <w:szCs w:val="21"/>
              </w:rPr>
              <w:t>条</w:t>
            </w:r>
            <w:r>
              <w:rPr>
                <w:rFonts w:hint="default" w:ascii="Times New Roman" w:hAnsi="Times New Roman" w:cs="Times New Roman" w:eastAsiaTheme="minorEastAsia"/>
                <w:color w:val="auto"/>
                <w:szCs w:val="21"/>
              </w:rPr>
              <w:t>款号</w:t>
            </w:r>
          </w:p>
        </w:tc>
        <w:tc>
          <w:tcPr>
            <w:tcW w:w="1985" w:type="dxa"/>
            <w:vAlign w:val="center"/>
          </w:tcPr>
          <w:p w14:paraId="1407377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color w:val="auto"/>
              </w:rPr>
              <w:t>招标文件要求</w:t>
            </w:r>
          </w:p>
        </w:tc>
        <w:tc>
          <w:tcPr>
            <w:tcW w:w="2082" w:type="dxa"/>
            <w:tcBorders>
              <w:right w:val="single" w:color="auto" w:sz="4" w:space="0"/>
            </w:tcBorders>
            <w:vAlign w:val="center"/>
          </w:tcPr>
          <w:p w14:paraId="3A3C5770">
            <w:pPr>
              <w:adjustRightInd w:val="0"/>
              <w:snapToGrid w:val="0"/>
              <w:spacing w:before="50" w:line="360" w:lineRule="auto"/>
              <w:jc w:val="center"/>
              <w:rPr>
                <w:rFonts w:hint="default" w:ascii="Times New Roman" w:hAnsi="Times New Roman" w:cs="Times New Roman" w:eastAsiaTheme="minorEastAsia"/>
                <w:color w:val="auto"/>
                <w:szCs w:val="21"/>
              </w:rPr>
            </w:pPr>
            <w:r>
              <w:rPr>
                <w:rFonts w:hint="default" w:ascii="Times New Roman" w:hAnsi="Times New Roman" w:cs="Times New Roman"/>
                <w:color w:val="auto"/>
              </w:rPr>
              <w:t>投标文件的应答</w:t>
            </w:r>
          </w:p>
        </w:tc>
        <w:tc>
          <w:tcPr>
            <w:tcW w:w="1942" w:type="dxa"/>
            <w:tcBorders>
              <w:left w:val="single" w:color="auto" w:sz="4" w:space="0"/>
            </w:tcBorders>
            <w:vAlign w:val="center"/>
          </w:tcPr>
          <w:p w14:paraId="1B7CB03F">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偏离说明</w:t>
            </w:r>
          </w:p>
        </w:tc>
      </w:tr>
      <w:tr w14:paraId="74D701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B64322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60112F8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Pr>
          <w:p w14:paraId="32B91BB3">
            <w:pPr>
              <w:adjustRightInd w:val="0"/>
              <w:snapToGrid w:val="0"/>
              <w:spacing w:before="50" w:line="360" w:lineRule="auto"/>
              <w:rPr>
                <w:rFonts w:hint="default" w:ascii="Times New Roman" w:hAnsi="Times New Roman" w:cs="Times New Roman"/>
                <w:color w:val="auto"/>
              </w:rPr>
            </w:pPr>
          </w:p>
        </w:tc>
        <w:tc>
          <w:tcPr>
            <w:tcW w:w="2082" w:type="dxa"/>
            <w:tcBorders>
              <w:right w:val="single" w:color="auto" w:sz="4" w:space="0"/>
            </w:tcBorders>
          </w:tcPr>
          <w:p w14:paraId="091472C0">
            <w:pPr>
              <w:adjustRightInd w:val="0"/>
              <w:snapToGrid w:val="0"/>
              <w:spacing w:before="50" w:line="360" w:lineRule="auto"/>
              <w:rPr>
                <w:rFonts w:hint="default" w:ascii="Times New Roman" w:hAnsi="Times New Roman" w:cs="Times New Roman"/>
                <w:color w:val="auto"/>
              </w:rPr>
            </w:pPr>
          </w:p>
        </w:tc>
        <w:tc>
          <w:tcPr>
            <w:tcW w:w="1942" w:type="dxa"/>
            <w:tcBorders>
              <w:left w:val="single" w:color="auto" w:sz="4" w:space="0"/>
            </w:tcBorders>
          </w:tcPr>
          <w:p w14:paraId="2B1B1AC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4E71D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8A78D2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33D990B7">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26E5BD6B">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082" w:type="dxa"/>
            <w:tcBorders>
              <w:right w:val="single" w:color="auto" w:sz="4" w:space="0"/>
            </w:tcBorders>
            <w:vAlign w:val="center"/>
          </w:tcPr>
          <w:p w14:paraId="1D44724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42" w:type="dxa"/>
            <w:tcBorders>
              <w:left w:val="single" w:color="auto" w:sz="4" w:space="0"/>
            </w:tcBorders>
            <w:vAlign w:val="center"/>
          </w:tcPr>
          <w:p w14:paraId="04D2B797">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3BCB3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1D5B3C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51FC96D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53C9AB05">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082" w:type="dxa"/>
            <w:tcBorders>
              <w:right w:val="single" w:color="auto" w:sz="4" w:space="0"/>
            </w:tcBorders>
            <w:vAlign w:val="center"/>
          </w:tcPr>
          <w:p w14:paraId="24D9B1C5">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42" w:type="dxa"/>
            <w:tcBorders>
              <w:left w:val="single" w:color="auto" w:sz="4" w:space="0"/>
            </w:tcBorders>
            <w:vAlign w:val="center"/>
          </w:tcPr>
          <w:p w14:paraId="0ADED24E">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6F3E15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EBB3E82">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1E4B2A72">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312E0D81">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082" w:type="dxa"/>
            <w:tcBorders>
              <w:right w:val="single" w:color="auto" w:sz="4" w:space="0"/>
            </w:tcBorders>
            <w:vAlign w:val="center"/>
          </w:tcPr>
          <w:p w14:paraId="4EBDA3D5">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42" w:type="dxa"/>
            <w:tcBorders>
              <w:left w:val="single" w:color="auto" w:sz="4" w:space="0"/>
            </w:tcBorders>
            <w:vAlign w:val="center"/>
          </w:tcPr>
          <w:p w14:paraId="4E68336B">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4166B4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C40CD99">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0BFA93AA">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3FBE449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082" w:type="dxa"/>
            <w:tcBorders>
              <w:right w:val="single" w:color="auto" w:sz="4" w:space="0"/>
            </w:tcBorders>
            <w:vAlign w:val="center"/>
          </w:tcPr>
          <w:p w14:paraId="41929BAE">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42" w:type="dxa"/>
            <w:tcBorders>
              <w:left w:val="single" w:color="auto" w:sz="4" w:space="0"/>
            </w:tcBorders>
            <w:vAlign w:val="center"/>
          </w:tcPr>
          <w:p w14:paraId="3E704919">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13D34F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2333C10">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7FD4F03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18C5A20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082" w:type="dxa"/>
            <w:tcBorders>
              <w:right w:val="single" w:color="auto" w:sz="4" w:space="0"/>
            </w:tcBorders>
            <w:vAlign w:val="center"/>
          </w:tcPr>
          <w:p w14:paraId="07450791">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42" w:type="dxa"/>
            <w:tcBorders>
              <w:left w:val="single" w:color="auto" w:sz="4" w:space="0"/>
            </w:tcBorders>
            <w:vAlign w:val="center"/>
          </w:tcPr>
          <w:p w14:paraId="11B88961">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329A7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2725D2C">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01233F7F">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vAlign w:val="center"/>
          </w:tcPr>
          <w:p w14:paraId="26D8EB67">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4024" w:type="dxa"/>
            <w:gridSpan w:val="2"/>
            <w:vAlign w:val="center"/>
          </w:tcPr>
          <w:p w14:paraId="39C88806">
            <w:pPr>
              <w:adjustRightInd w:val="0"/>
              <w:snapToGrid w:val="0"/>
              <w:spacing w:before="50" w:line="360" w:lineRule="auto"/>
              <w:ind w:firstLine="422" w:firstLineChars="200"/>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投标人保证：除本合同条款偏离表列出的偏离外，我单位对招标文件的其他商务、合同条款完全响应，无偏离。</w:t>
            </w:r>
          </w:p>
        </w:tc>
      </w:tr>
    </w:tbl>
    <w:p w14:paraId="65CEBD10">
      <w:pPr>
        <w:adjustRightInd w:val="0"/>
        <w:snapToGrid w:val="0"/>
        <w:spacing w:before="50" w:line="360" w:lineRule="auto"/>
        <w:ind w:left="-88" w:leftChars="-42"/>
        <w:rPr>
          <w:rFonts w:hint="default" w:ascii="Times New Roman" w:hAnsi="Times New Roman" w:cs="Times New Roman"/>
          <w:color w:val="auto"/>
          <w:szCs w:val="21"/>
        </w:rPr>
      </w:pPr>
      <w:r>
        <w:rPr>
          <w:rFonts w:hint="default" w:ascii="Times New Roman" w:hAnsi="Times New Roman" w:cs="Times New Roman" w:eastAsiaTheme="minorEastAsia"/>
          <w:b/>
          <w:color w:val="auto"/>
          <w:szCs w:val="21"/>
        </w:rPr>
        <w:t>备注</w:t>
      </w:r>
      <w:r>
        <w:rPr>
          <w:rFonts w:hint="default" w:ascii="Times New Roman" w:hAnsi="Times New Roman" w:cs="Times New Roman" w:eastAsiaTheme="minorEastAsia"/>
          <w:color w:val="auto"/>
          <w:szCs w:val="21"/>
        </w:rPr>
        <w:t>：（1）</w:t>
      </w:r>
      <w:r>
        <w:rPr>
          <w:rFonts w:hint="default" w:ascii="Times New Roman" w:hAnsi="Times New Roman" w:cs="Times New Roman"/>
          <w:color w:val="auto"/>
          <w:szCs w:val="21"/>
        </w:rPr>
        <w:t>投标人应根据招标文件第六章</w:t>
      </w:r>
      <w:r>
        <w:rPr>
          <w:rFonts w:hint="default" w:ascii="Times New Roman" w:hAnsi="Times New Roman" w:eastAsia="华文宋体" w:cs="Times New Roman"/>
          <w:color w:val="auto"/>
          <w:szCs w:val="21"/>
        </w:rPr>
        <w:t>“</w:t>
      </w:r>
      <w:r>
        <w:rPr>
          <w:rFonts w:hint="default" w:ascii="Times New Roman" w:hAnsi="Times New Roman" w:cs="Times New Roman"/>
          <w:color w:val="auto"/>
          <w:szCs w:val="21"/>
        </w:rPr>
        <w:t>政府采购合同</w:t>
      </w:r>
      <w:r>
        <w:rPr>
          <w:rFonts w:hint="default" w:ascii="Times New Roman" w:hAnsi="Times New Roman" w:eastAsia="华文宋体" w:cs="Times New Roman"/>
          <w:color w:val="auto"/>
          <w:szCs w:val="21"/>
        </w:rPr>
        <w:t>”</w:t>
      </w:r>
      <w:r>
        <w:rPr>
          <w:rFonts w:hint="default" w:ascii="Times New Roman" w:hAnsi="Times New Roman" w:cs="Times New Roman"/>
          <w:color w:val="auto"/>
          <w:szCs w:val="21"/>
        </w:rPr>
        <w:t>填写本表；</w:t>
      </w:r>
    </w:p>
    <w:p w14:paraId="017D08C2">
      <w:pPr>
        <w:adjustRightInd w:val="0"/>
        <w:snapToGrid w:val="0"/>
        <w:spacing w:before="50" w:line="360" w:lineRule="auto"/>
        <w:ind w:left="-88" w:leftChars="-42" w:firstLine="420" w:firstLineChars="200"/>
        <w:rPr>
          <w:rFonts w:hint="default" w:ascii="Times New Roman" w:hAnsi="Times New Roman" w:cs="Times New Roman"/>
          <w:b/>
          <w:color w:val="auto"/>
          <w:szCs w:val="21"/>
        </w:rPr>
      </w:pPr>
      <w:r>
        <w:rPr>
          <w:rFonts w:hint="default" w:ascii="Times New Roman" w:hAnsi="Times New Roman" w:cs="Times New Roman" w:eastAsiaTheme="minorEastAsia"/>
          <w:color w:val="auto"/>
          <w:szCs w:val="21"/>
        </w:rPr>
        <w:t>（2）</w:t>
      </w:r>
      <w:r>
        <w:rPr>
          <w:rFonts w:hint="default" w:ascii="Times New Roman" w:hAnsi="Times New Roman" w:cs="Times New Roman"/>
          <w:b/>
          <w:color w:val="auto"/>
          <w:szCs w:val="21"/>
        </w:rPr>
        <w:t>投标人如果对招标文件第六章“政府采购合同”的响应有偏离，应将偏离条款逐条如实应答，并作出说明；</w:t>
      </w:r>
    </w:p>
    <w:p w14:paraId="2CF5A2BA">
      <w:pPr>
        <w:adjustRightInd w:val="0"/>
        <w:snapToGrid w:val="0"/>
        <w:spacing w:before="50" w:line="360" w:lineRule="auto"/>
        <w:ind w:left="-88" w:leftChars="-42"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（3）</w:t>
      </w:r>
      <w:r>
        <w:rPr>
          <w:rFonts w:hint="default" w:ascii="Times New Roman" w:hAnsi="Times New Roman" w:cs="Times New Roman"/>
          <w:color w:val="auto"/>
          <w:szCs w:val="21"/>
        </w:rPr>
        <w:t>如不提供此表，则视为投标人不满足招标文件第六章的所有条款要求，</w:t>
      </w:r>
      <w:r>
        <w:rPr>
          <w:rFonts w:hint="default" w:ascii="Times New Roman" w:hAnsi="Times New Roman" w:cs="Times New Roman" w:eastAsiaTheme="minorEastAsia"/>
          <w:color w:val="auto"/>
          <w:szCs w:val="21"/>
        </w:rPr>
        <w:t>其</w:t>
      </w:r>
      <w:r>
        <w:rPr>
          <w:rFonts w:hint="default" w:ascii="Times New Roman" w:hAnsi="Times New Roman" w:cs="Times New Roman" w:eastAsiaTheme="minorEastAsia"/>
          <w:b/>
          <w:color w:val="auto"/>
          <w:szCs w:val="21"/>
        </w:rPr>
        <w:t>投标无效</w:t>
      </w:r>
      <w:r>
        <w:rPr>
          <w:rFonts w:hint="default" w:ascii="Times New Roman" w:hAnsi="Times New Roman" w:cs="Times New Roman"/>
          <w:color w:val="auto"/>
          <w:szCs w:val="21"/>
        </w:rPr>
        <w:t>。</w:t>
      </w:r>
    </w:p>
    <w:p w14:paraId="00F2E123">
      <w:pPr>
        <w:adjustRightInd w:val="0"/>
        <w:snapToGrid w:val="0"/>
        <w:spacing w:before="50" w:line="360" w:lineRule="auto"/>
        <w:ind w:left="-88" w:leftChars="-42" w:firstLine="420" w:firstLineChars="200"/>
        <w:rPr>
          <w:rFonts w:hint="default" w:ascii="Times New Roman" w:hAnsi="Times New Roman" w:cs="Times New Roman"/>
          <w:color w:val="auto"/>
          <w:szCs w:val="21"/>
        </w:rPr>
      </w:pPr>
      <w:r>
        <w:rPr>
          <w:rFonts w:hint="default" w:ascii="Times New Roman" w:hAnsi="Times New Roman" w:cs="Times New Roman" w:eastAsiaTheme="minorEastAsia"/>
          <w:color w:val="auto"/>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B6F1B10">
      <w:pPr>
        <w:adjustRightInd w:val="0"/>
        <w:snapToGrid w:val="0"/>
        <w:spacing w:before="50" w:line="360" w:lineRule="auto"/>
        <w:rPr>
          <w:rFonts w:hint="default" w:ascii="Times New Roman" w:hAnsi="Times New Roman" w:cs="Times New Roman" w:eastAsiaTheme="minorEastAsia"/>
          <w:color w:val="auto"/>
          <w:szCs w:val="21"/>
        </w:rPr>
      </w:pPr>
    </w:p>
    <w:p w14:paraId="552AC752">
      <w:pPr>
        <w:adjustRightInd w:val="0"/>
        <w:snapToGrid w:val="0"/>
        <w:spacing w:before="50" w:line="360" w:lineRule="auto"/>
        <w:rPr>
          <w:rFonts w:hint="default" w:ascii="Times New Roman" w:hAnsi="Times New Roman" w:cs="Times New Roman"/>
          <w:color w:val="auto"/>
          <w:szCs w:val="21"/>
        </w:rPr>
      </w:pPr>
    </w:p>
    <w:p w14:paraId="134A74DC">
      <w:pPr>
        <w:adjustRightInd w:val="0"/>
        <w:snapToGrid w:val="0"/>
        <w:spacing w:before="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053A6C8B">
      <w:pPr>
        <w:adjustRightInd w:val="0"/>
        <w:snapToGrid w:val="0"/>
        <w:spacing w:before="50"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或其授权的代理人（签字或签章）：</w:t>
      </w:r>
    </w:p>
    <w:p w14:paraId="7C608724">
      <w:pPr>
        <w:adjustRightInd w:val="0"/>
        <w:snapToGrid w:val="0"/>
        <w:spacing w:before="50" w:line="360" w:lineRule="auto"/>
        <w:rPr>
          <w:rFonts w:hint="default" w:ascii="Times New Roman" w:hAnsi="Times New Roman" w:eastAsia="黑体" w:cs="Times New Roman"/>
          <w:b/>
          <w:bCs/>
          <w:color w:val="auto"/>
          <w:sz w:val="28"/>
          <w:szCs w:val="28"/>
        </w:rPr>
      </w:pPr>
      <w:r>
        <w:rPr>
          <w:rFonts w:hint="default" w:ascii="Times New Roman" w:hAnsi="Times New Roman" w:cs="Times New Roman"/>
          <w:color w:val="auto"/>
          <w:szCs w:val="21"/>
        </w:rPr>
        <w:t>日       期：年月_日</w:t>
      </w:r>
      <w:r>
        <w:rPr>
          <w:rFonts w:hint="default" w:ascii="Times New Roman" w:hAnsi="Times New Roman" w:eastAsia="黑体" w:cs="Times New Roman"/>
          <w:color w:val="auto"/>
          <w:sz w:val="28"/>
          <w:szCs w:val="28"/>
        </w:rPr>
        <w:br w:type="page"/>
      </w:r>
    </w:p>
    <w:p w14:paraId="623A9F13">
      <w:pPr>
        <w:pStyle w:val="5"/>
        <w:adjustRightInd w:val="0"/>
        <w:snapToGrid w:val="0"/>
        <w:spacing w:beforeLines="50" w:after="0" w:line="360" w:lineRule="auto"/>
        <w:jc w:val="center"/>
        <w:rPr>
          <w:rFonts w:hint="default" w:ascii="Times New Roman" w:hAnsi="Times New Roman" w:eastAsia="黑体" w:cs="Times New Roman"/>
          <w:color w:val="auto"/>
          <w:sz w:val="28"/>
          <w:szCs w:val="28"/>
        </w:rPr>
      </w:pPr>
      <w:bookmarkStart w:id="207" w:name="_Toc4883"/>
      <w:bookmarkStart w:id="208" w:name="_Toc24790"/>
      <w:bookmarkStart w:id="209" w:name="_Toc29913968"/>
      <w:r>
        <w:rPr>
          <w:rFonts w:hint="default" w:ascii="Times New Roman" w:hAnsi="Times New Roman" w:eastAsia="黑体" w:cs="Times New Roman"/>
          <w:color w:val="auto"/>
          <w:sz w:val="28"/>
          <w:szCs w:val="28"/>
        </w:rPr>
        <w:t>九、采购需求（技术、商务）偏离表</w:t>
      </w:r>
      <w:bookmarkEnd w:id="207"/>
      <w:bookmarkEnd w:id="208"/>
      <w:bookmarkEnd w:id="209"/>
    </w:p>
    <w:p w14:paraId="746C7F74">
      <w:pPr>
        <w:adjustRightInd w:val="0"/>
        <w:snapToGrid w:val="0"/>
        <w:spacing w:beforeLines="50" w:line="360" w:lineRule="auto"/>
        <w:rPr>
          <w:rFonts w:hint="default" w:ascii="Times New Roman" w:hAnsi="Times New Roman" w:cs="Times New Roman" w:eastAsiaTheme="minorEastAsia"/>
          <w:color w:val="auto"/>
          <w:szCs w:val="21"/>
          <w:u w:val="single"/>
        </w:rPr>
      </w:pPr>
      <w:r>
        <w:rPr>
          <w:rFonts w:hint="default" w:ascii="Times New Roman" w:hAnsi="Times New Roman" w:cs="Times New Roman"/>
          <w:color w:val="auto"/>
          <w:spacing w:val="28"/>
          <w:szCs w:val="21"/>
        </w:rPr>
        <w:t>采购代理编号</w:t>
      </w:r>
      <w:r>
        <w:rPr>
          <w:rFonts w:hint="default" w:ascii="Times New Roman" w:hAnsi="Times New Roman" w:cs="Times New Roman"/>
          <w:color w:val="auto"/>
          <w:szCs w:val="21"/>
        </w:rPr>
        <w:t>：</w:t>
      </w:r>
      <w:r>
        <w:rPr>
          <w:rFonts w:hint="default" w:ascii="Times New Roman" w:hAnsi="Times New Roman" w:cs="Times New Roman" w:eastAsiaTheme="minorEastAsia"/>
          <w:color w:val="auto"/>
          <w:szCs w:val="21"/>
        </w:rPr>
        <w:t>项目名称：</w:t>
      </w:r>
      <w:r>
        <w:rPr>
          <w:rFonts w:hint="default" w:ascii="Times New Roman" w:hAnsi="Times New Roman" w:cs="Times New Roman" w:eastAsiaTheme="minorEastAsia"/>
          <w:color w:val="auto"/>
          <w:szCs w:val="21"/>
          <w:u w:val="single"/>
        </w:rPr>
        <w:t>____            ______</w:t>
      </w:r>
    </w:p>
    <w:p w14:paraId="380B1CC4">
      <w:pPr>
        <w:adjustRightInd w:val="0"/>
        <w:snapToGrid w:val="0"/>
        <w:spacing w:beforeLines="50" w:line="360" w:lineRule="auto"/>
        <w:rPr>
          <w:rFonts w:hint="default" w:ascii="Times New Roman" w:hAnsi="Times New Roman" w:cs="Times New Roman"/>
          <w:color w:val="auto"/>
          <w:szCs w:val="21"/>
          <w:u w:val="single"/>
        </w:rPr>
      </w:pPr>
      <w:r>
        <w:rPr>
          <w:rFonts w:hint="default" w:ascii="Times New Roman" w:hAnsi="Times New Roman" w:cs="Times New Roman" w:eastAsiaTheme="minorEastAsia"/>
          <w:color w:val="auto"/>
          <w:szCs w:val="21"/>
        </w:rPr>
        <w:t>包           号：</w:t>
      </w:r>
      <w:r>
        <w:rPr>
          <w:rFonts w:hint="default" w:ascii="Times New Roman" w:hAnsi="Times New Roman" w:cs="Times New Roman" w:eastAsiaTheme="minorEastAsia"/>
          <w:color w:val="auto"/>
          <w:szCs w:val="21"/>
          <w:u w:val="single"/>
        </w:rPr>
        <w:t xml:space="preserve">__    ________           </w:t>
      </w:r>
      <w:r>
        <w:rPr>
          <w:rFonts w:hint="default" w:ascii="Times New Roman" w:hAnsi="Times New Roman" w:cs="Times New Roman" w:eastAsiaTheme="minorEastAsia"/>
          <w:color w:val="auto"/>
          <w:szCs w:val="21"/>
        </w:rPr>
        <w:t xml:space="preserve">           包名称：</w:t>
      </w:r>
      <w:r>
        <w:rPr>
          <w:rFonts w:hint="default" w:ascii="Times New Roman" w:hAnsi="Times New Roman" w:cs="Times New Roman" w:eastAsiaTheme="minorEastAsia"/>
          <w:color w:val="auto"/>
          <w:szCs w:val="21"/>
          <w:u w:val="single"/>
        </w:rPr>
        <w:t>___          _______</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EF53D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8843233">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bCs/>
                <w:color w:val="auto"/>
                <w:szCs w:val="21"/>
              </w:rPr>
              <w:t>序</w:t>
            </w:r>
            <w:r>
              <w:rPr>
                <w:rFonts w:hint="default" w:ascii="Times New Roman" w:hAnsi="Times New Roman" w:cs="Times New Roman" w:eastAsiaTheme="minorEastAsia"/>
                <w:color w:val="auto"/>
                <w:szCs w:val="21"/>
              </w:rPr>
              <w:t>号</w:t>
            </w:r>
          </w:p>
        </w:tc>
        <w:tc>
          <w:tcPr>
            <w:tcW w:w="2410" w:type="dxa"/>
            <w:vAlign w:val="center"/>
          </w:tcPr>
          <w:p w14:paraId="4A8106DA">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招标文件章节</w:t>
            </w:r>
            <w:r>
              <w:rPr>
                <w:rFonts w:hint="default" w:ascii="Times New Roman" w:hAnsi="Times New Roman" w:cs="Times New Roman" w:eastAsiaTheme="minorEastAsia"/>
                <w:bCs/>
                <w:color w:val="auto"/>
                <w:szCs w:val="21"/>
              </w:rPr>
              <w:t>条</w:t>
            </w:r>
            <w:r>
              <w:rPr>
                <w:rFonts w:hint="default" w:ascii="Times New Roman" w:hAnsi="Times New Roman" w:cs="Times New Roman" w:eastAsiaTheme="minorEastAsia"/>
                <w:color w:val="auto"/>
                <w:szCs w:val="21"/>
              </w:rPr>
              <w:t>款号</w:t>
            </w:r>
          </w:p>
        </w:tc>
        <w:tc>
          <w:tcPr>
            <w:tcW w:w="1985" w:type="dxa"/>
            <w:tcBorders>
              <w:right w:val="single" w:color="auto" w:sz="4" w:space="0"/>
            </w:tcBorders>
          </w:tcPr>
          <w:p w14:paraId="747A579F">
            <w:pPr>
              <w:adjustRightInd w:val="0"/>
              <w:snapToGrid w:val="0"/>
              <w:spacing w:before="50" w:line="360" w:lineRule="auto"/>
              <w:jc w:val="center"/>
              <w:rPr>
                <w:rFonts w:hint="default" w:ascii="Times New Roman" w:hAnsi="Times New Roman" w:cs="Times New Roman"/>
                <w:color w:val="auto"/>
              </w:rPr>
            </w:pPr>
            <w:r>
              <w:rPr>
                <w:rFonts w:hint="default" w:ascii="Times New Roman" w:hAnsi="Times New Roman" w:cs="Times New Roman"/>
                <w:color w:val="auto"/>
              </w:rPr>
              <w:t>招标文件要求</w:t>
            </w:r>
          </w:p>
        </w:tc>
        <w:tc>
          <w:tcPr>
            <w:tcW w:w="2126" w:type="dxa"/>
            <w:tcBorders>
              <w:left w:val="single" w:color="auto" w:sz="4" w:space="0"/>
            </w:tcBorders>
          </w:tcPr>
          <w:p w14:paraId="4FBB9BD9">
            <w:pPr>
              <w:adjustRightInd w:val="0"/>
              <w:snapToGrid w:val="0"/>
              <w:spacing w:before="50" w:line="360" w:lineRule="auto"/>
              <w:jc w:val="center"/>
              <w:rPr>
                <w:rFonts w:hint="default" w:ascii="Times New Roman" w:hAnsi="Times New Roman" w:cs="Times New Roman"/>
                <w:color w:val="auto"/>
              </w:rPr>
            </w:pPr>
            <w:r>
              <w:rPr>
                <w:rFonts w:hint="default" w:ascii="Times New Roman" w:hAnsi="Times New Roman" w:cs="Times New Roman"/>
                <w:color w:val="auto"/>
              </w:rPr>
              <w:t>投标文件应答</w:t>
            </w:r>
          </w:p>
        </w:tc>
        <w:tc>
          <w:tcPr>
            <w:tcW w:w="1756" w:type="dxa"/>
            <w:vAlign w:val="center"/>
          </w:tcPr>
          <w:p w14:paraId="7611D1AE">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偏离说明</w:t>
            </w:r>
          </w:p>
        </w:tc>
      </w:tr>
      <w:tr w14:paraId="4596C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6BD918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7CF3586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409AF42C">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126" w:type="dxa"/>
            <w:tcBorders>
              <w:left w:val="single" w:color="auto" w:sz="4" w:space="0"/>
            </w:tcBorders>
            <w:vAlign w:val="center"/>
          </w:tcPr>
          <w:p w14:paraId="22F70612">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756" w:type="dxa"/>
            <w:vAlign w:val="center"/>
          </w:tcPr>
          <w:p w14:paraId="6A06C9C7">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6F330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D19598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4972BFA6">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46012989">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126" w:type="dxa"/>
            <w:tcBorders>
              <w:left w:val="single" w:color="auto" w:sz="4" w:space="0"/>
            </w:tcBorders>
            <w:vAlign w:val="center"/>
          </w:tcPr>
          <w:p w14:paraId="509B8C3A">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756" w:type="dxa"/>
            <w:vAlign w:val="center"/>
          </w:tcPr>
          <w:p w14:paraId="345688FD">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6F083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F78DDD9">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1EE543A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4EA9497C">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126" w:type="dxa"/>
            <w:tcBorders>
              <w:left w:val="single" w:color="auto" w:sz="4" w:space="0"/>
            </w:tcBorders>
            <w:vAlign w:val="center"/>
          </w:tcPr>
          <w:p w14:paraId="3B5B4528">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756" w:type="dxa"/>
            <w:vAlign w:val="center"/>
          </w:tcPr>
          <w:p w14:paraId="065EB2BB">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1117C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B0FC51E">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1CA6127F">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6DE8448F">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126" w:type="dxa"/>
            <w:tcBorders>
              <w:left w:val="single" w:color="auto" w:sz="4" w:space="0"/>
            </w:tcBorders>
            <w:vAlign w:val="center"/>
          </w:tcPr>
          <w:p w14:paraId="6CFBE940">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756" w:type="dxa"/>
            <w:vAlign w:val="center"/>
          </w:tcPr>
          <w:p w14:paraId="324AD5F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348FB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DD0D80B">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4EB352A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0F1D334C">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126" w:type="dxa"/>
            <w:tcBorders>
              <w:left w:val="single" w:color="auto" w:sz="4" w:space="0"/>
            </w:tcBorders>
            <w:vAlign w:val="center"/>
          </w:tcPr>
          <w:p w14:paraId="6280A951">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756" w:type="dxa"/>
            <w:vAlign w:val="center"/>
          </w:tcPr>
          <w:p w14:paraId="4A9E4DBA">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r>
      <w:tr w14:paraId="665E2C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9DC21A5">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2410" w:type="dxa"/>
            <w:vAlign w:val="center"/>
          </w:tcPr>
          <w:p w14:paraId="3449691C">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1985" w:type="dxa"/>
            <w:tcBorders>
              <w:right w:val="single" w:color="auto" w:sz="4" w:space="0"/>
            </w:tcBorders>
            <w:vAlign w:val="center"/>
          </w:tcPr>
          <w:p w14:paraId="03978F64">
            <w:pPr>
              <w:adjustRightInd w:val="0"/>
              <w:snapToGrid w:val="0"/>
              <w:spacing w:before="50" w:line="360" w:lineRule="auto"/>
              <w:ind w:left="-88" w:leftChars="-42"/>
              <w:jc w:val="center"/>
              <w:rPr>
                <w:rFonts w:hint="default" w:ascii="Times New Roman" w:hAnsi="Times New Roman" w:cs="Times New Roman" w:eastAsiaTheme="minorEastAsia"/>
                <w:color w:val="auto"/>
                <w:szCs w:val="21"/>
              </w:rPr>
            </w:pPr>
          </w:p>
        </w:tc>
        <w:tc>
          <w:tcPr>
            <w:tcW w:w="3882" w:type="dxa"/>
            <w:gridSpan w:val="2"/>
            <w:tcBorders>
              <w:left w:val="single" w:color="auto" w:sz="4" w:space="0"/>
            </w:tcBorders>
            <w:vAlign w:val="center"/>
          </w:tcPr>
          <w:p w14:paraId="4884F511">
            <w:pPr>
              <w:adjustRightInd w:val="0"/>
              <w:snapToGrid w:val="0"/>
              <w:spacing w:before="50" w:line="360" w:lineRule="auto"/>
              <w:ind w:firstLine="422"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投标人保证：除本采购需求偏离表列出的偏离外，我单位对招标文件的其他采购需求条款完全响应，无偏离。</w:t>
            </w:r>
          </w:p>
        </w:tc>
      </w:tr>
    </w:tbl>
    <w:p w14:paraId="3D635067">
      <w:pPr>
        <w:adjustRightInd w:val="0"/>
        <w:snapToGrid w:val="0"/>
        <w:spacing w:before="50" w:line="360" w:lineRule="auto"/>
        <w:ind w:left="-88" w:leftChars="-42"/>
        <w:rPr>
          <w:rFonts w:hint="default" w:ascii="Times New Roman" w:hAnsi="Times New Roman" w:cs="Times New Roman" w:eastAsiaTheme="minorEastAsia"/>
          <w:color w:val="auto"/>
          <w:szCs w:val="21"/>
        </w:rPr>
      </w:pPr>
      <w:r>
        <w:rPr>
          <w:rFonts w:hint="default" w:ascii="Times New Roman" w:hAnsi="Times New Roman" w:cs="Times New Roman" w:eastAsiaTheme="minorEastAsia"/>
          <w:b/>
          <w:color w:val="auto"/>
          <w:szCs w:val="21"/>
        </w:rPr>
        <w:t>备注</w:t>
      </w:r>
      <w:r>
        <w:rPr>
          <w:rFonts w:hint="default" w:ascii="Times New Roman" w:hAnsi="Times New Roman" w:cs="Times New Roman" w:eastAsiaTheme="minorEastAsia"/>
          <w:color w:val="auto"/>
          <w:szCs w:val="21"/>
        </w:rPr>
        <w:t>：（1）投标人应根据招标文件第五章“采购需求”填写本表；</w:t>
      </w:r>
    </w:p>
    <w:p w14:paraId="64F1334D">
      <w:pPr>
        <w:adjustRightInd w:val="0"/>
        <w:snapToGrid w:val="0"/>
        <w:spacing w:before="50" w:line="360" w:lineRule="auto"/>
        <w:ind w:left="-88" w:leftChars="-42" w:firstLine="420" w:firstLineChars="200"/>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color w:val="auto"/>
          <w:szCs w:val="21"/>
        </w:rPr>
        <w:t>（2）</w:t>
      </w:r>
      <w:r>
        <w:rPr>
          <w:rFonts w:hint="default" w:ascii="Times New Roman" w:hAnsi="Times New Roman" w:cs="Times New Roman" w:eastAsiaTheme="minorEastAsia"/>
          <w:b/>
          <w:color w:val="auto"/>
          <w:szCs w:val="21"/>
        </w:rPr>
        <w:t>投标人如果对招标文件第五章“采购需求”的响应有偏离，应将偏离条款逐条如实应答，并作出说明；</w:t>
      </w:r>
    </w:p>
    <w:p w14:paraId="6021768A">
      <w:pPr>
        <w:adjustRightInd w:val="0"/>
        <w:snapToGrid w:val="0"/>
        <w:spacing w:before="50" w:line="360" w:lineRule="auto"/>
        <w:ind w:left="-88" w:leftChars="-42"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（3）如不提供此表，则视为投标人不满足招标文件第五章的所有条款要求，其</w:t>
      </w:r>
      <w:r>
        <w:rPr>
          <w:rFonts w:hint="default" w:ascii="Times New Roman" w:hAnsi="Times New Roman" w:cs="Times New Roman" w:eastAsiaTheme="minorEastAsia"/>
          <w:b/>
          <w:color w:val="auto"/>
          <w:szCs w:val="21"/>
        </w:rPr>
        <w:t>投标无效</w:t>
      </w:r>
      <w:r>
        <w:rPr>
          <w:rFonts w:hint="default" w:ascii="Times New Roman" w:hAnsi="Times New Roman" w:cs="Times New Roman" w:eastAsiaTheme="minorEastAsia"/>
          <w:color w:val="auto"/>
          <w:szCs w:val="21"/>
        </w:rPr>
        <w:t>。</w:t>
      </w:r>
    </w:p>
    <w:p w14:paraId="20E22A2F">
      <w:pPr>
        <w:adjustRightInd w:val="0"/>
        <w:snapToGrid w:val="0"/>
        <w:spacing w:before="50" w:line="360" w:lineRule="auto"/>
        <w:ind w:left="-88" w:leftChars="-42"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472FEB4D">
      <w:pPr>
        <w:adjustRightInd w:val="0"/>
        <w:snapToGrid w:val="0"/>
        <w:spacing w:before="50" w:line="360" w:lineRule="auto"/>
        <w:ind w:left="-88" w:leftChars="-42" w:firstLine="420" w:firstLineChars="200"/>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（5）本表偏离表与本章第七节“采购需求响应”不一致时，以“采购需求响应”为准。</w:t>
      </w:r>
    </w:p>
    <w:p w14:paraId="674F336B">
      <w:pPr>
        <w:adjustRightInd w:val="0"/>
        <w:snapToGrid w:val="0"/>
        <w:spacing w:before="50" w:line="360" w:lineRule="auto"/>
        <w:rPr>
          <w:rFonts w:hint="default" w:ascii="Times New Roman" w:hAnsi="Times New Roman" w:cs="Times New Roman" w:eastAsiaTheme="minorEastAsia"/>
          <w:color w:val="auto"/>
          <w:szCs w:val="21"/>
        </w:rPr>
      </w:pPr>
    </w:p>
    <w:p w14:paraId="552B7CDF">
      <w:pPr>
        <w:adjustRightInd w:val="0"/>
        <w:snapToGrid w:val="0"/>
        <w:spacing w:before="50" w:line="360" w:lineRule="auto"/>
        <w:rPr>
          <w:rFonts w:hint="default" w:ascii="Times New Roman" w:hAnsi="Times New Roman" w:cs="Times New Roman"/>
          <w:color w:val="auto"/>
          <w:szCs w:val="21"/>
        </w:rPr>
      </w:pPr>
    </w:p>
    <w:p w14:paraId="64CE1E30">
      <w:pPr>
        <w:adjustRightInd w:val="0"/>
        <w:snapToGrid w:val="0"/>
        <w:spacing w:before="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2129A095">
      <w:pPr>
        <w:adjustRightInd w:val="0"/>
        <w:snapToGrid w:val="0"/>
        <w:spacing w:before="50"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或其授权的代理人（签字或签章）：</w:t>
      </w:r>
    </w:p>
    <w:p w14:paraId="0CD380AE">
      <w:pPr>
        <w:adjustRightInd w:val="0"/>
        <w:snapToGrid w:val="0"/>
        <w:spacing w:before="50"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日      期：年月_日</w:t>
      </w:r>
    </w:p>
    <w:p w14:paraId="1F56DD73">
      <w:pPr>
        <w:pStyle w:val="5"/>
        <w:adjustRightInd w:val="0"/>
        <w:snapToGrid w:val="0"/>
        <w:spacing w:before="0" w:after="0" w:line="360" w:lineRule="auto"/>
        <w:jc w:val="center"/>
        <w:rPr>
          <w:rFonts w:hint="default" w:ascii="Times New Roman" w:hAnsi="Times New Roman" w:cs="Times New Roman"/>
          <w:color w:val="auto"/>
          <w:szCs w:val="21"/>
        </w:rPr>
        <w:sectPr>
          <w:pgSz w:w="11906" w:h="16838"/>
          <w:pgMar w:top="1474" w:right="1474" w:bottom="1474" w:left="1474" w:header="851" w:footer="992" w:gutter="0"/>
          <w:pgNumType w:fmt="decimal"/>
          <w:cols w:space="720" w:num="1"/>
          <w:docGrid w:type="lines" w:linePitch="312" w:charSpace="0"/>
        </w:sectPr>
      </w:pPr>
      <w:r>
        <w:rPr>
          <w:rFonts w:hint="default" w:ascii="Times New Roman" w:hAnsi="Times New Roman" w:cs="Times New Roman"/>
          <w:color w:val="auto"/>
          <w:szCs w:val="21"/>
        </w:rPr>
        <w:br w:type="page"/>
      </w:r>
    </w:p>
    <w:p w14:paraId="35A33443">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210" w:name="_Toc29913969"/>
      <w:bookmarkStart w:id="211" w:name="_Toc12033"/>
      <w:bookmarkStart w:id="212" w:name="_Toc32763"/>
      <w:r>
        <w:rPr>
          <w:rFonts w:hint="default" w:ascii="Times New Roman" w:hAnsi="Times New Roman" w:cs="Times New Roman"/>
          <w:color w:val="auto"/>
          <w:szCs w:val="21"/>
        </w:rPr>
        <w:t>十</w:t>
      </w:r>
      <w:r>
        <w:rPr>
          <w:rFonts w:hint="default" w:ascii="Times New Roman" w:hAnsi="Times New Roman" w:eastAsia="黑体" w:cs="Times New Roman"/>
          <w:color w:val="auto"/>
          <w:sz w:val="28"/>
          <w:szCs w:val="28"/>
        </w:rPr>
        <w:t>、享受政府采购政策优惠的证明资料</w:t>
      </w:r>
      <w:bookmarkEnd w:id="210"/>
      <w:bookmarkEnd w:id="211"/>
      <w:bookmarkEnd w:id="212"/>
    </w:p>
    <w:p w14:paraId="7592A2F0">
      <w:pPr>
        <w:adjustRightInd w:val="0"/>
        <w:snapToGrid w:val="0"/>
        <w:spacing w:line="360" w:lineRule="auto"/>
        <w:rPr>
          <w:rFonts w:hint="default" w:ascii="Times New Roman" w:hAnsi="Times New Roman" w:eastAsia="黑体" w:cs="Times New Roman"/>
          <w:bCs/>
          <w:color w:val="auto"/>
          <w:spacing w:val="6"/>
          <w:kern w:val="0"/>
          <w:szCs w:val="21"/>
        </w:rPr>
      </w:pPr>
    </w:p>
    <w:p w14:paraId="0AF82F8D">
      <w:pPr>
        <w:adjustRightInd w:val="0"/>
        <w:snapToGrid w:val="0"/>
        <w:spacing w:line="360" w:lineRule="auto"/>
        <w:ind w:firstLine="444" w:firstLineChars="200"/>
        <w:rPr>
          <w:rFonts w:hint="default" w:ascii="Times New Roman" w:hAnsi="Times New Roman" w:eastAsia="黑体" w:cs="Times New Roman"/>
          <w:bCs/>
          <w:color w:val="auto"/>
          <w:spacing w:val="6"/>
          <w:kern w:val="0"/>
          <w:szCs w:val="21"/>
        </w:rPr>
      </w:pPr>
      <w:r>
        <w:rPr>
          <w:rFonts w:hint="default" w:ascii="Times New Roman" w:hAnsi="Times New Roman" w:cs="Times New Roman" w:eastAsiaTheme="minorEastAsia"/>
          <w:bCs/>
          <w:color w:val="auto"/>
          <w:spacing w:val="6"/>
          <w:kern w:val="0"/>
          <w:szCs w:val="21"/>
        </w:rPr>
        <w:t>投标人符合第二章第33.6款要求的，应提供下列证明资料，并填写相关数据。否则，评审时不予以考虑。</w:t>
      </w:r>
    </w:p>
    <w:p w14:paraId="54748EC9">
      <w:pPr>
        <w:pStyle w:val="6"/>
        <w:rPr>
          <w:rFonts w:hint="default" w:ascii="Times New Roman" w:hAnsi="Times New Roman" w:cs="Times New Roman"/>
          <w:b w:val="0"/>
          <w:bCs w:val="0"/>
          <w:color w:val="auto"/>
          <w:spacing w:val="6"/>
          <w:kern w:val="0"/>
          <w:sz w:val="21"/>
          <w:szCs w:val="21"/>
        </w:rPr>
      </w:pPr>
      <w:bookmarkStart w:id="213" w:name="_Toc29913970"/>
      <w:bookmarkStart w:id="214" w:name="_Toc29443"/>
      <w:bookmarkStart w:id="215" w:name="_Toc26677"/>
      <w:r>
        <w:rPr>
          <w:rFonts w:hint="default" w:ascii="Times New Roman" w:hAnsi="Times New Roman" w:cs="Times New Roman"/>
          <w:b w:val="0"/>
          <w:bCs w:val="0"/>
          <w:color w:val="auto"/>
          <w:sz w:val="21"/>
          <w:szCs w:val="21"/>
        </w:rPr>
        <w:t>附件10-1</w:t>
      </w:r>
      <w:bookmarkEnd w:id="213"/>
      <w:bookmarkEnd w:id="214"/>
      <w:r>
        <w:rPr>
          <w:rFonts w:hint="default" w:ascii="Times New Roman" w:hAnsi="Times New Roman" w:cs="Times New Roman"/>
          <w:b w:val="0"/>
          <w:bCs w:val="0"/>
          <w:color w:val="auto"/>
          <w:sz w:val="21"/>
          <w:szCs w:val="21"/>
        </w:rPr>
        <w:t xml:space="preserve">  中小企业声明函（工程、服务）</w:t>
      </w:r>
      <w:bookmarkEnd w:id="215"/>
    </w:p>
    <w:p w14:paraId="613560C5">
      <w:pPr>
        <w:widowControl/>
        <w:spacing w:before="100" w:beforeAutospacing="1" w:after="100" w:afterAutospacing="1" w:line="435" w:lineRule="atLeast"/>
        <w:jc w:val="center"/>
        <w:rPr>
          <w:rFonts w:hint="default" w:ascii="Times New Roman" w:hAnsi="Times New Roman" w:cs="Times New Roman"/>
          <w:color w:val="auto"/>
        </w:rPr>
      </w:pPr>
      <w:r>
        <w:rPr>
          <w:rStyle w:val="46"/>
          <w:rFonts w:hint="default" w:ascii="Times New Roman" w:hAnsi="Times New Roman" w:cs="Times New Roman"/>
          <w:color w:val="auto"/>
          <w:kern w:val="0"/>
          <w:sz w:val="28"/>
          <w:szCs w:val="28"/>
        </w:rPr>
        <w:t>中小企业声明函（工程、服务）</w:t>
      </w:r>
    </w:p>
    <w:p w14:paraId="4AEA81DD">
      <w:pPr>
        <w:widowControl/>
        <w:spacing w:before="100" w:beforeAutospacing="1" w:after="100" w:afterAutospacing="1" w:line="480" w:lineRule="auto"/>
        <w:ind w:firstLine="482"/>
        <w:jc w:val="left"/>
        <w:rPr>
          <w:rFonts w:hint="default" w:ascii="Times New Roman" w:hAnsi="Times New Roman" w:cs="Times New Roman"/>
          <w:color w:val="auto"/>
        </w:rPr>
      </w:pPr>
      <w:r>
        <w:rPr>
          <w:rFonts w:hint="default" w:ascii="Times New Roman" w:hAnsi="Times New Roman" w:cs="Times New Roman"/>
          <w:color w:val="auto"/>
          <w:kern w:val="0"/>
          <w:sz w:val="24"/>
        </w:rPr>
        <w:t>本公司（联合体）郑重声明，根据《政府采购促进中小企业发展管理办法》（财库﹝2020﹞46 号）的规定，本公司（联合体）参加</w:t>
      </w:r>
      <w:r>
        <w:rPr>
          <w:rFonts w:hint="default" w:ascii="Times New Roman" w:hAnsi="Times New Roman" w:cs="Times New Roman"/>
          <w:color w:val="auto"/>
          <w:kern w:val="0"/>
          <w:sz w:val="24"/>
          <w:u w:val="single"/>
        </w:rPr>
        <w:t>    （单位名称）</w:t>
      </w:r>
      <w:r>
        <w:rPr>
          <w:rFonts w:hint="default" w:ascii="Times New Roman" w:hAnsi="Times New Roman" w:cs="Times New Roman"/>
          <w:color w:val="auto"/>
          <w:kern w:val="0"/>
          <w:sz w:val="24"/>
        </w:rPr>
        <w:t>的</w:t>
      </w:r>
      <w:r>
        <w:rPr>
          <w:rFonts w:hint="default" w:ascii="Times New Roman" w:hAnsi="Times New Roman" w:cs="Times New Roman"/>
          <w:color w:val="auto"/>
          <w:kern w:val="0"/>
          <w:sz w:val="24"/>
          <w:u w:val="single"/>
        </w:rPr>
        <w:t>（项目名称）</w:t>
      </w:r>
      <w:r>
        <w:rPr>
          <w:rFonts w:hint="default" w:ascii="Times New Roman" w:hAnsi="Times New Roman" w:cs="Times New Roman"/>
          <w:color w:val="auto"/>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2D2EC378">
      <w:pPr>
        <w:widowControl/>
        <w:spacing w:before="100" w:beforeAutospacing="1" w:after="100" w:afterAutospacing="1" w:line="480" w:lineRule="auto"/>
        <w:ind w:firstLine="482"/>
        <w:rPr>
          <w:rFonts w:hint="default" w:ascii="Times New Roman" w:hAnsi="Times New Roman" w:cs="Times New Roman"/>
          <w:color w:val="auto"/>
        </w:rPr>
      </w:pPr>
      <w:r>
        <w:rPr>
          <w:rFonts w:hint="default" w:ascii="Times New Roman" w:hAnsi="Times New Roman" w:cs="Times New Roman"/>
          <w:color w:val="auto"/>
          <w:kern w:val="0"/>
          <w:sz w:val="24"/>
          <w:u w:val="single"/>
        </w:rPr>
        <w:t>1.   （标的名称）</w:t>
      </w:r>
      <w:r>
        <w:rPr>
          <w:rFonts w:hint="default" w:ascii="Times New Roman" w:hAnsi="Times New Roman" w:cs="Times New Roman"/>
          <w:color w:val="auto"/>
          <w:kern w:val="0"/>
          <w:sz w:val="24"/>
        </w:rPr>
        <w:t>，属于</w:t>
      </w:r>
      <w:r>
        <w:rPr>
          <w:rFonts w:hint="default" w:ascii="Times New Roman" w:hAnsi="Times New Roman" w:cs="Times New Roman"/>
          <w:color w:val="auto"/>
          <w:kern w:val="0"/>
          <w:sz w:val="24"/>
          <w:u w:val="single"/>
        </w:rPr>
        <w:t>    （采购文件中明确的所属行业）</w:t>
      </w:r>
      <w:r>
        <w:rPr>
          <w:rFonts w:hint="default" w:ascii="Times New Roman" w:hAnsi="Times New Roman" w:cs="Times New Roman"/>
          <w:color w:val="auto"/>
          <w:kern w:val="0"/>
          <w:sz w:val="24"/>
        </w:rPr>
        <w:t>；承建（承接）企业为</w:t>
      </w:r>
      <w:r>
        <w:rPr>
          <w:rFonts w:hint="default" w:ascii="Times New Roman" w:hAnsi="Times New Roman" w:cs="Times New Roman"/>
          <w:color w:val="auto"/>
          <w:kern w:val="0"/>
          <w:sz w:val="24"/>
          <w:u w:val="single"/>
        </w:rPr>
        <w:t>    （企业名称）</w:t>
      </w:r>
      <w:r>
        <w:rPr>
          <w:rFonts w:hint="default" w:ascii="Times New Roman" w:hAnsi="Times New Roman" w:cs="Times New Roman"/>
          <w:color w:val="auto"/>
          <w:kern w:val="0"/>
          <w:sz w:val="24"/>
        </w:rPr>
        <w:t>，从业人员</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人，营业收入为</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万元，资产总额为</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万元，属于</w:t>
      </w:r>
      <w:r>
        <w:rPr>
          <w:rFonts w:hint="default" w:ascii="Times New Roman" w:hAnsi="Times New Roman" w:cs="Times New Roman"/>
          <w:color w:val="auto"/>
          <w:kern w:val="0"/>
          <w:sz w:val="24"/>
          <w:u w:val="single"/>
        </w:rPr>
        <w:t>     （中型企业、小型企业、微型企业）</w:t>
      </w:r>
      <w:r>
        <w:rPr>
          <w:rFonts w:hint="default" w:ascii="Times New Roman" w:hAnsi="Times New Roman" w:cs="Times New Roman"/>
          <w:color w:val="auto"/>
          <w:kern w:val="0"/>
          <w:sz w:val="24"/>
        </w:rPr>
        <w:t>；</w:t>
      </w:r>
    </w:p>
    <w:p w14:paraId="00C5A37E">
      <w:pPr>
        <w:widowControl/>
        <w:spacing w:before="100" w:beforeAutospacing="1" w:after="100" w:afterAutospacing="1" w:line="480" w:lineRule="auto"/>
        <w:ind w:firstLine="482"/>
        <w:rPr>
          <w:rFonts w:hint="default" w:ascii="Times New Roman" w:hAnsi="Times New Roman" w:cs="Times New Roman"/>
          <w:color w:val="auto"/>
        </w:rPr>
      </w:pPr>
      <w:r>
        <w:rPr>
          <w:rFonts w:hint="default" w:ascii="Times New Roman" w:hAnsi="Times New Roman" w:cs="Times New Roman"/>
          <w:color w:val="auto"/>
          <w:kern w:val="0"/>
          <w:sz w:val="24"/>
        </w:rPr>
        <w:t>2.</w:t>
      </w:r>
      <w:r>
        <w:rPr>
          <w:rFonts w:hint="default" w:ascii="Times New Roman" w:hAnsi="Times New Roman" w:cs="Times New Roman"/>
          <w:color w:val="auto"/>
          <w:kern w:val="0"/>
          <w:sz w:val="24"/>
          <w:u w:val="single"/>
        </w:rPr>
        <w:t>     （标的名称）</w:t>
      </w:r>
      <w:r>
        <w:rPr>
          <w:rFonts w:hint="default" w:ascii="Times New Roman" w:hAnsi="Times New Roman" w:cs="Times New Roman"/>
          <w:color w:val="auto"/>
          <w:kern w:val="0"/>
          <w:sz w:val="24"/>
        </w:rPr>
        <w:t>，属于</w:t>
      </w:r>
      <w:r>
        <w:rPr>
          <w:rFonts w:hint="default" w:ascii="Times New Roman" w:hAnsi="Times New Roman" w:cs="Times New Roman"/>
          <w:color w:val="auto"/>
          <w:kern w:val="0"/>
          <w:sz w:val="24"/>
          <w:u w:val="single"/>
        </w:rPr>
        <w:t>     （采购文件中明确的所属行业）</w:t>
      </w:r>
      <w:r>
        <w:rPr>
          <w:rFonts w:hint="default" w:ascii="Times New Roman" w:hAnsi="Times New Roman" w:cs="Times New Roman"/>
          <w:color w:val="auto"/>
          <w:kern w:val="0"/>
          <w:sz w:val="24"/>
        </w:rPr>
        <w:t>行业；制造商为</w:t>
      </w:r>
      <w:r>
        <w:rPr>
          <w:rFonts w:hint="default" w:ascii="Times New Roman" w:hAnsi="Times New Roman" w:cs="Times New Roman"/>
          <w:color w:val="auto"/>
          <w:kern w:val="0"/>
          <w:sz w:val="24"/>
          <w:u w:val="single"/>
        </w:rPr>
        <w:t>       （企业名称）</w:t>
      </w:r>
      <w:r>
        <w:rPr>
          <w:rFonts w:hint="default" w:ascii="Times New Roman" w:hAnsi="Times New Roman" w:cs="Times New Roman"/>
          <w:color w:val="auto"/>
          <w:kern w:val="0"/>
          <w:sz w:val="24"/>
        </w:rPr>
        <w:t>，从业人员</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人，营业收入为</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万元，资产总额为</w:t>
      </w:r>
      <w:r>
        <w:rPr>
          <w:rFonts w:hint="default" w:ascii="Times New Roman" w:hAnsi="Times New Roman" w:cs="Times New Roman"/>
          <w:color w:val="auto"/>
          <w:kern w:val="0"/>
          <w:sz w:val="24"/>
          <w:u w:val="single"/>
        </w:rPr>
        <w:t>   </w:t>
      </w:r>
      <w:r>
        <w:rPr>
          <w:rFonts w:hint="default" w:ascii="Times New Roman" w:hAnsi="Times New Roman" w:cs="Times New Roman"/>
          <w:color w:val="auto"/>
          <w:kern w:val="0"/>
          <w:sz w:val="24"/>
        </w:rPr>
        <w:t>万元</w:t>
      </w:r>
      <w:r>
        <w:rPr>
          <w:rFonts w:hint="default" w:ascii="Times New Roman" w:hAnsi="Times New Roman" w:cs="Times New Roman"/>
          <w:color w:val="auto"/>
          <w:kern w:val="0"/>
          <w:sz w:val="24"/>
          <w:vertAlign w:val="superscript"/>
        </w:rPr>
        <w:t>1</w:t>
      </w:r>
      <w:r>
        <w:rPr>
          <w:rFonts w:hint="default" w:ascii="Times New Roman" w:hAnsi="Times New Roman" w:cs="Times New Roman"/>
          <w:color w:val="auto"/>
          <w:kern w:val="0"/>
          <w:sz w:val="24"/>
        </w:rPr>
        <w:t>，属于</w:t>
      </w:r>
      <w:r>
        <w:rPr>
          <w:rFonts w:hint="default" w:ascii="Times New Roman" w:hAnsi="Times New Roman" w:cs="Times New Roman"/>
          <w:color w:val="auto"/>
          <w:kern w:val="0"/>
          <w:sz w:val="24"/>
          <w:u w:val="single"/>
        </w:rPr>
        <w:t>     （中型企业、小型企业、微型企业）</w:t>
      </w:r>
      <w:r>
        <w:rPr>
          <w:rFonts w:hint="default" w:ascii="Times New Roman" w:hAnsi="Times New Roman" w:cs="Times New Roman"/>
          <w:color w:val="auto"/>
          <w:kern w:val="0"/>
          <w:sz w:val="24"/>
        </w:rPr>
        <w:t>；</w:t>
      </w:r>
    </w:p>
    <w:p w14:paraId="2B17148A">
      <w:pPr>
        <w:widowControl/>
        <w:spacing w:before="100" w:beforeAutospacing="1" w:after="100" w:afterAutospacing="1" w:line="480" w:lineRule="auto"/>
        <w:ind w:firstLine="482"/>
        <w:rPr>
          <w:rFonts w:hint="default" w:ascii="Times New Roman" w:hAnsi="Times New Roman" w:cs="Times New Roman"/>
          <w:color w:val="auto"/>
        </w:rPr>
      </w:pPr>
      <w:r>
        <w:rPr>
          <w:rFonts w:hint="default" w:ascii="Times New Roman" w:hAnsi="Times New Roman" w:cs="Times New Roman"/>
          <w:color w:val="auto"/>
          <w:kern w:val="0"/>
          <w:sz w:val="24"/>
        </w:rPr>
        <w:t>……</w:t>
      </w:r>
    </w:p>
    <w:p w14:paraId="3356D2BD">
      <w:pPr>
        <w:widowControl/>
        <w:spacing w:before="100" w:beforeAutospacing="1" w:after="100" w:afterAutospacing="1" w:line="480" w:lineRule="auto"/>
        <w:ind w:firstLine="482"/>
        <w:jc w:val="left"/>
        <w:rPr>
          <w:rFonts w:hint="default" w:ascii="Times New Roman" w:hAnsi="Times New Roman" w:cs="Times New Roman"/>
          <w:color w:val="auto"/>
        </w:rPr>
      </w:pPr>
      <w:r>
        <w:rPr>
          <w:rFonts w:hint="default" w:ascii="Times New Roman" w:hAnsi="Times New Roman" w:cs="Times New Roman"/>
          <w:color w:val="auto"/>
          <w:kern w:val="0"/>
          <w:sz w:val="24"/>
        </w:rPr>
        <w:t>以上企业，不属于大企业的分支机构，不存在控股股东为大企业的情形，也不存在与大企业的负责人为同一人的情形。</w:t>
      </w:r>
    </w:p>
    <w:p w14:paraId="211C67E6">
      <w:pPr>
        <w:widowControl/>
        <w:spacing w:before="100" w:beforeAutospacing="1" w:after="100" w:afterAutospacing="1" w:line="540" w:lineRule="exact"/>
        <w:ind w:firstLine="482"/>
        <w:jc w:val="left"/>
        <w:rPr>
          <w:rFonts w:hint="default" w:ascii="Times New Roman" w:hAnsi="Times New Roman" w:cs="Times New Roman"/>
          <w:color w:val="auto"/>
        </w:rPr>
      </w:pPr>
      <w:r>
        <w:rPr>
          <w:rFonts w:hint="default" w:ascii="Times New Roman" w:hAnsi="Times New Roman" w:cs="Times New Roman"/>
          <w:color w:val="auto"/>
          <w:kern w:val="0"/>
          <w:sz w:val="24"/>
        </w:rPr>
        <w:t>本企业对上述声明内容的真实性负责。如有虚假，将依法承担相应责任。</w:t>
      </w:r>
    </w:p>
    <w:p w14:paraId="04A41408">
      <w:pPr>
        <w:widowControl/>
        <w:spacing w:before="100" w:beforeAutospacing="1" w:after="100" w:afterAutospacing="1" w:line="540" w:lineRule="exact"/>
        <w:ind w:firstLine="5280"/>
        <w:jc w:val="left"/>
        <w:rPr>
          <w:rFonts w:hint="default" w:ascii="Times New Roman" w:hAnsi="Times New Roman" w:cs="Times New Roman"/>
          <w:color w:val="auto"/>
        </w:rPr>
      </w:pPr>
      <w:r>
        <w:rPr>
          <w:rFonts w:hint="default" w:ascii="Times New Roman" w:hAnsi="Times New Roman" w:cs="Times New Roman"/>
          <w:color w:val="auto"/>
          <w:kern w:val="0"/>
          <w:sz w:val="24"/>
        </w:rPr>
        <w:t>企业名称（盖章）：</w:t>
      </w:r>
    </w:p>
    <w:p w14:paraId="64A222DD">
      <w:pPr>
        <w:widowControl/>
        <w:spacing w:before="100" w:beforeAutospacing="1" w:after="100" w:afterAutospacing="1" w:line="540" w:lineRule="exact"/>
        <w:ind w:firstLine="5280"/>
        <w:jc w:val="left"/>
        <w:rPr>
          <w:rFonts w:hint="default" w:ascii="Times New Roman" w:hAnsi="Times New Roman" w:cs="Times New Roman"/>
          <w:color w:val="auto"/>
        </w:rPr>
      </w:pPr>
      <w:r>
        <w:rPr>
          <w:rFonts w:hint="default" w:ascii="Times New Roman" w:hAnsi="Times New Roman" w:cs="Times New Roman"/>
          <w:color w:val="auto"/>
          <w:kern w:val="0"/>
          <w:sz w:val="24"/>
        </w:rPr>
        <w:t>日 期：</w:t>
      </w:r>
    </w:p>
    <w:p w14:paraId="28B150F7">
      <w:pPr>
        <w:widowControl/>
        <w:spacing w:before="100" w:beforeAutospacing="1" w:after="100" w:afterAutospacing="1" w:line="435" w:lineRule="atLeast"/>
        <w:jc w:val="left"/>
        <w:rPr>
          <w:rFonts w:hint="default" w:ascii="Times New Roman" w:hAnsi="Times New Roman" w:cs="Times New Roman"/>
          <w:color w:val="auto"/>
        </w:rPr>
      </w:pPr>
      <w:r>
        <w:rPr>
          <w:rFonts w:hint="default" w:ascii="Times New Roman" w:hAnsi="Times New Roman" w:cs="Times New Roman"/>
          <w:color w:val="auto"/>
          <w:kern w:val="0"/>
          <w:sz w:val="24"/>
          <w:u w:val="single"/>
        </w:rPr>
        <w:t>              </w:t>
      </w:r>
    </w:p>
    <w:p w14:paraId="20A4BF95">
      <w:pPr>
        <w:widowControl/>
        <w:spacing w:before="100" w:beforeAutospacing="1" w:after="100" w:afterAutospacing="1" w:line="435" w:lineRule="atLeast"/>
        <w:jc w:val="left"/>
        <w:rPr>
          <w:rFonts w:hint="default" w:ascii="Times New Roman" w:hAnsi="Times New Roman" w:cs="Times New Roman"/>
          <w:color w:val="auto"/>
        </w:rPr>
      </w:pPr>
      <w:r>
        <w:rPr>
          <w:rFonts w:hint="default" w:ascii="Times New Roman" w:hAnsi="Times New Roman" w:cs="Times New Roman"/>
          <w:color w:val="auto"/>
          <w:kern w:val="0"/>
          <w:sz w:val="18"/>
          <w:szCs w:val="18"/>
          <w:vertAlign w:val="superscript"/>
        </w:rPr>
        <w:t>1</w:t>
      </w:r>
      <w:r>
        <w:rPr>
          <w:rFonts w:hint="default" w:ascii="Times New Roman" w:hAnsi="Times New Roman" w:cs="Times New Roman"/>
          <w:color w:val="auto"/>
          <w:kern w:val="0"/>
          <w:sz w:val="18"/>
          <w:szCs w:val="18"/>
        </w:rPr>
        <w:t>从业人员、营业收入、资产总额填报上一年度数据，无上一年度数据的新成立企业可不填报。</w:t>
      </w:r>
    </w:p>
    <w:p w14:paraId="235000E8">
      <w:pPr>
        <w:widowControl/>
        <w:adjustRightInd w:val="0"/>
        <w:snapToGrid w:val="0"/>
        <w:spacing w:line="360" w:lineRule="auto"/>
        <w:ind w:firstLine="446" w:firstLineChars="200"/>
        <w:jc w:val="center"/>
        <w:rPr>
          <w:rFonts w:hint="default" w:ascii="Times New Roman" w:hAnsi="Times New Roman" w:cs="Times New Roman" w:eastAsiaTheme="minorEastAsia"/>
          <w:b/>
          <w:color w:val="auto"/>
          <w:spacing w:val="6"/>
          <w:kern w:val="0"/>
          <w:szCs w:val="21"/>
          <w:u w:val="single"/>
        </w:rPr>
      </w:pPr>
    </w:p>
    <w:p w14:paraId="68E7ED16">
      <w:pPr>
        <w:widowControl/>
        <w:adjustRightInd w:val="0"/>
        <w:snapToGrid w:val="0"/>
        <w:spacing w:line="360" w:lineRule="auto"/>
        <w:ind w:firstLine="446" w:firstLineChars="200"/>
        <w:jc w:val="left"/>
        <w:rPr>
          <w:rFonts w:hint="default" w:ascii="Times New Roman" w:hAnsi="Times New Roman" w:cs="Times New Roman" w:eastAsiaTheme="minorEastAsia"/>
          <w:b/>
          <w:bCs/>
          <w:color w:val="auto"/>
          <w:spacing w:val="6"/>
          <w:kern w:val="0"/>
          <w:szCs w:val="21"/>
        </w:rPr>
      </w:pPr>
    </w:p>
    <w:p w14:paraId="34E3F6BF">
      <w:pPr>
        <w:widowControl/>
        <w:adjustRightInd w:val="0"/>
        <w:snapToGrid w:val="0"/>
        <w:spacing w:line="360" w:lineRule="auto"/>
        <w:ind w:firstLine="446" w:firstLineChars="200"/>
        <w:jc w:val="left"/>
        <w:rPr>
          <w:rFonts w:hint="default" w:ascii="Times New Roman" w:hAnsi="Times New Roman" w:cs="Times New Roman" w:eastAsiaTheme="minorEastAsia"/>
          <w:b/>
          <w:bCs/>
          <w:color w:val="auto"/>
          <w:spacing w:val="6"/>
          <w:kern w:val="0"/>
          <w:szCs w:val="21"/>
        </w:rPr>
      </w:pPr>
    </w:p>
    <w:p w14:paraId="3C7F35FA">
      <w:pPr>
        <w:widowControl/>
        <w:adjustRightInd w:val="0"/>
        <w:snapToGrid w:val="0"/>
        <w:spacing w:line="360" w:lineRule="auto"/>
        <w:ind w:firstLine="446" w:firstLineChars="200"/>
        <w:jc w:val="left"/>
        <w:rPr>
          <w:rFonts w:hint="default" w:ascii="Times New Roman" w:hAnsi="Times New Roman" w:cs="Times New Roman" w:eastAsiaTheme="minorEastAsia"/>
          <w:b/>
          <w:bCs/>
          <w:color w:val="auto"/>
          <w:spacing w:val="6"/>
          <w:kern w:val="0"/>
          <w:szCs w:val="21"/>
        </w:rPr>
      </w:pPr>
    </w:p>
    <w:p w14:paraId="2141B5F8">
      <w:pPr>
        <w:widowControl/>
        <w:jc w:val="left"/>
        <w:rPr>
          <w:rFonts w:hint="default" w:ascii="Times New Roman" w:hAnsi="Times New Roman" w:eastAsia="黑体" w:cs="Times New Roman"/>
          <w:color w:val="auto"/>
          <w:spacing w:val="6"/>
          <w:kern w:val="0"/>
          <w:szCs w:val="21"/>
        </w:rPr>
      </w:pPr>
      <w:r>
        <w:rPr>
          <w:rFonts w:hint="default" w:ascii="Times New Roman" w:hAnsi="Times New Roman" w:cs="Times New Roman"/>
          <w:b/>
          <w:bCs/>
          <w:color w:val="auto"/>
          <w:spacing w:val="6"/>
          <w:kern w:val="0"/>
          <w:szCs w:val="21"/>
        </w:rPr>
        <w:br w:type="page"/>
      </w:r>
    </w:p>
    <w:p w14:paraId="61D11E69">
      <w:pPr>
        <w:pStyle w:val="6"/>
        <w:rPr>
          <w:rFonts w:hint="default" w:ascii="Times New Roman" w:hAnsi="Times New Roman" w:cs="Times New Roman"/>
          <w:b w:val="0"/>
          <w:color w:val="auto"/>
          <w:spacing w:val="6"/>
          <w:sz w:val="21"/>
          <w:szCs w:val="21"/>
        </w:rPr>
      </w:pPr>
      <w:bookmarkStart w:id="216" w:name="_Toc29913972"/>
      <w:bookmarkStart w:id="217" w:name="_Toc17493"/>
      <w:bookmarkStart w:id="218" w:name="_Toc14005"/>
      <w:r>
        <w:rPr>
          <w:rFonts w:hint="default" w:ascii="Times New Roman" w:hAnsi="Times New Roman" w:cs="Times New Roman"/>
          <w:b w:val="0"/>
          <w:bCs w:val="0"/>
          <w:color w:val="auto"/>
          <w:spacing w:val="6"/>
          <w:kern w:val="0"/>
          <w:sz w:val="21"/>
          <w:szCs w:val="21"/>
        </w:rPr>
        <w:t xml:space="preserve">附件10-2 </w:t>
      </w:r>
      <w:r>
        <w:rPr>
          <w:rFonts w:hint="default" w:ascii="Times New Roman" w:hAnsi="Times New Roman" w:cs="Times New Roman"/>
          <w:b w:val="0"/>
          <w:color w:val="auto"/>
          <w:spacing w:val="6"/>
          <w:sz w:val="21"/>
          <w:szCs w:val="21"/>
        </w:rPr>
        <w:t>残疾人福利性单位声明函</w:t>
      </w:r>
      <w:bookmarkEnd w:id="216"/>
      <w:bookmarkEnd w:id="217"/>
      <w:bookmarkEnd w:id="218"/>
    </w:p>
    <w:p w14:paraId="0FD35485">
      <w:pPr>
        <w:adjustRightInd w:val="0"/>
        <w:snapToGrid w:val="0"/>
        <w:spacing w:line="360" w:lineRule="auto"/>
        <w:jc w:val="center"/>
        <w:rPr>
          <w:rFonts w:hint="default" w:ascii="Times New Roman" w:hAnsi="Times New Roman" w:eastAsia="黑体" w:cs="Times New Roman"/>
          <w:b/>
          <w:color w:val="auto"/>
          <w:spacing w:val="6"/>
          <w:sz w:val="28"/>
          <w:szCs w:val="28"/>
        </w:rPr>
      </w:pPr>
      <w:r>
        <w:rPr>
          <w:rFonts w:hint="default" w:ascii="Times New Roman" w:hAnsi="Times New Roman" w:eastAsia="黑体" w:cs="Times New Roman"/>
          <w:b/>
          <w:color w:val="auto"/>
          <w:spacing w:val="6"/>
          <w:sz w:val="28"/>
          <w:szCs w:val="28"/>
        </w:rPr>
        <w:t>残疾人福利性单位声明函</w:t>
      </w:r>
    </w:p>
    <w:p w14:paraId="14C5CC60">
      <w:pPr>
        <w:adjustRightInd w:val="0"/>
        <w:snapToGrid w:val="0"/>
        <w:spacing w:line="360" w:lineRule="auto"/>
        <w:jc w:val="center"/>
        <w:rPr>
          <w:rFonts w:hint="default" w:ascii="Times New Roman" w:hAnsi="Times New Roman" w:cs="Times New Roman"/>
          <w:b/>
          <w:color w:val="auto"/>
          <w:spacing w:val="6"/>
          <w:szCs w:val="21"/>
        </w:rPr>
      </w:pPr>
      <w:r>
        <w:rPr>
          <w:rFonts w:hint="default" w:ascii="Times New Roman" w:hAnsi="Times New Roman" w:cs="Times New Roman"/>
          <w:b/>
          <w:color w:val="auto"/>
          <w:spacing w:val="6"/>
          <w:szCs w:val="21"/>
        </w:rPr>
        <w:t>(不属于残疾人福利性单位的无需填写)</w:t>
      </w:r>
    </w:p>
    <w:p w14:paraId="7647D219">
      <w:pPr>
        <w:adjustRightInd w:val="0"/>
        <w:snapToGrid w:val="0"/>
        <w:spacing w:line="360" w:lineRule="auto"/>
        <w:ind w:firstLine="444" w:firstLineChars="200"/>
        <w:rPr>
          <w:rFonts w:hint="default" w:ascii="Times New Roman" w:hAnsi="Times New Roman" w:cs="Times New Roman"/>
          <w:color w:val="auto"/>
          <w:spacing w:val="6"/>
          <w:szCs w:val="21"/>
        </w:rPr>
      </w:pPr>
    </w:p>
    <w:p w14:paraId="5942EC97">
      <w:pPr>
        <w:adjustRightInd w:val="0"/>
        <w:snapToGrid w:val="0"/>
        <w:spacing w:line="360" w:lineRule="auto"/>
        <w:ind w:firstLine="444" w:firstLineChars="200"/>
        <w:rPr>
          <w:rFonts w:hint="default" w:ascii="Times New Roman" w:hAnsi="Times New Roman" w:cs="Times New Roman"/>
          <w:color w:val="auto"/>
          <w:spacing w:val="6"/>
          <w:szCs w:val="21"/>
        </w:rPr>
      </w:pPr>
      <w:r>
        <w:rPr>
          <w:rFonts w:hint="default" w:ascii="Times New Roman" w:hAnsi="Times New Roman" w:cs="Times New Roman"/>
          <w:color w:val="auto"/>
          <w:spacing w:val="6"/>
          <w:szCs w:val="21"/>
        </w:rPr>
        <w:t>本单位郑重声明，根据《财政部 民政部 中国残疾人联合会关于促进残疾人就业政府采购政策的通知》（财库</w:t>
      </w:r>
      <w:r>
        <w:rPr>
          <w:rFonts w:hint="default" w:ascii="Times New Roman" w:hAnsi="Times New Roman" w:cs="Times New Roman"/>
          <w:color w:val="auto"/>
          <w:szCs w:val="21"/>
        </w:rPr>
        <w:t>〔2017〕141</w:t>
      </w:r>
      <w:r>
        <w:rPr>
          <w:rFonts w:hint="default" w:ascii="Times New Roman" w:hAnsi="Times New Roman" w:cs="Times New Roman"/>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22CDCE5">
      <w:pPr>
        <w:adjustRightInd w:val="0"/>
        <w:snapToGrid w:val="0"/>
        <w:spacing w:line="360" w:lineRule="auto"/>
        <w:ind w:firstLine="444" w:firstLineChars="200"/>
        <w:rPr>
          <w:rFonts w:hint="default" w:ascii="Times New Roman" w:hAnsi="Times New Roman" w:cs="Times New Roman"/>
          <w:color w:val="auto"/>
          <w:spacing w:val="6"/>
          <w:szCs w:val="21"/>
        </w:rPr>
      </w:pPr>
      <w:r>
        <w:rPr>
          <w:rFonts w:hint="default" w:ascii="Times New Roman" w:hAnsi="Times New Roman" w:cs="Times New Roman"/>
          <w:color w:val="auto"/>
          <w:spacing w:val="6"/>
          <w:szCs w:val="21"/>
        </w:rPr>
        <w:t>本单位对上述声明的真实性负责。如有虚假，将依法承担相应责任。</w:t>
      </w:r>
    </w:p>
    <w:p w14:paraId="489BBA64">
      <w:pPr>
        <w:adjustRightInd w:val="0"/>
        <w:snapToGrid w:val="0"/>
        <w:spacing w:line="360" w:lineRule="auto"/>
        <w:ind w:firstLine="444" w:firstLineChars="200"/>
        <w:rPr>
          <w:rFonts w:hint="default" w:ascii="Times New Roman" w:hAnsi="Times New Roman" w:cs="Times New Roman"/>
          <w:color w:val="auto"/>
          <w:spacing w:val="6"/>
          <w:szCs w:val="21"/>
        </w:rPr>
      </w:pPr>
    </w:p>
    <w:p w14:paraId="26897F83">
      <w:pPr>
        <w:adjustRightInd w:val="0"/>
        <w:snapToGrid w:val="0"/>
        <w:spacing w:line="360" w:lineRule="auto"/>
        <w:ind w:firstLine="444" w:firstLineChars="200"/>
        <w:rPr>
          <w:rFonts w:hint="default" w:ascii="Times New Roman" w:hAnsi="Times New Roman" w:cs="Times New Roman"/>
          <w:color w:val="auto"/>
          <w:spacing w:val="6"/>
          <w:szCs w:val="21"/>
        </w:rPr>
      </w:pPr>
    </w:p>
    <w:p w14:paraId="61744FCD">
      <w:pPr>
        <w:tabs>
          <w:tab w:val="left" w:pos="4860"/>
        </w:tabs>
        <w:adjustRightInd w:val="0"/>
        <w:snapToGrid w:val="0"/>
        <w:spacing w:line="360" w:lineRule="auto"/>
        <w:ind w:right="1560" w:firstLine="444" w:firstLineChars="200"/>
        <w:jc w:val="center"/>
        <w:rPr>
          <w:rFonts w:hint="default" w:ascii="Times New Roman" w:hAnsi="Times New Roman" w:cs="Times New Roman"/>
          <w:color w:val="auto"/>
          <w:spacing w:val="6"/>
          <w:szCs w:val="21"/>
        </w:rPr>
      </w:pPr>
      <w:r>
        <w:rPr>
          <w:rFonts w:hint="default" w:ascii="Times New Roman" w:hAnsi="Times New Roman" w:cs="Times New Roman"/>
          <w:color w:val="auto"/>
          <w:spacing w:val="6"/>
          <w:szCs w:val="21"/>
        </w:rPr>
        <w:t xml:space="preserve">               单位名称（盖单位电子章）：</w:t>
      </w:r>
    </w:p>
    <w:p w14:paraId="0AFC44D9">
      <w:pPr>
        <w:tabs>
          <w:tab w:val="left" w:pos="4860"/>
        </w:tabs>
        <w:adjustRightInd w:val="0"/>
        <w:snapToGrid w:val="0"/>
        <w:spacing w:line="360" w:lineRule="auto"/>
        <w:ind w:right="1560" w:firstLine="444" w:firstLineChars="200"/>
        <w:jc w:val="center"/>
        <w:rPr>
          <w:rFonts w:hint="default" w:ascii="Times New Roman" w:hAnsi="Times New Roman" w:cs="Times New Roman"/>
          <w:color w:val="auto"/>
          <w:spacing w:val="6"/>
          <w:szCs w:val="21"/>
        </w:rPr>
      </w:pPr>
      <w:r>
        <w:rPr>
          <w:rFonts w:hint="default" w:ascii="Times New Roman" w:hAnsi="Times New Roman" w:cs="Times New Roman"/>
          <w:color w:val="auto"/>
          <w:spacing w:val="6"/>
          <w:szCs w:val="21"/>
        </w:rPr>
        <w:t xml:space="preserve">       日  期：</w:t>
      </w:r>
    </w:p>
    <w:p w14:paraId="08E7ADF0">
      <w:pPr>
        <w:widowControl/>
        <w:adjustRightInd w:val="0"/>
        <w:snapToGrid w:val="0"/>
        <w:spacing w:line="360" w:lineRule="auto"/>
        <w:jc w:val="left"/>
        <w:rPr>
          <w:rFonts w:hint="default" w:ascii="Times New Roman" w:hAnsi="Times New Roman" w:cs="Times New Roman"/>
          <w:color w:val="auto"/>
          <w:kern w:val="0"/>
          <w:szCs w:val="21"/>
        </w:rPr>
      </w:pPr>
    </w:p>
    <w:p w14:paraId="17A463C5">
      <w:pPr>
        <w:widowControl/>
        <w:jc w:val="left"/>
        <w:rPr>
          <w:rFonts w:hint="default" w:ascii="Times New Roman" w:hAnsi="Times New Roman" w:eastAsia="黑体" w:cs="Times New Roman"/>
          <w:color w:val="auto"/>
          <w:spacing w:val="6"/>
          <w:kern w:val="0"/>
          <w:szCs w:val="21"/>
        </w:rPr>
      </w:pPr>
      <w:r>
        <w:rPr>
          <w:rFonts w:hint="default" w:ascii="Times New Roman" w:hAnsi="Times New Roman" w:cs="Times New Roman"/>
          <w:b/>
          <w:bCs/>
          <w:color w:val="auto"/>
          <w:spacing w:val="6"/>
          <w:kern w:val="0"/>
          <w:szCs w:val="21"/>
        </w:rPr>
        <w:br w:type="page"/>
      </w:r>
    </w:p>
    <w:p w14:paraId="529B5606">
      <w:pPr>
        <w:pStyle w:val="6"/>
        <w:rPr>
          <w:rFonts w:hint="default" w:ascii="Times New Roman" w:hAnsi="Times New Roman" w:cs="Times New Roman"/>
          <w:b w:val="0"/>
          <w:color w:val="auto"/>
          <w:sz w:val="21"/>
          <w:szCs w:val="21"/>
        </w:rPr>
      </w:pPr>
      <w:bookmarkStart w:id="219" w:name="_Toc10072"/>
      <w:bookmarkStart w:id="220" w:name="_Toc19631"/>
      <w:bookmarkStart w:id="221" w:name="_Toc29913974"/>
      <w:r>
        <w:rPr>
          <w:rFonts w:hint="default" w:ascii="Times New Roman" w:hAnsi="Times New Roman" w:cs="Times New Roman"/>
          <w:b w:val="0"/>
          <w:bCs w:val="0"/>
          <w:color w:val="auto"/>
          <w:spacing w:val="6"/>
          <w:kern w:val="0"/>
          <w:sz w:val="21"/>
          <w:szCs w:val="21"/>
        </w:rPr>
        <w:t>附件10-</w:t>
      </w:r>
      <w:r>
        <w:rPr>
          <w:rFonts w:hint="default" w:ascii="Times New Roman" w:hAnsi="Times New Roman" w:cs="Times New Roman"/>
          <w:b w:val="0"/>
          <w:bCs w:val="0"/>
          <w:color w:val="auto"/>
          <w:spacing w:val="6"/>
          <w:kern w:val="0"/>
          <w:sz w:val="21"/>
          <w:szCs w:val="21"/>
          <w:lang w:val="en-US" w:eastAsia="zh-CN"/>
        </w:rPr>
        <w:t>3</w:t>
      </w:r>
      <w:r>
        <w:rPr>
          <w:rFonts w:hint="default" w:ascii="Times New Roman" w:hAnsi="Times New Roman" w:cs="Times New Roman"/>
          <w:b w:val="0"/>
          <w:bCs w:val="0"/>
          <w:color w:val="auto"/>
          <w:spacing w:val="6"/>
          <w:kern w:val="0"/>
          <w:sz w:val="21"/>
          <w:szCs w:val="21"/>
        </w:rPr>
        <w:t xml:space="preserve"> </w:t>
      </w:r>
      <w:r>
        <w:rPr>
          <w:rFonts w:hint="default" w:ascii="Times New Roman" w:hAnsi="Times New Roman" w:cs="Times New Roman"/>
          <w:b w:val="0"/>
          <w:color w:val="auto"/>
          <w:sz w:val="21"/>
          <w:szCs w:val="21"/>
        </w:rPr>
        <w:t>强制采购或者优先采购产品</w:t>
      </w:r>
      <w:r>
        <w:rPr>
          <w:rFonts w:hint="default" w:ascii="Times New Roman" w:hAnsi="Times New Roman" w:cs="Times New Roman"/>
          <w:b w:val="0"/>
          <w:bCs w:val="0"/>
          <w:color w:val="auto"/>
          <w:sz w:val="21"/>
          <w:szCs w:val="21"/>
        </w:rPr>
        <w:t>的</w:t>
      </w:r>
      <w:r>
        <w:rPr>
          <w:rFonts w:hint="default" w:ascii="Times New Roman" w:hAnsi="Times New Roman" w:cs="Times New Roman"/>
          <w:b w:val="0"/>
          <w:color w:val="auto"/>
          <w:sz w:val="21"/>
          <w:szCs w:val="21"/>
        </w:rPr>
        <w:t>证明材料</w:t>
      </w:r>
      <w:bookmarkEnd w:id="219"/>
      <w:bookmarkEnd w:id="220"/>
      <w:bookmarkEnd w:id="221"/>
    </w:p>
    <w:p w14:paraId="2314CF7E">
      <w:pPr>
        <w:adjustRightInd w:val="0"/>
        <w:snapToGrid w:val="0"/>
        <w:spacing w:line="360" w:lineRule="auto"/>
        <w:jc w:val="center"/>
        <w:rPr>
          <w:rFonts w:hint="default" w:ascii="Times New Roman" w:hAnsi="Times New Roman" w:eastAsia="黑体" w:cs="Times New Roman"/>
          <w:b/>
          <w:color w:val="auto"/>
          <w:sz w:val="28"/>
          <w:szCs w:val="28"/>
        </w:rPr>
      </w:pPr>
      <w:r>
        <w:rPr>
          <w:rFonts w:hint="default" w:ascii="Times New Roman" w:hAnsi="Times New Roman" w:eastAsia="黑体" w:cs="Times New Roman"/>
          <w:b/>
          <w:color w:val="auto"/>
          <w:sz w:val="28"/>
          <w:szCs w:val="28"/>
        </w:rPr>
        <w:t>强制采购或者优先采购产品</w:t>
      </w:r>
      <w:r>
        <w:rPr>
          <w:rFonts w:hint="default" w:ascii="Times New Roman" w:hAnsi="Times New Roman" w:eastAsia="黑体" w:cs="Times New Roman"/>
          <w:b/>
          <w:bCs/>
          <w:color w:val="auto"/>
          <w:sz w:val="28"/>
          <w:szCs w:val="28"/>
        </w:rPr>
        <w:t>的</w:t>
      </w:r>
      <w:r>
        <w:rPr>
          <w:rFonts w:hint="default" w:ascii="Times New Roman" w:hAnsi="Times New Roman" w:eastAsia="黑体" w:cs="Times New Roman"/>
          <w:b/>
          <w:color w:val="auto"/>
          <w:sz w:val="28"/>
          <w:szCs w:val="28"/>
        </w:rPr>
        <w:t>证明材料</w:t>
      </w:r>
    </w:p>
    <w:p w14:paraId="4164C290">
      <w:pPr>
        <w:adjustRightInd w:val="0"/>
        <w:snapToGrid w:val="0"/>
        <w:spacing w:line="360" w:lineRule="auto"/>
        <w:jc w:val="center"/>
        <w:rPr>
          <w:rFonts w:hint="default" w:ascii="Times New Roman" w:hAnsi="Times New Roman" w:cs="Times New Roman"/>
          <w:b/>
          <w:color w:val="auto"/>
          <w:spacing w:val="6"/>
          <w:szCs w:val="21"/>
        </w:rPr>
      </w:pPr>
      <w:r>
        <w:rPr>
          <w:rFonts w:hint="default" w:ascii="Times New Roman" w:hAnsi="Times New Roman" w:cs="Times New Roman"/>
          <w:b/>
          <w:color w:val="auto"/>
          <w:spacing w:val="6"/>
          <w:szCs w:val="21"/>
        </w:rPr>
        <w:t>(不属于强制采购或者优先采购产品的无需提供)</w:t>
      </w:r>
    </w:p>
    <w:p w14:paraId="5DA8D62A">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p>
    <w:p w14:paraId="48C566D9">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说明：投标人提供的产品</w:t>
      </w:r>
      <w:r>
        <w:rPr>
          <w:rFonts w:hint="default" w:ascii="Times New Roman" w:hAnsi="Times New Roman" w:cs="Times New Roman" w:eastAsiaTheme="minorEastAsia"/>
          <w:bCs/>
          <w:color w:val="auto"/>
          <w:szCs w:val="21"/>
        </w:rPr>
        <w:t>属于强制采购或者优先采购的</w:t>
      </w:r>
      <w:r>
        <w:rPr>
          <w:rFonts w:hint="default" w:ascii="Times New Roman" w:hAnsi="Times New Roman" w:cs="Times New Roman" w:eastAsiaTheme="minorEastAsia"/>
          <w:color w:val="auto"/>
          <w:szCs w:val="21"/>
        </w:rPr>
        <w:t>，应按第二章第33.6款规定提供证明材料和本章本节附页2“优先采购产品清单”，并加盖投标人单位电子章。</w:t>
      </w:r>
    </w:p>
    <w:p w14:paraId="63F989E1">
      <w:pPr>
        <w:adjustRightInd w:val="0"/>
        <w:snapToGrid w:val="0"/>
        <w:spacing w:line="360" w:lineRule="auto"/>
        <w:ind w:firstLine="420" w:firstLineChars="200"/>
        <w:jc w:val="left"/>
        <w:rPr>
          <w:rFonts w:hint="default" w:ascii="Times New Roman" w:hAnsi="Times New Roman" w:cs="Times New Roman" w:eastAsiaTheme="minorEastAsia"/>
          <w:color w:val="auto"/>
          <w:szCs w:val="21"/>
        </w:rPr>
      </w:pPr>
    </w:p>
    <w:p w14:paraId="2F9431B8">
      <w:pPr>
        <w:adjustRightInd w:val="0"/>
        <w:snapToGrid w:val="0"/>
        <w:spacing w:line="360" w:lineRule="auto"/>
        <w:rPr>
          <w:rFonts w:hint="default" w:ascii="Times New Roman" w:hAnsi="Times New Roman" w:eastAsia="黑体" w:cs="Times New Roman"/>
          <w:color w:val="auto"/>
          <w:szCs w:val="21"/>
        </w:rPr>
      </w:pPr>
      <w:r>
        <w:rPr>
          <w:rFonts w:hint="default" w:ascii="Times New Roman" w:hAnsi="Times New Roman" w:eastAsia="黑体" w:cs="Times New Roman"/>
          <w:b/>
          <w:color w:val="auto"/>
          <w:sz w:val="28"/>
          <w:szCs w:val="28"/>
        </w:rPr>
        <w:br w:type="page"/>
      </w:r>
    </w:p>
    <w:p w14:paraId="377278E2">
      <w:pPr>
        <w:pStyle w:val="6"/>
        <w:jc w:val="left"/>
        <w:rPr>
          <w:rFonts w:hint="default" w:ascii="Times New Roman" w:hAnsi="Times New Roman" w:cs="Times New Roman"/>
          <w:b w:val="0"/>
          <w:color w:val="auto"/>
          <w:sz w:val="21"/>
          <w:szCs w:val="21"/>
        </w:rPr>
      </w:pPr>
      <w:bookmarkStart w:id="222" w:name="_Toc29913975"/>
      <w:bookmarkStart w:id="223" w:name="_Toc22237"/>
      <w:bookmarkStart w:id="224" w:name="_Toc416"/>
      <w:r>
        <w:rPr>
          <w:rFonts w:hint="default" w:ascii="Times New Roman" w:hAnsi="Times New Roman" w:cs="Times New Roman"/>
          <w:b w:val="0"/>
          <w:bCs w:val="0"/>
          <w:color w:val="auto"/>
          <w:spacing w:val="6"/>
          <w:kern w:val="0"/>
          <w:sz w:val="21"/>
          <w:szCs w:val="21"/>
        </w:rPr>
        <w:t xml:space="preserve">附页 2 </w:t>
      </w:r>
      <w:r>
        <w:rPr>
          <w:rFonts w:hint="default" w:ascii="Times New Roman" w:hAnsi="Times New Roman" w:cs="Times New Roman"/>
          <w:b w:val="0"/>
          <w:color w:val="auto"/>
          <w:sz w:val="21"/>
          <w:szCs w:val="21"/>
        </w:rPr>
        <w:t>优先采购产品清单</w:t>
      </w:r>
      <w:bookmarkEnd w:id="222"/>
      <w:bookmarkEnd w:id="223"/>
      <w:bookmarkEnd w:id="224"/>
    </w:p>
    <w:p w14:paraId="4AB3B397">
      <w:pPr>
        <w:adjustRightInd w:val="0"/>
        <w:snapToGrid w:val="0"/>
        <w:spacing w:line="360" w:lineRule="auto"/>
        <w:jc w:val="center"/>
        <w:rPr>
          <w:rFonts w:hint="default" w:ascii="Times New Roman" w:hAnsi="Times New Roman" w:cs="Times New Roman"/>
          <w:b/>
          <w:color w:val="auto"/>
          <w:spacing w:val="6"/>
          <w:szCs w:val="21"/>
        </w:rPr>
      </w:pPr>
      <w:r>
        <w:rPr>
          <w:rFonts w:hint="default" w:ascii="Times New Roman" w:hAnsi="Times New Roman" w:eastAsia="黑体" w:cs="Times New Roman"/>
          <w:b/>
          <w:color w:val="auto"/>
          <w:sz w:val="28"/>
          <w:szCs w:val="28"/>
        </w:rPr>
        <w:t>优先采购产品清单</w:t>
      </w:r>
    </w:p>
    <w:p w14:paraId="3DAF010D">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采购代理编号：</w:t>
      </w:r>
      <w:r>
        <w:rPr>
          <w:rFonts w:hint="default" w:ascii="Times New Roman" w:hAnsi="Times New Roman" w:cs="Times New Roman" w:eastAsiaTheme="minorEastAsia"/>
          <w:color w:val="auto"/>
          <w:szCs w:val="21"/>
          <w:u w:val="single"/>
        </w:rPr>
        <w:t>__    ________</w:t>
      </w:r>
      <w:r>
        <w:rPr>
          <w:rFonts w:hint="default" w:ascii="Times New Roman" w:hAnsi="Times New Roman" w:cs="Times New Roman" w:eastAsiaTheme="minorEastAsia"/>
          <w:color w:val="auto"/>
          <w:szCs w:val="21"/>
        </w:rPr>
        <w:t xml:space="preserve">                     项目名称：</w:t>
      </w:r>
      <w:r>
        <w:rPr>
          <w:rFonts w:hint="default" w:ascii="Times New Roman" w:hAnsi="Times New Roman" w:cs="Times New Roman" w:eastAsiaTheme="minorEastAsia"/>
          <w:color w:val="auto"/>
          <w:szCs w:val="21"/>
          <w:u w:val="single"/>
        </w:rPr>
        <w:t>____            ______</w:t>
      </w:r>
    </w:p>
    <w:p w14:paraId="0DC8C35E">
      <w:pPr>
        <w:adjustRightInd w:val="0"/>
        <w:snapToGrid w:val="0"/>
        <w:spacing w:line="360" w:lineRule="auto"/>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包       号：</w:t>
      </w:r>
      <w:r>
        <w:rPr>
          <w:rFonts w:hint="default" w:ascii="Times New Roman" w:hAnsi="Times New Roman" w:cs="Times New Roman" w:eastAsiaTheme="minorEastAsia"/>
          <w:color w:val="auto"/>
          <w:szCs w:val="21"/>
          <w:u w:val="single"/>
        </w:rPr>
        <w:t>__    ________</w:t>
      </w:r>
      <w:r>
        <w:rPr>
          <w:rFonts w:hint="default" w:ascii="Times New Roman" w:hAnsi="Times New Roman" w:cs="Times New Roman" w:eastAsiaTheme="minorEastAsia"/>
          <w:color w:val="auto"/>
          <w:szCs w:val="21"/>
        </w:rPr>
        <w:t xml:space="preserve">                      包名称：</w:t>
      </w:r>
      <w:r>
        <w:rPr>
          <w:rFonts w:hint="default" w:ascii="Times New Roman" w:hAnsi="Times New Roman" w:cs="Times New Roman" w:eastAsiaTheme="minorEastAsia"/>
          <w:color w:val="auto"/>
          <w:szCs w:val="21"/>
          <w:u w:val="single"/>
        </w:rPr>
        <w:t>___          _______</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4391C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22C21A60">
            <w:pPr>
              <w:widowControl/>
              <w:adjustRightInd w:val="0"/>
              <w:snapToGrid w:val="0"/>
              <w:spacing w:line="360" w:lineRule="auto"/>
              <w:ind w:firstLine="480" w:firstLineChars="200"/>
              <w:jc w:val="left"/>
              <w:rPr>
                <w:rFonts w:hint="default" w:ascii="Times New Roman" w:hAnsi="Times New Roman" w:eastAsia="黑体" w:cs="Times New Roman"/>
                <w:color w:val="auto"/>
                <w:kern w:val="0"/>
                <w:sz w:val="24"/>
              </w:rPr>
            </w:pPr>
            <w:r>
              <w:rPr>
                <w:rFonts w:hint="default" w:ascii="Times New Roman" w:hAnsi="Times New Roman" w:eastAsia="黑体" w:cs="Times New Roman"/>
                <w:color w:val="auto"/>
                <w:kern w:val="0"/>
                <w:sz w:val="24"/>
              </w:rPr>
              <w:t>以下为投标人提供的政府采购优先采购产品，投标人对本表的真实性负责。如有虚假，将依法承担相应责任。</w:t>
            </w:r>
          </w:p>
        </w:tc>
      </w:tr>
      <w:tr w14:paraId="3EC9E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59808236">
            <w:pPr>
              <w:widowControl/>
              <w:adjustRightInd w:val="0"/>
              <w:snapToGrid w:val="0"/>
              <w:spacing w:line="360" w:lineRule="auto"/>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w:t>
            </w:r>
          </w:p>
        </w:tc>
        <w:tc>
          <w:tcPr>
            <w:tcW w:w="1739" w:type="dxa"/>
            <w:vAlign w:val="center"/>
          </w:tcPr>
          <w:p w14:paraId="508CE790">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2</w:t>
            </w:r>
          </w:p>
        </w:tc>
        <w:tc>
          <w:tcPr>
            <w:tcW w:w="1134" w:type="dxa"/>
            <w:tcBorders>
              <w:right w:val="single" w:color="auto" w:sz="4" w:space="0"/>
            </w:tcBorders>
            <w:vAlign w:val="center"/>
          </w:tcPr>
          <w:p w14:paraId="1D0F1184">
            <w:pPr>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3</w:t>
            </w:r>
          </w:p>
        </w:tc>
        <w:tc>
          <w:tcPr>
            <w:tcW w:w="1418" w:type="dxa"/>
            <w:tcBorders>
              <w:left w:val="single" w:color="auto" w:sz="4" w:space="0"/>
            </w:tcBorders>
            <w:vAlign w:val="center"/>
          </w:tcPr>
          <w:p w14:paraId="56630689">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4</w:t>
            </w:r>
          </w:p>
        </w:tc>
        <w:tc>
          <w:tcPr>
            <w:tcW w:w="1984" w:type="dxa"/>
            <w:vAlign w:val="center"/>
          </w:tcPr>
          <w:p w14:paraId="6A8162B9">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5</w:t>
            </w:r>
          </w:p>
        </w:tc>
        <w:tc>
          <w:tcPr>
            <w:tcW w:w="1843" w:type="dxa"/>
            <w:vAlign w:val="center"/>
          </w:tcPr>
          <w:p w14:paraId="369CA44D">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6</w:t>
            </w:r>
          </w:p>
        </w:tc>
      </w:tr>
      <w:tr w14:paraId="0C9177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4805B8C4">
            <w:pPr>
              <w:widowControl/>
              <w:adjustRightInd w:val="0"/>
              <w:snapToGrid w:val="0"/>
              <w:spacing w:line="360" w:lineRule="auto"/>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序号</w:t>
            </w:r>
          </w:p>
        </w:tc>
        <w:tc>
          <w:tcPr>
            <w:tcW w:w="1739" w:type="dxa"/>
            <w:vAlign w:val="center"/>
          </w:tcPr>
          <w:p w14:paraId="08F598B9">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货物名称</w:t>
            </w:r>
          </w:p>
        </w:tc>
        <w:tc>
          <w:tcPr>
            <w:tcW w:w="1134" w:type="dxa"/>
            <w:tcBorders>
              <w:right w:val="single" w:color="auto" w:sz="4" w:space="0"/>
            </w:tcBorders>
            <w:vAlign w:val="center"/>
          </w:tcPr>
          <w:p w14:paraId="67251455">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规格型号</w:t>
            </w:r>
          </w:p>
        </w:tc>
        <w:tc>
          <w:tcPr>
            <w:tcW w:w="1418" w:type="dxa"/>
            <w:tcBorders>
              <w:left w:val="single" w:color="auto" w:sz="4" w:space="0"/>
            </w:tcBorders>
            <w:vAlign w:val="center"/>
          </w:tcPr>
          <w:p w14:paraId="617E6F62">
            <w:pPr>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价格（元）</w:t>
            </w:r>
          </w:p>
        </w:tc>
        <w:tc>
          <w:tcPr>
            <w:tcW w:w="1984" w:type="dxa"/>
            <w:vAlign w:val="center"/>
          </w:tcPr>
          <w:p w14:paraId="40CA97F5">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货物制造商名称</w:t>
            </w:r>
          </w:p>
        </w:tc>
        <w:tc>
          <w:tcPr>
            <w:tcW w:w="1843" w:type="dxa"/>
            <w:vAlign w:val="center"/>
          </w:tcPr>
          <w:p w14:paraId="6BF586B7">
            <w:pPr>
              <w:widowControl/>
              <w:adjustRightInd w:val="0"/>
              <w:snapToGrid w:val="0"/>
              <w:spacing w:line="360" w:lineRule="auto"/>
              <w:jc w:val="center"/>
              <w:rPr>
                <w:rFonts w:hint="default" w:ascii="Times New Roman" w:hAnsi="Times New Roman" w:cs="Times New Roman" w:eastAsiaTheme="minorEastAsia"/>
                <w:color w:val="auto"/>
                <w:kern w:val="0"/>
                <w:szCs w:val="21"/>
              </w:rPr>
            </w:pPr>
            <w:r>
              <w:rPr>
                <w:rFonts w:hint="default" w:ascii="Times New Roman" w:hAnsi="Times New Roman" w:cs="Times New Roman" w:eastAsiaTheme="minorEastAsia"/>
                <w:color w:val="auto"/>
                <w:kern w:val="0"/>
                <w:szCs w:val="21"/>
              </w:rPr>
              <w:t>政策功能编码</w:t>
            </w:r>
          </w:p>
        </w:tc>
      </w:tr>
      <w:tr w14:paraId="21CCAF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746C6704">
            <w:pPr>
              <w:adjustRightInd w:val="0"/>
              <w:snapToGrid w:val="0"/>
              <w:spacing w:line="360" w:lineRule="auto"/>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节能产品</w:t>
            </w:r>
          </w:p>
        </w:tc>
      </w:tr>
      <w:tr w14:paraId="5EEFC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92BC878">
            <w:pPr>
              <w:adjustRightInd w:val="0"/>
              <w:snapToGrid w:val="0"/>
              <w:spacing w:line="360" w:lineRule="auto"/>
              <w:jc w:val="center"/>
              <w:rPr>
                <w:rFonts w:hint="default" w:ascii="Times New Roman" w:hAnsi="Times New Roman" w:cs="Times New Roman"/>
                <w:b/>
                <w:color w:val="auto"/>
                <w:szCs w:val="21"/>
              </w:rPr>
            </w:pPr>
          </w:p>
        </w:tc>
        <w:tc>
          <w:tcPr>
            <w:tcW w:w="1739" w:type="dxa"/>
            <w:vAlign w:val="center"/>
          </w:tcPr>
          <w:p w14:paraId="373F228C">
            <w:pPr>
              <w:adjustRightInd w:val="0"/>
              <w:snapToGrid w:val="0"/>
              <w:spacing w:line="360" w:lineRule="auto"/>
              <w:jc w:val="center"/>
              <w:rPr>
                <w:rFonts w:hint="default" w:ascii="Times New Roman" w:hAnsi="Times New Roman" w:cs="Times New Roman" w:eastAsiaTheme="minorEastAsia"/>
                <w:b/>
                <w:color w:val="auto"/>
                <w:szCs w:val="21"/>
              </w:rPr>
            </w:pPr>
          </w:p>
        </w:tc>
        <w:tc>
          <w:tcPr>
            <w:tcW w:w="1134" w:type="dxa"/>
            <w:tcBorders>
              <w:right w:val="single" w:color="auto" w:sz="4" w:space="0"/>
            </w:tcBorders>
            <w:vAlign w:val="center"/>
          </w:tcPr>
          <w:p w14:paraId="10B71A73">
            <w:pPr>
              <w:adjustRightInd w:val="0"/>
              <w:snapToGrid w:val="0"/>
              <w:spacing w:line="360" w:lineRule="auto"/>
              <w:jc w:val="left"/>
              <w:rPr>
                <w:rFonts w:hint="default" w:ascii="Times New Roman" w:hAnsi="Times New Roman" w:cs="Times New Roman" w:eastAsiaTheme="minorEastAsia"/>
                <w:b/>
                <w:color w:val="auto"/>
                <w:szCs w:val="21"/>
              </w:rPr>
            </w:pPr>
          </w:p>
        </w:tc>
        <w:tc>
          <w:tcPr>
            <w:tcW w:w="1418" w:type="dxa"/>
            <w:tcBorders>
              <w:left w:val="single" w:color="auto" w:sz="4" w:space="0"/>
            </w:tcBorders>
            <w:vAlign w:val="center"/>
          </w:tcPr>
          <w:p w14:paraId="3BE08EE2">
            <w:pPr>
              <w:adjustRightInd w:val="0"/>
              <w:snapToGrid w:val="0"/>
              <w:spacing w:line="360" w:lineRule="auto"/>
              <w:jc w:val="left"/>
              <w:rPr>
                <w:rFonts w:hint="default" w:ascii="Times New Roman" w:hAnsi="Times New Roman" w:cs="Times New Roman" w:eastAsiaTheme="minorEastAsia"/>
                <w:b/>
                <w:color w:val="auto"/>
                <w:szCs w:val="21"/>
              </w:rPr>
            </w:pPr>
          </w:p>
        </w:tc>
        <w:tc>
          <w:tcPr>
            <w:tcW w:w="1984" w:type="dxa"/>
            <w:vAlign w:val="center"/>
          </w:tcPr>
          <w:p w14:paraId="559C719E">
            <w:pPr>
              <w:adjustRightInd w:val="0"/>
              <w:snapToGrid w:val="0"/>
              <w:spacing w:line="360" w:lineRule="auto"/>
              <w:jc w:val="center"/>
              <w:rPr>
                <w:rFonts w:hint="default" w:ascii="Times New Roman" w:hAnsi="Times New Roman" w:cs="Times New Roman" w:eastAsiaTheme="minorEastAsia"/>
                <w:b/>
                <w:color w:val="auto"/>
                <w:szCs w:val="21"/>
              </w:rPr>
            </w:pPr>
          </w:p>
        </w:tc>
        <w:tc>
          <w:tcPr>
            <w:tcW w:w="1843" w:type="dxa"/>
          </w:tcPr>
          <w:p w14:paraId="3CF7194B">
            <w:pPr>
              <w:adjustRightInd w:val="0"/>
              <w:snapToGrid w:val="0"/>
              <w:spacing w:line="360" w:lineRule="auto"/>
              <w:jc w:val="center"/>
              <w:rPr>
                <w:rFonts w:hint="default" w:ascii="Times New Roman" w:hAnsi="Times New Roman" w:cs="Times New Roman" w:eastAsiaTheme="minorEastAsia"/>
                <w:b/>
                <w:color w:val="auto"/>
                <w:szCs w:val="21"/>
              </w:rPr>
            </w:pPr>
          </w:p>
        </w:tc>
      </w:tr>
      <w:tr w14:paraId="634AD2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FDDA1DD">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小计</w:t>
            </w:r>
          </w:p>
        </w:tc>
        <w:tc>
          <w:tcPr>
            <w:tcW w:w="1739" w:type="dxa"/>
            <w:vAlign w:val="center"/>
          </w:tcPr>
          <w:p w14:paraId="6DBF38C7">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c>
          <w:tcPr>
            <w:tcW w:w="1134" w:type="dxa"/>
            <w:tcBorders>
              <w:right w:val="single" w:color="auto" w:sz="4" w:space="0"/>
            </w:tcBorders>
            <w:vAlign w:val="center"/>
          </w:tcPr>
          <w:p w14:paraId="682D8B67">
            <w:pPr>
              <w:adjustRightInd w:val="0"/>
              <w:snapToGrid w:val="0"/>
              <w:spacing w:line="360" w:lineRule="auto"/>
              <w:jc w:val="left"/>
              <w:rPr>
                <w:rFonts w:hint="default" w:ascii="Times New Roman" w:hAnsi="Times New Roman" w:cs="Times New Roman" w:eastAsiaTheme="minorEastAsia"/>
                <w:b/>
                <w:color w:val="auto"/>
                <w:szCs w:val="21"/>
              </w:rPr>
            </w:pPr>
          </w:p>
        </w:tc>
        <w:tc>
          <w:tcPr>
            <w:tcW w:w="1418" w:type="dxa"/>
            <w:tcBorders>
              <w:left w:val="single" w:color="auto" w:sz="4" w:space="0"/>
            </w:tcBorders>
            <w:vAlign w:val="center"/>
          </w:tcPr>
          <w:p w14:paraId="739E05CF">
            <w:pPr>
              <w:adjustRightInd w:val="0"/>
              <w:snapToGrid w:val="0"/>
              <w:spacing w:line="360" w:lineRule="auto"/>
              <w:jc w:val="left"/>
              <w:rPr>
                <w:rFonts w:hint="default" w:ascii="Times New Roman" w:hAnsi="Times New Roman" w:cs="Times New Roman" w:eastAsiaTheme="minorEastAsia"/>
                <w:b/>
                <w:color w:val="auto"/>
                <w:szCs w:val="21"/>
              </w:rPr>
            </w:pPr>
          </w:p>
        </w:tc>
        <w:tc>
          <w:tcPr>
            <w:tcW w:w="1984" w:type="dxa"/>
            <w:vAlign w:val="center"/>
          </w:tcPr>
          <w:p w14:paraId="5BC6F789">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c>
          <w:tcPr>
            <w:tcW w:w="1843" w:type="dxa"/>
          </w:tcPr>
          <w:p w14:paraId="505D6EC8">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r>
      <w:tr w14:paraId="3697B9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4C3D7FF">
            <w:pPr>
              <w:adjustRightInd w:val="0"/>
              <w:snapToGrid w:val="0"/>
              <w:spacing w:line="360" w:lineRule="auto"/>
              <w:jc w:val="left"/>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环境标志产品</w:t>
            </w:r>
          </w:p>
        </w:tc>
      </w:tr>
      <w:tr w14:paraId="2BB46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318FDEE8">
            <w:pPr>
              <w:adjustRightInd w:val="0"/>
              <w:snapToGrid w:val="0"/>
              <w:spacing w:line="360" w:lineRule="auto"/>
              <w:jc w:val="center"/>
              <w:rPr>
                <w:rFonts w:hint="default" w:ascii="Times New Roman" w:hAnsi="Times New Roman" w:cs="Times New Roman"/>
                <w:b/>
                <w:color w:val="auto"/>
                <w:szCs w:val="21"/>
              </w:rPr>
            </w:pPr>
          </w:p>
        </w:tc>
        <w:tc>
          <w:tcPr>
            <w:tcW w:w="1739" w:type="dxa"/>
            <w:vAlign w:val="center"/>
          </w:tcPr>
          <w:p w14:paraId="6210C2E6">
            <w:pPr>
              <w:adjustRightInd w:val="0"/>
              <w:snapToGrid w:val="0"/>
              <w:spacing w:line="360" w:lineRule="auto"/>
              <w:jc w:val="center"/>
              <w:rPr>
                <w:rFonts w:hint="default" w:ascii="Times New Roman" w:hAnsi="Times New Roman" w:cs="Times New Roman" w:eastAsiaTheme="minorEastAsia"/>
                <w:b/>
                <w:color w:val="auto"/>
                <w:szCs w:val="21"/>
              </w:rPr>
            </w:pPr>
          </w:p>
        </w:tc>
        <w:tc>
          <w:tcPr>
            <w:tcW w:w="1134" w:type="dxa"/>
            <w:tcBorders>
              <w:right w:val="single" w:color="auto" w:sz="4" w:space="0"/>
            </w:tcBorders>
            <w:vAlign w:val="center"/>
          </w:tcPr>
          <w:p w14:paraId="678A4A94">
            <w:pPr>
              <w:adjustRightInd w:val="0"/>
              <w:snapToGrid w:val="0"/>
              <w:spacing w:line="360" w:lineRule="auto"/>
              <w:jc w:val="left"/>
              <w:rPr>
                <w:rFonts w:hint="default" w:ascii="Times New Roman" w:hAnsi="Times New Roman" w:cs="Times New Roman" w:eastAsiaTheme="minorEastAsia"/>
                <w:b/>
                <w:color w:val="auto"/>
                <w:szCs w:val="21"/>
              </w:rPr>
            </w:pPr>
          </w:p>
        </w:tc>
        <w:tc>
          <w:tcPr>
            <w:tcW w:w="1418" w:type="dxa"/>
            <w:tcBorders>
              <w:left w:val="single" w:color="auto" w:sz="4" w:space="0"/>
            </w:tcBorders>
            <w:vAlign w:val="center"/>
          </w:tcPr>
          <w:p w14:paraId="6A19834E">
            <w:pPr>
              <w:adjustRightInd w:val="0"/>
              <w:snapToGrid w:val="0"/>
              <w:spacing w:line="360" w:lineRule="auto"/>
              <w:jc w:val="left"/>
              <w:rPr>
                <w:rFonts w:hint="default" w:ascii="Times New Roman" w:hAnsi="Times New Roman" w:cs="Times New Roman" w:eastAsiaTheme="minorEastAsia"/>
                <w:b/>
                <w:color w:val="auto"/>
                <w:szCs w:val="21"/>
              </w:rPr>
            </w:pPr>
          </w:p>
        </w:tc>
        <w:tc>
          <w:tcPr>
            <w:tcW w:w="1984" w:type="dxa"/>
            <w:vAlign w:val="center"/>
          </w:tcPr>
          <w:p w14:paraId="679B29EA">
            <w:pPr>
              <w:adjustRightInd w:val="0"/>
              <w:snapToGrid w:val="0"/>
              <w:spacing w:line="360" w:lineRule="auto"/>
              <w:jc w:val="center"/>
              <w:rPr>
                <w:rFonts w:hint="default" w:ascii="Times New Roman" w:hAnsi="Times New Roman" w:cs="Times New Roman" w:eastAsiaTheme="minorEastAsia"/>
                <w:b/>
                <w:color w:val="auto"/>
                <w:szCs w:val="21"/>
              </w:rPr>
            </w:pPr>
          </w:p>
        </w:tc>
        <w:tc>
          <w:tcPr>
            <w:tcW w:w="1843" w:type="dxa"/>
          </w:tcPr>
          <w:p w14:paraId="12D5B3A2">
            <w:pPr>
              <w:adjustRightInd w:val="0"/>
              <w:snapToGrid w:val="0"/>
              <w:spacing w:line="360" w:lineRule="auto"/>
              <w:jc w:val="center"/>
              <w:rPr>
                <w:rFonts w:hint="default" w:ascii="Times New Roman" w:hAnsi="Times New Roman" w:cs="Times New Roman" w:eastAsiaTheme="minorEastAsia"/>
                <w:b/>
                <w:color w:val="auto"/>
                <w:szCs w:val="21"/>
              </w:rPr>
            </w:pPr>
          </w:p>
        </w:tc>
      </w:tr>
      <w:tr w14:paraId="436C32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EF8AC2C">
            <w:pPr>
              <w:adjustRightInd w:val="0"/>
              <w:snapToGrid w:val="0"/>
              <w:spacing w:line="360" w:lineRule="auto"/>
              <w:jc w:val="center"/>
              <w:rPr>
                <w:rFonts w:hint="default" w:ascii="Times New Roman" w:hAnsi="Times New Roman" w:cs="Times New Roman"/>
                <w:color w:val="auto"/>
                <w:szCs w:val="21"/>
              </w:rPr>
            </w:pPr>
            <w:r>
              <w:rPr>
                <w:rFonts w:hint="default" w:ascii="Times New Roman" w:hAnsi="Times New Roman" w:cs="Times New Roman"/>
                <w:color w:val="auto"/>
                <w:szCs w:val="21"/>
              </w:rPr>
              <w:t>小计</w:t>
            </w:r>
          </w:p>
        </w:tc>
        <w:tc>
          <w:tcPr>
            <w:tcW w:w="1739" w:type="dxa"/>
            <w:vAlign w:val="center"/>
          </w:tcPr>
          <w:p w14:paraId="5BE0B2F7">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c>
          <w:tcPr>
            <w:tcW w:w="1134" w:type="dxa"/>
            <w:tcBorders>
              <w:right w:val="single" w:color="auto" w:sz="4" w:space="0"/>
            </w:tcBorders>
            <w:vAlign w:val="center"/>
          </w:tcPr>
          <w:p w14:paraId="066F7108">
            <w:pPr>
              <w:adjustRightInd w:val="0"/>
              <w:snapToGrid w:val="0"/>
              <w:spacing w:line="360" w:lineRule="auto"/>
              <w:jc w:val="left"/>
              <w:rPr>
                <w:rFonts w:hint="default" w:ascii="Times New Roman" w:hAnsi="Times New Roman" w:cs="Times New Roman" w:eastAsiaTheme="minorEastAsia"/>
                <w:b/>
                <w:color w:val="auto"/>
                <w:szCs w:val="21"/>
              </w:rPr>
            </w:pPr>
          </w:p>
        </w:tc>
        <w:tc>
          <w:tcPr>
            <w:tcW w:w="1418" w:type="dxa"/>
            <w:tcBorders>
              <w:left w:val="single" w:color="auto" w:sz="4" w:space="0"/>
            </w:tcBorders>
            <w:vAlign w:val="center"/>
          </w:tcPr>
          <w:p w14:paraId="5C183DB6">
            <w:pPr>
              <w:adjustRightInd w:val="0"/>
              <w:snapToGrid w:val="0"/>
              <w:spacing w:line="360" w:lineRule="auto"/>
              <w:jc w:val="left"/>
              <w:rPr>
                <w:rFonts w:hint="default" w:ascii="Times New Roman" w:hAnsi="Times New Roman" w:cs="Times New Roman" w:eastAsiaTheme="minorEastAsia"/>
                <w:b/>
                <w:color w:val="auto"/>
                <w:szCs w:val="21"/>
              </w:rPr>
            </w:pPr>
          </w:p>
        </w:tc>
        <w:tc>
          <w:tcPr>
            <w:tcW w:w="1984" w:type="dxa"/>
            <w:vAlign w:val="center"/>
          </w:tcPr>
          <w:p w14:paraId="3E23EB4F">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c>
          <w:tcPr>
            <w:tcW w:w="1843" w:type="dxa"/>
          </w:tcPr>
          <w:p w14:paraId="71BA8B78">
            <w:pPr>
              <w:adjustRightInd w:val="0"/>
              <w:snapToGrid w:val="0"/>
              <w:spacing w:line="360" w:lineRule="auto"/>
              <w:jc w:val="center"/>
              <w:rPr>
                <w:rFonts w:hint="default" w:ascii="Times New Roman" w:hAnsi="Times New Roman" w:cs="Times New Roman" w:eastAsiaTheme="minorEastAsia"/>
                <w:b/>
                <w:color w:val="auto"/>
                <w:szCs w:val="21"/>
              </w:rPr>
            </w:pPr>
            <w:r>
              <w:rPr>
                <w:rFonts w:hint="default" w:ascii="Times New Roman" w:hAnsi="Times New Roman" w:cs="Times New Roman" w:eastAsiaTheme="minorEastAsia"/>
                <w:b/>
                <w:color w:val="auto"/>
                <w:szCs w:val="21"/>
              </w:rPr>
              <w:t>/</w:t>
            </w:r>
          </w:p>
        </w:tc>
      </w:tr>
    </w:tbl>
    <w:p w14:paraId="4B4DED1F">
      <w:pPr>
        <w:adjustRightInd w:val="0"/>
        <w:snapToGrid w:val="0"/>
        <w:spacing w:line="360" w:lineRule="auto"/>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说明：</w:t>
      </w:r>
      <w:r>
        <w:rPr>
          <w:rFonts w:hint="default" w:ascii="Times New Roman" w:hAnsi="Times New Roman" w:cs="Times New Roman" w:eastAsiaTheme="minorEastAsia"/>
          <w:bCs/>
          <w:color w:val="auto"/>
          <w:szCs w:val="21"/>
        </w:rPr>
        <w:t>1、</w:t>
      </w:r>
      <w:r>
        <w:rPr>
          <w:rFonts w:hint="default" w:ascii="Times New Roman" w:hAnsi="Times New Roman" w:cs="Times New Roman" w:eastAsiaTheme="minorEastAsia"/>
          <w:color w:val="auto"/>
          <w:szCs w:val="21"/>
        </w:rPr>
        <w:t>本表用于计算政府采购优先采购产品（节能产品或环境标志产品）的政府采购政策加分或者价格扣除。</w:t>
      </w:r>
    </w:p>
    <w:p w14:paraId="72D87A7F">
      <w:pPr>
        <w:adjustRightInd w:val="0"/>
        <w:snapToGrid w:val="0"/>
        <w:spacing w:line="360" w:lineRule="auto"/>
        <w:ind w:firstLine="630" w:firstLineChars="3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2、栏目4“价格”为综合单价，包含货物所有隐含的内容，如运输费、保险费、管理费和利润等。</w:t>
      </w:r>
    </w:p>
    <w:p w14:paraId="30C43426">
      <w:pPr>
        <w:adjustRightInd w:val="0"/>
        <w:snapToGrid w:val="0"/>
        <w:spacing w:line="360" w:lineRule="auto"/>
        <w:ind w:firstLine="630" w:firstLineChars="300"/>
        <w:jc w:val="left"/>
        <w:rPr>
          <w:rFonts w:hint="default" w:ascii="Times New Roman" w:hAnsi="Times New Roman" w:cs="Times New Roman" w:eastAsiaTheme="minorEastAsia"/>
          <w:color w:val="auto"/>
          <w:szCs w:val="21"/>
        </w:rPr>
      </w:pPr>
      <w:r>
        <w:rPr>
          <w:rFonts w:hint="default" w:ascii="Times New Roman" w:hAnsi="Times New Roman" w:cs="Times New Roman" w:eastAsiaTheme="minorEastAsia"/>
          <w:color w:val="auto"/>
          <w:szCs w:val="21"/>
        </w:rPr>
        <w:t>3、栏目6“政策功能编码”是指货物的中国环境标志认证证书编号、中国节能标志认证证书号（货物同时属于节能产品、环境标志产品的，只须填写一种）。</w:t>
      </w:r>
    </w:p>
    <w:p w14:paraId="65EDE764">
      <w:pPr>
        <w:adjustRightInd w:val="0"/>
        <w:snapToGrid w:val="0"/>
        <w:spacing w:line="360" w:lineRule="auto"/>
        <w:ind w:firstLine="630" w:firstLineChars="300"/>
        <w:rPr>
          <w:rFonts w:hint="default" w:ascii="Times New Roman" w:hAnsi="Times New Roman" w:cs="Times New Roman" w:eastAsiaTheme="minorEastAsia"/>
          <w:bCs/>
          <w:color w:val="auto"/>
          <w:szCs w:val="21"/>
        </w:rPr>
      </w:pPr>
      <w:r>
        <w:rPr>
          <w:rFonts w:hint="default" w:ascii="Times New Roman" w:hAnsi="Times New Roman" w:cs="Times New Roman" w:eastAsiaTheme="minorEastAsia"/>
          <w:bCs/>
          <w:color w:val="auto"/>
          <w:szCs w:val="21"/>
        </w:rPr>
        <w:t>4、投标人在投标截止时间前修改“开标一览表”中的投标报价的，应按第二章第13.7款规定修改本表相应内容。否则，评审时涉及本表所有优惠不予以考虑。</w:t>
      </w:r>
    </w:p>
    <w:p w14:paraId="49A93754">
      <w:pPr>
        <w:adjustRightInd w:val="0"/>
        <w:snapToGrid w:val="0"/>
        <w:spacing w:line="360" w:lineRule="auto"/>
        <w:rPr>
          <w:rFonts w:hint="default" w:ascii="Times New Roman" w:hAnsi="Times New Roman" w:cs="Times New Roman"/>
          <w:color w:val="auto"/>
          <w:szCs w:val="21"/>
        </w:rPr>
      </w:pPr>
    </w:p>
    <w:p w14:paraId="2B1E6C41">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color w:val="auto"/>
          <w:szCs w:val="21"/>
        </w:rPr>
        <w:t>投标人名称（盖单位电子章）：</w:t>
      </w:r>
    </w:p>
    <w:p w14:paraId="08C36F49">
      <w:pPr>
        <w:adjustRightInd w:val="0"/>
        <w:snapToGrid w:val="0"/>
        <w:spacing w:line="360" w:lineRule="auto"/>
        <w:rPr>
          <w:rFonts w:hint="default" w:ascii="Times New Roman" w:hAnsi="Times New Roman" w:cs="Times New Roman"/>
          <w:color w:val="auto"/>
          <w:szCs w:val="21"/>
        </w:rPr>
      </w:pPr>
      <w:r>
        <w:rPr>
          <w:rFonts w:hint="default" w:ascii="Times New Roman" w:hAnsi="Times New Roman" w:cs="Times New Roman" w:eastAsiaTheme="minorEastAsia"/>
          <w:color w:val="auto"/>
          <w:spacing w:val="-2"/>
          <w:kern w:val="0"/>
          <w:szCs w:val="21"/>
        </w:rPr>
        <w:t>法</w:t>
      </w:r>
      <w:r>
        <w:rPr>
          <w:rFonts w:hint="default" w:ascii="Times New Roman" w:hAnsi="Times New Roman" w:cs="Times New Roman" w:eastAsiaTheme="minorEastAsia"/>
          <w:color w:val="auto"/>
          <w:kern w:val="0"/>
          <w:szCs w:val="21"/>
        </w:rPr>
        <w:t>定</w:t>
      </w:r>
      <w:r>
        <w:rPr>
          <w:rFonts w:hint="default" w:ascii="Times New Roman" w:hAnsi="Times New Roman" w:cs="Times New Roman" w:eastAsiaTheme="minorEastAsia"/>
          <w:color w:val="auto"/>
          <w:spacing w:val="-2"/>
          <w:kern w:val="0"/>
          <w:szCs w:val="21"/>
        </w:rPr>
        <w:t>代</w:t>
      </w:r>
      <w:r>
        <w:rPr>
          <w:rFonts w:hint="default" w:ascii="Times New Roman" w:hAnsi="Times New Roman" w:cs="Times New Roman" w:eastAsiaTheme="minorEastAsia"/>
          <w:color w:val="auto"/>
          <w:kern w:val="0"/>
          <w:szCs w:val="21"/>
        </w:rPr>
        <w:t>表</w:t>
      </w:r>
      <w:r>
        <w:rPr>
          <w:rFonts w:hint="default" w:ascii="Times New Roman" w:hAnsi="Times New Roman" w:cs="Times New Roman" w:eastAsiaTheme="minorEastAsia"/>
          <w:color w:val="auto"/>
          <w:spacing w:val="-2"/>
          <w:kern w:val="0"/>
          <w:szCs w:val="21"/>
        </w:rPr>
        <w:t>人</w:t>
      </w:r>
      <w:r>
        <w:rPr>
          <w:rFonts w:hint="default" w:ascii="Times New Roman" w:hAnsi="Times New Roman" w:cs="Times New Roman" w:eastAsiaTheme="minorEastAsia"/>
          <w:color w:val="auto"/>
          <w:kern w:val="0"/>
          <w:szCs w:val="21"/>
        </w:rPr>
        <w:t>（</w:t>
      </w:r>
      <w:r>
        <w:rPr>
          <w:rFonts w:hint="default" w:ascii="Times New Roman" w:hAnsi="Times New Roman" w:cs="Times New Roman" w:eastAsiaTheme="minorEastAsia"/>
          <w:color w:val="auto"/>
          <w:spacing w:val="-2"/>
          <w:kern w:val="0"/>
          <w:szCs w:val="21"/>
        </w:rPr>
        <w:t>单</w:t>
      </w:r>
      <w:r>
        <w:rPr>
          <w:rFonts w:hint="default" w:ascii="Times New Roman" w:hAnsi="Times New Roman" w:cs="Times New Roman" w:eastAsiaTheme="minorEastAsia"/>
          <w:color w:val="auto"/>
          <w:kern w:val="0"/>
          <w:szCs w:val="21"/>
        </w:rPr>
        <w:t>位</w:t>
      </w:r>
      <w:r>
        <w:rPr>
          <w:rFonts w:hint="default" w:ascii="Times New Roman" w:hAnsi="Times New Roman" w:cs="Times New Roman" w:eastAsiaTheme="minorEastAsia"/>
          <w:color w:val="auto"/>
          <w:spacing w:val="-2"/>
          <w:kern w:val="0"/>
          <w:szCs w:val="21"/>
        </w:rPr>
        <w:t>负</w:t>
      </w:r>
      <w:r>
        <w:rPr>
          <w:rFonts w:hint="default" w:ascii="Times New Roman" w:hAnsi="Times New Roman" w:cs="Times New Roman" w:eastAsiaTheme="minorEastAsia"/>
          <w:color w:val="auto"/>
          <w:kern w:val="0"/>
          <w:szCs w:val="21"/>
        </w:rPr>
        <w:t>责人</w:t>
      </w:r>
      <w:r>
        <w:rPr>
          <w:rFonts w:hint="default" w:ascii="Times New Roman" w:hAnsi="Times New Roman" w:cs="Times New Roman" w:eastAsiaTheme="minorEastAsia"/>
          <w:color w:val="auto"/>
          <w:spacing w:val="-2"/>
          <w:kern w:val="0"/>
          <w:szCs w:val="21"/>
        </w:rPr>
        <w:t>）</w:t>
      </w:r>
      <w:r>
        <w:rPr>
          <w:rFonts w:hint="default" w:ascii="Times New Roman" w:hAnsi="Times New Roman" w:cs="Times New Roman"/>
          <w:color w:val="auto"/>
          <w:szCs w:val="21"/>
        </w:rPr>
        <w:t>或其委托代理人（签字或签章）：</w:t>
      </w:r>
    </w:p>
    <w:p w14:paraId="13CF74C1">
      <w:pPr>
        <w:rPr>
          <w:rFonts w:hint="default" w:ascii="Times New Roman" w:hAnsi="Times New Roman" w:cs="Times New Roman"/>
          <w:b/>
          <w:bCs/>
          <w:color w:val="auto"/>
          <w:sz w:val="32"/>
          <w:szCs w:val="21"/>
        </w:rPr>
      </w:pPr>
      <w:r>
        <w:rPr>
          <w:rFonts w:hint="default" w:ascii="Times New Roman" w:hAnsi="Times New Roman" w:cs="Times New Roman"/>
          <w:color w:val="auto"/>
        </w:rPr>
        <w:t>日期：年月日</w:t>
      </w:r>
      <w:r>
        <w:rPr>
          <w:rFonts w:hint="default" w:ascii="Times New Roman" w:hAnsi="Times New Roman" w:cs="Times New Roman"/>
          <w:color w:val="auto"/>
          <w:szCs w:val="21"/>
        </w:rPr>
        <w:br w:type="page"/>
      </w:r>
    </w:p>
    <w:p w14:paraId="3430282E">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225" w:name="_Toc2561"/>
      <w:bookmarkStart w:id="226" w:name="_Toc19523"/>
      <w:bookmarkStart w:id="227" w:name="_Toc29913977"/>
      <w:r>
        <w:rPr>
          <w:rFonts w:hint="default" w:ascii="Times New Roman" w:hAnsi="Times New Roman" w:eastAsia="黑体" w:cs="Times New Roman"/>
          <w:color w:val="auto"/>
          <w:sz w:val="28"/>
          <w:szCs w:val="28"/>
        </w:rPr>
        <w:t>十一、投标服务符合招标文件规定的证明文件</w:t>
      </w:r>
      <w:bookmarkEnd w:id="225"/>
      <w:bookmarkEnd w:id="226"/>
    </w:p>
    <w:p w14:paraId="435A4AF6">
      <w:pPr>
        <w:adjustRightInd w:val="0"/>
        <w:snapToGrid w:val="0"/>
        <w:spacing w:line="360" w:lineRule="auto"/>
        <w:rPr>
          <w:rFonts w:hint="default" w:ascii="Times New Roman" w:hAnsi="Times New Roman" w:cs="Times New Roman" w:eastAsiaTheme="minorEastAsia"/>
          <w:color w:val="auto"/>
          <w:szCs w:val="21"/>
        </w:rPr>
      </w:pPr>
    </w:p>
    <w:p w14:paraId="341BAFE7">
      <w:pPr>
        <w:adjustRightInd w:val="0"/>
        <w:snapToGrid w:val="0"/>
        <w:spacing w:line="360" w:lineRule="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szCs w:val="21"/>
        </w:rPr>
        <w:t>备注：提供第五章规定的证明材料复印件。</w:t>
      </w:r>
    </w:p>
    <w:p w14:paraId="2CFD6AF8">
      <w:pPr>
        <w:widowControl/>
        <w:jc w:val="left"/>
        <w:rPr>
          <w:rFonts w:hint="default" w:ascii="Times New Roman" w:hAnsi="Times New Roman" w:eastAsia="黑体" w:cs="Times New Roman"/>
          <w:color w:val="auto"/>
          <w:sz w:val="28"/>
          <w:szCs w:val="28"/>
        </w:rPr>
      </w:pPr>
      <w:r>
        <w:rPr>
          <w:rFonts w:hint="default" w:ascii="Times New Roman" w:hAnsi="Times New Roman" w:eastAsia="黑体" w:cs="Times New Roman"/>
          <w:b/>
          <w:bCs/>
          <w:color w:val="auto"/>
          <w:sz w:val="28"/>
          <w:szCs w:val="28"/>
        </w:rPr>
        <w:br w:type="page"/>
      </w:r>
    </w:p>
    <w:p w14:paraId="71C2398E">
      <w:pPr>
        <w:pStyle w:val="5"/>
        <w:adjustRightInd w:val="0"/>
        <w:snapToGrid w:val="0"/>
        <w:spacing w:before="0" w:after="0" w:line="360" w:lineRule="auto"/>
        <w:jc w:val="center"/>
        <w:rPr>
          <w:rFonts w:hint="default" w:ascii="Times New Roman" w:hAnsi="Times New Roman" w:eastAsia="黑体" w:cs="Times New Roman"/>
          <w:color w:val="auto"/>
          <w:sz w:val="28"/>
          <w:szCs w:val="28"/>
        </w:rPr>
      </w:pPr>
      <w:bookmarkStart w:id="228" w:name="_Toc15533"/>
      <w:bookmarkStart w:id="229" w:name="_Toc30119"/>
      <w:r>
        <w:rPr>
          <w:rFonts w:hint="default" w:ascii="Times New Roman" w:hAnsi="Times New Roman" w:eastAsia="黑体" w:cs="Times New Roman"/>
          <w:color w:val="auto"/>
          <w:sz w:val="28"/>
          <w:szCs w:val="28"/>
        </w:rPr>
        <w:t>十二、投标人认为需提供的其他资料</w:t>
      </w:r>
      <w:bookmarkEnd w:id="227"/>
      <w:bookmarkEnd w:id="228"/>
      <w:bookmarkEnd w:id="229"/>
    </w:p>
    <w:p w14:paraId="1D0860D0">
      <w:pPr>
        <w:adjustRightInd w:val="0"/>
        <w:snapToGrid w:val="0"/>
        <w:spacing w:beforeLines="50" w:line="360" w:lineRule="auto"/>
        <w:rPr>
          <w:rFonts w:hint="default" w:ascii="Times New Roman" w:hAnsi="Times New Roman" w:cs="Times New Roman" w:eastAsiaTheme="minorEastAsia"/>
          <w:color w:val="auto"/>
        </w:rPr>
      </w:pPr>
    </w:p>
    <w:p w14:paraId="1CF0E15B">
      <w:pPr>
        <w:adjustRightInd w:val="0"/>
        <w:snapToGrid w:val="0"/>
        <w:spacing w:beforeLines="50" w:line="360" w:lineRule="auto"/>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备注：投标人认为需提供的其他资料包括：</w:t>
      </w:r>
    </w:p>
    <w:p w14:paraId="0898CD84">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（1）招标文件第五章采购需求要求的其他资料；</w:t>
      </w:r>
    </w:p>
    <w:p w14:paraId="19AD0EAC">
      <w:pPr>
        <w:adjustRightInd w:val="0"/>
        <w:snapToGrid w:val="0"/>
        <w:spacing w:beforeLines="50" w:line="360" w:lineRule="auto"/>
        <w:ind w:firstLine="420" w:firstLineChars="200"/>
        <w:rPr>
          <w:rFonts w:hint="default" w:ascii="Times New Roman" w:hAnsi="Times New Roman" w:cs="Times New Roman" w:eastAsiaTheme="minorEastAsia"/>
          <w:color w:val="auto"/>
        </w:rPr>
      </w:pPr>
      <w:r>
        <w:rPr>
          <w:rFonts w:hint="default" w:ascii="Times New Roman" w:hAnsi="Times New Roman" w:cs="Times New Roman" w:eastAsiaTheme="minorEastAsia"/>
          <w:color w:val="auto"/>
        </w:rPr>
        <w:t>（2）招标文件第四章评标方法及标准要求的其他相关资料。</w:t>
      </w:r>
    </w:p>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2641A24-B72D-42E4-B2F6-C5C71A33587B}"/>
  </w:font>
  <w:font w:name="Arial">
    <w:panose1 w:val="020B0604020202020204"/>
    <w:charset w:val="01"/>
    <w:family w:val="swiss"/>
    <w:pitch w:val="default"/>
    <w:sig w:usb0="E0002AFF" w:usb1="C0007843" w:usb2="00000009" w:usb3="00000000" w:csb0="400001FF" w:csb1="FFFF0000"/>
    <w:embedRegular r:id="rId2" w:fontKey="{285FAD77-28E9-4786-926F-B8BDF9BC0CD0}"/>
  </w:font>
  <w:font w:name="黑体">
    <w:panose1 w:val="02010609060101010101"/>
    <w:charset w:val="86"/>
    <w:family w:val="auto"/>
    <w:pitch w:val="default"/>
    <w:sig w:usb0="800002BF" w:usb1="38CF7CFA" w:usb2="00000016" w:usb3="00000000" w:csb0="00040001" w:csb1="00000000"/>
    <w:embedRegular r:id="rId3" w:fontKey="{F70381A3-221F-46FB-8BE4-8980B70E4A5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67FB4A45-2A1E-483A-BD34-8B9534567B64}"/>
  </w:font>
  <w:font w:name="楷体_GB2312">
    <w:panose1 w:val="02010609030101010101"/>
    <w:charset w:val="86"/>
    <w:family w:val="roman"/>
    <w:pitch w:val="default"/>
    <w:sig w:usb0="00000001" w:usb1="080E0000" w:usb2="00000000" w:usb3="00000000" w:csb0="00040000" w:csb1="00000000"/>
    <w:embedRegular r:id="rId5" w:fontKey="{F2B49927-124F-4414-AF5E-7E16F8842282}"/>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TimesNewRomanPSMT">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6" w:fontKey="{44F6194B-4D81-41D4-A020-DC062BFEE8DA}"/>
  </w:font>
  <w:font w:name="华文中宋">
    <w:panose1 w:val="02010600040101010101"/>
    <w:charset w:val="86"/>
    <w:family w:val="auto"/>
    <w:pitch w:val="default"/>
    <w:sig w:usb0="00000287" w:usb1="080F0000" w:usb2="00000000" w:usb3="00000000" w:csb0="0004009F" w:csb1="DFD70000"/>
    <w:embedRegular r:id="rId7" w:fontKey="{FA834FD8-1D8B-4C49-AC3F-760BA92947C8}"/>
  </w:font>
  <w:font w:name="楷体">
    <w:panose1 w:val="02010609060101010101"/>
    <w:charset w:val="86"/>
    <w:family w:val="modern"/>
    <w:pitch w:val="default"/>
    <w:sig w:usb0="800002BF" w:usb1="38CF7CFA" w:usb2="00000016" w:usb3="00000000" w:csb0="00040001" w:csb1="00000000"/>
    <w:embedRegular r:id="rId8" w:fontKey="{299CA976-7152-4BE2-9A48-FD425637B98B}"/>
  </w:font>
  <w:font w:name="方正小标宋简体">
    <w:altName w:val="Arial Unicode MS"/>
    <w:panose1 w:val="02010601030101010101"/>
    <w:charset w:val="86"/>
    <w:family w:val="auto"/>
    <w:pitch w:val="default"/>
    <w:sig w:usb0="00000000" w:usb1="00000000" w:usb2="00000000" w:usb3="00000000" w:csb0="00040000" w:csb1="00000000"/>
    <w:embedRegular r:id="rId9" w:fontKey="{16B7405A-104C-4B3E-93A5-00F82AEEB069}"/>
  </w:font>
  <w:font w:name="华文宋体">
    <w:panose1 w:val="02010600040101010101"/>
    <w:charset w:val="86"/>
    <w:family w:val="auto"/>
    <w:pitch w:val="default"/>
    <w:sig w:usb0="00000287" w:usb1="080F0000" w:usb2="00000000" w:usb3="00000000" w:csb0="0004009F" w:csb1="DFD70000"/>
    <w:embedRegular r:id="rId10" w:fontKey="{54B91FA4-07EF-45A7-AFC1-670ECF4251BF}"/>
  </w:font>
  <w:font w:name="微软雅黑">
    <w:panose1 w:val="020B0503020204020204"/>
    <w:charset w:val="86"/>
    <w:family w:val="swiss"/>
    <w:pitch w:val="default"/>
    <w:sig w:usb0="80000287" w:usb1="280F3C52" w:usb2="00000016" w:usb3="00000000" w:csb0="0004001F" w:csb1="00000000"/>
    <w:embedRegular r:id="rId11" w:fontKey="{13CD08AE-FE18-4DA2-A467-D532E1C16091}"/>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28FBAA">
    <w:pPr>
      <w:pStyle w:val="27"/>
      <w:ind w:left="180" w:right="359" w:rightChars="171" w:hanging="180" w:hangingChars="100"/>
      <w:jc w:val="right"/>
      <w:rPr>
        <w:rFonts w:eastAsia="楷体_GB2312"/>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642A79">
                          <w:pPr>
                            <w:pStyle w:val="27"/>
                            <w:ind w:left="300" w:right="359" w:rightChars="171" w:hanging="180" w:hangingChars="100"/>
                            <w:jc w:val="right"/>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9642A79">
                    <w:pPr>
                      <w:pStyle w:val="27"/>
                      <w:ind w:left="300" w:right="359" w:rightChars="171" w:hanging="180" w:hangingChars="100"/>
                      <w:jc w:val="right"/>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DFDA7">
    <w:pPr>
      <w:pStyle w:val="27"/>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62B6C5">
                          <w:pPr>
                            <w:pStyle w:val="27"/>
                            <w:rPr>
                              <w:rStyle w:val="47"/>
                            </w:rPr>
                          </w:pPr>
                          <w:r>
                            <w:rPr>
                              <w:rStyle w:val="47"/>
                            </w:rPr>
                            <w:t xml:space="preserve">— </w:t>
                          </w:r>
                          <w:r>
                            <w:rPr>
                              <w:rStyle w:val="47"/>
                            </w:rPr>
                            <w:fldChar w:fldCharType="begin"/>
                          </w:r>
                          <w:r>
                            <w:rPr>
                              <w:rStyle w:val="47"/>
                            </w:rPr>
                            <w:instrText xml:space="preserve"> PAGE  \* MERGEFORMAT </w:instrText>
                          </w:r>
                          <w:r>
                            <w:rPr>
                              <w:rStyle w:val="47"/>
                            </w:rPr>
                            <w:fldChar w:fldCharType="separate"/>
                          </w:r>
                          <w:r>
                            <w:rPr>
                              <w:rStyle w:val="47"/>
                            </w:rPr>
                            <w:t>4</w:t>
                          </w:r>
                          <w:r>
                            <w:rPr>
                              <w:rStyle w:val="47"/>
                            </w:rPr>
                            <w:fldChar w:fldCharType="end"/>
                          </w:r>
                          <w:r>
                            <w:rPr>
                              <w:rStyle w:val="47"/>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762B6C5">
                    <w:pPr>
                      <w:pStyle w:val="27"/>
                      <w:rPr>
                        <w:rStyle w:val="47"/>
                      </w:rPr>
                    </w:pPr>
                    <w:r>
                      <w:rPr>
                        <w:rStyle w:val="47"/>
                      </w:rPr>
                      <w:t xml:space="preserve">— </w:t>
                    </w:r>
                    <w:r>
                      <w:rPr>
                        <w:rStyle w:val="47"/>
                      </w:rPr>
                      <w:fldChar w:fldCharType="begin"/>
                    </w:r>
                    <w:r>
                      <w:rPr>
                        <w:rStyle w:val="47"/>
                      </w:rPr>
                      <w:instrText xml:space="preserve"> PAGE  \* MERGEFORMAT </w:instrText>
                    </w:r>
                    <w:r>
                      <w:rPr>
                        <w:rStyle w:val="47"/>
                      </w:rPr>
                      <w:fldChar w:fldCharType="separate"/>
                    </w:r>
                    <w:r>
                      <w:rPr>
                        <w:rStyle w:val="47"/>
                      </w:rPr>
                      <w:t>4</w:t>
                    </w:r>
                    <w:r>
                      <w:rPr>
                        <w:rStyle w:val="47"/>
                      </w:rPr>
                      <w:fldChar w:fldCharType="end"/>
                    </w:r>
                    <w:r>
                      <w:rPr>
                        <w:rStyle w:val="47"/>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84EA">
    <w:pPr>
      <w:pStyle w:val="27"/>
      <w:ind w:left="180" w:right="359" w:rightChars="171" w:hanging="180" w:hangingChars="100"/>
      <w:jc w:val="right"/>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DD93BE">
                          <w:pPr>
                            <w:pStyle w:val="27"/>
                            <w:ind w:left="300" w:right="359" w:rightChars="171" w:hanging="180" w:hangingChars="100"/>
                            <w:jc w:val="right"/>
                          </w:pPr>
                          <w:r>
                            <w:t xml:space="preserve">— </w:t>
                          </w:r>
                          <w:r>
                            <w:fldChar w:fldCharType="begin"/>
                          </w:r>
                          <w:r>
                            <w:instrText xml:space="preserve"> PAGE  \* MERGEFORMAT </w:instrText>
                          </w:r>
                          <w:r>
                            <w:fldChar w:fldCharType="separate"/>
                          </w:r>
                          <w:r>
                            <w:t>76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CDD93BE">
                    <w:pPr>
                      <w:pStyle w:val="27"/>
                      <w:ind w:left="300" w:right="359" w:rightChars="171" w:hanging="180" w:hangingChars="100"/>
                      <w:jc w:val="right"/>
                    </w:pPr>
                    <w:r>
                      <w:t xml:space="preserve">— </w:t>
                    </w:r>
                    <w:r>
                      <w:fldChar w:fldCharType="begin"/>
                    </w:r>
                    <w:r>
                      <w:instrText xml:space="preserve"> PAGE  \* MERGEFORMAT </w:instrText>
                    </w:r>
                    <w:r>
                      <w:fldChar w:fldCharType="separate"/>
                    </w:r>
                    <w:r>
                      <w:t>76</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50615">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EC06B">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FAF3">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C735B">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D5AC5">
    <w:pPr>
      <w:pStyle w:val="2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D0EFB">
    <w:pPr>
      <w:pStyle w:val="28"/>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2295D">
    <w:pPr>
      <w:pStyle w:val="28"/>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09802">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342F25"/>
    <w:multiLevelType w:val="singleLevel"/>
    <w:tmpl w:val="A4342F25"/>
    <w:lvl w:ilvl="0" w:tentative="0">
      <w:start w:val="1"/>
      <w:numFmt w:val="chineseCounting"/>
      <w:suff w:val="nothing"/>
      <w:lvlText w:val="%1、"/>
      <w:lvlJc w:val="left"/>
      <w:rPr>
        <w:rFonts w:hint="eastAsia"/>
      </w:rPr>
    </w:lvl>
  </w:abstractNum>
  <w:abstractNum w:abstractNumId="1">
    <w:nsid w:val="34266D6A"/>
    <w:multiLevelType w:val="singleLevel"/>
    <w:tmpl w:val="34266D6A"/>
    <w:lvl w:ilvl="0" w:tentative="0">
      <w:start w:val="27"/>
      <w:numFmt w:val="decimal"/>
      <w:suff w:val="space"/>
      <w:lvlText w:val="%1."/>
      <w:lvlJc w:val="left"/>
    </w:lvl>
  </w:abstractNum>
  <w:abstractNum w:abstractNumId="2">
    <w:nsid w:val="49C49B56"/>
    <w:multiLevelType w:val="singleLevel"/>
    <w:tmpl w:val="49C49B56"/>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88ed9282-8bcb-4b72-9642-af0dff831df2"/>
  </w:docVars>
  <w:rsids>
    <w:rsidRoot w:val="007434B4"/>
    <w:rsid w:val="00000A61"/>
    <w:rsid w:val="00000A83"/>
    <w:rsid w:val="000013FE"/>
    <w:rsid w:val="0000186F"/>
    <w:rsid w:val="00001A03"/>
    <w:rsid w:val="00002568"/>
    <w:rsid w:val="00002840"/>
    <w:rsid w:val="000037DE"/>
    <w:rsid w:val="00003D23"/>
    <w:rsid w:val="00004EAF"/>
    <w:rsid w:val="00006552"/>
    <w:rsid w:val="0001024D"/>
    <w:rsid w:val="00010382"/>
    <w:rsid w:val="00011A7B"/>
    <w:rsid w:val="00013365"/>
    <w:rsid w:val="00013466"/>
    <w:rsid w:val="00013574"/>
    <w:rsid w:val="000135B0"/>
    <w:rsid w:val="00013923"/>
    <w:rsid w:val="00014A82"/>
    <w:rsid w:val="00015858"/>
    <w:rsid w:val="00015A29"/>
    <w:rsid w:val="0001617A"/>
    <w:rsid w:val="00017581"/>
    <w:rsid w:val="000175E8"/>
    <w:rsid w:val="00017CF0"/>
    <w:rsid w:val="00017F9C"/>
    <w:rsid w:val="0002523A"/>
    <w:rsid w:val="000252F0"/>
    <w:rsid w:val="00025EED"/>
    <w:rsid w:val="00027D0F"/>
    <w:rsid w:val="00030A53"/>
    <w:rsid w:val="00031705"/>
    <w:rsid w:val="00031BBE"/>
    <w:rsid w:val="00031C52"/>
    <w:rsid w:val="00032D53"/>
    <w:rsid w:val="000333AE"/>
    <w:rsid w:val="00033EFF"/>
    <w:rsid w:val="00035663"/>
    <w:rsid w:val="000358FA"/>
    <w:rsid w:val="00035B2B"/>
    <w:rsid w:val="00040247"/>
    <w:rsid w:val="00040313"/>
    <w:rsid w:val="00040E14"/>
    <w:rsid w:val="0004234C"/>
    <w:rsid w:val="0004444E"/>
    <w:rsid w:val="00045B4B"/>
    <w:rsid w:val="00046881"/>
    <w:rsid w:val="00047440"/>
    <w:rsid w:val="0004759C"/>
    <w:rsid w:val="0005019F"/>
    <w:rsid w:val="000508AD"/>
    <w:rsid w:val="0005168D"/>
    <w:rsid w:val="0005208E"/>
    <w:rsid w:val="00052DBD"/>
    <w:rsid w:val="00053BE1"/>
    <w:rsid w:val="00053C94"/>
    <w:rsid w:val="000566BD"/>
    <w:rsid w:val="0005701C"/>
    <w:rsid w:val="000606A2"/>
    <w:rsid w:val="00060C04"/>
    <w:rsid w:val="00061310"/>
    <w:rsid w:val="000615C3"/>
    <w:rsid w:val="00061914"/>
    <w:rsid w:val="000620A1"/>
    <w:rsid w:val="000638C9"/>
    <w:rsid w:val="000662FC"/>
    <w:rsid w:val="000666F2"/>
    <w:rsid w:val="000675E6"/>
    <w:rsid w:val="000677C7"/>
    <w:rsid w:val="00067D0B"/>
    <w:rsid w:val="00067FE9"/>
    <w:rsid w:val="000709FB"/>
    <w:rsid w:val="00070B21"/>
    <w:rsid w:val="00070F95"/>
    <w:rsid w:val="00072573"/>
    <w:rsid w:val="0007343D"/>
    <w:rsid w:val="000745C1"/>
    <w:rsid w:val="0007473A"/>
    <w:rsid w:val="00074CB8"/>
    <w:rsid w:val="00076502"/>
    <w:rsid w:val="000775DD"/>
    <w:rsid w:val="000777C0"/>
    <w:rsid w:val="000821AB"/>
    <w:rsid w:val="00082346"/>
    <w:rsid w:val="000841E5"/>
    <w:rsid w:val="00085204"/>
    <w:rsid w:val="00087CA6"/>
    <w:rsid w:val="000904BC"/>
    <w:rsid w:val="000909AB"/>
    <w:rsid w:val="00090D47"/>
    <w:rsid w:val="00091751"/>
    <w:rsid w:val="000917F5"/>
    <w:rsid w:val="000921D2"/>
    <w:rsid w:val="00092E61"/>
    <w:rsid w:val="00094343"/>
    <w:rsid w:val="0009483A"/>
    <w:rsid w:val="0009530E"/>
    <w:rsid w:val="00095A0E"/>
    <w:rsid w:val="00096239"/>
    <w:rsid w:val="00096A68"/>
    <w:rsid w:val="00097FB9"/>
    <w:rsid w:val="000A0CD6"/>
    <w:rsid w:val="000A2575"/>
    <w:rsid w:val="000A25D2"/>
    <w:rsid w:val="000A2631"/>
    <w:rsid w:val="000A3313"/>
    <w:rsid w:val="000A3BB4"/>
    <w:rsid w:val="000A4283"/>
    <w:rsid w:val="000A4354"/>
    <w:rsid w:val="000A6658"/>
    <w:rsid w:val="000A7DE2"/>
    <w:rsid w:val="000B0390"/>
    <w:rsid w:val="000B0F6F"/>
    <w:rsid w:val="000B1637"/>
    <w:rsid w:val="000B1715"/>
    <w:rsid w:val="000B2722"/>
    <w:rsid w:val="000B2C01"/>
    <w:rsid w:val="000B320F"/>
    <w:rsid w:val="000B33DF"/>
    <w:rsid w:val="000B3A4F"/>
    <w:rsid w:val="000B4504"/>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769"/>
    <w:rsid w:val="000D0E5E"/>
    <w:rsid w:val="000D1018"/>
    <w:rsid w:val="000D211B"/>
    <w:rsid w:val="000D2A3F"/>
    <w:rsid w:val="000D344B"/>
    <w:rsid w:val="000D5249"/>
    <w:rsid w:val="000D6185"/>
    <w:rsid w:val="000D6514"/>
    <w:rsid w:val="000E166F"/>
    <w:rsid w:val="000E3DCC"/>
    <w:rsid w:val="000E4525"/>
    <w:rsid w:val="000E46D9"/>
    <w:rsid w:val="000E4E95"/>
    <w:rsid w:val="000E50DD"/>
    <w:rsid w:val="000E640C"/>
    <w:rsid w:val="000E7308"/>
    <w:rsid w:val="000E7417"/>
    <w:rsid w:val="000E741F"/>
    <w:rsid w:val="000E7B7A"/>
    <w:rsid w:val="000F1A45"/>
    <w:rsid w:val="000F1AF9"/>
    <w:rsid w:val="000F21C8"/>
    <w:rsid w:val="000F3713"/>
    <w:rsid w:val="000F376A"/>
    <w:rsid w:val="000F37AB"/>
    <w:rsid w:val="000F4155"/>
    <w:rsid w:val="000F44CB"/>
    <w:rsid w:val="000F4F2F"/>
    <w:rsid w:val="000F5866"/>
    <w:rsid w:val="000F620C"/>
    <w:rsid w:val="000F7591"/>
    <w:rsid w:val="001000C3"/>
    <w:rsid w:val="0010071B"/>
    <w:rsid w:val="00102568"/>
    <w:rsid w:val="001047E3"/>
    <w:rsid w:val="00104908"/>
    <w:rsid w:val="00104D5D"/>
    <w:rsid w:val="00105A9C"/>
    <w:rsid w:val="00106446"/>
    <w:rsid w:val="00107077"/>
    <w:rsid w:val="00107FD9"/>
    <w:rsid w:val="00110169"/>
    <w:rsid w:val="00110B4B"/>
    <w:rsid w:val="001113FC"/>
    <w:rsid w:val="00111596"/>
    <w:rsid w:val="00111CC9"/>
    <w:rsid w:val="00112A3D"/>
    <w:rsid w:val="001133AC"/>
    <w:rsid w:val="00113C61"/>
    <w:rsid w:val="00114B15"/>
    <w:rsid w:val="00117058"/>
    <w:rsid w:val="00117143"/>
    <w:rsid w:val="00117E7C"/>
    <w:rsid w:val="00120369"/>
    <w:rsid w:val="00121A30"/>
    <w:rsid w:val="001228FD"/>
    <w:rsid w:val="001232B6"/>
    <w:rsid w:val="00124345"/>
    <w:rsid w:val="00125769"/>
    <w:rsid w:val="00125F48"/>
    <w:rsid w:val="00126231"/>
    <w:rsid w:val="001264B5"/>
    <w:rsid w:val="001264DC"/>
    <w:rsid w:val="00126691"/>
    <w:rsid w:val="00127083"/>
    <w:rsid w:val="0013172D"/>
    <w:rsid w:val="001322EF"/>
    <w:rsid w:val="001324B3"/>
    <w:rsid w:val="001345E9"/>
    <w:rsid w:val="00134894"/>
    <w:rsid w:val="001348D3"/>
    <w:rsid w:val="00135375"/>
    <w:rsid w:val="001370E3"/>
    <w:rsid w:val="00137DBD"/>
    <w:rsid w:val="00137DCD"/>
    <w:rsid w:val="00140DA3"/>
    <w:rsid w:val="001413DF"/>
    <w:rsid w:val="00141BEE"/>
    <w:rsid w:val="00143121"/>
    <w:rsid w:val="00143D71"/>
    <w:rsid w:val="00144141"/>
    <w:rsid w:val="00144F97"/>
    <w:rsid w:val="00145791"/>
    <w:rsid w:val="0014699B"/>
    <w:rsid w:val="00146D14"/>
    <w:rsid w:val="00151BA6"/>
    <w:rsid w:val="0015269F"/>
    <w:rsid w:val="00153C89"/>
    <w:rsid w:val="00156049"/>
    <w:rsid w:val="001564DB"/>
    <w:rsid w:val="00156F75"/>
    <w:rsid w:val="00160E3C"/>
    <w:rsid w:val="001617E9"/>
    <w:rsid w:val="00162175"/>
    <w:rsid w:val="00162403"/>
    <w:rsid w:val="0016254E"/>
    <w:rsid w:val="00162F23"/>
    <w:rsid w:val="001637C1"/>
    <w:rsid w:val="0016451E"/>
    <w:rsid w:val="00164C0D"/>
    <w:rsid w:val="001655DB"/>
    <w:rsid w:val="0016583A"/>
    <w:rsid w:val="00166A7A"/>
    <w:rsid w:val="00166F38"/>
    <w:rsid w:val="00167313"/>
    <w:rsid w:val="00167763"/>
    <w:rsid w:val="001708E8"/>
    <w:rsid w:val="0017148D"/>
    <w:rsid w:val="0017284E"/>
    <w:rsid w:val="0017334A"/>
    <w:rsid w:val="00173713"/>
    <w:rsid w:val="00173A95"/>
    <w:rsid w:val="00173D83"/>
    <w:rsid w:val="0017404D"/>
    <w:rsid w:val="00175C3F"/>
    <w:rsid w:val="00175FE2"/>
    <w:rsid w:val="0017633E"/>
    <w:rsid w:val="001773C6"/>
    <w:rsid w:val="0017741D"/>
    <w:rsid w:val="001810E9"/>
    <w:rsid w:val="00181D2E"/>
    <w:rsid w:val="001828D3"/>
    <w:rsid w:val="001846F2"/>
    <w:rsid w:val="001850A4"/>
    <w:rsid w:val="00185B43"/>
    <w:rsid w:val="00186927"/>
    <w:rsid w:val="001870D2"/>
    <w:rsid w:val="00190053"/>
    <w:rsid w:val="00190101"/>
    <w:rsid w:val="00190C8F"/>
    <w:rsid w:val="00191A57"/>
    <w:rsid w:val="00192075"/>
    <w:rsid w:val="00193526"/>
    <w:rsid w:val="00195771"/>
    <w:rsid w:val="00197441"/>
    <w:rsid w:val="001A053D"/>
    <w:rsid w:val="001A101A"/>
    <w:rsid w:val="001A12A4"/>
    <w:rsid w:val="001A130A"/>
    <w:rsid w:val="001A2976"/>
    <w:rsid w:val="001A3AA5"/>
    <w:rsid w:val="001A3AFC"/>
    <w:rsid w:val="001A3BCB"/>
    <w:rsid w:val="001A4D9B"/>
    <w:rsid w:val="001A561A"/>
    <w:rsid w:val="001A58C6"/>
    <w:rsid w:val="001A59EB"/>
    <w:rsid w:val="001B0B82"/>
    <w:rsid w:val="001B2294"/>
    <w:rsid w:val="001B313B"/>
    <w:rsid w:val="001B383C"/>
    <w:rsid w:val="001B4531"/>
    <w:rsid w:val="001B4F01"/>
    <w:rsid w:val="001B5907"/>
    <w:rsid w:val="001B78EC"/>
    <w:rsid w:val="001C2072"/>
    <w:rsid w:val="001C274B"/>
    <w:rsid w:val="001C3481"/>
    <w:rsid w:val="001C4E4C"/>
    <w:rsid w:val="001C5444"/>
    <w:rsid w:val="001C737E"/>
    <w:rsid w:val="001C7B25"/>
    <w:rsid w:val="001D0F5F"/>
    <w:rsid w:val="001D1A86"/>
    <w:rsid w:val="001D26DC"/>
    <w:rsid w:val="001D300D"/>
    <w:rsid w:val="001D302B"/>
    <w:rsid w:val="001D34F7"/>
    <w:rsid w:val="001D574C"/>
    <w:rsid w:val="001D5B75"/>
    <w:rsid w:val="001E1D4A"/>
    <w:rsid w:val="001E3396"/>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0D09"/>
    <w:rsid w:val="002018AB"/>
    <w:rsid w:val="00201F4F"/>
    <w:rsid w:val="002023F0"/>
    <w:rsid w:val="0020308E"/>
    <w:rsid w:val="00203EA6"/>
    <w:rsid w:val="00205CF8"/>
    <w:rsid w:val="00206018"/>
    <w:rsid w:val="00207D02"/>
    <w:rsid w:val="00210EE8"/>
    <w:rsid w:val="00210F21"/>
    <w:rsid w:val="00211F38"/>
    <w:rsid w:val="0021548B"/>
    <w:rsid w:val="002157B6"/>
    <w:rsid w:val="00215C17"/>
    <w:rsid w:val="00215D98"/>
    <w:rsid w:val="00216282"/>
    <w:rsid w:val="00216FA2"/>
    <w:rsid w:val="002203CE"/>
    <w:rsid w:val="00221240"/>
    <w:rsid w:val="00221600"/>
    <w:rsid w:val="00221BE4"/>
    <w:rsid w:val="00223541"/>
    <w:rsid w:val="00223B66"/>
    <w:rsid w:val="002240A4"/>
    <w:rsid w:val="0022478B"/>
    <w:rsid w:val="00224EE3"/>
    <w:rsid w:val="00225547"/>
    <w:rsid w:val="00226CCD"/>
    <w:rsid w:val="002303FF"/>
    <w:rsid w:val="00230B4C"/>
    <w:rsid w:val="00231C9E"/>
    <w:rsid w:val="0023235C"/>
    <w:rsid w:val="00232836"/>
    <w:rsid w:val="00232D80"/>
    <w:rsid w:val="0023339C"/>
    <w:rsid w:val="00234309"/>
    <w:rsid w:val="00235123"/>
    <w:rsid w:val="00235317"/>
    <w:rsid w:val="002416E2"/>
    <w:rsid w:val="002419D0"/>
    <w:rsid w:val="00242897"/>
    <w:rsid w:val="00242A62"/>
    <w:rsid w:val="002444EA"/>
    <w:rsid w:val="00244B2A"/>
    <w:rsid w:val="00245EF6"/>
    <w:rsid w:val="00250A62"/>
    <w:rsid w:val="0025131F"/>
    <w:rsid w:val="00253669"/>
    <w:rsid w:val="00255AC7"/>
    <w:rsid w:val="002569C5"/>
    <w:rsid w:val="00256A84"/>
    <w:rsid w:val="00257F4D"/>
    <w:rsid w:val="00260902"/>
    <w:rsid w:val="00260A71"/>
    <w:rsid w:val="0026198C"/>
    <w:rsid w:val="00261AC6"/>
    <w:rsid w:val="00262FCB"/>
    <w:rsid w:val="00263AB2"/>
    <w:rsid w:val="002643E5"/>
    <w:rsid w:val="00264503"/>
    <w:rsid w:val="00264EB2"/>
    <w:rsid w:val="00265009"/>
    <w:rsid w:val="0026705D"/>
    <w:rsid w:val="00267C83"/>
    <w:rsid w:val="00267CB1"/>
    <w:rsid w:val="00267F9F"/>
    <w:rsid w:val="00270AE8"/>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9F4"/>
    <w:rsid w:val="00285A81"/>
    <w:rsid w:val="00285BDF"/>
    <w:rsid w:val="00285F61"/>
    <w:rsid w:val="002862E3"/>
    <w:rsid w:val="002868A8"/>
    <w:rsid w:val="0028701F"/>
    <w:rsid w:val="00287BB6"/>
    <w:rsid w:val="00287E12"/>
    <w:rsid w:val="00290DAB"/>
    <w:rsid w:val="00291042"/>
    <w:rsid w:val="00291C24"/>
    <w:rsid w:val="002922D9"/>
    <w:rsid w:val="00292441"/>
    <w:rsid w:val="00292F73"/>
    <w:rsid w:val="00293A07"/>
    <w:rsid w:val="002950BC"/>
    <w:rsid w:val="002958E2"/>
    <w:rsid w:val="00295CE8"/>
    <w:rsid w:val="002962B1"/>
    <w:rsid w:val="002965AD"/>
    <w:rsid w:val="00297B75"/>
    <w:rsid w:val="002A0C4E"/>
    <w:rsid w:val="002A15D6"/>
    <w:rsid w:val="002A1672"/>
    <w:rsid w:val="002A1D35"/>
    <w:rsid w:val="002A22D6"/>
    <w:rsid w:val="002A3505"/>
    <w:rsid w:val="002A3741"/>
    <w:rsid w:val="002A4AAB"/>
    <w:rsid w:val="002A5CB2"/>
    <w:rsid w:val="002A5E44"/>
    <w:rsid w:val="002A65E2"/>
    <w:rsid w:val="002A7BBC"/>
    <w:rsid w:val="002B00AE"/>
    <w:rsid w:val="002B12E2"/>
    <w:rsid w:val="002B1662"/>
    <w:rsid w:val="002B3F03"/>
    <w:rsid w:val="002B4148"/>
    <w:rsid w:val="002B469A"/>
    <w:rsid w:val="002B51EA"/>
    <w:rsid w:val="002B5C26"/>
    <w:rsid w:val="002B7974"/>
    <w:rsid w:val="002C0DD0"/>
    <w:rsid w:val="002C11C5"/>
    <w:rsid w:val="002C1AB9"/>
    <w:rsid w:val="002C2D6E"/>
    <w:rsid w:val="002C3042"/>
    <w:rsid w:val="002C33EB"/>
    <w:rsid w:val="002C363B"/>
    <w:rsid w:val="002C465A"/>
    <w:rsid w:val="002C666B"/>
    <w:rsid w:val="002C6C07"/>
    <w:rsid w:val="002C6E3F"/>
    <w:rsid w:val="002C7157"/>
    <w:rsid w:val="002D13DD"/>
    <w:rsid w:val="002D1777"/>
    <w:rsid w:val="002D2F30"/>
    <w:rsid w:val="002D47DE"/>
    <w:rsid w:val="002D54FF"/>
    <w:rsid w:val="002D5C40"/>
    <w:rsid w:val="002D61AB"/>
    <w:rsid w:val="002D7BB2"/>
    <w:rsid w:val="002E1F2C"/>
    <w:rsid w:val="002E273F"/>
    <w:rsid w:val="002E28E9"/>
    <w:rsid w:val="002E348F"/>
    <w:rsid w:val="002E36ED"/>
    <w:rsid w:val="002E466F"/>
    <w:rsid w:val="002E6BFE"/>
    <w:rsid w:val="002F1878"/>
    <w:rsid w:val="002F4310"/>
    <w:rsid w:val="002F4865"/>
    <w:rsid w:val="002F499D"/>
    <w:rsid w:val="002F654F"/>
    <w:rsid w:val="002F7B60"/>
    <w:rsid w:val="0030203A"/>
    <w:rsid w:val="00306A74"/>
    <w:rsid w:val="00311CEC"/>
    <w:rsid w:val="00313325"/>
    <w:rsid w:val="00313A4D"/>
    <w:rsid w:val="00313F34"/>
    <w:rsid w:val="00314DB9"/>
    <w:rsid w:val="0031707F"/>
    <w:rsid w:val="00321E2F"/>
    <w:rsid w:val="003246F2"/>
    <w:rsid w:val="00324865"/>
    <w:rsid w:val="00324B01"/>
    <w:rsid w:val="00324E36"/>
    <w:rsid w:val="0032557C"/>
    <w:rsid w:val="00326478"/>
    <w:rsid w:val="003266B9"/>
    <w:rsid w:val="0032788A"/>
    <w:rsid w:val="00331031"/>
    <w:rsid w:val="00331281"/>
    <w:rsid w:val="003333CF"/>
    <w:rsid w:val="003347D8"/>
    <w:rsid w:val="003347F8"/>
    <w:rsid w:val="003348AD"/>
    <w:rsid w:val="003350FF"/>
    <w:rsid w:val="0033575A"/>
    <w:rsid w:val="003359F2"/>
    <w:rsid w:val="00340374"/>
    <w:rsid w:val="003405B0"/>
    <w:rsid w:val="00340734"/>
    <w:rsid w:val="0034095A"/>
    <w:rsid w:val="00340B45"/>
    <w:rsid w:val="0034287E"/>
    <w:rsid w:val="00342E44"/>
    <w:rsid w:val="00343125"/>
    <w:rsid w:val="00343334"/>
    <w:rsid w:val="00346F10"/>
    <w:rsid w:val="00347DC8"/>
    <w:rsid w:val="00350642"/>
    <w:rsid w:val="0035087B"/>
    <w:rsid w:val="00352E5D"/>
    <w:rsid w:val="003538B4"/>
    <w:rsid w:val="00353D3F"/>
    <w:rsid w:val="003546A7"/>
    <w:rsid w:val="00354E41"/>
    <w:rsid w:val="00355F7D"/>
    <w:rsid w:val="00356C0C"/>
    <w:rsid w:val="00357A18"/>
    <w:rsid w:val="00357CAE"/>
    <w:rsid w:val="0036003D"/>
    <w:rsid w:val="003601EE"/>
    <w:rsid w:val="0036092F"/>
    <w:rsid w:val="0036212C"/>
    <w:rsid w:val="00364709"/>
    <w:rsid w:val="00365849"/>
    <w:rsid w:val="00365CEB"/>
    <w:rsid w:val="0036608F"/>
    <w:rsid w:val="00367761"/>
    <w:rsid w:val="00371061"/>
    <w:rsid w:val="003723EC"/>
    <w:rsid w:val="003725C2"/>
    <w:rsid w:val="00373228"/>
    <w:rsid w:val="0037398C"/>
    <w:rsid w:val="00373BCB"/>
    <w:rsid w:val="00373DDA"/>
    <w:rsid w:val="003751D4"/>
    <w:rsid w:val="003765C9"/>
    <w:rsid w:val="0037765F"/>
    <w:rsid w:val="0037789B"/>
    <w:rsid w:val="003805C3"/>
    <w:rsid w:val="003808DC"/>
    <w:rsid w:val="003812EE"/>
    <w:rsid w:val="00381353"/>
    <w:rsid w:val="003817D3"/>
    <w:rsid w:val="00381AD3"/>
    <w:rsid w:val="00382023"/>
    <w:rsid w:val="00382317"/>
    <w:rsid w:val="00382748"/>
    <w:rsid w:val="0038366B"/>
    <w:rsid w:val="00383E27"/>
    <w:rsid w:val="00384A33"/>
    <w:rsid w:val="00384F53"/>
    <w:rsid w:val="0038718B"/>
    <w:rsid w:val="00390037"/>
    <w:rsid w:val="003908CB"/>
    <w:rsid w:val="00390F51"/>
    <w:rsid w:val="00391251"/>
    <w:rsid w:val="00391805"/>
    <w:rsid w:val="00392780"/>
    <w:rsid w:val="003965DB"/>
    <w:rsid w:val="003966A4"/>
    <w:rsid w:val="00397EA7"/>
    <w:rsid w:val="003A131A"/>
    <w:rsid w:val="003A1873"/>
    <w:rsid w:val="003A22A1"/>
    <w:rsid w:val="003A3153"/>
    <w:rsid w:val="003A389D"/>
    <w:rsid w:val="003A4099"/>
    <w:rsid w:val="003A4249"/>
    <w:rsid w:val="003A4572"/>
    <w:rsid w:val="003A48A3"/>
    <w:rsid w:val="003A4DEB"/>
    <w:rsid w:val="003A56B4"/>
    <w:rsid w:val="003A63A3"/>
    <w:rsid w:val="003A7CE9"/>
    <w:rsid w:val="003A7D94"/>
    <w:rsid w:val="003B074C"/>
    <w:rsid w:val="003B304F"/>
    <w:rsid w:val="003B36FD"/>
    <w:rsid w:val="003B52E3"/>
    <w:rsid w:val="003B6EB4"/>
    <w:rsid w:val="003C0A14"/>
    <w:rsid w:val="003C1256"/>
    <w:rsid w:val="003C1404"/>
    <w:rsid w:val="003C229B"/>
    <w:rsid w:val="003C2F63"/>
    <w:rsid w:val="003C4815"/>
    <w:rsid w:val="003C5D94"/>
    <w:rsid w:val="003C7A73"/>
    <w:rsid w:val="003D061C"/>
    <w:rsid w:val="003D16A0"/>
    <w:rsid w:val="003D1765"/>
    <w:rsid w:val="003D188B"/>
    <w:rsid w:val="003D2993"/>
    <w:rsid w:val="003D3B9A"/>
    <w:rsid w:val="003D42BA"/>
    <w:rsid w:val="003D4669"/>
    <w:rsid w:val="003D5E2A"/>
    <w:rsid w:val="003D6B57"/>
    <w:rsid w:val="003D6F48"/>
    <w:rsid w:val="003E0880"/>
    <w:rsid w:val="003E0893"/>
    <w:rsid w:val="003E0C00"/>
    <w:rsid w:val="003E3CBC"/>
    <w:rsid w:val="003E4724"/>
    <w:rsid w:val="003E5316"/>
    <w:rsid w:val="003E5B81"/>
    <w:rsid w:val="003E63DA"/>
    <w:rsid w:val="003E6E9A"/>
    <w:rsid w:val="003E7A91"/>
    <w:rsid w:val="003F0052"/>
    <w:rsid w:val="003F080A"/>
    <w:rsid w:val="003F2BA3"/>
    <w:rsid w:val="003F4609"/>
    <w:rsid w:val="003F47E7"/>
    <w:rsid w:val="003F4887"/>
    <w:rsid w:val="003F6718"/>
    <w:rsid w:val="003F7A91"/>
    <w:rsid w:val="00400ACB"/>
    <w:rsid w:val="004014AC"/>
    <w:rsid w:val="00401EA9"/>
    <w:rsid w:val="00402BA3"/>
    <w:rsid w:val="004041BB"/>
    <w:rsid w:val="0040556F"/>
    <w:rsid w:val="00405C57"/>
    <w:rsid w:val="0040634B"/>
    <w:rsid w:val="00406717"/>
    <w:rsid w:val="00406F15"/>
    <w:rsid w:val="00407DF5"/>
    <w:rsid w:val="004112B7"/>
    <w:rsid w:val="004113F2"/>
    <w:rsid w:val="0041189C"/>
    <w:rsid w:val="00412846"/>
    <w:rsid w:val="0041286B"/>
    <w:rsid w:val="00412E55"/>
    <w:rsid w:val="00412EDA"/>
    <w:rsid w:val="00413ED6"/>
    <w:rsid w:val="0041470D"/>
    <w:rsid w:val="00415306"/>
    <w:rsid w:val="004153E5"/>
    <w:rsid w:val="00416293"/>
    <w:rsid w:val="004165A5"/>
    <w:rsid w:val="004165E0"/>
    <w:rsid w:val="0042020F"/>
    <w:rsid w:val="004209AD"/>
    <w:rsid w:val="00420E26"/>
    <w:rsid w:val="00423265"/>
    <w:rsid w:val="00423AB0"/>
    <w:rsid w:val="004241CA"/>
    <w:rsid w:val="00424DB7"/>
    <w:rsid w:val="0042508B"/>
    <w:rsid w:val="004255AF"/>
    <w:rsid w:val="004255EE"/>
    <w:rsid w:val="00425EF9"/>
    <w:rsid w:val="00426293"/>
    <w:rsid w:val="0043056E"/>
    <w:rsid w:val="004307C1"/>
    <w:rsid w:val="0043102C"/>
    <w:rsid w:val="00431770"/>
    <w:rsid w:val="00431D80"/>
    <w:rsid w:val="0043264C"/>
    <w:rsid w:val="00432EDE"/>
    <w:rsid w:val="00433361"/>
    <w:rsid w:val="00433970"/>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15F1"/>
    <w:rsid w:val="00453947"/>
    <w:rsid w:val="00456A2C"/>
    <w:rsid w:val="00457B50"/>
    <w:rsid w:val="00460668"/>
    <w:rsid w:val="004611C1"/>
    <w:rsid w:val="00462B72"/>
    <w:rsid w:val="00464DEB"/>
    <w:rsid w:val="00465AF5"/>
    <w:rsid w:val="004661B0"/>
    <w:rsid w:val="00466FEA"/>
    <w:rsid w:val="004702BD"/>
    <w:rsid w:val="00470775"/>
    <w:rsid w:val="0047091D"/>
    <w:rsid w:val="00472D5C"/>
    <w:rsid w:val="00473A7F"/>
    <w:rsid w:val="0047596E"/>
    <w:rsid w:val="00476409"/>
    <w:rsid w:val="00477865"/>
    <w:rsid w:val="00480F9B"/>
    <w:rsid w:val="00482A44"/>
    <w:rsid w:val="004838AA"/>
    <w:rsid w:val="00484599"/>
    <w:rsid w:val="004851C5"/>
    <w:rsid w:val="00485335"/>
    <w:rsid w:val="00485F0D"/>
    <w:rsid w:val="00486155"/>
    <w:rsid w:val="00487EFD"/>
    <w:rsid w:val="004911DC"/>
    <w:rsid w:val="004920BD"/>
    <w:rsid w:val="004944B6"/>
    <w:rsid w:val="00494A80"/>
    <w:rsid w:val="004A3B8B"/>
    <w:rsid w:val="004A4630"/>
    <w:rsid w:val="004A4CC2"/>
    <w:rsid w:val="004A5AEC"/>
    <w:rsid w:val="004A7952"/>
    <w:rsid w:val="004A7AFF"/>
    <w:rsid w:val="004B1465"/>
    <w:rsid w:val="004B268D"/>
    <w:rsid w:val="004B5555"/>
    <w:rsid w:val="004B6A9B"/>
    <w:rsid w:val="004C0A57"/>
    <w:rsid w:val="004C159B"/>
    <w:rsid w:val="004C1CEC"/>
    <w:rsid w:val="004C4320"/>
    <w:rsid w:val="004C5584"/>
    <w:rsid w:val="004C6B9E"/>
    <w:rsid w:val="004C6C6E"/>
    <w:rsid w:val="004C6F9B"/>
    <w:rsid w:val="004C780E"/>
    <w:rsid w:val="004D090D"/>
    <w:rsid w:val="004D14D8"/>
    <w:rsid w:val="004D2C1C"/>
    <w:rsid w:val="004D3D91"/>
    <w:rsid w:val="004D4549"/>
    <w:rsid w:val="004D5ACE"/>
    <w:rsid w:val="004D5BB9"/>
    <w:rsid w:val="004D7834"/>
    <w:rsid w:val="004D7BF8"/>
    <w:rsid w:val="004E01E1"/>
    <w:rsid w:val="004E0B7A"/>
    <w:rsid w:val="004E0B8E"/>
    <w:rsid w:val="004E1894"/>
    <w:rsid w:val="004E28E8"/>
    <w:rsid w:val="004E2CF6"/>
    <w:rsid w:val="004E3BBF"/>
    <w:rsid w:val="004E4CC2"/>
    <w:rsid w:val="004E518C"/>
    <w:rsid w:val="004E6F94"/>
    <w:rsid w:val="004E7578"/>
    <w:rsid w:val="004F0107"/>
    <w:rsid w:val="004F1699"/>
    <w:rsid w:val="004F17FB"/>
    <w:rsid w:val="004F3090"/>
    <w:rsid w:val="004F4346"/>
    <w:rsid w:val="004F489A"/>
    <w:rsid w:val="004F4A39"/>
    <w:rsid w:val="004F4D75"/>
    <w:rsid w:val="004F5F21"/>
    <w:rsid w:val="004F66D0"/>
    <w:rsid w:val="004F6747"/>
    <w:rsid w:val="00500332"/>
    <w:rsid w:val="00500F88"/>
    <w:rsid w:val="00504154"/>
    <w:rsid w:val="00504223"/>
    <w:rsid w:val="0050477B"/>
    <w:rsid w:val="005057CC"/>
    <w:rsid w:val="00505858"/>
    <w:rsid w:val="00505A9A"/>
    <w:rsid w:val="00505F80"/>
    <w:rsid w:val="00506735"/>
    <w:rsid w:val="005069A5"/>
    <w:rsid w:val="00507E86"/>
    <w:rsid w:val="0051089D"/>
    <w:rsid w:val="005115F3"/>
    <w:rsid w:val="00512BF2"/>
    <w:rsid w:val="00513834"/>
    <w:rsid w:val="00514908"/>
    <w:rsid w:val="00514A6D"/>
    <w:rsid w:val="00515EB7"/>
    <w:rsid w:val="00520518"/>
    <w:rsid w:val="005208EB"/>
    <w:rsid w:val="005209D7"/>
    <w:rsid w:val="00520CD4"/>
    <w:rsid w:val="0052205A"/>
    <w:rsid w:val="00523D1E"/>
    <w:rsid w:val="0052537E"/>
    <w:rsid w:val="00525F48"/>
    <w:rsid w:val="0052611C"/>
    <w:rsid w:val="005261F1"/>
    <w:rsid w:val="00526784"/>
    <w:rsid w:val="00526E2C"/>
    <w:rsid w:val="00527268"/>
    <w:rsid w:val="00527CD2"/>
    <w:rsid w:val="00531527"/>
    <w:rsid w:val="005316B6"/>
    <w:rsid w:val="00533FFC"/>
    <w:rsid w:val="0053539D"/>
    <w:rsid w:val="005361E0"/>
    <w:rsid w:val="005378EF"/>
    <w:rsid w:val="00540570"/>
    <w:rsid w:val="005437CF"/>
    <w:rsid w:val="0054482C"/>
    <w:rsid w:val="00547B5A"/>
    <w:rsid w:val="00550282"/>
    <w:rsid w:val="0055130D"/>
    <w:rsid w:val="005550DD"/>
    <w:rsid w:val="00555359"/>
    <w:rsid w:val="005575BA"/>
    <w:rsid w:val="00557DC5"/>
    <w:rsid w:val="00560C5B"/>
    <w:rsid w:val="00560F77"/>
    <w:rsid w:val="00561EA3"/>
    <w:rsid w:val="005624A0"/>
    <w:rsid w:val="005634AE"/>
    <w:rsid w:val="005635C8"/>
    <w:rsid w:val="00564B12"/>
    <w:rsid w:val="0056550D"/>
    <w:rsid w:val="005659AC"/>
    <w:rsid w:val="00566122"/>
    <w:rsid w:val="005665E1"/>
    <w:rsid w:val="00567592"/>
    <w:rsid w:val="00567730"/>
    <w:rsid w:val="00567B55"/>
    <w:rsid w:val="005701BB"/>
    <w:rsid w:val="005709B5"/>
    <w:rsid w:val="00570BB9"/>
    <w:rsid w:val="005712A8"/>
    <w:rsid w:val="00572418"/>
    <w:rsid w:val="00572A77"/>
    <w:rsid w:val="00573BE5"/>
    <w:rsid w:val="00574301"/>
    <w:rsid w:val="00574806"/>
    <w:rsid w:val="005752A3"/>
    <w:rsid w:val="00575CB7"/>
    <w:rsid w:val="00580F55"/>
    <w:rsid w:val="0058146F"/>
    <w:rsid w:val="00583F70"/>
    <w:rsid w:val="00584D05"/>
    <w:rsid w:val="0058523D"/>
    <w:rsid w:val="00586934"/>
    <w:rsid w:val="00587C00"/>
    <w:rsid w:val="00587E4F"/>
    <w:rsid w:val="0059033F"/>
    <w:rsid w:val="00591754"/>
    <w:rsid w:val="00591BBD"/>
    <w:rsid w:val="0059449D"/>
    <w:rsid w:val="00597E4B"/>
    <w:rsid w:val="005A1260"/>
    <w:rsid w:val="005A2328"/>
    <w:rsid w:val="005A2FA1"/>
    <w:rsid w:val="005A3014"/>
    <w:rsid w:val="005A35B6"/>
    <w:rsid w:val="005A4232"/>
    <w:rsid w:val="005A50A0"/>
    <w:rsid w:val="005A57A2"/>
    <w:rsid w:val="005A6740"/>
    <w:rsid w:val="005A6767"/>
    <w:rsid w:val="005A77C9"/>
    <w:rsid w:val="005A7A37"/>
    <w:rsid w:val="005B016E"/>
    <w:rsid w:val="005B03C3"/>
    <w:rsid w:val="005B0807"/>
    <w:rsid w:val="005B0C96"/>
    <w:rsid w:val="005B1244"/>
    <w:rsid w:val="005B214B"/>
    <w:rsid w:val="005B2CA3"/>
    <w:rsid w:val="005B3314"/>
    <w:rsid w:val="005B3467"/>
    <w:rsid w:val="005B5AF6"/>
    <w:rsid w:val="005B61FE"/>
    <w:rsid w:val="005B6687"/>
    <w:rsid w:val="005C09B3"/>
    <w:rsid w:val="005C0D7E"/>
    <w:rsid w:val="005C0DE7"/>
    <w:rsid w:val="005C0F07"/>
    <w:rsid w:val="005C177B"/>
    <w:rsid w:val="005C1CA1"/>
    <w:rsid w:val="005C27EF"/>
    <w:rsid w:val="005C2DE6"/>
    <w:rsid w:val="005C3E05"/>
    <w:rsid w:val="005C4EBF"/>
    <w:rsid w:val="005C5098"/>
    <w:rsid w:val="005C58EB"/>
    <w:rsid w:val="005C5977"/>
    <w:rsid w:val="005C7ED7"/>
    <w:rsid w:val="005D01A4"/>
    <w:rsid w:val="005D088D"/>
    <w:rsid w:val="005D0D39"/>
    <w:rsid w:val="005D1A7D"/>
    <w:rsid w:val="005D1D9B"/>
    <w:rsid w:val="005D1F21"/>
    <w:rsid w:val="005D392F"/>
    <w:rsid w:val="005D57AA"/>
    <w:rsid w:val="005D5D39"/>
    <w:rsid w:val="005D78A2"/>
    <w:rsid w:val="005E1C52"/>
    <w:rsid w:val="005E2E68"/>
    <w:rsid w:val="005E33D2"/>
    <w:rsid w:val="005E41E1"/>
    <w:rsid w:val="005E4442"/>
    <w:rsid w:val="005E4BD2"/>
    <w:rsid w:val="005E501E"/>
    <w:rsid w:val="005E50F3"/>
    <w:rsid w:val="005E5490"/>
    <w:rsid w:val="005E5F00"/>
    <w:rsid w:val="005F2D4C"/>
    <w:rsid w:val="005F31D5"/>
    <w:rsid w:val="005F37D4"/>
    <w:rsid w:val="005F42D2"/>
    <w:rsid w:val="005F4DD9"/>
    <w:rsid w:val="005F51F9"/>
    <w:rsid w:val="005F554A"/>
    <w:rsid w:val="005F67E2"/>
    <w:rsid w:val="006020D9"/>
    <w:rsid w:val="0060267A"/>
    <w:rsid w:val="006030D6"/>
    <w:rsid w:val="00603705"/>
    <w:rsid w:val="006043A4"/>
    <w:rsid w:val="00605007"/>
    <w:rsid w:val="0060594A"/>
    <w:rsid w:val="006105B3"/>
    <w:rsid w:val="006119B8"/>
    <w:rsid w:val="00613E21"/>
    <w:rsid w:val="00614CD3"/>
    <w:rsid w:val="0061627F"/>
    <w:rsid w:val="00616BF1"/>
    <w:rsid w:val="0062043A"/>
    <w:rsid w:val="00620808"/>
    <w:rsid w:val="006209D6"/>
    <w:rsid w:val="006217E3"/>
    <w:rsid w:val="00621A67"/>
    <w:rsid w:val="00621EDB"/>
    <w:rsid w:val="00622F37"/>
    <w:rsid w:val="006232A3"/>
    <w:rsid w:val="006240A6"/>
    <w:rsid w:val="006242DF"/>
    <w:rsid w:val="0062497C"/>
    <w:rsid w:val="00624EB7"/>
    <w:rsid w:val="0062600E"/>
    <w:rsid w:val="00626EC9"/>
    <w:rsid w:val="006365C2"/>
    <w:rsid w:val="00636643"/>
    <w:rsid w:val="006371E8"/>
    <w:rsid w:val="006374CD"/>
    <w:rsid w:val="00637F16"/>
    <w:rsid w:val="00640570"/>
    <w:rsid w:val="00640CB0"/>
    <w:rsid w:val="00641143"/>
    <w:rsid w:val="0064267E"/>
    <w:rsid w:val="006430FF"/>
    <w:rsid w:val="0064347A"/>
    <w:rsid w:val="00643967"/>
    <w:rsid w:val="0064721C"/>
    <w:rsid w:val="00647882"/>
    <w:rsid w:val="00647DA8"/>
    <w:rsid w:val="00647F9D"/>
    <w:rsid w:val="006502AB"/>
    <w:rsid w:val="00650F32"/>
    <w:rsid w:val="00651177"/>
    <w:rsid w:val="0065343A"/>
    <w:rsid w:val="00653A2A"/>
    <w:rsid w:val="00653B74"/>
    <w:rsid w:val="006569FD"/>
    <w:rsid w:val="0066096D"/>
    <w:rsid w:val="0066100B"/>
    <w:rsid w:val="0066219C"/>
    <w:rsid w:val="00663D25"/>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68F"/>
    <w:rsid w:val="0068390A"/>
    <w:rsid w:val="00684D30"/>
    <w:rsid w:val="0068528A"/>
    <w:rsid w:val="006855D3"/>
    <w:rsid w:val="00685D06"/>
    <w:rsid w:val="00686202"/>
    <w:rsid w:val="00690243"/>
    <w:rsid w:val="00690709"/>
    <w:rsid w:val="0069139A"/>
    <w:rsid w:val="006917A7"/>
    <w:rsid w:val="00691862"/>
    <w:rsid w:val="0069219F"/>
    <w:rsid w:val="006944EB"/>
    <w:rsid w:val="00694C2D"/>
    <w:rsid w:val="006954C4"/>
    <w:rsid w:val="006A00B7"/>
    <w:rsid w:val="006A0563"/>
    <w:rsid w:val="006A134B"/>
    <w:rsid w:val="006A1B12"/>
    <w:rsid w:val="006A229F"/>
    <w:rsid w:val="006A34AC"/>
    <w:rsid w:val="006A46A7"/>
    <w:rsid w:val="006A4D18"/>
    <w:rsid w:val="006A4F09"/>
    <w:rsid w:val="006A50E4"/>
    <w:rsid w:val="006A5C66"/>
    <w:rsid w:val="006A7371"/>
    <w:rsid w:val="006B34C9"/>
    <w:rsid w:val="006B399A"/>
    <w:rsid w:val="006B4795"/>
    <w:rsid w:val="006B5791"/>
    <w:rsid w:val="006B60A2"/>
    <w:rsid w:val="006B6798"/>
    <w:rsid w:val="006B77BE"/>
    <w:rsid w:val="006B7B54"/>
    <w:rsid w:val="006C06AF"/>
    <w:rsid w:val="006C0F76"/>
    <w:rsid w:val="006C1340"/>
    <w:rsid w:val="006C23C2"/>
    <w:rsid w:val="006C33AC"/>
    <w:rsid w:val="006C4B1F"/>
    <w:rsid w:val="006C5C39"/>
    <w:rsid w:val="006C6FBB"/>
    <w:rsid w:val="006C723E"/>
    <w:rsid w:val="006C7B71"/>
    <w:rsid w:val="006D01E3"/>
    <w:rsid w:val="006D3A6D"/>
    <w:rsid w:val="006D46C6"/>
    <w:rsid w:val="006D4F91"/>
    <w:rsid w:val="006D5556"/>
    <w:rsid w:val="006D6DB3"/>
    <w:rsid w:val="006D7238"/>
    <w:rsid w:val="006E0419"/>
    <w:rsid w:val="006E0CF5"/>
    <w:rsid w:val="006E15B5"/>
    <w:rsid w:val="006E18EB"/>
    <w:rsid w:val="006E1C31"/>
    <w:rsid w:val="006E31A3"/>
    <w:rsid w:val="006E45CC"/>
    <w:rsid w:val="006E52E1"/>
    <w:rsid w:val="006E5C6C"/>
    <w:rsid w:val="006E63DE"/>
    <w:rsid w:val="006E6A42"/>
    <w:rsid w:val="006E70D1"/>
    <w:rsid w:val="006F04D9"/>
    <w:rsid w:val="006F07FA"/>
    <w:rsid w:val="006F0FBF"/>
    <w:rsid w:val="006F137B"/>
    <w:rsid w:val="006F1B2E"/>
    <w:rsid w:val="006F1DC1"/>
    <w:rsid w:val="006F2292"/>
    <w:rsid w:val="006F31D7"/>
    <w:rsid w:val="006F3670"/>
    <w:rsid w:val="006F3932"/>
    <w:rsid w:val="006F3B2C"/>
    <w:rsid w:val="006F48D3"/>
    <w:rsid w:val="006F4901"/>
    <w:rsid w:val="006F617A"/>
    <w:rsid w:val="006F6BD6"/>
    <w:rsid w:val="006F6D52"/>
    <w:rsid w:val="007001BB"/>
    <w:rsid w:val="0070184C"/>
    <w:rsid w:val="007028E7"/>
    <w:rsid w:val="007039B7"/>
    <w:rsid w:val="00703CAD"/>
    <w:rsid w:val="0070401B"/>
    <w:rsid w:val="00704082"/>
    <w:rsid w:val="00705371"/>
    <w:rsid w:val="007077DC"/>
    <w:rsid w:val="00707DAE"/>
    <w:rsid w:val="00710C2B"/>
    <w:rsid w:val="00712FDD"/>
    <w:rsid w:val="00713384"/>
    <w:rsid w:val="00713D73"/>
    <w:rsid w:val="007141E1"/>
    <w:rsid w:val="00714F31"/>
    <w:rsid w:val="0071593B"/>
    <w:rsid w:val="007219F6"/>
    <w:rsid w:val="00722046"/>
    <w:rsid w:val="00722CFC"/>
    <w:rsid w:val="0072440A"/>
    <w:rsid w:val="00724504"/>
    <w:rsid w:val="007247EB"/>
    <w:rsid w:val="007257D4"/>
    <w:rsid w:val="00725A64"/>
    <w:rsid w:val="00725BA5"/>
    <w:rsid w:val="00726485"/>
    <w:rsid w:val="00726F2B"/>
    <w:rsid w:val="00732F1A"/>
    <w:rsid w:val="00733151"/>
    <w:rsid w:val="00733AC8"/>
    <w:rsid w:val="00734A87"/>
    <w:rsid w:val="00734CF6"/>
    <w:rsid w:val="00735189"/>
    <w:rsid w:val="007360FB"/>
    <w:rsid w:val="007369A0"/>
    <w:rsid w:val="00740E6A"/>
    <w:rsid w:val="007413D9"/>
    <w:rsid w:val="0074150C"/>
    <w:rsid w:val="00742024"/>
    <w:rsid w:val="007434B4"/>
    <w:rsid w:val="00744360"/>
    <w:rsid w:val="007455AC"/>
    <w:rsid w:val="00745685"/>
    <w:rsid w:val="0074593E"/>
    <w:rsid w:val="007460BC"/>
    <w:rsid w:val="00746586"/>
    <w:rsid w:val="00747190"/>
    <w:rsid w:val="00747779"/>
    <w:rsid w:val="00747DDA"/>
    <w:rsid w:val="00747F03"/>
    <w:rsid w:val="00750446"/>
    <w:rsid w:val="00751132"/>
    <w:rsid w:val="00751F7C"/>
    <w:rsid w:val="00753FAF"/>
    <w:rsid w:val="00755F77"/>
    <w:rsid w:val="007567BC"/>
    <w:rsid w:val="007568EE"/>
    <w:rsid w:val="007601F3"/>
    <w:rsid w:val="007606C3"/>
    <w:rsid w:val="00760E64"/>
    <w:rsid w:val="007611A9"/>
    <w:rsid w:val="00761C5D"/>
    <w:rsid w:val="00761F02"/>
    <w:rsid w:val="0076488F"/>
    <w:rsid w:val="00765AED"/>
    <w:rsid w:val="0076675E"/>
    <w:rsid w:val="0076684A"/>
    <w:rsid w:val="00767220"/>
    <w:rsid w:val="00770D6D"/>
    <w:rsid w:val="00771449"/>
    <w:rsid w:val="00771DE6"/>
    <w:rsid w:val="007723AB"/>
    <w:rsid w:val="0077273F"/>
    <w:rsid w:val="0077276B"/>
    <w:rsid w:val="007741AD"/>
    <w:rsid w:val="00774632"/>
    <w:rsid w:val="00775065"/>
    <w:rsid w:val="00777B6C"/>
    <w:rsid w:val="00780CB0"/>
    <w:rsid w:val="007847B2"/>
    <w:rsid w:val="00785952"/>
    <w:rsid w:val="00786755"/>
    <w:rsid w:val="00787111"/>
    <w:rsid w:val="00787136"/>
    <w:rsid w:val="0078751B"/>
    <w:rsid w:val="00787713"/>
    <w:rsid w:val="00787B90"/>
    <w:rsid w:val="007928E2"/>
    <w:rsid w:val="007936B7"/>
    <w:rsid w:val="007938A2"/>
    <w:rsid w:val="00793C99"/>
    <w:rsid w:val="007946C7"/>
    <w:rsid w:val="007948EB"/>
    <w:rsid w:val="0079531F"/>
    <w:rsid w:val="00795D1A"/>
    <w:rsid w:val="007972B8"/>
    <w:rsid w:val="00797518"/>
    <w:rsid w:val="007975C6"/>
    <w:rsid w:val="007A09BD"/>
    <w:rsid w:val="007A32D4"/>
    <w:rsid w:val="007A33DB"/>
    <w:rsid w:val="007A3ABD"/>
    <w:rsid w:val="007A4B56"/>
    <w:rsid w:val="007A54CF"/>
    <w:rsid w:val="007A5DDD"/>
    <w:rsid w:val="007A69F1"/>
    <w:rsid w:val="007A6B90"/>
    <w:rsid w:val="007B00EC"/>
    <w:rsid w:val="007B0338"/>
    <w:rsid w:val="007B0520"/>
    <w:rsid w:val="007B2232"/>
    <w:rsid w:val="007B4A00"/>
    <w:rsid w:val="007B644C"/>
    <w:rsid w:val="007B65F8"/>
    <w:rsid w:val="007C0C56"/>
    <w:rsid w:val="007C2C9D"/>
    <w:rsid w:val="007C302F"/>
    <w:rsid w:val="007C5299"/>
    <w:rsid w:val="007C5C1F"/>
    <w:rsid w:val="007C5F6A"/>
    <w:rsid w:val="007C6ED7"/>
    <w:rsid w:val="007C76F3"/>
    <w:rsid w:val="007D0885"/>
    <w:rsid w:val="007D1565"/>
    <w:rsid w:val="007D23C8"/>
    <w:rsid w:val="007D348B"/>
    <w:rsid w:val="007D3A8A"/>
    <w:rsid w:val="007D405F"/>
    <w:rsid w:val="007D460B"/>
    <w:rsid w:val="007D4EAE"/>
    <w:rsid w:val="007D57AF"/>
    <w:rsid w:val="007D5C23"/>
    <w:rsid w:val="007D6E84"/>
    <w:rsid w:val="007D71A8"/>
    <w:rsid w:val="007D7812"/>
    <w:rsid w:val="007E0993"/>
    <w:rsid w:val="007E1305"/>
    <w:rsid w:val="007E1DC0"/>
    <w:rsid w:val="007E256E"/>
    <w:rsid w:val="007E2C2B"/>
    <w:rsid w:val="007E2F36"/>
    <w:rsid w:val="007E3355"/>
    <w:rsid w:val="007E4784"/>
    <w:rsid w:val="007E484A"/>
    <w:rsid w:val="007E4969"/>
    <w:rsid w:val="007E5152"/>
    <w:rsid w:val="007E5BC4"/>
    <w:rsid w:val="007F589A"/>
    <w:rsid w:val="007F5A41"/>
    <w:rsid w:val="007F5C7E"/>
    <w:rsid w:val="007F5C8A"/>
    <w:rsid w:val="007F6ECA"/>
    <w:rsid w:val="00801B24"/>
    <w:rsid w:val="008022FA"/>
    <w:rsid w:val="00802842"/>
    <w:rsid w:val="008029A3"/>
    <w:rsid w:val="00802D88"/>
    <w:rsid w:val="008041E9"/>
    <w:rsid w:val="00804342"/>
    <w:rsid w:val="0080530F"/>
    <w:rsid w:val="00805524"/>
    <w:rsid w:val="00805B8A"/>
    <w:rsid w:val="00805E68"/>
    <w:rsid w:val="00807280"/>
    <w:rsid w:val="00807527"/>
    <w:rsid w:val="008100B3"/>
    <w:rsid w:val="00811559"/>
    <w:rsid w:val="008137E0"/>
    <w:rsid w:val="00814617"/>
    <w:rsid w:val="00814F1A"/>
    <w:rsid w:val="008168BB"/>
    <w:rsid w:val="008171F2"/>
    <w:rsid w:val="008205E0"/>
    <w:rsid w:val="00820C24"/>
    <w:rsid w:val="00821980"/>
    <w:rsid w:val="0082253F"/>
    <w:rsid w:val="00823B5F"/>
    <w:rsid w:val="00824B7E"/>
    <w:rsid w:val="00826848"/>
    <w:rsid w:val="00826A07"/>
    <w:rsid w:val="00826FDC"/>
    <w:rsid w:val="008327F1"/>
    <w:rsid w:val="0083358D"/>
    <w:rsid w:val="00833685"/>
    <w:rsid w:val="008348A7"/>
    <w:rsid w:val="00834DF7"/>
    <w:rsid w:val="008368A0"/>
    <w:rsid w:val="00837704"/>
    <w:rsid w:val="008400EE"/>
    <w:rsid w:val="00840AB2"/>
    <w:rsid w:val="008417A5"/>
    <w:rsid w:val="00842D56"/>
    <w:rsid w:val="00844573"/>
    <w:rsid w:val="00844C56"/>
    <w:rsid w:val="00845C17"/>
    <w:rsid w:val="00846C2C"/>
    <w:rsid w:val="0085129C"/>
    <w:rsid w:val="00852675"/>
    <w:rsid w:val="00852853"/>
    <w:rsid w:val="00853251"/>
    <w:rsid w:val="00854301"/>
    <w:rsid w:val="008558C2"/>
    <w:rsid w:val="008570AA"/>
    <w:rsid w:val="00860E07"/>
    <w:rsid w:val="008613AD"/>
    <w:rsid w:val="0086223C"/>
    <w:rsid w:val="00862AC9"/>
    <w:rsid w:val="00862E2B"/>
    <w:rsid w:val="00863896"/>
    <w:rsid w:val="00863AFA"/>
    <w:rsid w:val="00865FC0"/>
    <w:rsid w:val="00865FEB"/>
    <w:rsid w:val="0086659F"/>
    <w:rsid w:val="00866B3B"/>
    <w:rsid w:val="008706F9"/>
    <w:rsid w:val="00871BBB"/>
    <w:rsid w:val="00873CDE"/>
    <w:rsid w:val="00874C18"/>
    <w:rsid w:val="00875458"/>
    <w:rsid w:val="00875A3A"/>
    <w:rsid w:val="00876925"/>
    <w:rsid w:val="00877941"/>
    <w:rsid w:val="0088016F"/>
    <w:rsid w:val="00880359"/>
    <w:rsid w:val="0088062D"/>
    <w:rsid w:val="00880C22"/>
    <w:rsid w:val="00881408"/>
    <w:rsid w:val="0088206F"/>
    <w:rsid w:val="008821CE"/>
    <w:rsid w:val="00882419"/>
    <w:rsid w:val="008828A3"/>
    <w:rsid w:val="00882F88"/>
    <w:rsid w:val="008836B3"/>
    <w:rsid w:val="00883835"/>
    <w:rsid w:val="00884527"/>
    <w:rsid w:val="00885429"/>
    <w:rsid w:val="00886054"/>
    <w:rsid w:val="008862FF"/>
    <w:rsid w:val="00886FAE"/>
    <w:rsid w:val="00887570"/>
    <w:rsid w:val="0088767A"/>
    <w:rsid w:val="00892D2C"/>
    <w:rsid w:val="00893531"/>
    <w:rsid w:val="008952DA"/>
    <w:rsid w:val="00895D20"/>
    <w:rsid w:val="008961A9"/>
    <w:rsid w:val="00897720"/>
    <w:rsid w:val="008978AE"/>
    <w:rsid w:val="008A0455"/>
    <w:rsid w:val="008A0865"/>
    <w:rsid w:val="008A1CC1"/>
    <w:rsid w:val="008A1E03"/>
    <w:rsid w:val="008A400C"/>
    <w:rsid w:val="008A4564"/>
    <w:rsid w:val="008A64F6"/>
    <w:rsid w:val="008A664A"/>
    <w:rsid w:val="008A66D0"/>
    <w:rsid w:val="008A6C2A"/>
    <w:rsid w:val="008A75A2"/>
    <w:rsid w:val="008B064A"/>
    <w:rsid w:val="008B35FF"/>
    <w:rsid w:val="008B3914"/>
    <w:rsid w:val="008B3B34"/>
    <w:rsid w:val="008B4ECD"/>
    <w:rsid w:val="008B685F"/>
    <w:rsid w:val="008B7C50"/>
    <w:rsid w:val="008B7C74"/>
    <w:rsid w:val="008B7E9E"/>
    <w:rsid w:val="008C008E"/>
    <w:rsid w:val="008C2834"/>
    <w:rsid w:val="008C29DE"/>
    <w:rsid w:val="008C2DE1"/>
    <w:rsid w:val="008C3A07"/>
    <w:rsid w:val="008C41AF"/>
    <w:rsid w:val="008C47C2"/>
    <w:rsid w:val="008C59E1"/>
    <w:rsid w:val="008D0C02"/>
    <w:rsid w:val="008D201F"/>
    <w:rsid w:val="008D3FC4"/>
    <w:rsid w:val="008D499A"/>
    <w:rsid w:val="008D4A08"/>
    <w:rsid w:val="008D5A64"/>
    <w:rsid w:val="008D63C6"/>
    <w:rsid w:val="008D71E1"/>
    <w:rsid w:val="008E1B2E"/>
    <w:rsid w:val="008E2E02"/>
    <w:rsid w:val="008E3392"/>
    <w:rsid w:val="008E3C1A"/>
    <w:rsid w:val="008E4ED5"/>
    <w:rsid w:val="008E6DFB"/>
    <w:rsid w:val="008F1C57"/>
    <w:rsid w:val="008F587E"/>
    <w:rsid w:val="008F63FC"/>
    <w:rsid w:val="008F6500"/>
    <w:rsid w:val="008F73EE"/>
    <w:rsid w:val="00901406"/>
    <w:rsid w:val="00901880"/>
    <w:rsid w:val="00901F5B"/>
    <w:rsid w:val="0090312E"/>
    <w:rsid w:val="00903231"/>
    <w:rsid w:val="0090323D"/>
    <w:rsid w:val="0090365C"/>
    <w:rsid w:val="009040DE"/>
    <w:rsid w:val="00904101"/>
    <w:rsid w:val="00904162"/>
    <w:rsid w:val="00904FDD"/>
    <w:rsid w:val="009055CB"/>
    <w:rsid w:val="009069C0"/>
    <w:rsid w:val="0090766C"/>
    <w:rsid w:val="009104BE"/>
    <w:rsid w:val="00910FB9"/>
    <w:rsid w:val="0091102F"/>
    <w:rsid w:val="009130C4"/>
    <w:rsid w:val="009138A1"/>
    <w:rsid w:val="00913D07"/>
    <w:rsid w:val="00914055"/>
    <w:rsid w:val="00915C2A"/>
    <w:rsid w:val="00916580"/>
    <w:rsid w:val="0091715D"/>
    <w:rsid w:val="009179EE"/>
    <w:rsid w:val="00917B30"/>
    <w:rsid w:val="00921556"/>
    <w:rsid w:val="0092181D"/>
    <w:rsid w:val="009220E1"/>
    <w:rsid w:val="009226FF"/>
    <w:rsid w:val="00922BF1"/>
    <w:rsid w:val="00922DDF"/>
    <w:rsid w:val="0092412A"/>
    <w:rsid w:val="0092516A"/>
    <w:rsid w:val="009258D3"/>
    <w:rsid w:val="00926E98"/>
    <w:rsid w:val="0093049E"/>
    <w:rsid w:val="00932D24"/>
    <w:rsid w:val="0093449D"/>
    <w:rsid w:val="0093744F"/>
    <w:rsid w:val="009413A9"/>
    <w:rsid w:val="009438E2"/>
    <w:rsid w:val="00943F2F"/>
    <w:rsid w:val="009440E8"/>
    <w:rsid w:val="0094476B"/>
    <w:rsid w:val="00944F45"/>
    <w:rsid w:val="00945FCD"/>
    <w:rsid w:val="009471C8"/>
    <w:rsid w:val="0095031F"/>
    <w:rsid w:val="00950768"/>
    <w:rsid w:val="00951E05"/>
    <w:rsid w:val="009523BC"/>
    <w:rsid w:val="0095283A"/>
    <w:rsid w:val="009530CA"/>
    <w:rsid w:val="00953295"/>
    <w:rsid w:val="009533D4"/>
    <w:rsid w:val="009536C0"/>
    <w:rsid w:val="00955A0A"/>
    <w:rsid w:val="00956792"/>
    <w:rsid w:val="009575AE"/>
    <w:rsid w:val="00957733"/>
    <w:rsid w:val="0096037C"/>
    <w:rsid w:val="009605C3"/>
    <w:rsid w:val="00960AEF"/>
    <w:rsid w:val="00964404"/>
    <w:rsid w:val="009663CE"/>
    <w:rsid w:val="00966666"/>
    <w:rsid w:val="00966A87"/>
    <w:rsid w:val="00967B29"/>
    <w:rsid w:val="00967EB5"/>
    <w:rsid w:val="0097053B"/>
    <w:rsid w:val="00970885"/>
    <w:rsid w:val="009716E8"/>
    <w:rsid w:val="00974D37"/>
    <w:rsid w:val="00974E44"/>
    <w:rsid w:val="009764A4"/>
    <w:rsid w:val="009771AA"/>
    <w:rsid w:val="0098151F"/>
    <w:rsid w:val="009822D7"/>
    <w:rsid w:val="009822F0"/>
    <w:rsid w:val="00983A67"/>
    <w:rsid w:val="00983E55"/>
    <w:rsid w:val="009864CF"/>
    <w:rsid w:val="009868D4"/>
    <w:rsid w:val="0099031D"/>
    <w:rsid w:val="00991EB4"/>
    <w:rsid w:val="009928A8"/>
    <w:rsid w:val="00992BAF"/>
    <w:rsid w:val="00992F43"/>
    <w:rsid w:val="00993871"/>
    <w:rsid w:val="00994C2B"/>
    <w:rsid w:val="00994DAF"/>
    <w:rsid w:val="00996896"/>
    <w:rsid w:val="00996B4D"/>
    <w:rsid w:val="00996D0D"/>
    <w:rsid w:val="009A0AA3"/>
    <w:rsid w:val="009A0EAF"/>
    <w:rsid w:val="009A2243"/>
    <w:rsid w:val="009A2CBF"/>
    <w:rsid w:val="009A30BF"/>
    <w:rsid w:val="009A3F9F"/>
    <w:rsid w:val="009A4C47"/>
    <w:rsid w:val="009A5E9C"/>
    <w:rsid w:val="009A7525"/>
    <w:rsid w:val="009A7664"/>
    <w:rsid w:val="009A7FB8"/>
    <w:rsid w:val="009B06BC"/>
    <w:rsid w:val="009B1169"/>
    <w:rsid w:val="009B1687"/>
    <w:rsid w:val="009B1F47"/>
    <w:rsid w:val="009B2B6A"/>
    <w:rsid w:val="009B327E"/>
    <w:rsid w:val="009B339A"/>
    <w:rsid w:val="009B3680"/>
    <w:rsid w:val="009B4D71"/>
    <w:rsid w:val="009B56E8"/>
    <w:rsid w:val="009B5BE2"/>
    <w:rsid w:val="009C120F"/>
    <w:rsid w:val="009C29F4"/>
    <w:rsid w:val="009C2F1E"/>
    <w:rsid w:val="009C3487"/>
    <w:rsid w:val="009C39BD"/>
    <w:rsid w:val="009C4F0D"/>
    <w:rsid w:val="009C7F22"/>
    <w:rsid w:val="009D09B9"/>
    <w:rsid w:val="009D7095"/>
    <w:rsid w:val="009E04AF"/>
    <w:rsid w:val="009E4A6F"/>
    <w:rsid w:val="009E5BB5"/>
    <w:rsid w:val="009E6986"/>
    <w:rsid w:val="009E69CC"/>
    <w:rsid w:val="009F08F7"/>
    <w:rsid w:val="009F091E"/>
    <w:rsid w:val="009F09DD"/>
    <w:rsid w:val="009F3C62"/>
    <w:rsid w:val="009F51BF"/>
    <w:rsid w:val="009F6612"/>
    <w:rsid w:val="009F7FB0"/>
    <w:rsid w:val="00A00FE5"/>
    <w:rsid w:val="00A025C8"/>
    <w:rsid w:val="00A0440E"/>
    <w:rsid w:val="00A055A2"/>
    <w:rsid w:val="00A05BDC"/>
    <w:rsid w:val="00A068BD"/>
    <w:rsid w:val="00A079C5"/>
    <w:rsid w:val="00A10993"/>
    <w:rsid w:val="00A10DF5"/>
    <w:rsid w:val="00A118FA"/>
    <w:rsid w:val="00A1238E"/>
    <w:rsid w:val="00A147BA"/>
    <w:rsid w:val="00A14F25"/>
    <w:rsid w:val="00A150CD"/>
    <w:rsid w:val="00A20365"/>
    <w:rsid w:val="00A2099A"/>
    <w:rsid w:val="00A20DB6"/>
    <w:rsid w:val="00A21A8D"/>
    <w:rsid w:val="00A21F26"/>
    <w:rsid w:val="00A23123"/>
    <w:rsid w:val="00A251BE"/>
    <w:rsid w:val="00A27620"/>
    <w:rsid w:val="00A308A5"/>
    <w:rsid w:val="00A30C20"/>
    <w:rsid w:val="00A31C0C"/>
    <w:rsid w:val="00A32970"/>
    <w:rsid w:val="00A33BF9"/>
    <w:rsid w:val="00A33F77"/>
    <w:rsid w:val="00A340D8"/>
    <w:rsid w:val="00A35822"/>
    <w:rsid w:val="00A364E0"/>
    <w:rsid w:val="00A3740A"/>
    <w:rsid w:val="00A40786"/>
    <w:rsid w:val="00A410EA"/>
    <w:rsid w:val="00A4267E"/>
    <w:rsid w:val="00A42F8F"/>
    <w:rsid w:val="00A43F6D"/>
    <w:rsid w:val="00A44128"/>
    <w:rsid w:val="00A44AA1"/>
    <w:rsid w:val="00A45D07"/>
    <w:rsid w:val="00A47B85"/>
    <w:rsid w:val="00A513BE"/>
    <w:rsid w:val="00A51B00"/>
    <w:rsid w:val="00A53A4C"/>
    <w:rsid w:val="00A53AA9"/>
    <w:rsid w:val="00A543D4"/>
    <w:rsid w:val="00A54ADC"/>
    <w:rsid w:val="00A572BD"/>
    <w:rsid w:val="00A57B0B"/>
    <w:rsid w:val="00A60510"/>
    <w:rsid w:val="00A611BB"/>
    <w:rsid w:val="00A64028"/>
    <w:rsid w:val="00A64425"/>
    <w:rsid w:val="00A668FB"/>
    <w:rsid w:val="00A6702B"/>
    <w:rsid w:val="00A71189"/>
    <w:rsid w:val="00A71D10"/>
    <w:rsid w:val="00A71D21"/>
    <w:rsid w:val="00A7220C"/>
    <w:rsid w:val="00A73A8A"/>
    <w:rsid w:val="00A73F66"/>
    <w:rsid w:val="00A7408E"/>
    <w:rsid w:val="00A74F07"/>
    <w:rsid w:val="00A76084"/>
    <w:rsid w:val="00A806A9"/>
    <w:rsid w:val="00A807C8"/>
    <w:rsid w:val="00A80A87"/>
    <w:rsid w:val="00A812A3"/>
    <w:rsid w:val="00A81A91"/>
    <w:rsid w:val="00A81C21"/>
    <w:rsid w:val="00A83F45"/>
    <w:rsid w:val="00A8400E"/>
    <w:rsid w:val="00A867DB"/>
    <w:rsid w:val="00A869D6"/>
    <w:rsid w:val="00A86ECE"/>
    <w:rsid w:val="00A90B18"/>
    <w:rsid w:val="00A90F3C"/>
    <w:rsid w:val="00A92883"/>
    <w:rsid w:val="00A92E92"/>
    <w:rsid w:val="00A93090"/>
    <w:rsid w:val="00A933B4"/>
    <w:rsid w:val="00A95AC6"/>
    <w:rsid w:val="00A95E01"/>
    <w:rsid w:val="00A96972"/>
    <w:rsid w:val="00A9710F"/>
    <w:rsid w:val="00A979CB"/>
    <w:rsid w:val="00AA4277"/>
    <w:rsid w:val="00AA4545"/>
    <w:rsid w:val="00AA6414"/>
    <w:rsid w:val="00AA6B79"/>
    <w:rsid w:val="00AB03B3"/>
    <w:rsid w:val="00AB05A0"/>
    <w:rsid w:val="00AB0DD6"/>
    <w:rsid w:val="00AB126F"/>
    <w:rsid w:val="00AB1312"/>
    <w:rsid w:val="00AB179F"/>
    <w:rsid w:val="00AB210D"/>
    <w:rsid w:val="00AB4CFA"/>
    <w:rsid w:val="00AB5225"/>
    <w:rsid w:val="00AB621A"/>
    <w:rsid w:val="00AB65F6"/>
    <w:rsid w:val="00AB704D"/>
    <w:rsid w:val="00AB70A5"/>
    <w:rsid w:val="00AB77B3"/>
    <w:rsid w:val="00AB7A04"/>
    <w:rsid w:val="00AC14AF"/>
    <w:rsid w:val="00AC25B2"/>
    <w:rsid w:val="00AC47B6"/>
    <w:rsid w:val="00AC558B"/>
    <w:rsid w:val="00AC5FEB"/>
    <w:rsid w:val="00AC7AA9"/>
    <w:rsid w:val="00AC7D32"/>
    <w:rsid w:val="00AD0017"/>
    <w:rsid w:val="00AD0343"/>
    <w:rsid w:val="00AD0B8C"/>
    <w:rsid w:val="00AD3712"/>
    <w:rsid w:val="00AD3D71"/>
    <w:rsid w:val="00AD3EA2"/>
    <w:rsid w:val="00AD4070"/>
    <w:rsid w:val="00AD44DC"/>
    <w:rsid w:val="00AD4609"/>
    <w:rsid w:val="00AD5A5C"/>
    <w:rsid w:val="00AE0EF8"/>
    <w:rsid w:val="00AE3218"/>
    <w:rsid w:val="00AE32D9"/>
    <w:rsid w:val="00AE3B1F"/>
    <w:rsid w:val="00AE43C4"/>
    <w:rsid w:val="00AE4454"/>
    <w:rsid w:val="00AE4958"/>
    <w:rsid w:val="00AE4D65"/>
    <w:rsid w:val="00AE52B3"/>
    <w:rsid w:val="00AE58AB"/>
    <w:rsid w:val="00AE7DF5"/>
    <w:rsid w:val="00AF0141"/>
    <w:rsid w:val="00AF18B3"/>
    <w:rsid w:val="00AF25D7"/>
    <w:rsid w:val="00AF3BA9"/>
    <w:rsid w:val="00AF4CCA"/>
    <w:rsid w:val="00AF7B5E"/>
    <w:rsid w:val="00B00935"/>
    <w:rsid w:val="00B00CF6"/>
    <w:rsid w:val="00B012BD"/>
    <w:rsid w:val="00B014E7"/>
    <w:rsid w:val="00B02A7E"/>
    <w:rsid w:val="00B02D50"/>
    <w:rsid w:val="00B036E5"/>
    <w:rsid w:val="00B050BF"/>
    <w:rsid w:val="00B06424"/>
    <w:rsid w:val="00B07C43"/>
    <w:rsid w:val="00B108D2"/>
    <w:rsid w:val="00B10B2A"/>
    <w:rsid w:val="00B115CA"/>
    <w:rsid w:val="00B122B7"/>
    <w:rsid w:val="00B137EA"/>
    <w:rsid w:val="00B13FED"/>
    <w:rsid w:val="00B14152"/>
    <w:rsid w:val="00B14513"/>
    <w:rsid w:val="00B147C9"/>
    <w:rsid w:val="00B15ACB"/>
    <w:rsid w:val="00B1686A"/>
    <w:rsid w:val="00B20FEC"/>
    <w:rsid w:val="00B216C6"/>
    <w:rsid w:val="00B218D2"/>
    <w:rsid w:val="00B21BCE"/>
    <w:rsid w:val="00B221AB"/>
    <w:rsid w:val="00B2223A"/>
    <w:rsid w:val="00B22735"/>
    <w:rsid w:val="00B22ABA"/>
    <w:rsid w:val="00B233A7"/>
    <w:rsid w:val="00B242AF"/>
    <w:rsid w:val="00B24A89"/>
    <w:rsid w:val="00B24DFF"/>
    <w:rsid w:val="00B2614F"/>
    <w:rsid w:val="00B26607"/>
    <w:rsid w:val="00B277C0"/>
    <w:rsid w:val="00B30004"/>
    <w:rsid w:val="00B302AC"/>
    <w:rsid w:val="00B307F5"/>
    <w:rsid w:val="00B318AA"/>
    <w:rsid w:val="00B31CB9"/>
    <w:rsid w:val="00B33C46"/>
    <w:rsid w:val="00B37CD6"/>
    <w:rsid w:val="00B416F4"/>
    <w:rsid w:val="00B41991"/>
    <w:rsid w:val="00B420B0"/>
    <w:rsid w:val="00B42258"/>
    <w:rsid w:val="00B42450"/>
    <w:rsid w:val="00B43343"/>
    <w:rsid w:val="00B4378F"/>
    <w:rsid w:val="00B44107"/>
    <w:rsid w:val="00B45413"/>
    <w:rsid w:val="00B45891"/>
    <w:rsid w:val="00B46449"/>
    <w:rsid w:val="00B465E4"/>
    <w:rsid w:val="00B46BD9"/>
    <w:rsid w:val="00B47A89"/>
    <w:rsid w:val="00B47F99"/>
    <w:rsid w:val="00B50B02"/>
    <w:rsid w:val="00B51CB4"/>
    <w:rsid w:val="00B52945"/>
    <w:rsid w:val="00B52B57"/>
    <w:rsid w:val="00B53341"/>
    <w:rsid w:val="00B533D2"/>
    <w:rsid w:val="00B5357E"/>
    <w:rsid w:val="00B53710"/>
    <w:rsid w:val="00B539D0"/>
    <w:rsid w:val="00B53D89"/>
    <w:rsid w:val="00B56CDE"/>
    <w:rsid w:val="00B5734F"/>
    <w:rsid w:val="00B575F0"/>
    <w:rsid w:val="00B578B5"/>
    <w:rsid w:val="00B6048A"/>
    <w:rsid w:val="00B61262"/>
    <w:rsid w:val="00B612F1"/>
    <w:rsid w:val="00B618A0"/>
    <w:rsid w:val="00B629EE"/>
    <w:rsid w:val="00B62F29"/>
    <w:rsid w:val="00B6426D"/>
    <w:rsid w:val="00B650CF"/>
    <w:rsid w:val="00B661D4"/>
    <w:rsid w:val="00B667F6"/>
    <w:rsid w:val="00B7097C"/>
    <w:rsid w:val="00B70D74"/>
    <w:rsid w:val="00B71032"/>
    <w:rsid w:val="00B716F8"/>
    <w:rsid w:val="00B71E34"/>
    <w:rsid w:val="00B7326F"/>
    <w:rsid w:val="00B762A9"/>
    <w:rsid w:val="00B76AA9"/>
    <w:rsid w:val="00B77BB6"/>
    <w:rsid w:val="00B80917"/>
    <w:rsid w:val="00B81B3B"/>
    <w:rsid w:val="00B8333A"/>
    <w:rsid w:val="00B83403"/>
    <w:rsid w:val="00B8357F"/>
    <w:rsid w:val="00B8443F"/>
    <w:rsid w:val="00B87EE4"/>
    <w:rsid w:val="00B91352"/>
    <w:rsid w:val="00B917E2"/>
    <w:rsid w:val="00B924B7"/>
    <w:rsid w:val="00B924B9"/>
    <w:rsid w:val="00B92BEC"/>
    <w:rsid w:val="00B93D7E"/>
    <w:rsid w:val="00B948B3"/>
    <w:rsid w:val="00B95659"/>
    <w:rsid w:val="00B95BF4"/>
    <w:rsid w:val="00B962C7"/>
    <w:rsid w:val="00B96EA9"/>
    <w:rsid w:val="00B9759F"/>
    <w:rsid w:val="00BA1CF8"/>
    <w:rsid w:val="00BA27AD"/>
    <w:rsid w:val="00BA2A64"/>
    <w:rsid w:val="00BA2FAA"/>
    <w:rsid w:val="00BA3DEF"/>
    <w:rsid w:val="00BA499C"/>
    <w:rsid w:val="00BA5A6A"/>
    <w:rsid w:val="00BB014D"/>
    <w:rsid w:val="00BB1478"/>
    <w:rsid w:val="00BB1830"/>
    <w:rsid w:val="00BB220F"/>
    <w:rsid w:val="00BB4A09"/>
    <w:rsid w:val="00BB5B51"/>
    <w:rsid w:val="00BB7E13"/>
    <w:rsid w:val="00BC06E2"/>
    <w:rsid w:val="00BC0FDA"/>
    <w:rsid w:val="00BC1A1F"/>
    <w:rsid w:val="00BC23A2"/>
    <w:rsid w:val="00BC3538"/>
    <w:rsid w:val="00BC3C3D"/>
    <w:rsid w:val="00BC43EA"/>
    <w:rsid w:val="00BC4CC0"/>
    <w:rsid w:val="00BC509C"/>
    <w:rsid w:val="00BC51EA"/>
    <w:rsid w:val="00BC5F46"/>
    <w:rsid w:val="00BC60F6"/>
    <w:rsid w:val="00BC61E8"/>
    <w:rsid w:val="00BC62F1"/>
    <w:rsid w:val="00BC6F2C"/>
    <w:rsid w:val="00BD0F73"/>
    <w:rsid w:val="00BD313F"/>
    <w:rsid w:val="00BD3615"/>
    <w:rsid w:val="00BD53DE"/>
    <w:rsid w:val="00BD5BEE"/>
    <w:rsid w:val="00BE0B80"/>
    <w:rsid w:val="00BE0C22"/>
    <w:rsid w:val="00BE2565"/>
    <w:rsid w:val="00BE2979"/>
    <w:rsid w:val="00BE2FF1"/>
    <w:rsid w:val="00BE3417"/>
    <w:rsid w:val="00BE37D6"/>
    <w:rsid w:val="00BE3967"/>
    <w:rsid w:val="00BE399F"/>
    <w:rsid w:val="00BE4053"/>
    <w:rsid w:val="00BE45B4"/>
    <w:rsid w:val="00BE4EF1"/>
    <w:rsid w:val="00BE623D"/>
    <w:rsid w:val="00BE66FC"/>
    <w:rsid w:val="00BE7139"/>
    <w:rsid w:val="00BE7826"/>
    <w:rsid w:val="00BF0581"/>
    <w:rsid w:val="00BF0D44"/>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D0C"/>
    <w:rsid w:val="00C12F2F"/>
    <w:rsid w:val="00C13EF7"/>
    <w:rsid w:val="00C17281"/>
    <w:rsid w:val="00C208F9"/>
    <w:rsid w:val="00C20B7F"/>
    <w:rsid w:val="00C23CC1"/>
    <w:rsid w:val="00C23D8A"/>
    <w:rsid w:val="00C23E80"/>
    <w:rsid w:val="00C2463D"/>
    <w:rsid w:val="00C251FE"/>
    <w:rsid w:val="00C26970"/>
    <w:rsid w:val="00C26DAF"/>
    <w:rsid w:val="00C2755A"/>
    <w:rsid w:val="00C278BE"/>
    <w:rsid w:val="00C3055B"/>
    <w:rsid w:val="00C3149C"/>
    <w:rsid w:val="00C315B1"/>
    <w:rsid w:val="00C3210C"/>
    <w:rsid w:val="00C3302E"/>
    <w:rsid w:val="00C33EC6"/>
    <w:rsid w:val="00C35288"/>
    <w:rsid w:val="00C40DA5"/>
    <w:rsid w:val="00C40E1A"/>
    <w:rsid w:val="00C4109D"/>
    <w:rsid w:val="00C4500C"/>
    <w:rsid w:val="00C469CD"/>
    <w:rsid w:val="00C475AC"/>
    <w:rsid w:val="00C5245A"/>
    <w:rsid w:val="00C53170"/>
    <w:rsid w:val="00C536AF"/>
    <w:rsid w:val="00C54135"/>
    <w:rsid w:val="00C54290"/>
    <w:rsid w:val="00C54739"/>
    <w:rsid w:val="00C54C6E"/>
    <w:rsid w:val="00C55250"/>
    <w:rsid w:val="00C55584"/>
    <w:rsid w:val="00C578FA"/>
    <w:rsid w:val="00C6021F"/>
    <w:rsid w:val="00C613C2"/>
    <w:rsid w:val="00C61777"/>
    <w:rsid w:val="00C62CE9"/>
    <w:rsid w:val="00C62FE6"/>
    <w:rsid w:val="00C63C78"/>
    <w:rsid w:val="00C63CB0"/>
    <w:rsid w:val="00C65169"/>
    <w:rsid w:val="00C659FC"/>
    <w:rsid w:val="00C6650A"/>
    <w:rsid w:val="00C66D00"/>
    <w:rsid w:val="00C67517"/>
    <w:rsid w:val="00C67AF0"/>
    <w:rsid w:val="00C67B05"/>
    <w:rsid w:val="00C704F9"/>
    <w:rsid w:val="00C71E43"/>
    <w:rsid w:val="00C72881"/>
    <w:rsid w:val="00C73AB3"/>
    <w:rsid w:val="00C75910"/>
    <w:rsid w:val="00C7696B"/>
    <w:rsid w:val="00C76B08"/>
    <w:rsid w:val="00C7722E"/>
    <w:rsid w:val="00C77DF9"/>
    <w:rsid w:val="00C80904"/>
    <w:rsid w:val="00C814BA"/>
    <w:rsid w:val="00C81682"/>
    <w:rsid w:val="00C82AC6"/>
    <w:rsid w:val="00C849DC"/>
    <w:rsid w:val="00C84BEE"/>
    <w:rsid w:val="00C85093"/>
    <w:rsid w:val="00C867C3"/>
    <w:rsid w:val="00C903D2"/>
    <w:rsid w:val="00C9058B"/>
    <w:rsid w:val="00C93B6F"/>
    <w:rsid w:val="00C94A69"/>
    <w:rsid w:val="00C9576D"/>
    <w:rsid w:val="00C957B6"/>
    <w:rsid w:val="00CA0823"/>
    <w:rsid w:val="00CA467A"/>
    <w:rsid w:val="00CA46D9"/>
    <w:rsid w:val="00CA473C"/>
    <w:rsid w:val="00CA5C85"/>
    <w:rsid w:val="00CA6433"/>
    <w:rsid w:val="00CA6F49"/>
    <w:rsid w:val="00CA752A"/>
    <w:rsid w:val="00CB003D"/>
    <w:rsid w:val="00CB066D"/>
    <w:rsid w:val="00CB0E79"/>
    <w:rsid w:val="00CB110F"/>
    <w:rsid w:val="00CB2335"/>
    <w:rsid w:val="00CB28D1"/>
    <w:rsid w:val="00CB2C90"/>
    <w:rsid w:val="00CB3788"/>
    <w:rsid w:val="00CB4902"/>
    <w:rsid w:val="00CB566F"/>
    <w:rsid w:val="00CB58B3"/>
    <w:rsid w:val="00CB65B0"/>
    <w:rsid w:val="00CB67F0"/>
    <w:rsid w:val="00CB68B5"/>
    <w:rsid w:val="00CB6C72"/>
    <w:rsid w:val="00CC24D5"/>
    <w:rsid w:val="00CC25F6"/>
    <w:rsid w:val="00CC26CB"/>
    <w:rsid w:val="00CC385C"/>
    <w:rsid w:val="00CC44EE"/>
    <w:rsid w:val="00CC479D"/>
    <w:rsid w:val="00CC4990"/>
    <w:rsid w:val="00CC54FD"/>
    <w:rsid w:val="00CC60E8"/>
    <w:rsid w:val="00CC627D"/>
    <w:rsid w:val="00CC6CF9"/>
    <w:rsid w:val="00CC72C5"/>
    <w:rsid w:val="00CC78C4"/>
    <w:rsid w:val="00CD1183"/>
    <w:rsid w:val="00CD13E8"/>
    <w:rsid w:val="00CD2906"/>
    <w:rsid w:val="00CD2E8F"/>
    <w:rsid w:val="00CD4432"/>
    <w:rsid w:val="00CD761E"/>
    <w:rsid w:val="00CD77FE"/>
    <w:rsid w:val="00CE5D57"/>
    <w:rsid w:val="00CE6BED"/>
    <w:rsid w:val="00CF0D0B"/>
    <w:rsid w:val="00CF2EFB"/>
    <w:rsid w:val="00CF42C0"/>
    <w:rsid w:val="00CF50E5"/>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64A"/>
    <w:rsid w:val="00D17CB4"/>
    <w:rsid w:val="00D202CE"/>
    <w:rsid w:val="00D20FE9"/>
    <w:rsid w:val="00D21663"/>
    <w:rsid w:val="00D22742"/>
    <w:rsid w:val="00D235C6"/>
    <w:rsid w:val="00D23FAD"/>
    <w:rsid w:val="00D24163"/>
    <w:rsid w:val="00D24BDB"/>
    <w:rsid w:val="00D25618"/>
    <w:rsid w:val="00D257BB"/>
    <w:rsid w:val="00D25B6D"/>
    <w:rsid w:val="00D25CB9"/>
    <w:rsid w:val="00D270CB"/>
    <w:rsid w:val="00D2732B"/>
    <w:rsid w:val="00D27741"/>
    <w:rsid w:val="00D27D30"/>
    <w:rsid w:val="00D305EC"/>
    <w:rsid w:val="00D30D81"/>
    <w:rsid w:val="00D30FDA"/>
    <w:rsid w:val="00D32A90"/>
    <w:rsid w:val="00D334FE"/>
    <w:rsid w:val="00D3360B"/>
    <w:rsid w:val="00D3479D"/>
    <w:rsid w:val="00D34B16"/>
    <w:rsid w:val="00D358A0"/>
    <w:rsid w:val="00D35B85"/>
    <w:rsid w:val="00D408EA"/>
    <w:rsid w:val="00D421F0"/>
    <w:rsid w:val="00D439F9"/>
    <w:rsid w:val="00D45E85"/>
    <w:rsid w:val="00D4671F"/>
    <w:rsid w:val="00D468AC"/>
    <w:rsid w:val="00D506A7"/>
    <w:rsid w:val="00D5329B"/>
    <w:rsid w:val="00D539C8"/>
    <w:rsid w:val="00D53E60"/>
    <w:rsid w:val="00D56DE3"/>
    <w:rsid w:val="00D570BC"/>
    <w:rsid w:val="00D573EA"/>
    <w:rsid w:val="00D579A6"/>
    <w:rsid w:val="00D60D2B"/>
    <w:rsid w:val="00D61D9E"/>
    <w:rsid w:val="00D6300D"/>
    <w:rsid w:val="00D631D2"/>
    <w:rsid w:val="00D65906"/>
    <w:rsid w:val="00D66DC1"/>
    <w:rsid w:val="00D66EF0"/>
    <w:rsid w:val="00D66F25"/>
    <w:rsid w:val="00D66FC5"/>
    <w:rsid w:val="00D679C2"/>
    <w:rsid w:val="00D720BD"/>
    <w:rsid w:val="00D720F1"/>
    <w:rsid w:val="00D7252F"/>
    <w:rsid w:val="00D72B3F"/>
    <w:rsid w:val="00D74F3C"/>
    <w:rsid w:val="00D76F19"/>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86C5D"/>
    <w:rsid w:val="00D90A72"/>
    <w:rsid w:val="00D90D40"/>
    <w:rsid w:val="00D91111"/>
    <w:rsid w:val="00D917C7"/>
    <w:rsid w:val="00D91CA2"/>
    <w:rsid w:val="00D92719"/>
    <w:rsid w:val="00D92844"/>
    <w:rsid w:val="00D92CB8"/>
    <w:rsid w:val="00D92D7A"/>
    <w:rsid w:val="00D94248"/>
    <w:rsid w:val="00D95300"/>
    <w:rsid w:val="00D95C9B"/>
    <w:rsid w:val="00D95D9F"/>
    <w:rsid w:val="00D962ED"/>
    <w:rsid w:val="00D96631"/>
    <w:rsid w:val="00D96B28"/>
    <w:rsid w:val="00D96D87"/>
    <w:rsid w:val="00DA00FE"/>
    <w:rsid w:val="00DA0D97"/>
    <w:rsid w:val="00DA10B6"/>
    <w:rsid w:val="00DA12F4"/>
    <w:rsid w:val="00DA2B04"/>
    <w:rsid w:val="00DA2F07"/>
    <w:rsid w:val="00DA5DB6"/>
    <w:rsid w:val="00DA5DC0"/>
    <w:rsid w:val="00DA62C1"/>
    <w:rsid w:val="00DA7691"/>
    <w:rsid w:val="00DB0054"/>
    <w:rsid w:val="00DB0C12"/>
    <w:rsid w:val="00DB1D0E"/>
    <w:rsid w:val="00DB2595"/>
    <w:rsid w:val="00DB2F2C"/>
    <w:rsid w:val="00DB3898"/>
    <w:rsid w:val="00DB65C0"/>
    <w:rsid w:val="00DB74B1"/>
    <w:rsid w:val="00DC144A"/>
    <w:rsid w:val="00DC181C"/>
    <w:rsid w:val="00DC2440"/>
    <w:rsid w:val="00DC2A42"/>
    <w:rsid w:val="00DC30F3"/>
    <w:rsid w:val="00DC40C3"/>
    <w:rsid w:val="00DC4278"/>
    <w:rsid w:val="00DC4A83"/>
    <w:rsid w:val="00DC513B"/>
    <w:rsid w:val="00DC5C92"/>
    <w:rsid w:val="00DC6C22"/>
    <w:rsid w:val="00DD1F39"/>
    <w:rsid w:val="00DD2D6E"/>
    <w:rsid w:val="00DD33A0"/>
    <w:rsid w:val="00DD3AC2"/>
    <w:rsid w:val="00DD3C69"/>
    <w:rsid w:val="00DD5C09"/>
    <w:rsid w:val="00DD7653"/>
    <w:rsid w:val="00DD790D"/>
    <w:rsid w:val="00DE0A40"/>
    <w:rsid w:val="00DE1653"/>
    <w:rsid w:val="00DE2D8D"/>
    <w:rsid w:val="00DE6364"/>
    <w:rsid w:val="00DE6929"/>
    <w:rsid w:val="00DE7D7D"/>
    <w:rsid w:val="00DF0D25"/>
    <w:rsid w:val="00DF0E04"/>
    <w:rsid w:val="00DF210C"/>
    <w:rsid w:val="00DF4387"/>
    <w:rsid w:val="00DF4EB5"/>
    <w:rsid w:val="00DF53AF"/>
    <w:rsid w:val="00DF5957"/>
    <w:rsid w:val="00DF655F"/>
    <w:rsid w:val="00DF759D"/>
    <w:rsid w:val="00DF7BAE"/>
    <w:rsid w:val="00E01802"/>
    <w:rsid w:val="00E04F3F"/>
    <w:rsid w:val="00E0546F"/>
    <w:rsid w:val="00E05BA4"/>
    <w:rsid w:val="00E05EE8"/>
    <w:rsid w:val="00E06DA8"/>
    <w:rsid w:val="00E079C3"/>
    <w:rsid w:val="00E07EB2"/>
    <w:rsid w:val="00E10BC8"/>
    <w:rsid w:val="00E12D3B"/>
    <w:rsid w:val="00E13BD4"/>
    <w:rsid w:val="00E13EE0"/>
    <w:rsid w:val="00E15A39"/>
    <w:rsid w:val="00E15DAA"/>
    <w:rsid w:val="00E17FC4"/>
    <w:rsid w:val="00E22C20"/>
    <w:rsid w:val="00E23E08"/>
    <w:rsid w:val="00E23EBF"/>
    <w:rsid w:val="00E24459"/>
    <w:rsid w:val="00E246D4"/>
    <w:rsid w:val="00E25F5E"/>
    <w:rsid w:val="00E2648E"/>
    <w:rsid w:val="00E26F87"/>
    <w:rsid w:val="00E3015C"/>
    <w:rsid w:val="00E3127B"/>
    <w:rsid w:val="00E32B75"/>
    <w:rsid w:val="00E33154"/>
    <w:rsid w:val="00E33BEE"/>
    <w:rsid w:val="00E34719"/>
    <w:rsid w:val="00E34AC2"/>
    <w:rsid w:val="00E372AE"/>
    <w:rsid w:val="00E372F7"/>
    <w:rsid w:val="00E37331"/>
    <w:rsid w:val="00E40217"/>
    <w:rsid w:val="00E40A2D"/>
    <w:rsid w:val="00E42AE6"/>
    <w:rsid w:val="00E43872"/>
    <w:rsid w:val="00E44AE9"/>
    <w:rsid w:val="00E451F3"/>
    <w:rsid w:val="00E473F1"/>
    <w:rsid w:val="00E50005"/>
    <w:rsid w:val="00E5009F"/>
    <w:rsid w:val="00E50306"/>
    <w:rsid w:val="00E50972"/>
    <w:rsid w:val="00E52193"/>
    <w:rsid w:val="00E528E8"/>
    <w:rsid w:val="00E54D53"/>
    <w:rsid w:val="00E554E8"/>
    <w:rsid w:val="00E55991"/>
    <w:rsid w:val="00E57523"/>
    <w:rsid w:val="00E61894"/>
    <w:rsid w:val="00E62214"/>
    <w:rsid w:val="00E6245C"/>
    <w:rsid w:val="00E62C34"/>
    <w:rsid w:val="00E62D90"/>
    <w:rsid w:val="00E63140"/>
    <w:rsid w:val="00E633DC"/>
    <w:rsid w:val="00E64BA0"/>
    <w:rsid w:val="00E655E2"/>
    <w:rsid w:val="00E65CD8"/>
    <w:rsid w:val="00E66603"/>
    <w:rsid w:val="00E711EA"/>
    <w:rsid w:val="00E715D0"/>
    <w:rsid w:val="00E735A9"/>
    <w:rsid w:val="00E735FE"/>
    <w:rsid w:val="00E73ACF"/>
    <w:rsid w:val="00E74ECC"/>
    <w:rsid w:val="00E7515A"/>
    <w:rsid w:val="00E776F0"/>
    <w:rsid w:val="00E80640"/>
    <w:rsid w:val="00E8157E"/>
    <w:rsid w:val="00E815FC"/>
    <w:rsid w:val="00E816FE"/>
    <w:rsid w:val="00E81736"/>
    <w:rsid w:val="00E81ED7"/>
    <w:rsid w:val="00E82586"/>
    <w:rsid w:val="00E826C4"/>
    <w:rsid w:val="00E82F1F"/>
    <w:rsid w:val="00E836D7"/>
    <w:rsid w:val="00E83A20"/>
    <w:rsid w:val="00E84C24"/>
    <w:rsid w:val="00E84D69"/>
    <w:rsid w:val="00E84FB3"/>
    <w:rsid w:val="00E850C3"/>
    <w:rsid w:val="00E85C7C"/>
    <w:rsid w:val="00E86488"/>
    <w:rsid w:val="00E90228"/>
    <w:rsid w:val="00E907F4"/>
    <w:rsid w:val="00E9145C"/>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3653"/>
    <w:rsid w:val="00EB39F0"/>
    <w:rsid w:val="00EB578A"/>
    <w:rsid w:val="00EB6AFD"/>
    <w:rsid w:val="00EB6C7D"/>
    <w:rsid w:val="00EB70E5"/>
    <w:rsid w:val="00EB7C8E"/>
    <w:rsid w:val="00EC02BE"/>
    <w:rsid w:val="00EC146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6DFC"/>
    <w:rsid w:val="00ED6E2D"/>
    <w:rsid w:val="00ED762B"/>
    <w:rsid w:val="00EE067C"/>
    <w:rsid w:val="00EE1275"/>
    <w:rsid w:val="00EE1D7D"/>
    <w:rsid w:val="00EE2031"/>
    <w:rsid w:val="00EE2D3E"/>
    <w:rsid w:val="00EE35DE"/>
    <w:rsid w:val="00EE4924"/>
    <w:rsid w:val="00EE7A5E"/>
    <w:rsid w:val="00EF039F"/>
    <w:rsid w:val="00EF11CE"/>
    <w:rsid w:val="00EF13D7"/>
    <w:rsid w:val="00EF13FE"/>
    <w:rsid w:val="00EF2143"/>
    <w:rsid w:val="00EF3159"/>
    <w:rsid w:val="00EF384D"/>
    <w:rsid w:val="00EF4569"/>
    <w:rsid w:val="00EF4B37"/>
    <w:rsid w:val="00EF4F51"/>
    <w:rsid w:val="00EF6301"/>
    <w:rsid w:val="00EF6960"/>
    <w:rsid w:val="00EF74D6"/>
    <w:rsid w:val="00EF7D4C"/>
    <w:rsid w:val="00F03706"/>
    <w:rsid w:val="00F062AC"/>
    <w:rsid w:val="00F068A0"/>
    <w:rsid w:val="00F0745D"/>
    <w:rsid w:val="00F10C63"/>
    <w:rsid w:val="00F115CA"/>
    <w:rsid w:val="00F121CB"/>
    <w:rsid w:val="00F12787"/>
    <w:rsid w:val="00F152AB"/>
    <w:rsid w:val="00F15BE9"/>
    <w:rsid w:val="00F17101"/>
    <w:rsid w:val="00F175F6"/>
    <w:rsid w:val="00F177DC"/>
    <w:rsid w:val="00F17AC1"/>
    <w:rsid w:val="00F17DF3"/>
    <w:rsid w:val="00F20A25"/>
    <w:rsid w:val="00F20D6E"/>
    <w:rsid w:val="00F21433"/>
    <w:rsid w:val="00F22810"/>
    <w:rsid w:val="00F23521"/>
    <w:rsid w:val="00F2359F"/>
    <w:rsid w:val="00F25573"/>
    <w:rsid w:val="00F25733"/>
    <w:rsid w:val="00F25E05"/>
    <w:rsid w:val="00F26F08"/>
    <w:rsid w:val="00F2710C"/>
    <w:rsid w:val="00F274F9"/>
    <w:rsid w:val="00F314CA"/>
    <w:rsid w:val="00F31F31"/>
    <w:rsid w:val="00F34F34"/>
    <w:rsid w:val="00F35350"/>
    <w:rsid w:val="00F35805"/>
    <w:rsid w:val="00F35D14"/>
    <w:rsid w:val="00F35E37"/>
    <w:rsid w:val="00F36CF6"/>
    <w:rsid w:val="00F37737"/>
    <w:rsid w:val="00F4022D"/>
    <w:rsid w:val="00F40BDA"/>
    <w:rsid w:val="00F419C8"/>
    <w:rsid w:val="00F41C30"/>
    <w:rsid w:val="00F4352C"/>
    <w:rsid w:val="00F435DD"/>
    <w:rsid w:val="00F43806"/>
    <w:rsid w:val="00F44A54"/>
    <w:rsid w:val="00F46DC9"/>
    <w:rsid w:val="00F47051"/>
    <w:rsid w:val="00F47DFA"/>
    <w:rsid w:val="00F5078F"/>
    <w:rsid w:val="00F529FD"/>
    <w:rsid w:val="00F56757"/>
    <w:rsid w:val="00F61830"/>
    <w:rsid w:val="00F61F2B"/>
    <w:rsid w:val="00F632F0"/>
    <w:rsid w:val="00F650C6"/>
    <w:rsid w:val="00F6654F"/>
    <w:rsid w:val="00F670C5"/>
    <w:rsid w:val="00F672F3"/>
    <w:rsid w:val="00F67E52"/>
    <w:rsid w:val="00F717A9"/>
    <w:rsid w:val="00F72893"/>
    <w:rsid w:val="00F72F75"/>
    <w:rsid w:val="00F744CB"/>
    <w:rsid w:val="00F74885"/>
    <w:rsid w:val="00F75D7F"/>
    <w:rsid w:val="00F808C8"/>
    <w:rsid w:val="00F82F71"/>
    <w:rsid w:val="00F8319D"/>
    <w:rsid w:val="00F852AC"/>
    <w:rsid w:val="00F87873"/>
    <w:rsid w:val="00F8797F"/>
    <w:rsid w:val="00F90801"/>
    <w:rsid w:val="00F90CEE"/>
    <w:rsid w:val="00F90FD1"/>
    <w:rsid w:val="00F928A7"/>
    <w:rsid w:val="00F940F7"/>
    <w:rsid w:val="00F94832"/>
    <w:rsid w:val="00F951A8"/>
    <w:rsid w:val="00F973B8"/>
    <w:rsid w:val="00FA074C"/>
    <w:rsid w:val="00FA1715"/>
    <w:rsid w:val="00FA189F"/>
    <w:rsid w:val="00FA33EA"/>
    <w:rsid w:val="00FA3B31"/>
    <w:rsid w:val="00FA4E6A"/>
    <w:rsid w:val="00FA6021"/>
    <w:rsid w:val="00FA6E71"/>
    <w:rsid w:val="00FA7041"/>
    <w:rsid w:val="00FB1AF5"/>
    <w:rsid w:val="00FB1F32"/>
    <w:rsid w:val="00FB3171"/>
    <w:rsid w:val="00FB38C1"/>
    <w:rsid w:val="00FB496B"/>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0C1"/>
    <w:rsid w:val="00FC7C5E"/>
    <w:rsid w:val="00FD0107"/>
    <w:rsid w:val="00FD0552"/>
    <w:rsid w:val="00FD1F7B"/>
    <w:rsid w:val="00FD2A36"/>
    <w:rsid w:val="00FD45B6"/>
    <w:rsid w:val="00FD5B9A"/>
    <w:rsid w:val="00FD5BAB"/>
    <w:rsid w:val="00FD6621"/>
    <w:rsid w:val="00FE058D"/>
    <w:rsid w:val="00FE2FFD"/>
    <w:rsid w:val="00FE369C"/>
    <w:rsid w:val="00FE477F"/>
    <w:rsid w:val="00FE4CEE"/>
    <w:rsid w:val="00FE53AC"/>
    <w:rsid w:val="00FE6F80"/>
    <w:rsid w:val="00FE78F3"/>
    <w:rsid w:val="00FF0141"/>
    <w:rsid w:val="00FF1535"/>
    <w:rsid w:val="00FF309C"/>
    <w:rsid w:val="00FF5CDC"/>
    <w:rsid w:val="00FF6FAA"/>
    <w:rsid w:val="00FF771D"/>
    <w:rsid w:val="00FF77B0"/>
    <w:rsid w:val="011B572A"/>
    <w:rsid w:val="0199620D"/>
    <w:rsid w:val="019A4CB2"/>
    <w:rsid w:val="01A02082"/>
    <w:rsid w:val="01FA47FF"/>
    <w:rsid w:val="02626B48"/>
    <w:rsid w:val="0269220F"/>
    <w:rsid w:val="027516E7"/>
    <w:rsid w:val="02F44BE5"/>
    <w:rsid w:val="035D382E"/>
    <w:rsid w:val="0444365B"/>
    <w:rsid w:val="048D79DD"/>
    <w:rsid w:val="04A337A1"/>
    <w:rsid w:val="04FD2458"/>
    <w:rsid w:val="051E5CD5"/>
    <w:rsid w:val="05355B4E"/>
    <w:rsid w:val="05D71325"/>
    <w:rsid w:val="05EC60FF"/>
    <w:rsid w:val="06041A16"/>
    <w:rsid w:val="064C4D14"/>
    <w:rsid w:val="066D09F5"/>
    <w:rsid w:val="06910CA5"/>
    <w:rsid w:val="06BD404D"/>
    <w:rsid w:val="06DF0D4B"/>
    <w:rsid w:val="06E43836"/>
    <w:rsid w:val="071719AF"/>
    <w:rsid w:val="073A0259"/>
    <w:rsid w:val="079B2D4C"/>
    <w:rsid w:val="07A6693B"/>
    <w:rsid w:val="07BF0A2B"/>
    <w:rsid w:val="07CB09EC"/>
    <w:rsid w:val="07E126B5"/>
    <w:rsid w:val="083F3A0A"/>
    <w:rsid w:val="084F055C"/>
    <w:rsid w:val="092403B3"/>
    <w:rsid w:val="09267857"/>
    <w:rsid w:val="09554725"/>
    <w:rsid w:val="09C515A8"/>
    <w:rsid w:val="09D83C22"/>
    <w:rsid w:val="0A2D5C54"/>
    <w:rsid w:val="0A6B07D1"/>
    <w:rsid w:val="0A79447B"/>
    <w:rsid w:val="0AB93C40"/>
    <w:rsid w:val="0ABF65E6"/>
    <w:rsid w:val="0B4A4E9B"/>
    <w:rsid w:val="0BC41477"/>
    <w:rsid w:val="0C5C7E64"/>
    <w:rsid w:val="0C635644"/>
    <w:rsid w:val="0CB544E8"/>
    <w:rsid w:val="0CBE0CA7"/>
    <w:rsid w:val="0CDB2626"/>
    <w:rsid w:val="0D4A0310"/>
    <w:rsid w:val="0D501F89"/>
    <w:rsid w:val="0D77169E"/>
    <w:rsid w:val="0D7B40A5"/>
    <w:rsid w:val="0DD6610B"/>
    <w:rsid w:val="0DFD0147"/>
    <w:rsid w:val="0E7A375E"/>
    <w:rsid w:val="0ED91C40"/>
    <w:rsid w:val="0EDE7FEF"/>
    <w:rsid w:val="0F260FDA"/>
    <w:rsid w:val="0F3324C6"/>
    <w:rsid w:val="0F4B28A2"/>
    <w:rsid w:val="0F607C6B"/>
    <w:rsid w:val="0F825E34"/>
    <w:rsid w:val="103D40B6"/>
    <w:rsid w:val="10905DD3"/>
    <w:rsid w:val="109B1133"/>
    <w:rsid w:val="10AA5642"/>
    <w:rsid w:val="10B04BDC"/>
    <w:rsid w:val="10C43E75"/>
    <w:rsid w:val="10D70444"/>
    <w:rsid w:val="111F39FD"/>
    <w:rsid w:val="11916893"/>
    <w:rsid w:val="11D5302E"/>
    <w:rsid w:val="12112CD7"/>
    <w:rsid w:val="125D5E2E"/>
    <w:rsid w:val="126A6A92"/>
    <w:rsid w:val="12D15108"/>
    <w:rsid w:val="135B70C7"/>
    <w:rsid w:val="13734D30"/>
    <w:rsid w:val="146707AD"/>
    <w:rsid w:val="147635A2"/>
    <w:rsid w:val="148F59E2"/>
    <w:rsid w:val="14AF24E1"/>
    <w:rsid w:val="14CD410F"/>
    <w:rsid w:val="14D92A17"/>
    <w:rsid w:val="14DB226E"/>
    <w:rsid w:val="14FB1A84"/>
    <w:rsid w:val="15917DB5"/>
    <w:rsid w:val="15D17C86"/>
    <w:rsid w:val="15DB6C2D"/>
    <w:rsid w:val="16173C12"/>
    <w:rsid w:val="1659407E"/>
    <w:rsid w:val="16C641EB"/>
    <w:rsid w:val="17094942"/>
    <w:rsid w:val="170E769A"/>
    <w:rsid w:val="17920497"/>
    <w:rsid w:val="17DF7651"/>
    <w:rsid w:val="182A6BA6"/>
    <w:rsid w:val="1846243E"/>
    <w:rsid w:val="18932150"/>
    <w:rsid w:val="189D5D34"/>
    <w:rsid w:val="18B957E7"/>
    <w:rsid w:val="19526877"/>
    <w:rsid w:val="19550603"/>
    <w:rsid w:val="1989530E"/>
    <w:rsid w:val="19933997"/>
    <w:rsid w:val="19A254E4"/>
    <w:rsid w:val="19B251F7"/>
    <w:rsid w:val="19D723F6"/>
    <w:rsid w:val="1A32674B"/>
    <w:rsid w:val="1A5E4D0F"/>
    <w:rsid w:val="1AA444EA"/>
    <w:rsid w:val="1B166451"/>
    <w:rsid w:val="1B5763C6"/>
    <w:rsid w:val="1BBF5EED"/>
    <w:rsid w:val="1BCF2CF3"/>
    <w:rsid w:val="1C085539"/>
    <w:rsid w:val="1C2D4FF4"/>
    <w:rsid w:val="1C6C5EA1"/>
    <w:rsid w:val="1C737230"/>
    <w:rsid w:val="1C9B5934"/>
    <w:rsid w:val="1C9C0E5D"/>
    <w:rsid w:val="1D2A012C"/>
    <w:rsid w:val="1D2A3BF5"/>
    <w:rsid w:val="1D31356D"/>
    <w:rsid w:val="1D466ABF"/>
    <w:rsid w:val="1D7B600C"/>
    <w:rsid w:val="1DD3548B"/>
    <w:rsid w:val="1DED21D8"/>
    <w:rsid w:val="1E3E2967"/>
    <w:rsid w:val="1E7B3E8C"/>
    <w:rsid w:val="1E7D7EF2"/>
    <w:rsid w:val="1E8B1165"/>
    <w:rsid w:val="1E9F052E"/>
    <w:rsid w:val="1EB661CB"/>
    <w:rsid w:val="1EB910EB"/>
    <w:rsid w:val="1EFB6D55"/>
    <w:rsid w:val="1F0E3DA5"/>
    <w:rsid w:val="1F242A63"/>
    <w:rsid w:val="1F8030CC"/>
    <w:rsid w:val="1FC52681"/>
    <w:rsid w:val="20CE49AC"/>
    <w:rsid w:val="20D02E71"/>
    <w:rsid w:val="20EE455A"/>
    <w:rsid w:val="20F868EE"/>
    <w:rsid w:val="213F4EE8"/>
    <w:rsid w:val="219D6BEB"/>
    <w:rsid w:val="223244A5"/>
    <w:rsid w:val="224D0523"/>
    <w:rsid w:val="229301BB"/>
    <w:rsid w:val="22F4274D"/>
    <w:rsid w:val="22F75C0D"/>
    <w:rsid w:val="23974D52"/>
    <w:rsid w:val="23B05D8F"/>
    <w:rsid w:val="23D527C8"/>
    <w:rsid w:val="24561911"/>
    <w:rsid w:val="24601386"/>
    <w:rsid w:val="246B14B0"/>
    <w:rsid w:val="24912949"/>
    <w:rsid w:val="24E21340"/>
    <w:rsid w:val="25114177"/>
    <w:rsid w:val="25164869"/>
    <w:rsid w:val="255957C0"/>
    <w:rsid w:val="2571069D"/>
    <w:rsid w:val="258301D7"/>
    <w:rsid w:val="25841ECF"/>
    <w:rsid w:val="2584425C"/>
    <w:rsid w:val="25AD3E95"/>
    <w:rsid w:val="260A4BA1"/>
    <w:rsid w:val="26955D4A"/>
    <w:rsid w:val="26CF20B5"/>
    <w:rsid w:val="278B6531"/>
    <w:rsid w:val="28AB3256"/>
    <w:rsid w:val="28BF1D58"/>
    <w:rsid w:val="28CA34AC"/>
    <w:rsid w:val="290F7096"/>
    <w:rsid w:val="29B00012"/>
    <w:rsid w:val="29D137E8"/>
    <w:rsid w:val="2A244EDE"/>
    <w:rsid w:val="2AB225E4"/>
    <w:rsid w:val="2ABC12C1"/>
    <w:rsid w:val="2AF6570F"/>
    <w:rsid w:val="2B0025D7"/>
    <w:rsid w:val="2B1D6A01"/>
    <w:rsid w:val="2BD64EDB"/>
    <w:rsid w:val="2BF1793D"/>
    <w:rsid w:val="2BFB7DF5"/>
    <w:rsid w:val="2C001841"/>
    <w:rsid w:val="2C1C0AC1"/>
    <w:rsid w:val="2C2873B0"/>
    <w:rsid w:val="2C57500D"/>
    <w:rsid w:val="2C8A5A53"/>
    <w:rsid w:val="2CAA1B33"/>
    <w:rsid w:val="2CEE4697"/>
    <w:rsid w:val="2D0E4C93"/>
    <w:rsid w:val="2D1C7470"/>
    <w:rsid w:val="2D1E24F2"/>
    <w:rsid w:val="2D35534D"/>
    <w:rsid w:val="2D5E21DC"/>
    <w:rsid w:val="2DCB614B"/>
    <w:rsid w:val="2DE84B8D"/>
    <w:rsid w:val="2E2D72DE"/>
    <w:rsid w:val="2EFA148A"/>
    <w:rsid w:val="2F3A4412"/>
    <w:rsid w:val="2F8A4A30"/>
    <w:rsid w:val="2FBF0026"/>
    <w:rsid w:val="2FCA7124"/>
    <w:rsid w:val="2FCB7CD8"/>
    <w:rsid w:val="30474804"/>
    <w:rsid w:val="30505D04"/>
    <w:rsid w:val="309E0581"/>
    <w:rsid w:val="311341A5"/>
    <w:rsid w:val="314174A5"/>
    <w:rsid w:val="3149717D"/>
    <w:rsid w:val="31595EE0"/>
    <w:rsid w:val="318B0720"/>
    <w:rsid w:val="3200586F"/>
    <w:rsid w:val="32797781"/>
    <w:rsid w:val="329A02D8"/>
    <w:rsid w:val="32C5141D"/>
    <w:rsid w:val="32E7335D"/>
    <w:rsid w:val="336D0D54"/>
    <w:rsid w:val="33792F26"/>
    <w:rsid w:val="33955886"/>
    <w:rsid w:val="33F1640E"/>
    <w:rsid w:val="3456065E"/>
    <w:rsid w:val="34583E67"/>
    <w:rsid w:val="34B06B97"/>
    <w:rsid w:val="34D01CA3"/>
    <w:rsid w:val="34D77A27"/>
    <w:rsid w:val="34E8144B"/>
    <w:rsid w:val="351444F6"/>
    <w:rsid w:val="351729F7"/>
    <w:rsid w:val="355B57E5"/>
    <w:rsid w:val="358409E6"/>
    <w:rsid w:val="35C91DF7"/>
    <w:rsid w:val="36D32F6C"/>
    <w:rsid w:val="3700570C"/>
    <w:rsid w:val="370E7837"/>
    <w:rsid w:val="37BB0224"/>
    <w:rsid w:val="38711F6F"/>
    <w:rsid w:val="38A0633D"/>
    <w:rsid w:val="38BA79CC"/>
    <w:rsid w:val="38BD001A"/>
    <w:rsid w:val="38C26B8B"/>
    <w:rsid w:val="393671C3"/>
    <w:rsid w:val="39442DE3"/>
    <w:rsid w:val="39726D2C"/>
    <w:rsid w:val="39822409"/>
    <w:rsid w:val="3A0374A0"/>
    <w:rsid w:val="3A7B372C"/>
    <w:rsid w:val="3AA56BF4"/>
    <w:rsid w:val="3AAE222A"/>
    <w:rsid w:val="3AF90F4C"/>
    <w:rsid w:val="3B250A01"/>
    <w:rsid w:val="3B3B6D13"/>
    <w:rsid w:val="3BB76F9F"/>
    <w:rsid w:val="3BD37E03"/>
    <w:rsid w:val="3C364DBC"/>
    <w:rsid w:val="3C383C48"/>
    <w:rsid w:val="3CBA72E3"/>
    <w:rsid w:val="3D174D89"/>
    <w:rsid w:val="3D1F191A"/>
    <w:rsid w:val="3DB03FCF"/>
    <w:rsid w:val="3DD96462"/>
    <w:rsid w:val="3E742885"/>
    <w:rsid w:val="3E815041"/>
    <w:rsid w:val="3EBB73F9"/>
    <w:rsid w:val="3EC81291"/>
    <w:rsid w:val="3ECB2D10"/>
    <w:rsid w:val="3ED0771B"/>
    <w:rsid w:val="3EF36B45"/>
    <w:rsid w:val="3F3A7F69"/>
    <w:rsid w:val="3F4B0637"/>
    <w:rsid w:val="40240EFB"/>
    <w:rsid w:val="409C09C8"/>
    <w:rsid w:val="40BC6187"/>
    <w:rsid w:val="40ED38A4"/>
    <w:rsid w:val="412C782A"/>
    <w:rsid w:val="41512E8E"/>
    <w:rsid w:val="419C2606"/>
    <w:rsid w:val="41A57B46"/>
    <w:rsid w:val="424A5620"/>
    <w:rsid w:val="427317CE"/>
    <w:rsid w:val="42DC72F3"/>
    <w:rsid w:val="43204707"/>
    <w:rsid w:val="432E56D1"/>
    <w:rsid w:val="43454ABD"/>
    <w:rsid w:val="440B6995"/>
    <w:rsid w:val="441113F2"/>
    <w:rsid w:val="44612464"/>
    <w:rsid w:val="446E7845"/>
    <w:rsid w:val="450B5110"/>
    <w:rsid w:val="457136DD"/>
    <w:rsid w:val="464672D0"/>
    <w:rsid w:val="46E13E64"/>
    <w:rsid w:val="46FF3658"/>
    <w:rsid w:val="47C83248"/>
    <w:rsid w:val="47FB2F65"/>
    <w:rsid w:val="48492B5F"/>
    <w:rsid w:val="491F1A22"/>
    <w:rsid w:val="494A6E4D"/>
    <w:rsid w:val="49AA2938"/>
    <w:rsid w:val="4A1110EB"/>
    <w:rsid w:val="4A3D2C72"/>
    <w:rsid w:val="4A4112FC"/>
    <w:rsid w:val="4A7E29A5"/>
    <w:rsid w:val="4AD35E1A"/>
    <w:rsid w:val="4AF13892"/>
    <w:rsid w:val="4B063C53"/>
    <w:rsid w:val="4B3D2633"/>
    <w:rsid w:val="4B705373"/>
    <w:rsid w:val="4B781B3A"/>
    <w:rsid w:val="4B964554"/>
    <w:rsid w:val="4BA27124"/>
    <w:rsid w:val="4BE66665"/>
    <w:rsid w:val="4BE763FE"/>
    <w:rsid w:val="4C371890"/>
    <w:rsid w:val="4C463C47"/>
    <w:rsid w:val="4C5B71DB"/>
    <w:rsid w:val="4CC4755B"/>
    <w:rsid w:val="4CD61F5B"/>
    <w:rsid w:val="4CD92CE3"/>
    <w:rsid w:val="4D7E415B"/>
    <w:rsid w:val="4D9E5018"/>
    <w:rsid w:val="4DB41848"/>
    <w:rsid w:val="4DBA260C"/>
    <w:rsid w:val="4E1315AB"/>
    <w:rsid w:val="4E1A69AF"/>
    <w:rsid w:val="4FDC2367"/>
    <w:rsid w:val="4FF17ACC"/>
    <w:rsid w:val="503B275E"/>
    <w:rsid w:val="503E1E40"/>
    <w:rsid w:val="50644F35"/>
    <w:rsid w:val="518A6447"/>
    <w:rsid w:val="51A11B6E"/>
    <w:rsid w:val="51A727CC"/>
    <w:rsid w:val="51C3520F"/>
    <w:rsid w:val="5221002A"/>
    <w:rsid w:val="52217969"/>
    <w:rsid w:val="523A566C"/>
    <w:rsid w:val="52451765"/>
    <w:rsid w:val="52816A24"/>
    <w:rsid w:val="52C5363A"/>
    <w:rsid w:val="53097AAB"/>
    <w:rsid w:val="533A4166"/>
    <w:rsid w:val="53524390"/>
    <w:rsid w:val="5369290D"/>
    <w:rsid w:val="536F3B1E"/>
    <w:rsid w:val="537258BB"/>
    <w:rsid w:val="53804427"/>
    <w:rsid w:val="53DF59D4"/>
    <w:rsid w:val="53FF6B98"/>
    <w:rsid w:val="54602C2D"/>
    <w:rsid w:val="549119BD"/>
    <w:rsid w:val="54B106A5"/>
    <w:rsid w:val="551027E8"/>
    <w:rsid w:val="55120D38"/>
    <w:rsid w:val="5556750C"/>
    <w:rsid w:val="55760C1C"/>
    <w:rsid w:val="55C05036"/>
    <w:rsid w:val="55D2623F"/>
    <w:rsid w:val="55E04670"/>
    <w:rsid w:val="55FE5F58"/>
    <w:rsid w:val="561830DF"/>
    <w:rsid w:val="56602607"/>
    <w:rsid w:val="567A6E1F"/>
    <w:rsid w:val="5683022C"/>
    <w:rsid w:val="56B4410E"/>
    <w:rsid w:val="575A52BA"/>
    <w:rsid w:val="57604F6B"/>
    <w:rsid w:val="57A5692F"/>
    <w:rsid w:val="57AE55EA"/>
    <w:rsid w:val="57C8441F"/>
    <w:rsid w:val="57E20BA8"/>
    <w:rsid w:val="582726A1"/>
    <w:rsid w:val="588D5CF0"/>
    <w:rsid w:val="58EC0971"/>
    <w:rsid w:val="59710078"/>
    <w:rsid w:val="59FF33A9"/>
    <w:rsid w:val="5A1C17BD"/>
    <w:rsid w:val="5A3D43FE"/>
    <w:rsid w:val="5A9976A4"/>
    <w:rsid w:val="5AB468BB"/>
    <w:rsid w:val="5AC715D3"/>
    <w:rsid w:val="5AFF3FB2"/>
    <w:rsid w:val="5C0F1964"/>
    <w:rsid w:val="5C6F1F28"/>
    <w:rsid w:val="5C6F5B60"/>
    <w:rsid w:val="5C89382A"/>
    <w:rsid w:val="5CD51FB1"/>
    <w:rsid w:val="5D131779"/>
    <w:rsid w:val="5DCE4506"/>
    <w:rsid w:val="5E552FD5"/>
    <w:rsid w:val="5ED209B4"/>
    <w:rsid w:val="5EDA5A11"/>
    <w:rsid w:val="5EDE3A83"/>
    <w:rsid w:val="5F1141BF"/>
    <w:rsid w:val="5F142BF0"/>
    <w:rsid w:val="5F1B51A6"/>
    <w:rsid w:val="5F3C4C84"/>
    <w:rsid w:val="60181D86"/>
    <w:rsid w:val="60696422"/>
    <w:rsid w:val="60AE4B62"/>
    <w:rsid w:val="611F4C04"/>
    <w:rsid w:val="6123706E"/>
    <w:rsid w:val="613D1E9E"/>
    <w:rsid w:val="614D4740"/>
    <w:rsid w:val="61930DA7"/>
    <w:rsid w:val="61D42C79"/>
    <w:rsid w:val="61DA2E3E"/>
    <w:rsid w:val="620D2C42"/>
    <w:rsid w:val="6235591B"/>
    <w:rsid w:val="62886432"/>
    <w:rsid w:val="629C4DF2"/>
    <w:rsid w:val="62A71B28"/>
    <w:rsid w:val="62A75C9E"/>
    <w:rsid w:val="638234EB"/>
    <w:rsid w:val="63F0010D"/>
    <w:rsid w:val="641F50FB"/>
    <w:rsid w:val="644A1BF1"/>
    <w:rsid w:val="648038B0"/>
    <w:rsid w:val="64BA7A53"/>
    <w:rsid w:val="650F1BEE"/>
    <w:rsid w:val="65567AD8"/>
    <w:rsid w:val="6562503C"/>
    <w:rsid w:val="65826A79"/>
    <w:rsid w:val="65EC60D1"/>
    <w:rsid w:val="65F95BFB"/>
    <w:rsid w:val="660C59AD"/>
    <w:rsid w:val="669C24AC"/>
    <w:rsid w:val="66C63977"/>
    <w:rsid w:val="66CA1CB1"/>
    <w:rsid w:val="67BF21BC"/>
    <w:rsid w:val="67C27CF0"/>
    <w:rsid w:val="68A76AB7"/>
    <w:rsid w:val="690E6B6F"/>
    <w:rsid w:val="69635503"/>
    <w:rsid w:val="697966D2"/>
    <w:rsid w:val="69972200"/>
    <w:rsid w:val="6A384D84"/>
    <w:rsid w:val="6A4009F3"/>
    <w:rsid w:val="6A4E7F61"/>
    <w:rsid w:val="6A940180"/>
    <w:rsid w:val="6AB27C07"/>
    <w:rsid w:val="6ABA1153"/>
    <w:rsid w:val="6B0108AD"/>
    <w:rsid w:val="6B04316B"/>
    <w:rsid w:val="6B18029F"/>
    <w:rsid w:val="6B1940CB"/>
    <w:rsid w:val="6B4A0F65"/>
    <w:rsid w:val="6B4E4E85"/>
    <w:rsid w:val="6B791415"/>
    <w:rsid w:val="6C040369"/>
    <w:rsid w:val="6C350B1F"/>
    <w:rsid w:val="6C5E2EE5"/>
    <w:rsid w:val="6CA44F9E"/>
    <w:rsid w:val="6D1A6367"/>
    <w:rsid w:val="6D51581F"/>
    <w:rsid w:val="6D775957"/>
    <w:rsid w:val="6DB909B8"/>
    <w:rsid w:val="6DC9002B"/>
    <w:rsid w:val="6DCE447E"/>
    <w:rsid w:val="6DF93AB7"/>
    <w:rsid w:val="6E225C58"/>
    <w:rsid w:val="6E8E4997"/>
    <w:rsid w:val="6E944536"/>
    <w:rsid w:val="6EBA0E66"/>
    <w:rsid w:val="6ED36100"/>
    <w:rsid w:val="6EDC6697"/>
    <w:rsid w:val="6F211ACA"/>
    <w:rsid w:val="6FC509BB"/>
    <w:rsid w:val="7011754A"/>
    <w:rsid w:val="705166F3"/>
    <w:rsid w:val="70516C3A"/>
    <w:rsid w:val="70564144"/>
    <w:rsid w:val="706C51D4"/>
    <w:rsid w:val="708E0A1E"/>
    <w:rsid w:val="70E11C77"/>
    <w:rsid w:val="71B26913"/>
    <w:rsid w:val="71C31C65"/>
    <w:rsid w:val="72B72559"/>
    <w:rsid w:val="72E65600"/>
    <w:rsid w:val="72EF462C"/>
    <w:rsid w:val="734C1D0F"/>
    <w:rsid w:val="73597617"/>
    <w:rsid w:val="738D4BEB"/>
    <w:rsid w:val="73E04711"/>
    <w:rsid w:val="743020BE"/>
    <w:rsid w:val="7450542B"/>
    <w:rsid w:val="745555ED"/>
    <w:rsid w:val="748E75A3"/>
    <w:rsid w:val="74A04788"/>
    <w:rsid w:val="74C7585F"/>
    <w:rsid w:val="75287D22"/>
    <w:rsid w:val="759B7FBA"/>
    <w:rsid w:val="75A02A57"/>
    <w:rsid w:val="75E471A1"/>
    <w:rsid w:val="75E90BC1"/>
    <w:rsid w:val="76116A13"/>
    <w:rsid w:val="76197A00"/>
    <w:rsid w:val="763B1ECB"/>
    <w:rsid w:val="76647254"/>
    <w:rsid w:val="76712F0C"/>
    <w:rsid w:val="768A331D"/>
    <w:rsid w:val="76E3368E"/>
    <w:rsid w:val="77057079"/>
    <w:rsid w:val="776B2153"/>
    <w:rsid w:val="77CC6DB9"/>
    <w:rsid w:val="78471162"/>
    <w:rsid w:val="785250C1"/>
    <w:rsid w:val="78E80420"/>
    <w:rsid w:val="799A251B"/>
    <w:rsid w:val="799F572C"/>
    <w:rsid w:val="79DF0BD6"/>
    <w:rsid w:val="79EB0468"/>
    <w:rsid w:val="7A0F6CC1"/>
    <w:rsid w:val="7A4A6B12"/>
    <w:rsid w:val="7B6A22D9"/>
    <w:rsid w:val="7B6B04D4"/>
    <w:rsid w:val="7BF061B4"/>
    <w:rsid w:val="7BF567D9"/>
    <w:rsid w:val="7C4E77CA"/>
    <w:rsid w:val="7C5424EB"/>
    <w:rsid w:val="7C6D6A69"/>
    <w:rsid w:val="7C831B79"/>
    <w:rsid w:val="7C9E2682"/>
    <w:rsid w:val="7D344D95"/>
    <w:rsid w:val="7D3B25C7"/>
    <w:rsid w:val="7DD6735D"/>
    <w:rsid w:val="7E8B72AB"/>
    <w:rsid w:val="7E932640"/>
    <w:rsid w:val="7F1C3DA0"/>
    <w:rsid w:val="7F6B7807"/>
    <w:rsid w:val="7F6C2F0C"/>
    <w:rsid w:val="7FD83530"/>
    <w:rsid w:val="7FDF23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link w:val="53"/>
    <w:qFormat/>
    <w:uiPriority w:val="0"/>
    <w:pPr>
      <w:keepNext/>
      <w:jc w:val="center"/>
      <w:outlineLvl w:val="0"/>
    </w:pPr>
    <w:rPr>
      <w:b/>
      <w:bCs/>
      <w:sz w:val="24"/>
      <w:szCs w:val="20"/>
    </w:rPr>
  </w:style>
  <w:style w:type="paragraph" w:styleId="4">
    <w:name w:val="heading 2"/>
    <w:basedOn w:val="1"/>
    <w:next w:val="1"/>
    <w:link w:val="51"/>
    <w:qFormat/>
    <w:uiPriority w:val="0"/>
    <w:pPr>
      <w:keepNext/>
      <w:keepLines/>
      <w:spacing w:line="360" w:lineRule="auto"/>
      <w:outlineLvl w:val="1"/>
    </w:pPr>
    <w:rPr>
      <w:rFonts w:ascii="Arial" w:hAnsi="Arial"/>
      <w:b/>
      <w:bCs/>
      <w:sz w:val="24"/>
      <w:szCs w:val="32"/>
    </w:rPr>
  </w:style>
  <w:style w:type="paragraph" w:styleId="5">
    <w:name w:val="heading 3"/>
    <w:basedOn w:val="1"/>
    <w:next w:val="1"/>
    <w:link w:val="54"/>
    <w:qFormat/>
    <w:uiPriority w:val="0"/>
    <w:pPr>
      <w:keepNext/>
      <w:keepLines/>
      <w:spacing w:before="260" w:after="260" w:line="416" w:lineRule="auto"/>
      <w:outlineLvl w:val="2"/>
    </w:pPr>
    <w:rPr>
      <w:b/>
      <w:bCs/>
      <w:sz w:val="32"/>
      <w:szCs w:val="32"/>
    </w:rPr>
  </w:style>
  <w:style w:type="paragraph" w:styleId="6">
    <w:name w:val="heading 4"/>
    <w:basedOn w:val="1"/>
    <w:next w:val="1"/>
    <w:link w:val="55"/>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6"/>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8">
    <w:name w:val="heading 6"/>
    <w:basedOn w:val="1"/>
    <w:next w:val="1"/>
    <w:link w:val="57"/>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9">
    <w:name w:val="heading 7"/>
    <w:basedOn w:val="1"/>
    <w:next w:val="1"/>
    <w:link w:val="58"/>
    <w:qFormat/>
    <w:uiPriority w:val="0"/>
    <w:pPr>
      <w:keepNext/>
      <w:keepLines/>
      <w:adjustRightInd w:val="0"/>
      <w:spacing w:before="240" w:after="64" w:line="320" w:lineRule="atLeast"/>
      <w:jc w:val="left"/>
      <w:textAlignment w:val="baseline"/>
      <w:outlineLvl w:val="6"/>
    </w:pPr>
    <w:rPr>
      <w:b/>
      <w:bCs/>
      <w:kern w:val="0"/>
      <w:sz w:val="24"/>
    </w:rPr>
  </w:style>
  <w:style w:type="paragraph" w:styleId="10">
    <w:name w:val="heading 8"/>
    <w:basedOn w:val="1"/>
    <w:next w:val="1"/>
    <w:link w:val="59"/>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60"/>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customStyle="1" w:styleId="3">
    <w:name w:val="Body text|1"/>
    <w:basedOn w:val="1"/>
    <w:qFormat/>
    <w:uiPriority w:val="0"/>
    <w:pPr>
      <w:spacing w:line="389" w:lineRule="auto"/>
      <w:ind w:firstLine="400"/>
    </w:pPr>
    <w:rPr>
      <w:rFonts w:ascii="宋体" w:hAnsi="宋体" w:eastAsia="宋体" w:cs="宋体"/>
      <w:sz w:val="30"/>
      <w:szCs w:val="30"/>
      <w:lang w:val="zh-TW" w:eastAsia="zh-TW" w:bidi="zh-TW"/>
    </w:rPr>
  </w:style>
  <w:style w:type="paragraph" w:styleId="12">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3">
    <w:name w:val="Normal Indent"/>
    <w:basedOn w:val="1"/>
    <w:qFormat/>
    <w:uiPriority w:val="0"/>
    <w:pPr>
      <w:widowControl/>
      <w:ind w:firstLine="420"/>
      <w:jc w:val="left"/>
    </w:pPr>
    <w:rPr>
      <w:kern w:val="0"/>
      <w:sz w:val="20"/>
      <w:szCs w:val="20"/>
    </w:rPr>
  </w:style>
  <w:style w:type="paragraph" w:styleId="14">
    <w:name w:val="Document Map"/>
    <w:basedOn w:val="1"/>
    <w:link w:val="84"/>
    <w:semiHidden/>
    <w:qFormat/>
    <w:uiPriority w:val="0"/>
    <w:pPr>
      <w:shd w:val="clear" w:color="auto" w:fill="000080"/>
    </w:pPr>
  </w:style>
  <w:style w:type="paragraph" w:styleId="15">
    <w:name w:val="annotation text"/>
    <w:basedOn w:val="1"/>
    <w:link w:val="68"/>
    <w:semiHidden/>
    <w:qFormat/>
    <w:uiPriority w:val="0"/>
    <w:pPr>
      <w:jc w:val="left"/>
    </w:pPr>
  </w:style>
  <w:style w:type="paragraph" w:styleId="16">
    <w:name w:val="Salutation"/>
    <w:basedOn w:val="1"/>
    <w:next w:val="1"/>
    <w:link w:val="73"/>
    <w:qFormat/>
    <w:uiPriority w:val="0"/>
    <w:rPr>
      <w:rFonts w:ascii="仿宋_GB2312" w:eastAsia="仿宋_GB2312"/>
      <w:sz w:val="24"/>
    </w:rPr>
  </w:style>
  <w:style w:type="paragraph" w:styleId="17">
    <w:name w:val="Body Text"/>
    <w:basedOn w:val="1"/>
    <w:next w:val="1"/>
    <w:link w:val="62"/>
    <w:qFormat/>
    <w:uiPriority w:val="0"/>
    <w:pPr>
      <w:spacing w:after="120"/>
    </w:pPr>
  </w:style>
  <w:style w:type="paragraph" w:styleId="18">
    <w:name w:val="Body Text Indent"/>
    <w:basedOn w:val="1"/>
    <w:link w:val="65"/>
    <w:qFormat/>
    <w:uiPriority w:val="0"/>
    <w:pPr>
      <w:spacing w:after="120"/>
      <w:ind w:left="420" w:leftChars="200"/>
    </w:pPr>
  </w:style>
  <w:style w:type="paragraph" w:styleId="19">
    <w:name w:val="Block Text"/>
    <w:basedOn w:val="1"/>
    <w:qFormat/>
    <w:uiPriority w:val="0"/>
    <w:pPr>
      <w:ind w:left="1171" w:right="91" w:hanging="1080"/>
    </w:pPr>
    <w:rPr>
      <w:rFonts w:eastAsia="楷体_GB2312"/>
      <w:szCs w:val="20"/>
    </w:rPr>
  </w:style>
  <w:style w:type="paragraph" w:styleId="20">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2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22">
    <w:name w:val="Plain Text"/>
    <w:basedOn w:val="1"/>
    <w:link w:val="67"/>
    <w:qFormat/>
    <w:uiPriority w:val="0"/>
    <w:rPr>
      <w:rFonts w:ascii="宋体" w:hAnsi="Courier New" w:cs="Courier New"/>
      <w:szCs w:val="21"/>
    </w:rPr>
  </w:style>
  <w:style w:type="paragraph" w:styleId="23">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4">
    <w:name w:val="Date"/>
    <w:basedOn w:val="1"/>
    <w:next w:val="1"/>
    <w:link w:val="78"/>
    <w:qFormat/>
    <w:uiPriority w:val="0"/>
    <w:rPr>
      <w:sz w:val="24"/>
      <w:szCs w:val="20"/>
    </w:rPr>
  </w:style>
  <w:style w:type="paragraph" w:styleId="25">
    <w:name w:val="Body Text Indent 2"/>
    <w:basedOn w:val="1"/>
    <w:link w:val="75"/>
    <w:qFormat/>
    <w:uiPriority w:val="0"/>
    <w:pPr>
      <w:spacing w:after="120" w:line="480" w:lineRule="auto"/>
      <w:ind w:left="420" w:leftChars="200"/>
    </w:pPr>
  </w:style>
  <w:style w:type="paragraph" w:styleId="26">
    <w:name w:val="Balloon Text"/>
    <w:basedOn w:val="1"/>
    <w:link w:val="92"/>
    <w:qFormat/>
    <w:uiPriority w:val="0"/>
    <w:rPr>
      <w:sz w:val="18"/>
      <w:szCs w:val="18"/>
    </w:rPr>
  </w:style>
  <w:style w:type="paragraph" w:styleId="27">
    <w:name w:val="footer"/>
    <w:basedOn w:val="1"/>
    <w:link w:val="63"/>
    <w:qFormat/>
    <w:uiPriority w:val="99"/>
    <w:pPr>
      <w:tabs>
        <w:tab w:val="center" w:pos="4153"/>
        <w:tab w:val="right" w:pos="8306"/>
      </w:tabs>
      <w:snapToGrid w:val="0"/>
      <w:jc w:val="left"/>
    </w:pPr>
    <w:rPr>
      <w:sz w:val="18"/>
      <w:szCs w:val="18"/>
    </w:rPr>
  </w:style>
  <w:style w:type="paragraph" w:styleId="28">
    <w:name w:val="header"/>
    <w:basedOn w:val="1"/>
    <w:link w:val="64"/>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pPr>
      <w:spacing w:line="360" w:lineRule="auto"/>
    </w:pPr>
    <w:rPr>
      <w:rFonts w:asciiTheme="minorEastAsia" w:hAnsiTheme="minorEastAsia" w:eastAsiaTheme="minorEastAsia"/>
      <w:b/>
      <w:sz w:val="24"/>
      <w:szCs w:val="21"/>
    </w:rPr>
  </w:style>
  <w:style w:type="paragraph" w:styleId="30">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1">
    <w:name w:val="toc 6"/>
    <w:basedOn w:val="1"/>
    <w:next w:val="1"/>
    <w:qFormat/>
    <w:uiPriority w:val="39"/>
    <w:pPr>
      <w:ind w:left="2100"/>
    </w:pPr>
    <w:rPr>
      <w:szCs w:val="20"/>
    </w:rPr>
  </w:style>
  <w:style w:type="paragraph" w:styleId="32">
    <w:name w:val="Body Text Indent 3"/>
    <w:basedOn w:val="1"/>
    <w:link w:val="77"/>
    <w:qFormat/>
    <w:uiPriority w:val="0"/>
    <w:pPr>
      <w:spacing w:after="120"/>
      <w:ind w:left="420" w:leftChars="200"/>
    </w:pPr>
    <w:rPr>
      <w:sz w:val="16"/>
      <w:szCs w:val="16"/>
    </w:rPr>
  </w:style>
  <w:style w:type="paragraph" w:styleId="33">
    <w:name w:val="toc 2"/>
    <w:basedOn w:val="1"/>
    <w:next w:val="1"/>
    <w:unhideWhenUsed/>
    <w:qFormat/>
    <w:uiPriority w:val="39"/>
    <w:pPr>
      <w:spacing w:line="360" w:lineRule="auto"/>
      <w:ind w:left="200" w:leftChars="200"/>
    </w:pPr>
    <w:rPr>
      <w:rFonts w:eastAsiaTheme="majorEastAsia"/>
      <w:b/>
    </w:rPr>
  </w:style>
  <w:style w:type="paragraph" w:styleId="34">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5">
    <w:name w:val="Body Text 2"/>
    <w:basedOn w:val="1"/>
    <w:link w:val="74"/>
    <w:qFormat/>
    <w:uiPriority w:val="0"/>
    <w:pPr>
      <w:spacing w:after="120" w:line="480" w:lineRule="auto"/>
    </w:pPr>
  </w:style>
  <w:style w:type="paragraph" w:styleId="36">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qFormat/>
    <w:uiPriority w:val="0"/>
    <w:pPr>
      <w:spacing w:line="220" w:lineRule="exact"/>
      <w:jc w:val="center"/>
    </w:pPr>
    <w:rPr>
      <w:rFonts w:ascii="仿宋_GB2312" w:eastAsia="仿宋_GB2312"/>
      <w:szCs w:val="20"/>
    </w:rPr>
  </w:style>
  <w:style w:type="paragraph" w:styleId="39">
    <w:name w:val="Title"/>
    <w:basedOn w:val="1"/>
    <w:link w:val="109"/>
    <w:qFormat/>
    <w:uiPriority w:val="0"/>
    <w:pPr>
      <w:jc w:val="center"/>
      <w:outlineLvl w:val="0"/>
    </w:pPr>
    <w:rPr>
      <w:rFonts w:asciiTheme="minorHAnsi" w:hAnsiTheme="minorHAnsi" w:eastAsiaTheme="minorEastAsia" w:cstheme="minorBidi"/>
      <w:b/>
      <w:sz w:val="32"/>
      <w:szCs w:val="22"/>
    </w:rPr>
  </w:style>
  <w:style w:type="paragraph" w:styleId="40">
    <w:name w:val="annotation subject"/>
    <w:basedOn w:val="15"/>
    <w:next w:val="15"/>
    <w:link w:val="91"/>
    <w:qFormat/>
    <w:uiPriority w:val="0"/>
    <w:rPr>
      <w:b/>
      <w:bCs/>
    </w:rPr>
  </w:style>
  <w:style w:type="paragraph" w:styleId="41">
    <w:name w:val="Body Text First Indent"/>
    <w:basedOn w:val="17"/>
    <w:semiHidden/>
    <w:qFormat/>
    <w:uiPriority w:val="99"/>
    <w:pPr>
      <w:ind w:firstLine="420" w:firstLineChars="100"/>
    </w:pPr>
  </w:style>
  <w:style w:type="paragraph" w:styleId="42">
    <w:name w:val="Body Text First Indent 2"/>
    <w:basedOn w:val="18"/>
    <w:unhideWhenUsed/>
    <w:qFormat/>
    <w:uiPriority w:val="99"/>
    <w:pPr>
      <w:ind w:firstLine="420" w:firstLineChars="2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6">
    <w:name w:val="Strong"/>
    <w:basedOn w:val="45"/>
    <w:qFormat/>
    <w:uiPriority w:val="0"/>
    <w:rPr>
      <w:b/>
      <w:bCs/>
    </w:rPr>
  </w:style>
  <w:style w:type="character" w:styleId="47">
    <w:name w:val="page number"/>
    <w:basedOn w:val="45"/>
    <w:qFormat/>
    <w:uiPriority w:val="0"/>
  </w:style>
  <w:style w:type="character" w:styleId="48">
    <w:name w:val="FollowedHyperlink"/>
    <w:qFormat/>
    <w:uiPriority w:val="0"/>
    <w:rPr>
      <w:color w:val="800080"/>
      <w:u w:val="single"/>
    </w:rPr>
  </w:style>
  <w:style w:type="character" w:styleId="49">
    <w:name w:val="Hyperlink"/>
    <w:qFormat/>
    <w:uiPriority w:val="99"/>
    <w:rPr>
      <w:color w:val="136EC2"/>
      <w:u w:val="single"/>
    </w:rPr>
  </w:style>
  <w:style w:type="character" w:styleId="50">
    <w:name w:val="annotation reference"/>
    <w:qFormat/>
    <w:uiPriority w:val="0"/>
    <w:rPr>
      <w:sz w:val="21"/>
      <w:szCs w:val="21"/>
    </w:rPr>
  </w:style>
  <w:style w:type="character" w:customStyle="1" w:styleId="51">
    <w:name w:val="标题 2 Char"/>
    <w:basedOn w:val="45"/>
    <w:link w:val="4"/>
    <w:qFormat/>
    <w:uiPriority w:val="0"/>
    <w:rPr>
      <w:rFonts w:ascii="Arial" w:hAnsi="Arial" w:eastAsia="宋体" w:cs="Times New Roman"/>
      <w:b/>
      <w:bCs/>
      <w:sz w:val="24"/>
      <w:szCs w:val="32"/>
    </w:rPr>
  </w:style>
  <w:style w:type="paragraph" w:customStyle="1" w:styleId="52">
    <w:name w:val="列出段落1"/>
    <w:basedOn w:val="1"/>
    <w:qFormat/>
    <w:uiPriority w:val="0"/>
    <w:pPr>
      <w:ind w:firstLine="420" w:firstLineChars="200"/>
    </w:pPr>
    <w:rPr>
      <w:szCs w:val="21"/>
    </w:rPr>
  </w:style>
  <w:style w:type="character" w:customStyle="1" w:styleId="53">
    <w:name w:val="标题 1 Char"/>
    <w:basedOn w:val="45"/>
    <w:link w:val="2"/>
    <w:qFormat/>
    <w:uiPriority w:val="0"/>
    <w:rPr>
      <w:rFonts w:ascii="Times New Roman" w:hAnsi="Times New Roman" w:eastAsia="宋体" w:cs="Times New Roman"/>
      <w:b/>
      <w:bCs/>
      <w:sz w:val="24"/>
      <w:szCs w:val="20"/>
    </w:rPr>
  </w:style>
  <w:style w:type="character" w:customStyle="1" w:styleId="54">
    <w:name w:val="标题 3 Char"/>
    <w:basedOn w:val="45"/>
    <w:link w:val="5"/>
    <w:qFormat/>
    <w:uiPriority w:val="0"/>
    <w:rPr>
      <w:rFonts w:ascii="Times New Roman" w:hAnsi="Times New Roman" w:eastAsia="宋体" w:cs="Times New Roman"/>
      <w:b/>
      <w:bCs/>
      <w:sz w:val="32"/>
      <w:szCs w:val="32"/>
    </w:rPr>
  </w:style>
  <w:style w:type="character" w:customStyle="1" w:styleId="55">
    <w:name w:val="标题 4 Char"/>
    <w:basedOn w:val="45"/>
    <w:link w:val="6"/>
    <w:qFormat/>
    <w:uiPriority w:val="0"/>
    <w:rPr>
      <w:rFonts w:ascii="Arial" w:hAnsi="Arial" w:eastAsia="黑体" w:cs="Times New Roman"/>
      <w:b/>
      <w:bCs/>
      <w:sz w:val="28"/>
      <w:szCs w:val="28"/>
    </w:rPr>
  </w:style>
  <w:style w:type="character" w:customStyle="1" w:styleId="56">
    <w:name w:val="标题 5 Char"/>
    <w:basedOn w:val="45"/>
    <w:link w:val="7"/>
    <w:qFormat/>
    <w:uiPriority w:val="0"/>
    <w:rPr>
      <w:rFonts w:ascii="Times New Roman" w:hAnsi="Times New Roman" w:eastAsia="宋体" w:cs="Times New Roman"/>
      <w:b/>
      <w:bCs/>
      <w:kern w:val="0"/>
      <w:sz w:val="28"/>
      <w:szCs w:val="28"/>
    </w:rPr>
  </w:style>
  <w:style w:type="character" w:customStyle="1" w:styleId="57">
    <w:name w:val="标题 6 Char"/>
    <w:basedOn w:val="45"/>
    <w:link w:val="8"/>
    <w:qFormat/>
    <w:uiPriority w:val="0"/>
    <w:rPr>
      <w:rFonts w:ascii="Arial" w:hAnsi="Arial" w:eastAsia="黑体" w:cs="Times New Roman"/>
      <w:b/>
      <w:bCs/>
      <w:kern w:val="0"/>
      <w:sz w:val="24"/>
      <w:szCs w:val="24"/>
    </w:rPr>
  </w:style>
  <w:style w:type="character" w:customStyle="1" w:styleId="58">
    <w:name w:val="标题 7 Char"/>
    <w:basedOn w:val="45"/>
    <w:link w:val="9"/>
    <w:qFormat/>
    <w:uiPriority w:val="0"/>
    <w:rPr>
      <w:rFonts w:ascii="Times New Roman" w:hAnsi="Times New Roman" w:eastAsia="宋体" w:cs="Times New Roman"/>
      <w:b/>
      <w:bCs/>
      <w:kern w:val="0"/>
      <w:sz w:val="24"/>
      <w:szCs w:val="24"/>
    </w:rPr>
  </w:style>
  <w:style w:type="character" w:customStyle="1" w:styleId="59">
    <w:name w:val="标题 8 Char"/>
    <w:basedOn w:val="45"/>
    <w:link w:val="10"/>
    <w:qFormat/>
    <w:uiPriority w:val="0"/>
    <w:rPr>
      <w:rFonts w:ascii="Arial" w:hAnsi="Arial" w:eastAsia="黑体" w:cs="Times New Roman"/>
      <w:kern w:val="0"/>
      <w:sz w:val="24"/>
      <w:szCs w:val="24"/>
    </w:rPr>
  </w:style>
  <w:style w:type="character" w:customStyle="1" w:styleId="60">
    <w:name w:val="标题 9 Char"/>
    <w:basedOn w:val="45"/>
    <w:link w:val="11"/>
    <w:qFormat/>
    <w:uiPriority w:val="0"/>
    <w:rPr>
      <w:rFonts w:ascii="Arial" w:hAnsi="Arial" w:eastAsia="黑体" w:cs="Times New Roman"/>
      <w:kern w:val="0"/>
      <w:szCs w:val="21"/>
    </w:rPr>
  </w:style>
  <w:style w:type="paragraph" w:customStyle="1" w:styleId="61">
    <w:name w:val="表格内容"/>
    <w:basedOn w:val="17"/>
    <w:qFormat/>
    <w:uiPriority w:val="0"/>
    <w:pPr>
      <w:suppressLineNumbers/>
      <w:suppressAutoHyphens/>
      <w:jc w:val="left"/>
    </w:pPr>
    <w:rPr>
      <w:rFonts w:cs="Tahoma"/>
      <w:kern w:val="0"/>
      <w:sz w:val="24"/>
    </w:rPr>
  </w:style>
  <w:style w:type="character" w:customStyle="1" w:styleId="62">
    <w:name w:val="正文文本 Char"/>
    <w:basedOn w:val="45"/>
    <w:link w:val="17"/>
    <w:qFormat/>
    <w:uiPriority w:val="0"/>
    <w:rPr>
      <w:rFonts w:ascii="Times New Roman" w:hAnsi="Times New Roman" w:eastAsia="宋体" w:cs="Times New Roman"/>
      <w:szCs w:val="24"/>
    </w:rPr>
  </w:style>
  <w:style w:type="character" w:customStyle="1" w:styleId="63">
    <w:name w:val="页脚 Char"/>
    <w:basedOn w:val="45"/>
    <w:link w:val="27"/>
    <w:qFormat/>
    <w:uiPriority w:val="99"/>
    <w:rPr>
      <w:rFonts w:ascii="Times New Roman" w:hAnsi="Times New Roman" w:eastAsia="宋体" w:cs="Times New Roman"/>
      <w:sz w:val="18"/>
      <w:szCs w:val="18"/>
    </w:rPr>
  </w:style>
  <w:style w:type="character" w:customStyle="1" w:styleId="64">
    <w:name w:val="页眉 Char"/>
    <w:basedOn w:val="45"/>
    <w:link w:val="28"/>
    <w:qFormat/>
    <w:uiPriority w:val="99"/>
    <w:rPr>
      <w:rFonts w:ascii="Times New Roman" w:hAnsi="Times New Roman" w:eastAsia="宋体" w:cs="Times New Roman"/>
      <w:sz w:val="18"/>
      <w:szCs w:val="18"/>
    </w:rPr>
  </w:style>
  <w:style w:type="character" w:customStyle="1" w:styleId="65">
    <w:name w:val="正文文本缩进 Char"/>
    <w:basedOn w:val="45"/>
    <w:link w:val="18"/>
    <w:qFormat/>
    <w:uiPriority w:val="0"/>
    <w:rPr>
      <w:rFonts w:ascii="Times New Roman" w:hAnsi="Times New Roman" w:eastAsia="宋体" w:cs="Times New Roman"/>
      <w:szCs w:val="24"/>
    </w:rPr>
  </w:style>
  <w:style w:type="paragraph" w:customStyle="1" w:styleId="66">
    <w:name w:val="Char Char Char Char Char Char Char"/>
    <w:basedOn w:val="1"/>
    <w:qFormat/>
    <w:uiPriority w:val="0"/>
    <w:pPr>
      <w:snapToGrid w:val="0"/>
      <w:spacing w:line="360" w:lineRule="auto"/>
      <w:ind w:firstLine="200" w:firstLineChars="200"/>
    </w:pPr>
    <w:rPr>
      <w:rFonts w:eastAsia="仿宋_GB2312"/>
      <w:sz w:val="24"/>
    </w:rPr>
  </w:style>
  <w:style w:type="character" w:customStyle="1" w:styleId="67">
    <w:name w:val="纯文本 Char"/>
    <w:basedOn w:val="45"/>
    <w:link w:val="22"/>
    <w:qFormat/>
    <w:uiPriority w:val="0"/>
    <w:rPr>
      <w:rFonts w:ascii="宋体" w:hAnsi="Courier New" w:eastAsia="宋体" w:cs="Courier New"/>
      <w:szCs w:val="21"/>
    </w:rPr>
  </w:style>
  <w:style w:type="character" w:customStyle="1" w:styleId="68">
    <w:name w:val="批注文字 Char"/>
    <w:basedOn w:val="45"/>
    <w:link w:val="15"/>
    <w:semiHidden/>
    <w:qFormat/>
    <w:uiPriority w:val="0"/>
    <w:rPr>
      <w:rFonts w:ascii="Times New Roman" w:hAnsi="Times New Roman" w:eastAsia="宋体" w:cs="Times New Roman"/>
      <w:szCs w:val="24"/>
    </w:rPr>
  </w:style>
  <w:style w:type="paragraph" w:customStyle="1" w:styleId="6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70">
    <w:name w:val="Char Char Char"/>
    <w:basedOn w:val="1"/>
    <w:qFormat/>
    <w:uiPriority w:val="0"/>
    <w:rPr>
      <w:rFonts w:ascii="宋体" w:hAnsi="宋体"/>
      <w:b/>
      <w:sz w:val="28"/>
      <w:szCs w:val="28"/>
    </w:rPr>
  </w:style>
  <w:style w:type="paragraph" w:customStyle="1" w:styleId="71">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72">
    <w:name w:val="HTML 预设格式 Char"/>
    <w:basedOn w:val="45"/>
    <w:link w:val="36"/>
    <w:qFormat/>
    <w:uiPriority w:val="0"/>
    <w:rPr>
      <w:rFonts w:ascii="Arial" w:hAnsi="Arial" w:eastAsia="宋体" w:cs="Arial"/>
      <w:kern w:val="0"/>
      <w:sz w:val="24"/>
      <w:szCs w:val="24"/>
    </w:rPr>
  </w:style>
  <w:style w:type="character" w:customStyle="1" w:styleId="73">
    <w:name w:val="称呼 Char"/>
    <w:basedOn w:val="45"/>
    <w:link w:val="16"/>
    <w:qFormat/>
    <w:uiPriority w:val="0"/>
    <w:rPr>
      <w:rFonts w:ascii="仿宋_GB2312" w:hAnsi="Times New Roman" w:eastAsia="仿宋_GB2312" w:cs="Times New Roman"/>
      <w:sz w:val="24"/>
      <w:szCs w:val="24"/>
    </w:rPr>
  </w:style>
  <w:style w:type="character" w:customStyle="1" w:styleId="74">
    <w:name w:val="正文文本 2 Char"/>
    <w:basedOn w:val="45"/>
    <w:link w:val="35"/>
    <w:qFormat/>
    <w:uiPriority w:val="0"/>
    <w:rPr>
      <w:rFonts w:ascii="Times New Roman" w:hAnsi="Times New Roman" w:eastAsia="宋体" w:cs="Times New Roman"/>
      <w:szCs w:val="24"/>
    </w:rPr>
  </w:style>
  <w:style w:type="character" w:customStyle="1" w:styleId="75">
    <w:name w:val="正文文本缩进 2 Char"/>
    <w:basedOn w:val="45"/>
    <w:link w:val="25"/>
    <w:qFormat/>
    <w:uiPriority w:val="0"/>
    <w:rPr>
      <w:rFonts w:ascii="Times New Roman" w:hAnsi="Times New Roman" w:eastAsia="宋体" w:cs="Times New Roman"/>
      <w:szCs w:val="24"/>
    </w:rPr>
  </w:style>
  <w:style w:type="paragraph" w:customStyle="1" w:styleId="76">
    <w:name w:val="Char"/>
    <w:basedOn w:val="1"/>
    <w:qFormat/>
    <w:uiPriority w:val="0"/>
    <w:pPr>
      <w:tabs>
        <w:tab w:val="left" w:pos="360"/>
      </w:tabs>
      <w:ind w:left="360" w:hanging="360" w:hangingChars="200"/>
    </w:pPr>
    <w:rPr>
      <w:sz w:val="24"/>
    </w:rPr>
  </w:style>
  <w:style w:type="character" w:customStyle="1" w:styleId="77">
    <w:name w:val="正文文本缩进 3 Char"/>
    <w:basedOn w:val="45"/>
    <w:link w:val="32"/>
    <w:qFormat/>
    <w:uiPriority w:val="0"/>
    <w:rPr>
      <w:rFonts w:ascii="Times New Roman" w:hAnsi="Times New Roman" w:eastAsia="宋体" w:cs="Times New Roman"/>
      <w:sz w:val="16"/>
      <w:szCs w:val="16"/>
    </w:rPr>
  </w:style>
  <w:style w:type="character" w:customStyle="1" w:styleId="78">
    <w:name w:val="日期 Char"/>
    <w:basedOn w:val="45"/>
    <w:link w:val="24"/>
    <w:qFormat/>
    <w:uiPriority w:val="0"/>
    <w:rPr>
      <w:rFonts w:ascii="Times New Roman" w:hAnsi="Times New Roman" w:eastAsia="宋体" w:cs="Times New Roman"/>
      <w:sz w:val="24"/>
      <w:szCs w:val="20"/>
    </w:rPr>
  </w:style>
  <w:style w:type="paragraph" w:customStyle="1" w:styleId="79">
    <w:name w:val="样式1"/>
    <w:basedOn w:val="1"/>
    <w:link w:val="111"/>
    <w:qFormat/>
    <w:uiPriority w:val="0"/>
    <w:pPr>
      <w:tabs>
        <w:tab w:val="left" w:pos="360"/>
      </w:tabs>
      <w:adjustRightInd w:val="0"/>
      <w:ind w:left="360" w:hanging="360"/>
      <w:textAlignment w:val="baseline"/>
    </w:pPr>
    <w:rPr>
      <w:rFonts w:ascii="宋体" w:hAnsi="宋体"/>
      <w:kern w:val="0"/>
      <w:szCs w:val="21"/>
    </w:rPr>
  </w:style>
  <w:style w:type="character" w:customStyle="1" w:styleId="80">
    <w:name w:val="p0 Char"/>
    <w:link w:val="81"/>
    <w:qFormat/>
    <w:uiPriority w:val="0"/>
    <w:rPr>
      <w:rFonts w:eastAsia="宋体"/>
      <w:szCs w:val="21"/>
    </w:rPr>
  </w:style>
  <w:style w:type="paragraph" w:customStyle="1" w:styleId="81">
    <w:name w:val="p0"/>
    <w:basedOn w:val="1"/>
    <w:link w:val="80"/>
    <w:qFormat/>
    <w:uiPriority w:val="0"/>
    <w:pPr>
      <w:widowControl/>
    </w:pPr>
    <w:rPr>
      <w:rFonts w:asciiTheme="minorHAnsi" w:hAnsiTheme="minorHAnsi" w:cstheme="minorBidi"/>
      <w:szCs w:val="21"/>
    </w:rPr>
  </w:style>
  <w:style w:type="paragraph" w:customStyle="1" w:styleId="82">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83">
    <w:name w:val="Char Char1 Char Char Char Char Char1 Char Char Char Char"/>
    <w:basedOn w:val="14"/>
    <w:qFormat/>
    <w:uiPriority w:val="0"/>
    <w:rPr>
      <w:rFonts w:ascii="Tahoma" w:hAnsi="Tahoma"/>
    </w:rPr>
  </w:style>
  <w:style w:type="character" w:customStyle="1" w:styleId="84">
    <w:name w:val="文档结构图 Char"/>
    <w:basedOn w:val="45"/>
    <w:link w:val="14"/>
    <w:semiHidden/>
    <w:qFormat/>
    <w:uiPriority w:val="0"/>
    <w:rPr>
      <w:rFonts w:ascii="Times New Roman" w:hAnsi="Times New Roman" w:eastAsia="宋体" w:cs="Times New Roman"/>
      <w:szCs w:val="24"/>
      <w:shd w:val="clear" w:color="auto" w:fill="000080"/>
    </w:rPr>
  </w:style>
  <w:style w:type="paragraph" w:customStyle="1" w:styleId="8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86">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87">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88">
    <w:name w:val="1"/>
    <w:basedOn w:val="1"/>
    <w:qFormat/>
    <w:uiPriority w:val="0"/>
    <w:pPr>
      <w:spacing w:afterLines="50" w:line="360" w:lineRule="auto"/>
    </w:pPr>
    <w:rPr>
      <w:rFonts w:ascii="宋体" w:hAnsi="宋体"/>
      <w:b/>
      <w:sz w:val="30"/>
      <w:szCs w:val="21"/>
    </w:rPr>
  </w:style>
  <w:style w:type="paragraph" w:customStyle="1" w:styleId="89">
    <w:name w:val="样式 标题 2 + 宋体 五号 行距: 单倍行距"/>
    <w:basedOn w:val="4"/>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90">
    <w:name w:val="标题 1 +"/>
    <w:basedOn w:val="2"/>
    <w:next w:val="1"/>
    <w:qFormat/>
    <w:uiPriority w:val="0"/>
    <w:pPr>
      <w:keepLines/>
      <w:spacing w:line="600" w:lineRule="auto"/>
    </w:pPr>
    <w:rPr>
      <w:rFonts w:eastAsia="黑体"/>
      <w:kern w:val="0"/>
      <w:sz w:val="32"/>
      <w:szCs w:val="32"/>
    </w:rPr>
  </w:style>
  <w:style w:type="character" w:customStyle="1" w:styleId="91">
    <w:name w:val="批注主题 Char"/>
    <w:basedOn w:val="68"/>
    <w:link w:val="40"/>
    <w:qFormat/>
    <w:uiPriority w:val="0"/>
    <w:rPr>
      <w:rFonts w:ascii="Times New Roman" w:hAnsi="Times New Roman" w:eastAsia="宋体" w:cs="Times New Roman"/>
      <w:b/>
      <w:bCs/>
      <w:szCs w:val="24"/>
    </w:rPr>
  </w:style>
  <w:style w:type="character" w:customStyle="1" w:styleId="92">
    <w:name w:val="批注框文本 Char"/>
    <w:basedOn w:val="45"/>
    <w:link w:val="26"/>
    <w:qFormat/>
    <w:uiPriority w:val="0"/>
    <w:rPr>
      <w:rFonts w:ascii="Times New Roman" w:hAnsi="Times New Roman" w:eastAsia="宋体" w:cs="Times New Roman"/>
      <w:sz w:val="18"/>
      <w:szCs w:val="18"/>
    </w:rPr>
  </w:style>
  <w:style w:type="paragraph" w:customStyle="1" w:styleId="93">
    <w:name w:val="样式 标题 2 + Times New Roman 四号 非加粗 段前: 5 磅 段后: 0 磅 行距: 固定值 20..."/>
    <w:basedOn w:val="4"/>
    <w:qFormat/>
    <w:uiPriority w:val="0"/>
    <w:pPr>
      <w:spacing w:before="100" w:line="400" w:lineRule="exact"/>
    </w:pPr>
    <w:rPr>
      <w:rFonts w:ascii="Times New Roman" w:hAnsi="Times New Roman" w:eastAsia="黑体"/>
      <w:b w:val="0"/>
      <w:bCs w:val="0"/>
      <w:sz w:val="28"/>
      <w:szCs w:val="20"/>
    </w:rPr>
  </w:style>
  <w:style w:type="paragraph" w:customStyle="1" w:styleId="94">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95">
    <w:name w:val="Char1 Char Char Char 字元 Char Char 字元 Char 字元 Char1 Char Char Char"/>
    <w:basedOn w:val="1"/>
    <w:qFormat/>
    <w:uiPriority w:val="0"/>
    <w:rPr>
      <w:szCs w:val="20"/>
    </w:rPr>
  </w:style>
  <w:style w:type="paragraph" w:customStyle="1" w:styleId="96">
    <w:name w:val="p16"/>
    <w:basedOn w:val="1"/>
    <w:qFormat/>
    <w:uiPriority w:val="0"/>
    <w:pPr>
      <w:widowControl/>
      <w:jc w:val="left"/>
    </w:pPr>
    <w:rPr>
      <w:kern w:val="0"/>
      <w:szCs w:val="21"/>
    </w:rPr>
  </w:style>
  <w:style w:type="paragraph" w:customStyle="1" w:styleId="97">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99">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00">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01">
    <w:name w:val="Char Char Char1 Char"/>
    <w:basedOn w:val="1"/>
    <w:qFormat/>
    <w:uiPriority w:val="0"/>
    <w:pPr>
      <w:tabs>
        <w:tab w:val="left" w:pos="360"/>
      </w:tabs>
      <w:snapToGrid w:val="0"/>
      <w:spacing w:line="360" w:lineRule="auto"/>
    </w:pPr>
    <w:rPr>
      <w:rFonts w:eastAsia="仿宋_GB2312" w:cs="宋体"/>
      <w:sz w:val="24"/>
    </w:rPr>
  </w:style>
  <w:style w:type="paragraph" w:styleId="102">
    <w:name w:val="List Paragraph"/>
    <w:basedOn w:val="1"/>
    <w:link w:val="108"/>
    <w:qFormat/>
    <w:uiPriority w:val="0"/>
    <w:pPr>
      <w:ind w:firstLine="420" w:firstLineChars="200"/>
    </w:pPr>
  </w:style>
  <w:style w:type="character" w:customStyle="1" w:styleId="103">
    <w:name w:val="fontstyle01"/>
    <w:basedOn w:val="45"/>
    <w:qFormat/>
    <w:uiPriority w:val="0"/>
    <w:rPr>
      <w:rFonts w:hint="eastAsia" w:ascii="宋体" w:hAnsi="宋体" w:eastAsia="宋体"/>
      <w:color w:val="000000"/>
      <w:sz w:val="24"/>
      <w:szCs w:val="24"/>
    </w:rPr>
  </w:style>
  <w:style w:type="character" w:customStyle="1" w:styleId="104">
    <w:name w:val="fontstyle11"/>
    <w:basedOn w:val="45"/>
    <w:qFormat/>
    <w:uiPriority w:val="0"/>
    <w:rPr>
      <w:rFonts w:hint="default" w:ascii="TimesNewRomanPSMT" w:hAnsi="TimesNewRomanPSMT"/>
      <w:color w:val="000000"/>
      <w:sz w:val="24"/>
      <w:szCs w:val="24"/>
    </w:rPr>
  </w:style>
  <w:style w:type="paragraph" w:customStyle="1" w:styleId="105">
    <w:name w:val="TOC 标题1"/>
    <w:basedOn w:val="2"/>
    <w:next w:val="1"/>
    <w:semiHidden/>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6">
    <w:name w:val="fontstyle21"/>
    <w:basedOn w:val="45"/>
    <w:qFormat/>
    <w:uiPriority w:val="0"/>
    <w:rPr>
      <w:rFonts w:hint="eastAsia" w:ascii="宋体" w:hAnsi="宋体" w:eastAsia="宋体"/>
      <w:color w:val="993300"/>
      <w:sz w:val="24"/>
      <w:szCs w:val="24"/>
    </w:rPr>
  </w:style>
  <w:style w:type="character" w:customStyle="1" w:styleId="107">
    <w:name w:val="fontstyle31"/>
    <w:basedOn w:val="45"/>
    <w:qFormat/>
    <w:uiPriority w:val="0"/>
    <w:rPr>
      <w:rFonts w:hint="default" w:ascii="Arial" w:hAnsi="Arial" w:cs="Arial"/>
      <w:color w:val="993300"/>
      <w:sz w:val="24"/>
      <w:szCs w:val="24"/>
    </w:rPr>
  </w:style>
  <w:style w:type="character" w:customStyle="1" w:styleId="108">
    <w:name w:val="列出段落 Char"/>
    <w:link w:val="102"/>
    <w:qFormat/>
    <w:uiPriority w:val="0"/>
    <w:rPr>
      <w:rFonts w:ascii="Times New Roman" w:hAnsi="Times New Roman" w:eastAsia="宋体" w:cs="Times New Roman"/>
      <w:szCs w:val="24"/>
    </w:rPr>
  </w:style>
  <w:style w:type="character" w:customStyle="1" w:styleId="109">
    <w:name w:val="标题 Char"/>
    <w:link w:val="39"/>
    <w:qFormat/>
    <w:uiPriority w:val="0"/>
    <w:rPr>
      <w:b/>
      <w:sz w:val="32"/>
    </w:rPr>
  </w:style>
  <w:style w:type="character" w:customStyle="1" w:styleId="110">
    <w:name w:val="标题 Char1"/>
    <w:basedOn w:val="45"/>
    <w:qFormat/>
    <w:uiPriority w:val="10"/>
    <w:rPr>
      <w:rFonts w:eastAsia="宋体" w:asciiTheme="majorHAnsi" w:hAnsiTheme="majorHAnsi" w:cstheme="majorBidi"/>
      <w:b/>
      <w:bCs/>
      <w:sz w:val="32"/>
      <w:szCs w:val="32"/>
    </w:rPr>
  </w:style>
  <w:style w:type="character" w:customStyle="1" w:styleId="111">
    <w:name w:val="样式1 Char Char"/>
    <w:link w:val="79"/>
    <w:qFormat/>
    <w:uiPriority w:val="0"/>
    <w:rPr>
      <w:rFonts w:ascii="宋体" w:hAnsi="宋体" w:eastAsia="宋体" w:cs="Times New Roman"/>
      <w:kern w:val="0"/>
      <w:szCs w:val="21"/>
    </w:rPr>
  </w:style>
  <w:style w:type="character" w:customStyle="1" w:styleId="112">
    <w:name w:val="纯文本 Char1"/>
    <w:semiHidden/>
    <w:qFormat/>
    <w:locked/>
    <w:uiPriority w:val="0"/>
    <w:rPr>
      <w:rFonts w:ascii="宋体" w:hAnsi="Courier New" w:eastAsia="宋体" w:cs="Courier New"/>
      <w:kern w:val="2"/>
      <w:sz w:val="21"/>
      <w:szCs w:val="21"/>
      <w:lang w:val="en-US" w:eastAsia="zh-CN" w:bidi="ar-SA"/>
    </w:rPr>
  </w:style>
  <w:style w:type="paragraph" w:customStyle="1" w:styleId="113">
    <w:name w:val="正文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Normal_10"/>
    <w:qFormat/>
    <w:uiPriority w:val="0"/>
    <w:rPr>
      <w:rFonts w:ascii="Times New Roman" w:hAnsi="Times New Roman" w:eastAsia="Times New Roman" w:cs="Times New Roman"/>
      <w:sz w:val="24"/>
      <w:szCs w:val="24"/>
      <w:lang w:val="en-US" w:eastAsia="zh-CN" w:bidi="ar-SA"/>
    </w:rPr>
  </w:style>
  <w:style w:type="paragraph" w:customStyle="1" w:styleId="115">
    <w:name w:val="列出段落112"/>
    <w:basedOn w:val="1"/>
    <w:qFormat/>
    <w:uiPriority w:val="99"/>
    <w:pPr>
      <w:ind w:firstLine="420" w:firstLineChars="200"/>
    </w:pPr>
  </w:style>
  <w:style w:type="paragraph" w:customStyle="1" w:styleId="116">
    <w:name w:val="表格正文"/>
    <w:basedOn w:val="1"/>
    <w:qFormat/>
    <w:uiPriority w:val="0"/>
    <w:pPr>
      <w:tabs>
        <w:tab w:val="left" w:pos="1988"/>
      </w:tabs>
      <w:jc w:val="center"/>
    </w:pPr>
    <w:rPr>
      <w:rFonts w:hAnsi="宋体"/>
      <w:bCs/>
    </w:rPr>
  </w:style>
  <w:style w:type="paragraph" w:customStyle="1" w:styleId="117">
    <w:name w:val="Table Text"/>
    <w:basedOn w:val="1"/>
    <w:semiHidden/>
    <w:qFormat/>
    <w:uiPriority w:val="0"/>
    <w:rPr>
      <w:rFonts w:ascii="仿宋" w:hAnsi="仿宋" w:eastAsia="仿宋" w:cs="仿宋"/>
      <w:sz w:val="18"/>
      <w:szCs w:val="18"/>
      <w:lang w:eastAsia="en-US"/>
    </w:rPr>
  </w:style>
  <w:style w:type="table" w:customStyle="1" w:styleId="118">
    <w:name w:val="Table Normal"/>
    <w:semiHidden/>
    <w:unhideWhenUsed/>
    <w:qFormat/>
    <w:uiPriority w:val="0"/>
    <w:tblPr>
      <w:tblCellMar>
        <w:top w:w="0" w:type="dxa"/>
        <w:left w:w="0" w:type="dxa"/>
        <w:bottom w:w="0" w:type="dxa"/>
        <w:right w:w="0" w:type="dxa"/>
      </w:tblCellMar>
    </w:tblPr>
  </w:style>
  <w:style w:type="paragraph" w:customStyle="1" w:styleId="119">
    <w:name w:val="p"/>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Normal_0_2"/>
    <w:qFormat/>
    <w:uiPriority w:val="0"/>
    <w:rPr>
      <w:rFonts w:ascii="Calibri" w:hAnsi="Calibri" w:eastAsia="Times New Roman" w:cs="Times New Roman"/>
      <w:sz w:val="24"/>
      <w:szCs w:val="24"/>
      <w:lang w:val="en-US" w:eastAsia="zh-CN" w:bidi="ar-SA"/>
    </w:rPr>
  </w:style>
  <w:style w:type="character" w:customStyle="1" w:styleId="121">
    <w:name w:val="NormalCharacter"/>
    <w:qFormat/>
    <w:uiPriority w:val="0"/>
  </w:style>
  <w:style w:type="character" w:customStyle="1" w:styleId="122">
    <w:name w:val="10"/>
    <w:basedOn w:val="45"/>
    <w:qFormat/>
    <w:uiPriority w:val="0"/>
    <w:rPr>
      <w:rFonts w:hint="default" w:ascii="Calibri" w:hAnsi="Calibri" w:cs="Calibri"/>
    </w:rPr>
  </w:style>
  <w:style w:type="paragraph" w:customStyle="1" w:styleId="123">
    <w:name w:val="Normal_8"/>
    <w:qFormat/>
    <w:uiPriority w:val="0"/>
    <w:rPr>
      <w:rFonts w:ascii="Times New Roman" w:hAnsi="Times New Roman" w:eastAsia="Times New Roman" w:cs="Times New Roman"/>
      <w:sz w:val="24"/>
      <w:szCs w:val="24"/>
      <w:lang w:val="en-US" w:eastAsia="zh-CN" w:bidi="ar-SA"/>
    </w:rPr>
  </w:style>
  <w:style w:type="paragraph" w:customStyle="1" w:styleId="124">
    <w:name w:val="style"/>
    <w:basedOn w:val="1"/>
    <w:qFormat/>
    <w:uiPriority w:val="99"/>
    <w:rPr>
      <w:rFonts w:ascii="宋体" w:hAnsi="宋体" w:cs="宋体"/>
      <w:sz w:val="24"/>
    </w:rPr>
  </w:style>
  <w:style w:type="paragraph" w:customStyle="1" w:styleId="125">
    <w:name w:val="Table Paragraph"/>
    <w:basedOn w:val="1"/>
    <w:qFormat/>
    <w:uiPriority w:val="1"/>
    <w:rPr>
      <w:rFonts w:ascii="宋体" w:hAnsi="宋体" w:cs="宋体"/>
      <w:lang w:val="zh-CN" w:bidi="zh-CN"/>
    </w:rPr>
  </w:style>
  <w:style w:type="paragraph" w:customStyle="1" w:styleId="126">
    <w:name w:val="段"/>
    <w:next w:val="1"/>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footer" Target="footer1.xml"/><Relationship Id="rId6" Type="http://schemas.openxmlformats.org/officeDocument/2006/relationships/header" Target="header4.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834534-8CDB-4476-B532-AB0028072FC0}">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88</Pages>
  <Words>7120</Words>
  <Characters>8110</Characters>
  <Lines>459</Lines>
  <Paragraphs>129</Paragraphs>
  <TotalTime>11</TotalTime>
  <ScaleCrop>false</ScaleCrop>
  <LinksUpToDate>false</LinksUpToDate>
  <CharactersWithSpaces>8300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2026-04-03T02:50:00Z</dcterms:created>
  <dc:creator>admin</dc:creator>
  <cp:lastModifiedBy>China</cp:lastModifiedBy>
  <cp:lastPrinted>2026-04-02T08:53:00Z</cp:lastPrinted>
  <dcterms:modified xsi:type="dcterms:W3CDTF">2026-08-10T10:55:24Z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054EA4C24F6340148DD3696C0CE31C2F_13</vt:lpwstr>
  </property>
  <property fmtid="{D5CDD505-2E9C-101B-9397-08002B2CF9AE}" pid="4" name="KSOTemplateDocerSaveRecord">
    <vt:lpwstr>eyJoZGlkIjoiYjUxMDNlMjIyZWNiODRjNWZlZDFlYjUxMTk0NWQyNjgiLCJ1c2VySWQiOiIzODMzNzYxNzQifQ==</vt:lpwstr>
  </property>
</Properties>
</file>