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55A0DE">
      <w:pPr>
        <w:widowControl w:val="0"/>
        <w:jc w:val="center"/>
        <w:rPr>
          <w:rFonts w:hint="eastAsia" w:ascii="宋体" w:hAnsi="宋体" w:eastAsia="宋体" w:cs="宋体"/>
          <w:b/>
          <w:bCs/>
          <w:color w:val="auto"/>
          <w:sz w:val="21"/>
          <w:szCs w:val="21"/>
          <w:highlight w:val="none"/>
          <w:lang w:val="en-US"/>
        </w:rPr>
      </w:pPr>
      <w:bookmarkStart w:id="0" w:name="_GoBack"/>
      <w:r>
        <w:rPr>
          <w:rFonts w:hint="eastAsia" w:ascii="宋体" w:hAnsi="宋体" w:eastAsia="宋体" w:cs="Times New Roman"/>
          <w:b/>
          <w:bCs w:val="0"/>
          <w:color w:val="auto"/>
          <w:sz w:val="32"/>
          <w:szCs w:val="32"/>
          <w:highlight w:val="none"/>
          <w:lang w:val="en-US" w:eastAsia="zh-CN"/>
        </w:rPr>
        <w:t>第五章 采购需求</w:t>
      </w:r>
    </w:p>
    <w:p w14:paraId="0DCAEFB6">
      <w:pPr>
        <w:pStyle w:val="3"/>
        <w:widowControl w:val="0"/>
        <w:numPr>
          <w:ilvl w:val="0"/>
          <w:numId w:val="0"/>
        </w:numPr>
        <w:spacing w:before="0" w:beforeAutospacing="0" w:after="0" w:afterAutospacing="0" w:line="440" w:lineRule="exact"/>
        <w:ind w:right="23" w:rightChars="11" w:firstLine="210" w:firstLineChars="100"/>
        <w:jc w:val="both"/>
        <w:rPr>
          <w:rFonts w:hint="eastAsia" w:ascii="宋体" w:hAnsi="宋体" w:eastAsia="宋体" w:cs="宋体"/>
          <w:b w:val="0"/>
          <w:bCs/>
          <w:color w:val="auto"/>
          <w:kern w:val="2"/>
          <w:sz w:val="21"/>
          <w:szCs w:val="21"/>
          <w:highlight w:val="none"/>
          <w:lang w:eastAsia="zh-CN" w:bidi="ar"/>
        </w:rPr>
      </w:pPr>
    </w:p>
    <w:p w14:paraId="416BC494">
      <w:pPr>
        <w:kinsoku w:val="0"/>
        <w:autoSpaceDE w:val="0"/>
        <w:autoSpaceDN w:val="0"/>
        <w:adjustRightInd w:val="0"/>
        <w:snapToGrid w:val="0"/>
        <w:spacing w:before="284" w:line="225" w:lineRule="auto"/>
        <w:ind w:left="3540"/>
        <w:jc w:val="left"/>
        <w:textAlignment w:val="baseline"/>
        <w:outlineLvl w:val="1"/>
        <w:rPr>
          <w:rFonts w:ascii="宋体" w:hAnsi="宋体" w:eastAsia="宋体" w:cs="宋体"/>
          <w:snapToGrid w:val="0"/>
          <w:color w:val="auto"/>
          <w:kern w:val="0"/>
          <w:sz w:val="27"/>
          <w:szCs w:val="27"/>
          <w:highlight w:val="none"/>
          <w:lang w:val="en-US" w:eastAsia="en-US" w:bidi="ar-SA"/>
        </w:rPr>
      </w:pPr>
      <w:r>
        <w:rPr>
          <w:rFonts w:ascii="宋体" w:hAnsi="宋体" w:eastAsia="宋体" w:cs="宋体"/>
          <w:b/>
          <w:bCs/>
          <w:snapToGrid w:val="0"/>
          <w:color w:val="auto"/>
          <w:spacing w:val="6"/>
          <w:kern w:val="0"/>
          <w:sz w:val="27"/>
          <w:szCs w:val="27"/>
          <w:highlight w:val="none"/>
          <w:lang w:val="en-US" w:eastAsia="en-US" w:bidi="ar-SA"/>
        </w:rPr>
        <w:t>第一节</w:t>
      </w:r>
      <w:r>
        <w:rPr>
          <w:rFonts w:ascii="宋体" w:hAnsi="宋体" w:eastAsia="宋体" w:cs="宋体"/>
          <w:snapToGrid w:val="0"/>
          <w:color w:val="auto"/>
          <w:spacing w:val="6"/>
          <w:kern w:val="0"/>
          <w:sz w:val="27"/>
          <w:szCs w:val="27"/>
          <w:highlight w:val="none"/>
          <w:lang w:val="en-US" w:eastAsia="en-US" w:bidi="ar-SA"/>
        </w:rPr>
        <w:t xml:space="preserve"> </w:t>
      </w:r>
      <w:r>
        <w:rPr>
          <w:rFonts w:ascii="宋体" w:hAnsi="宋体" w:eastAsia="宋体" w:cs="宋体"/>
          <w:b/>
          <w:bCs/>
          <w:snapToGrid w:val="0"/>
          <w:color w:val="auto"/>
          <w:spacing w:val="6"/>
          <w:kern w:val="0"/>
          <w:sz w:val="27"/>
          <w:szCs w:val="27"/>
          <w:highlight w:val="none"/>
          <w:lang w:val="en-US" w:eastAsia="en-US" w:bidi="ar-SA"/>
        </w:rPr>
        <w:t>采购清单</w:t>
      </w:r>
    </w:p>
    <w:p w14:paraId="69ED9700">
      <w:pPr>
        <w:widowControl/>
        <w:kinsoku w:val="0"/>
        <w:autoSpaceDE w:val="0"/>
        <w:autoSpaceDN w:val="0"/>
        <w:adjustRightInd w:val="0"/>
        <w:snapToGrid w:val="0"/>
        <w:spacing w:line="179" w:lineRule="exact"/>
        <w:jc w:val="left"/>
        <w:textAlignment w:val="baseline"/>
        <w:rPr>
          <w:rFonts w:ascii="Arial" w:hAnsi="Arial" w:eastAsia="Arial" w:cs="Arial"/>
          <w:snapToGrid w:val="0"/>
          <w:color w:val="auto"/>
          <w:kern w:val="0"/>
          <w:szCs w:val="21"/>
          <w:highlight w:val="none"/>
          <w:lang w:eastAsia="en-US"/>
        </w:rPr>
      </w:pPr>
    </w:p>
    <w:tbl>
      <w:tblPr>
        <w:tblStyle w:val="6"/>
        <w:tblW w:w="899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70"/>
        <w:gridCol w:w="2455"/>
        <w:gridCol w:w="1698"/>
        <w:gridCol w:w="1173"/>
        <w:gridCol w:w="2502"/>
      </w:tblGrid>
      <w:tr w14:paraId="6E814B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8" w:hRule="atLeast"/>
          <w:jc w:val="center"/>
        </w:trPr>
        <w:tc>
          <w:tcPr>
            <w:tcW w:w="1170" w:type="dxa"/>
            <w:tcBorders>
              <w:top w:val="single" w:color="000000" w:sz="2" w:space="0"/>
              <w:left w:val="single" w:color="000000" w:sz="2" w:space="0"/>
            </w:tcBorders>
            <w:noWrap w:val="0"/>
            <w:vAlign w:val="top"/>
          </w:tcPr>
          <w:p w14:paraId="7D8F96BC">
            <w:pPr>
              <w:widowControl/>
              <w:kinsoku w:val="0"/>
              <w:autoSpaceDE w:val="0"/>
              <w:autoSpaceDN w:val="0"/>
              <w:adjustRightInd w:val="0"/>
              <w:snapToGrid w:val="0"/>
              <w:spacing w:line="295" w:lineRule="auto"/>
              <w:jc w:val="left"/>
              <w:textAlignment w:val="baseline"/>
              <w:rPr>
                <w:rFonts w:ascii="Arial" w:hAnsi="Arial" w:eastAsia="Arial" w:cs="Arial"/>
                <w:snapToGrid w:val="0"/>
                <w:color w:val="auto"/>
                <w:kern w:val="0"/>
                <w:sz w:val="21"/>
                <w:szCs w:val="21"/>
                <w:highlight w:val="none"/>
                <w:lang w:eastAsia="en-US"/>
              </w:rPr>
            </w:pPr>
          </w:p>
          <w:p w14:paraId="0F117C3B">
            <w:pPr>
              <w:kinsoku w:val="0"/>
              <w:autoSpaceDE w:val="0"/>
              <w:autoSpaceDN w:val="0"/>
              <w:adjustRightInd w:val="0"/>
              <w:snapToGrid w:val="0"/>
              <w:spacing w:before="68" w:line="223" w:lineRule="auto"/>
              <w:ind w:left="161"/>
              <w:jc w:val="left"/>
              <w:textAlignment w:val="baseline"/>
              <w:rPr>
                <w:rFonts w:ascii="宋体" w:hAnsi="宋体" w:eastAsia="宋体" w:cs="宋体"/>
                <w:snapToGrid w:val="0"/>
                <w:color w:val="auto"/>
                <w:kern w:val="0"/>
                <w:sz w:val="21"/>
                <w:szCs w:val="21"/>
                <w:highlight w:val="none"/>
                <w:lang w:val="en-US" w:eastAsia="en-US" w:bidi="ar-SA"/>
              </w:rPr>
            </w:pPr>
            <w:r>
              <w:rPr>
                <w:rFonts w:ascii="宋体" w:hAnsi="宋体" w:eastAsia="宋体" w:cs="宋体"/>
                <w:snapToGrid w:val="0"/>
                <w:color w:val="auto"/>
                <w:spacing w:val="-2"/>
                <w:kern w:val="0"/>
                <w:sz w:val="21"/>
                <w:szCs w:val="21"/>
                <w:highlight w:val="none"/>
                <w:lang w:val="en-US" w:eastAsia="en-US" w:bidi="ar-SA"/>
              </w:rPr>
              <w:t>包名称</w:t>
            </w:r>
          </w:p>
        </w:tc>
        <w:tc>
          <w:tcPr>
            <w:tcW w:w="2455" w:type="dxa"/>
            <w:tcBorders>
              <w:top w:val="single" w:color="000000" w:sz="2" w:space="0"/>
            </w:tcBorders>
            <w:noWrap w:val="0"/>
            <w:vAlign w:val="top"/>
          </w:tcPr>
          <w:p w14:paraId="660EBB63">
            <w:pPr>
              <w:widowControl/>
              <w:kinsoku w:val="0"/>
              <w:autoSpaceDE w:val="0"/>
              <w:autoSpaceDN w:val="0"/>
              <w:adjustRightInd w:val="0"/>
              <w:snapToGrid w:val="0"/>
              <w:spacing w:line="295" w:lineRule="auto"/>
              <w:jc w:val="both"/>
              <w:textAlignment w:val="baseline"/>
              <w:rPr>
                <w:rFonts w:ascii="Arial" w:hAnsi="Arial" w:eastAsia="Arial" w:cs="Arial"/>
                <w:snapToGrid w:val="0"/>
                <w:color w:val="auto"/>
                <w:kern w:val="0"/>
                <w:sz w:val="21"/>
                <w:szCs w:val="21"/>
                <w:highlight w:val="none"/>
                <w:lang w:eastAsia="en-US"/>
              </w:rPr>
            </w:pPr>
          </w:p>
          <w:p w14:paraId="0496F846">
            <w:pPr>
              <w:kinsoku w:val="0"/>
              <w:autoSpaceDE w:val="0"/>
              <w:autoSpaceDN w:val="0"/>
              <w:adjustRightInd w:val="0"/>
              <w:snapToGrid w:val="0"/>
              <w:spacing w:before="69" w:line="221" w:lineRule="auto"/>
              <w:ind w:left="571"/>
              <w:jc w:val="both"/>
              <w:textAlignment w:val="baseline"/>
              <w:rPr>
                <w:rFonts w:ascii="宋体" w:hAnsi="宋体" w:eastAsia="宋体" w:cs="宋体"/>
                <w:snapToGrid w:val="0"/>
                <w:color w:val="auto"/>
                <w:kern w:val="0"/>
                <w:sz w:val="21"/>
                <w:szCs w:val="21"/>
                <w:highlight w:val="none"/>
                <w:lang w:val="en-US" w:eastAsia="en-US" w:bidi="ar-SA"/>
              </w:rPr>
            </w:pPr>
            <w:r>
              <w:rPr>
                <w:rFonts w:ascii="宋体" w:hAnsi="宋体" w:eastAsia="宋体" w:cs="宋体"/>
                <w:snapToGrid w:val="0"/>
                <w:color w:val="auto"/>
                <w:spacing w:val="-1"/>
                <w:kern w:val="0"/>
                <w:sz w:val="21"/>
                <w:szCs w:val="21"/>
                <w:highlight w:val="none"/>
                <w:lang w:val="en-US" w:eastAsia="en-US" w:bidi="ar-SA"/>
              </w:rPr>
              <w:t>标的名称</w:t>
            </w:r>
          </w:p>
        </w:tc>
        <w:tc>
          <w:tcPr>
            <w:tcW w:w="1698" w:type="dxa"/>
            <w:tcBorders>
              <w:top w:val="single" w:color="000000" w:sz="2" w:space="0"/>
            </w:tcBorders>
            <w:noWrap w:val="0"/>
            <w:vAlign w:val="center"/>
          </w:tcPr>
          <w:p w14:paraId="72F08CB4">
            <w:pPr>
              <w:kinsoku w:val="0"/>
              <w:autoSpaceDE w:val="0"/>
              <w:autoSpaceDN w:val="0"/>
              <w:adjustRightInd w:val="0"/>
              <w:snapToGrid w:val="0"/>
              <w:spacing w:before="163" w:line="295" w:lineRule="auto"/>
              <w:ind w:right="107"/>
              <w:jc w:val="center"/>
              <w:textAlignment w:val="baseline"/>
              <w:rPr>
                <w:rFonts w:ascii="宋体" w:hAnsi="宋体" w:eastAsia="宋体" w:cs="宋体"/>
                <w:snapToGrid w:val="0"/>
                <w:color w:val="auto"/>
                <w:kern w:val="0"/>
                <w:sz w:val="21"/>
                <w:szCs w:val="21"/>
                <w:highlight w:val="none"/>
                <w:lang w:val="en-US" w:eastAsia="en-US" w:bidi="ar-SA"/>
              </w:rPr>
            </w:pPr>
            <w:r>
              <w:rPr>
                <w:rFonts w:ascii="宋体" w:hAnsi="宋体" w:eastAsia="宋体" w:cs="宋体"/>
                <w:snapToGrid w:val="0"/>
                <w:color w:val="auto"/>
                <w:spacing w:val="-2"/>
                <w:kern w:val="0"/>
                <w:sz w:val="21"/>
                <w:szCs w:val="21"/>
                <w:highlight w:val="none"/>
                <w:lang w:val="en-US" w:eastAsia="en-US" w:bidi="ar-SA"/>
              </w:rPr>
              <w:t>简要技术要求</w:t>
            </w:r>
          </w:p>
        </w:tc>
        <w:tc>
          <w:tcPr>
            <w:tcW w:w="1173" w:type="dxa"/>
            <w:tcBorders>
              <w:top w:val="single" w:color="000000" w:sz="2" w:space="0"/>
            </w:tcBorders>
            <w:noWrap w:val="0"/>
            <w:vAlign w:val="top"/>
          </w:tcPr>
          <w:p w14:paraId="2844D825">
            <w:pPr>
              <w:widowControl/>
              <w:kinsoku w:val="0"/>
              <w:autoSpaceDE w:val="0"/>
              <w:autoSpaceDN w:val="0"/>
              <w:adjustRightInd w:val="0"/>
              <w:snapToGrid w:val="0"/>
              <w:spacing w:line="295" w:lineRule="auto"/>
              <w:jc w:val="center"/>
              <w:textAlignment w:val="baseline"/>
              <w:rPr>
                <w:rFonts w:ascii="Arial" w:hAnsi="Arial" w:eastAsia="Arial" w:cs="Arial"/>
                <w:snapToGrid w:val="0"/>
                <w:color w:val="auto"/>
                <w:kern w:val="0"/>
                <w:sz w:val="21"/>
                <w:szCs w:val="21"/>
                <w:highlight w:val="none"/>
                <w:lang w:eastAsia="en-US"/>
              </w:rPr>
            </w:pPr>
          </w:p>
          <w:p w14:paraId="1488BA6C">
            <w:pPr>
              <w:kinsoku w:val="0"/>
              <w:autoSpaceDE w:val="0"/>
              <w:autoSpaceDN w:val="0"/>
              <w:adjustRightInd w:val="0"/>
              <w:snapToGrid w:val="0"/>
              <w:spacing w:before="68" w:line="221" w:lineRule="auto"/>
              <w:jc w:val="center"/>
              <w:textAlignment w:val="baseline"/>
              <w:rPr>
                <w:rFonts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spacing w:val="-1"/>
                <w:kern w:val="0"/>
                <w:sz w:val="21"/>
                <w:szCs w:val="21"/>
                <w:highlight w:val="none"/>
                <w:lang w:val="en-US" w:eastAsia="zh-CN" w:bidi="ar-SA"/>
              </w:rPr>
              <w:t>合同</w:t>
            </w:r>
            <w:r>
              <w:rPr>
                <w:rFonts w:ascii="宋体" w:hAnsi="宋体" w:eastAsia="宋体" w:cs="宋体"/>
                <w:snapToGrid w:val="0"/>
                <w:color w:val="auto"/>
                <w:spacing w:val="-1"/>
                <w:kern w:val="0"/>
                <w:sz w:val="21"/>
                <w:szCs w:val="21"/>
                <w:highlight w:val="none"/>
                <w:lang w:val="en-US" w:eastAsia="en-US" w:bidi="ar-SA"/>
              </w:rPr>
              <w:t>期限</w:t>
            </w:r>
          </w:p>
        </w:tc>
        <w:tc>
          <w:tcPr>
            <w:tcW w:w="2502" w:type="dxa"/>
            <w:tcBorders>
              <w:top w:val="single" w:color="000000" w:sz="2" w:space="0"/>
              <w:right w:val="single" w:color="000000" w:sz="2" w:space="0"/>
            </w:tcBorders>
            <w:noWrap w:val="0"/>
            <w:vAlign w:val="top"/>
          </w:tcPr>
          <w:p w14:paraId="7EDEFE39">
            <w:pPr>
              <w:widowControl/>
              <w:kinsoku w:val="0"/>
              <w:autoSpaceDE w:val="0"/>
              <w:autoSpaceDN w:val="0"/>
              <w:adjustRightInd w:val="0"/>
              <w:snapToGrid w:val="0"/>
              <w:spacing w:line="295" w:lineRule="auto"/>
              <w:jc w:val="center"/>
              <w:textAlignment w:val="baseline"/>
              <w:rPr>
                <w:rFonts w:ascii="Arial" w:hAnsi="Arial" w:eastAsia="Arial" w:cs="Arial"/>
                <w:snapToGrid w:val="0"/>
                <w:color w:val="auto"/>
                <w:kern w:val="0"/>
                <w:sz w:val="21"/>
                <w:szCs w:val="21"/>
                <w:highlight w:val="none"/>
                <w:lang w:eastAsia="en-US"/>
              </w:rPr>
            </w:pPr>
          </w:p>
          <w:p w14:paraId="1BE1C904">
            <w:pPr>
              <w:kinsoku w:val="0"/>
              <w:autoSpaceDE w:val="0"/>
              <w:autoSpaceDN w:val="0"/>
              <w:adjustRightInd w:val="0"/>
              <w:snapToGrid w:val="0"/>
              <w:spacing w:before="68" w:line="221" w:lineRule="auto"/>
              <w:jc w:val="center"/>
              <w:textAlignment w:val="baseline"/>
              <w:rPr>
                <w:rFonts w:ascii="宋体" w:hAnsi="宋体" w:eastAsia="宋体" w:cs="宋体"/>
                <w:snapToGrid w:val="0"/>
                <w:color w:val="auto"/>
                <w:kern w:val="0"/>
                <w:sz w:val="21"/>
                <w:szCs w:val="21"/>
                <w:highlight w:val="none"/>
                <w:lang w:val="en-US" w:eastAsia="en-US" w:bidi="ar-SA"/>
              </w:rPr>
            </w:pPr>
            <w:r>
              <w:rPr>
                <w:rFonts w:ascii="宋体" w:hAnsi="宋体" w:eastAsia="宋体" w:cs="宋体"/>
                <w:snapToGrid w:val="0"/>
                <w:color w:val="auto"/>
                <w:spacing w:val="-6"/>
                <w:kern w:val="0"/>
                <w:sz w:val="21"/>
                <w:szCs w:val="21"/>
                <w:highlight w:val="none"/>
                <w:lang w:val="en-US" w:eastAsia="en-US" w:bidi="ar-SA"/>
              </w:rPr>
              <w:t>标的预算（元）</w:t>
            </w:r>
          </w:p>
        </w:tc>
      </w:tr>
      <w:tr w14:paraId="1A9FC0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3" w:hRule="atLeast"/>
          <w:jc w:val="center"/>
        </w:trPr>
        <w:tc>
          <w:tcPr>
            <w:tcW w:w="1170" w:type="dxa"/>
            <w:tcBorders>
              <w:left w:val="single" w:color="000000" w:sz="2" w:space="0"/>
              <w:bottom w:val="single" w:color="000000" w:sz="2" w:space="0"/>
            </w:tcBorders>
            <w:noWrap w:val="0"/>
            <w:vAlign w:val="center"/>
          </w:tcPr>
          <w:p w14:paraId="0B150996">
            <w:pPr>
              <w:kinsoku w:val="0"/>
              <w:autoSpaceDE w:val="0"/>
              <w:autoSpaceDN w:val="0"/>
              <w:adjustRightInd w:val="0"/>
              <w:snapToGrid w:val="0"/>
              <w:spacing w:before="65" w:line="228" w:lineRule="auto"/>
              <w:ind w:left="300"/>
              <w:jc w:val="both"/>
              <w:textAlignment w:val="baseline"/>
              <w:rPr>
                <w:rFonts w:ascii="宋体" w:hAnsi="宋体" w:eastAsia="宋体" w:cs="宋体"/>
                <w:snapToGrid w:val="0"/>
                <w:color w:val="auto"/>
                <w:kern w:val="0"/>
                <w:sz w:val="21"/>
                <w:szCs w:val="21"/>
                <w:highlight w:val="none"/>
                <w:u w:val="none" w:color="auto"/>
                <w:lang w:val="en-US" w:eastAsia="en-US" w:bidi="ar-SA"/>
              </w:rPr>
            </w:pPr>
            <w:r>
              <w:rPr>
                <w:rFonts w:ascii="宋体" w:hAnsi="宋体" w:eastAsia="宋体" w:cs="宋体"/>
                <w:snapToGrid w:val="0"/>
                <w:color w:val="auto"/>
                <w:spacing w:val="-4"/>
                <w:kern w:val="0"/>
                <w:sz w:val="21"/>
                <w:szCs w:val="21"/>
                <w:highlight w:val="none"/>
                <w:u w:val="none" w:color="auto"/>
                <w:lang w:val="en-US" w:eastAsia="en-US" w:bidi="ar-SA"/>
              </w:rPr>
              <w:t>包</w:t>
            </w:r>
            <w:r>
              <w:rPr>
                <w:rFonts w:ascii="宋体" w:hAnsi="宋体" w:eastAsia="宋体" w:cs="宋体"/>
                <w:snapToGrid w:val="0"/>
                <w:color w:val="auto"/>
                <w:spacing w:val="-29"/>
                <w:kern w:val="0"/>
                <w:sz w:val="21"/>
                <w:szCs w:val="21"/>
                <w:highlight w:val="none"/>
                <w:u w:val="none" w:color="auto"/>
                <w:lang w:val="en-US" w:eastAsia="en-US" w:bidi="ar-SA"/>
              </w:rPr>
              <w:t xml:space="preserve"> </w:t>
            </w:r>
            <w:r>
              <w:rPr>
                <w:rFonts w:ascii="宋体" w:hAnsi="宋体" w:eastAsia="宋体" w:cs="宋体"/>
                <w:snapToGrid w:val="0"/>
                <w:color w:val="auto"/>
                <w:spacing w:val="-4"/>
                <w:kern w:val="0"/>
                <w:sz w:val="21"/>
                <w:szCs w:val="21"/>
                <w:highlight w:val="none"/>
                <w:u w:val="none" w:color="auto"/>
                <w:lang w:val="en-US" w:eastAsia="en-US" w:bidi="ar-SA"/>
              </w:rPr>
              <w:t>1</w:t>
            </w:r>
          </w:p>
        </w:tc>
        <w:tc>
          <w:tcPr>
            <w:tcW w:w="2455" w:type="dxa"/>
            <w:tcBorders>
              <w:bottom w:val="single" w:color="000000" w:sz="2" w:space="0"/>
            </w:tcBorders>
            <w:noWrap w:val="0"/>
            <w:vAlign w:val="center"/>
          </w:tcPr>
          <w:p w14:paraId="697005EB">
            <w:pPr>
              <w:kinsoku w:val="0"/>
              <w:autoSpaceDE w:val="0"/>
              <w:autoSpaceDN w:val="0"/>
              <w:adjustRightInd w:val="0"/>
              <w:snapToGrid w:val="0"/>
              <w:spacing w:before="149" w:line="334" w:lineRule="auto"/>
              <w:ind w:left="118" w:right="98" w:firstLine="71"/>
              <w:jc w:val="center"/>
              <w:textAlignment w:val="baseline"/>
              <w:rPr>
                <w:rFonts w:hint="eastAsia" w:ascii="宋体" w:hAnsi="宋体" w:eastAsia="宋体" w:cs="宋体"/>
                <w:snapToGrid w:val="0"/>
                <w:color w:val="auto"/>
                <w:kern w:val="0"/>
                <w:sz w:val="21"/>
                <w:szCs w:val="21"/>
                <w:highlight w:val="none"/>
                <w:u w:val="none" w:color="auto"/>
                <w:lang w:val="en-US" w:eastAsia="zh-CN" w:bidi="ar-SA"/>
              </w:rPr>
            </w:pPr>
            <w:r>
              <w:rPr>
                <w:rFonts w:hint="eastAsia" w:ascii="宋体" w:hAnsi="宋体" w:eastAsia="宋体" w:cs="宋体"/>
                <w:snapToGrid w:val="0"/>
                <w:color w:val="auto"/>
                <w:spacing w:val="-1"/>
                <w:kern w:val="0"/>
                <w:sz w:val="21"/>
                <w:szCs w:val="21"/>
                <w:highlight w:val="none"/>
                <w:u w:val="none" w:color="auto"/>
                <w:lang w:val="en-US" w:eastAsia="zh-CN" w:bidi="ar-SA"/>
              </w:rPr>
              <w:t>郴州市爱莲湖水生态修复项目</w:t>
            </w:r>
          </w:p>
        </w:tc>
        <w:tc>
          <w:tcPr>
            <w:tcW w:w="1698" w:type="dxa"/>
            <w:tcBorders>
              <w:bottom w:val="single" w:color="000000" w:sz="2" w:space="0"/>
            </w:tcBorders>
            <w:noWrap w:val="0"/>
            <w:vAlign w:val="center"/>
          </w:tcPr>
          <w:p w14:paraId="29E37D79">
            <w:pPr>
              <w:kinsoku w:val="0"/>
              <w:autoSpaceDE w:val="0"/>
              <w:autoSpaceDN w:val="0"/>
              <w:adjustRightInd w:val="0"/>
              <w:snapToGrid w:val="0"/>
              <w:spacing w:before="68" w:line="221" w:lineRule="auto"/>
              <w:ind w:left="132"/>
              <w:jc w:val="center"/>
              <w:textAlignment w:val="baseline"/>
              <w:rPr>
                <w:rFonts w:ascii="宋体" w:hAnsi="宋体" w:eastAsia="宋体" w:cs="宋体"/>
                <w:snapToGrid w:val="0"/>
                <w:color w:val="auto"/>
                <w:kern w:val="0"/>
                <w:sz w:val="21"/>
                <w:szCs w:val="21"/>
                <w:highlight w:val="none"/>
                <w:u w:val="none" w:color="auto"/>
                <w:lang w:val="en-US" w:eastAsia="en-US" w:bidi="ar-SA"/>
              </w:rPr>
            </w:pPr>
            <w:r>
              <w:rPr>
                <w:rFonts w:ascii="宋体" w:hAnsi="宋体" w:eastAsia="宋体" w:cs="宋体"/>
                <w:snapToGrid w:val="0"/>
                <w:color w:val="auto"/>
                <w:spacing w:val="-2"/>
                <w:kern w:val="0"/>
                <w:sz w:val="21"/>
                <w:szCs w:val="21"/>
                <w:highlight w:val="none"/>
                <w:u w:val="none" w:color="auto"/>
                <w:lang w:val="en-US" w:eastAsia="en-US" w:bidi="ar-SA"/>
              </w:rPr>
              <w:t>详见第二</w:t>
            </w:r>
            <w:r>
              <w:rPr>
                <w:rFonts w:ascii="宋体" w:hAnsi="宋体" w:eastAsia="宋体" w:cs="宋体"/>
                <w:snapToGrid w:val="0"/>
                <w:color w:val="auto"/>
                <w:spacing w:val="-1"/>
                <w:kern w:val="0"/>
                <w:sz w:val="21"/>
                <w:szCs w:val="21"/>
                <w:highlight w:val="none"/>
                <w:u w:val="none" w:color="auto"/>
                <w:lang w:val="en-US" w:eastAsia="en-US" w:bidi="ar-SA"/>
              </w:rPr>
              <w:t>节</w:t>
            </w:r>
            <w:r>
              <w:rPr>
                <w:rFonts w:ascii="宋体" w:hAnsi="宋体" w:eastAsia="宋体" w:cs="宋体"/>
                <w:snapToGrid w:val="0"/>
                <w:color w:val="auto"/>
                <w:spacing w:val="-1"/>
                <w:kern w:val="0"/>
                <w:sz w:val="21"/>
                <w:szCs w:val="21"/>
                <w:highlight w:val="none"/>
                <w:u w:val="none" w:color="auto"/>
                <w:lang w:val="en-US" w:eastAsia="en-US" w:bidi="ar-SA"/>
              </w:rPr>
              <w:br w:type="textWrapping"/>
            </w:r>
            <w:r>
              <w:rPr>
                <w:rFonts w:ascii="宋体" w:hAnsi="宋体" w:eastAsia="宋体" w:cs="宋体"/>
                <w:snapToGrid w:val="0"/>
                <w:color w:val="auto"/>
                <w:spacing w:val="-1"/>
                <w:kern w:val="0"/>
                <w:sz w:val="21"/>
                <w:szCs w:val="21"/>
                <w:highlight w:val="none"/>
                <w:u w:val="none" w:color="auto"/>
                <w:lang w:val="en-US" w:eastAsia="en-US" w:bidi="ar-SA"/>
              </w:rPr>
              <w:t>技术要</w:t>
            </w:r>
            <w:r>
              <w:rPr>
                <w:rFonts w:ascii="宋体" w:hAnsi="宋体" w:eastAsia="宋体" w:cs="宋体"/>
                <w:snapToGrid w:val="0"/>
                <w:color w:val="auto"/>
                <w:kern w:val="0"/>
                <w:sz w:val="21"/>
                <w:szCs w:val="21"/>
                <w:highlight w:val="none"/>
                <w:u w:val="none" w:color="auto"/>
                <w:lang w:val="en-US" w:eastAsia="en-US" w:bidi="ar-SA"/>
              </w:rPr>
              <w:t>求</w:t>
            </w:r>
          </w:p>
        </w:tc>
        <w:tc>
          <w:tcPr>
            <w:tcW w:w="1173" w:type="dxa"/>
            <w:tcBorders>
              <w:bottom w:val="single" w:color="000000" w:sz="2" w:space="0"/>
            </w:tcBorders>
            <w:noWrap w:val="0"/>
            <w:vAlign w:val="center"/>
          </w:tcPr>
          <w:p w14:paraId="6EE457F4">
            <w:pPr>
              <w:kinsoku w:val="0"/>
              <w:autoSpaceDE w:val="0"/>
              <w:autoSpaceDN w:val="0"/>
              <w:adjustRightInd w:val="0"/>
              <w:snapToGrid w:val="0"/>
              <w:spacing w:before="293" w:line="382" w:lineRule="auto"/>
              <w:ind w:left="117" w:right="83" w:firstLine="17"/>
              <w:jc w:val="center"/>
              <w:textAlignment w:val="baseline"/>
              <w:rPr>
                <w:rFonts w:ascii="宋体" w:hAnsi="宋体" w:eastAsia="宋体" w:cs="宋体"/>
                <w:snapToGrid w:val="0"/>
                <w:color w:val="auto"/>
                <w:kern w:val="0"/>
                <w:sz w:val="21"/>
                <w:szCs w:val="21"/>
                <w:highlight w:val="none"/>
                <w:u w:val="none" w:color="auto"/>
                <w:lang w:val="en-US" w:eastAsia="en-US" w:bidi="ar-SA"/>
              </w:rPr>
            </w:pPr>
            <w:r>
              <w:rPr>
                <w:rFonts w:hint="eastAsia" w:ascii="宋体" w:hAnsi="宋体" w:eastAsia="宋体" w:cs="宋体"/>
                <w:snapToGrid w:val="0"/>
                <w:color w:val="auto"/>
                <w:spacing w:val="-6"/>
                <w:kern w:val="0"/>
                <w:sz w:val="21"/>
                <w:szCs w:val="21"/>
                <w:highlight w:val="none"/>
                <w:u w:val="none" w:color="auto"/>
                <w:lang w:val="en-US" w:eastAsia="zh-CN" w:bidi="ar-SA"/>
              </w:rPr>
              <w:t>1</w:t>
            </w:r>
            <w:r>
              <w:rPr>
                <w:rFonts w:ascii="宋体" w:hAnsi="宋体" w:eastAsia="宋体" w:cs="宋体"/>
                <w:snapToGrid w:val="0"/>
                <w:color w:val="auto"/>
                <w:spacing w:val="-6"/>
                <w:kern w:val="0"/>
                <w:sz w:val="21"/>
                <w:szCs w:val="21"/>
                <w:highlight w:val="none"/>
                <w:u w:val="none" w:color="auto"/>
                <w:lang w:val="en-US" w:eastAsia="en-US" w:bidi="ar-SA"/>
              </w:rPr>
              <w:t>年</w:t>
            </w:r>
          </w:p>
        </w:tc>
        <w:tc>
          <w:tcPr>
            <w:tcW w:w="2502" w:type="dxa"/>
            <w:tcBorders>
              <w:bottom w:val="single" w:color="000000" w:sz="2" w:space="0"/>
              <w:right w:val="single" w:color="000000" w:sz="2" w:space="0"/>
            </w:tcBorders>
            <w:noWrap w:val="0"/>
            <w:vAlign w:val="center"/>
          </w:tcPr>
          <w:p w14:paraId="703022F1">
            <w:pPr>
              <w:kinsoku w:val="0"/>
              <w:autoSpaceDE w:val="0"/>
              <w:autoSpaceDN w:val="0"/>
              <w:adjustRightInd w:val="0"/>
              <w:snapToGrid w:val="0"/>
              <w:spacing w:before="69" w:line="221" w:lineRule="auto"/>
              <w:ind w:left="132"/>
              <w:jc w:val="center"/>
              <w:textAlignment w:val="baseline"/>
              <w:rPr>
                <w:rFonts w:hint="default" w:ascii="宋体" w:hAnsi="宋体" w:eastAsia="宋体" w:cs="宋体"/>
                <w:snapToGrid w:val="0"/>
                <w:color w:val="auto"/>
                <w:kern w:val="0"/>
                <w:sz w:val="21"/>
                <w:szCs w:val="21"/>
                <w:highlight w:val="none"/>
                <w:u w:val="none" w:color="auto"/>
                <w:lang w:val="en-US" w:eastAsia="en-US" w:bidi="ar-SA"/>
              </w:rPr>
            </w:pPr>
            <w:r>
              <w:rPr>
                <w:rFonts w:hint="eastAsia" w:ascii="宋体" w:hAnsi="宋体" w:eastAsia="宋体" w:cs="宋体"/>
                <w:snapToGrid w:val="0"/>
                <w:color w:val="auto"/>
                <w:spacing w:val="-2"/>
                <w:kern w:val="0"/>
                <w:sz w:val="21"/>
                <w:szCs w:val="21"/>
                <w:highlight w:val="none"/>
                <w:u w:val="none" w:color="auto"/>
                <w:lang w:val="en-US" w:eastAsia="zh-CN" w:bidi="ar-SA"/>
              </w:rPr>
              <w:t>￥1828124.80</w:t>
            </w:r>
          </w:p>
        </w:tc>
      </w:tr>
    </w:tbl>
    <w:p w14:paraId="20238201">
      <w:pPr>
        <w:widowControl/>
        <w:kinsoku w:val="0"/>
        <w:autoSpaceDE w:val="0"/>
        <w:autoSpaceDN w:val="0"/>
        <w:adjustRightInd w:val="0"/>
        <w:snapToGrid w:val="0"/>
        <w:spacing w:line="264" w:lineRule="auto"/>
        <w:jc w:val="left"/>
        <w:textAlignment w:val="baseline"/>
        <w:rPr>
          <w:rFonts w:ascii="Arial" w:hAnsi="Arial" w:eastAsia="Arial" w:cs="Arial"/>
          <w:snapToGrid w:val="0"/>
          <w:color w:val="auto"/>
          <w:kern w:val="0"/>
          <w:sz w:val="21"/>
          <w:szCs w:val="21"/>
          <w:highlight w:val="none"/>
          <w:lang w:eastAsia="en-US"/>
        </w:rPr>
      </w:pPr>
    </w:p>
    <w:p w14:paraId="10793EF4">
      <w:pPr>
        <w:widowControl/>
        <w:kinsoku w:val="0"/>
        <w:autoSpaceDE w:val="0"/>
        <w:autoSpaceDN w:val="0"/>
        <w:adjustRightInd w:val="0"/>
        <w:snapToGrid w:val="0"/>
        <w:spacing w:line="265" w:lineRule="auto"/>
        <w:jc w:val="left"/>
        <w:textAlignment w:val="baseline"/>
        <w:rPr>
          <w:rFonts w:ascii="Arial" w:hAnsi="Arial" w:eastAsia="Arial" w:cs="Arial"/>
          <w:snapToGrid w:val="0"/>
          <w:color w:val="auto"/>
          <w:kern w:val="0"/>
          <w:sz w:val="21"/>
          <w:szCs w:val="21"/>
          <w:highlight w:val="none"/>
          <w:lang w:eastAsia="en-US"/>
        </w:rPr>
      </w:pPr>
    </w:p>
    <w:p w14:paraId="77F4D149">
      <w:pPr>
        <w:kinsoku w:val="0"/>
        <w:autoSpaceDE w:val="0"/>
        <w:autoSpaceDN w:val="0"/>
        <w:adjustRightInd w:val="0"/>
        <w:snapToGrid w:val="0"/>
        <w:spacing w:before="69" w:line="221" w:lineRule="auto"/>
        <w:ind w:left="517"/>
        <w:jc w:val="left"/>
        <w:textAlignment w:val="baseline"/>
        <w:rPr>
          <w:rFonts w:hint="eastAsia" w:eastAsia="宋体"/>
          <w:color w:val="auto"/>
          <w:sz w:val="21"/>
          <w:szCs w:val="21"/>
          <w:highlight w:val="none"/>
          <w:lang w:eastAsia="zh-CN"/>
        </w:rPr>
        <w:sectPr>
          <w:pgSz w:w="11905" w:h="16839"/>
          <w:pgMar w:top="1573" w:right="1349" w:bottom="1549" w:left="1382" w:header="1241" w:footer="1333" w:gutter="0"/>
          <w:pgNumType w:fmt="decimal"/>
          <w:cols w:space="720" w:num="1"/>
        </w:sectPr>
      </w:pPr>
      <w:r>
        <w:rPr>
          <w:rFonts w:ascii="宋体" w:hAnsi="宋体" w:eastAsia="宋体" w:cs="宋体"/>
          <w:snapToGrid w:val="0"/>
          <w:color w:val="auto"/>
          <w:spacing w:val="4"/>
          <w:kern w:val="0"/>
          <w:sz w:val="21"/>
          <w:szCs w:val="21"/>
          <w:highlight w:val="none"/>
          <w:lang w:val="en-US" w:eastAsia="en-US" w:bidi="ar-SA"/>
        </w:rPr>
        <w:t>注：主要技术要求及服务内容详见第二节“技术要求</w:t>
      </w:r>
      <w:r>
        <w:rPr>
          <w:rFonts w:hint="eastAsia" w:ascii="宋体" w:hAnsi="宋体" w:eastAsia="宋体" w:cs="宋体"/>
          <w:snapToGrid w:val="0"/>
          <w:color w:val="auto"/>
          <w:spacing w:val="4"/>
          <w:kern w:val="0"/>
          <w:sz w:val="21"/>
          <w:szCs w:val="21"/>
          <w:highlight w:val="none"/>
          <w:lang w:val="en-US" w:eastAsia="zh-CN" w:bidi="ar-SA"/>
        </w:rPr>
        <w:t>”</w:t>
      </w:r>
    </w:p>
    <w:p w14:paraId="742D47A8">
      <w:pPr>
        <w:kinsoku w:val="0"/>
        <w:autoSpaceDE w:val="0"/>
        <w:autoSpaceDN w:val="0"/>
        <w:adjustRightInd w:val="0"/>
        <w:snapToGrid w:val="0"/>
        <w:spacing w:before="78" w:line="220" w:lineRule="auto"/>
        <w:jc w:val="center"/>
        <w:textAlignment w:val="baseline"/>
        <w:rPr>
          <w:rFonts w:ascii="宋体" w:hAnsi="宋体" w:eastAsia="宋体" w:cs="宋体"/>
          <w:snapToGrid w:val="0"/>
          <w:color w:val="auto"/>
          <w:kern w:val="0"/>
          <w:sz w:val="32"/>
          <w:szCs w:val="32"/>
          <w:highlight w:val="none"/>
          <w:lang w:val="en-US" w:eastAsia="en-US" w:bidi="ar-SA"/>
        </w:rPr>
      </w:pPr>
      <w:r>
        <w:rPr>
          <w:rFonts w:ascii="宋体" w:hAnsi="宋体" w:eastAsia="宋体" w:cs="宋体"/>
          <w:b/>
          <w:bCs/>
          <w:snapToGrid w:val="0"/>
          <w:color w:val="auto"/>
          <w:spacing w:val="-3"/>
          <w:kern w:val="0"/>
          <w:sz w:val="32"/>
          <w:szCs w:val="32"/>
          <w:highlight w:val="none"/>
          <w:lang w:val="en-US" w:eastAsia="en-US" w:bidi="ar-SA"/>
        </w:rPr>
        <w:t>第二节</w:t>
      </w:r>
      <w:r>
        <w:rPr>
          <w:rFonts w:ascii="宋体" w:hAnsi="宋体" w:eastAsia="宋体" w:cs="宋体"/>
          <w:snapToGrid w:val="0"/>
          <w:color w:val="auto"/>
          <w:spacing w:val="-3"/>
          <w:kern w:val="0"/>
          <w:sz w:val="32"/>
          <w:szCs w:val="32"/>
          <w:highlight w:val="none"/>
          <w:lang w:val="en-US" w:eastAsia="en-US" w:bidi="ar-SA"/>
        </w:rPr>
        <w:t xml:space="preserve"> </w:t>
      </w:r>
      <w:r>
        <w:rPr>
          <w:rFonts w:ascii="宋体" w:hAnsi="宋体" w:eastAsia="宋体" w:cs="宋体"/>
          <w:b/>
          <w:bCs/>
          <w:snapToGrid w:val="0"/>
          <w:color w:val="auto"/>
          <w:spacing w:val="-3"/>
          <w:kern w:val="0"/>
          <w:sz w:val="32"/>
          <w:szCs w:val="32"/>
          <w:highlight w:val="none"/>
          <w:lang w:val="en-US" w:eastAsia="en-US" w:bidi="ar-SA"/>
        </w:rPr>
        <w:t>技术要求</w:t>
      </w:r>
    </w:p>
    <w:p w14:paraId="613C12D7">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一、项目名称</w:t>
      </w:r>
    </w:p>
    <w:p w14:paraId="57551C35">
      <w:pPr>
        <w:keepNext w:val="0"/>
        <w:keepLines w:val="0"/>
        <w:pageBreakBefore w:val="0"/>
        <w:widowControl/>
        <w:kinsoku w:val="0"/>
        <w:wordWrap/>
        <w:overflowPunct/>
        <w:topLinePunct w:val="0"/>
        <w:autoSpaceDE w:val="0"/>
        <w:autoSpaceDN w:val="0"/>
        <w:bidi w:val="0"/>
        <w:adjustRightInd w:val="0"/>
        <w:snapToGrid w:val="0"/>
        <w:spacing w:before="58" w:line="360" w:lineRule="auto"/>
        <w:ind w:left="37" w:right="23" w:firstLine="437"/>
        <w:jc w:val="left"/>
        <w:textAlignment w:val="baseline"/>
        <w:outlineLvl w:val="0"/>
        <w:rPr>
          <w:rFonts w:hint="eastAsia" w:ascii="宋体" w:hAnsi="宋体" w:eastAsia="宋体" w:cs="宋体"/>
          <w:snapToGrid w:val="0"/>
          <w:color w:val="auto"/>
          <w:spacing w:val="-3"/>
          <w:kern w:val="0"/>
          <w:sz w:val="21"/>
          <w:szCs w:val="21"/>
          <w:highlight w:val="none"/>
          <w:lang w:val="en-US" w:eastAsia="zh-CN" w:bidi="ar-SA"/>
        </w:rPr>
      </w:pPr>
      <w:r>
        <w:rPr>
          <w:rFonts w:hint="eastAsia" w:ascii="宋体" w:hAnsi="宋体" w:eastAsia="宋体" w:cs="宋体"/>
          <w:snapToGrid w:val="0"/>
          <w:color w:val="auto"/>
          <w:spacing w:val="-3"/>
          <w:kern w:val="0"/>
          <w:sz w:val="21"/>
          <w:szCs w:val="21"/>
          <w:highlight w:val="none"/>
          <w:lang w:val="en-US" w:eastAsia="zh-CN" w:bidi="ar-SA"/>
        </w:rPr>
        <w:t>郴州市爱莲湖水生态修复项目</w:t>
      </w:r>
    </w:p>
    <w:p w14:paraId="73719AA5">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both"/>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二、项目概况</w:t>
      </w:r>
    </w:p>
    <w:p w14:paraId="13A3AD32">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08" w:firstLineChars="200"/>
        <w:jc w:val="both"/>
        <w:textAlignment w:val="auto"/>
        <w:rPr>
          <w:rFonts w:hint="eastAsia" w:ascii="宋体" w:hAnsi="宋体" w:eastAsia="宋体" w:cs="宋体"/>
          <w:snapToGrid w:val="0"/>
          <w:color w:val="auto"/>
          <w:spacing w:val="-3"/>
          <w:kern w:val="0"/>
          <w:sz w:val="21"/>
          <w:szCs w:val="21"/>
          <w:highlight w:val="none"/>
          <w:lang w:val="en-US" w:eastAsia="zh-CN" w:bidi="ar-SA"/>
        </w:rPr>
      </w:pPr>
      <w:r>
        <w:rPr>
          <w:rFonts w:hint="eastAsia" w:ascii="宋体" w:hAnsi="宋体" w:eastAsia="宋体" w:cs="宋体"/>
          <w:snapToGrid w:val="0"/>
          <w:color w:val="auto"/>
          <w:spacing w:val="-3"/>
          <w:kern w:val="0"/>
          <w:sz w:val="21"/>
          <w:szCs w:val="21"/>
          <w:highlight w:val="none"/>
          <w:lang w:val="en-US" w:eastAsia="zh-CN" w:bidi="ar-SA"/>
        </w:rPr>
        <w:t>郴州市爱莲湖水面面积约为 106 亩（70500㎡），正常蓄水量 68400m³，湖区平均水深约 1.0m 。湖水源自郴江河水，可供大小游船自由划翔，湖边建有香远楼、益清阁、君子亭等建筑，适宜休闲垂钓。亭台楼阁、花草树木与湖中倒影相映万趣，相得益彰。</w:t>
      </w:r>
    </w:p>
    <w:p w14:paraId="79435199">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08" w:firstLineChars="200"/>
        <w:jc w:val="both"/>
        <w:textAlignment w:val="auto"/>
        <w:rPr>
          <w:rFonts w:hint="eastAsia" w:ascii="宋体" w:hAnsi="宋体" w:eastAsia="宋体" w:cs="宋体"/>
          <w:snapToGrid w:val="0"/>
          <w:color w:val="auto"/>
          <w:spacing w:val="-3"/>
          <w:kern w:val="0"/>
          <w:sz w:val="21"/>
          <w:szCs w:val="21"/>
          <w:highlight w:val="none"/>
          <w:lang w:val="en-US" w:eastAsia="zh-CN" w:bidi="ar-SA"/>
        </w:rPr>
      </w:pPr>
      <w:r>
        <w:rPr>
          <w:rFonts w:hint="eastAsia" w:ascii="宋体" w:hAnsi="宋体" w:eastAsia="宋体" w:cs="宋体"/>
          <w:snapToGrid w:val="0"/>
          <w:color w:val="auto"/>
          <w:spacing w:val="-3"/>
          <w:kern w:val="0"/>
          <w:sz w:val="21"/>
          <w:szCs w:val="21"/>
          <w:highlight w:val="none"/>
          <w:lang w:val="en-US" w:eastAsia="zh-CN" w:bidi="ar-SA"/>
        </w:rPr>
        <w:t>现状水环境问题：1.现状水体富营养化突出，难以稳定达到 Ⅲ 类水标准。2.内源底泥污染持续释放，长期外源污染物沉降积累，湖底底泥富集有机质、氮磷污染物；水体缺氧条件下，底泥营养盐持续向上覆水体释放，形成 “二次污染”。单纯依靠换水、水面保洁无法根治，也是水质反复波动、容易反弹的主要原因。3.水体透明度偏低，不具备沉水植物自然生长条件。4.缺乏稳定的立体水生净化群落，野生杂生水草肆意繁衍，优势生态群落缺失，外来入侵生物风险较高，微生物生态体系退化。</w:t>
      </w:r>
    </w:p>
    <w:p w14:paraId="4F49CD3A">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08" w:firstLineChars="200"/>
        <w:jc w:val="both"/>
        <w:textAlignment w:val="auto"/>
        <w:rPr>
          <w:rFonts w:hint="eastAsia" w:ascii="宋体" w:hAnsi="宋体" w:eastAsia="宋体" w:cs="宋体"/>
          <w:snapToGrid w:val="0"/>
          <w:color w:val="auto"/>
          <w:spacing w:val="-3"/>
          <w:kern w:val="0"/>
          <w:sz w:val="21"/>
          <w:szCs w:val="21"/>
          <w:highlight w:val="none"/>
          <w:lang w:val="en-US" w:eastAsia="zh-CN" w:bidi="ar-SA"/>
        </w:rPr>
      </w:pPr>
      <w:r>
        <w:rPr>
          <w:rFonts w:hint="eastAsia" w:ascii="宋体" w:hAnsi="宋体" w:eastAsia="宋体" w:cs="宋体"/>
          <w:snapToGrid w:val="0"/>
          <w:color w:val="auto"/>
          <w:spacing w:val="-3"/>
          <w:kern w:val="0"/>
          <w:sz w:val="21"/>
          <w:szCs w:val="21"/>
          <w:highlight w:val="none"/>
          <w:lang w:val="en-US" w:eastAsia="zh-CN" w:bidi="ar-SA"/>
        </w:rPr>
        <w:t>本工程为郴州市爱莲湖生态水系提质治理项目，遵循生态优先、系统治理、标本兼治、长效运维的设计原则，采用“硬化湖底底部覆土+水质基底改良+水生群落重构+生态屏障构建+常态化运维养护”的综合治理技术路线。项目分两个区域实施：一期水域开展水系生态恢复，恢复健康的水生态系统达到前期的水景观效果；二期实施精细化生态系统构建，完善稳定的水生植物群落、水土净化体系与生态隔离体系。通过系统化治理，最终使爱莲湖水体水质稳定达到《地表水环境质量标准》（GB 3838-2002）Ⅲ类标准，构建自我净化、动态平衡、景观优良、生态稳定的城市湖泊生态水系。</w:t>
      </w:r>
    </w:p>
    <w:p w14:paraId="0C6EDC6D">
      <w:pPr>
        <w:keepNext w:val="0"/>
        <w:keepLines w:val="0"/>
        <w:pageBreakBefore w:val="0"/>
        <w:widowControl w:val="0"/>
        <w:numPr>
          <w:ilvl w:val="0"/>
          <w:numId w:val="1"/>
        </w:numPr>
        <w:kinsoku/>
        <w:wordWrap/>
        <w:overflowPunct/>
        <w:topLinePunct w:val="0"/>
        <w:autoSpaceDE/>
        <w:autoSpaceDN/>
        <w:bidi w:val="0"/>
        <w:adjustRightInd/>
        <w:snapToGrid w:val="0"/>
        <w:spacing w:line="360" w:lineRule="auto"/>
        <w:jc w:val="both"/>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项目实施要求</w:t>
      </w:r>
    </w:p>
    <w:p w14:paraId="5237F573">
      <w:pPr>
        <w:keepNext w:val="0"/>
        <w:keepLines w:val="0"/>
        <w:pageBreakBefore w:val="0"/>
        <w:widowControl w:val="0"/>
        <w:numPr>
          <w:ilvl w:val="0"/>
          <w:numId w:val="2"/>
        </w:numPr>
        <w:kinsoku/>
        <w:wordWrap/>
        <w:overflowPunct/>
        <w:topLinePunct w:val="0"/>
        <w:autoSpaceDE/>
        <w:autoSpaceDN/>
        <w:bidi w:val="0"/>
        <w:adjustRightInd/>
        <w:snapToGrid w:val="0"/>
        <w:spacing w:line="360" w:lineRule="auto"/>
        <w:ind w:firstLine="408" w:firstLineChars="200"/>
        <w:jc w:val="both"/>
        <w:textAlignment w:val="auto"/>
        <w:rPr>
          <w:rFonts w:hint="eastAsia" w:ascii="宋体" w:hAnsi="宋体" w:eastAsia="宋体" w:cs="宋体"/>
          <w:snapToGrid w:val="0"/>
          <w:color w:val="auto"/>
          <w:spacing w:val="-3"/>
          <w:kern w:val="0"/>
          <w:sz w:val="21"/>
          <w:szCs w:val="21"/>
          <w:highlight w:val="none"/>
          <w:lang w:val="en-US" w:eastAsia="zh-CN" w:bidi="ar-SA"/>
        </w:rPr>
      </w:pPr>
      <w:r>
        <w:rPr>
          <w:rFonts w:hint="eastAsia" w:ascii="宋体" w:hAnsi="宋体" w:eastAsia="宋体" w:cs="宋体"/>
          <w:snapToGrid w:val="0"/>
          <w:color w:val="auto"/>
          <w:spacing w:val="-3"/>
          <w:kern w:val="0"/>
          <w:sz w:val="21"/>
          <w:szCs w:val="21"/>
          <w:highlight w:val="none"/>
          <w:lang w:val="en-US" w:eastAsia="zh-CN" w:bidi="ar-SA"/>
        </w:rPr>
        <w:t>水质清澈常态化达标：全湖水水质稳定达到地表Ⅲ类标准，彻底消除黑臭、浑浊及富营养化问题，实现水体清澈见底的生态效果。</w:t>
      </w:r>
    </w:p>
    <w:p w14:paraId="0C0BF647">
      <w:pPr>
        <w:keepNext w:val="0"/>
        <w:keepLines w:val="0"/>
        <w:pageBreakBefore w:val="0"/>
        <w:widowControl w:val="0"/>
        <w:numPr>
          <w:ilvl w:val="0"/>
          <w:numId w:val="2"/>
        </w:numPr>
        <w:kinsoku/>
        <w:wordWrap/>
        <w:overflowPunct/>
        <w:topLinePunct w:val="0"/>
        <w:autoSpaceDE/>
        <w:autoSpaceDN/>
        <w:bidi w:val="0"/>
        <w:adjustRightInd/>
        <w:snapToGrid w:val="0"/>
        <w:spacing w:line="360" w:lineRule="auto"/>
        <w:ind w:firstLine="408" w:firstLineChars="200"/>
        <w:jc w:val="both"/>
        <w:textAlignment w:val="auto"/>
        <w:rPr>
          <w:rFonts w:hint="default" w:ascii="宋体" w:hAnsi="宋体" w:eastAsia="宋体" w:cs="宋体"/>
          <w:snapToGrid w:val="0"/>
          <w:color w:val="auto"/>
          <w:spacing w:val="-3"/>
          <w:kern w:val="0"/>
          <w:sz w:val="21"/>
          <w:szCs w:val="21"/>
          <w:highlight w:val="none"/>
          <w:lang w:val="en-US" w:eastAsia="en-US" w:bidi="ar-SA"/>
        </w:rPr>
      </w:pPr>
      <w:r>
        <w:rPr>
          <w:rFonts w:hint="default" w:ascii="宋体" w:hAnsi="宋体" w:eastAsia="宋体" w:cs="宋体"/>
          <w:snapToGrid w:val="0"/>
          <w:color w:val="auto"/>
          <w:spacing w:val="-3"/>
          <w:kern w:val="0"/>
          <w:sz w:val="21"/>
          <w:szCs w:val="21"/>
          <w:highlight w:val="none"/>
          <w:lang w:val="en-US" w:eastAsia="en-US" w:bidi="ar-SA"/>
        </w:rPr>
        <w:t>构建立体水下森林生态</w:t>
      </w:r>
      <w:r>
        <w:rPr>
          <w:rFonts w:hint="eastAsia" w:ascii="宋体" w:hAnsi="宋体" w:eastAsia="宋体" w:cs="宋体"/>
          <w:snapToGrid w:val="0"/>
          <w:color w:val="auto"/>
          <w:spacing w:val="-3"/>
          <w:kern w:val="0"/>
          <w:sz w:val="21"/>
          <w:szCs w:val="21"/>
          <w:highlight w:val="none"/>
          <w:lang w:val="en-US" w:eastAsia="zh-CN" w:bidi="ar-SA"/>
        </w:rPr>
        <w:t>：沉水植物覆盖率≥80%，打造稳定的立体水生生态系统，形成“水下森林”挺水植物分区规整、景观统一、生态功能完备。严格管控外来入侵生物及杂生杂草，全域杜绝福寿螺等外来入侵物种，严禁轮叶黑藻等野生杂生水草滋生，保障人工构建水生群落的单一性、稳定性。</w:t>
      </w:r>
    </w:p>
    <w:p w14:paraId="0A00708F">
      <w:pPr>
        <w:keepNext w:val="0"/>
        <w:keepLines w:val="0"/>
        <w:pageBreakBefore w:val="0"/>
        <w:widowControl w:val="0"/>
        <w:numPr>
          <w:ilvl w:val="0"/>
          <w:numId w:val="2"/>
        </w:numPr>
        <w:kinsoku/>
        <w:wordWrap/>
        <w:overflowPunct/>
        <w:topLinePunct w:val="0"/>
        <w:autoSpaceDE/>
        <w:autoSpaceDN/>
        <w:bidi w:val="0"/>
        <w:adjustRightInd/>
        <w:snapToGrid w:val="0"/>
        <w:spacing w:line="360" w:lineRule="auto"/>
        <w:ind w:firstLine="408" w:firstLineChars="200"/>
        <w:jc w:val="both"/>
        <w:textAlignment w:val="auto"/>
        <w:rPr>
          <w:rFonts w:hint="default" w:ascii="宋体" w:hAnsi="宋体" w:eastAsia="宋体" w:cs="宋体"/>
          <w:snapToGrid w:val="0"/>
          <w:color w:val="auto"/>
          <w:spacing w:val="-3"/>
          <w:kern w:val="0"/>
          <w:sz w:val="21"/>
          <w:szCs w:val="21"/>
          <w:highlight w:val="none"/>
          <w:lang w:val="en-US" w:eastAsia="en-US" w:bidi="ar-SA"/>
        </w:rPr>
      </w:pPr>
      <w:r>
        <w:rPr>
          <w:rFonts w:hint="default" w:ascii="宋体" w:hAnsi="宋体" w:eastAsia="宋体" w:cs="宋体"/>
          <w:snapToGrid w:val="0"/>
          <w:color w:val="auto"/>
          <w:spacing w:val="-3"/>
          <w:kern w:val="0"/>
          <w:sz w:val="21"/>
          <w:szCs w:val="21"/>
          <w:highlight w:val="none"/>
          <w:lang w:val="en-US" w:eastAsia="en-US" w:bidi="ar-SA"/>
        </w:rPr>
        <w:t>专项运维保障长效稳定</w:t>
      </w:r>
      <w:r>
        <w:rPr>
          <w:rFonts w:hint="eastAsia" w:ascii="宋体" w:hAnsi="宋体" w:eastAsia="宋体" w:cs="宋体"/>
          <w:snapToGrid w:val="0"/>
          <w:color w:val="auto"/>
          <w:spacing w:val="-3"/>
          <w:kern w:val="0"/>
          <w:sz w:val="21"/>
          <w:szCs w:val="21"/>
          <w:highlight w:val="none"/>
          <w:lang w:val="en-US" w:eastAsia="zh-CN" w:bidi="ar-SA"/>
        </w:rPr>
        <w:t>：</w:t>
      </w:r>
      <w:r>
        <w:rPr>
          <w:rFonts w:hint="default" w:ascii="宋体" w:hAnsi="宋体" w:eastAsia="宋体" w:cs="宋体"/>
          <w:snapToGrid w:val="0"/>
          <w:color w:val="auto"/>
          <w:spacing w:val="-3"/>
          <w:kern w:val="0"/>
          <w:sz w:val="21"/>
          <w:szCs w:val="21"/>
          <w:highlight w:val="none"/>
          <w:lang w:val="en-US" w:eastAsia="en-US" w:bidi="ar-SA"/>
        </w:rPr>
        <w:t>配套为期</w:t>
      </w:r>
      <w:r>
        <w:rPr>
          <w:rFonts w:hint="eastAsia" w:ascii="宋体" w:hAnsi="宋体" w:eastAsia="宋体" w:cs="宋体"/>
          <w:snapToGrid w:val="0"/>
          <w:color w:val="auto"/>
          <w:spacing w:val="-3"/>
          <w:kern w:val="0"/>
          <w:sz w:val="21"/>
          <w:szCs w:val="21"/>
          <w:highlight w:val="none"/>
          <w:lang w:val="en-US" w:eastAsia="zh-CN" w:bidi="ar-SA"/>
        </w:rPr>
        <w:t>六</w:t>
      </w:r>
      <w:r>
        <w:rPr>
          <w:rFonts w:hint="default" w:ascii="宋体" w:hAnsi="宋体" w:eastAsia="宋体" w:cs="宋体"/>
          <w:snapToGrid w:val="0"/>
          <w:color w:val="auto"/>
          <w:spacing w:val="-3"/>
          <w:kern w:val="0"/>
          <w:sz w:val="21"/>
          <w:szCs w:val="21"/>
          <w:highlight w:val="none"/>
          <w:lang w:val="en-US" w:eastAsia="en-US" w:bidi="ar-SA"/>
        </w:rPr>
        <w:t>个月</w:t>
      </w:r>
      <w:r>
        <w:rPr>
          <w:rFonts w:hint="default" w:ascii="宋体" w:hAnsi="宋体" w:eastAsia="宋体" w:cs="宋体"/>
          <w:snapToGrid w:val="0"/>
          <w:color w:val="auto"/>
          <w:spacing w:val="-3"/>
          <w:kern w:val="0"/>
          <w:sz w:val="21"/>
          <w:szCs w:val="21"/>
          <w:highlight w:val="none"/>
          <w:lang w:val="en-US" w:eastAsia="en-US" w:bidi="ar-SA"/>
        </w:rPr>
        <w:t>的专项运维养护，建立长效监管机制，确保治理效</w:t>
      </w:r>
      <w:r>
        <w:rPr>
          <w:rFonts w:hint="default" w:ascii="宋体" w:hAnsi="宋体" w:eastAsia="宋体" w:cs="宋体"/>
          <w:snapToGrid w:val="0"/>
          <w:color w:val="auto"/>
          <w:spacing w:val="-3"/>
          <w:kern w:val="0"/>
          <w:sz w:val="21"/>
          <w:szCs w:val="21"/>
          <w:highlight w:val="none"/>
          <w:lang w:val="en-US" w:eastAsia="en-US" w:bidi="ar-SA"/>
        </w:rPr>
        <w:t>果不反弹，维持水生态系统的自我平衡与稳定。</w:t>
      </w:r>
    </w:p>
    <w:p w14:paraId="07B9AEA9">
      <w:pPr>
        <w:keepNext w:val="0"/>
        <w:keepLines w:val="0"/>
        <w:pageBreakBefore w:val="0"/>
        <w:widowControl w:val="0"/>
        <w:numPr>
          <w:ilvl w:val="0"/>
          <w:numId w:val="2"/>
        </w:numPr>
        <w:kinsoku/>
        <w:wordWrap/>
        <w:overflowPunct/>
        <w:topLinePunct w:val="0"/>
        <w:autoSpaceDE/>
        <w:autoSpaceDN/>
        <w:bidi w:val="0"/>
        <w:adjustRightInd/>
        <w:snapToGrid w:val="0"/>
        <w:spacing w:line="360" w:lineRule="auto"/>
        <w:ind w:firstLine="408" w:firstLineChars="200"/>
        <w:jc w:val="both"/>
        <w:textAlignment w:val="auto"/>
        <w:rPr>
          <w:rFonts w:hint="default" w:ascii="宋体" w:hAnsi="宋体" w:eastAsia="宋体" w:cs="宋体"/>
          <w:snapToGrid w:val="0"/>
          <w:color w:val="auto"/>
          <w:spacing w:val="-3"/>
          <w:kern w:val="0"/>
          <w:sz w:val="21"/>
          <w:szCs w:val="21"/>
          <w:highlight w:val="none"/>
          <w:lang w:val="en-US" w:eastAsia="en-US" w:bidi="ar-SA"/>
        </w:rPr>
      </w:pPr>
      <w:r>
        <w:rPr>
          <w:rFonts w:hint="default" w:ascii="宋体" w:hAnsi="宋体" w:eastAsia="宋体" w:cs="宋体"/>
          <w:snapToGrid w:val="0"/>
          <w:color w:val="auto"/>
          <w:spacing w:val="-3"/>
          <w:kern w:val="0"/>
          <w:sz w:val="21"/>
          <w:szCs w:val="21"/>
          <w:highlight w:val="none"/>
          <w:lang w:val="en-US" w:eastAsia="en-US" w:bidi="ar-SA"/>
        </w:rPr>
        <w:t>运维养护期内，湖泊完成补水后，水体应能够快速恢复至原有清澈见底的景观效果；若补水后水体水质长时间无法达到该景观效果，供应商须实施返工处置，直至满足补水后水质可快速恢复清澈见底的要求为止。</w:t>
      </w:r>
    </w:p>
    <w:p w14:paraId="62C27B37">
      <w:pPr>
        <w:keepNext w:val="0"/>
        <w:keepLines w:val="0"/>
        <w:pageBreakBefore w:val="0"/>
        <w:widowControl w:val="0"/>
        <w:numPr>
          <w:ilvl w:val="0"/>
          <w:numId w:val="2"/>
        </w:numPr>
        <w:kinsoku/>
        <w:wordWrap/>
        <w:overflowPunct/>
        <w:topLinePunct w:val="0"/>
        <w:autoSpaceDE/>
        <w:autoSpaceDN/>
        <w:bidi w:val="0"/>
        <w:adjustRightInd/>
        <w:snapToGrid w:val="0"/>
        <w:spacing w:line="360" w:lineRule="auto"/>
        <w:ind w:firstLine="408" w:firstLineChars="200"/>
        <w:jc w:val="both"/>
        <w:textAlignment w:val="auto"/>
        <w:rPr>
          <w:rFonts w:hint="default" w:ascii="宋体" w:hAnsi="宋体" w:eastAsia="宋体" w:cs="宋体"/>
          <w:snapToGrid w:val="0"/>
          <w:color w:val="auto"/>
          <w:spacing w:val="-3"/>
          <w:kern w:val="0"/>
          <w:sz w:val="21"/>
          <w:szCs w:val="21"/>
          <w:highlight w:val="none"/>
          <w:lang w:val="en-US" w:eastAsia="en-US" w:bidi="ar-SA"/>
        </w:rPr>
      </w:pPr>
      <w:r>
        <w:rPr>
          <w:rFonts w:hint="default" w:ascii="宋体" w:hAnsi="宋体" w:eastAsia="宋体" w:cs="宋体"/>
          <w:snapToGrid w:val="0"/>
          <w:color w:val="auto"/>
          <w:spacing w:val="-3"/>
          <w:kern w:val="0"/>
          <w:sz w:val="21"/>
          <w:szCs w:val="21"/>
          <w:highlight w:val="none"/>
          <w:lang w:val="en-US" w:eastAsia="en-US" w:bidi="ar-SA"/>
        </w:rPr>
        <w:t>中标供应商进场施工前，须完整拍摄一期原有水体清澈见底实景照片、视频影像资料留存归档，作为项目完工后景观水质视觉效果比对依据；项目全部完工后，水体视觉清澈效果须不低于施工前一期原有水体标准。</w:t>
      </w:r>
    </w:p>
    <w:p w14:paraId="53B03BDA">
      <w:pPr>
        <w:keepNext w:val="0"/>
        <w:keepLines w:val="0"/>
        <w:pageBreakBefore w:val="0"/>
        <w:widowControl w:val="0"/>
        <w:numPr>
          <w:ilvl w:val="0"/>
          <w:numId w:val="2"/>
        </w:numPr>
        <w:kinsoku/>
        <w:wordWrap/>
        <w:overflowPunct/>
        <w:topLinePunct w:val="0"/>
        <w:autoSpaceDE/>
        <w:autoSpaceDN/>
        <w:bidi w:val="0"/>
        <w:adjustRightInd/>
        <w:snapToGrid w:val="0"/>
        <w:spacing w:line="360" w:lineRule="auto"/>
        <w:ind w:firstLine="408" w:firstLineChars="200"/>
        <w:jc w:val="both"/>
        <w:textAlignment w:val="auto"/>
        <w:rPr>
          <w:rFonts w:hint="default" w:ascii="宋体" w:hAnsi="宋体" w:eastAsia="宋体" w:cs="宋体"/>
          <w:snapToGrid w:val="0"/>
          <w:color w:val="auto"/>
          <w:spacing w:val="-3"/>
          <w:kern w:val="0"/>
          <w:sz w:val="21"/>
          <w:szCs w:val="21"/>
          <w:highlight w:val="none"/>
          <w:lang w:val="en-US" w:eastAsia="en-US" w:bidi="ar-SA"/>
        </w:rPr>
      </w:pPr>
      <w:r>
        <w:rPr>
          <w:rFonts w:hint="default" w:ascii="宋体" w:hAnsi="宋体" w:eastAsia="宋体" w:cs="宋体"/>
          <w:snapToGrid w:val="0"/>
          <w:color w:val="auto"/>
          <w:spacing w:val="-3"/>
          <w:kern w:val="0"/>
          <w:sz w:val="21"/>
          <w:szCs w:val="21"/>
          <w:highlight w:val="none"/>
          <w:lang w:val="en-US" w:eastAsia="en-US" w:bidi="ar-SA"/>
        </w:rPr>
        <w:t>中标供应商须委托</w:t>
      </w:r>
      <w:r>
        <w:rPr>
          <w:rFonts w:hint="eastAsia" w:ascii="宋体" w:hAnsi="宋体" w:eastAsia="宋体" w:cs="宋体"/>
          <w:snapToGrid w:val="0"/>
          <w:color w:val="auto"/>
          <w:spacing w:val="-3"/>
          <w:kern w:val="0"/>
          <w:sz w:val="21"/>
          <w:szCs w:val="21"/>
          <w:highlight w:val="none"/>
          <w:lang w:val="en-US" w:eastAsia="zh-CN" w:bidi="ar-SA"/>
        </w:rPr>
        <w:t>具有CMA</w:t>
      </w:r>
      <w:r>
        <w:rPr>
          <w:rFonts w:hint="default" w:ascii="宋体" w:hAnsi="宋体" w:eastAsia="宋体" w:cs="宋体"/>
          <w:snapToGrid w:val="0"/>
          <w:color w:val="auto"/>
          <w:spacing w:val="-3"/>
          <w:kern w:val="0"/>
          <w:sz w:val="21"/>
          <w:szCs w:val="21"/>
          <w:highlight w:val="none"/>
          <w:lang w:val="en-US" w:eastAsia="en-US" w:bidi="ar-SA"/>
        </w:rPr>
        <w:t>资质</w:t>
      </w:r>
      <w:r>
        <w:rPr>
          <w:rFonts w:hint="eastAsia" w:ascii="宋体" w:hAnsi="宋体" w:eastAsia="宋体" w:cs="宋体"/>
          <w:snapToGrid w:val="0"/>
          <w:color w:val="auto"/>
          <w:spacing w:val="-3"/>
          <w:kern w:val="0"/>
          <w:sz w:val="21"/>
          <w:szCs w:val="21"/>
          <w:highlight w:val="none"/>
          <w:lang w:val="en-US" w:eastAsia="zh-CN" w:bidi="ar-SA"/>
        </w:rPr>
        <w:t>的</w:t>
      </w:r>
      <w:r>
        <w:rPr>
          <w:rFonts w:hint="default" w:ascii="宋体" w:hAnsi="宋体" w:eastAsia="宋体" w:cs="宋体"/>
          <w:snapToGrid w:val="0"/>
          <w:color w:val="auto"/>
          <w:spacing w:val="-3"/>
          <w:kern w:val="0"/>
          <w:sz w:val="21"/>
          <w:szCs w:val="21"/>
          <w:highlight w:val="none"/>
          <w:lang w:val="en-US" w:eastAsia="en-US" w:bidi="ar-SA"/>
        </w:rPr>
        <w:t>检测机构，在施工前、工程竣工</w:t>
      </w:r>
      <w:r>
        <w:rPr>
          <w:rFonts w:hint="eastAsia" w:ascii="宋体" w:hAnsi="宋体" w:eastAsia="宋体" w:cs="宋体"/>
          <w:snapToGrid w:val="0"/>
          <w:color w:val="auto"/>
          <w:spacing w:val="-3"/>
          <w:kern w:val="0"/>
          <w:sz w:val="21"/>
          <w:szCs w:val="21"/>
          <w:highlight w:val="none"/>
          <w:lang w:val="en-US" w:eastAsia="zh-CN" w:bidi="ar-SA"/>
        </w:rPr>
        <w:t>后按照地表水环境质量检测要求，</w:t>
      </w:r>
      <w:r>
        <w:rPr>
          <w:rFonts w:hint="eastAsia" w:ascii="宋体" w:hAnsi="宋体" w:eastAsia="宋体" w:cs="宋体"/>
          <w:snapToGrid w:val="0"/>
          <w:color w:val="auto"/>
          <w:spacing w:val="-3"/>
          <w:kern w:val="0"/>
          <w:sz w:val="21"/>
          <w:szCs w:val="21"/>
          <w:highlight w:val="none"/>
          <w:lang w:val="en-US" w:eastAsia="zh-CN" w:bidi="ar-SA"/>
        </w:rPr>
        <w:t>在湖区多点位</w:t>
      </w:r>
      <w:r>
        <w:rPr>
          <w:rFonts w:hint="default" w:ascii="宋体" w:hAnsi="宋体" w:eastAsia="宋体" w:cs="宋体"/>
          <w:snapToGrid w:val="0"/>
          <w:color w:val="auto"/>
          <w:spacing w:val="-3"/>
          <w:kern w:val="0"/>
          <w:sz w:val="21"/>
          <w:szCs w:val="21"/>
          <w:highlight w:val="none"/>
          <w:lang w:val="en-US" w:eastAsia="en-US" w:bidi="ar-SA"/>
        </w:rPr>
        <w:t>实施同点位水质采样检测，相关检测报告</w:t>
      </w:r>
      <w:r>
        <w:rPr>
          <w:rFonts w:hint="eastAsia" w:ascii="宋体" w:hAnsi="宋体" w:eastAsia="宋体" w:cs="宋体"/>
          <w:snapToGrid w:val="0"/>
          <w:color w:val="auto"/>
          <w:spacing w:val="-3"/>
          <w:kern w:val="0"/>
          <w:sz w:val="21"/>
          <w:szCs w:val="21"/>
          <w:highlight w:val="none"/>
          <w:lang w:val="en-US" w:eastAsia="zh-CN" w:bidi="ar-SA"/>
        </w:rPr>
        <w:t>作为</w:t>
      </w:r>
      <w:r>
        <w:rPr>
          <w:rFonts w:hint="default" w:ascii="宋体" w:hAnsi="宋体" w:eastAsia="宋体" w:cs="宋体"/>
          <w:snapToGrid w:val="0"/>
          <w:color w:val="auto"/>
          <w:spacing w:val="-3"/>
          <w:kern w:val="0"/>
          <w:sz w:val="21"/>
          <w:szCs w:val="21"/>
          <w:highlight w:val="none"/>
          <w:lang w:val="en-US" w:eastAsia="en-US" w:bidi="ar-SA"/>
        </w:rPr>
        <w:t>施工前后水质对比</w:t>
      </w:r>
      <w:r>
        <w:rPr>
          <w:rFonts w:hint="eastAsia" w:ascii="宋体" w:hAnsi="宋体" w:eastAsia="宋体" w:cs="宋体"/>
          <w:snapToGrid w:val="0"/>
          <w:color w:val="auto"/>
          <w:spacing w:val="-3"/>
          <w:kern w:val="0"/>
          <w:sz w:val="21"/>
          <w:szCs w:val="21"/>
          <w:highlight w:val="none"/>
          <w:lang w:val="en-US" w:eastAsia="zh-CN" w:bidi="ar-SA"/>
        </w:rPr>
        <w:t>重要</w:t>
      </w:r>
      <w:r>
        <w:rPr>
          <w:rFonts w:hint="default" w:ascii="宋体" w:hAnsi="宋体" w:eastAsia="宋体" w:cs="宋体"/>
          <w:snapToGrid w:val="0"/>
          <w:color w:val="auto"/>
          <w:spacing w:val="-3"/>
          <w:kern w:val="0"/>
          <w:sz w:val="21"/>
          <w:szCs w:val="21"/>
          <w:highlight w:val="none"/>
          <w:lang w:val="en-US" w:eastAsia="en-US" w:bidi="ar-SA"/>
        </w:rPr>
        <w:t>资料；工程完工后水体水质必须达到《地表水环境质量标准》（GB 3838-2002）Ⅲ类标准</w:t>
      </w:r>
      <w:r>
        <w:rPr>
          <w:rFonts w:hint="eastAsia" w:ascii="宋体" w:hAnsi="宋体" w:eastAsia="宋体" w:cs="宋体"/>
          <w:snapToGrid w:val="0"/>
          <w:color w:val="auto"/>
          <w:spacing w:val="-3"/>
          <w:kern w:val="0"/>
          <w:sz w:val="21"/>
          <w:szCs w:val="21"/>
          <w:highlight w:val="none"/>
          <w:lang w:val="en-US" w:eastAsia="zh-CN" w:bidi="ar-SA"/>
        </w:rPr>
        <w:t>，检测费用由中标供应商自行承担，采购人不再另行支付</w:t>
      </w:r>
      <w:r>
        <w:rPr>
          <w:rFonts w:hint="default" w:ascii="宋体" w:hAnsi="宋体" w:eastAsia="宋体" w:cs="宋体"/>
          <w:snapToGrid w:val="0"/>
          <w:color w:val="auto"/>
          <w:spacing w:val="-3"/>
          <w:kern w:val="0"/>
          <w:sz w:val="21"/>
          <w:szCs w:val="21"/>
          <w:highlight w:val="none"/>
          <w:lang w:val="en-US" w:eastAsia="en-US" w:bidi="ar-SA"/>
        </w:rPr>
        <w:t>。</w:t>
      </w:r>
    </w:p>
    <w:p w14:paraId="5DF44154">
      <w:pPr>
        <w:keepNext w:val="0"/>
        <w:keepLines w:val="0"/>
        <w:pageBreakBefore w:val="0"/>
        <w:widowControl w:val="0"/>
        <w:numPr>
          <w:ilvl w:val="0"/>
          <w:numId w:val="2"/>
        </w:numPr>
        <w:kinsoku/>
        <w:wordWrap/>
        <w:overflowPunct/>
        <w:topLinePunct w:val="0"/>
        <w:autoSpaceDE/>
        <w:autoSpaceDN/>
        <w:bidi w:val="0"/>
        <w:adjustRightInd/>
        <w:snapToGrid w:val="0"/>
        <w:spacing w:line="360" w:lineRule="auto"/>
        <w:ind w:firstLine="408" w:firstLineChars="200"/>
        <w:jc w:val="both"/>
        <w:textAlignment w:val="auto"/>
        <w:rPr>
          <w:rFonts w:hint="default" w:ascii="宋体" w:hAnsi="宋体" w:eastAsia="宋体" w:cs="宋体"/>
          <w:snapToGrid w:val="0"/>
          <w:color w:val="auto"/>
          <w:spacing w:val="-3"/>
          <w:kern w:val="0"/>
          <w:sz w:val="21"/>
          <w:szCs w:val="21"/>
          <w:highlight w:val="none"/>
          <w:lang w:val="en-US" w:eastAsia="en-US" w:bidi="ar-SA"/>
        </w:rPr>
      </w:pPr>
      <w:r>
        <w:rPr>
          <w:rFonts w:hint="eastAsia" w:ascii="宋体" w:hAnsi="宋体" w:eastAsia="宋体" w:cs="宋体"/>
          <w:snapToGrid w:val="0"/>
          <w:color w:val="auto"/>
          <w:spacing w:val="-3"/>
          <w:kern w:val="0"/>
          <w:sz w:val="21"/>
          <w:szCs w:val="21"/>
          <w:highlight w:val="none"/>
          <w:lang w:val="en-US" w:eastAsia="zh-CN" w:bidi="ar-SA"/>
        </w:rPr>
        <w:t>外借土方回填运距最远按5km计取，湖内土方场内转运最远按200m以内计取，实际运距超出该范围的，结算不予另行增加费用，实际运距低于该距离的，按实际发生据实结算。中标供应商需综合考虑土方工程成本，合理制定外运土方回填以及土方场内转运方案。</w:t>
      </w:r>
    </w:p>
    <w:p w14:paraId="3F776F28">
      <w:pPr>
        <w:keepNext w:val="0"/>
        <w:keepLines w:val="0"/>
        <w:pageBreakBefore w:val="0"/>
        <w:widowControl w:val="0"/>
        <w:numPr>
          <w:ilvl w:val="0"/>
          <w:numId w:val="2"/>
        </w:numPr>
        <w:kinsoku/>
        <w:wordWrap/>
        <w:overflowPunct/>
        <w:topLinePunct w:val="0"/>
        <w:autoSpaceDE/>
        <w:autoSpaceDN/>
        <w:bidi w:val="0"/>
        <w:adjustRightInd/>
        <w:snapToGrid w:val="0"/>
        <w:spacing w:line="360" w:lineRule="auto"/>
        <w:ind w:firstLine="408" w:firstLineChars="200"/>
        <w:jc w:val="both"/>
        <w:textAlignment w:val="auto"/>
        <w:rPr>
          <w:rFonts w:hint="default" w:ascii="宋体" w:hAnsi="宋体" w:eastAsia="宋体" w:cs="宋体"/>
          <w:snapToGrid w:val="0"/>
          <w:color w:val="auto"/>
          <w:spacing w:val="-3"/>
          <w:kern w:val="0"/>
          <w:sz w:val="21"/>
          <w:szCs w:val="21"/>
          <w:highlight w:val="none"/>
          <w:lang w:val="en-US" w:eastAsia="en-US" w:bidi="ar-SA"/>
        </w:rPr>
      </w:pPr>
      <w:r>
        <w:rPr>
          <w:rFonts w:hint="eastAsia" w:ascii="宋体" w:hAnsi="宋体" w:eastAsia="宋体" w:cs="宋体"/>
          <w:snapToGrid w:val="0"/>
          <w:color w:val="auto"/>
          <w:spacing w:val="-3"/>
          <w:kern w:val="0"/>
          <w:sz w:val="21"/>
          <w:szCs w:val="21"/>
          <w:highlight w:val="none"/>
          <w:lang w:val="en-US" w:eastAsia="zh-CN" w:bidi="ar-SA"/>
        </w:rPr>
        <w:t>供应商需针对项目实施效果进行承诺，实施效果承诺书详见附件。</w:t>
      </w:r>
    </w:p>
    <w:p w14:paraId="3FAE8FAB">
      <w:pPr>
        <w:keepNext w:val="0"/>
        <w:keepLines w:val="0"/>
        <w:pageBreakBefore w:val="0"/>
        <w:widowControl w:val="0"/>
        <w:numPr>
          <w:ilvl w:val="0"/>
          <w:numId w:val="1"/>
        </w:numPr>
        <w:kinsoku/>
        <w:wordWrap/>
        <w:overflowPunct/>
        <w:topLinePunct w:val="0"/>
        <w:autoSpaceDE/>
        <w:autoSpaceDN/>
        <w:bidi w:val="0"/>
        <w:adjustRightInd/>
        <w:snapToGrid w:val="0"/>
        <w:spacing w:line="360" w:lineRule="auto"/>
        <w:jc w:val="both"/>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项目实施技术内容</w:t>
      </w:r>
    </w:p>
    <w:p w14:paraId="56CC6590">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08" w:firstLineChars="200"/>
        <w:jc w:val="both"/>
        <w:textAlignment w:val="auto"/>
        <w:rPr>
          <w:rFonts w:hint="default" w:ascii="宋体" w:hAnsi="宋体" w:eastAsia="宋体" w:cs="宋体"/>
          <w:snapToGrid w:val="0"/>
          <w:color w:val="auto"/>
          <w:spacing w:val="-3"/>
          <w:kern w:val="0"/>
          <w:sz w:val="21"/>
          <w:szCs w:val="21"/>
          <w:highlight w:val="none"/>
          <w:lang w:val="en-US" w:eastAsia="en-US" w:bidi="ar-SA"/>
        </w:rPr>
      </w:pPr>
      <w:r>
        <w:rPr>
          <w:rFonts w:hint="eastAsia" w:ascii="宋体" w:hAnsi="宋体" w:eastAsia="宋体" w:cs="宋体"/>
          <w:snapToGrid w:val="0"/>
          <w:color w:val="auto"/>
          <w:spacing w:val="-3"/>
          <w:kern w:val="0"/>
          <w:sz w:val="21"/>
          <w:szCs w:val="21"/>
          <w:highlight w:val="none"/>
          <w:lang w:val="en-US" w:eastAsia="zh-CN" w:bidi="ar-SA"/>
        </w:rPr>
        <w:t>水质基底改良；</w:t>
      </w:r>
      <w:r>
        <w:rPr>
          <w:rFonts w:hint="default" w:ascii="宋体" w:hAnsi="宋体" w:eastAsia="宋体" w:cs="宋体"/>
          <w:snapToGrid w:val="0"/>
          <w:color w:val="auto"/>
          <w:spacing w:val="-3"/>
          <w:kern w:val="0"/>
          <w:sz w:val="21"/>
          <w:szCs w:val="21"/>
          <w:highlight w:val="none"/>
          <w:lang w:val="en-US" w:eastAsia="zh-CN" w:bidi="ar-SA"/>
        </w:rPr>
        <w:t>水生群落重构</w:t>
      </w:r>
      <w:r>
        <w:rPr>
          <w:rFonts w:hint="eastAsia" w:ascii="宋体" w:hAnsi="宋体" w:eastAsia="宋体" w:cs="宋体"/>
          <w:snapToGrid w:val="0"/>
          <w:color w:val="auto"/>
          <w:spacing w:val="-3"/>
          <w:kern w:val="0"/>
          <w:sz w:val="21"/>
          <w:szCs w:val="21"/>
          <w:highlight w:val="none"/>
          <w:lang w:val="en-US" w:eastAsia="zh-CN" w:bidi="ar-SA"/>
        </w:rPr>
        <w:t>；</w:t>
      </w:r>
      <w:r>
        <w:rPr>
          <w:rFonts w:hint="default" w:ascii="宋体" w:hAnsi="宋体" w:eastAsia="宋体" w:cs="宋体"/>
          <w:snapToGrid w:val="0"/>
          <w:color w:val="auto"/>
          <w:spacing w:val="-3"/>
          <w:kern w:val="0"/>
          <w:sz w:val="21"/>
          <w:szCs w:val="21"/>
          <w:highlight w:val="none"/>
          <w:lang w:val="en-US" w:eastAsia="zh-CN" w:bidi="ar-SA"/>
        </w:rPr>
        <w:t>生态屏障构建</w:t>
      </w:r>
      <w:r>
        <w:rPr>
          <w:rFonts w:hint="eastAsia" w:ascii="宋体" w:hAnsi="宋体" w:eastAsia="宋体" w:cs="宋体"/>
          <w:snapToGrid w:val="0"/>
          <w:color w:val="auto"/>
          <w:spacing w:val="-3"/>
          <w:kern w:val="0"/>
          <w:sz w:val="21"/>
          <w:szCs w:val="21"/>
          <w:highlight w:val="none"/>
          <w:lang w:val="en-US" w:eastAsia="zh-CN" w:bidi="ar-SA"/>
        </w:rPr>
        <w:t>；</w:t>
      </w:r>
      <w:r>
        <w:rPr>
          <w:rFonts w:hint="default" w:ascii="宋体" w:hAnsi="宋体" w:eastAsia="宋体" w:cs="宋体"/>
          <w:snapToGrid w:val="0"/>
          <w:color w:val="auto"/>
          <w:spacing w:val="-3"/>
          <w:kern w:val="0"/>
          <w:sz w:val="21"/>
          <w:szCs w:val="21"/>
          <w:highlight w:val="none"/>
          <w:lang w:val="en-US" w:eastAsia="zh-CN" w:bidi="ar-SA"/>
        </w:rPr>
        <w:t>常态化运维养护</w:t>
      </w:r>
      <w:r>
        <w:rPr>
          <w:rFonts w:hint="eastAsia" w:ascii="宋体" w:hAnsi="宋体" w:eastAsia="宋体" w:cs="宋体"/>
          <w:snapToGrid w:val="0"/>
          <w:color w:val="auto"/>
          <w:spacing w:val="-3"/>
          <w:kern w:val="0"/>
          <w:sz w:val="21"/>
          <w:szCs w:val="21"/>
          <w:highlight w:val="none"/>
          <w:lang w:val="en-US" w:eastAsia="zh-CN" w:bidi="ar-SA"/>
        </w:rPr>
        <w:t>；</w:t>
      </w:r>
    </w:p>
    <w:p w14:paraId="0F728873">
      <w:pPr>
        <w:keepNext w:val="0"/>
        <w:keepLines w:val="0"/>
        <w:pageBreakBefore w:val="0"/>
        <w:widowControl w:val="0"/>
        <w:numPr>
          <w:ilvl w:val="0"/>
          <w:numId w:val="1"/>
        </w:numPr>
        <w:kinsoku/>
        <w:wordWrap/>
        <w:overflowPunct/>
        <w:topLinePunct w:val="0"/>
        <w:autoSpaceDE/>
        <w:autoSpaceDN/>
        <w:bidi w:val="0"/>
        <w:adjustRightInd/>
        <w:snapToGrid w:val="0"/>
        <w:spacing w:line="360" w:lineRule="auto"/>
        <w:jc w:val="both"/>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项目实施范围</w:t>
      </w:r>
    </w:p>
    <w:p w14:paraId="0012BC03">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08" w:firstLineChars="200"/>
        <w:jc w:val="both"/>
        <w:textAlignment w:val="auto"/>
        <w:rPr>
          <w:rFonts w:hint="eastAsia" w:ascii="宋体" w:hAnsi="宋体" w:eastAsia="宋体" w:cs="宋体"/>
          <w:snapToGrid w:val="0"/>
          <w:color w:val="auto"/>
          <w:spacing w:val="-3"/>
          <w:kern w:val="0"/>
          <w:sz w:val="21"/>
          <w:szCs w:val="21"/>
          <w:highlight w:val="none"/>
          <w:lang w:val="en-US" w:eastAsia="zh-CN" w:bidi="ar-SA"/>
        </w:rPr>
      </w:pPr>
      <w:r>
        <w:rPr>
          <w:rFonts w:hint="eastAsia" w:ascii="宋体" w:hAnsi="宋体" w:eastAsia="宋体" w:cs="宋体"/>
          <w:snapToGrid w:val="0"/>
          <w:color w:val="auto"/>
          <w:spacing w:val="-3"/>
          <w:kern w:val="0"/>
          <w:sz w:val="21"/>
          <w:szCs w:val="21"/>
          <w:highlight w:val="none"/>
          <w:lang w:val="en-US" w:eastAsia="zh-CN" w:bidi="ar-SA"/>
        </w:rPr>
        <w:t>项目分两个区域实施:一期水域开展水系生态恢复，恢复健康的水生态系统达到前期的水景观效果；二期实施精细化生态系统构建，完善稳定的水生植物群落、水土净化体系与生态隔离体系。</w:t>
      </w:r>
    </w:p>
    <w:p w14:paraId="7673BA80">
      <w:pPr>
        <w:keepNext w:val="0"/>
        <w:keepLines w:val="0"/>
        <w:pageBreakBefore w:val="0"/>
        <w:widowControl w:val="0"/>
        <w:numPr>
          <w:ilvl w:val="0"/>
          <w:numId w:val="1"/>
        </w:numPr>
        <w:kinsoku/>
        <w:wordWrap/>
        <w:overflowPunct/>
        <w:topLinePunct w:val="0"/>
        <w:autoSpaceDE/>
        <w:autoSpaceDN/>
        <w:bidi w:val="0"/>
        <w:adjustRightInd/>
        <w:snapToGrid w:val="0"/>
        <w:spacing w:line="360" w:lineRule="auto"/>
        <w:jc w:val="both"/>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项目图纸及服务（工程量）清单</w:t>
      </w:r>
    </w:p>
    <w:p w14:paraId="7CCB4507">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20" w:firstLineChars="200"/>
        <w:jc w:val="both"/>
        <w:textAlignment w:val="auto"/>
        <w:rPr>
          <w:rFonts w:hint="eastAsia" w:ascii="宋体" w:hAnsi="宋体" w:eastAsia="宋体" w:cs="宋体"/>
          <w:snapToGrid w:val="0"/>
          <w:color w:val="auto"/>
          <w:spacing w:val="-3"/>
          <w:kern w:val="0"/>
          <w:sz w:val="21"/>
          <w:szCs w:val="21"/>
          <w:highlight w:val="none"/>
          <w:lang w:val="en-US" w:eastAsia="zh-CN" w:bidi="ar-SA"/>
        </w:rPr>
      </w:pPr>
      <w:r>
        <w:rPr>
          <w:rFonts w:hint="eastAsia" w:ascii="宋体" w:hAnsi="宋体" w:eastAsia="宋体" w:cs="宋体"/>
          <w:color w:val="auto"/>
          <w:szCs w:val="21"/>
          <w:highlight w:val="none"/>
        </w:rPr>
        <w:t>另册提供。</w:t>
      </w:r>
    </w:p>
    <w:p w14:paraId="3EE99A4B">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both"/>
        <w:textAlignment w:val="auto"/>
        <w:rPr>
          <w:rFonts w:hint="eastAsia" w:ascii="宋体" w:hAnsi="宋体" w:eastAsia="宋体" w:cs="宋体"/>
          <w:snapToGrid w:val="0"/>
          <w:color w:val="auto"/>
          <w:spacing w:val="-3"/>
          <w:kern w:val="0"/>
          <w:sz w:val="21"/>
          <w:szCs w:val="21"/>
          <w:highlight w:val="none"/>
          <w:lang w:val="en-US" w:eastAsia="zh-CN" w:bidi="ar-SA"/>
        </w:rPr>
      </w:pPr>
    </w:p>
    <w:p w14:paraId="55FEB4B0">
      <w:pPr>
        <w:kinsoku w:val="0"/>
        <w:autoSpaceDE w:val="0"/>
        <w:autoSpaceDN w:val="0"/>
        <w:adjustRightInd w:val="0"/>
        <w:snapToGrid w:val="0"/>
        <w:spacing w:before="78" w:line="220" w:lineRule="auto"/>
        <w:ind w:left="3692"/>
        <w:jc w:val="left"/>
        <w:textAlignment w:val="baseline"/>
        <w:outlineLvl w:val="1"/>
        <w:rPr>
          <w:rFonts w:ascii="宋体" w:hAnsi="宋体" w:eastAsia="宋体" w:cs="宋体"/>
          <w:snapToGrid w:val="0"/>
          <w:color w:val="auto"/>
          <w:kern w:val="0"/>
          <w:sz w:val="24"/>
          <w:szCs w:val="24"/>
          <w:highlight w:val="none"/>
          <w:lang w:val="en-US" w:eastAsia="en-US" w:bidi="ar-SA"/>
        </w:rPr>
      </w:pPr>
      <w:r>
        <w:rPr>
          <w:rFonts w:ascii="宋体" w:hAnsi="宋体" w:eastAsia="宋体" w:cs="宋体"/>
          <w:b/>
          <w:bCs/>
          <w:snapToGrid w:val="0"/>
          <w:color w:val="auto"/>
          <w:spacing w:val="-3"/>
          <w:kern w:val="0"/>
          <w:sz w:val="24"/>
          <w:szCs w:val="24"/>
          <w:highlight w:val="none"/>
          <w:lang w:val="en-US" w:eastAsia="en-US" w:bidi="ar-SA"/>
        </w:rPr>
        <w:t>第三节</w:t>
      </w:r>
      <w:r>
        <w:rPr>
          <w:rFonts w:ascii="宋体" w:hAnsi="宋体" w:eastAsia="宋体" w:cs="宋体"/>
          <w:snapToGrid w:val="0"/>
          <w:color w:val="auto"/>
          <w:spacing w:val="-3"/>
          <w:kern w:val="0"/>
          <w:sz w:val="24"/>
          <w:szCs w:val="24"/>
          <w:highlight w:val="none"/>
          <w:lang w:val="en-US" w:eastAsia="en-US" w:bidi="ar-SA"/>
        </w:rPr>
        <w:t xml:space="preserve"> </w:t>
      </w:r>
      <w:r>
        <w:rPr>
          <w:rFonts w:ascii="宋体" w:hAnsi="宋体" w:eastAsia="宋体" w:cs="宋体"/>
          <w:b/>
          <w:bCs/>
          <w:snapToGrid w:val="0"/>
          <w:color w:val="auto"/>
          <w:spacing w:val="-3"/>
          <w:kern w:val="0"/>
          <w:sz w:val="24"/>
          <w:szCs w:val="24"/>
          <w:highlight w:val="none"/>
          <w:lang w:val="en-US" w:eastAsia="en-US" w:bidi="ar-SA"/>
        </w:rPr>
        <w:t>商务要求</w:t>
      </w:r>
    </w:p>
    <w:p w14:paraId="52364C5E">
      <w:pPr>
        <w:widowControl/>
        <w:kinsoku w:val="0"/>
        <w:autoSpaceDE w:val="0"/>
        <w:autoSpaceDN w:val="0"/>
        <w:adjustRightInd w:val="0"/>
        <w:snapToGrid w:val="0"/>
        <w:spacing w:line="283" w:lineRule="auto"/>
        <w:jc w:val="left"/>
        <w:textAlignment w:val="baseline"/>
        <w:rPr>
          <w:rFonts w:ascii="Arial" w:hAnsi="Arial" w:eastAsia="Arial" w:cs="Arial"/>
          <w:snapToGrid w:val="0"/>
          <w:color w:val="auto"/>
          <w:kern w:val="0"/>
          <w:sz w:val="21"/>
          <w:szCs w:val="21"/>
          <w:highlight w:val="none"/>
          <w:lang w:eastAsia="en-US"/>
        </w:rPr>
      </w:pPr>
    </w:p>
    <w:p w14:paraId="2A0CB3FB">
      <w:pPr>
        <w:pageBreakBefore w:val="0"/>
        <w:widowControl/>
        <w:kinsoku/>
        <w:wordWrap/>
        <w:overflowPunct/>
        <w:topLinePunct w:val="0"/>
        <w:autoSpaceDE/>
        <w:autoSpaceDN/>
        <w:bidi w:val="0"/>
        <w:adjustRightInd w:val="0"/>
        <w:snapToGrid w:val="0"/>
        <w:spacing w:line="360" w:lineRule="auto"/>
        <w:rPr>
          <w:rFonts w:hint="eastAsia" w:ascii="宋体" w:hAnsi="宋体" w:eastAsia="宋体" w:cs="宋体"/>
          <w:b/>
          <w:bCs w:val="0"/>
          <w:color w:val="auto"/>
          <w:szCs w:val="21"/>
          <w:highlight w:val="none"/>
        </w:rPr>
      </w:pPr>
      <w:r>
        <w:rPr>
          <w:rFonts w:hint="eastAsia" w:ascii="宋体" w:hAnsi="宋体" w:eastAsia="宋体" w:cs="宋体"/>
          <w:b/>
          <w:bCs w:val="0"/>
          <w:color w:val="auto"/>
          <w:szCs w:val="21"/>
          <w:highlight w:val="none"/>
        </w:rPr>
        <w:t>一、项目概况</w:t>
      </w:r>
    </w:p>
    <w:p w14:paraId="75BC096B">
      <w:pPr>
        <w:pageBreakBefore w:val="0"/>
        <w:widowControl/>
        <w:kinsoku/>
        <w:wordWrap/>
        <w:overflowPunct/>
        <w:topLinePunct w:val="0"/>
        <w:autoSpaceDE/>
        <w:autoSpaceDN/>
        <w:bidi w:val="0"/>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采购</w:t>
      </w:r>
      <w:r>
        <w:rPr>
          <w:rFonts w:hint="eastAsia" w:ascii="宋体" w:hAnsi="宋体" w:eastAsia="宋体" w:cs="宋体"/>
          <w:color w:val="auto"/>
          <w:sz w:val="21"/>
          <w:szCs w:val="21"/>
          <w:highlight w:val="none"/>
        </w:rPr>
        <w:t>项目名称：郴州市爱莲湖水生态修复项目。</w:t>
      </w:r>
    </w:p>
    <w:p w14:paraId="41D0BF9C">
      <w:pPr>
        <w:pageBreakBefore w:val="0"/>
        <w:widowControl/>
        <w:kinsoku/>
        <w:wordWrap/>
        <w:overflowPunct/>
        <w:topLinePunct w:val="0"/>
        <w:autoSpaceDE/>
        <w:autoSpaceDN/>
        <w:bidi w:val="0"/>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郴州市园林绿化服务中心</w:t>
      </w:r>
    </w:p>
    <w:p w14:paraId="7E9C320A">
      <w:pPr>
        <w:pageBreakBefore w:val="0"/>
        <w:widowControl/>
        <w:kinsoku/>
        <w:wordWrap/>
        <w:overflowPunct/>
        <w:topLinePunct w:val="0"/>
        <w:autoSpaceDE/>
        <w:autoSpaceDN/>
        <w:bidi w:val="0"/>
        <w:adjustRightInd w:val="0"/>
        <w:snapToGrid w:val="0"/>
        <w:spacing w:line="360" w:lineRule="auto"/>
        <w:ind w:firstLine="420" w:firstLineChars="200"/>
        <w:rPr>
          <w:rFonts w:hint="default"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）建设地点：</w:t>
      </w:r>
      <w:r>
        <w:rPr>
          <w:rFonts w:hint="eastAsia" w:ascii="宋体" w:hAnsi="宋体" w:cs="宋体"/>
          <w:color w:val="auto"/>
          <w:sz w:val="21"/>
          <w:szCs w:val="21"/>
          <w:highlight w:val="none"/>
          <w:lang w:val="en-US" w:eastAsia="zh-CN"/>
        </w:rPr>
        <w:t>郴州市苏仙区</w:t>
      </w:r>
    </w:p>
    <w:p w14:paraId="557302BA">
      <w:pPr>
        <w:pageBreakBefore w:val="0"/>
        <w:kinsoku/>
        <w:wordWrap/>
        <w:overflowPunct/>
        <w:topLinePunct w:val="0"/>
        <w:autoSpaceDE/>
        <w:autoSpaceDN/>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）主要建设内容为：郴州市爱莲湖水生态修复项目（详见工程量清单</w:t>
      </w:r>
      <w:r>
        <w:rPr>
          <w:rFonts w:hint="eastAsia" w:ascii="宋体" w:hAnsi="宋体" w:eastAsia="宋体" w:cs="宋体"/>
          <w:color w:val="auto"/>
          <w:sz w:val="21"/>
          <w:szCs w:val="21"/>
          <w:highlight w:val="none"/>
          <w:lang w:eastAsia="zh-CN"/>
        </w:rPr>
        <w:t>和施工图纸</w:t>
      </w:r>
      <w:r>
        <w:rPr>
          <w:rFonts w:hint="eastAsia" w:ascii="宋体" w:hAnsi="宋体" w:eastAsia="宋体" w:cs="宋体"/>
          <w:color w:val="auto"/>
          <w:sz w:val="21"/>
          <w:szCs w:val="21"/>
          <w:highlight w:val="none"/>
        </w:rPr>
        <w:t>）。</w:t>
      </w:r>
    </w:p>
    <w:p w14:paraId="023BDA33">
      <w:pPr>
        <w:pageBreakBefore w:val="0"/>
        <w:kinsoku/>
        <w:wordWrap/>
        <w:overflowPunct/>
        <w:topLinePunct w:val="0"/>
        <w:autoSpaceDE/>
        <w:autoSpaceDN/>
        <w:bidi w:val="0"/>
        <w:adjustRightInd w:val="0"/>
        <w:snapToGrid w:val="0"/>
        <w:spacing w:line="360" w:lineRule="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eastAsia="zh-CN"/>
        </w:rPr>
        <w:t>二</w:t>
      </w:r>
      <w:r>
        <w:rPr>
          <w:rFonts w:hint="eastAsia" w:ascii="宋体" w:hAnsi="宋体" w:eastAsia="宋体" w:cs="宋体"/>
          <w:b/>
          <w:color w:val="auto"/>
          <w:szCs w:val="21"/>
          <w:highlight w:val="none"/>
        </w:rPr>
        <w:t>、工期及质量要求</w:t>
      </w:r>
    </w:p>
    <w:p w14:paraId="3A40C175">
      <w:pPr>
        <w:pageBreakBefore w:val="0"/>
        <w:kinsoku/>
        <w:wordWrap/>
        <w:overflowPunct/>
        <w:topLinePunct w:val="0"/>
        <w:autoSpaceDE/>
        <w:autoSpaceDN/>
        <w:bidi w:val="0"/>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 xml:space="preserve">1.1 </w:t>
      </w:r>
      <w:r>
        <w:rPr>
          <w:rFonts w:hint="eastAsia" w:ascii="宋体" w:hAnsi="宋体" w:eastAsia="宋体" w:cs="宋体"/>
          <w:color w:val="auto"/>
          <w:highlight w:val="none"/>
          <w:lang w:eastAsia="zh-CN"/>
        </w:rPr>
        <w:t>合同履行期限</w:t>
      </w:r>
      <w:r>
        <w:rPr>
          <w:rFonts w:hint="eastAsia" w:ascii="宋体" w:hAnsi="宋体" w:eastAsia="宋体" w:cs="宋体"/>
          <w:bCs/>
          <w:color w:val="auto"/>
          <w:szCs w:val="21"/>
          <w:highlight w:val="none"/>
        </w:rPr>
        <w:t>：</w:t>
      </w:r>
      <w:r>
        <w:rPr>
          <w:rFonts w:hint="eastAsia" w:ascii="宋体" w:hAnsi="宋体" w:eastAsia="宋体" w:cs="宋体"/>
          <w:bCs/>
          <w:color w:val="auto"/>
          <w:szCs w:val="21"/>
          <w:highlight w:val="none"/>
          <w:lang w:val="en-US" w:eastAsia="zh-CN"/>
        </w:rPr>
        <w:t>1年</w:t>
      </w:r>
    </w:p>
    <w:p w14:paraId="032D2326">
      <w:pPr>
        <w:pageBreakBefore w:val="0"/>
        <w:kinsoku/>
        <w:wordWrap/>
        <w:overflowPunct/>
        <w:topLinePunct w:val="0"/>
        <w:autoSpaceDE/>
        <w:autoSpaceDN/>
        <w:bidi w:val="0"/>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1.2 质量要求：</w:t>
      </w:r>
      <w:r>
        <w:rPr>
          <w:rFonts w:hint="eastAsia" w:ascii="宋体" w:hAnsi="宋体" w:eastAsia="宋体" w:cs="宋体"/>
          <w:color w:val="auto"/>
          <w:szCs w:val="21"/>
          <w:highlight w:val="none"/>
        </w:rPr>
        <w:t>符合现行国家有关工程施工验收规范合格标准。</w:t>
      </w:r>
    </w:p>
    <w:p w14:paraId="6E87F17B">
      <w:pPr>
        <w:pageBreakBefore w:val="0"/>
        <w:tabs>
          <w:tab w:val="left" w:pos="5297"/>
        </w:tabs>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 xml:space="preserve">1.3 </w:t>
      </w:r>
      <w:r>
        <w:rPr>
          <w:rFonts w:hint="eastAsia" w:ascii="宋体" w:hAnsi="宋体" w:eastAsia="宋体" w:cs="宋体"/>
          <w:color w:val="auto"/>
          <w:szCs w:val="21"/>
          <w:highlight w:val="none"/>
        </w:rPr>
        <w:t>保修要求：</w:t>
      </w:r>
      <w:r>
        <w:rPr>
          <w:rFonts w:hint="eastAsia" w:ascii="宋体" w:hAnsi="宋体" w:eastAsia="宋体" w:cs="宋体"/>
          <w:color w:val="auto"/>
          <w:szCs w:val="21"/>
          <w:highlight w:val="none"/>
        </w:rPr>
        <w:t xml:space="preserve">按国务院 279 号令、建设部 80 号令及相关工程保修承诺执行。 </w:t>
      </w:r>
    </w:p>
    <w:p w14:paraId="20B0F4F3">
      <w:pPr>
        <w:pageBreakBefore w:val="0"/>
        <w:kinsoku/>
        <w:wordWrap/>
        <w:overflowPunct/>
        <w:topLinePunct w:val="0"/>
        <w:autoSpaceDE/>
        <w:autoSpaceDN/>
        <w:bidi w:val="0"/>
        <w:adjustRightInd w:val="0"/>
        <w:snapToGrid w:val="0"/>
        <w:spacing w:line="360" w:lineRule="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eastAsia="zh-CN"/>
        </w:rPr>
        <w:t>三</w:t>
      </w:r>
      <w:r>
        <w:rPr>
          <w:rFonts w:hint="eastAsia" w:ascii="宋体" w:hAnsi="宋体" w:eastAsia="宋体" w:cs="宋体"/>
          <w:b/>
          <w:color w:val="auto"/>
          <w:szCs w:val="21"/>
          <w:highlight w:val="none"/>
        </w:rPr>
        <w:t>、项目实施要求</w:t>
      </w:r>
    </w:p>
    <w:p w14:paraId="1E7531A3">
      <w:pPr>
        <w:pageBreakBefore w:val="0"/>
        <w:kinsoku/>
        <w:wordWrap/>
        <w:overflowPunct/>
        <w:topLinePunct w:val="0"/>
        <w:autoSpaceDE/>
        <w:autoSpaceDN/>
        <w:bidi w:val="0"/>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1.建筑材料运输、保管及保险</w:t>
      </w:r>
    </w:p>
    <w:p w14:paraId="2D8C02EA">
      <w:pPr>
        <w:pageBreakBefore w:val="0"/>
        <w:kinsoku/>
        <w:wordWrap/>
        <w:overflowPunct/>
        <w:topLinePunct w:val="0"/>
        <w:autoSpaceDE/>
        <w:autoSpaceDN/>
        <w:bidi w:val="0"/>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1.1成交供应商负责建筑材料到施工地点的全部运输，包括装卸及现场搬运等。</w:t>
      </w:r>
    </w:p>
    <w:p w14:paraId="1CD32BA1">
      <w:pPr>
        <w:pageBreakBefore w:val="0"/>
        <w:kinsoku/>
        <w:wordWrap/>
        <w:overflowPunct/>
        <w:topLinePunct w:val="0"/>
        <w:autoSpaceDE/>
        <w:autoSpaceDN/>
        <w:bidi w:val="0"/>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1.2成交供应商负责建筑材料在施工地点的保管，直至项目验收合格。</w:t>
      </w:r>
    </w:p>
    <w:p w14:paraId="32FBC059">
      <w:pPr>
        <w:pageBreakBefore w:val="0"/>
        <w:kinsoku/>
        <w:wordWrap/>
        <w:overflowPunct/>
        <w:topLinePunct w:val="0"/>
        <w:autoSpaceDE/>
        <w:autoSpaceDN/>
        <w:bidi w:val="0"/>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1.3成交供应商负责其派出的施工人员的人身意外保险。</w:t>
      </w:r>
    </w:p>
    <w:p w14:paraId="046469E7">
      <w:pPr>
        <w:pageBreakBefore w:val="0"/>
        <w:kinsoku/>
        <w:wordWrap/>
        <w:overflowPunct/>
        <w:topLinePunct w:val="0"/>
        <w:autoSpaceDE/>
        <w:autoSpaceDN/>
        <w:bidi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bCs/>
          <w:color w:val="auto"/>
          <w:szCs w:val="21"/>
          <w:highlight w:val="none"/>
        </w:rPr>
        <w:t>2</w:t>
      </w:r>
      <w:r>
        <w:rPr>
          <w:rFonts w:hint="eastAsia" w:ascii="宋体" w:hAnsi="宋体" w:eastAsia="宋体" w:cs="宋体"/>
          <w:b/>
          <w:bCs/>
          <w:color w:val="auto"/>
          <w:szCs w:val="21"/>
          <w:highlight w:val="none"/>
          <w:lang w:eastAsia="zh-CN"/>
        </w:rPr>
        <w:t>.</w:t>
      </w:r>
      <w:r>
        <w:rPr>
          <w:rFonts w:hint="eastAsia" w:ascii="宋体" w:hAnsi="宋体" w:eastAsia="宋体" w:cs="宋体"/>
          <w:b/>
          <w:color w:val="auto"/>
          <w:szCs w:val="21"/>
          <w:highlight w:val="none"/>
        </w:rPr>
        <w:t>工程竣工验收后，成交商应在30天内提交完整齐备的工程竣工资料和验收资料装订成册交采购人三套存档，并必须保证所有归档资料的真实性。</w:t>
      </w:r>
    </w:p>
    <w:p w14:paraId="2602DC6C">
      <w:pPr>
        <w:pageBreakBefore w:val="0"/>
        <w:kinsoku/>
        <w:wordWrap/>
        <w:overflowPunct/>
        <w:topLinePunct w:val="0"/>
        <w:autoSpaceDE/>
        <w:autoSpaceDN/>
        <w:bidi w:val="0"/>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3.验收要求</w:t>
      </w:r>
    </w:p>
    <w:p w14:paraId="34C06238">
      <w:pPr>
        <w:pageBreakBefore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3.1由采购人组织验收活动。</w:t>
      </w:r>
    </w:p>
    <w:p w14:paraId="438462F0">
      <w:pPr>
        <w:pageBreakBefore w:val="0"/>
        <w:kinsoku/>
        <w:wordWrap/>
        <w:overflowPunct/>
        <w:topLinePunct w:val="0"/>
        <w:autoSpaceDE/>
        <w:autoSpaceDN/>
        <w:bidi w:val="0"/>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4.质量保证</w:t>
      </w:r>
    </w:p>
    <w:p w14:paraId="37CC577A">
      <w:pPr>
        <w:pageBreakBefore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4.1本工程质量应符合《工程施工质量验收规范》，达到合格工程标准。</w:t>
      </w:r>
    </w:p>
    <w:p w14:paraId="2B7668CF">
      <w:pPr>
        <w:pageBreakBefore w:val="0"/>
        <w:kinsoku/>
        <w:wordWrap/>
        <w:overflowPunct/>
        <w:topLinePunct w:val="0"/>
        <w:autoSpaceDE/>
        <w:autoSpaceDN/>
        <w:bidi w:val="0"/>
        <w:spacing w:line="360" w:lineRule="auto"/>
        <w:ind w:firstLine="420" w:firstLineChars="200"/>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4.2 Ⅲ类水验收标准应符合（执行国标：GB 3838-2002《地表水环境质量标准》），达到合格标准。</w:t>
      </w:r>
    </w:p>
    <w:p w14:paraId="04581904">
      <w:pPr>
        <w:pageBreakBefore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施工期间，应接受采购人的监督管理，遵守有关规定。</w:t>
      </w:r>
    </w:p>
    <w:p w14:paraId="0406CC07">
      <w:pPr>
        <w:pageBreakBefore w:val="0"/>
        <w:kinsoku/>
        <w:wordWrap/>
        <w:overflowPunct/>
        <w:topLinePunct w:val="0"/>
        <w:autoSpaceDE/>
        <w:autoSpaceDN/>
        <w:bidi w:val="0"/>
        <w:spacing w:line="360" w:lineRule="auto"/>
        <w:ind w:left="420" w:left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专项运维</w:t>
      </w:r>
      <w:r>
        <w:rPr>
          <w:rFonts w:hint="eastAsia" w:ascii="宋体" w:hAnsi="宋体" w:eastAsia="宋体" w:cs="宋体"/>
          <w:color w:val="auto"/>
          <w:szCs w:val="21"/>
          <w:highlight w:val="none"/>
          <w:lang w:val="en-US" w:eastAsia="zh-CN"/>
        </w:rPr>
        <w:t>期</w:t>
      </w:r>
      <w:r>
        <w:rPr>
          <w:rFonts w:hint="eastAsia" w:ascii="宋体" w:hAnsi="宋体" w:eastAsia="宋体" w:cs="宋体"/>
          <w:color w:val="auto"/>
          <w:szCs w:val="21"/>
          <w:highlight w:val="none"/>
        </w:rPr>
        <w:t>从验收合格</w:t>
      </w:r>
      <w:r>
        <w:rPr>
          <w:rFonts w:hint="eastAsia" w:ascii="宋体" w:hAnsi="宋体" w:eastAsia="宋体" w:cs="宋体"/>
          <w:color w:val="auto"/>
          <w:szCs w:val="21"/>
          <w:highlight w:val="none"/>
          <w:lang w:eastAsia="zh-CN"/>
        </w:rPr>
        <w:t>之日起</w:t>
      </w:r>
      <w:r>
        <w:rPr>
          <w:rFonts w:hint="eastAsia" w:ascii="宋体" w:hAnsi="宋体" w:eastAsia="宋体" w:cs="宋体"/>
          <w:color w:val="auto"/>
          <w:szCs w:val="21"/>
          <w:highlight w:val="none"/>
        </w:rPr>
        <w:t>开始计算</w:t>
      </w:r>
      <w:r>
        <w:rPr>
          <w:rFonts w:hint="eastAsia" w:ascii="宋体" w:hAnsi="宋体" w:eastAsia="宋体" w:cs="宋体"/>
          <w:color w:val="auto"/>
          <w:szCs w:val="21"/>
          <w:highlight w:val="none"/>
          <w:lang w:val="en-US" w:eastAsia="zh-CN"/>
        </w:rPr>
        <w:t>6个月</w:t>
      </w:r>
      <w:r>
        <w:rPr>
          <w:rFonts w:hint="eastAsia" w:ascii="宋体" w:hAnsi="宋体" w:eastAsia="宋体" w:cs="宋体"/>
          <w:color w:val="auto"/>
          <w:szCs w:val="21"/>
          <w:highlight w:val="none"/>
        </w:rPr>
        <w:t>。</w:t>
      </w:r>
    </w:p>
    <w:p w14:paraId="7FD419FD">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Chars="200"/>
        <w:rPr>
          <w:rFonts w:hint="eastAsia" w:ascii="宋体" w:hAnsi="宋体" w:cs="宋体"/>
          <w:b/>
          <w:bCs/>
          <w:color w:val="auto"/>
          <w:szCs w:val="21"/>
          <w:highlight w:val="none"/>
          <w:lang w:val="en-US" w:eastAsia="zh-CN"/>
        </w:rPr>
      </w:pPr>
      <w:r>
        <w:rPr>
          <w:rFonts w:hint="eastAsia" w:ascii="宋体" w:hAnsi="宋体" w:cs="宋体"/>
          <w:b/>
          <w:bCs/>
          <w:color w:val="auto"/>
          <w:szCs w:val="21"/>
          <w:highlight w:val="none"/>
          <w:lang w:val="en-US" w:eastAsia="zh-CN"/>
        </w:rPr>
        <w:t>人员要求</w:t>
      </w:r>
    </w:p>
    <w:p w14:paraId="2A34129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rPr>
          <w:rFonts w:hint="eastAsia" w:ascii="Times New Roman" w:hAnsi="Times New Roman" w:eastAsia="宋体" w:cs="Times New Roman"/>
          <w:color w:val="auto"/>
          <w:kern w:val="2"/>
          <w:sz w:val="21"/>
          <w:szCs w:val="24"/>
          <w:highlight w:val="none"/>
          <w:lang w:val="en-US" w:eastAsia="zh-CN" w:bidi="ar-SA"/>
        </w:rPr>
      </w:pPr>
      <w:r>
        <w:rPr>
          <w:rFonts w:hint="eastAsia" w:ascii="Times New Roman" w:hAnsi="Times New Roman" w:eastAsia="宋体" w:cs="Times New Roman"/>
          <w:color w:val="auto"/>
          <w:kern w:val="2"/>
          <w:sz w:val="21"/>
          <w:szCs w:val="24"/>
          <w:highlight w:val="none"/>
          <w:lang w:val="en-US" w:eastAsia="zh-CN" w:bidi="ar-SA"/>
        </w:rPr>
        <w:t>5.1拟任项目技术负责人具有相关专业</w:t>
      </w:r>
      <w:r>
        <w:rPr>
          <w:rFonts w:hint="eastAsia" w:ascii="Times New Roman" w:hAnsi="Times New Roman" w:eastAsia="宋体" w:cs="Times New Roman"/>
          <w:color w:val="auto"/>
          <w:kern w:val="2"/>
          <w:sz w:val="21"/>
          <w:szCs w:val="24"/>
          <w:highlight w:val="none"/>
          <w:lang w:val="en-US" w:eastAsia="zh-CN" w:bidi="ar-SA"/>
        </w:rPr>
        <w:t>工程师及以上技术职称</w:t>
      </w:r>
      <w:r>
        <w:rPr>
          <w:rFonts w:hint="eastAsia" w:ascii="Times New Roman" w:hAnsi="Times New Roman" w:eastAsia="宋体" w:cs="Times New Roman"/>
          <w:color w:val="auto"/>
          <w:kern w:val="2"/>
          <w:sz w:val="21"/>
          <w:szCs w:val="24"/>
          <w:highlight w:val="none"/>
          <w:lang w:val="en-US" w:eastAsia="zh-CN" w:bidi="ar-SA"/>
        </w:rPr>
        <w:t>，施工项目部关键岗位人员应是本企业在职人员，并提供施工项目部关键岗位人员无在建工程承诺函；施工项目部关键岗位其他人员采用承诺制，即投标人在投标文件中承诺其他关键岗位人员的最低配备标准满足湘建建[2020]208号文标准要求，投标文件中不需列明具体人员信息及提供相关岗位资格证书等资料，待中标后配备到位。</w:t>
      </w:r>
    </w:p>
    <w:p w14:paraId="4B1CDF5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rPr>
          <w:rFonts w:hint="default" w:ascii="Times New Roman" w:hAnsi="Times New Roman" w:eastAsia="宋体" w:cs="Times New Roman"/>
          <w:color w:val="auto"/>
          <w:kern w:val="2"/>
          <w:sz w:val="21"/>
          <w:szCs w:val="24"/>
          <w:highlight w:val="none"/>
          <w:lang w:val="en-US" w:eastAsia="zh-CN" w:bidi="ar-SA"/>
        </w:rPr>
      </w:pPr>
      <w:r>
        <w:rPr>
          <w:rFonts w:hint="eastAsia" w:ascii="Times New Roman" w:hAnsi="Times New Roman" w:eastAsia="宋体" w:cs="Times New Roman"/>
          <w:color w:val="auto"/>
          <w:kern w:val="2"/>
          <w:sz w:val="21"/>
          <w:szCs w:val="24"/>
          <w:highlight w:val="none"/>
          <w:lang w:val="en-US" w:eastAsia="zh-CN" w:bidi="ar-SA"/>
        </w:rPr>
        <w:t>5.2所有关键岗位人员都应到岗履职，施工期内项目经理每周必须保证至少到岗三个工作日以上；技术负责人须每日到岗（工作日），并进行打卡确认。</w:t>
      </w:r>
    </w:p>
    <w:p w14:paraId="165C1029">
      <w:pPr>
        <w:pageBreakBefore w:val="0"/>
        <w:kinsoku/>
        <w:wordWrap/>
        <w:overflowPunct/>
        <w:topLinePunct w:val="0"/>
        <w:autoSpaceDE/>
        <w:autoSpaceDN/>
        <w:bidi w:val="0"/>
        <w:spacing w:line="360" w:lineRule="auto"/>
        <w:rPr>
          <w:rFonts w:hint="eastAsia" w:ascii="宋体" w:hAnsi="宋体" w:eastAsia="宋体" w:cs="宋体"/>
          <w:b/>
          <w:bCs/>
          <w:color w:val="auto"/>
          <w:highlight w:val="none"/>
        </w:rPr>
      </w:pPr>
      <w:r>
        <w:rPr>
          <w:rFonts w:hint="eastAsia" w:ascii="宋体" w:hAnsi="宋体" w:eastAsia="宋体" w:cs="宋体"/>
          <w:b/>
          <w:bCs/>
          <w:color w:val="auto"/>
          <w:highlight w:val="none"/>
          <w:lang w:eastAsia="zh-CN"/>
        </w:rPr>
        <w:t>四</w:t>
      </w:r>
      <w:r>
        <w:rPr>
          <w:rFonts w:hint="eastAsia" w:ascii="宋体" w:hAnsi="宋体" w:eastAsia="宋体" w:cs="宋体"/>
          <w:b/>
          <w:bCs/>
          <w:color w:val="auto"/>
          <w:highlight w:val="none"/>
        </w:rPr>
        <w:t>、项目特别说明</w:t>
      </w:r>
    </w:p>
    <w:p w14:paraId="34DFE7DE">
      <w:pPr>
        <w:pageBreakBefore w:val="0"/>
        <w:kinsoku/>
        <w:wordWrap/>
        <w:overflowPunct/>
        <w:topLinePunct w:val="0"/>
        <w:autoSpaceDE/>
        <w:autoSpaceDN/>
        <w:bidi w:val="0"/>
        <w:adjustRightInd w:val="0"/>
        <w:snapToGrid w:val="0"/>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1.实施时间及地点</w:t>
      </w:r>
    </w:p>
    <w:p w14:paraId="118B98F7">
      <w:pPr>
        <w:pageBreakBefore w:val="0"/>
        <w:kinsoku/>
        <w:wordWrap/>
        <w:overflowPunct/>
        <w:topLinePunct w:val="0"/>
        <w:autoSpaceDE/>
        <w:autoSpaceDN/>
        <w:bidi w:val="0"/>
        <w:spacing w:line="360" w:lineRule="auto"/>
        <w:ind w:firstLine="420" w:firstLineChars="200"/>
        <w:rPr>
          <w:rFonts w:hint="eastAsia" w:ascii="宋体" w:hAnsi="宋体" w:eastAsia="宋体" w:cs="宋体"/>
          <w:b w:val="0"/>
          <w:bCs/>
          <w:color w:val="auto"/>
          <w:szCs w:val="21"/>
          <w:highlight w:val="none"/>
          <w:u w:val="single"/>
        </w:rPr>
      </w:pPr>
      <w:r>
        <w:rPr>
          <w:rFonts w:hint="eastAsia" w:ascii="宋体" w:hAnsi="宋体" w:eastAsia="宋体" w:cs="宋体"/>
          <w:color w:val="auto"/>
          <w:szCs w:val="21"/>
          <w:highlight w:val="none"/>
        </w:rPr>
        <w:t>1.1实施时间：</w:t>
      </w:r>
      <w:r>
        <w:rPr>
          <w:rFonts w:hint="eastAsia" w:ascii="宋体" w:hAnsi="宋体" w:cs="宋体"/>
          <w:b w:val="0"/>
          <w:bCs/>
          <w:color w:val="auto"/>
          <w:szCs w:val="21"/>
          <w:highlight w:val="none"/>
          <w:u w:val="single"/>
          <w:lang w:eastAsia="zh-CN"/>
        </w:rPr>
        <w:t>签订</w:t>
      </w:r>
      <w:r>
        <w:rPr>
          <w:rFonts w:hint="eastAsia" w:ascii="宋体" w:hAnsi="宋体" w:eastAsia="宋体" w:cs="宋体"/>
          <w:b w:val="0"/>
          <w:bCs/>
          <w:color w:val="auto"/>
          <w:szCs w:val="21"/>
          <w:highlight w:val="none"/>
          <w:u w:val="single"/>
        </w:rPr>
        <w:t>合同</w:t>
      </w:r>
      <w:r>
        <w:rPr>
          <w:rFonts w:hint="eastAsia" w:ascii="宋体" w:hAnsi="宋体" w:cs="宋体"/>
          <w:b w:val="0"/>
          <w:bCs/>
          <w:color w:val="auto"/>
          <w:szCs w:val="21"/>
          <w:highlight w:val="none"/>
          <w:u w:val="single"/>
          <w:lang w:eastAsia="zh-CN"/>
        </w:rPr>
        <w:t>时</w:t>
      </w:r>
      <w:r>
        <w:rPr>
          <w:rFonts w:hint="eastAsia" w:ascii="宋体" w:hAnsi="宋体" w:eastAsia="宋体" w:cs="宋体"/>
          <w:b w:val="0"/>
          <w:bCs/>
          <w:color w:val="auto"/>
          <w:szCs w:val="21"/>
          <w:highlight w:val="none"/>
          <w:u w:val="single"/>
        </w:rPr>
        <w:t>约定。</w:t>
      </w:r>
    </w:p>
    <w:p w14:paraId="4B807F0F">
      <w:pPr>
        <w:pageBreakBefore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1.2实施地点：</w:t>
      </w:r>
      <w:r>
        <w:rPr>
          <w:rFonts w:hint="eastAsia" w:ascii="宋体" w:hAnsi="宋体" w:cs="宋体"/>
          <w:color w:val="auto"/>
          <w:sz w:val="21"/>
          <w:szCs w:val="21"/>
          <w:highlight w:val="none"/>
          <w:u w:val="single"/>
          <w:lang w:val="en-US" w:eastAsia="zh-CN"/>
        </w:rPr>
        <w:t>郴州市苏仙区。</w:t>
      </w:r>
    </w:p>
    <w:p w14:paraId="76B0B799">
      <w:pPr>
        <w:pageBreakBefore w:val="0"/>
        <w:kinsoku/>
        <w:wordWrap/>
        <w:overflowPunct/>
        <w:topLinePunct w:val="0"/>
        <w:autoSpaceDE/>
        <w:autoSpaceDN/>
        <w:bidi w:val="0"/>
        <w:spacing w:line="360" w:lineRule="auto"/>
        <w:ind w:firstLine="422" w:firstLineChars="200"/>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2.结算方法</w:t>
      </w:r>
    </w:p>
    <w:p w14:paraId="540D2409">
      <w:pPr>
        <w:pageBreakBefore w:val="0"/>
        <w:tabs>
          <w:tab w:val="left" w:pos="420"/>
        </w:tabs>
        <w:kinsoku/>
        <w:wordWrap/>
        <w:overflowPunct/>
        <w:topLinePunct w:val="0"/>
        <w:autoSpaceDE/>
        <w:autoSpaceDN/>
        <w:bidi w:val="0"/>
        <w:adjustRightInd w:val="0"/>
        <w:snapToGrid w:val="0"/>
        <w:spacing w:line="360" w:lineRule="auto"/>
        <w:ind w:firstLine="420" w:firstLineChars="200"/>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rPr>
        <w:t>2.1付款人：</w:t>
      </w:r>
      <w:r>
        <w:rPr>
          <w:rFonts w:hint="eastAsia" w:ascii="宋体" w:hAnsi="宋体" w:eastAsia="宋体" w:cs="宋体"/>
          <w:color w:val="auto"/>
          <w:sz w:val="21"/>
          <w:szCs w:val="21"/>
          <w:highlight w:val="none"/>
          <w:u w:val="single"/>
          <w:lang w:eastAsia="zh-CN"/>
        </w:rPr>
        <w:t>郴州市园林绿化服务中心</w:t>
      </w:r>
    </w:p>
    <w:p w14:paraId="67E4625C">
      <w:pPr>
        <w:pStyle w:val="2"/>
        <w:pageBreakBefore w:val="0"/>
        <w:kinsoku/>
        <w:wordWrap/>
        <w:overflowPunct/>
        <w:topLinePunct w:val="0"/>
        <w:autoSpaceDE/>
        <w:autoSpaceDN/>
        <w:bidi w:val="0"/>
        <w:spacing w:line="360" w:lineRule="auto"/>
        <w:ind w:firstLine="400" w:firstLineChars="200"/>
        <w:rPr>
          <w:rFonts w:hint="eastAsia" w:ascii="宋体" w:hAnsi="宋体" w:eastAsia="宋体" w:cs="宋体"/>
          <w:b w:val="0"/>
          <w:bCs/>
          <w:color w:val="auto"/>
          <w:spacing w:val="-5"/>
          <w:szCs w:val="21"/>
          <w:highlight w:val="none"/>
          <w:lang w:eastAsia="zh-CN"/>
        </w:rPr>
      </w:pPr>
      <w:r>
        <w:rPr>
          <w:rFonts w:hint="eastAsia" w:ascii="宋体" w:hAnsi="宋体" w:eastAsia="宋体" w:cs="宋体"/>
          <w:b w:val="0"/>
          <w:bCs/>
          <w:color w:val="auto"/>
          <w:spacing w:val="-5"/>
          <w:szCs w:val="21"/>
          <w:highlight w:val="none"/>
        </w:rPr>
        <w:t>2.2付款方式：</w:t>
      </w:r>
      <w:r>
        <w:rPr>
          <w:rFonts w:hint="eastAsia" w:ascii="宋体" w:hAnsi="宋体" w:eastAsia="宋体" w:cs="宋体"/>
          <w:b w:val="0"/>
          <w:bCs/>
          <w:color w:val="auto"/>
          <w:spacing w:val="-5"/>
          <w:szCs w:val="21"/>
          <w:highlight w:val="none"/>
          <w:lang w:eastAsia="zh-CN"/>
        </w:rPr>
        <w:t>因项目资金统筹安排，本项目工程款支付节点约定如下：</w:t>
      </w:r>
    </w:p>
    <w:p w14:paraId="684CE25C">
      <w:pPr>
        <w:pStyle w:val="2"/>
        <w:pageBreakBefore w:val="0"/>
        <w:kinsoku/>
        <w:wordWrap/>
        <w:overflowPunct/>
        <w:topLinePunct w:val="0"/>
        <w:autoSpaceDE/>
        <w:autoSpaceDN/>
        <w:bidi w:val="0"/>
        <w:spacing w:line="360" w:lineRule="auto"/>
        <w:ind w:firstLine="400" w:firstLineChars="200"/>
        <w:rPr>
          <w:rFonts w:hint="eastAsia" w:ascii="宋体" w:hAnsi="宋体" w:eastAsia="宋体" w:cs="宋体"/>
          <w:b w:val="0"/>
          <w:bCs/>
          <w:color w:val="auto"/>
          <w:spacing w:val="-5"/>
          <w:szCs w:val="21"/>
          <w:highlight w:val="none"/>
          <w:lang w:eastAsia="zh-CN"/>
        </w:rPr>
      </w:pPr>
      <w:r>
        <w:rPr>
          <w:rFonts w:hint="eastAsia" w:ascii="宋体" w:hAnsi="宋体" w:eastAsia="宋体" w:cs="宋体"/>
          <w:b w:val="0"/>
          <w:bCs/>
          <w:color w:val="auto"/>
          <w:spacing w:val="-5"/>
          <w:szCs w:val="21"/>
          <w:highlight w:val="none"/>
          <w:lang w:eastAsia="zh-CN"/>
        </w:rPr>
        <w:t>若项目于2026 年 12 月 2</w:t>
      </w:r>
      <w:r>
        <w:rPr>
          <w:rFonts w:hint="eastAsia" w:ascii="宋体" w:hAnsi="宋体" w:eastAsia="宋体" w:cs="宋体"/>
          <w:b w:val="0"/>
          <w:bCs/>
          <w:color w:val="auto"/>
          <w:spacing w:val="-5"/>
          <w:szCs w:val="21"/>
          <w:highlight w:val="none"/>
          <w:lang w:val="en-US" w:eastAsia="zh-CN"/>
        </w:rPr>
        <w:t>0</w:t>
      </w:r>
      <w:r>
        <w:rPr>
          <w:rFonts w:hint="eastAsia" w:ascii="宋体" w:hAnsi="宋体" w:eastAsia="宋体" w:cs="宋体"/>
          <w:b w:val="0"/>
          <w:bCs/>
          <w:color w:val="auto"/>
          <w:spacing w:val="-5"/>
          <w:szCs w:val="21"/>
          <w:highlight w:val="none"/>
          <w:lang w:eastAsia="zh-CN"/>
        </w:rPr>
        <w:t xml:space="preserve"> 日（含当日）前竣工验收合格，竣工验收后支付至合同总价 60%；2027年度资金到位后，支付至合同总价 70%；</w:t>
      </w:r>
    </w:p>
    <w:p w14:paraId="5B491F00">
      <w:pPr>
        <w:pStyle w:val="2"/>
        <w:pageBreakBefore w:val="0"/>
        <w:kinsoku/>
        <w:wordWrap/>
        <w:overflowPunct/>
        <w:topLinePunct w:val="0"/>
        <w:autoSpaceDE/>
        <w:autoSpaceDN/>
        <w:bidi w:val="0"/>
        <w:spacing w:line="360" w:lineRule="auto"/>
        <w:ind w:firstLine="400" w:firstLineChars="200"/>
        <w:rPr>
          <w:rFonts w:hint="eastAsia" w:ascii="宋体" w:hAnsi="宋体" w:eastAsia="宋体" w:cs="宋体"/>
          <w:b w:val="0"/>
          <w:bCs/>
          <w:color w:val="auto"/>
          <w:spacing w:val="-5"/>
          <w:szCs w:val="21"/>
          <w:highlight w:val="none"/>
          <w:lang w:eastAsia="zh-CN"/>
        </w:rPr>
      </w:pPr>
      <w:r>
        <w:rPr>
          <w:rFonts w:hint="eastAsia" w:ascii="宋体" w:hAnsi="宋体" w:eastAsia="宋体" w:cs="宋体"/>
          <w:b w:val="0"/>
          <w:bCs/>
          <w:color w:val="auto"/>
          <w:spacing w:val="-5"/>
          <w:szCs w:val="21"/>
          <w:highlight w:val="none"/>
          <w:lang w:eastAsia="zh-CN"/>
        </w:rPr>
        <w:t>若项目在2027年完成竣工验收合格，竣工验收后直接支付至合同总价70%；</w:t>
      </w:r>
    </w:p>
    <w:p w14:paraId="5965E747">
      <w:pPr>
        <w:pStyle w:val="2"/>
        <w:pageBreakBefore w:val="0"/>
        <w:kinsoku/>
        <w:wordWrap/>
        <w:overflowPunct/>
        <w:topLinePunct w:val="0"/>
        <w:autoSpaceDE/>
        <w:autoSpaceDN/>
        <w:bidi w:val="0"/>
        <w:spacing w:line="360" w:lineRule="auto"/>
        <w:ind w:firstLine="400" w:firstLineChars="200"/>
        <w:rPr>
          <w:rFonts w:hint="default" w:ascii="宋体" w:hAnsi="宋体" w:eastAsia="宋体" w:cs="宋体"/>
          <w:b w:val="0"/>
          <w:bCs/>
          <w:color w:val="auto"/>
          <w:spacing w:val="-5"/>
          <w:szCs w:val="21"/>
          <w:highlight w:val="none"/>
          <w:u w:val="single"/>
          <w:lang w:val="en-US" w:eastAsia="zh-CN"/>
        </w:rPr>
      </w:pPr>
      <w:r>
        <w:rPr>
          <w:rFonts w:hint="eastAsia" w:ascii="宋体" w:hAnsi="宋体" w:eastAsia="宋体" w:cs="宋体"/>
          <w:b w:val="0"/>
          <w:bCs/>
          <w:color w:val="auto"/>
          <w:spacing w:val="-5"/>
          <w:szCs w:val="21"/>
          <w:highlight w:val="none"/>
          <w:lang w:eastAsia="zh-CN"/>
        </w:rPr>
        <w:t>项目 6 个月运维养护期届满且养护验收合格后，依据结算审定总价付清剩余全部尾款。</w:t>
      </w:r>
    </w:p>
    <w:p w14:paraId="4585BCC9">
      <w:pPr>
        <w:pageBreakBefore w:val="0"/>
        <w:kinsoku/>
        <w:wordWrap/>
        <w:overflowPunct/>
        <w:topLinePunct w:val="0"/>
        <w:autoSpaceDE/>
        <w:autoSpaceDN/>
        <w:bidi w:val="0"/>
        <w:spacing w:line="360" w:lineRule="auto"/>
        <w:ind w:firstLine="420" w:firstLineChars="200"/>
        <w:rPr>
          <w:rFonts w:hint="eastAsia" w:ascii="宋体" w:hAnsi="宋体" w:eastAsia="宋体" w:cs="宋体"/>
          <w:iCs/>
          <w:color w:val="auto"/>
          <w:highlight w:val="none"/>
        </w:rPr>
      </w:pPr>
      <w:r>
        <w:rPr>
          <w:rFonts w:hint="eastAsia" w:ascii="宋体" w:hAnsi="宋体" w:cs="宋体"/>
          <w:b w:val="0"/>
          <w:bCs/>
          <w:color w:val="auto"/>
          <w:szCs w:val="21"/>
          <w:highlight w:val="none"/>
          <w:lang w:val="en-US" w:eastAsia="zh-CN"/>
        </w:rPr>
        <w:t>2.3质量保证金：</w:t>
      </w:r>
      <w:r>
        <w:rPr>
          <w:rFonts w:hint="eastAsia" w:ascii="宋体" w:hAnsi="宋体" w:eastAsia="宋体" w:cs="宋体"/>
          <w:iCs/>
          <w:color w:val="auto"/>
          <w:highlight w:val="none"/>
          <w:u w:val="single"/>
        </w:rPr>
        <w:t xml:space="preserve"> </w:t>
      </w:r>
      <w:r>
        <w:rPr>
          <w:rFonts w:hint="eastAsia" w:ascii="宋体" w:hAnsi="宋体" w:eastAsia="宋体" w:cs="宋体"/>
          <w:iCs/>
          <w:color w:val="auto"/>
          <w:highlight w:val="none"/>
          <w:u w:val="single"/>
          <w:lang w:val="en-US" w:eastAsia="zh-CN"/>
        </w:rPr>
        <w:t>合同金额的</w:t>
      </w:r>
      <w:r>
        <w:rPr>
          <w:rFonts w:hint="eastAsia" w:ascii="宋体" w:hAnsi="宋体" w:eastAsia="宋体" w:cs="宋体"/>
          <w:iCs/>
          <w:color w:val="auto"/>
          <w:highlight w:val="none"/>
          <w:u w:val="single"/>
          <w:lang w:val="en-US" w:eastAsia="zh-CN"/>
        </w:rPr>
        <w:t>3</w:t>
      </w:r>
      <w:r>
        <w:rPr>
          <w:rFonts w:hint="eastAsia" w:ascii="宋体" w:hAnsi="宋体" w:eastAsia="宋体" w:cs="宋体"/>
          <w:iCs/>
          <w:color w:val="auto"/>
          <w:highlight w:val="none"/>
          <w:u w:val="single"/>
        </w:rPr>
        <w:t xml:space="preserve"> </w:t>
      </w:r>
      <w:r>
        <w:rPr>
          <w:rFonts w:hint="eastAsia" w:ascii="宋体" w:hAnsi="宋体" w:eastAsia="宋体" w:cs="宋体"/>
          <w:iCs/>
          <w:color w:val="auto"/>
          <w:highlight w:val="none"/>
        </w:rPr>
        <w:t>%</w:t>
      </w:r>
    </w:p>
    <w:p w14:paraId="311FC341">
      <w:pPr>
        <w:pStyle w:val="7"/>
        <w:pageBreakBefore w:val="0"/>
        <w:kinsoku/>
        <w:wordWrap/>
        <w:overflowPunct/>
        <w:topLinePunct w:val="0"/>
        <w:autoSpaceDE/>
        <w:autoSpaceDN/>
        <w:bidi w:val="0"/>
        <w:spacing w:line="360" w:lineRule="auto"/>
        <w:ind w:firstLine="420" w:firstLineChars="200"/>
        <w:rPr>
          <w:rFonts w:hint="default" w:ascii="宋体" w:hAnsi="宋体" w:eastAsia="宋体" w:cs="宋体"/>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lang w:val="en-US" w:eastAsia="zh-CN" w:bidi="ar-SA"/>
        </w:rPr>
        <w:t>2.4支付方式：</w:t>
      </w:r>
      <w:r>
        <w:rPr>
          <w:rFonts w:hint="eastAsia" w:ascii="宋体" w:hAnsi="宋体" w:cs="宋体"/>
          <w:b w:val="0"/>
          <w:bCs/>
          <w:color w:val="auto"/>
          <w:szCs w:val="21"/>
          <w:highlight w:val="none"/>
          <w:u w:val="single"/>
          <w:lang w:eastAsia="zh-CN"/>
        </w:rPr>
        <w:t>签订</w:t>
      </w:r>
      <w:r>
        <w:rPr>
          <w:rFonts w:hint="eastAsia" w:ascii="宋体" w:hAnsi="宋体" w:eastAsia="宋体" w:cs="宋体"/>
          <w:b w:val="0"/>
          <w:bCs/>
          <w:color w:val="auto"/>
          <w:szCs w:val="21"/>
          <w:highlight w:val="none"/>
          <w:u w:val="single"/>
        </w:rPr>
        <w:t>合同</w:t>
      </w:r>
      <w:r>
        <w:rPr>
          <w:rFonts w:hint="eastAsia" w:ascii="宋体" w:hAnsi="宋体" w:cs="宋体"/>
          <w:b w:val="0"/>
          <w:bCs/>
          <w:color w:val="auto"/>
          <w:szCs w:val="21"/>
          <w:highlight w:val="none"/>
          <w:u w:val="single"/>
          <w:lang w:eastAsia="zh-CN"/>
        </w:rPr>
        <w:t>时</w:t>
      </w:r>
      <w:r>
        <w:rPr>
          <w:rFonts w:hint="eastAsia" w:ascii="宋体" w:hAnsi="宋体" w:eastAsia="宋体" w:cs="宋体"/>
          <w:b w:val="0"/>
          <w:bCs/>
          <w:color w:val="auto"/>
          <w:szCs w:val="21"/>
          <w:highlight w:val="none"/>
          <w:u w:val="single"/>
        </w:rPr>
        <w:t>约定。</w:t>
      </w:r>
    </w:p>
    <w:p w14:paraId="57BF902F">
      <w:pPr>
        <w:pageBreakBefore w:val="0"/>
        <w:kinsoku/>
        <w:wordWrap/>
        <w:overflowPunct/>
        <w:topLinePunct w:val="0"/>
        <w:autoSpaceDE/>
        <w:autoSpaceDN/>
        <w:bidi w:val="0"/>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3.争议的解决</w:t>
      </w:r>
    </w:p>
    <w:p w14:paraId="546E608E">
      <w:pPr>
        <w:pageBreakBefore w:val="0"/>
        <w:kinsoku/>
        <w:wordWrap/>
        <w:overflowPunct/>
        <w:topLinePunct w:val="0"/>
        <w:autoSpaceDE/>
        <w:autoSpaceDN/>
        <w:bidi w:val="0"/>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本合同在履行过程中发生争议，双方应及时协商解决，协商不成时，</w:t>
      </w:r>
      <w:r>
        <w:rPr>
          <w:rFonts w:hint="eastAsia" w:ascii="宋体" w:hAnsi="宋体" w:eastAsia="宋体" w:cs="宋体"/>
          <w:color w:val="auto"/>
          <w:highlight w:val="none"/>
        </w:rPr>
        <w:t>可向项目所在地人民法院提起诉讼</w:t>
      </w:r>
      <w:r>
        <w:rPr>
          <w:rFonts w:hint="eastAsia" w:ascii="宋体" w:hAnsi="宋体" w:eastAsia="宋体" w:cs="宋体"/>
          <w:bCs/>
          <w:color w:val="auto"/>
          <w:szCs w:val="21"/>
          <w:highlight w:val="none"/>
        </w:rPr>
        <w:t>。</w:t>
      </w:r>
    </w:p>
    <w:p w14:paraId="5559891D">
      <w:pPr>
        <w:pageBreakBefore w:val="0"/>
        <w:kinsoku/>
        <w:wordWrap/>
        <w:overflowPunct/>
        <w:topLinePunct w:val="0"/>
        <w:autoSpaceDE/>
        <w:autoSpaceDN/>
        <w:bidi w:val="0"/>
        <w:adjustRightInd w:val="0"/>
        <w:snapToGrid w:val="0"/>
        <w:spacing w:line="360" w:lineRule="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eastAsia="zh-CN"/>
        </w:rPr>
        <w:t>五</w:t>
      </w:r>
      <w:r>
        <w:rPr>
          <w:rFonts w:hint="eastAsia" w:ascii="宋体" w:hAnsi="宋体" w:eastAsia="宋体" w:cs="宋体"/>
          <w:b/>
          <w:color w:val="auto"/>
          <w:szCs w:val="21"/>
          <w:highlight w:val="none"/>
        </w:rPr>
        <w:t>、其他要求及说明</w:t>
      </w:r>
    </w:p>
    <w:p w14:paraId="65C44E7E">
      <w:pPr>
        <w:pageBreakBefore w:val="0"/>
        <w:kinsoku/>
        <w:wordWrap/>
        <w:overflowPunct/>
        <w:topLinePunct w:val="0"/>
        <w:autoSpaceDE/>
        <w:autoSpaceDN/>
        <w:bidi w:val="0"/>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1、成交供应商在施工过程中须服从采购人的统一安排，并采取措施保证文明施工确保人身和财产安全，此部分费用均包含在报价中。</w:t>
      </w:r>
    </w:p>
    <w:p w14:paraId="12219E22">
      <w:pPr>
        <w:pageBreakBefore w:val="0"/>
        <w:kinsoku/>
        <w:wordWrap/>
        <w:overflowPunct/>
        <w:topLinePunct w:val="0"/>
        <w:autoSpaceDE/>
        <w:autoSpaceDN/>
        <w:bidi w:val="0"/>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2、本项目合同价格不以市场价格波动而作任何调整。</w:t>
      </w:r>
    </w:p>
    <w:p w14:paraId="1E8D1EF4">
      <w:pPr>
        <w:pageBreakBefore w:val="0"/>
        <w:kinsoku/>
        <w:wordWrap/>
        <w:overflowPunct/>
        <w:topLinePunct w:val="0"/>
        <w:autoSpaceDE/>
        <w:autoSpaceDN/>
        <w:bidi w:val="0"/>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3、成交供应商自行处理协调地方关系，确保工程顺利完工。</w:t>
      </w:r>
    </w:p>
    <w:p w14:paraId="42AD0358">
      <w:pPr>
        <w:pageBreakBefore w:val="0"/>
        <w:kinsoku/>
        <w:wordWrap/>
        <w:overflowPunct/>
        <w:topLinePunct w:val="0"/>
        <w:autoSpaceDE/>
        <w:autoSpaceDN/>
        <w:bidi w:val="0"/>
        <w:adjustRightInd w:val="0"/>
        <w:snapToGrid w:val="0"/>
        <w:spacing w:line="360" w:lineRule="auto"/>
        <w:ind w:firstLine="420" w:firstLineChars="200"/>
        <w:rPr>
          <w:rFonts w:hint="default" w:ascii="宋体" w:hAnsi="宋体" w:eastAsia="宋体" w:cs="宋体"/>
          <w:b w:val="0"/>
          <w:bCs w:val="0"/>
          <w:snapToGrid w:val="0"/>
          <w:color w:val="auto"/>
          <w:spacing w:val="-3"/>
          <w:kern w:val="0"/>
          <w:sz w:val="21"/>
          <w:szCs w:val="21"/>
          <w:highlight w:val="none"/>
          <w:lang w:val="en-US" w:eastAsia="zh-CN" w:bidi="ar-SA"/>
        </w:rPr>
      </w:pPr>
      <w:r>
        <w:rPr>
          <w:rFonts w:hint="eastAsia" w:ascii="宋体" w:hAnsi="宋体" w:eastAsia="宋体" w:cs="宋体"/>
          <w:color w:val="auto"/>
          <w:szCs w:val="21"/>
          <w:highlight w:val="none"/>
        </w:rPr>
        <w:t>4、其他未明确事宜由双方协商约定</w:t>
      </w:r>
      <w:r>
        <w:rPr>
          <w:rFonts w:hint="eastAsia" w:ascii="宋体" w:hAnsi="宋体" w:cs="宋体"/>
          <w:color w:val="auto"/>
          <w:szCs w:val="21"/>
          <w:highlight w:val="none"/>
          <w:lang w:eastAsia="zh-CN"/>
        </w:rPr>
        <w:t>。</w:t>
      </w:r>
    </w:p>
    <w:p w14:paraId="7E7E02C3">
      <w:pPr>
        <w:rPr>
          <w:color w:val="auto"/>
          <w:highlight w:val="none"/>
        </w:rPr>
      </w:pP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A0FBF7D"/>
    <w:multiLevelType w:val="singleLevel"/>
    <w:tmpl w:val="FA0FBF7D"/>
    <w:lvl w:ilvl="0" w:tentative="0">
      <w:start w:val="5"/>
      <w:numFmt w:val="decimal"/>
      <w:lvlText w:val="%1."/>
      <w:lvlJc w:val="left"/>
      <w:pPr>
        <w:tabs>
          <w:tab w:val="left" w:pos="312"/>
        </w:tabs>
      </w:pPr>
    </w:lvl>
  </w:abstractNum>
  <w:abstractNum w:abstractNumId="1">
    <w:nsid w:val="215454C3"/>
    <w:multiLevelType w:val="singleLevel"/>
    <w:tmpl w:val="215454C3"/>
    <w:lvl w:ilvl="0" w:tentative="0">
      <w:start w:val="1"/>
      <w:numFmt w:val="decimal"/>
      <w:suff w:val="nothing"/>
      <w:lvlText w:val="%1、"/>
      <w:lvlJc w:val="left"/>
    </w:lvl>
  </w:abstractNum>
  <w:abstractNum w:abstractNumId="2">
    <w:nsid w:val="2DFE5FFB"/>
    <w:multiLevelType w:val="singleLevel"/>
    <w:tmpl w:val="2DFE5FFB"/>
    <w:lvl w:ilvl="0" w:tentative="0">
      <w:start w:val="3"/>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BC01B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annotation text"/>
    <w:basedOn w:val="1"/>
    <w:semiHidden/>
    <w:qFormat/>
    <w:uiPriority w:val="0"/>
    <w:pPr>
      <w:jc w:val="left"/>
    </w:pPr>
  </w:style>
  <w:style w:type="paragraph" w:styleId="3">
    <w:name w:val="Normal (Web)"/>
    <w:basedOn w:val="1"/>
    <w:qFormat/>
    <w:uiPriority w:val="0"/>
    <w:pPr>
      <w:widowControl/>
      <w:spacing w:before="100" w:beforeAutospacing="1" w:after="100" w:afterAutospacing="1"/>
      <w:jc w:val="left"/>
    </w:pPr>
    <w:rPr>
      <w:rFonts w:ascii="宋体" w:hAnsi="宋体" w:cs="宋体"/>
      <w:kern w:val="0"/>
      <w:sz w:val="24"/>
    </w:rPr>
  </w:style>
  <w:style w:type="table" w:customStyle="1" w:styleId="6">
    <w:name w:val="Table Normal"/>
    <w:basedOn w:val="4"/>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0" w:type="dxa"/>
        <w:bottom w:w="0" w:type="dxa"/>
        <w:right w:w="0" w:type="dxa"/>
      </w:tblCellMar>
    </w:tblPr>
  </w:style>
  <w:style w:type="paragraph" w:customStyle="1" w:styleId="7">
    <w:name w:val="TOC1"/>
    <w:basedOn w:val="1"/>
    <w:next w:val="1"/>
    <w:qFormat/>
    <w:uiPriority w:val="0"/>
    <w:pPr>
      <w:jc w:val="both"/>
      <w:textAlignment w:val="baseline"/>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2026-08-10T14:14:25Z</dcterms:created>
  <dc:creator>Administrator</dc:creator>
  <cp:lastModifiedBy>Administrator</cp:lastModifiedBy>
  <dcterms:modified xsi:type="dcterms:W3CDTF">2026-08-10T14:14:37Z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eyJoZGlkIjoiNzdlMzQ0MDFiMjVhNTg3YjA5MzM3MDZhNmQzZGZmNDAiLCJ1c2VySWQiOiIxNzQzNTAxNDMwIn0=</vt:lpwstr>
  </property>
  <property fmtid="{D5CDD505-2E9C-101B-9397-08002B2CF9AE}" pid="4" name="ICV">
    <vt:lpwstr>7C2159B455FB4F56B5620A1288B68B7A_12</vt:lpwstr>
  </property>
</Properties>
</file>