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72C5">
      <w:pPr>
        <w:pStyle w:val="24"/>
        <w:jc w:val="center"/>
        <w:rPr>
          <w:rFonts w:ascii="隶书" w:hAnsi="华文中宋" w:eastAsia="隶书"/>
          <w:sz w:val="84"/>
          <w:szCs w:val="84"/>
        </w:rPr>
      </w:pPr>
    </w:p>
    <w:p w14:paraId="15DE2F98">
      <w:pPr>
        <w:pStyle w:val="24"/>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政府采购</w:t>
      </w:r>
    </w:p>
    <w:p w14:paraId="24C50381">
      <w:pPr>
        <w:pStyle w:val="24"/>
        <w:adjustRightInd w:val="0"/>
        <w:snapToGrid w:val="0"/>
        <w:spacing w:line="360" w:lineRule="auto"/>
        <w:jc w:val="center"/>
        <w:rPr>
          <w:rFonts w:ascii="隶书" w:hAnsi="华文中宋" w:eastAsia="隶书"/>
          <w:b/>
          <w:bCs/>
          <w:sz w:val="84"/>
          <w:szCs w:val="84"/>
        </w:rPr>
      </w:pPr>
      <w:r>
        <w:rPr>
          <w:rFonts w:hint="eastAsia" w:asciiTheme="minorEastAsia" w:hAnsiTheme="minorEastAsia" w:eastAsiaTheme="minorEastAsia"/>
          <w:b/>
          <w:bCs/>
          <w:sz w:val="84"/>
          <w:szCs w:val="84"/>
        </w:rPr>
        <w:t>竞争性谈判文件</w:t>
      </w:r>
    </w:p>
    <w:p w14:paraId="39D9A5CB">
      <w:pPr>
        <w:pStyle w:val="24"/>
        <w:adjustRightInd w:val="0"/>
        <w:snapToGrid w:val="0"/>
        <w:ind w:left="2633" w:leftChars="554" w:hanging="1470" w:hangingChars="700"/>
        <w:rPr>
          <w:rFonts w:cs="Tahoma" w:asciiTheme="minorEastAsia" w:hAnsiTheme="minorEastAsia" w:eastAsiaTheme="minorEastAsia"/>
        </w:rPr>
      </w:pPr>
    </w:p>
    <w:p w14:paraId="7C48FA29">
      <w:pPr>
        <w:pStyle w:val="24"/>
        <w:adjustRightInd w:val="0"/>
        <w:snapToGrid w:val="0"/>
        <w:ind w:left="3683" w:leftChars="554" w:hanging="2520" w:hangingChars="700"/>
        <w:rPr>
          <w:rFonts w:cs="Tahoma" w:asciiTheme="minorEastAsia" w:hAnsiTheme="minorEastAsia" w:eastAsiaTheme="minorEastAsia"/>
          <w:sz w:val="36"/>
          <w:szCs w:val="36"/>
        </w:rPr>
      </w:pPr>
    </w:p>
    <w:p w14:paraId="487EB0AE">
      <w:pPr>
        <w:pStyle w:val="24"/>
        <w:adjustRightInd w:val="0"/>
        <w:snapToGrid w:val="0"/>
        <w:ind w:left="2633" w:leftChars="554" w:hanging="1470" w:hangingChars="700"/>
        <w:rPr>
          <w:rFonts w:cs="Tahoma" w:asciiTheme="minorEastAsia" w:hAnsiTheme="minorEastAsia" w:eastAsiaTheme="minorEastAsia"/>
        </w:rPr>
      </w:pPr>
    </w:p>
    <w:p w14:paraId="7542221B">
      <w:pPr>
        <w:pStyle w:val="24"/>
        <w:adjustRightInd w:val="0"/>
        <w:snapToGrid w:val="0"/>
        <w:ind w:left="2633" w:leftChars="554" w:hanging="1470" w:hangingChars="700"/>
        <w:rPr>
          <w:rFonts w:cs="Tahoma" w:asciiTheme="minorEastAsia" w:hAnsiTheme="minorEastAsia" w:eastAsiaTheme="minorEastAsia"/>
        </w:rPr>
      </w:pPr>
    </w:p>
    <w:p w14:paraId="26CAF1F9">
      <w:pPr>
        <w:pStyle w:val="24"/>
        <w:adjustRightInd w:val="0"/>
        <w:snapToGrid w:val="0"/>
        <w:ind w:left="2633" w:leftChars="554" w:hanging="1470" w:hangingChars="700"/>
        <w:rPr>
          <w:rFonts w:cs="Tahoma" w:asciiTheme="minorEastAsia" w:hAnsiTheme="minorEastAsia" w:eastAsiaTheme="minorEastAsia"/>
        </w:rPr>
      </w:pPr>
    </w:p>
    <w:p w14:paraId="3499AC24">
      <w:pPr>
        <w:pStyle w:val="24"/>
        <w:adjustRightInd w:val="0"/>
        <w:snapToGrid w:val="0"/>
        <w:ind w:left="2633" w:leftChars="554" w:hanging="1470" w:hangingChars="700"/>
        <w:rPr>
          <w:rFonts w:cs="Tahoma" w:asciiTheme="minorEastAsia" w:hAnsiTheme="minorEastAsia" w:eastAsiaTheme="minorEastAsia"/>
        </w:rPr>
      </w:pPr>
    </w:p>
    <w:p w14:paraId="5B7838AB">
      <w:pPr>
        <w:adjustRightInd w:val="0"/>
        <w:snapToGrid w:val="0"/>
        <w:spacing w:line="360" w:lineRule="auto"/>
        <w:ind w:left="3366" w:leftChars="532" w:hanging="2249" w:hangingChars="700"/>
        <w:rPr>
          <w:rFonts w:hint="eastAsia" w:asciiTheme="minorEastAsia" w:hAnsiTheme="minorEastAsia" w:eastAsiaTheme="minorEastAsia"/>
          <w:b/>
          <w:szCs w:val="21"/>
          <w:lang w:eastAsia="zh-CN"/>
        </w:rPr>
      </w:pPr>
      <w:r>
        <w:rPr>
          <w:rFonts w:hint="eastAsia" w:asciiTheme="minorEastAsia" w:hAnsiTheme="minorEastAsia" w:eastAsiaTheme="minorEastAsia"/>
          <w:b/>
          <w:sz w:val="32"/>
          <w:szCs w:val="32"/>
        </w:rPr>
        <w:t>采购项目名称：</w:t>
      </w:r>
      <w:r>
        <w:rPr>
          <w:rFonts w:hint="eastAsia" w:asciiTheme="minorEastAsia" w:hAnsiTheme="minorEastAsia" w:eastAsiaTheme="minorEastAsia"/>
          <w:b/>
          <w:sz w:val="32"/>
          <w:szCs w:val="32"/>
          <w:u w:val="single"/>
          <w:lang w:eastAsia="zh-CN"/>
        </w:rPr>
        <w:t>新化县2026年“秋粮抗逆防灾”服务采购</w:t>
      </w:r>
    </w:p>
    <w:p w14:paraId="0BD5E586">
      <w:pPr>
        <w:adjustRightInd w:val="0"/>
        <w:snapToGrid w:val="0"/>
        <w:spacing w:line="360" w:lineRule="auto"/>
        <w:ind w:firstLine="1124" w:firstLineChars="350"/>
        <w:rPr>
          <w:rFonts w:hint="default" w:asciiTheme="minorEastAsia" w:hAnsiTheme="minorEastAsia" w:eastAsiaTheme="minorEastAsia"/>
          <w:b/>
          <w:sz w:val="32"/>
          <w:szCs w:val="32"/>
          <w:u w:val="single"/>
          <w:lang w:val="en-US" w:eastAsia="zh-CN"/>
        </w:rPr>
      </w:pPr>
      <w:r>
        <w:rPr>
          <w:rFonts w:hint="eastAsia" w:asciiTheme="minorEastAsia" w:hAnsiTheme="minorEastAsia" w:eastAsiaTheme="minorEastAsia"/>
          <w:b/>
          <w:sz w:val="32"/>
          <w:szCs w:val="32"/>
        </w:rPr>
        <w:t>政府采购计划编号</w:t>
      </w:r>
      <w:r>
        <w:rPr>
          <w:rFonts w:hint="eastAsia" w:asciiTheme="minorEastAsia" w:hAnsiTheme="minorEastAsia" w:eastAsiaTheme="minorEastAsia"/>
          <w:b/>
          <w:sz w:val="32"/>
          <w:szCs w:val="32"/>
          <w:lang w:eastAsia="zh-CN"/>
        </w:rPr>
        <w:t>：</w:t>
      </w:r>
      <w:r>
        <w:rPr>
          <w:rFonts w:hint="eastAsia" w:asciiTheme="minorEastAsia" w:hAnsiTheme="minorEastAsia" w:eastAsiaTheme="minorEastAsia"/>
          <w:b/>
          <w:sz w:val="32"/>
          <w:szCs w:val="32"/>
          <w:u w:val="single"/>
          <w:lang w:eastAsia="zh-CN"/>
        </w:rPr>
        <w:t>（</w:t>
      </w:r>
      <w:r>
        <w:rPr>
          <w:rFonts w:hint="eastAsia" w:asciiTheme="minorEastAsia" w:hAnsiTheme="minorEastAsia" w:eastAsiaTheme="minorEastAsia"/>
          <w:b/>
          <w:sz w:val="32"/>
          <w:szCs w:val="32"/>
          <w:u w:val="single"/>
        </w:rPr>
        <w:t>2026)431322000011</w:t>
      </w:r>
    </w:p>
    <w:p w14:paraId="3E1A93E4">
      <w:pPr>
        <w:adjustRightInd w:val="0"/>
        <w:snapToGrid w:val="0"/>
        <w:spacing w:line="360" w:lineRule="auto"/>
        <w:ind w:firstLine="1124" w:firstLineChars="350"/>
        <w:rPr>
          <w:rFonts w:hint="eastAsia" w:asciiTheme="minorEastAsia" w:hAnsiTheme="minorEastAsia" w:eastAsiaTheme="minorEastAsia"/>
          <w:b/>
          <w:sz w:val="32"/>
          <w:szCs w:val="32"/>
          <w:u w:val="single"/>
          <w:lang w:val="en-US" w:eastAsia="zh-CN"/>
        </w:rPr>
      </w:pPr>
      <w:r>
        <w:rPr>
          <w:rFonts w:hint="eastAsia" w:asciiTheme="minorEastAsia" w:hAnsiTheme="minorEastAsia" w:eastAsiaTheme="minorEastAsia"/>
          <w:b/>
          <w:sz w:val="32"/>
          <w:szCs w:val="32"/>
        </w:rPr>
        <w:t>委托代理编号：</w:t>
      </w:r>
      <w:r>
        <w:rPr>
          <w:rFonts w:hint="eastAsia" w:asciiTheme="minorEastAsia" w:hAnsiTheme="minorEastAsia" w:eastAsiaTheme="minorEastAsia"/>
          <w:b/>
          <w:sz w:val="32"/>
          <w:szCs w:val="32"/>
          <w:u w:val="single"/>
          <w:lang w:eastAsia="zh-CN"/>
        </w:rPr>
        <w:t>HNZLF-2026-FW (LD)-49</w:t>
      </w:r>
    </w:p>
    <w:p w14:paraId="3B33690D">
      <w:pPr>
        <w:adjustRightInd w:val="0"/>
        <w:snapToGrid w:val="0"/>
        <w:spacing w:line="360" w:lineRule="auto"/>
        <w:ind w:firstLine="1124" w:firstLineChars="350"/>
        <w:rPr>
          <w:rFonts w:hint="eastAsia" w:asciiTheme="minorEastAsia" w:hAnsiTheme="minorEastAsia" w:eastAsiaTheme="minorEastAsia"/>
          <w:b/>
          <w:sz w:val="32"/>
          <w:szCs w:val="32"/>
          <w:u w:val="single"/>
          <w:lang w:eastAsia="zh-CN"/>
        </w:rPr>
      </w:pPr>
      <w:r>
        <w:rPr>
          <w:rFonts w:hint="eastAsia" w:asciiTheme="minorEastAsia" w:hAnsiTheme="minorEastAsia" w:eastAsiaTheme="minorEastAsia"/>
          <w:b/>
          <w:sz w:val="32"/>
          <w:szCs w:val="32"/>
        </w:rPr>
        <w:t>采   购   人：</w:t>
      </w:r>
      <w:r>
        <w:rPr>
          <w:rFonts w:hint="eastAsia" w:asciiTheme="minorEastAsia" w:hAnsiTheme="minorEastAsia" w:eastAsiaTheme="minorEastAsia"/>
          <w:b/>
          <w:sz w:val="32"/>
          <w:szCs w:val="32"/>
          <w:u w:val="single"/>
          <w:lang w:eastAsia="zh-CN"/>
        </w:rPr>
        <w:t>新化县农业农村局</w:t>
      </w:r>
    </w:p>
    <w:p w14:paraId="1D04967E">
      <w:pPr>
        <w:adjustRightInd w:val="0"/>
        <w:snapToGrid w:val="0"/>
        <w:spacing w:line="360" w:lineRule="auto"/>
        <w:ind w:firstLine="1124" w:firstLineChars="350"/>
        <w:rPr>
          <w:rFonts w:hint="eastAsia" w:asciiTheme="minorEastAsia" w:hAnsiTheme="minorEastAsia" w:eastAsiaTheme="minorEastAsia"/>
          <w:sz w:val="32"/>
          <w:szCs w:val="32"/>
          <w:lang w:eastAsia="zh-CN"/>
        </w:rPr>
      </w:pPr>
      <w:r>
        <w:rPr>
          <w:rFonts w:hint="eastAsia" w:asciiTheme="minorEastAsia" w:hAnsiTheme="minorEastAsia" w:eastAsiaTheme="minorEastAsia"/>
          <w:b/>
          <w:sz w:val="32"/>
          <w:szCs w:val="21"/>
        </w:rPr>
        <w:t>采购代理机构：</w:t>
      </w:r>
      <w:r>
        <w:rPr>
          <w:rFonts w:hint="eastAsia" w:asciiTheme="minorEastAsia" w:hAnsiTheme="minorEastAsia" w:eastAsiaTheme="minorEastAsia"/>
          <w:b/>
          <w:sz w:val="32"/>
          <w:szCs w:val="21"/>
          <w:u w:val="single"/>
          <w:lang w:eastAsia="zh-CN"/>
        </w:rPr>
        <w:t>湖南智立方工程项目管理有限公司</w:t>
      </w:r>
    </w:p>
    <w:p w14:paraId="5FE8B4EB">
      <w:pPr>
        <w:pStyle w:val="24"/>
        <w:adjustRightInd w:val="0"/>
        <w:snapToGrid w:val="0"/>
        <w:spacing w:line="360" w:lineRule="auto"/>
        <w:ind w:left="645" w:leftChars="307"/>
        <w:jc w:val="center"/>
        <w:rPr>
          <w:b/>
          <w:sz w:val="32"/>
          <w:szCs w:val="32"/>
        </w:rPr>
      </w:pPr>
    </w:p>
    <w:p w14:paraId="4465F1C7">
      <w:pPr>
        <w:pStyle w:val="24"/>
        <w:adjustRightInd w:val="0"/>
        <w:snapToGrid w:val="0"/>
        <w:spacing w:line="360" w:lineRule="auto"/>
        <w:jc w:val="center"/>
        <w:rPr>
          <w:rFonts w:ascii="仿宋_GB2312" w:hAnsi="宋体" w:eastAsia="仿宋_GB2312"/>
          <w:b/>
        </w:rPr>
      </w:pPr>
    </w:p>
    <w:p w14:paraId="7D2B3131">
      <w:pPr>
        <w:pStyle w:val="24"/>
        <w:adjustRightInd w:val="0"/>
        <w:snapToGrid w:val="0"/>
        <w:spacing w:line="360" w:lineRule="auto"/>
        <w:jc w:val="center"/>
        <w:rPr>
          <w:rFonts w:asciiTheme="minorEastAsia" w:hAnsiTheme="minorEastAsia" w:eastAsiaTheme="minorEastAsia"/>
          <w:b/>
        </w:rPr>
      </w:pPr>
    </w:p>
    <w:p w14:paraId="352F0E2E">
      <w:pPr>
        <w:pStyle w:val="24"/>
        <w:adjustRightInd w:val="0"/>
        <w:snapToGrid w:val="0"/>
        <w:spacing w:line="360" w:lineRule="auto"/>
        <w:jc w:val="center"/>
        <w:rPr>
          <w:rFonts w:asciiTheme="minorEastAsia" w:hAnsiTheme="minorEastAsia" w:eastAsiaTheme="minorEastAsia"/>
          <w:b/>
        </w:rPr>
      </w:pPr>
    </w:p>
    <w:p w14:paraId="01B59AE1">
      <w:pPr>
        <w:pStyle w:val="24"/>
        <w:adjustRightInd w:val="0"/>
        <w:snapToGrid w:val="0"/>
        <w:spacing w:line="360" w:lineRule="auto"/>
        <w:jc w:val="center"/>
        <w:rPr>
          <w:rFonts w:hAnsi="宋体"/>
          <w:b/>
          <w:sz w:val="32"/>
        </w:rPr>
      </w:pPr>
      <w:r>
        <w:rPr>
          <w:rFonts w:hint="eastAsia" w:ascii="仿宋_GB2312" w:hAnsi="宋体" w:eastAsia="仿宋_GB2312"/>
          <w:b/>
          <w:sz w:val="32"/>
        </w:rPr>
        <w:t>202</w:t>
      </w:r>
      <w:r>
        <w:rPr>
          <w:rFonts w:hint="eastAsia" w:ascii="仿宋_GB2312" w:hAnsi="宋体" w:eastAsia="仿宋_GB2312"/>
          <w:b/>
          <w:sz w:val="32"/>
          <w:lang w:val="en-US" w:eastAsia="zh-CN"/>
        </w:rPr>
        <w:t>6</w:t>
      </w:r>
      <w:r>
        <w:rPr>
          <w:rFonts w:hint="eastAsia" w:hAnsi="宋体"/>
          <w:b/>
          <w:sz w:val="32"/>
        </w:rPr>
        <w:t>年</w:t>
      </w:r>
      <w:r>
        <w:rPr>
          <w:rFonts w:hint="eastAsia" w:hAnsi="宋体"/>
          <w:b/>
          <w:sz w:val="32"/>
          <w:lang w:val="en-US" w:eastAsia="zh-CN"/>
        </w:rPr>
        <w:t>8</w:t>
      </w:r>
      <w:r>
        <w:rPr>
          <w:rFonts w:hint="eastAsia" w:hAnsi="宋体"/>
          <w:b/>
          <w:sz w:val="32"/>
        </w:rPr>
        <w:t>月</w:t>
      </w:r>
    </w:p>
    <w:p w14:paraId="63422F16">
      <w:pPr>
        <w:pStyle w:val="24"/>
        <w:adjustRightInd w:val="0"/>
        <w:snapToGrid w:val="0"/>
        <w:spacing w:line="360" w:lineRule="auto"/>
        <w:jc w:val="center"/>
        <w:rPr>
          <w:rFonts w:ascii="黑体" w:hAnsi="宋体" w:eastAsia="黑体"/>
          <w:b/>
          <w:spacing w:val="160"/>
          <w:sz w:val="32"/>
          <w:szCs w:val="32"/>
        </w:rPr>
        <w:sectPr>
          <w:pgSz w:w="11906" w:h="16838"/>
          <w:pgMar w:top="1440" w:right="1800" w:bottom="1440" w:left="1800" w:header="851" w:footer="624" w:gutter="0"/>
          <w:pgNumType w:fmt="numberInDash"/>
          <w:cols w:space="720" w:num="1"/>
          <w:docGrid w:type="lines" w:linePitch="317" w:charSpace="0"/>
        </w:sectPr>
      </w:pPr>
    </w:p>
    <w:p w14:paraId="1550F57B">
      <w:pPr>
        <w:pStyle w:val="24"/>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01584DEA">
      <w:pPr>
        <w:pStyle w:val="31"/>
        <w:tabs>
          <w:tab w:val="right" w:leader="dot" w:pos="8306"/>
          <w:tab w:val="clear" w:pos="8834"/>
        </w:tabs>
      </w:pPr>
      <w:r>
        <w:rPr>
          <w:rFonts w:cstheme="minorBidi"/>
          <w:szCs w:val="22"/>
        </w:rPr>
        <w:fldChar w:fldCharType="begin"/>
      </w:r>
      <w:r>
        <w:rPr>
          <w:rFonts w:cstheme="minorBidi"/>
          <w:szCs w:val="22"/>
        </w:rPr>
        <w:instrText xml:space="preserve">TOC \o "1-3" \h \u </w:instrText>
      </w:r>
      <w:r>
        <w:rPr>
          <w:rFonts w:cstheme="minorBidi"/>
          <w:szCs w:val="22"/>
        </w:rPr>
        <w:fldChar w:fldCharType="separate"/>
      </w:r>
      <w:r>
        <w:rPr>
          <w:rFonts w:cstheme="minorBidi"/>
          <w:szCs w:val="22"/>
        </w:rPr>
        <w:fldChar w:fldCharType="begin"/>
      </w:r>
      <w:r>
        <w:rPr>
          <w:rFonts w:cstheme="minorBidi"/>
          <w:szCs w:val="22"/>
        </w:rPr>
        <w:instrText xml:space="preserve"> HYPERLINK \l _Toc31061 </w:instrText>
      </w:r>
      <w:r>
        <w:rPr>
          <w:rFonts w:cstheme="minorBidi"/>
          <w:szCs w:val="22"/>
        </w:rPr>
        <w:fldChar w:fldCharType="separate"/>
      </w:r>
      <w:r>
        <w:rPr>
          <w:rFonts w:hint="eastAsia" w:ascii="黑体" w:hAnsi="黑体" w:eastAsia="黑体"/>
          <w:szCs w:val="32"/>
        </w:rPr>
        <w:t>第一章</w:t>
      </w:r>
      <w:r>
        <w:rPr>
          <w:rFonts w:hint="eastAsia" w:ascii="黑体" w:hAnsi="黑体" w:eastAsia="黑体"/>
          <w:szCs w:val="32"/>
          <w:lang w:val="en-US" w:eastAsia="zh-CN"/>
        </w:rPr>
        <w:t xml:space="preserve"> </w:t>
      </w:r>
      <w:r>
        <w:rPr>
          <w:rFonts w:hint="eastAsia" w:ascii="黑体" w:hAnsi="黑体" w:eastAsia="黑体"/>
          <w:szCs w:val="32"/>
          <w:lang w:eastAsia="zh-CN"/>
        </w:rPr>
        <w:t>新化县2026年“秋粮抗逆防灾”服务采购</w:t>
      </w:r>
      <w:r>
        <w:rPr>
          <w:rFonts w:hint="eastAsia" w:ascii="黑体" w:hAnsi="黑体" w:eastAsia="黑体"/>
          <w:szCs w:val="32"/>
        </w:rPr>
        <w:t>谈判邀请公告</w:t>
      </w:r>
      <w:r>
        <w:tab/>
      </w:r>
      <w:r>
        <w:fldChar w:fldCharType="begin"/>
      </w:r>
      <w:r>
        <w:instrText xml:space="preserve"> PAGEREF _Toc31061 \h </w:instrText>
      </w:r>
      <w:r>
        <w:fldChar w:fldCharType="separate"/>
      </w:r>
      <w:r>
        <w:t>4</w:t>
      </w:r>
      <w:r>
        <w:fldChar w:fldCharType="end"/>
      </w:r>
      <w:r>
        <w:rPr>
          <w:rFonts w:cstheme="minorBidi"/>
          <w:szCs w:val="22"/>
        </w:rPr>
        <w:fldChar w:fldCharType="end"/>
      </w:r>
    </w:p>
    <w:p w14:paraId="1F209580">
      <w:pPr>
        <w:pStyle w:val="31"/>
        <w:tabs>
          <w:tab w:val="right" w:leader="dot" w:pos="8306"/>
          <w:tab w:val="clear" w:pos="8834"/>
        </w:tabs>
      </w:pPr>
      <w:r>
        <w:rPr>
          <w:rFonts w:cstheme="minorBidi"/>
          <w:szCs w:val="22"/>
        </w:rPr>
        <w:fldChar w:fldCharType="begin"/>
      </w:r>
      <w:r>
        <w:rPr>
          <w:rFonts w:cstheme="minorBidi"/>
          <w:szCs w:val="22"/>
        </w:rPr>
        <w:instrText xml:space="preserve"> HYPERLINK \l _Toc22204 </w:instrText>
      </w:r>
      <w:r>
        <w:rPr>
          <w:rFonts w:cstheme="minorBidi"/>
          <w:szCs w:val="22"/>
        </w:rPr>
        <w:fldChar w:fldCharType="separate"/>
      </w:r>
      <w:r>
        <w:rPr>
          <w:rFonts w:hint="eastAsia" w:ascii="黑体" w:hAnsi="黑体" w:eastAsia="黑体"/>
          <w:szCs w:val="32"/>
        </w:rPr>
        <w:t>第二章 谈判须知</w:t>
      </w:r>
      <w:r>
        <w:tab/>
      </w:r>
      <w:r>
        <w:fldChar w:fldCharType="begin"/>
      </w:r>
      <w:r>
        <w:instrText xml:space="preserve"> PAGEREF _Toc22204 \h </w:instrText>
      </w:r>
      <w:r>
        <w:fldChar w:fldCharType="separate"/>
      </w:r>
      <w:r>
        <w:t>9</w:t>
      </w:r>
      <w:r>
        <w:fldChar w:fldCharType="end"/>
      </w:r>
      <w:r>
        <w:rPr>
          <w:rFonts w:cstheme="minorBidi"/>
          <w:szCs w:val="22"/>
        </w:rPr>
        <w:fldChar w:fldCharType="end"/>
      </w:r>
    </w:p>
    <w:p w14:paraId="3821F9FE">
      <w:pPr>
        <w:pStyle w:val="35"/>
        <w:tabs>
          <w:tab w:val="right" w:leader="dot" w:pos="8306"/>
        </w:tabs>
      </w:pPr>
      <w:r>
        <w:rPr>
          <w:rFonts w:cstheme="minorBidi"/>
          <w:szCs w:val="22"/>
        </w:rPr>
        <w:fldChar w:fldCharType="begin"/>
      </w:r>
      <w:r>
        <w:rPr>
          <w:rFonts w:cstheme="minorBidi"/>
          <w:szCs w:val="22"/>
        </w:rPr>
        <w:instrText xml:space="preserve"> HYPERLINK \l _Toc9587 </w:instrText>
      </w:r>
      <w:r>
        <w:rPr>
          <w:rFonts w:cstheme="minorBidi"/>
          <w:szCs w:val="22"/>
        </w:rPr>
        <w:fldChar w:fldCharType="separate"/>
      </w:r>
      <w:r>
        <w:rPr>
          <w:rFonts w:hint="eastAsia" w:ascii="黑体" w:hAnsi="黑体" w:eastAsia="黑体"/>
          <w:szCs w:val="28"/>
        </w:rPr>
        <w:t>第一节 谈判须知前附表</w:t>
      </w:r>
      <w:r>
        <w:tab/>
      </w:r>
      <w:r>
        <w:fldChar w:fldCharType="begin"/>
      </w:r>
      <w:r>
        <w:instrText xml:space="preserve"> PAGEREF _Toc9587 \h </w:instrText>
      </w:r>
      <w:r>
        <w:fldChar w:fldCharType="separate"/>
      </w:r>
      <w:r>
        <w:t>9</w:t>
      </w:r>
      <w:r>
        <w:fldChar w:fldCharType="end"/>
      </w:r>
      <w:r>
        <w:rPr>
          <w:rFonts w:cstheme="minorBidi"/>
          <w:szCs w:val="22"/>
        </w:rPr>
        <w:fldChar w:fldCharType="end"/>
      </w:r>
    </w:p>
    <w:p w14:paraId="285F89B3">
      <w:pPr>
        <w:pStyle w:val="35"/>
        <w:tabs>
          <w:tab w:val="right" w:leader="dot" w:pos="8306"/>
        </w:tabs>
      </w:pPr>
      <w:r>
        <w:rPr>
          <w:rFonts w:cstheme="minorBidi"/>
          <w:szCs w:val="22"/>
        </w:rPr>
        <w:fldChar w:fldCharType="begin"/>
      </w:r>
      <w:r>
        <w:rPr>
          <w:rFonts w:cstheme="minorBidi"/>
          <w:szCs w:val="22"/>
        </w:rPr>
        <w:instrText xml:space="preserve"> HYPERLINK \l _Toc25467 </w:instrText>
      </w:r>
      <w:r>
        <w:rPr>
          <w:rFonts w:cstheme="minorBidi"/>
          <w:szCs w:val="22"/>
        </w:rPr>
        <w:fldChar w:fldCharType="separate"/>
      </w:r>
      <w:r>
        <w:rPr>
          <w:rFonts w:hint="eastAsia" w:ascii="黑体" w:hAnsi="黑体" w:eastAsia="黑体"/>
        </w:rPr>
        <w:t>第二节 谈判须知正文</w:t>
      </w:r>
      <w:r>
        <w:tab/>
      </w:r>
      <w:r>
        <w:fldChar w:fldCharType="begin"/>
      </w:r>
      <w:r>
        <w:instrText xml:space="preserve"> PAGEREF _Toc25467 \h </w:instrText>
      </w:r>
      <w:r>
        <w:fldChar w:fldCharType="separate"/>
      </w:r>
      <w:r>
        <w:t>13</w:t>
      </w:r>
      <w:r>
        <w:fldChar w:fldCharType="end"/>
      </w:r>
      <w:r>
        <w:rPr>
          <w:rFonts w:cstheme="minorBidi"/>
          <w:szCs w:val="22"/>
        </w:rPr>
        <w:fldChar w:fldCharType="end"/>
      </w:r>
    </w:p>
    <w:p w14:paraId="22B5E84E">
      <w:pPr>
        <w:pStyle w:val="23"/>
        <w:tabs>
          <w:tab w:val="right" w:leader="dot" w:pos="8306"/>
        </w:tabs>
      </w:pPr>
      <w:r>
        <w:rPr>
          <w:rFonts w:cstheme="minorBidi"/>
          <w:szCs w:val="22"/>
        </w:rPr>
        <w:fldChar w:fldCharType="begin"/>
      </w:r>
      <w:r>
        <w:rPr>
          <w:rFonts w:cstheme="minorBidi"/>
          <w:szCs w:val="22"/>
        </w:rPr>
        <w:instrText xml:space="preserve"> HYPERLINK \l _Toc19975 </w:instrText>
      </w:r>
      <w:r>
        <w:rPr>
          <w:rFonts w:cstheme="minorBidi"/>
          <w:szCs w:val="22"/>
        </w:rPr>
        <w:fldChar w:fldCharType="separate"/>
      </w:r>
      <w:r>
        <w:rPr>
          <w:rFonts w:hint="eastAsia" w:ascii="黑体" w:hAnsi="黑体" w:eastAsia="黑体"/>
          <w:szCs w:val="28"/>
        </w:rPr>
        <w:t>一、说明</w:t>
      </w:r>
      <w:r>
        <w:tab/>
      </w:r>
      <w:r>
        <w:fldChar w:fldCharType="begin"/>
      </w:r>
      <w:r>
        <w:instrText xml:space="preserve"> PAGEREF _Toc19975 \h </w:instrText>
      </w:r>
      <w:r>
        <w:fldChar w:fldCharType="separate"/>
      </w:r>
      <w:r>
        <w:t>13</w:t>
      </w:r>
      <w:r>
        <w:fldChar w:fldCharType="end"/>
      </w:r>
      <w:r>
        <w:rPr>
          <w:rFonts w:cstheme="minorBidi"/>
          <w:szCs w:val="22"/>
        </w:rPr>
        <w:fldChar w:fldCharType="end"/>
      </w:r>
    </w:p>
    <w:p w14:paraId="0EF1605D">
      <w:pPr>
        <w:pStyle w:val="23"/>
        <w:tabs>
          <w:tab w:val="right" w:leader="dot" w:pos="8306"/>
        </w:tabs>
      </w:pPr>
      <w:r>
        <w:rPr>
          <w:rFonts w:cstheme="minorBidi"/>
          <w:szCs w:val="22"/>
        </w:rPr>
        <w:fldChar w:fldCharType="begin"/>
      </w:r>
      <w:r>
        <w:rPr>
          <w:rFonts w:cstheme="minorBidi"/>
          <w:szCs w:val="22"/>
        </w:rPr>
        <w:instrText xml:space="preserve"> HYPERLINK \l _Toc30443 </w:instrText>
      </w:r>
      <w:r>
        <w:rPr>
          <w:rFonts w:cstheme="minorBidi"/>
          <w:szCs w:val="22"/>
        </w:rPr>
        <w:fldChar w:fldCharType="separate"/>
      </w:r>
      <w:r>
        <w:rPr>
          <w:rFonts w:hint="eastAsia" w:ascii="黑体" w:hAnsi="黑体" w:eastAsia="黑体"/>
          <w:szCs w:val="28"/>
        </w:rPr>
        <w:t>二、谈判文件</w:t>
      </w:r>
      <w:r>
        <w:tab/>
      </w:r>
      <w:r>
        <w:fldChar w:fldCharType="begin"/>
      </w:r>
      <w:r>
        <w:instrText xml:space="preserve"> PAGEREF _Toc30443 \h </w:instrText>
      </w:r>
      <w:r>
        <w:fldChar w:fldCharType="separate"/>
      </w:r>
      <w:r>
        <w:t>13</w:t>
      </w:r>
      <w:r>
        <w:fldChar w:fldCharType="end"/>
      </w:r>
      <w:r>
        <w:rPr>
          <w:rFonts w:cstheme="minorBidi"/>
          <w:szCs w:val="22"/>
        </w:rPr>
        <w:fldChar w:fldCharType="end"/>
      </w:r>
    </w:p>
    <w:p w14:paraId="3C2BE89A">
      <w:pPr>
        <w:pStyle w:val="23"/>
        <w:tabs>
          <w:tab w:val="right" w:leader="dot" w:pos="8306"/>
        </w:tabs>
      </w:pPr>
      <w:r>
        <w:rPr>
          <w:rFonts w:cstheme="minorBidi"/>
          <w:szCs w:val="22"/>
        </w:rPr>
        <w:fldChar w:fldCharType="begin"/>
      </w:r>
      <w:r>
        <w:rPr>
          <w:rFonts w:cstheme="minorBidi"/>
          <w:szCs w:val="22"/>
        </w:rPr>
        <w:instrText xml:space="preserve"> HYPERLINK \l _Toc32600 </w:instrText>
      </w:r>
      <w:r>
        <w:rPr>
          <w:rFonts w:cstheme="minorBidi"/>
          <w:szCs w:val="22"/>
        </w:rPr>
        <w:fldChar w:fldCharType="separate"/>
      </w:r>
      <w:r>
        <w:rPr>
          <w:rFonts w:hint="eastAsia" w:ascii="黑体" w:hAnsi="黑体" w:eastAsia="黑体"/>
          <w:szCs w:val="28"/>
        </w:rPr>
        <w:t>三、响应文件</w:t>
      </w:r>
      <w:r>
        <w:tab/>
      </w:r>
      <w:r>
        <w:fldChar w:fldCharType="begin"/>
      </w:r>
      <w:r>
        <w:instrText xml:space="preserve"> PAGEREF _Toc32600 \h </w:instrText>
      </w:r>
      <w:r>
        <w:fldChar w:fldCharType="separate"/>
      </w:r>
      <w:r>
        <w:t>14</w:t>
      </w:r>
      <w:r>
        <w:fldChar w:fldCharType="end"/>
      </w:r>
      <w:r>
        <w:rPr>
          <w:rFonts w:cstheme="minorBidi"/>
          <w:szCs w:val="22"/>
        </w:rPr>
        <w:fldChar w:fldCharType="end"/>
      </w:r>
    </w:p>
    <w:p w14:paraId="30CF4827">
      <w:pPr>
        <w:pStyle w:val="23"/>
        <w:tabs>
          <w:tab w:val="right" w:leader="dot" w:pos="8306"/>
        </w:tabs>
      </w:pPr>
      <w:r>
        <w:rPr>
          <w:rFonts w:cstheme="minorBidi"/>
          <w:szCs w:val="22"/>
        </w:rPr>
        <w:fldChar w:fldCharType="begin"/>
      </w:r>
      <w:r>
        <w:rPr>
          <w:rFonts w:cstheme="minorBidi"/>
          <w:szCs w:val="22"/>
        </w:rPr>
        <w:instrText xml:space="preserve"> HYPERLINK \l _Toc26291 </w:instrText>
      </w:r>
      <w:r>
        <w:rPr>
          <w:rFonts w:cstheme="minorBidi"/>
          <w:szCs w:val="22"/>
        </w:rPr>
        <w:fldChar w:fldCharType="separate"/>
      </w:r>
      <w:r>
        <w:rPr>
          <w:rFonts w:hint="eastAsia" w:ascii="黑体" w:hAnsi="黑体" w:eastAsia="黑体"/>
          <w:szCs w:val="28"/>
        </w:rPr>
        <w:t>四、响应文件的递交</w:t>
      </w:r>
      <w:r>
        <w:tab/>
      </w:r>
      <w:r>
        <w:fldChar w:fldCharType="begin"/>
      </w:r>
      <w:r>
        <w:instrText xml:space="preserve"> PAGEREF _Toc26291 \h </w:instrText>
      </w:r>
      <w:r>
        <w:fldChar w:fldCharType="separate"/>
      </w:r>
      <w:r>
        <w:t>16</w:t>
      </w:r>
      <w:r>
        <w:fldChar w:fldCharType="end"/>
      </w:r>
      <w:r>
        <w:rPr>
          <w:rFonts w:cstheme="minorBidi"/>
          <w:szCs w:val="22"/>
        </w:rPr>
        <w:fldChar w:fldCharType="end"/>
      </w:r>
    </w:p>
    <w:p w14:paraId="04BA6662">
      <w:pPr>
        <w:pStyle w:val="23"/>
        <w:tabs>
          <w:tab w:val="right" w:leader="dot" w:pos="8306"/>
        </w:tabs>
      </w:pPr>
      <w:r>
        <w:rPr>
          <w:rFonts w:cstheme="minorBidi"/>
          <w:szCs w:val="22"/>
        </w:rPr>
        <w:fldChar w:fldCharType="begin"/>
      </w:r>
      <w:r>
        <w:rPr>
          <w:rFonts w:cstheme="minorBidi"/>
          <w:szCs w:val="22"/>
        </w:rPr>
        <w:instrText xml:space="preserve"> HYPERLINK \l _Toc20714 </w:instrText>
      </w:r>
      <w:r>
        <w:rPr>
          <w:rFonts w:cstheme="minorBidi"/>
          <w:szCs w:val="22"/>
        </w:rPr>
        <w:fldChar w:fldCharType="separate"/>
      </w:r>
      <w:r>
        <w:rPr>
          <w:rFonts w:hint="eastAsia" w:ascii="黑体" w:hAnsi="黑体" w:eastAsia="黑体"/>
          <w:szCs w:val="28"/>
        </w:rPr>
        <w:t>五、响应文件的评审与谈判</w:t>
      </w:r>
      <w:r>
        <w:tab/>
      </w:r>
      <w:r>
        <w:fldChar w:fldCharType="begin"/>
      </w:r>
      <w:r>
        <w:instrText xml:space="preserve"> PAGEREF _Toc20714 \h </w:instrText>
      </w:r>
      <w:r>
        <w:fldChar w:fldCharType="separate"/>
      </w:r>
      <w:r>
        <w:t>17</w:t>
      </w:r>
      <w:r>
        <w:fldChar w:fldCharType="end"/>
      </w:r>
      <w:r>
        <w:rPr>
          <w:rFonts w:cstheme="minorBidi"/>
          <w:szCs w:val="22"/>
        </w:rPr>
        <w:fldChar w:fldCharType="end"/>
      </w:r>
    </w:p>
    <w:p w14:paraId="3C449CDF">
      <w:pPr>
        <w:pStyle w:val="23"/>
        <w:tabs>
          <w:tab w:val="right" w:leader="dot" w:pos="8306"/>
        </w:tabs>
      </w:pPr>
      <w:r>
        <w:rPr>
          <w:rFonts w:cstheme="minorBidi"/>
          <w:szCs w:val="22"/>
        </w:rPr>
        <w:fldChar w:fldCharType="begin"/>
      </w:r>
      <w:r>
        <w:rPr>
          <w:rFonts w:cstheme="minorBidi"/>
          <w:szCs w:val="22"/>
        </w:rPr>
        <w:instrText xml:space="preserve"> HYPERLINK \l _Toc2782 </w:instrText>
      </w:r>
      <w:r>
        <w:rPr>
          <w:rFonts w:cstheme="minorBidi"/>
          <w:szCs w:val="22"/>
        </w:rPr>
        <w:fldChar w:fldCharType="separate"/>
      </w:r>
      <w:r>
        <w:rPr>
          <w:rFonts w:hint="eastAsia" w:ascii="黑体" w:hAnsi="黑体" w:eastAsia="黑体"/>
          <w:szCs w:val="28"/>
          <w:highlight w:val="none"/>
        </w:rPr>
        <w:t>六、成交结果信息公布与授予合同</w:t>
      </w:r>
      <w:r>
        <w:tab/>
      </w:r>
      <w:r>
        <w:fldChar w:fldCharType="begin"/>
      </w:r>
      <w:r>
        <w:instrText xml:space="preserve"> PAGEREF _Toc2782 \h </w:instrText>
      </w:r>
      <w:r>
        <w:fldChar w:fldCharType="separate"/>
      </w:r>
      <w:r>
        <w:t>21</w:t>
      </w:r>
      <w:r>
        <w:fldChar w:fldCharType="end"/>
      </w:r>
      <w:r>
        <w:rPr>
          <w:rFonts w:cstheme="minorBidi"/>
          <w:szCs w:val="22"/>
        </w:rPr>
        <w:fldChar w:fldCharType="end"/>
      </w:r>
    </w:p>
    <w:p w14:paraId="3DE034A5">
      <w:pPr>
        <w:pStyle w:val="23"/>
        <w:tabs>
          <w:tab w:val="right" w:leader="dot" w:pos="8306"/>
        </w:tabs>
      </w:pPr>
      <w:r>
        <w:rPr>
          <w:rFonts w:cstheme="minorBidi"/>
          <w:szCs w:val="22"/>
        </w:rPr>
        <w:fldChar w:fldCharType="begin"/>
      </w:r>
      <w:r>
        <w:rPr>
          <w:rFonts w:cstheme="minorBidi"/>
          <w:szCs w:val="22"/>
        </w:rPr>
        <w:instrText xml:space="preserve"> HYPERLINK \l _Toc9959 </w:instrText>
      </w:r>
      <w:r>
        <w:rPr>
          <w:rFonts w:cstheme="minorBidi"/>
          <w:szCs w:val="22"/>
        </w:rPr>
        <w:fldChar w:fldCharType="separate"/>
      </w:r>
      <w:r>
        <w:rPr>
          <w:rFonts w:hint="eastAsia" w:ascii="黑体" w:hAnsi="黑体" w:eastAsia="黑体"/>
          <w:szCs w:val="28"/>
          <w:highlight w:val="none"/>
        </w:rPr>
        <w:t>七、政府采购政策</w:t>
      </w:r>
      <w:r>
        <w:tab/>
      </w:r>
      <w:r>
        <w:fldChar w:fldCharType="begin"/>
      </w:r>
      <w:r>
        <w:instrText xml:space="preserve"> PAGEREF _Toc9959 \h </w:instrText>
      </w:r>
      <w:r>
        <w:fldChar w:fldCharType="separate"/>
      </w:r>
      <w:r>
        <w:t>23</w:t>
      </w:r>
      <w:r>
        <w:fldChar w:fldCharType="end"/>
      </w:r>
      <w:r>
        <w:rPr>
          <w:rFonts w:cstheme="minorBidi"/>
          <w:szCs w:val="22"/>
        </w:rPr>
        <w:fldChar w:fldCharType="end"/>
      </w:r>
    </w:p>
    <w:p w14:paraId="0D8F0561">
      <w:pPr>
        <w:pStyle w:val="23"/>
        <w:tabs>
          <w:tab w:val="right" w:leader="dot" w:pos="8306"/>
        </w:tabs>
      </w:pPr>
      <w:r>
        <w:rPr>
          <w:rFonts w:cstheme="minorBidi"/>
          <w:szCs w:val="22"/>
        </w:rPr>
        <w:fldChar w:fldCharType="begin"/>
      </w:r>
      <w:r>
        <w:rPr>
          <w:rFonts w:cstheme="minorBidi"/>
          <w:szCs w:val="22"/>
        </w:rPr>
        <w:instrText xml:space="preserve"> HYPERLINK \l _Toc6671 </w:instrText>
      </w:r>
      <w:r>
        <w:rPr>
          <w:rFonts w:cstheme="minorBidi"/>
          <w:szCs w:val="22"/>
        </w:rPr>
        <w:fldChar w:fldCharType="separate"/>
      </w:r>
      <w:r>
        <w:rPr>
          <w:rFonts w:hint="eastAsia" w:ascii="黑体" w:hAnsi="黑体" w:eastAsia="黑体"/>
          <w:szCs w:val="28"/>
          <w:highlight w:val="none"/>
        </w:rPr>
        <w:t>八、其他规定</w:t>
      </w:r>
      <w:r>
        <w:tab/>
      </w:r>
      <w:r>
        <w:fldChar w:fldCharType="begin"/>
      </w:r>
      <w:r>
        <w:instrText xml:space="preserve"> PAGEREF _Toc6671 \h </w:instrText>
      </w:r>
      <w:r>
        <w:fldChar w:fldCharType="separate"/>
      </w:r>
      <w:r>
        <w:t>25</w:t>
      </w:r>
      <w:r>
        <w:fldChar w:fldCharType="end"/>
      </w:r>
      <w:r>
        <w:rPr>
          <w:rFonts w:cstheme="minorBidi"/>
          <w:szCs w:val="22"/>
        </w:rPr>
        <w:fldChar w:fldCharType="end"/>
      </w:r>
    </w:p>
    <w:p w14:paraId="5DDFDCE3">
      <w:pPr>
        <w:pStyle w:val="31"/>
        <w:tabs>
          <w:tab w:val="right" w:leader="dot" w:pos="8306"/>
          <w:tab w:val="clear" w:pos="8834"/>
        </w:tabs>
      </w:pPr>
      <w:r>
        <w:rPr>
          <w:rFonts w:cstheme="minorBidi"/>
          <w:szCs w:val="22"/>
        </w:rPr>
        <w:fldChar w:fldCharType="begin"/>
      </w:r>
      <w:r>
        <w:rPr>
          <w:rFonts w:cstheme="minorBidi"/>
          <w:szCs w:val="22"/>
        </w:rPr>
        <w:instrText xml:space="preserve"> HYPERLINK \l _Toc15360 </w:instrText>
      </w:r>
      <w:r>
        <w:rPr>
          <w:rFonts w:cstheme="minorBidi"/>
          <w:szCs w:val="22"/>
        </w:rPr>
        <w:fldChar w:fldCharType="separate"/>
      </w:r>
      <w:r>
        <w:rPr>
          <w:rFonts w:hint="eastAsia" w:ascii="黑体" w:hAnsi="黑体" w:eastAsia="黑体"/>
          <w:szCs w:val="32"/>
          <w:highlight w:val="none"/>
        </w:rPr>
        <w:t>第三章  采购需求</w:t>
      </w:r>
      <w:r>
        <w:tab/>
      </w:r>
      <w:r>
        <w:fldChar w:fldCharType="begin"/>
      </w:r>
      <w:r>
        <w:instrText xml:space="preserve"> PAGEREF _Toc15360 \h </w:instrText>
      </w:r>
      <w:r>
        <w:fldChar w:fldCharType="separate"/>
      </w:r>
      <w:r>
        <w:t>26</w:t>
      </w:r>
      <w:r>
        <w:fldChar w:fldCharType="end"/>
      </w:r>
      <w:r>
        <w:rPr>
          <w:rFonts w:cstheme="minorBidi"/>
          <w:szCs w:val="22"/>
        </w:rPr>
        <w:fldChar w:fldCharType="end"/>
      </w:r>
    </w:p>
    <w:p w14:paraId="4618BBBF">
      <w:pPr>
        <w:pStyle w:val="35"/>
        <w:tabs>
          <w:tab w:val="right" w:leader="dot" w:pos="8306"/>
        </w:tabs>
      </w:pPr>
      <w:r>
        <w:rPr>
          <w:rFonts w:cstheme="minorBidi"/>
          <w:szCs w:val="22"/>
        </w:rPr>
        <w:fldChar w:fldCharType="begin"/>
      </w:r>
      <w:r>
        <w:rPr>
          <w:rFonts w:cstheme="minorBidi"/>
          <w:szCs w:val="22"/>
        </w:rPr>
        <w:instrText xml:space="preserve"> HYPERLINK \l _Toc12387 </w:instrText>
      </w:r>
      <w:r>
        <w:rPr>
          <w:rFonts w:cstheme="minorBidi"/>
          <w:szCs w:val="22"/>
        </w:rPr>
        <w:fldChar w:fldCharType="separate"/>
      </w:r>
      <w:r>
        <w:rPr>
          <w:rFonts w:hint="eastAsia" w:ascii="黑体" w:hAnsi="华文中宋" w:eastAsia="黑体"/>
          <w:szCs w:val="28"/>
          <w:highlight w:val="none"/>
        </w:rPr>
        <w:t>第一节 合同协议书</w:t>
      </w:r>
      <w:r>
        <w:tab/>
      </w:r>
      <w:r>
        <w:fldChar w:fldCharType="begin"/>
      </w:r>
      <w:r>
        <w:instrText xml:space="preserve"> PAGEREF _Toc12387 \h </w:instrText>
      </w:r>
      <w:r>
        <w:fldChar w:fldCharType="separate"/>
      </w:r>
      <w:r>
        <w:t>30</w:t>
      </w:r>
      <w:r>
        <w:fldChar w:fldCharType="end"/>
      </w:r>
      <w:r>
        <w:rPr>
          <w:rFonts w:cstheme="minorBidi"/>
          <w:szCs w:val="22"/>
        </w:rPr>
        <w:fldChar w:fldCharType="end"/>
      </w:r>
    </w:p>
    <w:p w14:paraId="30F7E507">
      <w:pPr>
        <w:pStyle w:val="35"/>
        <w:tabs>
          <w:tab w:val="right" w:leader="dot" w:pos="8306"/>
        </w:tabs>
      </w:pPr>
      <w:r>
        <w:rPr>
          <w:rFonts w:cstheme="minorBidi"/>
          <w:szCs w:val="22"/>
        </w:rPr>
        <w:fldChar w:fldCharType="begin"/>
      </w:r>
      <w:r>
        <w:rPr>
          <w:rFonts w:cstheme="minorBidi"/>
          <w:szCs w:val="22"/>
        </w:rPr>
        <w:instrText xml:space="preserve"> HYPERLINK \l _Toc8006 </w:instrText>
      </w:r>
      <w:r>
        <w:rPr>
          <w:rFonts w:cstheme="minorBidi"/>
          <w:szCs w:val="22"/>
        </w:rPr>
        <w:fldChar w:fldCharType="separate"/>
      </w:r>
      <w:r>
        <w:rPr>
          <w:rFonts w:hint="eastAsia" w:ascii="黑体" w:hAnsi="华文中宋" w:eastAsia="黑体"/>
          <w:szCs w:val="28"/>
          <w:highlight w:val="none"/>
          <w:lang w:val="en-US" w:eastAsia="zh-CN"/>
        </w:rPr>
        <w:t xml:space="preserve">第二节  </w:t>
      </w:r>
      <w:r>
        <w:rPr>
          <w:rFonts w:hint="eastAsia" w:ascii="黑体" w:hAnsi="华文中宋" w:eastAsia="黑体"/>
          <w:szCs w:val="28"/>
          <w:highlight w:val="none"/>
          <w:lang w:eastAsia="zh-CN"/>
        </w:rPr>
        <w:t>政府采购合同通用条款</w:t>
      </w:r>
      <w:r>
        <w:tab/>
      </w:r>
      <w:r>
        <w:fldChar w:fldCharType="begin"/>
      </w:r>
      <w:r>
        <w:instrText xml:space="preserve"> PAGEREF _Toc8006 \h </w:instrText>
      </w:r>
      <w:r>
        <w:fldChar w:fldCharType="separate"/>
      </w:r>
      <w:r>
        <w:t>34</w:t>
      </w:r>
      <w:r>
        <w:fldChar w:fldCharType="end"/>
      </w:r>
      <w:r>
        <w:rPr>
          <w:rFonts w:cstheme="minorBidi"/>
          <w:szCs w:val="22"/>
        </w:rPr>
        <w:fldChar w:fldCharType="end"/>
      </w:r>
    </w:p>
    <w:p w14:paraId="65651C7A">
      <w:pPr>
        <w:pStyle w:val="35"/>
        <w:tabs>
          <w:tab w:val="right" w:leader="dot" w:pos="8306"/>
        </w:tabs>
      </w:pPr>
      <w:r>
        <w:rPr>
          <w:rFonts w:cstheme="minorBidi"/>
          <w:szCs w:val="22"/>
        </w:rPr>
        <w:fldChar w:fldCharType="begin"/>
      </w:r>
      <w:r>
        <w:rPr>
          <w:rFonts w:cstheme="minorBidi"/>
          <w:szCs w:val="22"/>
        </w:rPr>
        <w:instrText xml:space="preserve"> HYPERLINK \l _Toc7787 </w:instrText>
      </w:r>
      <w:r>
        <w:rPr>
          <w:rFonts w:cstheme="minorBidi"/>
          <w:szCs w:val="22"/>
        </w:rPr>
        <w:fldChar w:fldCharType="separate"/>
      </w:r>
      <w:r>
        <w:rPr>
          <w:rFonts w:hint="eastAsia" w:ascii="黑体" w:hAnsi="华文中宋" w:eastAsia="黑体"/>
          <w:szCs w:val="28"/>
          <w:highlight w:val="none"/>
          <w:lang w:val="en-US" w:eastAsia="zh-CN"/>
        </w:rPr>
        <w:t xml:space="preserve">第三节  </w:t>
      </w:r>
      <w:r>
        <w:rPr>
          <w:rFonts w:hint="eastAsia" w:ascii="黑体" w:hAnsi="华文中宋" w:eastAsia="黑体"/>
          <w:szCs w:val="28"/>
          <w:highlight w:val="none"/>
          <w:lang w:eastAsia="zh-CN"/>
        </w:rPr>
        <w:t>政府采购合同</w:t>
      </w:r>
      <w:r>
        <w:rPr>
          <w:rFonts w:hint="eastAsia" w:ascii="黑体" w:hAnsi="华文中宋" w:eastAsia="黑体"/>
          <w:szCs w:val="28"/>
          <w:highlight w:val="none"/>
          <w:lang w:val="en-US" w:eastAsia="zh-CN"/>
        </w:rPr>
        <w:t>专用</w:t>
      </w:r>
      <w:r>
        <w:rPr>
          <w:rFonts w:hint="eastAsia" w:ascii="黑体" w:hAnsi="华文中宋" w:eastAsia="黑体"/>
          <w:szCs w:val="28"/>
          <w:highlight w:val="none"/>
          <w:lang w:eastAsia="zh-CN"/>
        </w:rPr>
        <w:t>条款</w:t>
      </w:r>
      <w:r>
        <w:tab/>
      </w:r>
      <w:r>
        <w:fldChar w:fldCharType="begin"/>
      </w:r>
      <w:r>
        <w:instrText xml:space="preserve"> PAGEREF _Toc7787 \h </w:instrText>
      </w:r>
      <w:r>
        <w:fldChar w:fldCharType="separate"/>
      </w:r>
      <w:r>
        <w:t>34</w:t>
      </w:r>
      <w:r>
        <w:fldChar w:fldCharType="end"/>
      </w:r>
      <w:r>
        <w:rPr>
          <w:rFonts w:cstheme="minorBidi"/>
          <w:szCs w:val="22"/>
        </w:rPr>
        <w:fldChar w:fldCharType="end"/>
      </w:r>
    </w:p>
    <w:p w14:paraId="3FF0483E">
      <w:pPr>
        <w:pStyle w:val="31"/>
        <w:tabs>
          <w:tab w:val="right" w:leader="dot" w:pos="8306"/>
          <w:tab w:val="clear" w:pos="8834"/>
        </w:tabs>
      </w:pPr>
      <w:r>
        <w:rPr>
          <w:rFonts w:cstheme="minorBidi"/>
          <w:szCs w:val="22"/>
        </w:rPr>
        <w:fldChar w:fldCharType="begin"/>
      </w:r>
      <w:r>
        <w:rPr>
          <w:rFonts w:cstheme="minorBidi"/>
          <w:szCs w:val="22"/>
        </w:rPr>
        <w:instrText xml:space="preserve"> HYPERLINK \l _Toc18654 </w:instrText>
      </w:r>
      <w:r>
        <w:rPr>
          <w:rFonts w:cstheme="minorBidi"/>
          <w:szCs w:val="22"/>
        </w:rPr>
        <w:fldChar w:fldCharType="separate"/>
      </w:r>
      <w:r>
        <w:rPr>
          <w:rFonts w:hint="eastAsia" w:ascii="黑体" w:hAnsi="黑体" w:eastAsia="黑体"/>
          <w:highlight w:val="none"/>
        </w:rPr>
        <w:t>第五章 响应文件组成</w:t>
      </w:r>
      <w:r>
        <w:tab/>
      </w:r>
      <w:r>
        <w:fldChar w:fldCharType="begin"/>
      </w:r>
      <w:r>
        <w:instrText xml:space="preserve"> PAGEREF _Toc18654 \h </w:instrText>
      </w:r>
      <w:r>
        <w:fldChar w:fldCharType="separate"/>
      </w:r>
      <w:r>
        <w:t>35</w:t>
      </w:r>
      <w:r>
        <w:fldChar w:fldCharType="end"/>
      </w:r>
      <w:r>
        <w:rPr>
          <w:rFonts w:cstheme="minorBidi"/>
          <w:szCs w:val="22"/>
        </w:rPr>
        <w:fldChar w:fldCharType="end"/>
      </w:r>
    </w:p>
    <w:p w14:paraId="5BF10964">
      <w:pPr>
        <w:pStyle w:val="35"/>
        <w:tabs>
          <w:tab w:val="right" w:leader="dot" w:pos="8306"/>
        </w:tabs>
      </w:pPr>
      <w:r>
        <w:rPr>
          <w:rFonts w:cstheme="minorBidi"/>
          <w:szCs w:val="22"/>
        </w:rPr>
        <w:fldChar w:fldCharType="begin"/>
      </w:r>
      <w:r>
        <w:rPr>
          <w:rFonts w:cstheme="minorBidi"/>
          <w:szCs w:val="22"/>
        </w:rPr>
        <w:instrText xml:space="preserve"> HYPERLINK \l _Toc3542 </w:instrText>
      </w:r>
      <w:r>
        <w:rPr>
          <w:rFonts w:cstheme="minorBidi"/>
          <w:szCs w:val="22"/>
        </w:rPr>
        <w:fldChar w:fldCharType="separate"/>
      </w:r>
      <w:r>
        <w:rPr>
          <w:rFonts w:hint="eastAsia" w:ascii="宋体" w:hAnsi="宋体"/>
          <w:szCs w:val="21"/>
          <w:highlight w:val="none"/>
        </w:rPr>
        <w:t>索引表 符合性审查索引表</w:t>
      </w:r>
      <w:r>
        <w:tab/>
      </w:r>
      <w:r>
        <w:fldChar w:fldCharType="begin"/>
      </w:r>
      <w:r>
        <w:instrText xml:space="preserve"> PAGEREF _Toc3542 \h </w:instrText>
      </w:r>
      <w:r>
        <w:fldChar w:fldCharType="separate"/>
      </w:r>
      <w:r>
        <w:t>37</w:t>
      </w:r>
      <w:r>
        <w:fldChar w:fldCharType="end"/>
      </w:r>
      <w:r>
        <w:rPr>
          <w:rFonts w:cstheme="minorBidi"/>
          <w:szCs w:val="22"/>
        </w:rPr>
        <w:fldChar w:fldCharType="end"/>
      </w:r>
    </w:p>
    <w:p w14:paraId="371D2CA3">
      <w:pPr>
        <w:pStyle w:val="35"/>
        <w:tabs>
          <w:tab w:val="right" w:leader="dot" w:pos="8306"/>
        </w:tabs>
      </w:pPr>
      <w:r>
        <w:rPr>
          <w:rFonts w:cstheme="minorBidi"/>
          <w:szCs w:val="22"/>
        </w:rPr>
        <w:fldChar w:fldCharType="begin"/>
      </w:r>
      <w:r>
        <w:rPr>
          <w:rFonts w:cstheme="minorBidi"/>
          <w:szCs w:val="22"/>
        </w:rPr>
        <w:instrText xml:space="preserve"> HYPERLINK \l _Toc26358 </w:instrText>
      </w:r>
      <w:r>
        <w:rPr>
          <w:rFonts w:cstheme="minorBidi"/>
          <w:szCs w:val="22"/>
        </w:rPr>
        <w:fldChar w:fldCharType="separate"/>
      </w:r>
      <w:r>
        <w:rPr>
          <w:rFonts w:hint="eastAsia" w:ascii="黑体" w:hAnsi="黑体" w:eastAsia="黑体"/>
          <w:bCs/>
          <w:szCs w:val="28"/>
          <w:highlight w:val="none"/>
        </w:rPr>
        <w:t>一、报价表及报价文件(格式)</w:t>
      </w:r>
      <w:r>
        <w:tab/>
      </w:r>
      <w:r>
        <w:fldChar w:fldCharType="begin"/>
      </w:r>
      <w:r>
        <w:instrText xml:space="preserve"> PAGEREF _Toc26358 \h </w:instrText>
      </w:r>
      <w:r>
        <w:fldChar w:fldCharType="separate"/>
      </w:r>
      <w:r>
        <w:t>38</w:t>
      </w:r>
      <w:r>
        <w:fldChar w:fldCharType="end"/>
      </w:r>
      <w:r>
        <w:rPr>
          <w:rFonts w:cstheme="minorBidi"/>
          <w:szCs w:val="22"/>
        </w:rPr>
        <w:fldChar w:fldCharType="end"/>
      </w:r>
    </w:p>
    <w:p w14:paraId="0A11884B">
      <w:pPr>
        <w:pStyle w:val="35"/>
        <w:tabs>
          <w:tab w:val="right" w:leader="dot" w:pos="8306"/>
        </w:tabs>
      </w:pPr>
      <w:r>
        <w:rPr>
          <w:rFonts w:cstheme="minorBidi"/>
          <w:szCs w:val="22"/>
        </w:rPr>
        <w:fldChar w:fldCharType="begin"/>
      </w:r>
      <w:r>
        <w:rPr>
          <w:rFonts w:cstheme="minorBidi"/>
          <w:szCs w:val="22"/>
        </w:rPr>
        <w:instrText xml:space="preserve"> HYPERLINK \l _Toc8883 </w:instrText>
      </w:r>
      <w:r>
        <w:rPr>
          <w:rFonts w:cstheme="minorBidi"/>
          <w:szCs w:val="22"/>
        </w:rPr>
        <w:fldChar w:fldCharType="separate"/>
      </w:r>
      <w:r>
        <w:rPr>
          <w:rFonts w:hint="eastAsia" w:ascii="黑体" w:hAnsi="黑体" w:eastAsia="黑体"/>
          <w:bCs/>
          <w:szCs w:val="28"/>
          <w:highlight w:val="none"/>
        </w:rPr>
        <w:t>二、谈判响应声明(格式)</w:t>
      </w:r>
      <w:r>
        <w:tab/>
      </w:r>
      <w:r>
        <w:fldChar w:fldCharType="begin"/>
      </w:r>
      <w:r>
        <w:instrText xml:space="preserve"> PAGEREF _Toc8883 \h </w:instrText>
      </w:r>
      <w:r>
        <w:fldChar w:fldCharType="separate"/>
      </w:r>
      <w:r>
        <w:t>40</w:t>
      </w:r>
      <w:r>
        <w:fldChar w:fldCharType="end"/>
      </w:r>
      <w:r>
        <w:rPr>
          <w:rFonts w:cstheme="minorBidi"/>
          <w:szCs w:val="22"/>
        </w:rPr>
        <w:fldChar w:fldCharType="end"/>
      </w:r>
    </w:p>
    <w:p w14:paraId="7B4D5AFF">
      <w:pPr>
        <w:pStyle w:val="35"/>
        <w:tabs>
          <w:tab w:val="right" w:leader="dot" w:pos="8306"/>
        </w:tabs>
      </w:pPr>
      <w:r>
        <w:rPr>
          <w:rFonts w:cstheme="minorBidi"/>
          <w:szCs w:val="22"/>
        </w:rPr>
        <w:fldChar w:fldCharType="begin"/>
      </w:r>
      <w:r>
        <w:rPr>
          <w:rFonts w:cstheme="minorBidi"/>
          <w:szCs w:val="22"/>
        </w:rPr>
        <w:instrText xml:space="preserve"> HYPERLINK \l _Toc7313 </w:instrText>
      </w:r>
      <w:r>
        <w:rPr>
          <w:rFonts w:cstheme="minorBidi"/>
          <w:szCs w:val="22"/>
        </w:rPr>
        <w:fldChar w:fldCharType="separate"/>
      </w:r>
      <w:r>
        <w:rPr>
          <w:rFonts w:hint="eastAsia" w:ascii="黑体" w:hAnsi="黑体" w:eastAsia="黑体"/>
          <w:szCs w:val="28"/>
          <w:highlight w:val="none"/>
        </w:rPr>
        <w:t>三、授权委托书(格式)</w:t>
      </w:r>
      <w:r>
        <w:tab/>
      </w:r>
      <w:r>
        <w:fldChar w:fldCharType="begin"/>
      </w:r>
      <w:r>
        <w:instrText xml:space="preserve"> PAGEREF _Toc7313 \h </w:instrText>
      </w:r>
      <w:r>
        <w:fldChar w:fldCharType="separate"/>
      </w:r>
      <w:r>
        <w:t>41</w:t>
      </w:r>
      <w:r>
        <w:fldChar w:fldCharType="end"/>
      </w:r>
      <w:r>
        <w:rPr>
          <w:rFonts w:cstheme="minorBidi"/>
          <w:szCs w:val="22"/>
        </w:rPr>
        <w:fldChar w:fldCharType="end"/>
      </w:r>
    </w:p>
    <w:p w14:paraId="5D266F50">
      <w:pPr>
        <w:pStyle w:val="35"/>
        <w:tabs>
          <w:tab w:val="right" w:leader="dot" w:pos="8306"/>
        </w:tabs>
      </w:pPr>
      <w:r>
        <w:rPr>
          <w:rFonts w:cstheme="minorBidi"/>
          <w:szCs w:val="22"/>
        </w:rPr>
        <w:fldChar w:fldCharType="begin"/>
      </w:r>
      <w:r>
        <w:rPr>
          <w:rFonts w:cstheme="minorBidi"/>
          <w:szCs w:val="22"/>
        </w:rPr>
        <w:instrText xml:space="preserve"> HYPERLINK \l _Toc24677 </w:instrText>
      </w:r>
      <w:r>
        <w:rPr>
          <w:rFonts w:cstheme="minorBidi"/>
          <w:szCs w:val="22"/>
        </w:rPr>
        <w:fldChar w:fldCharType="separate"/>
      </w:r>
      <w:r>
        <w:rPr>
          <w:rFonts w:hint="eastAsia" w:ascii="黑体" w:hAnsi="黑体" w:eastAsia="黑体"/>
          <w:szCs w:val="28"/>
          <w:highlight w:val="none"/>
        </w:rPr>
        <w:t>四、采购需求的响应</w:t>
      </w:r>
      <w:r>
        <w:tab/>
      </w:r>
      <w:r>
        <w:fldChar w:fldCharType="begin"/>
      </w:r>
      <w:r>
        <w:instrText xml:space="preserve"> PAGEREF _Toc24677 \h </w:instrText>
      </w:r>
      <w:r>
        <w:fldChar w:fldCharType="separate"/>
      </w:r>
      <w:r>
        <w:t>42</w:t>
      </w:r>
      <w:r>
        <w:fldChar w:fldCharType="end"/>
      </w:r>
      <w:r>
        <w:rPr>
          <w:rFonts w:cstheme="minorBidi"/>
          <w:szCs w:val="22"/>
        </w:rPr>
        <w:fldChar w:fldCharType="end"/>
      </w:r>
    </w:p>
    <w:p w14:paraId="32DD0132">
      <w:pPr>
        <w:pStyle w:val="35"/>
        <w:tabs>
          <w:tab w:val="right" w:leader="dot" w:pos="8306"/>
        </w:tabs>
      </w:pPr>
      <w:r>
        <w:rPr>
          <w:rFonts w:cstheme="minorBidi"/>
          <w:szCs w:val="22"/>
        </w:rPr>
        <w:fldChar w:fldCharType="begin"/>
      </w:r>
      <w:r>
        <w:rPr>
          <w:rFonts w:cstheme="minorBidi"/>
          <w:szCs w:val="22"/>
        </w:rPr>
        <w:instrText xml:space="preserve"> HYPERLINK \l _Toc5779 </w:instrText>
      </w:r>
      <w:r>
        <w:rPr>
          <w:rFonts w:cstheme="minorBidi"/>
          <w:szCs w:val="22"/>
        </w:rPr>
        <w:fldChar w:fldCharType="separate"/>
      </w:r>
      <w:r>
        <w:rPr>
          <w:rFonts w:hint="eastAsia" w:ascii="黑体" w:hAnsi="黑体" w:eastAsia="黑体"/>
          <w:szCs w:val="28"/>
          <w:highlight w:val="none"/>
        </w:rPr>
        <w:t>五、合同条款偏离表</w:t>
      </w:r>
      <w:r>
        <w:tab/>
      </w:r>
      <w:r>
        <w:fldChar w:fldCharType="begin"/>
      </w:r>
      <w:r>
        <w:instrText xml:space="preserve"> PAGEREF _Toc5779 \h </w:instrText>
      </w:r>
      <w:r>
        <w:fldChar w:fldCharType="separate"/>
      </w:r>
      <w:r>
        <w:t>44</w:t>
      </w:r>
      <w:r>
        <w:fldChar w:fldCharType="end"/>
      </w:r>
      <w:r>
        <w:rPr>
          <w:rFonts w:cstheme="minorBidi"/>
          <w:szCs w:val="22"/>
        </w:rPr>
        <w:fldChar w:fldCharType="end"/>
      </w:r>
    </w:p>
    <w:p w14:paraId="08FA415F">
      <w:pPr>
        <w:pStyle w:val="35"/>
        <w:tabs>
          <w:tab w:val="right" w:leader="dot" w:pos="8306"/>
        </w:tabs>
      </w:pPr>
      <w:r>
        <w:rPr>
          <w:rFonts w:cstheme="minorBidi"/>
          <w:szCs w:val="22"/>
        </w:rPr>
        <w:fldChar w:fldCharType="begin"/>
      </w:r>
      <w:r>
        <w:rPr>
          <w:rFonts w:cstheme="minorBidi"/>
          <w:szCs w:val="22"/>
        </w:rPr>
        <w:instrText xml:space="preserve"> HYPERLINK \l _Toc27963 </w:instrText>
      </w:r>
      <w:r>
        <w:rPr>
          <w:rFonts w:cstheme="minorBidi"/>
          <w:szCs w:val="22"/>
        </w:rPr>
        <w:fldChar w:fldCharType="separate"/>
      </w:r>
      <w:r>
        <w:rPr>
          <w:rFonts w:hint="eastAsia" w:ascii="黑体" w:eastAsia="黑体"/>
          <w:szCs w:val="28"/>
          <w:highlight w:val="none"/>
        </w:rPr>
        <w:t>六、采购需求偏离表</w:t>
      </w:r>
      <w:r>
        <w:tab/>
      </w:r>
      <w:r>
        <w:fldChar w:fldCharType="begin"/>
      </w:r>
      <w:r>
        <w:instrText xml:space="preserve"> PAGEREF _Toc27963 \h </w:instrText>
      </w:r>
      <w:r>
        <w:fldChar w:fldCharType="separate"/>
      </w:r>
      <w:r>
        <w:t>45</w:t>
      </w:r>
      <w:r>
        <w:fldChar w:fldCharType="end"/>
      </w:r>
      <w:r>
        <w:rPr>
          <w:rFonts w:cstheme="minorBidi"/>
          <w:szCs w:val="22"/>
        </w:rPr>
        <w:fldChar w:fldCharType="end"/>
      </w:r>
    </w:p>
    <w:p w14:paraId="0EB1357D">
      <w:pPr>
        <w:pStyle w:val="35"/>
        <w:tabs>
          <w:tab w:val="right" w:leader="dot" w:pos="8306"/>
        </w:tabs>
      </w:pPr>
      <w:r>
        <w:rPr>
          <w:rFonts w:cstheme="minorBidi"/>
          <w:szCs w:val="22"/>
        </w:rPr>
        <w:fldChar w:fldCharType="begin"/>
      </w:r>
      <w:r>
        <w:rPr>
          <w:rFonts w:cstheme="minorBidi"/>
          <w:szCs w:val="22"/>
        </w:rPr>
        <w:instrText xml:space="preserve"> HYPERLINK \l _Toc17178 </w:instrText>
      </w:r>
      <w:r>
        <w:rPr>
          <w:rFonts w:cstheme="minorBidi"/>
          <w:szCs w:val="22"/>
        </w:rPr>
        <w:fldChar w:fldCharType="separate"/>
      </w:r>
      <w:r>
        <w:rPr>
          <w:rFonts w:hint="eastAsia" w:ascii="黑体" w:hAnsi="黑体" w:eastAsia="黑体"/>
          <w:szCs w:val="28"/>
          <w:highlight w:val="none"/>
        </w:rPr>
        <w:t>七、享受政府采购政策优惠的证明资料</w:t>
      </w:r>
      <w:r>
        <w:tab/>
      </w:r>
      <w:r>
        <w:fldChar w:fldCharType="begin"/>
      </w:r>
      <w:r>
        <w:instrText xml:space="preserve"> PAGEREF _Toc17178 \h </w:instrText>
      </w:r>
      <w:r>
        <w:fldChar w:fldCharType="separate"/>
      </w:r>
      <w:r>
        <w:t>46</w:t>
      </w:r>
      <w:r>
        <w:fldChar w:fldCharType="end"/>
      </w:r>
      <w:r>
        <w:rPr>
          <w:rFonts w:cstheme="minorBidi"/>
          <w:szCs w:val="22"/>
        </w:rPr>
        <w:fldChar w:fldCharType="end"/>
      </w:r>
    </w:p>
    <w:p w14:paraId="252D3454">
      <w:pPr>
        <w:pStyle w:val="23"/>
        <w:tabs>
          <w:tab w:val="right" w:leader="dot" w:pos="8306"/>
        </w:tabs>
      </w:pPr>
      <w:r>
        <w:rPr>
          <w:rFonts w:cstheme="minorBidi"/>
          <w:szCs w:val="22"/>
        </w:rPr>
        <w:fldChar w:fldCharType="begin"/>
      </w:r>
      <w:r>
        <w:rPr>
          <w:rFonts w:cstheme="minorBidi"/>
          <w:szCs w:val="22"/>
        </w:rPr>
        <w:instrText xml:space="preserve"> HYPERLINK \l _Toc9125 </w:instrText>
      </w:r>
      <w:r>
        <w:rPr>
          <w:rFonts w:cstheme="minorBidi"/>
          <w:szCs w:val="22"/>
        </w:rPr>
        <w:fldChar w:fldCharType="separate"/>
      </w:r>
      <w:r>
        <w:rPr>
          <w:rFonts w:hint="eastAsia" w:ascii="黑体" w:hAnsi="仿宋" w:eastAsia="黑体" w:cs="宋体"/>
          <w:szCs w:val="28"/>
          <w:highlight w:val="none"/>
        </w:rPr>
        <w:t>法人或者其他组织的营业执照等主体资格证明文件，自然人的身份证明</w:t>
      </w:r>
      <w:r>
        <w:tab/>
      </w:r>
      <w:r>
        <w:fldChar w:fldCharType="begin"/>
      </w:r>
      <w:r>
        <w:instrText xml:space="preserve"> PAGEREF _Toc9125 \h </w:instrText>
      </w:r>
      <w:r>
        <w:fldChar w:fldCharType="separate"/>
      </w:r>
      <w:r>
        <w:t>47</w:t>
      </w:r>
      <w:r>
        <w:fldChar w:fldCharType="end"/>
      </w:r>
      <w:r>
        <w:rPr>
          <w:rFonts w:cstheme="minorBidi"/>
          <w:szCs w:val="22"/>
        </w:rPr>
        <w:fldChar w:fldCharType="end"/>
      </w:r>
    </w:p>
    <w:p w14:paraId="0FC1AD0F">
      <w:pPr>
        <w:pStyle w:val="23"/>
        <w:tabs>
          <w:tab w:val="right" w:leader="dot" w:pos="8306"/>
        </w:tabs>
      </w:pPr>
      <w:r>
        <w:rPr>
          <w:rFonts w:cstheme="minorBidi"/>
          <w:szCs w:val="22"/>
        </w:rPr>
        <w:fldChar w:fldCharType="begin"/>
      </w:r>
      <w:r>
        <w:rPr>
          <w:rFonts w:cstheme="minorBidi"/>
          <w:szCs w:val="22"/>
        </w:rPr>
        <w:instrText xml:space="preserve"> HYPERLINK \l _Toc19583 </w:instrText>
      </w:r>
      <w:r>
        <w:rPr>
          <w:rFonts w:cstheme="minorBidi"/>
          <w:szCs w:val="22"/>
        </w:rPr>
        <w:fldChar w:fldCharType="separate"/>
      </w:r>
      <w:r>
        <w:rPr>
          <w:rFonts w:hint="eastAsia" w:ascii="黑体" w:hAnsi="仿宋" w:eastAsia="黑体" w:cs="宋体"/>
          <w:szCs w:val="28"/>
          <w:highlight w:val="none"/>
        </w:rPr>
        <w:t>湖南省政府采购供应商资格承诺函(格式)</w:t>
      </w:r>
      <w:r>
        <w:tab/>
      </w:r>
      <w:r>
        <w:fldChar w:fldCharType="begin"/>
      </w:r>
      <w:r>
        <w:instrText xml:space="preserve"> PAGEREF _Toc19583 \h </w:instrText>
      </w:r>
      <w:r>
        <w:fldChar w:fldCharType="separate"/>
      </w:r>
      <w:r>
        <w:t>48</w:t>
      </w:r>
      <w:r>
        <w:fldChar w:fldCharType="end"/>
      </w:r>
      <w:r>
        <w:rPr>
          <w:rFonts w:cstheme="minorBidi"/>
          <w:szCs w:val="22"/>
        </w:rPr>
        <w:fldChar w:fldCharType="end"/>
      </w:r>
    </w:p>
    <w:p w14:paraId="195FDE8B">
      <w:pPr>
        <w:pStyle w:val="23"/>
        <w:tabs>
          <w:tab w:val="right" w:leader="dot" w:pos="8306"/>
        </w:tabs>
      </w:pPr>
      <w:r>
        <w:rPr>
          <w:rFonts w:cstheme="minorBidi"/>
          <w:szCs w:val="22"/>
        </w:rPr>
        <w:fldChar w:fldCharType="begin"/>
      </w:r>
      <w:r>
        <w:rPr>
          <w:rFonts w:cstheme="minorBidi"/>
          <w:szCs w:val="22"/>
        </w:rPr>
        <w:instrText xml:space="preserve"> HYPERLINK \l _Toc24499 </w:instrText>
      </w:r>
      <w:r>
        <w:rPr>
          <w:rFonts w:cstheme="minorBidi"/>
          <w:szCs w:val="22"/>
        </w:rPr>
        <w:fldChar w:fldCharType="separate"/>
      </w:r>
      <w:r>
        <w:rPr>
          <w:rFonts w:hint="eastAsia" w:ascii="黑体" w:hAnsi="仿宋" w:eastAsia="黑体" w:cs="宋体"/>
          <w:szCs w:val="28"/>
          <w:highlight w:val="none"/>
        </w:rPr>
        <w:t>符合特定资格条件证明材料复印件或者情况说明</w:t>
      </w:r>
      <w:r>
        <w:tab/>
      </w:r>
      <w:r>
        <w:fldChar w:fldCharType="begin"/>
      </w:r>
      <w:r>
        <w:instrText xml:space="preserve"> PAGEREF _Toc24499 \h </w:instrText>
      </w:r>
      <w:r>
        <w:fldChar w:fldCharType="separate"/>
      </w:r>
      <w:r>
        <w:t>49</w:t>
      </w:r>
      <w:r>
        <w:fldChar w:fldCharType="end"/>
      </w:r>
      <w:r>
        <w:rPr>
          <w:rFonts w:cstheme="minorBidi"/>
          <w:szCs w:val="22"/>
        </w:rPr>
        <w:fldChar w:fldCharType="end"/>
      </w:r>
    </w:p>
    <w:p w14:paraId="07A5DE91">
      <w:pPr>
        <w:pStyle w:val="23"/>
        <w:tabs>
          <w:tab w:val="right" w:leader="dot" w:pos="8306"/>
        </w:tabs>
      </w:pPr>
      <w:r>
        <w:rPr>
          <w:rFonts w:cstheme="minorBidi"/>
          <w:szCs w:val="22"/>
        </w:rPr>
        <w:fldChar w:fldCharType="begin"/>
      </w:r>
      <w:r>
        <w:rPr>
          <w:rFonts w:cstheme="minorBidi"/>
          <w:szCs w:val="22"/>
        </w:rPr>
        <w:instrText xml:space="preserve"> HYPERLINK \l _Toc30013 </w:instrText>
      </w:r>
      <w:r>
        <w:rPr>
          <w:rFonts w:cstheme="minorBidi"/>
          <w:szCs w:val="22"/>
        </w:rPr>
        <w:fldChar w:fldCharType="separate"/>
      </w:r>
      <w:r>
        <w:rPr>
          <w:rFonts w:hint="eastAsia" w:ascii="黑体" w:hAnsi="仿宋" w:eastAsia="黑体" w:cs="宋体"/>
          <w:szCs w:val="28"/>
          <w:highlight w:val="none"/>
        </w:rPr>
        <w:t>联合体协议书</w:t>
      </w:r>
      <w:r>
        <w:tab/>
      </w:r>
      <w:r>
        <w:fldChar w:fldCharType="begin"/>
      </w:r>
      <w:r>
        <w:instrText xml:space="preserve"> PAGEREF _Toc30013 \h </w:instrText>
      </w:r>
      <w:r>
        <w:fldChar w:fldCharType="separate"/>
      </w:r>
      <w:r>
        <w:t>50</w:t>
      </w:r>
      <w:r>
        <w:fldChar w:fldCharType="end"/>
      </w:r>
      <w:r>
        <w:rPr>
          <w:rFonts w:cstheme="minorBidi"/>
          <w:szCs w:val="22"/>
        </w:rPr>
        <w:fldChar w:fldCharType="end"/>
      </w:r>
    </w:p>
    <w:p w14:paraId="7AD7E6A1">
      <w:pPr>
        <w:pStyle w:val="35"/>
        <w:tabs>
          <w:tab w:val="right" w:leader="dot" w:pos="8306"/>
        </w:tabs>
      </w:pPr>
      <w:r>
        <w:rPr>
          <w:rFonts w:cstheme="minorBidi"/>
          <w:szCs w:val="22"/>
        </w:rPr>
        <w:fldChar w:fldCharType="begin"/>
      </w:r>
      <w:r>
        <w:rPr>
          <w:rFonts w:cstheme="minorBidi"/>
          <w:szCs w:val="22"/>
        </w:rPr>
        <w:instrText xml:space="preserve"> HYPERLINK \l _Toc7644 </w:instrText>
      </w:r>
      <w:r>
        <w:rPr>
          <w:rFonts w:cstheme="minorBidi"/>
          <w:szCs w:val="22"/>
        </w:rPr>
        <w:fldChar w:fldCharType="separate"/>
      </w:r>
      <w:r>
        <w:rPr>
          <w:rFonts w:hint="eastAsia" w:ascii="黑体" w:hAnsi="黑体" w:eastAsia="黑体"/>
          <w:szCs w:val="28"/>
          <w:highlight w:val="none"/>
        </w:rPr>
        <w:t>九、响应标的符合谈判文件规定的证明文件</w:t>
      </w:r>
      <w:r>
        <w:tab/>
      </w:r>
      <w:r>
        <w:fldChar w:fldCharType="begin"/>
      </w:r>
      <w:r>
        <w:instrText xml:space="preserve"> PAGEREF _Toc7644 \h </w:instrText>
      </w:r>
      <w:r>
        <w:fldChar w:fldCharType="separate"/>
      </w:r>
      <w:r>
        <w:t>52</w:t>
      </w:r>
      <w:r>
        <w:fldChar w:fldCharType="end"/>
      </w:r>
      <w:r>
        <w:rPr>
          <w:rFonts w:cstheme="minorBidi"/>
          <w:szCs w:val="22"/>
        </w:rPr>
        <w:fldChar w:fldCharType="end"/>
      </w:r>
    </w:p>
    <w:p w14:paraId="70F9270E">
      <w:pPr>
        <w:pStyle w:val="35"/>
        <w:tabs>
          <w:tab w:val="right" w:leader="dot" w:pos="8306"/>
        </w:tabs>
      </w:pPr>
      <w:r>
        <w:rPr>
          <w:rFonts w:cstheme="minorBidi"/>
          <w:szCs w:val="22"/>
        </w:rPr>
        <w:fldChar w:fldCharType="begin"/>
      </w:r>
      <w:r>
        <w:rPr>
          <w:rFonts w:cstheme="minorBidi"/>
          <w:szCs w:val="22"/>
        </w:rPr>
        <w:instrText xml:space="preserve"> HYPERLINK \l _Toc9268 </w:instrText>
      </w:r>
      <w:r>
        <w:rPr>
          <w:rFonts w:cstheme="minorBidi"/>
          <w:szCs w:val="22"/>
        </w:rPr>
        <w:fldChar w:fldCharType="separate"/>
      </w:r>
      <w:r>
        <w:rPr>
          <w:rFonts w:hint="eastAsia" w:ascii="黑体" w:hAnsi="黑体" w:eastAsia="黑体"/>
          <w:szCs w:val="28"/>
          <w:highlight w:val="none"/>
        </w:rPr>
        <w:t>十、供应商认为需提供的其他资料</w:t>
      </w:r>
      <w:r>
        <w:tab/>
      </w:r>
      <w:r>
        <w:fldChar w:fldCharType="begin"/>
      </w:r>
      <w:r>
        <w:instrText xml:space="preserve"> PAGEREF _Toc9268 \h </w:instrText>
      </w:r>
      <w:r>
        <w:fldChar w:fldCharType="separate"/>
      </w:r>
      <w:r>
        <w:t>53</w:t>
      </w:r>
      <w:r>
        <w:fldChar w:fldCharType="end"/>
      </w:r>
      <w:r>
        <w:rPr>
          <w:rFonts w:cstheme="minorBidi"/>
          <w:szCs w:val="22"/>
        </w:rPr>
        <w:fldChar w:fldCharType="end"/>
      </w:r>
    </w:p>
    <w:p w14:paraId="76AE1055">
      <w:pPr>
        <w:pStyle w:val="35"/>
        <w:tabs>
          <w:tab w:val="right" w:leader="dot" w:pos="8306"/>
        </w:tabs>
      </w:pPr>
      <w:r>
        <w:rPr>
          <w:rFonts w:cstheme="minorBidi"/>
          <w:szCs w:val="22"/>
        </w:rPr>
        <w:fldChar w:fldCharType="begin"/>
      </w:r>
      <w:r>
        <w:rPr>
          <w:rFonts w:cstheme="minorBidi"/>
          <w:szCs w:val="22"/>
        </w:rPr>
        <w:instrText xml:space="preserve"> HYPERLINK \l _Toc7356 </w:instrText>
      </w:r>
      <w:r>
        <w:rPr>
          <w:rFonts w:cstheme="minorBidi"/>
          <w:szCs w:val="22"/>
        </w:rPr>
        <w:fldChar w:fldCharType="separate"/>
      </w:r>
      <w:r>
        <w:rPr>
          <w:rFonts w:hint="eastAsia" w:ascii="黑体" w:hAnsi="黑体" w:eastAsia="黑体"/>
          <w:bCs/>
          <w:szCs w:val="28"/>
          <w:highlight w:val="none"/>
        </w:rPr>
        <w:t>十一、最终报价</w:t>
      </w:r>
      <w:r>
        <w:tab/>
      </w:r>
      <w:r>
        <w:fldChar w:fldCharType="begin"/>
      </w:r>
      <w:r>
        <w:instrText xml:space="preserve"> PAGEREF _Toc7356 \h </w:instrText>
      </w:r>
      <w:r>
        <w:fldChar w:fldCharType="separate"/>
      </w:r>
      <w:r>
        <w:t>54</w:t>
      </w:r>
      <w:r>
        <w:fldChar w:fldCharType="end"/>
      </w:r>
      <w:r>
        <w:rPr>
          <w:rFonts w:cstheme="minorBidi"/>
          <w:szCs w:val="22"/>
        </w:rPr>
        <w:fldChar w:fldCharType="end"/>
      </w:r>
    </w:p>
    <w:p w14:paraId="7E0E9ABE">
      <w:pPr>
        <w:pStyle w:val="31"/>
        <w:spacing w:line="240" w:lineRule="auto"/>
        <w:ind w:left="3614" w:hanging="3614" w:hangingChars="1500"/>
        <w:rPr>
          <w:rFonts w:cstheme="minorBidi"/>
          <w:szCs w:val="22"/>
        </w:rPr>
      </w:pPr>
      <w:r>
        <w:rPr>
          <w:rFonts w:cstheme="minorBidi"/>
          <w:szCs w:val="22"/>
        </w:rPr>
        <w:fldChar w:fldCharType="end"/>
      </w:r>
      <w:bookmarkStart w:id="0" w:name="_Toc12917"/>
      <w:bookmarkStart w:id="1" w:name="_Toc26697"/>
      <w:bookmarkStart w:id="2" w:name="_Toc145373996"/>
      <w:bookmarkStart w:id="3" w:name="_Toc209084324"/>
      <w:bookmarkStart w:id="4" w:name="_Toc16629"/>
      <w:bookmarkStart w:id="5" w:name="_Toc763"/>
      <w:bookmarkStart w:id="6" w:name="_Toc31061"/>
      <w:bookmarkStart w:id="7" w:name="_Toc74694313"/>
      <w:bookmarkStart w:id="8" w:name="_Toc14164"/>
      <w:bookmarkStart w:id="9" w:name="_Toc1442"/>
      <w:bookmarkStart w:id="10" w:name="_Toc22848"/>
      <w:bookmarkStart w:id="11" w:name="_Toc34637751"/>
    </w:p>
    <w:p w14:paraId="305BCF80">
      <w:pPr>
        <w:pStyle w:val="31"/>
        <w:spacing w:line="240" w:lineRule="auto"/>
        <w:ind w:left="3614" w:hanging="4819" w:hangingChars="1500"/>
        <w:rPr>
          <w:rFonts w:hAnsi="宋体"/>
          <w:szCs w:val="24"/>
        </w:rPr>
      </w:pPr>
      <w:r>
        <w:rPr>
          <w:rFonts w:hint="eastAsia" w:ascii="黑体" w:hAnsi="黑体" w:eastAsia="黑体"/>
          <w:sz w:val="32"/>
          <w:szCs w:val="32"/>
        </w:rPr>
        <w:t>第一章</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新化县2026年“秋粮抗逆防灾”服务采购</w:t>
      </w:r>
      <w:r>
        <w:rPr>
          <w:rFonts w:hint="eastAsia" w:ascii="黑体" w:hAnsi="黑体" w:eastAsia="黑体"/>
          <w:sz w:val="32"/>
          <w:szCs w:val="32"/>
        </w:rPr>
        <w:t>谈判邀请公告</w:t>
      </w:r>
      <w:bookmarkEnd w:id="0"/>
      <w:bookmarkEnd w:id="1"/>
      <w:bookmarkEnd w:id="2"/>
      <w:bookmarkEnd w:id="3"/>
      <w:bookmarkEnd w:id="4"/>
      <w:bookmarkEnd w:id="5"/>
      <w:bookmarkEnd w:id="6"/>
      <w:bookmarkEnd w:id="7"/>
      <w:bookmarkEnd w:id="8"/>
      <w:bookmarkEnd w:id="9"/>
      <w:bookmarkEnd w:id="10"/>
    </w:p>
    <w:p w14:paraId="020AE03E">
      <w:pPr>
        <w:adjustRightInd w:val="0"/>
        <w:snapToGrid w:val="0"/>
        <w:rPr>
          <w:rFonts w:ascii="宋体" w:hAnsi="宋体"/>
          <w:szCs w:val="21"/>
          <w:u w:val="single"/>
        </w:rPr>
      </w:pPr>
    </w:p>
    <w:p w14:paraId="422C8A08">
      <w:pPr>
        <w:adjustRightInd w:val="0"/>
        <w:snapToGrid w:val="0"/>
        <w:spacing w:line="360" w:lineRule="auto"/>
        <w:ind w:firstLine="420" w:firstLineChars="200"/>
        <w:rPr>
          <w:rFonts w:ascii="宋体" w:hAnsi="宋体"/>
          <w:szCs w:val="21"/>
        </w:rPr>
      </w:pPr>
      <w:r>
        <w:rPr>
          <w:rFonts w:hint="eastAsia" w:ascii="宋体" w:hAnsi="宋体"/>
          <w:szCs w:val="21"/>
          <w:u w:val="single"/>
          <w:lang w:eastAsia="zh-CN"/>
        </w:rPr>
        <w:t>新化县农业农村局</w:t>
      </w:r>
      <w:r>
        <w:rPr>
          <w:rFonts w:hint="eastAsia" w:ascii="宋体" w:hAnsi="宋体"/>
          <w:szCs w:val="21"/>
          <w:u w:val="single"/>
          <w:lang w:val="en-US" w:eastAsia="zh-CN"/>
        </w:rPr>
        <w:t xml:space="preserve"> </w:t>
      </w:r>
      <w:r>
        <w:rPr>
          <w:rFonts w:hint="eastAsia" w:ascii="宋体" w:hAnsi="宋体"/>
          <w:szCs w:val="21"/>
        </w:rPr>
        <w:t>的</w:t>
      </w:r>
      <w:r>
        <w:rPr>
          <w:rFonts w:hint="eastAsia" w:ascii="宋体" w:hAnsi="宋体"/>
          <w:szCs w:val="21"/>
          <w:u w:val="single"/>
          <w:lang w:val="en-US" w:eastAsia="zh-CN"/>
        </w:rPr>
        <w:t xml:space="preserve"> </w:t>
      </w:r>
      <w:r>
        <w:rPr>
          <w:rFonts w:hint="eastAsia" w:ascii="宋体" w:hAnsi="宋体"/>
          <w:szCs w:val="21"/>
          <w:u w:val="single"/>
          <w:lang w:eastAsia="zh-CN"/>
        </w:rPr>
        <w:t>新化县2026年“秋粮抗逆防灾”服务采购</w:t>
      </w:r>
      <w:r>
        <w:rPr>
          <w:rFonts w:hint="eastAsia" w:ascii="宋体" w:hAnsi="宋体"/>
          <w:szCs w:val="21"/>
          <w:u w:val="single"/>
          <w:lang w:val="en-US" w:eastAsia="zh-CN"/>
        </w:rPr>
        <w:t xml:space="preserve"> </w:t>
      </w:r>
      <w:r>
        <w:rPr>
          <w:rFonts w:hint="eastAsia" w:ascii="宋体" w:hAnsi="宋体"/>
          <w:szCs w:val="21"/>
        </w:rPr>
        <w:t>进行竞争性谈判采购，现采用发布公告方式，邀请符合资格条件的供应商</w:t>
      </w:r>
      <w:r>
        <w:rPr>
          <w:rFonts w:hint="eastAsia" w:ascii="宋体" w:hAnsi="宋体" w:cs="宋体"/>
          <w:szCs w:val="21"/>
        </w:rPr>
        <w:t>提</w:t>
      </w:r>
      <w:r>
        <w:rPr>
          <w:rFonts w:hint="eastAsia" w:ascii="宋体" w:hAnsi="宋体"/>
          <w:szCs w:val="21"/>
        </w:rPr>
        <w:t>交证明材料</w:t>
      </w:r>
      <w:r>
        <w:rPr>
          <w:rFonts w:hint="eastAsia" w:ascii="宋体" w:hAnsi="宋体" w:cs="宋体"/>
          <w:szCs w:val="21"/>
        </w:rPr>
        <w:t>参与谈判</w:t>
      </w:r>
      <w:r>
        <w:rPr>
          <w:rFonts w:hint="eastAsia" w:ascii="宋体" w:hAnsi="宋体"/>
          <w:szCs w:val="21"/>
        </w:rPr>
        <w:t>活动。</w:t>
      </w:r>
    </w:p>
    <w:p w14:paraId="1E06D031">
      <w:pPr>
        <w:adjustRightInd w:val="0"/>
        <w:snapToGrid w:val="0"/>
        <w:spacing w:line="360" w:lineRule="auto"/>
        <w:rPr>
          <w:rFonts w:ascii="宋体" w:hAnsi="宋体"/>
          <w:szCs w:val="21"/>
        </w:rPr>
      </w:pPr>
      <w:bookmarkStart w:id="12" w:name="_Toc34637813"/>
      <w:bookmarkStart w:id="13" w:name="_Toc22657511"/>
      <w:r>
        <w:rPr>
          <w:rFonts w:hint="eastAsia"/>
          <w:b/>
        </w:rPr>
        <w:t>一、</w:t>
      </w:r>
      <w:bookmarkEnd w:id="12"/>
      <w:bookmarkEnd w:id="13"/>
      <w:r>
        <w:rPr>
          <w:rFonts w:hint="eastAsia"/>
          <w:b/>
        </w:rPr>
        <w:t>项目概况</w:t>
      </w:r>
    </w:p>
    <w:p w14:paraId="305D3CD4">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1、项目名称：</w:t>
      </w:r>
      <w:r>
        <w:rPr>
          <w:rFonts w:hint="eastAsia" w:ascii="宋体" w:hAnsi="宋体"/>
          <w:szCs w:val="21"/>
          <w:u w:val="single"/>
          <w:lang w:eastAsia="zh-CN"/>
        </w:rPr>
        <w:t>新化县2026年“秋粮抗逆防灾”服务采购</w:t>
      </w:r>
    </w:p>
    <w:p w14:paraId="712A81F1">
      <w:pPr>
        <w:adjustRightInd w:val="0"/>
        <w:snapToGrid w:val="0"/>
        <w:spacing w:line="360" w:lineRule="auto"/>
        <w:ind w:firstLine="420" w:firstLineChars="200"/>
        <w:rPr>
          <w:rFonts w:hint="eastAsia" w:ascii="宋体" w:hAnsi="宋体"/>
          <w:szCs w:val="21"/>
        </w:rPr>
      </w:pPr>
      <w:r>
        <w:rPr>
          <w:rFonts w:hint="eastAsia" w:ascii="宋体" w:hAnsi="宋体"/>
          <w:szCs w:val="21"/>
        </w:rPr>
        <w:t>2、政府采购计划编号：</w:t>
      </w:r>
      <w:r>
        <w:rPr>
          <w:rFonts w:hint="eastAsia" w:ascii="宋体" w:hAnsi="宋体"/>
          <w:szCs w:val="21"/>
          <w:u w:val="single"/>
          <w:lang w:eastAsia="zh-CN"/>
        </w:rPr>
        <w:t>（2026)431322000011</w:t>
      </w:r>
    </w:p>
    <w:p w14:paraId="0402D5FD">
      <w:pPr>
        <w:adjustRightInd w:val="0"/>
        <w:snapToGrid w:val="0"/>
        <w:spacing w:line="360" w:lineRule="auto"/>
        <w:ind w:firstLine="420" w:firstLineChars="200"/>
        <w:rPr>
          <w:rFonts w:hint="eastAsia" w:ascii="宋体" w:hAnsi="宋体" w:eastAsia="宋体"/>
          <w:szCs w:val="21"/>
          <w:lang w:val="en-US" w:eastAsia="zh-CN"/>
        </w:rPr>
      </w:pPr>
      <w:r>
        <w:rPr>
          <w:rFonts w:hint="eastAsia" w:ascii="宋体" w:hAnsi="宋体"/>
          <w:szCs w:val="21"/>
        </w:rPr>
        <w:t>3、委托代理编号：</w:t>
      </w:r>
      <w:r>
        <w:rPr>
          <w:rFonts w:hint="eastAsia" w:ascii="宋体" w:hAnsi="宋体"/>
          <w:szCs w:val="21"/>
          <w:u w:val="single"/>
          <w:lang w:eastAsia="zh-CN"/>
        </w:rPr>
        <w:t>HNZLF-2026-FW (LD)-49</w:t>
      </w:r>
    </w:p>
    <w:p w14:paraId="00323DDB">
      <w:pPr>
        <w:adjustRightInd w:val="0"/>
        <w:snapToGrid w:val="0"/>
        <w:spacing w:line="360" w:lineRule="auto"/>
        <w:ind w:firstLine="420" w:firstLineChars="200"/>
        <w:rPr>
          <w:rFonts w:ascii="宋体" w:hAnsi="宋体"/>
          <w:bCs/>
          <w:szCs w:val="21"/>
        </w:rPr>
      </w:pPr>
      <w:r>
        <w:rPr>
          <w:rFonts w:hint="eastAsia" w:ascii="宋体" w:hAnsi="宋体"/>
          <w:bCs/>
          <w:szCs w:val="21"/>
        </w:rPr>
        <w:t>4、采购项目预算：</w:t>
      </w:r>
      <w:r>
        <w:rPr>
          <w:rFonts w:hint="eastAsia" w:ascii="宋体" w:hAnsi="宋体"/>
          <w:szCs w:val="21"/>
          <w:highlight w:val="none"/>
          <w:u w:val="single"/>
          <w:lang w:val="en-US" w:eastAsia="zh-CN"/>
        </w:rPr>
        <w:t>960000</w:t>
      </w:r>
      <w:r>
        <w:rPr>
          <w:rFonts w:hint="eastAsia" w:ascii="宋体" w:hAnsi="宋体"/>
          <w:szCs w:val="21"/>
          <w:highlight w:val="none"/>
          <w:u w:val="single"/>
          <w:lang w:eastAsia="zh-CN"/>
        </w:rPr>
        <w:t>.00</w:t>
      </w:r>
      <w:r>
        <w:rPr>
          <w:rFonts w:hint="eastAsia" w:ascii="宋体" w:hAnsi="宋体"/>
          <w:bCs/>
          <w:szCs w:val="21"/>
          <w:u w:val="single"/>
        </w:rPr>
        <w:t>元</w:t>
      </w:r>
      <w:r>
        <w:rPr>
          <w:rFonts w:hint="eastAsia" w:ascii="宋体" w:hAnsi="宋体"/>
          <w:szCs w:val="21"/>
        </w:rPr>
        <w:t>；</w:t>
      </w:r>
    </w:p>
    <w:p w14:paraId="761E8FD7">
      <w:pPr>
        <w:adjustRightInd w:val="0"/>
        <w:snapToGrid w:val="0"/>
        <w:spacing w:line="360" w:lineRule="auto"/>
        <w:ind w:firstLine="630" w:firstLineChars="300"/>
        <w:rPr>
          <w:rFonts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r>
        <w:rPr>
          <w:rFonts w:hint="eastAsia" w:ascii="宋体" w:hAnsi="宋体"/>
          <w:bCs/>
          <w:szCs w:val="21"/>
        </w:rPr>
        <w:t>%</w:t>
      </w:r>
    </w:p>
    <w:p w14:paraId="4F6FD3B2">
      <w:pPr>
        <w:adjustRightInd w:val="0"/>
        <w:snapToGrid w:val="0"/>
        <w:spacing w:line="360" w:lineRule="auto"/>
        <w:ind w:firstLine="420" w:firstLineChars="200"/>
        <w:rPr>
          <w:rFonts w:ascii="宋体" w:hAnsi="宋体"/>
          <w:szCs w:val="21"/>
          <w:u w:val="single"/>
        </w:rPr>
      </w:pPr>
      <w:r>
        <w:rPr>
          <w:rFonts w:hint="eastAsia" w:ascii="宋体" w:hAnsi="宋体"/>
          <w:bCs/>
          <w:szCs w:val="21"/>
        </w:rPr>
        <w:t>5、本项目</w:t>
      </w:r>
      <w:r>
        <w:rPr>
          <w:rFonts w:hint="eastAsia" w:ascii="宋体" w:hAnsi="宋体"/>
          <w:szCs w:val="21"/>
        </w:rPr>
        <w:t>对应的中小企业划分标准所属行业：</w:t>
      </w:r>
      <w:r>
        <w:rPr>
          <w:rFonts w:hint="eastAsia" w:ascii="宋体" w:hAnsi="宋体"/>
          <w:szCs w:val="21"/>
          <w:u w:val="single"/>
          <w:lang w:val="en-US" w:eastAsia="zh-CN"/>
        </w:rPr>
        <w:t>其他未列明行业</w:t>
      </w:r>
    </w:p>
    <w:p w14:paraId="5AEDAD68">
      <w:pPr>
        <w:adjustRightInd w:val="0"/>
        <w:snapToGrid w:val="0"/>
        <w:spacing w:line="360" w:lineRule="auto"/>
        <w:ind w:firstLine="420" w:firstLineChars="200"/>
        <w:rPr>
          <w:rFonts w:ascii="宋体" w:hAnsi="宋体"/>
          <w:bCs/>
          <w:szCs w:val="21"/>
          <w:u w:val="single"/>
        </w:rPr>
      </w:pPr>
      <w:r>
        <w:rPr>
          <w:rFonts w:hint="eastAsia" w:ascii="宋体" w:hAnsi="宋体"/>
          <w:bCs/>
          <w:szCs w:val="21"/>
        </w:rPr>
        <w:t>6、合同定价方式：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3B2DC633">
      <w:pPr>
        <w:adjustRightInd w:val="0"/>
        <w:snapToGrid w:val="0"/>
        <w:spacing w:line="360" w:lineRule="auto"/>
        <w:ind w:firstLine="420" w:firstLineChars="200"/>
        <w:rPr>
          <w:rFonts w:hint="default" w:ascii="宋体" w:hAnsi="宋体" w:eastAsia="宋体"/>
          <w:bCs/>
          <w:szCs w:val="21"/>
          <w:lang w:val="en-US" w:eastAsia="zh-CN"/>
        </w:rPr>
      </w:pPr>
      <w:r>
        <w:rPr>
          <w:rFonts w:hint="eastAsia" w:ascii="宋体" w:hAnsi="宋体"/>
          <w:bCs/>
          <w:szCs w:val="21"/>
        </w:rPr>
        <w:t>7、合同履行期限：</w:t>
      </w:r>
      <w:r>
        <w:rPr>
          <w:rFonts w:hint="eastAsia" w:ascii="宋体" w:hAnsi="宋体"/>
          <w:szCs w:val="21"/>
          <w:highlight w:val="none"/>
          <w:u w:val="single"/>
          <w:lang w:val="en-US" w:eastAsia="zh-CN"/>
        </w:rPr>
        <w:t>2026年 9 月 25 日前完成</w:t>
      </w:r>
      <w:r>
        <w:rPr>
          <w:rFonts w:hint="eastAsia" w:ascii="宋体" w:hAnsi="宋体"/>
          <w:szCs w:val="21"/>
          <w:u w:val="single"/>
          <w:lang w:val="en-US" w:eastAsia="zh-CN"/>
        </w:rPr>
        <w:t>；</w:t>
      </w:r>
    </w:p>
    <w:p w14:paraId="3794889B">
      <w:pPr>
        <w:adjustRightInd w:val="0"/>
        <w:snapToGrid w:val="0"/>
        <w:spacing w:line="360" w:lineRule="auto"/>
        <w:ind w:firstLine="420" w:firstLineChars="200"/>
        <w:rPr>
          <w:rFonts w:ascii="宋体" w:hAnsi="宋体"/>
          <w:bCs/>
          <w:szCs w:val="21"/>
        </w:rPr>
      </w:pPr>
      <w:r>
        <w:rPr>
          <w:rFonts w:hint="eastAsia" w:ascii="宋体" w:hAnsi="宋体"/>
          <w:bCs/>
        </w:rPr>
        <w:t>8、</w:t>
      </w:r>
      <w:r>
        <w:rPr>
          <w:rFonts w:hint="eastAsia"/>
        </w:rPr>
        <w:t>本项目分阶段要求供应商提供以下保证：</w:t>
      </w:r>
    </w:p>
    <w:p w14:paraId="589E5906">
      <w:pPr>
        <w:adjustRightInd w:val="0"/>
        <w:snapToGrid w:val="0"/>
        <w:spacing w:line="360" w:lineRule="auto"/>
        <w:ind w:firstLine="420" w:firstLineChars="200"/>
        <w:rPr>
          <w:rFonts w:ascii="宋体" w:hAnsi="宋体"/>
          <w:iCs/>
        </w:rPr>
      </w:pPr>
      <w:r>
        <w:rPr>
          <w:rFonts w:hint="eastAsia" w:ascii="宋体" w:hAnsi="宋体"/>
          <w:iCs/>
        </w:rPr>
        <w:sym w:font="Wingdings" w:char="00A8"/>
      </w:r>
      <w:r>
        <w:rPr>
          <w:rFonts w:hint="eastAsia" w:ascii="宋体" w:hAnsi="宋体"/>
        </w:rPr>
        <w:t>谈判保证金：</w:t>
      </w:r>
      <w:r>
        <w:rPr>
          <w:rFonts w:hint="eastAsia" w:ascii="宋体" w:hAnsi="宋体"/>
          <w:iCs/>
        </w:rPr>
        <w:t>采购项目预算的</w:t>
      </w:r>
      <w:r>
        <w:rPr>
          <w:rFonts w:hint="eastAsia" w:ascii="宋体" w:hAnsi="宋体"/>
          <w:iCs/>
          <w:u w:val="single"/>
        </w:rPr>
        <w:t xml:space="preserve"> / </w:t>
      </w:r>
      <w:r>
        <w:rPr>
          <w:rFonts w:hint="eastAsia" w:ascii="宋体" w:hAnsi="宋体"/>
          <w:iCs/>
        </w:rPr>
        <w:t>%</w:t>
      </w:r>
      <w:r>
        <w:rPr>
          <w:rFonts w:hint="eastAsia" w:ascii="宋体" w:hAnsi="宋体"/>
        </w:rPr>
        <w:t>；</w:t>
      </w:r>
    </w:p>
    <w:p w14:paraId="739C0A6D">
      <w:pPr>
        <w:adjustRightInd w:val="0"/>
        <w:snapToGrid w:val="0"/>
        <w:spacing w:line="360" w:lineRule="auto"/>
        <w:ind w:firstLine="420" w:firstLineChars="200"/>
        <w:rPr>
          <w:rFonts w:ascii="宋体" w:hAnsi="宋体"/>
          <w:iCs/>
        </w:rPr>
      </w:pPr>
      <w:r>
        <w:rPr>
          <w:rFonts w:hint="eastAsia" w:ascii="宋体" w:hAnsi="宋体"/>
          <w:iCs/>
        </w:rPr>
        <w:sym w:font="Wingdings" w:char="00FE"/>
      </w:r>
      <w:r>
        <w:rPr>
          <w:rFonts w:hint="eastAsia" w:ascii="宋体" w:hAnsi="宋体"/>
        </w:rPr>
        <w:t>履约保证金：</w:t>
      </w:r>
      <w:r>
        <w:rPr>
          <w:rFonts w:hint="eastAsia" w:ascii="宋体" w:hAnsi="宋体"/>
          <w:iCs/>
        </w:rPr>
        <w:t>中标金额的</w:t>
      </w:r>
      <w:r>
        <w:rPr>
          <w:rFonts w:hint="eastAsia" w:ascii="宋体" w:hAnsi="宋体"/>
          <w:iCs/>
          <w:u w:val="single"/>
        </w:rPr>
        <w:t xml:space="preserve"> </w:t>
      </w:r>
      <w:r>
        <w:rPr>
          <w:rFonts w:hint="eastAsia" w:ascii="宋体" w:hAnsi="宋体"/>
          <w:iCs/>
          <w:u w:val="single"/>
          <w:lang w:val="en-US" w:eastAsia="zh-CN"/>
        </w:rPr>
        <w:t xml:space="preserve"> </w:t>
      </w:r>
      <w:r>
        <w:rPr>
          <w:rFonts w:hint="eastAsia" w:ascii="宋体" w:hAnsi="宋体"/>
          <w:iCs/>
          <w:u w:val="single"/>
        </w:rPr>
        <w:t>/</w:t>
      </w:r>
      <w:r>
        <w:rPr>
          <w:rFonts w:hint="eastAsia" w:ascii="宋体" w:hAnsi="宋体"/>
          <w:iCs/>
          <w:u w:val="single"/>
          <w:lang w:val="en-US" w:eastAsia="zh-CN"/>
        </w:rPr>
        <w:t xml:space="preserve"> </w:t>
      </w:r>
      <w:r>
        <w:rPr>
          <w:rFonts w:hint="eastAsia" w:ascii="宋体" w:hAnsi="宋体"/>
          <w:iCs/>
          <w:u w:val="single"/>
        </w:rPr>
        <w:t xml:space="preserve"> </w:t>
      </w:r>
      <w:r>
        <w:rPr>
          <w:rFonts w:hint="eastAsia" w:ascii="宋体" w:hAnsi="宋体"/>
          <w:iCs/>
        </w:rPr>
        <w:t>%</w:t>
      </w:r>
      <w:r>
        <w:rPr>
          <w:rFonts w:hint="eastAsia" w:ascii="宋体" w:hAnsi="宋体"/>
        </w:rPr>
        <w:t>；</w:t>
      </w:r>
    </w:p>
    <w:p w14:paraId="7FEF0925">
      <w:pPr>
        <w:adjustRightInd w:val="0"/>
        <w:snapToGrid w:val="0"/>
        <w:spacing w:line="360" w:lineRule="auto"/>
        <w:ind w:firstLine="420" w:firstLineChars="200"/>
        <w:rPr>
          <w:rFonts w:ascii="宋体" w:hAnsi="宋体"/>
          <w:iCs/>
        </w:rPr>
      </w:pPr>
      <w:r>
        <w:rPr>
          <w:rFonts w:hint="eastAsia" w:ascii="宋体" w:hAnsi="宋体"/>
          <w:iCs/>
        </w:rPr>
        <w:sym w:font="Wingdings" w:char="00A8"/>
      </w:r>
      <w:r>
        <w:rPr>
          <w:rFonts w:hint="eastAsia" w:ascii="宋体" w:hAnsi="宋体"/>
          <w:iCs/>
        </w:rPr>
        <w:t>预付款保证金：预付款的</w:t>
      </w:r>
      <w:r>
        <w:rPr>
          <w:rFonts w:hint="eastAsia" w:ascii="宋体" w:hAnsi="宋体"/>
          <w:iCs/>
          <w:lang w:val="en-US" w:eastAsia="zh-CN"/>
        </w:rPr>
        <w:t xml:space="preserve"> </w:t>
      </w:r>
      <w:r>
        <w:rPr>
          <w:rFonts w:hint="eastAsia" w:ascii="宋体" w:hAnsi="宋体"/>
          <w:iCs/>
          <w:u w:val="single"/>
        </w:rPr>
        <w:t xml:space="preserve"> </w:t>
      </w:r>
      <w:r>
        <w:rPr>
          <w:rFonts w:hint="eastAsia" w:ascii="宋体" w:hAnsi="宋体"/>
          <w:iCs/>
          <w:u w:val="single"/>
          <w:lang w:val="en-US" w:eastAsia="zh-CN"/>
        </w:rPr>
        <w:t xml:space="preserve"> </w:t>
      </w:r>
      <w:r>
        <w:rPr>
          <w:rFonts w:hint="eastAsia" w:ascii="宋体" w:hAnsi="宋体"/>
          <w:iCs/>
          <w:u w:val="single"/>
        </w:rPr>
        <w:t>/</w:t>
      </w:r>
      <w:r>
        <w:rPr>
          <w:rFonts w:hint="eastAsia" w:ascii="宋体" w:hAnsi="宋体"/>
          <w:iCs/>
          <w:u w:val="single"/>
          <w:lang w:val="en-US" w:eastAsia="zh-CN"/>
        </w:rPr>
        <w:t xml:space="preserve"> </w:t>
      </w:r>
      <w:r>
        <w:rPr>
          <w:rFonts w:hint="eastAsia" w:ascii="宋体" w:hAnsi="宋体"/>
          <w:iCs/>
          <w:u w:val="single"/>
        </w:rPr>
        <w:t xml:space="preserve"> </w:t>
      </w:r>
      <w:r>
        <w:rPr>
          <w:rFonts w:hint="eastAsia" w:ascii="宋体" w:hAnsi="宋体"/>
          <w:iCs/>
        </w:rPr>
        <w:t>%；</w:t>
      </w:r>
    </w:p>
    <w:p w14:paraId="172A7DCD">
      <w:pPr>
        <w:adjustRightInd w:val="0"/>
        <w:snapToGrid w:val="0"/>
        <w:spacing w:line="360" w:lineRule="auto"/>
        <w:ind w:firstLine="420" w:firstLineChars="200"/>
        <w:rPr>
          <w:rFonts w:ascii="宋体" w:hAnsi="宋体"/>
          <w:szCs w:val="21"/>
        </w:rPr>
      </w:pPr>
      <w:r>
        <w:rPr>
          <w:rFonts w:hint="eastAsia" w:ascii="宋体" w:hAnsi="宋体"/>
          <w:iCs/>
        </w:rPr>
        <w:sym w:font="Wingdings" w:char="00A8"/>
      </w:r>
      <w:r>
        <w:rPr>
          <w:rFonts w:hint="eastAsia" w:ascii="宋体" w:hAnsi="宋体"/>
          <w:iCs/>
        </w:rPr>
        <w:t>质量保证金：合同金额的</w:t>
      </w:r>
      <w:r>
        <w:rPr>
          <w:rFonts w:hint="eastAsia" w:ascii="宋体" w:hAnsi="宋体"/>
          <w:iCs/>
          <w:lang w:val="en-US" w:eastAsia="zh-CN"/>
        </w:rPr>
        <w:t xml:space="preserve"> </w:t>
      </w:r>
      <w:r>
        <w:rPr>
          <w:rFonts w:hint="eastAsia" w:ascii="宋体" w:hAnsi="宋体"/>
          <w:iCs/>
          <w:u w:val="single"/>
        </w:rPr>
        <w:t xml:space="preserve"> </w:t>
      </w:r>
      <w:r>
        <w:rPr>
          <w:rFonts w:hint="eastAsia" w:ascii="宋体" w:hAnsi="宋体"/>
          <w:iCs/>
          <w:u w:val="single"/>
          <w:lang w:val="en-US" w:eastAsia="zh-CN"/>
        </w:rPr>
        <w:t xml:space="preserve"> </w:t>
      </w:r>
      <w:r>
        <w:rPr>
          <w:rFonts w:hint="eastAsia" w:ascii="宋体" w:hAnsi="宋体"/>
          <w:iCs/>
          <w:u w:val="single"/>
        </w:rPr>
        <w:t xml:space="preserve">/ </w:t>
      </w:r>
      <w:r>
        <w:rPr>
          <w:rFonts w:hint="eastAsia" w:ascii="宋体" w:hAnsi="宋体"/>
          <w:iCs/>
          <w:u w:val="single"/>
          <w:lang w:val="en-US" w:eastAsia="zh-CN"/>
        </w:rPr>
        <w:t xml:space="preserve">  </w:t>
      </w:r>
      <w:r>
        <w:rPr>
          <w:rFonts w:hint="eastAsia" w:ascii="宋体" w:hAnsi="宋体"/>
          <w:iCs/>
        </w:rPr>
        <w:t>%。</w:t>
      </w:r>
    </w:p>
    <w:p w14:paraId="33F84E20">
      <w:pPr>
        <w:keepNext/>
        <w:keepLines/>
        <w:adjustRightInd w:val="0"/>
        <w:snapToGrid w:val="0"/>
        <w:spacing w:line="360" w:lineRule="auto"/>
        <w:rPr>
          <w:rFonts w:hint="eastAsia" w:ascii="黑体" w:hAnsi="黑体" w:eastAsia="黑体" w:cs="Times New Roman"/>
          <w:b/>
          <w:bCs/>
          <w:sz w:val="24"/>
          <w:szCs w:val="32"/>
        </w:rPr>
      </w:pPr>
      <w:bookmarkStart w:id="14" w:name="_Toc22657512"/>
      <w:bookmarkStart w:id="15" w:name="_Toc34637814"/>
      <w:r>
        <w:rPr>
          <w:rFonts w:hint="eastAsia" w:ascii="黑体" w:hAnsi="黑体" w:eastAsia="黑体" w:cs="Times New Roman"/>
          <w:b/>
          <w:bCs/>
          <w:sz w:val="24"/>
          <w:szCs w:val="32"/>
        </w:rPr>
        <w:t>二、采购人的采购需求</w:t>
      </w:r>
      <w:bookmarkEnd w:id="14"/>
      <w:bookmarkEnd w:id="15"/>
    </w:p>
    <w:tbl>
      <w:tblPr>
        <w:tblStyle w:val="45"/>
        <w:tblW w:w="8865"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467"/>
        <w:gridCol w:w="666"/>
        <w:gridCol w:w="1374"/>
        <w:gridCol w:w="2137"/>
        <w:gridCol w:w="1626"/>
        <w:gridCol w:w="1290"/>
        <w:gridCol w:w="645"/>
        <w:gridCol w:w="660"/>
      </w:tblGrid>
      <w:tr w14:paraId="19609A7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PrEx>
        <w:trPr>
          <w:jc w:val="center"/>
        </w:trPr>
        <w:tc>
          <w:tcPr>
            <w:tcW w:w="467" w:type="dxa"/>
            <w:tcBorders>
              <w:right w:val="single" w:color="auto" w:sz="4" w:space="0"/>
            </w:tcBorders>
            <w:shd w:val="clear" w:color="auto" w:fill="auto"/>
            <w:vAlign w:val="center"/>
          </w:tcPr>
          <w:p w14:paraId="69A031A9">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lang w:eastAsia="zh-CN"/>
              </w:rPr>
              <w:t>包号</w:t>
            </w:r>
          </w:p>
        </w:tc>
        <w:tc>
          <w:tcPr>
            <w:tcW w:w="666" w:type="dxa"/>
            <w:tcBorders>
              <w:right w:val="single" w:color="auto" w:sz="4" w:space="0"/>
            </w:tcBorders>
            <w:shd w:val="clear" w:color="auto" w:fill="auto"/>
            <w:vAlign w:val="center"/>
          </w:tcPr>
          <w:p w14:paraId="6B7C386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宋体" w:hAnsi="宋体" w:cs="宋体"/>
                <w:kern w:val="0"/>
                <w:szCs w:val="21"/>
              </w:rPr>
            </w:pPr>
            <w:r>
              <w:rPr>
                <w:rFonts w:hint="eastAsia" w:ascii="宋体" w:hAnsi="宋体" w:cs="宋体"/>
                <w:kern w:val="0"/>
                <w:szCs w:val="21"/>
              </w:rPr>
              <w:t>包名称</w:t>
            </w:r>
          </w:p>
        </w:tc>
        <w:tc>
          <w:tcPr>
            <w:tcW w:w="1374" w:type="dxa"/>
            <w:tcBorders>
              <w:left w:val="single" w:color="auto" w:sz="4" w:space="0"/>
              <w:right w:val="single" w:color="auto" w:sz="4" w:space="0"/>
            </w:tcBorders>
            <w:shd w:val="clear" w:color="auto" w:fill="auto"/>
            <w:vAlign w:val="center"/>
          </w:tcPr>
          <w:p w14:paraId="0FA111D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宋体" w:hAnsi="宋体" w:cs="宋体"/>
                <w:kern w:val="0"/>
                <w:szCs w:val="21"/>
              </w:rPr>
            </w:pPr>
            <w:r>
              <w:rPr>
                <w:rFonts w:hint="eastAsia" w:ascii="宋体" w:hAnsi="宋体" w:cs="宋体"/>
                <w:kern w:val="0"/>
                <w:szCs w:val="21"/>
              </w:rPr>
              <w:t>最高限价（元）</w:t>
            </w:r>
          </w:p>
        </w:tc>
        <w:tc>
          <w:tcPr>
            <w:tcW w:w="2137" w:type="dxa"/>
            <w:tcBorders>
              <w:left w:val="single" w:color="auto" w:sz="4" w:space="0"/>
            </w:tcBorders>
            <w:shd w:val="clear" w:color="auto" w:fill="auto"/>
            <w:vAlign w:val="center"/>
          </w:tcPr>
          <w:p w14:paraId="04A55FD7">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宋体" w:hAnsi="宋体"/>
                <w:kern w:val="0"/>
              </w:rPr>
            </w:pPr>
            <w:r>
              <w:rPr>
                <w:rFonts w:hint="eastAsia" w:ascii="宋体" w:hAnsi="宋体"/>
                <w:kern w:val="0"/>
              </w:rPr>
              <w:t>标的名称</w:t>
            </w:r>
          </w:p>
        </w:tc>
        <w:tc>
          <w:tcPr>
            <w:tcW w:w="1626" w:type="dxa"/>
            <w:tcBorders>
              <w:right w:val="single" w:color="auto" w:sz="4" w:space="0"/>
            </w:tcBorders>
            <w:shd w:val="clear" w:color="auto" w:fill="auto"/>
            <w:vAlign w:val="center"/>
          </w:tcPr>
          <w:p w14:paraId="51F54E7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宋体" w:hAnsi="宋体" w:cs="宋体"/>
                <w:kern w:val="0"/>
                <w:szCs w:val="21"/>
              </w:rPr>
            </w:pPr>
            <w:r>
              <w:rPr>
                <w:rFonts w:hint="eastAsia" w:ascii="宋体" w:hAnsi="宋体" w:cs="宋体"/>
                <w:kern w:val="0"/>
                <w:szCs w:val="21"/>
              </w:rPr>
              <w:t>简要技术要求</w:t>
            </w:r>
          </w:p>
        </w:tc>
        <w:tc>
          <w:tcPr>
            <w:tcW w:w="1290" w:type="dxa"/>
            <w:tcBorders>
              <w:left w:val="single" w:color="auto" w:sz="4" w:space="0"/>
              <w:right w:val="single" w:color="auto" w:sz="4" w:space="0"/>
            </w:tcBorders>
            <w:shd w:val="clear" w:color="auto" w:fill="auto"/>
            <w:vAlign w:val="center"/>
          </w:tcPr>
          <w:p w14:paraId="39D945AA">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宋体" w:hAnsi="宋体" w:cs="宋体"/>
                <w:kern w:val="0"/>
                <w:szCs w:val="21"/>
              </w:rPr>
            </w:pPr>
            <w:r>
              <w:rPr>
                <w:rFonts w:hint="eastAsia" w:ascii="宋体" w:hAnsi="宋体" w:cs="宋体"/>
                <w:kern w:val="0"/>
                <w:szCs w:val="21"/>
              </w:rPr>
              <w:t>标的预算（元）</w:t>
            </w:r>
          </w:p>
        </w:tc>
        <w:tc>
          <w:tcPr>
            <w:tcW w:w="645" w:type="dxa"/>
            <w:tcBorders>
              <w:right w:val="single" w:color="auto" w:sz="4" w:space="0"/>
            </w:tcBorders>
            <w:shd w:val="clear" w:color="auto" w:fill="auto"/>
            <w:vAlign w:val="center"/>
          </w:tcPr>
          <w:p w14:paraId="2C320442">
            <w:pPr>
              <w:keepNext w:val="0"/>
              <w:keepLines w:val="0"/>
              <w:pageBreakBefore w:val="0"/>
              <w:widowControl/>
              <w:kinsoku/>
              <w:wordWrap/>
              <w:overflowPunct/>
              <w:topLinePunct w:val="0"/>
              <w:autoSpaceDE/>
              <w:autoSpaceDN/>
              <w:bidi w:val="0"/>
              <w:spacing w:line="360" w:lineRule="exact"/>
              <w:jc w:val="center"/>
              <w:textAlignment w:val="auto"/>
              <w:rPr>
                <w:rFonts w:ascii="宋体" w:hAnsi="宋体" w:cs="宋体"/>
                <w:kern w:val="0"/>
                <w:szCs w:val="21"/>
              </w:rPr>
            </w:pPr>
            <w:r>
              <w:rPr>
                <w:rFonts w:ascii="宋体" w:hAnsi="宋体" w:cs="宋体"/>
                <w:kern w:val="0"/>
                <w:szCs w:val="21"/>
              </w:rPr>
              <w:t>节能产品</w:t>
            </w:r>
          </w:p>
        </w:tc>
        <w:tc>
          <w:tcPr>
            <w:tcW w:w="660" w:type="dxa"/>
            <w:tcBorders>
              <w:left w:val="single" w:color="auto" w:sz="4" w:space="0"/>
            </w:tcBorders>
            <w:shd w:val="clear" w:color="auto" w:fill="auto"/>
            <w:vAlign w:val="center"/>
          </w:tcPr>
          <w:p w14:paraId="791A6DC5">
            <w:pPr>
              <w:keepNext w:val="0"/>
              <w:keepLines w:val="0"/>
              <w:pageBreakBefore w:val="0"/>
              <w:widowControl/>
              <w:kinsoku/>
              <w:wordWrap/>
              <w:overflowPunct/>
              <w:topLinePunct w:val="0"/>
              <w:autoSpaceDE/>
              <w:autoSpaceDN/>
              <w:bidi w:val="0"/>
              <w:spacing w:line="360" w:lineRule="exact"/>
              <w:jc w:val="center"/>
              <w:textAlignment w:val="auto"/>
              <w:rPr>
                <w:rFonts w:ascii="宋体" w:hAnsi="宋体" w:cs="宋体"/>
                <w:kern w:val="0"/>
                <w:szCs w:val="21"/>
              </w:rPr>
            </w:pPr>
            <w:r>
              <w:rPr>
                <w:rFonts w:ascii="宋体" w:hAnsi="宋体" w:cs="宋体"/>
                <w:kern w:val="0"/>
                <w:szCs w:val="21"/>
              </w:rPr>
              <w:t>进口产品</w:t>
            </w:r>
          </w:p>
        </w:tc>
      </w:tr>
      <w:tr w14:paraId="0F6464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467" w:type="dxa"/>
            <w:tcBorders>
              <w:bottom w:val="single" w:color="auto" w:sz="4" w:space="0"/>
              <w:right w:val="single" w:color="auto" w:sz="4" w:space="0"/>
            </w:tcBorders>
            <w:shd w:val="clear" w:color="auto" w:fill="auto"/>
            <w:vAlign w:val="center"/>
          </w:tcPr>
          <w:p w14:paraId="500A3F04">
            <w:pPr>
              <w:pStyle w:val="24"/>
              <w:adjustRightInd w:val="0"/>
              <w:snapToGrid w:val="0"/>
              <w:jc w:val="center"/>
              <w:rPr>
                <w:rFonts w:hint="default" w:hAnsi="宋体" w:eastAsia="宋体"/>
                <w:kern w:val="0"/>
                <w:lang w:val="en-US" w:eastAsia="zh-CN"/>
              </w:rPr>
            </w:pPr>
            <w:r>
              <w:rPr>
                <w:rFonts w:hint="eastAsia" w:hAnsi="宋体"/>
                <w:kern w:val="0"/>
                <w:lang w:val="en-US" w:eastAsia="zh-CN"/>
              </w:rPr>
              <w:t>1</w:t>
            </w:r>
          </w:p>
        </w:tc>
        <w:tc>
          <w:tcPr>
            <w:tcW w:w="666" w:type="dxa"/>
            <w:tcBorders>
              <w:bottom w:val="single" w:color="auto" w:sz="4" w:space="0"/>
              <w:right w:val="single" w:color="auto" w:sz="4" w:space="0"/>
            </w:tcBorders>
            <w:shd w:val="clear" w:color="auto" w:fill="auto"/>
            <w:vAlign w:val="center"/>
          </w:tcPr>
          <w:p w14:paraId="03C8DEF5">
            <w:pPr>
              <w:pStyle w:val="24"/>
              <w:adjustRightInd w:val="0"/>
              <w:snapToGrid w:val="0"/>
              <w:jc w:val="center"/>
              <w:rPr>
                <w:rFonts w:hint="default" w:hAnsi="宋体" w:eastAsia="宋体"/>
                <w:kern w:val="0"/>
                <w:lang w:val="en-US" w:eastAsia="zh-CN"/>
              </w:rPr>
            </w:pPr>
            <w:r>
              <w:rPr>
                <w:rFonts w:hint="eastAsia" w:hAnsi="宋体"/>
                <w:kern w:val="0"/>
                <w:lang w:eastAsia="zh-CN"/>
              </w:rPr>
              <w:t>包</w:t>
            </w:r>
            <w:r>
              <w:rPr>
                <w:rFonts w:hint="eastAsia" w:hAnsi="宋体"/>
                <w:kern w:val="0"/>
                <w:lang w:val="en-US" w:eastAsia="zh-CN"/>
              </w:rPr>
              <w:t>1</w:t>
            </w:r>
          </w:p>
        </w:tc>
        <w:tc>
          <w:tcPr>
            <w:tcW w:w="1374" w:type="dxa"/>
            <w:tcBorders>
              <w:left w:val="single" w:color="auto" w:sz="4" w:space="0"/>
              <w:bottom w:val="single" w:color="auto" w:sz="4" w:space="0"/>
              <w:right w:val="single" w:color="auto" w:sz="4" w:space="0"/>
            </w:tcBorders>
            <w:shd w:val="clear" w:color="auto" w:fill="auto"/>
            <w:vAlign w:val="center"/>
          </w:tcPr>
          <w:p w14:paraId="2F0FE13B">
            <w:pPr>
              <w:pStyle w:val="24"/>
              <w:adjustRightInd w:val="0"/>
              <w:snapToGrid w:val="0"/>
              <w:jc w:val="center"/>
              <w:rPr>
                <w:rFonts w:hint="default" w:hAnsi="宋体"/>
                <w:kern w:val="0"/>
                <w:lang w:val="en-US"/>
              </w:rPr>
            </w:pPr>
            <w:r>
              <w:rPr>
                <w:rFonts w:hint="eastAsia" w:hAnsi="宋体"/>
                <w:kern w:val="0"/>
                <w:lang w:val="en-US" w:eastAsia="zh-CN"/>
              </w:rPr>
              <w:t>480000.00</w:t>
            </w:r>
          </w:p>
        </w:tc>
        <w:tc>
          <w:tcPr>
            <w:tcW w:w="2137" w:type="dxa"/>
            <w:tcBorders>
              <w:left w:val="single" w:color="auto" w:sz="4" w:space="0"/>
              <w:bottom w:val="single" w:color="auto" w:sz="4" w:space="0"/>
            </w:tcBorders>
            <w:shd w:val="clear" w:color="auto" w:fill="auto"/>
            <w:vAlign w:val="center"/>
          </w:tcPr>
          <w:p w14:paraId="749307F9">
            <w:pPr>
              <w:pStyle w:val="24"/>
              <w:adjustRightInd w:val="0"/>
              <w:snapToGrid w:val="0"/>
              <w:jc w:val="center"/>
              <w:rPr>
                <w:rFonts w:hint="default" w:hAnsi="宋体" w:eastAsia="宋体"/>
                <w:kern w:val="0"/>
                <w:lang w:val="en-US" w:eastAsia="zh-CN"/>
              </w:rPr>
            </w:pPr>
            <w:r>
              <w:rPr>
                <w:rFonts w:hint="eastAsia" w:hAnsi="宋体"/>
                <w:kern w:val="0"/>
                <w:lang w:val="en-US" w:eastAsia="zh-CN"/>
              </w:rPr>
              <w:t>第一实施区域</w:t>
            </w:r>
          </w:p>
        </w:tc>
        <w:tc>
          <w:tcPr>
            <w:tcW w:w="1626" w:type="dxa"/>
            <w:vMerge w:val="restart"/>
            <w:tcBorders>
              <w:right w:val="single" w:color="auto" w:sz="4" w:space="0"/>
            </w:tcBorders>
            <w:shd w:val="clear" w:color="auto" w:fill="auto"/>
            <w:vAlign w:val="center"/>
          </w:tcPr>
          <w:p w14:paraId="23FB13E2">
            <w:pPr>
              <w:pStyle w:val="24"/>
              <w:adjustRightInd w:val="0"/>
              <w:snapToGrid w:val="0"/>
              <w:jc w:val="center"/>
              <w:rPr>
                <w:rFonts w:hAnsi="宋体"/>
                <w:kern w:val="0"/>
              </w:rPr>
            </w:pPr>
            <w:r>
              <w:rPr>
                <w:rFonts w:hint="eastAsia" w:hAnsi="宋体"/>
                <w:kern w:val="0"/>
              </w:rPr>
              <w:t>包</w:t>
            </w:r>
            <w:r>
              <w:rPr>
                <w:rFonts w:hint="eastAsia" w:hAnsi="宋体"/>
                <w:kern w:val="0"/>
                <w:lang w:eastAsia="zh-CN"/>
              </w:rPr>
              <w:t>叶面肥</w:t>
            </w:r>
            <w:r>
              <w:rPr>
                <w:rFonts w:hint="eastAsia" w:hAnsi="宋体"/>
                <w:kern w:val="0"/>
              </w:rPr>
              <w:t>、</w:t>
            </w:r>
            <w:r>
              <w:rPr>
                <w:rFonts w:hint="eastAsia" w:hAnsi="宋体"/>
                <w:kern w:val="0"/>
                <w:lang w:eastAsia="zh-CN"/>
              </w:rPr>
              <w:t>包生长调节剂、包抗</w:t>
            </w:r>
            <w:r>
              <w:rPr>
                <w:rFonts w:hint="eastAsia" w:ascii="宋体" w:hAnsi="宋体"/>
                <w:szCs w:val="21"/>
                <w:u w:val="none"/>
                <w:lang w:eastAsia="zh-CN"/>
              </w:rPr>
              <w:t>逆</w:t>
            </w:r>
            <w:r>
              <w:rPr>
                <w:rFonts w:hint="eastAsia" w:hAnsi="宋体"/>
                <w:szCs w:val="21"/>
                <w:u w:val="none"/>
                <w:lang w:eastAsia="zh-CN"/>
              </w:rPr>
              <w:t>剂、</w:t>
            </w:r>
            <w:r>
              <w:rPr>
                <w:rFonts w:hint="eastAsia" w:hAnsi="宋体"/>
                <w:kern w:val="0"/>
              </w:rPr>
              <w:t>包喷施、包效果</w:t>
            </w:r>
            <w:r>
              <w:rPr>
                <w:rFonts w:hint="eastAsia" w:hAnsi="宋体"/>
                <w:kern w:val="0"/>
                <w:lang w:eastAsia="zh-CN"/>
              </w:rPr>
              <w:t>，</w:t>
            </w:r>
            <w:r>
              <w:rPr>
                <w:rFonts w:hAnsi="宋体"/>
                <w:kern w:val="0"/>
              </w:rPr>
              <w:t>详见第</w:t>
            </w:r>
            <w:r>
              <w:rPr>
                <w:rFonts w:hint="eastAsia" w:hAnsi="宋体"/>
                <w:kern w:val="0"/>
              </w:rPr>
              <w:t>三</w:t>
            </w:r>
            <w:r>
              <w:rPr>
                <w:rFonts w:hAnsi="宋体"/>
                <w:kern w:val="0"/>
              </w:rPr>
              <w:t>章采购需求</w:t>
            </w:r>
          </w:p>
        </w:tc>
        <w:tc>
          <w:tcPr>
            <w:tcW w:w="1290" w:type="dxa"/>
            <w:tcBorders>
              <w:left w:val="single" w:color="auto" w:sz="4" w:space="0"/>
              <w:bottom w:val="single" w:color="auto" w:sz="4" w:space="0"/>
              <w:right w:val="single" w:color="auto" w:sz="4" w:space="0"/>
            </w:tcBorders>
            <w:shd w:val="clear" w:color="auto" w:fill="auto"/>
            <w:vAlign w:val="center"/>
          </w:tcPr>
          <w:p w14:paraId="583DC08E">
            <w:pPr>
              <w:pStyle w:val="24"/>
              <w:adjustRightInd w:val="0"/>
              <w:snapToGrid w:val="0"/>
              <w:jc w:val="center"/>
              <w:rPr>
                <w:rFonts w:hAnsi="宋体"/>
                <w:kern w:val="0"/>
              </w:rPr>
            </w:pPr>
            <w:r>
              <w:rPr>
                <w:rFonts w:hint="eastAsia" w:hAnsi="宋体"/>
                <w:kern w:val="0"/>
                <w:lang w:val="en-US" w:eastAsia="zh-CN"/>
              </w:rPr>
              <w:t>480000.00</w:t>
            </w:r>
          </w:p>
        </w:tc>
        <w:tc>
          <w:tcPr>
            <w:tcW w:w="645" w:type="dxa"/>
            <w:tcBorders>
              <w:bottom w:val="single" w:color="auto" w:sz="4" w:space="0"/>
              <w:right w:val="single" w:color="auto" w:sz="4" w:space="0"/>
            </w:tcBorders>
            <w:shd w:val="clear" w:color="auto" w:fill="auto"/>
            <w:vAlign w:val="center"/>
          </w:tcPr>
          <w:p w14:paraId="3585725C">
            <w:pPr>
              <w:widowControl/>
              <w:spacing w:before="75" w:line="420" w:lineRule="atLeast"/>
              <w:jc w:val="center"/>
              <w:rPr>
                <w:rFonts w:hAnsi="宋体"/>
                <w:kern w:val="0"/>
              </w:rPr>
            </w:pPr>
            <w:r>
              <w:rPr>
                <w:rFonts w:ascii="宋体" w:hAnsi="宋体" w:cs="宋体"/>
                <w:kern w:val="0"/>
                <w:sz w:val="24"/>
              </w:rPr>
              <w:drawing>
                <wp:inline distT="0" distB="0" distL="114300" distR="114300">
                  <wp:extent cx="210820" cy="17589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10820" cy="175895"/>
                          </a:xfrm>
                          <a:prstGeom prst="rect">
                            <a:avLst/>
                          </a:prstGeom>
                          <a:noFill/>
                          <a:ln>
                            <a:noFill/>
                          </a:ln>
                        </pic:spPr>
                      </pic:pic>
                    </a:graphicData>
                  </a:graphic>
                </wp:inline>
              </w:drawing>
            </w:r>
          </w:p>
        </w:tc>
        <w:tc>
          <w:tcPr>
            <w:tcW w:w="660" w:type="dxa"/>
            <w:tcBorders>
              <w:left w:val="single" w:color="auto" w:sz="4" w:space="0"/>
              <w:bottom w:val="single" w:color="auto" w:sz="4" w:space="0"/>
            </w:tcBorders>
            <w:shd w:val="clear" w:color="auto" w:fill="auto"/>
            <w:vAlign w:val="center"/>
          </w:tcPr>
          <w:p w14:paraId="4CA2C712">
            <w:pPr>
              <w:widowControl/>
              <w:spacing w:before="75" w:line="420" w:lineRule="atLeast"/>
              <w:jc w:val="center"/>
              <w:rPr>
                <w:rFonts w:hAnsi="宋体"/>
                <w:kern w:val="0"/>
              </w:rPr>
            </w:pPr>
            <w:r>
              <w:rPr>
                <w:rFonts w:ascii="宋体" w:hAnsi="宋体" w:cs="宋体"/>
                <w:kern w:val="0"/>
                <w:sz w:val="24"/>
              </w:rPr>
              <w:drawing>
                <wp:inline distT="0" distB="0" distL="114300" distR="114300">
                  <wp:extent cx="210820" cy="17589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10820" cy="175895"/>
                          </a:xfrm>
                          <a:prstGeom prst="rect">
                            <a:avLst/>
                          </a:prstGeom>
                          <a:noFill/>
                          <a:ln>
                            <a:noFill/>
                          </a:ln>
                        </pic:spPr>
                      </pic:pic>
                    </a:graphicData>
                  </a:graphic>
                </wp:inline>
              </w:drawing>
            </w:r>
          </w:p>
        </w:tc>
      </w:tr>
      <w:tr w14:paraId="5FD2837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32" w:hRule="atLeast"/>
          <w:jc w:val="center"/>
        </w:trPr>
        <w:tc>
          <w:tcPr>
            <w:tcW w:w="467" w:type="dxa"/>
            <w:tcBorders>
              <w:top w:val="single" w:color="auto" w:sz="4" w:space="0"/>
              <w:right w:val="single" w:color="auto" w:sz="4" w:space="0"/>
            </w:tcBorders>
            <w:shd w:val="clear" w:color="auto" w:fill="auto"/>
            <w:vAlign w:val="center"/>
          </w:tcPr>
          <w:p w14:paraId="4ECE415F">
            <w:pPr>
              <w:pStyle w:val="24"/>
              <w:adjustRightInd w:val="0"/>
              <w:snapToGrid w:val="0"/>
              <w:jc w:val="center"/>
              <w:rPr>
                <w:rFonts w:hint="default" w:hAnsi="宋体"/>
                <w:kern w:val="0"/>
                <w:lang w:val="en-US" w:eastAsia="zh-CN"/>
              </w:rPr>
            </w:pPr>
            <w:r>
              <w:rPr>
                <w:rFonts w:hint="eastAsia" w:hAnsi="宋体"/>
                <w:kern w:val="0"/>
                <w:lang w:val="en-US" w:eastAsia="zh-CN"/>
              </w:rPr>
              <w:t>2</w:t>
            </w:r>
          </w:p>
        </w:tc>
        <w:tc>
          <w:tcPr>
            <w:tcW w:w="666" w:type="dxa"/>
            <w:tcBorders>
              <w:top w:val="single" w:color="auto" w:sz="4" w:space="0"/>
              <w:right w:val="single" w:color="auto" w:sz="4" w:space="0"/>
            </w:tcBorders>
            <w:shd w:val="clear" w:color="auto" w:fill="auto"/>
            <w:vAlign w:val="center"/>
          </w:tcPr>
          <w:p w14:paraId="1258181B">
            <w:pPr>
              <w:pStyle w:val="24"/>
              <w:adjustRightInd w:val="0"/>
              <w:snapToGrid w:val="0"/>
              <w:jc w:val="center"/>
              <w:rPr>
                <w:rFonts w:hint="default" w:hAnsi="宋体"/>
                <w:kern w:val="0"/>
                <w:lang w:val="en-US" w:eastAsia="zh-CN"/>
              </w:rPr>
            </w:pPr>
            <w:r>
              <w:rPr>
                <w:rFonts w:hint="eastAsia" w:hAnsi="宋体"/>
                <w:kern w:val="0"/>
                <w:lang w:val="en-US" w:eastAsia="zh-CN"/>
              </w:rPr>
              <w:t>包2</w:t>
            </w:r>
          </w:p>
        </w:tc>
        <w:tc>
          <w:tcPr>
            <w:tcW w:w="1374" w:type="dxa"/>
            <w:tcBorders>
              <w:top w:val="single" w:color="auto" w:sz="4" w:space="0"/>
              <w:left w:val="single" w:color="auto" w:sz="4" w:space="0"/>
              <w:right w:val="single" w:color="auto" w:sz="4" w:space="0"/>
            </w:tcBorders>
            <w:shd w:val="clear" w:color="auto" w:fill="auto"/>
            <w:vAlign w:val="center"/>
          </w:tcPr>
          <w:p w14:paraId="3C839E88">
            <w:pPr>
              <w:pStyle w:val="24"/>
              <w:adjustRightInd w:val="0"/>
              <w:snapToGrid w:val="0"/>
              <w:jc w:val="center"/>
              <w:rPr>
                <w:rFonts w:hint="default" w:hAnsi="宋体"/>
                <w:kern w:val="0"/>
                <w:lang w:val="en-US" w:eastAsia="zh-CN"/>
              </w:rPr>
            </w:pPr>
            <w:r>
              <w:rPr>
                <w:rFonts w:hint="eastAsia" w:hAnsi="宋体"/>
                <w:kern w:val="0"/>
                <w:lang w:val="en-US" w:eastAsia="zh-CN"/>
              </w:rPr>
              <w:t>480000.00</w:t>
            </w:r>
          </w:p>
        </w:tc>
        <w:tc>
          <w:tcPr>
            <w:tcW w:w="2137" w:type="dxa"/>
            <w:tcBorders>
              <w:top w:val="single" w:color="auto" w:sz="4" w:space="0"/>
              <w:left w:val="single" w:color="auto" w:sz="4" w:space="0"/>
            </w:tcBorders>
            <w:shd w:val="clear" w:color="auto" w:fill="auto"/>
            <w:vAlign w:val="center"/>
          </w:tcPr>
          <w:p w14:paraId="593EDF21">
            <w:pPr>
              <w:pStyle w:val="24"/>
              <w:adjustRightInd w:val="0"/>
              <w:snapToGrid w:val="0"/>
              <w:jc w:val="center"/>
              <w:rPr>
                <w:rFonts w:hint="default" w:hAnsi="宋体"/>
                <w:kern w:val="0"/>
                <w:lang w:val="en-US" w:eastAsia="zh-CN"/>
              </w:rPr>
            </w:pPr>
            <w:r>
              <w:rPr>
                <w:rFonts w:hint="eastAsia" w:hAnsi="宋体"/>
                <w:kern w:val="0"/>
                <w:lang w:val="en-US" w:eastAsia="zh-CN"/>
              </w:rPr>
              <w:t>第二实施区域</w:t>
            </w:r>
          </w:p>
        </w:tc>
        <w:tc>
          <w:tcPr>
            <w:tcW w:w="1626" w:type="dxa"/>
            <w:vMerge w:val="continue"/>
            <w:tcBorders>
              <w:right w:val="single" w:color="auto" w:sz="4" w:space="0"/>
            </w:tcBorders>
            <w:shd w:val="clear" w:color="auto" w:fill="auto"/>
            <w:vAlign w:val="center"/>
          </w:tcPr>
          <w:p w14:paraId="4A7C1659">
            <w:pPr>
              <w:pStyle w:val="24"/>
              <w:adjustRightInd w:val="0"/>
              <w:snapToGrid w:val="0"/>
              <w:jc w:val="center"/>
              <w:rPr>
                <w:rFonts w:hint="eastAsia" w:hAnsi="宋体"/>
                <w:kern w:val="0"/>
              </w:rPr>
            </w:pPr>
          </w:p>
        </w:tc>
        <w:tc>
          <w:tcPr>
            <w:tcW w:w="1290" w:type="dxa"/>
            <w:tcBorders>
              <w:top w:val="single" w:color="auto" w:sz="4" w:space="0"/>
              <w:left w:val="single" w:color="auto" w:sz="4" w:space="0"/>
              <w:right w:val="single" w:color="auto" w:sz="4" w:space="0"/>
            </w:tcBorders>
            <w:shd w:val="clear" w:color="auto" w:fill="auto"/>
            <w:vAlign w:val="center"/>
          </w:tcPr>
          <w:p w14:paraId="7439AE24">
            <w:pPr>
              <w:pStyle w:val="24"/>
              <w:adjustRightInd w:val="0"/>
              <w:snapToGrid w:val="0"/>
              <w:jc w:val="center"/>
              <w:rPr>
                <w:rFonts w:hint="eastAsia" w:hAnsi="宋体"/>
                <w:kern w:val="0"/>
                <w:lang w:eastAsia="zh-CN"/>
              </w:rPr>
            </w:pPr>
            <w:r>
              <w:rPr>
                <w:rFonts w:hint="eastAsia" w:hAnsi="宋体"/>
                <w:kern w:val="0"/>
                <w:lang w:val="en-US" w:eastAsia="zh-CN"/>
              </w:rPr>
              <w:t>480000.00</w:t>
            </w:r>
          </w:p>
        </w:tc>
        <w:tc>
          <w:tcPr>
            <w:tcW w:w="645" w:type="dxa"/>
            <w:tcBorders>
              <w:top w:val="single" w:color="auto" w:sz="4" w:space="0"/>
              <w:right w:val="single" w:color="auto" w:sz="4" w:space="0"/>
            </w:tcBorders>
            <w:shd w:val="clear" w:color="auto" w:fill="auto"/>
            <w:vAlign w:val="center"/>
          </w:tcPr>
          <w:p w14:paraId="0D98D1F0">
            <w:pPr>
              <w:widowControl/>
              <w:spacing w:before="75" w:line="420" w:lineRule="atLeast"/>
              <w:jc w:val="center"/>
              <w:rPr>
                <w:rFonts w:ascii="宋体" w:hAnsi="宋体" w:cs="宋体"/>
                <w:kern w:val="0"/>
                <w:sz w:val="24"/>
              </w:rPr>
            </w:pPr>
            <w:r>
              <w:rPr>
                <w:rFonts w:ascii="宋体" w:hAnsi="宋体" w:cs="宋体"/>
                <w:kern w:val="0"/>
                <w:sz w:val="24"/>
              </w:rPr>
              <w:drawing>
                <wp:inline distT="0" distB="0" distL="114300" distR="114300">
                  <wp:extent cx="210820" cy="17589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210820" cy="175895"/>
                          </a:xfrm>
                          <a:prstGeom prst="rect">
                            <a:avLst/>
                          </a:prstGeom>
                          <a:noFill/>
                          <a:ln>
                            <a:noFill/>
                          </a:ln>
                        </pic:spPr>
                      </pic:pic>
                    </a:graphicData>
                  </a:graphic>
                </wp:inline>
              </w:drawing>
            </w:r>
          </w:p>
        </w:tc>
        <w:tc>
          <w:tcPr>
            <w:tcW w:w="660" w:type="dxa"/>
            <w:tcBorders>
              <w:top w:val="single" w:color="auto" w:sz="4" w:space="0"/>
              <w:left w:val="single" w:color="auto" w:sz="4" w:space="0"/>
            </w:tcBorders>
            <w:shd w:val="clear" w:color="auto" w:fill="auto"/>
            <w:vAlign w:val="center"/>
          </w:tcPr>
          <w:p w14:paraId="76072953">
            <w:pPr>
              <w:widowControl/>
              <w:spacing w:before="75" w:line="420" w:lineRule="atLeast"/>
              <w:jc w:val="center"/>
              <w:rPr>
                <w:rFonts w:ascii="宋体" w:hAnsi="宋体" w:cs="宋体"/>
                <w:kern w:val="0"/>
                <w:sz w:val="24"/>
              </w:rPr>
            </w:pPr>
            <w:r>
              <w:rPr>
                <w:rFonts w:ascii="宋体" w:hAnsi="宋体" w:cs="宋体"/>
                <w:kern w:val="0"/>
                <w:sz w:val="24"/>
              </w:rPr>
              <w:drawing>
                <wp:inline distT="0" distB="0" distL="114300" distR="114300">
                  <wp:extent cx="210820" cy="175895"/>
                  <wp:effectExtent l="0" t="0" r="254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210820" cy="175895"/>
                          </a:xfrm>
                          <a:prstGeom prst="rect">
                            <a:avLst/>
                          </a:prstGeom>
                          <a:noFill/>
                          <a:ln>
                            <a:noFill/>
                          </a:ln>
                        </pic:spPr>
                      </pic:pic>
                    </a:graphicData>
                  </a:graphic>
                </wp:inline>
              </w:drawing>
            </w:r>
          </w:p>
        </w:tc>
      </w:tr>
    </w:tbl>
    <w:p w14:paraId="104715A7">
      <w:pPr>
        <w:keepNext/>
        <w:keepLines/>
        <w:adjustRightInd w:val="0"/>
        <w:snapToGrid w:val="0"/>
        <w:spacing w:line="360" w:lineRule="auto"/>
        <w:rPr>
          <w:rFonts w:hint="eastAsia" w:ascii="黑体" w:hAnsi="黑体" w:eastAsia="黑体" w:cs="Times New Roman"/>
          <w:b/>
          <w:bCs/>
          <w:sz w:val="24"/>
          <w:szCs w:val="32"/>
        </w:rPr>
      </w:pPr>
      <w:r>
        <w:rPr>
          <w:rFonts w:hint="eastAsia" w:ascii="宋体" w:hAnsi="宋体"/>
          <w:szCs w:val="21"/>
          <w:lang w:eastAsia="zh-CN"/>
        </w:rPr>
        <w:t>注：各投标人只允许对其中的一个包参与投标，同一投标人同时参与两个包投标的，其投标文件都按无效投标处理。</w:t>
      </w:r>
    </w:p>
    <w:p w14:paraId="54C677C8">
      <w:pPr>
        <w:keepNext/>
        <w:keepLines/>
        <w:adjustRightInd w:val="0"/>
        <w:snapToGrid w:val="0"/>
        <w:spacing w:line="360" w:lineRule="auto"/>
        <w:rPr>
          <w:rFonts w:ascii="黑体" w:hAnsi="黑体" w:eastAsia="黑体"/>
          <w:b/>
          <w:bCs/>
          <w:sz w:val="24"/>
          <w:szCs w:val="32"/>
        </w:rPr>
      </w:pPr>
      <w:bookmarkStart w:id="16" w:name="_Toc24383"/>
      <w:bookmarkStart w:id="17" w:name="_Toc15317"/>
      <w:bookmarkStart w:id="18" w:name="_Toc34637815"/>
      <w:bookmarkStart w:id="19" w:name="_Toc22657513"/>
      <w:r>
        <w:rPr>
          <w:rFonts w:hint="eastAsia" w:ascii="黑体" w:hAnsi="黑体" w:eastAsia="黑体"/>
          <w:b/>
          <w:bCs/>
          <w:sz w:val="24"/>
          <w:szCs w:val="32"/>
        </w:rPr>
        <w:t>三、采购项目需落实的政府采购政策</w:t>
      </w:r>
      <w:bookmarkEnd w:id="16"/>
      <w:bookmarkEnd w:id="17"/>
    </w:p>
    <w:p w14:paraId="5556182D">
      <w:pPr>
        <w:adjustRightInd w:val="0"/>
        <w:snapToGrid w:val="0"/>
        <w:spacing w:line="360" w:lineRule="auto"/>
        <w:ind w:firstLine="420" w:firstLineChars="200"/>
        <w:rPr>
          <w:rFonts w:ascii="宋体" w:hAnsi="宋体"/>
          <w:szCs w:val="21"/>
        </w:rPr>
      </w:pPr>
      <w:r>
        <w:rPr>
          <w:rFonts w:hint="eastAsia" w:ascii="宋体" w:hAnsi="宋体"/>
          <w:szCs w:val="21"/>
        </w:rPr>
        <w:t>1、优先采购：节能产品、环境标志产品享受加分或价格折扣。</w:t>
      </w:r>
    </w:p>
    <w:p w14:paraId="1D0276A6">
      <w:pPr>
        <w:adjustRightInd w:val="0"/>
        <w:snapToGrid w:val="0"/>
        <w:spacing w:line="360" w:lineRule="auto"/>
        <w:ind w:firstLine="420" w:firstLineChars="200"/>
        <w:rPr>
          <w:b/>
        </w:rPr>
      </w:pPr>
      <w:r>
        <w:rPr>
          <w:rFonts w:hint="eastAsia" w:ascii="宋体" w:hAnsi="宋体"/>
          <w:szCs w:val="21"/>
        </w:rPr>
        <w:t>2、支持中小企业：中小企业享受预留采购份额或价格折扣。</w:t>
      </w:r>
    </w:p>
    <w:p w14:paraId="36EF062B">
      <w:pPr>
        <w:tabs>
          <w:tab w:val="left" w:pos="7273"/>
        </w:tabs>
        <w:adjustRightInd w:val="0"/>
        <w:snapToGrid w:val="0"/>
        <w:spacing w:line="360" w:lineRule="auto"/>
        <w:rPr>
          <w:rFonts w:hint="eastAsia" w:eastAsia="宋体" w:asciiTheme="minorEastAsia" w:hAnsiTheme="minorEastAsia"/>
          <w:szCs w:val="21"/>
          <w:lang w:eastAsia="zh-CN"/>
        </w:rPr>
      </w:pPr>
      <w:r>
        <w:rPr>
          <w:rFonts w:hint="eastAsia"/>
          <w:b/>
        </w:rPr>
        <w:t>四、供应商的资格要求</w:t>
      </w:r>
      <w:bookmarkEnd w:id="18"/>
      <w:bookmarkEnd w:id="19"/>
      <w:r>
        <w:rPr>
          <w:rFonts w:hint="eastAsia"/>
          <w:b/>
          <w:lang w:eastAsia="zh-CN"/>
        </w:rPr>
        <w:tab/>
      </w:r>
    </w:p>
    <w:p w14:paraId="76B44FAB">
      <w:pPr>
        <w:adjustRightInd w:val="0"/>
        <w:snapToGrid w:val="0"/>
        <w:spacing w:line="360" w:lineRule="auto"/>
        <w:ind w:firstLine="420" w:firstLineChars="200"/>
        <w:rPr>
          <w:rFonts w:ascii="宋体" w:hAnsi="宋体"/>
          <w:szCs w:val="21"/>
        </w:rPr>
      </w:pPr>
      <w:r>
        <w:rPr>
          <w:rFonts w:hint="eastAsia" w:ascii="宋体" w:hAnsi="宋体"/>
          <w:szCs w:val="21"/>
        </w:rPr>
        <w:t>1、满足《中华人民共和国政府采购法》第二十二条规定；</w:t>
      </w:r>
    </w:p>
    <w:p w14:paraId="1E80D8B2">
      <w:pPr>
        <w:adjustRightInd w:val="0"/>
        <w:snapToGrid w:val="0"/>
        <w:spacing w:line="360" w:lineRule="auto"/>
        <w:ind w:firstLine="420" w:firstLineChars="200"/>
        <w:rPr>
          <w:rFonts w:ascii="宋体" w:hAnsi="宋体"/>
          <w:szCs w:val="21"/>
        </w:rPr>
      </w:pPr>
      <w:r>
        <w:rPr>
          <w:rFonts w:hint="eastAsia" w:ascii="宋体" w:hAnsi="宋体"/>
          <w:szCs w:val="21"/>
        </w:rPr>
        <w:t>2、落实政府采购政策需满足的资格要求：</w:t>
      </w:r>
    </w:p>
    <w:p w14:paraId="43F90DA4">
      <w:pPr>
        <w:adjustRightInd w:val="0"/>
        <w:snapToGrid w:val="0"/>
        <w:spacing w:line="360" w:lineRule="auto"/>
        <w:ind w:firstLine="630" w:firstLineChars="300"/>
        <w:rPr>
          <w:rFonts w:ascii="宋体" w:hAnsi="宋体"/>
          <w:szCs w:val="21"/>
        </w:rPr>
      </w:pPr>
      <w:r>
        <w:rPr>
          <w:rFonts w:hint="eastAsia" w:ascii="宋体" w:hAnsi="宋体"/>
          <w:iCs/>
          <w:szCs w:val="21"/>
        </w:rPr>
        <w:sym w:font="Wingdings" w:char="00A8"/>
      </w:r>
      <w:r>
        <w:rPr>
          <w:rFonts w:hint="eastAsia" w:ascii="宋体" w:hAnsi="宋体"/>
          <w:iCs/>
          <w:szCs w:val="21"/>
        </w:rPr>
        <w:t>专门面向</w:t>
      </w:r>
      <w:r>
        <w:rPr>
          <w:rFonts w:hint="eastAsia" w:ascii="宋体" w:hAnsi="宋体"/>
          <w:bCs/>
          <w:szCs w:val="21"/>
        </w:rPr>
        <w:t>：</w:t>
      </w:r>
      <w:r>
        <w:rPr>
          <w:rFonts w:hint="eastAsia" w:ascii="宋体" w:hAnsi="宋体"/>
          <w:iCs/>
          <w:szCs w:val="21"/>
        </w:rPr>
        <w:sym w:font="Wingdings" w:char="00A8"/>
      </w:r>
      <w:r>
        <w:rPr>
          <w:rFonts w:hint="eastAsia" w:ascii="宋体" w:hAnsi="宋体"/>
          <w:iCs/>
          <w:szCs w:val="21"/>
        </w:rPr>
        <w:t xml:space="preserve">中小企业  </w:t>
      </w:r>
      <w:r>
        <w:rPr>
          <w:rFonts w:hint="eastAsia" w:ascii="宋体" w:hAnsi="宋体"/>
          <w:iCs/>
          <w:szCs w:val="21"/>
        </w:rPr>
        <w:sym w:font="Wingdings" w:char="00A8"/>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46392DCC">
      <w:pPr>
        <w:adjustRightInd w:val="0"/>
        <w:snapToGrid w:val="0"/>
        <w:spacing w:line="360" w:lineRule="auto"/>
        <w:ind w:firstLine="630" w:firstLineChars="300"/>
        <w:rPr>
          <w:rFonts w:asciiTheme="minorEastAsia" w:hAnsiTheme="minorEastAsia" w:eastAsiaTheme="minorEastAsia"/>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分包：大型企业应将采购份额的%分包给中小企业。</w:t>
      </w:r>
    </w:p>
    <w:p w14:paraId="2B30DB32">
      <w:pPr>
        <w:adjustRightInd w:val="0"/>
        <w:snapToGrid w:val="0"/>
        <w:spacing w:line="360" w:lineRule="auto"/>
        <w:ind w:firstLine="420" w:firstLineChars="200"/>
        <w:rPr>
          <w:rFonts w:hint="eastAsia" w:ascii="宋体" w:hAnsi="宋体" w:cs="宋体" w:eastAsiaTheme="minorEastAsia"/>
          <w:szCs w:val="21"/>
          <w:lang w:eastAsia="zh-CN"/>
        </w:rPr>
      </w:pPr>
      <w:r>
        <w:rPr>
          <w:rFonts w:hint="eastAsia" w:asciiTheme="minorEastAsia" w:hAnsiTheme="minorEastAsia" w:eastAsiaTheme="minorEastAsia"/>
          <w:szCs w:val="21"/>
        </w:rPr>
        <w:t>3、采购项目的特定资格条件：</w:t>
      </w:r>
      <w:r>
        <w:rPr>
          <w:rFonts w:hint="eastAsia" w:asciiTheme="minorEastAsia" w:hAnsiTheme="minorEastAsia" w:eastAsiaTheme="minorEastAsia"/>
          <w:szCs w:val="21"/>
          <w:lang w:val="en-US" w:eastAsia="zh-CN"/>
        </w:rPr>
        <w:t>无</w:t>
      </w:r>
      <w:r>
        <w:rPr>
          <w:rStyle w:val="278"/>
          <w:rFonts w:hint="eastAsia" w:ascii="宋体" w:hAnsi="宋体" w:cs="宋体" w:eastAsiaTheme="minorEastAsia"/>
          <w:szCs w:val="21"/>
          <w:lang w:eastAsia="zh-CN"/>
        </w:rPr>
        <w:t>。</w:t>
      </w:r>
    </w:p>
    <w:p w14:paraId="27B64812">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4、单位负责人为同一人或者存在直接控股、管理关系的不同投标人，不得参加同一合同项下的政府采购活动。</w:t>
      </w:r>
    </w:p>
    <w:p w14:paraId="77FD557D">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5、为本采购项目提供整体设计、规范编制或者项目管理、监理、检测等服务的，不得再参加此项目的其他政府采购采购活动。</w:t>
      </w:r>
    </w:p>
    <w:p w14:paraId="65FACDB8">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6、列入失信被执行人、重大税收违法案件当事人名单，列入政府采购严重违法失信行为记录名单的，拒绝其参与政府采购活动。</w:t>
      </w:r>
    </w:p>
    <w:p w14:paraId="1B9E2927">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7、联合体响应。本次采购</w:t>
      </w:r>
      <w:r>
        <w:rPr>
          <w:rFonts w:hint="eastAsia" w:asciiTheme="minorEastAsia" w:hAnsiTheme="minorEastAsia" w:eastAsiaTheme="minorEastAsia"/>
          <w:szCs w:val="21"/>
          <w:u w:val="single"/>
        </w:rPr>
        <w:t xml:space="preserve"> 不接受 </w:t>
      </w:r>
      <w:r>
        <w:rPr>
          <w:rFonts w:hint="eastAsia" w:asciiTheme="minorEastAsia" w:hAnsiTheme="minorEastAsia" w:eastAsiaTheme="minorEastAsia"/>
          <w:szCs w:val="21"/>
        </w:rPr>
        <w:t>联合体响应。</w:t>
      </w:r>
    </w:p>
    <w:p w14:paraId="39D05194">
      <w:pPr>
        <w:adjustRightInd w:val="0"/>
        <w:snapToGrid w:val="0"/>
        <w:spacing w:line="360" w:lineRule="auto"/>
        <w:rPr>
          <w:b/>
        </w:rPr>
      </w:pPr>
      <w:bookmarkStart w:id="20" w:name="_Toc34637816"/>
      <w:bookmarkStart w:id="21" w:name="_Toc22657514"/>
      <w:r>
        <w:rPr>
          <w:rFonts w:hint="eastAsia"/>
          <w:b/>
        </w:rPr>
        <w:t>五、</w:t>
      </w:r>
      <w:bookmarkEnd w:id="20"/>
      <w:bookmarkEnd w:id="21"/>
      <w:r>
        <w:rPr>
          <w:rFonts w:hint="eastAsia" w:ascii="黑体" w:hAnsi="黑体" w:eastAsia="黑体"/>
          <w:b/>
          <w:bCs/>
          <w:sz w:val="24"/>
          <w:szCs w:val="32"/>
        </w:rPr>
        <w:t>供应商应</w:t>
      </w:r>
      <w:r>
        <w:rPr>
          <w:rFonts w:hint="eastAsia" w:ascii="黑体" w:hAnsi="黑体" w:eastAsia="黑体" w:cs="宋体"/>
          <w:b/>
          <w:bCs/>
          <w:sz w:val="24"/>
          <w:szCs w:val="32"/>
        </w:rPr>
        <w:t>提</w:t>
      </w:r>
      <w:r>
        <w:rPr>
          <w:rFonts w:hint="eastAsia" w:ascii="黑体" w:hAnsi="黑体" w:eastAsia="黑体"/>
          <w:b/>
          <w:bCs/>
          <w:sz w:val="24"/>
          <w:szCs w:val="32"/>
        </w:rPr>
        <w:t>交的资格证明材料及说明</w:t>
      </w:r>
    </w:p>
    <w:p w14:paraId="0D9840E9">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1、供应商应按下列规定提供资格证明文件。</w:t>
      </w:r>
    </w:p>
    <w:p w14:paraId="31A74A39">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2C87E7D5">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（2）湖南省政府采购供应商资格承诺函扫描件；</w:t>
      </w:r>
    </w:p>
    <w:p w14:paraId="1CE39AC4">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（3）符合特定资格条件证明材料复印件或者情况说明扫描件；</w:t>
      </w:r>
    </w:p>
    <w:p w14:paraId="043A3E1A">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（4）符合采购项目供应商资格要求的其他证明材料：</w:t>
      </w:r>
    </w:p>
    <w:p w14:paraId="37E8CA2B">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sym w:font="Wingdings" w:char="00A8"/>
      </w:r>
      <w:r>
        <w:rPr>
          <w:rFonts w:hint="eastAsia" w:asciiTheme="minorEastAsia" w:hAnsiTheme="minorEastAsia" w:eastAsiaTheme="minorEastAsia"/>
          <w:szCs w:val="21"/>
        </w:rPr>
        <w:t>联合体协议书（供应商为联合体形式的）；</w:t>
      </w:r>
    </w:p>
    <w:p w14:paraId="1FBB725B">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sym w:font="Wingdings" w:char="00A8"/>
      </w:r>
      <w:r>
        <w:rPr>
          <w:rFonts w:hint="eastAsia" w:asciiTheme="minorEastAsia" w:hAnsiTheme="minorEastAsia" w:eastAsiaTheme="minorEastAsia"/>
          <w:szCs w:val="21"/>
        </w:rPr>
        <w:t>分包承诺（执行强制分包的），格式自拟；</w:t>
      </w:r>
    </w:p>
    <w:p w14:paraId="0ABA5478">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sym w:font="Wingdings" w:char="00A8"/>
      </w:r>
      <w:r>
        <w:rPr>
          <w:rFonts w:hint="eastAsia" w:asciiTheme="minorEastAsia" w:hAnsiTheme="minorEastAsia" w:eastAsiaTheme="minorEastAsia"/>
          <w:szCs w:val="21"/>
        </w:rPr>
        <w:t>其他说明。</w:t>
      </w:r>
    </w:p>
    <w:p w14:paraId="398B85BE">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2、供应商为联合体形式的，除应提交联合协议(格式)外，参加联合体的各方均应提交上款资格证明材料。</w:t>
      </w:r>
    </w:p>
    <w:p w14:paraId="6F9FBDDC">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3、供应商的资格证明文件均应为有效文件并加盖供应商单位公章，并按其规定签署。</w:t>
      </w:r>
    </w:p>
    <w:p w14:paraId="1797ABD7">
      <w:pPr>
        <w:adjustRightInd w:val="0"/>
        <w:snapToGrid w:val="0"/>
        <w:spacing w:line="360" w:lineRule="auto"/>
        <w:rPr>
          <w:rFonts w:ascii="黑体" w:hAnsi="黑体" w:eastAsia="黑体"/>
          <w:b/>
          <w:bCs/>
          <w:sz w:val="24"/>
          <w:szCs w:val="32"/>
        </w:rPr>
      </w:pPr>
      <w:bookmarkStart w:id="22" w:name="_Toc3740"/>
      <w:bookmarkStart w:id="23" w:name="_Toc3759"/>
      <w:bookmarkStart w:id="24" w:name="_Toc110606578"/>
      <w:r>
        <w:rPr>
          <w:rFonts w:hint="eastAsia" w:ascii="黑体" w:hAnsi="黑体" w:eastAsia="黑体"/>
          <w:b/>
          <w:bCs/>
          <w:sz w:val="24"/>
          <w:szCs w:val="32"/>
        </w:rPr>
        <w:t>六、资格审查方法及标准</w:t>
      </w:r>
      <w:bookmarkEnd w:id="22"/>
      <w:bookmarkEnd w:id="23"/>
      <w:bookmarkEnd w:id="24"/>
    </w:p>
    <w:p w14:paraId="7B7825F2">
      <w:pPr>
        <w:adjustRightInd w:val="0"/>
        <w:snapToGrid w:val="0"/>
        <w:spacing w:line="360" w:lineRule="auto"/>
        <w:ind w:firstLine="420" w:firstLineChars="200"/>
        <w:rPr>
          <w:rFonts w:asciiTheme="minorEastAsia" w:hAnsiTheme="minorEastAsia" w:eastAsiaTheme="minorEastAsia"/>
          <w:szCs w:val="21"/>
        </w:rPr>
      </w:pPr>
      <w:r>
        <w:t>1、</w:t>
      </w:r>
      <w:r>
        <w:rPr>
          <w:rFonts w:hint="eastAsia"/>
        </w:rPr>
        <w:t>本项目资格审查方式为开标后资格审查；</w:t>
      </w:r>
    </w:p>
    <w:p w14:paraId="2DB643F3">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2、谈判小组按本公告第四、五条规定，对供应商提交的资格审查证明材料</w:t>
      </w:r>
      <w:r>
        <w:rPr>
          <w:rFonts w:hint="eastAsia"/>
        </w:rPr>
        <w:t>采用合格制方法进行资格审查</w:t>
      </w:r>
      <w:r>
        <w:rPr>
          <w:rFonts w:hint="eastAsia" w:asciiTheme="minorEastAsia" w:hAnsiTheme="minorEastAsia" w:eastAsiaTheme="minorEastAsia"/>
          <w:szCs w:val="21"/>
        </w:rPr>
        <w:t>。</w:t>
      </w:r>
    </w:p>
    <w:p w14:paraId="48C7B5D1">
      <w:pPr>
        <w:adjustRightInd w:val="0"/>
        <w:snapToGrid w:val="0"/>
        <w:spacing w:line="360" w:lineRule="auto"/>
        <w:ind w:firstLine="420" w:firstLineChars="200"/>
        <w:rPr>
          <w:b/>
        </w:rPr>
      </w:pPr>
      <w:r>
        <w:rPr>
          <w:rFonts w:hint="eastAsia" w:asciiTheme="minorEastAsia" w:hAnsiTheme="minorEastAsia" w:eastAsiaTheme="minorEastAsia"/>
          <w:szCs w:val="21"/>
        </w:rPr>
        <w:t>3、未通过资格审查的供应商，采购人、采购代理机构应当及时告知其未通过的原因。</w:t>
      </w:r>
    </w:p>
    <w:p w14:paraId="6BFDF005">
      <w:pPr>
        <w:adjustRightInd w:val="0"/>
        <w:snapToGrid w:val="0"/>
        <w:spacing w:line="360" w:lineRule="auto"/>
        <w:rPr>
          <w:rFonts w:asciiTheme="minorEastAsia" w:hAnsiTheme="minorEastAsia" w:eastAsiaTheme="minorEastAsia"/>
          <w:szCs w:val="21"/>
        </w:rPr>
      </w:pPr>
      <w:r>
        <w:rPr>
          <w:rFonts w:hint="eastAsia"/>
          <w:b/>
        </w:rPr>
        <w:t>七、获取谈判文件的时间、地点及方式</w:t>
      </w:r>
    </w:p>
    <w:p w14:paraId="30A1DB39">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有意参加投标者，自公告发布之日起至投标截止时间止，在娄底市公共资源交易中心官网获取招标文件；</w:t>
      </w:r>
    </w:p>
    <w:p w14:paraId="08DCDC2A">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☑本项目实行电子交易，有意参加投标者，在娄底市公共资源交易中心获取电子版招标文件；</w:t>
      </w:r>
    </w:p>
    <w:p w14:paraId="5E40F116">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□本项目进行资格预审，招标文件将向所有通过资格预审的供应商提供；</w:t>
      </w:r>
    </w:p>
    <w:p w14:paraId="74C7D1B0">
      <w:pPr>
        <w:adjustRightInd w:val="0"/>
        <w:snapToGrid w:val="0"/>
        <w:spacing w:line="360" w:lineRule="auto"/>
        <w:rPr>
          <w:rFonts w:asciiTheme="minorEastAsia" w:hAnsiTheme="minorEastAsia" w:eastAsiaTheme="minorEastAsia"/>
          <w:szCs w:val="21"/>
        </w:rPr>
      </w:pPr>
      <w:bookmarkStart w:id="25" w:name="_Toc22657515"/>
      <w:bookmarkStart w:id="26" w:name="_Toc34637817"/>
      <w:r>
        <w:rPr>
          <w:rFonts w:hint="eastAsia"/>
          <w:b/>
        </w:rPr>
        <w:t>八、</w:t>
      </w:r>
      <w:bookmarkEnd w:id="25"/>
      <w:bookmarkEnd w:id="26"/>
      <w:r>
        <w:rPr>
          <w:rFonts w:hint="eastAsia"/>
          <w:b/>
        </w:rPr>
        <w:t>提交首次响应文件的截止时间、谈判时间及地点</w:t>
      </w:r>
    </w:p>
    <w:p w14:paraId="0E3A68DC">
      <w:pPr>
        <w:adjustRightInd w:val="0"/>
        <w:snapToGrid w:val="0"/>
        <w:spacing w:line="360"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1、</w:t>
      </w:r>
      <w:r>
        <w:rPr>
          <w:rStyle w:val="278"/>
          <w:rFonts w:asciiTheme="minorEastAsia" w:hAnsiTheme="minorEastAsia" w:eastAsiaTheme="minorEastAsia"/>
          <w:color w:val="000000"/>
          <w:szCs w:val="21"/>
        </w:rPr>
        <w:t>本招标项目采用电子化招标采购，请投标人使用企业数字证书（key）登录娄底市公共资源交易中心网站（http://ldggzy.hnloudi.gov.cn/）点击公告中的申请电子保函/保证金账号或者登陆后选择项目按照页面提示网上投标，下载招标资料（电子招标文件为gef格式）、项目投标的壳文件和加密程序，申请和查询电子保函/保证金账号，网上递交电子投标文件。</w:t>
      </w:r>
      <w:r>
        <w:rPr>
          <w:rStyle w:val="278"/>
          <w:rFonts w:hint="eastAsia" w:asciiTheme="minorEastAsia" w:hAnsiTheme="minorEastAsia" w:eastAsiaTheme="minorEastAsia"/>
          <w:color w:val="000000"/>
          <w:szCs w:val="21"/>
          <w:lang w:val="en-US" w:eastAsia="zh-CN"/>
        </w:rPr>
        <w:t xml:space="preserve">  </w:t>
      </w:r>
    </w:p>
    <w:p w14:paraId="0D3D8F1A">
      <w:pPr>
        <w:adjustRightInd w:val="0"/>
        <w:snapToGrid w:val="0"/>
        <w:spacing w:line="360" w:lineRule="auto"/>
        <w:ind w:left="315" w:leftChars="150" w:firstLine="105" w:firstLineChars="50"/>
        <w:rPr>
          <w:rFonts w:asciiTheme="minorEastAsia" w:hAnsiTheme="minorEastAsia" w:eastAsiaTheme="minorEastAsia"/>
          <w:szCs w:val="21"/>
        </w:rPr>
      </w:pPr>
      <w:r>
        <w:rPr>
          <w:rFonts w:hint="eastAsia" w:asciiTheme="minorEastAsia" w:hAnsiTheme="minorEastAsia" w:eastAsiaTheme="minorEastAsia"/>
          <w:szCs w:val="21"/>
        </w:rPr>
        <w:t>2、</w:t>
      </w:r>
      <w:r>
        <w:rPr>
          <w:rStyle w:val="278"/>
          <w:rFonts w:asciiTheme="minorEastAsia" w:hAnsiTheme="minorEastAsia" w:eastAsiaTheme="minorEastAsia"/>
          <w:color w:val="000000"/>
          <w:szCs w:val="21"/>
        </w:rPr>
        <w:t>电子投标文件递交的截止时间（即投标截止时间，下同）及开标时间为</w:t>
      </w:r>
      <w:r>
        <w:rPr>
          <w:rStyle w:val="48"/>
          <w:rFonts w:hint="eastAsia" w:cs="宋体" w:asciiTheme="minorEastAsia" w:hAnsiTheme="minorEastAsia" w:eastAsiaTheme="minorEastAsia"/>
          <w:color w:val="000000"/>
          <w:szCs w:val="21"/>
        </w:rPr>
        <w:t>202</w:t>
      </w:r>
      <w:r>
        <w:rPr>
          <w:rStyle w:val="48"/>
          <w:rFonts w:hint="eastAsia" w:cs="宋体" w:asciiTheme="minorEastAsia" w:hAnsiTheme="minorEastAsia" w:eastAsiaTheme="minorEastAsia"/>
          <w:color w:val="000000"/>
          <w:szCs w:val="21"/>
          <w:lang w:val="en-US" w:eastAsia="zh-CN"/>
        </w:rPr>
        <w:t>6</w:t>
      </w:r>
      <w:r>
        <w:rPr>
          <w:rStyle w:val="48"/>
          <w:rFonts w:cs="宋体" w:asciiTheme="minorEastAsia" w:hAnsiTheme="minorEastAsia" w:eastAsiaTheme="minorEastAsia"/>
          <w:color w:val="000000"/>
          <w:szCs w:val="21"/>
        </w:rPr>
        <w:t>年</w:t>
      </w:r>
      <w:r>
        <w:rPr>
          <w:rStyle w:val="48"/>
          <w:rFonts w:hint="eastAsia" w:cs="宋体" w:asciiTheme="minorEastAsia" w:hAnsiTheme="minorEastAsia" w:eastAsiaTheme="minorEastAsia"/>
          <w:color w:val="000000"/>
          <w:szCs w:val="21"/>
          <w:lang w:val="en-US" w:eastAsia="zh-CN"/>
        </w:rPr>
        <w:t xml:space="preserve"> </w:t>
      </w:r>
      <w:r>
        <w:rPr>
          <w:rStyle w:val="48"/>
          <w:rFonts w:hint="eastAsia" w:cs="宋体" w:asciiTheme="minorEastAsia" w:hAnsiTheme="minorEastAsia" w:eastAsiaTheme="minorEastAsia"/>
          <w:color w:val="000000"/>
          <w:szCs w:val="21"/>
          <w:u w:val="single"/>
          <w:lang w:val="en-US" w:eastAsia="zh-CN"/>
        </w:rPr>
        <w:t>9</w:t>
      </w:r>
      <w:r>
        <w:rPr>
          <w:rStyle w:val="48"/>
          <w:rFonts w:cs="宋体" w:asciiTheme="minorEastAsia" w:hAnsiTheme="minorEastAsia" w:eastAsiaTheme="minorEastAsia"/>
          <w:color w:val="000000"/>
          <w:szCs w:val="21"/>
        </w:rPr>
        <w:t>月</w:t>
      </w:r>
      <w:r>
        <w:rPr>
          <w:rStyle w:val="48"/>
          <w:rFonts w:hint="eastAsia" w:cs="宋体" w:asciiTheme="minorEastAsia" w:hAnsiTheme="minorEastAsia" w:eastAsiaTheme="minorEastAsia"/>
          <w:color w:val="000000"/>
          <w:szCs w:val="21"/>
          <w:u w:val="single"/>
          <w:lang w:val="en-US" w:eastAsia="zh-CN"/>
        </w:rPr>
        <w:t xml:space="preserve"> 15 </w:t>
      </w:r>
      <w:r>
        <w:rPr>
          <w:rStyle w:val="48"/>
          <w:rFonts w:cs="宋体" w:asciiTheme="minorEastAsia" w:hAnsiTheme="minorEastAsia" w:eastAsiaTheme="minorEastAsia"/>
          <w:color w:val="000000"/>
          <w:szCs w:val="21"/>
        </w:rPr>
        <w:t>日</w:t>
      </w:r>
      <w:r>
        <w:rPr>
          <w:rStyle w:val="48"/>
          <w:rFonts w:hint="eastAsia" w:cs="宋体" w:asciiTheme="minorEastAsia" w:hAnsiTheme="minorEastAsia" w:eastAsiaTheme="minorEastAsia"/>
          <w:color w:val="000000"/>
          <w:szCs w:val="21"/>
          <w:u w:val="single"/>
          <w:lang w:val="en-US" w:eastAsia="zh-CN"/>
        </w:rPr>
        <w:t>9</w:t>
      </w:r>
      <w:r>
        <w:rPr>
          <w:rStyle w:val="48"/>
          <w:rFonts w:cs="宋体" w:asciiTheme="minorEastAsia" w:hAnsiTheme="minorEastAsia" w:eastAsiaTheme="minorEastAsia"/>
          <w:color w:val="000000"/>
          <w:szCs w:val="21"/>
        </w:rPr>
        <w:t>时</w:t>
      </w:r>
      <w:r>
        <w:rPr>
          <w:rStyle w:val="48"/>
          <w:rFonts w:hint="eastAsia" w:cs="宋体" w:asciiTheme="minorEastAsia" w:hAnsiTheme="minorEastAsia" w:eastAsiaTheme="minorEastAsia"/>
          <w:color w:val="000000"/>
          <w:szCs w:val="21"/>
          <w:u w:val="single"/>
          <w:lang w:val="en-US" w:eastAsia="zh-CN"/>
        </w:rPr>
        <w:t>00</w:t>
      </w:r>
      <w:r>
        <w:rPr>
          <w:rStyle w:val="48"/>
          <w:rFonts w:cs="宋体" w:asciiTheme="minorEastAsia" w:hAnsiTheme="minorEastAsia" w:eastAsiaTheme="minorEastAsia"/>
          <w:color w:val="000000"/>
          <w:szCs w:val="21"/>
        </w:rPr>
        <w:t>分</w:t>
      </w:r>
      <w:r>
        <w:rPr>
          <w:rStyle w:val="278"/>
          <w:rFonts w:hint="eastAsia" w:asciiTheme="minorEastAsia" w:hAnsiTheme="minorEastAsia" w:eastAsiaTheme="minorEastAsia"/>
          <w:color w:val="000000"/>
          <w:szCs w:val="21"/>
        </w:rPr>
        <w:t>。</w:t>
      </w:r>
    </w:p>
    <w:p w14:paraId="2AC1DFED">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Style w:val="48"/>
          <w:rFonts w:cs="宋体" w:asciiTheme="minorEastAsia" w:hAnsiTheme="minorEastAsia" w:eastAsiaTheme="minorEastAsia"/>
          <w:color w:val="000000"/>
          <w:szCs w:val="21"/>
        </w:rPr>
        <w:t>解密时间：</w:t>
      </w:r>
      <w:r>
        <w:rPr>
          <w:rStyle w:val="48"/>
          <w:rFonts w:hint="eastAsia" w:cs="宋体" w:asciiTheme="minorEastAsia" w:hAnsiTheme="minorEastAsia" w:eastAsiaTheme="minorEastAsia"/>
          <w:color w:val="000000"/>
          <w:szCs w:val="21"/>
        </w:rPr>
        <w:t>202</w:t>
      </w:r>
      <w:r>
        <w:rPr>
          <w:rStyle w:val="48"/>
          <w:rFonts w:hint="eastAsia" w:cs="宋体" w:asciiTheme="minorEastAsia" w:hAnsiTheme="minorEastAsia" w:eastAsiaTheme="minorEastAsia"/>
          <w:color w:val="000000"/>
          <w:szCs w:val="21"/>
          <w:lang w:val="en-US" w:eastAsia="zh-CN"/>
        </w:rPr>
        <w:t>6</w:t>
      </w:r>
      <w:r>
        <w:rPr>
          <w:rStyle w:val="48"/>
          <w:rFonts w:cs="宋体" w:asciiTheme="minorEastAsia" w:hAnsiTheme="minorEastAsia" w:eastAsiaTheme="minorEastAsia"/>
          <w:color w:val="000000"/>
          <w:szCs w:val="21"/>
        </w:rPr>
        <w:t>年</w:t>
      </w:r>
      <w:r>
        <w:rPr>
          <w:rStyle w:val="48"/>
          <w:rFonts w:hint="eastAsia" w:cs="宋体" w:asciiTheme="minorEastAsia" w:hAnsiTheme="minorEastAsia" w:eastAsiaTheme="minorEastAsia"/>
          <w:color w:val="000000"/>
          <w:szCs w:val="21"/>
          <w:u w:val="single"/>
        </w:rPr>
        <w:t xml:space="preserve"> </w:t>
      </w:r>
      <w:r>
        <w:rPr>
          <w:rStyle w:val="48"/>
          <w:rFonts w:hint="eastAsia" w:cs="宋体" w:asciiTheme="minorEastAsia" w:hAnsiTheme="minorEastAsia" w:eastAsiaTheme="minorEastAsia"/>
          <w:color w:val="000000"/>
          <w:szCs w:val="21"/>
          <w:u w:val="single"/>
          <w:lang w:val="en-US" w:eastAsia="zh-CN"/>
        </w:rPr>
        <w:t>9</w:t>
      </w:r>
      <w:r>
        <w:rPr>
          <w:rStyle w:val="48"/>
          <w:rFonts w:hint="eastAsia" w:cs="宋体" w:asciiTheme="minorEastAsia" w:hAnsiTheme="minorEastAsia" w:eastAsiaTheme="minorEastAsia"/>
          <w:color w:val="000000"/>
          <w:szCs w:val="21"/>
          <w:u w:val="single"/>
        </w:rPr>
        <w:t xml:space="preserve"> </w:t>
      </w:r>
      <w:r>
        <w:rPr>
          <w:rStyle w:val="48"/>
          <w:rFonts w:cs="宋体" w:asciiTheme="minorEastAsia" w:hAnsiTheme="minorEastAsia" w:eastAsiaTheme="minorEastAsia"/>
          <w:color w:val="000000"/>
          <w:szCs w:val="21"/>
        </w:rPr>
        <w:t>月</w:t>
      </w:r>
      <w:r>
        <w:rPr>
          <w:rStyle w:val="48"/>
          <w:rFonts w:hint="eastAsia" w:cs="宋体" w:asciiTheme="minorEastAsia" w:hAnsiTheme="minorEastAsia" w:eastAsiaTheme="minorEastAsia"/>
          <w:color w:val="000000"/>
          <w:szCs w:val="21"/>
          <w:u w:val="single"/>
          <w:lang w:val="en-US" w:eastAsia="zh-CN"/>
        </w:rPr>
        <w:t xml:space="preserve"> 15 </w:t>
      </w:r>
      <w:r>
        <w:rPr>
          <w:rStyle w:val="48"/>
          <w:rFonts w:cs="宋体" w:asciiTheme="minorEastAsia" w:hAnsiTheme="minorEastAsia" w:eastAsiaTheme="minorEastAsia"/>
          <w:color w:val="000000"/>
          <w:szCs w:val="21"/>
        </w:rPr>
        <w:t>日</w:t>
      </w:r>
      <w:r>
        <w:rPr>
          <w:rStyle w:val="48"/>
          <w:rFonts w:hint="eastAsia" w:cs="宋体" w:asciiTheme="minorEastAsia" w:hAnsiTheme="minorEastAsia" w:eastAsiaTheme="minorEastAsia"/>
          <w:color w:val="000000"/>
          <w:szCs w:val="21"/>
          <w:u w:val="single"/>
          <w:lang w:val="en-US" w:eastAsia="zh-CN"/>
        </w:rPr>
        <w:t>9</w:t>
      </w:r>
      <w:r>
        <w:rPr>
          <w:rStyle w:val="48"/>
          <w:rFonts w:cs="宋体" w:asciiTheme="minorEastAsia" w:hAnsiTheme="minorEastAsia" w:eastAsiaTheme="minorEastAsia"/>
          <w:color w:val="000000"/>
          <w:szCs w:val="21"/>
        </w:rPr>
        <w:t>时</w:t>
      </w:r>
      <w:r>
        <w:rPr>
          <w:rStyle w:val="48"/>
          <w:rFonts w:hint="eastAsia" w:cs="宋体" w:asciiTheme="minorEastAsia" w:hAnsiTheme="minorEastAsia" w:eastAsiaTheme="minorEastAsia"/>
          <w:color w:val="000000"/>
          <w:szCs w:val="21"/>
          <w:u w:val="single"/>
          <w:lang w:val="en-US" w:eastAsia="zh-CN"/>
        </w:rPr>
        <w:t>30</w:t>
      </w:r>
      <w:r>
        <w:rPr>
          <w:rStyle w:val="48"/>
          <w:rFonts w:cs="宋体" w:asciiTheme="minorEastAsia" w:hAnsiTheme="minorEastAsia" w:eastAsiaTheme="minorEastAsia"/>
          <w:color w:val="000000"/>
          <w:szCs w:val="21"/>
        </w:rPr>
        <w:t>分（投标截止时间后30分</w:t>
      </w:r>
      <w:r>
        <w:rPr>
          <w:rStyle w:val="278"/>
          <w:rFonts w:asciiTheme="minorEastAsia" w:hAnsiTheme="minorEastAsia" w:eastAsiaTheme="minorEastAsia"/>
          <w:color w:val="000000"/>
          <w:szCs w:val="21"/>
        </w:rPr>
        <w:t>钟），请投标人确保投标文件如期解密。</w:t>
      </w:r>
    </w:p>
    <w:p w14:paraId="12EE1424">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w:t>
      </w:r>
      <w:r>
        <w:rPr>
          <w:rStyle w:val="278"/>
          <w:rFonts w:asciiTheme="minorEastAsia" w:hAnsiTheme="minorEastAsia" w:eastAsiaTheme="minorEastAsia"/>
          <w:color w:val="000000"/>
          <w:szCs w:val="21"/>
        </w:rPr>
        <w:t>电子投标文件制作工具（金润投标人工具箱）和操作说明书请在该项目资料中下载。</w:t>
      </w:r>
    </w:p>
    <w:p w14:paraId="08E5898A">
      <w:pPr>
        <w:adjustRightInd w:val="0"/>
        <w:snapToGrid w:val="0"/>
        <w:spacing w:line="360" w:lineRule="auto"/>
        <w:ind w:firstLine="420" w:firstLineChars="200"/>
        <w:rPr>
          <w:rFonts w:asciiTheme="minorEastAsia" w:hAnsiTheme="minorEastAsia" w:eastAsiaTheme="minorEastAsia"/>
          <w:szCs w:val="21"/>
        </w:rPr>
      </w:pPr>
      <w:r>
        <w:rPr>
          <w:rStyle w:val="278"/>
          <w:rFonts w:asciiTheme="minorEastAsia" w:hAnsiTheme="minorEastAsia" w:eastAsiaTheme="minorEastAsia"/>
          <w:color w:val="000000"/>
          <w:szCs w:val="21"/>
        </w:rPr>
        <w:t>（1）请各投标人一定要提前熟悉系统操作和软件操作，电子投标文件为gef格式。如因不会操作所造成的投标失败或损失由投标人自行负责。</w:t>
      </w:r>
    </w:p>
    <w:p w14:paraId="1C62B90A">
      <w:pPr>
        <w:adjustRightInd w:val="0"/>
        <w:snapToGrid w:val="0"/>
        <w:spacing w:line="360" w:lineRule="auto"/>
        <w:ind w:firstLine="420" w:firstLineChars="200"/>
        <w:rPr>
          <w:rFonts w:asciiTheme="minorEastAsia" w:hAnsiTheme="minorEastAsia" w:eastAsiaTheme="minorEastAsia"/>
          <w:szCs w:val="21"/>
        </w:rPr>
      </w:pPr>
      <w:r>
        <w:rPr>
          <w:rStyle w:val="278"/>
          <w:rFonts w:asciiTheme="minorEastAsia" w:hAnsiTheme="minorEastAsia" w:eastAsiaTheme="minorEastAsia"/>
          <w:color w:val="000000"/>
          <w:szCs w:val="21"/>
        </w:rPr>
        <w:t>（2）由于对网上招投标操作不熟悉或自身电脑、个</w:t>
      </w:r>
      <w:bookmarkStart w:id="522" w:name="_GoBack"/>
      <w:bookmarkEnd w:id="522"/>
      <w:r>
        <w:rPr>
          <w:rStyle w:val="278"/>
          <w:rFonts w:asciiTheme="minorEastAsia" w:hAnsiTheme="minorEastAsia" w:eastAsiaTheme="minorEastAsia"/>
          <w:color w:val="000000"/>
          <w:szCs w:val="21"/>
        </w:rPr>
        <w:t>人网络等原因导致不能在投标截止时间之前完成投标文件上传的，予以拒收，相应责任由投标人自行承担。在使用系统过程中有疑问或困难请及时进行咨询。</w:t>
      </w:r>
    </w:p>
    <w:p w14:paraId="0A45FC19">
      <w:pPr>
        <w:adjustRightInd w:val="0"/>
        <w:snapToGrid w:val="0"/>
        <w:spacing w:line="360" w:lineRule="auto"/>
        <w:ind w:firstLine="420" w:firstLineChars="200"/>
        <w:rPr>
          <w:rFonts w:ascii="宋体" w:hAnsi="宋体"/>
          <w:szCs w:val="21"/>
        </w:rPr>
      </w:pPr>
      <w:r>
        <w:rPr>
          <w:rStyle w:val="278"/>
          <w:rFonts w:asciiTheme="minorEastAsia" w:hAnsiTheme="minorEastAsia" w:eastAsiaTheme="minorEastAsia"/>
          <w:color w:val="000000"/>
          <w:szCs w:val="21"/>
        </w:rPr>
        <w:t>（3）投标人自行完成投标文件解密，因投标人自身原因未在规定时间内完成解密或无法解密的投标文件视为撤销其投标文件，相应责任由投标人自行承担。</w:t>
      </w:r>
    </w:p>
    <w:p w14:paraId="24889482">
      <w:pPr>
        <w:adjustRightInd w:val="0"/>
        <w:snapToGrid w:val="0"/>
        <w:spacing w:line="360" w:lineRule="auto"/>
        <w:ind w:firstLine="420" w:firstLineChars="200"/>
        <w:rPr>
          <w:rFonts w:ascii="宋体" w:hAnsi="宋体"/>
          <w:szCs w:val="21"/>
        </w:rPr>
      </w:pPr>
      <w:r>
        <w:rPr>
          <w:rFonts w:hint="eastAsia" w:ascii="宋体" w:hAnsi="宋体"/>
          <w:szCs w:val="21"/>
        </w:rPr>
        <w:t>5、谈判时间：</w:t>
      </w:r>
      <w:r>
        <w:rPr>
          <w:rFonts w:hint="eastAsia" w:asciiTheme="minorEastAsia" w:hAnsiTheme="minorEastAsia" w:eastAsiaTheme="minorEastAsia"/>
          <w:szCs w:val="21"/>
          <w:u w:val="single"/>
        </w:rPr>
        <w:t>网上通知为准；</w:t>
      </w:r>
    </w:p>
    <w:p w14:paraId="50DEE01D">
      <w:pPr>
        <w:adjustRightInd w:val="0"/>
        <w:snapToGrid w:val="0"/>
        <w:spacing w:line="360" w:lineRule="auto"/>
        <w:rPr>
          <w:b/>
        </w:rPr>
      </w:pPr>
      <w:r>
        <w:rPr>
          <w:rFonts w:hint="eastAsia"/>
          <w:b/>
        </w:rPr>
        <w:t>九、</w:t>
      </w:r>
      <w:r>
        <w:rPr>
          <w:rFonts w:hint="eastAsia" w:ascii="黑体" w:hAnsi="黑体" w:eastAsia="黑体"/>
          <w:b/>
          <w:bCs/>
          <w:sz w:val="24"/>
          <w:szCs w:val="32"/>
        </w:rPr>
        <w:t>公告期限</w:t>
      </w:r>
    </w:p>
    <w:p w14:paraId="7C9BE921">
      <w:pPr>
        <w:adjustRightInd w:val="0"/>
        <w:snapToGrid w:val="0"/>
        <w:spacing w:line="360" w:lineRule="auto"/>
        <w:ind w:firstLine="420" w:firstLineChars="200"/>
        <w:rPr>
          <w:rStyle w:val="278"/>
          <w:rFonts w:cs="宋体" w:asciiTheme="minorEastAsia" w:hAnsiTheme="minorEastAsia" w:eastAsiaTheme="minorEastAsia"/>
          <w:color w:val="000000"/>
          <w:szCs w:val="21"/>
        </w:rPr>
      </w:pPr>
      <w:r>
        <w:rPr>
          <w:rStyle w:val="278"/>
          <w:rFonts w:hint="eastAsia" w:cs="宋体" w:asciiTheme="minorEastAsia" w:hAnsiTheme="minorEastAsia" w:eastAsiaTheme="minorEastAsia"/>
          <w:color w:val="000000"/>
          <w:szCs w:val="21"/>
        </w:rPr>
        <w:t>1、本邀请公告在中国湖南政府采购网（www.ccgp-hunan.gov.cn）和娄底市公共资源交易网上发布。公告期限从本公告发布之日起3个工作日。</w:t>
      </w:r>
    </w:p>
    <w:p w14:paraId="5FB8F628">
      <w:pPr>
        <w:adjustRightInd w:val="0"/>
        <w:snapToGrid w:val="0"/>
        <w:spacing w:line="360" w:lineRule="auto"/>
        <w:ind w:firstLine="420" w:firstLineChars="200"/>
        <w:rPr>
          <w:rStyle w:val="278"/>
          <w:rFonts w:cs="宋体" w:asciiTheme="minorEastAsia" w:hAnsiTheme="minorEastAsia" w:eastAsiaTheme="minorEastAsia"/>
          <w:color w:val="000000"/>
          <w:szCs w:val="21"/>
        </w:rPr>
      </w:pPr>
      <w:r>
        <w:rPr>
          <w:rStyle w:val="278"/>
          <w:rFonts w:hint="eastAsia" w:cs="宋体" w:asciiTheme="minorEastAsia" w:hAnsiTheme="minorEastAsia" w:eastAsiaTheme="minorEastAsia"/>
          <w:color w:val="000000"/>
          <w:szCs w:val="21"/>
        </w:rPr>
        <w:t>2、在其他媒体发布的邀请公告，公告内容以本公告为准。</w:t>
      </w:r>
    </w:p>
    <w:p w14:paraId="141336CE">
      <w:pPr>
        <w:adjustRightInd w:val="0"/>
        <w:snapToGrid w:val="0"/>
        <w:spacing w:line="360" w:lineRule="auto"/>
        <w:rPr>
          <w:rFonts w:asciiTheme="minorEastAsia" w:hAnsiTheme="minorEastAsia"/>
          <w:szCs w:val="21"/>
        </w:rPr>
      </w:pPr>
      <w:r>
        <w:rPr>
          <w:rFonts w:hint="eastAsia"/>
          <w:b/>
        </w:rPr>
        <w:t>十、询问及质疑</w:t>
      </w:r>
    </w:p>
    <w:p w14:paraId="1AFCB711">
      <w:pPr>
        <w:adjustRightInd w:val="0"/>
        <w:snapToGrid w:val="0"/>
        <w:spacing w:line="360" w:lineRule="auto"/>
        <w:ind w:firstLine="420" w:firstLineChars="200"/>
        <w:rPr>
          <w:rFonts w:asciiTheme="minorEastAsia" w:hAnsiTheme="minorEastAsia" w:eastAsiaTheme="minorEastAsia"/>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59665B8D">
      <w:pPr>
        <w:adjustRightInd w:val="0"/>
        <w:snapToGrid w:val="0"/>
        <w:spacing w:line="360" w:lineRule="auto"/>
        <w:ind w:firstLine="420" w:firstLineChars="200"/>
        <w:rPr>
          <w:rFonts w:asciiTheme="minorEastAsia" w:hAnsiTheme="minorEastAsia" w:eastAsiaTheme="minorEastAsia"/>
          <w:szCs w:val="21"/>
        </w:rPr>
      </w:pPr>
      <w:r>
        <w:rPr>
          <w:rFonts w:hint="eastAsia"/>
        </w:rPr>
        <w:t>2、</w:t>
      </w:r>
      <w:r>
        <w:rPr>
          <w:rFonts w:hint="eastAsia" w:ascii="宋体" w:hAnsi="宋体"/>
          <w:szCs w:val="21"/>
        </w:rPr>
        <w:t>供应商认为谈判文件或本公告使自己的合法权益受到损害的，可以在收到谈判文件之日或本公告期限届满之日起7个工作日内，按《湖南省财政厅关于印发＜</w:t>
      </w:r>
      <w:bookmarkStart w:id="27" w:name="OLE_LINK1"/>
      <w:bookmarkStart w:id="28" w:name="OLE_LINK2"/>
      <w:r>
        <w:rPr>
          <w:rFonts w:hint="eastAsia" w:ascii="宋体" w:hAnsi="宋体"/>
          <w:szCs w:val="21"/>
        </w:rPr>
        <w:t>政府采购质疑答复和投诉处理操作规程</w:t>
      </w:r>
      <w:bookmarkEnd w:id="27"/>
      <w:bookmarkEnd w:id="28"/>
      <w:r>
        <w:rPr>
          <w:rFonts w:hint="eastAsia" w:ascii="宋体" w:hAnsi="宋体"/>
          <w:szCs w:val="21"/>
        </w:rPr>
        <w:t>＞的通知》(湘财购〔2024〕67号)规定，以纸质书面形式向采购人、采购代理机构提出质疑</w:t>
      </w:r>
      <w:r>
        <w:rPr>
          <w:rFonts w:hint="eastAsia"/>
        </w:rPr>
        <w:t>。</w:t>
      </w:r>
    </w:p>
    <w:p w14:paraId="2CA87E69">
      <w:pPr>
        <w:adjustRightInd w:val="0"/>
        <w:snapToGrid w:val="0"/>
        <w:spacing w:line="360" w:lineRule="auto"/>
        <w:rPr>
          <w:rFonts w:asciiTheme="minorEastAsia" w:hAnsiTheme="minorEastAsia" w:eastAsiaTheme="minorEastAsia"/>
          <w:szCs w:val="21"/>
        </w:rPr>
      </w:pPr>
      <w:bookmarkStart w:id="29" w:name="_Toc34637820"/>
      <w:bookmarkStart w:id="30" w:name="_Toc22657517"/>
      <w:r>
        <w:rPr>
          <w:rFonts w:hint="eastAsia"/>
          <w:b/>
        </w:rPr>
        <w:t>十一、</w:t>
      </w:r>
      <w:bookmarkEnd w:id="29"/>
      <w:bookmarkEnd w:id="30"/>
      <w:r>
        <w:rPr>
          <w:rFonts w:hint="eastAsia"/>
          <w:b/>
        </w:rPr>
        <w:t>谈判说明</w:t>
      </w:r>
    </w:p>
    <w:p w14:paraId="22143588">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szCs w:val="21"/>
        </w:rPr>
      </w:pPr>
      <w:r>
        <w:rPr>
          <w:rFonts w:hint="eastAsia" w:ascii="宋体" w:hAnsi="宋体"/>
          <w:szCs w:val="21"/>
        </w:rPr>
        <w:t>1、谈判邀请选项：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0D0DAC94">
      <w:pPr>
        <w:adjustRightInd w:val="0"/>
        <w:snapToGrid w:val="0"/>
        <w:spacing w:line="360" w:lineRule="auto"/>
        <w:ind w:firstLine="420" w:firstLineChars="200"/>
        <w:rPr>
          <w:rFonts w:asciiTheme="minorEastAsia" w:hAnsiTheme="minorEastAsia" w:eastAsiaTheme="minorEastAsia"/>
          <w:szCs w:val="21"/>
        </w:rPr>
      </w:pPr>
      <w:r>
        <w:rPr>
          <w:rFonts w:hint="eastAsia" w:ascii="宋体" w:hAnsi="宋体"/>
          <w:szCs w:val="21"/>
        </w:rPr>
        <w:t>2、供应商参与政府采购活动，无需向采购人、代理机构、交易平台缴纳任何费用。</w:t>
      </w:r>
    </w:p>
    <w:p w14:paraId="0D1FD2C6">
      <w:pPr>
        <w:adjustRightInd w:val="0"/>
        <w:snapToGrid w:val="0"/>
        <w:spacing w:line="360" w:lineRule="auto"/>
        <w:rPr>
          <w:rFonts w:asciiTheme="minorEastAsia" w:hAnsiTheme="minorEastAsia" w:eastAsiaTheme="minorEastAsia"/>
          <w:szCs w:val="21"/>
        </w:rPr>
      </w:pPr>
      <w:bookmarkStart w:id="31" w:name="_Toc22657518"/>
      <w:bookmarkStart w:id="32" w:name="_Toc34637821"/>
      <w:r>
        <w:rPr>
          <w:rFonts w:hint="eastAsia"/>
          <w:b/>
        </w:rPr>
        <w:t>十二、</w:t>
      </w:r>
      <w:bookmarkEnd w:id="31"/>
      <w:bookmarkEnd w:id="32"/>
      <w:r>
        <w:rPr>
          <w:rFonts w:hint="eastAsia" w:asciiTheme="minorEastAsia" w:hAnsiTheme="minorEastAsia" w:eastAsiaTheme="minorEastAsia"/>
          <w:b/>
          <w:bCs/>
          <w:szCs w:val="21"/>
        </w:rPr>
        <w:t>其他补充事宜</w:t>
      </w:r>
    </w:p>
    <w:p w14:paraId="7BF3C6F6">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宋体" w:hAnsi="宋体" w:cs="宋体"/>
          <w:szCs w:val="21"/>
          <w:shd w:val="clear" w:color="auto" w:fill="FFFFFF"/>
        </w:rPr>
        <w:t>实行网上不见面报价，具体操作流程如下：投标单位开标解密之后，会进入到开标大厅，开标大厅右下角有一个二次报价的按钮，点击按钮可进入到二次报价的界面。等专家设置报价时间后，请在规定时间内上传二次报价以及二次报价的pdf文件。代理公司会联系投标单位递交的投标文件中预留的项目负责人电话，提醒投标单位及时报价，请投标单位保持电话畅通。因投标人自身原因未进行二次报价的，责任由投标人承担。</w:t>
      </w:r>
    </w:p>
    <w:p w14:paraId="08303C6E">
      <w:pPr>
        <w:adjustRightInd w:val="0"/>
        <w:snapToGrid w:val="0"/>
        <w:spacing w:line="360" w:lineRule="auto"/>
        <w:ind w:firstLine="420" w:firstLineChars="200"/>
        <w:rPr>
          <w:rFonts w:asciiTheme="minorEastAsia" w:hAnsiTheme="minorEastAsia"/>
          <w:szCs w:val="21"/>
        </w:rPr>
      </w:pPr>
      <w:r>
        <w:rPr>
          <w:rFonts w:hint="eastAsia" w:asciiTheme="minorEastAsia" w:hAnsiTheme="minorEastAsia" w:eastAsiaTheme="minorEastAsia"/>
          <w:szCs w:val="21"/>
        </w:rPr>
        <w:t>2、</w:t>
      </w:r>
      <w:r>
        <w:rPr>
          <w:rFonts w:hint="eastAsia" w:ascii="宋体" w:hAnsi="宋体" w:cs="宋体"/>
          <w:szCs w:val="21"/>
          <w:shd w:val="clear" w:color="auto" w:fill="FFFFFF"/>
        </w:rPr>
        <w:t>请使用IE浏览器，并做好网络运行环境检测（投标人工具箱中有）；</w:t>
      </w:r>
    </w:p>
    <w:p w14:paraId="76350FA3">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请各潜在供应商在响应文件中提供真实有效的联系人及联系电话。评标委员会按供应商提交的电子投标文件进行评审，资料的真实性、合法性由供应商负责，如有虚假，已中标的将取消中标资格，并依法追究相应责任。</w:t>
      </w:r>
    </w:p>
    <w:p w14:paraId="0A6FD5CE">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w:t>
      </w:r>
      <w:r>
        <w:rPr>
          <w:rStyle w:val="278"/>
          <w:rFonts w:hint="eastAsia" w:ascii="宋体" w:hAnsi="宋体"/>
        </w:rPr>
        <w:t>评标时可以进行线上实时谈判和澄清说明，谈判与澄清说明方式相同；</w:t>
      </w:r>
    </w:p>
    <w:p w14:paraId="00337DA3">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w:t>
      </w:r>
      <w:r>
        <w:rPr>
          <w:rStyle w:val="278"/>
          <w:rFonts w:hint="eastAsia" w:ascii="宋体" w:hAnsi="宋体"/>
        </w:rPr>
        <w:t>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63ECB013">
      <w:pPr>
        <w:keepNext/>
        <w:keepLines/>
        <w:adjustRightInd w:val="0"/>
        <w:snapToGrid w:val="0"/>
        <w:spacing w:line="360" w:lineRule="auto"/>
        <w:rPr>
          <w:rFonts w:ascii="黑体" w:hAnsi="黑体" w:eastAsia="黑体"/>
          <w:b/>
          <w:bCs/>
          <w:sz w:val="24"/>
          <w:szCs w:val="32"/>
        </w:rPr>
      </w:pPr>
      <w:bookmarkStart w:id="33" w:name="_Toc14183"/>
      <w:bookmarkStart w:id="34" w:name="_Toc22657519"/>
      <w:bookmarkStart w:id="35" w:name="_Toc34637822"/>
      <w:r>
        <w:rPr>
          <w:rFonts w:hint="eastAsia" w:ascii="黑体" w:hAnsi="黑体" w:eastAsia="黑体"/>
          <w:b/>
          <w:bCs/>
          <w:sz w:val="24"/>
          <w:szCs w:val="21"/>
        </w:rPr>
        <w:t>十三、采购项目联系人姓名和电话</w:t>
      </w:r>
      <w:bookmarkEnd w:id="33"/>
    </w:p>
    <w:p w14:paraId="4E3A1182">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szCs w:val="21"/>
        </w:rPr>
        <w:t>1、联系人姓名：</w:t>
      </w:r>
      <w:r>
        <w:rPr>
          <w:rFonts w:hint="eastAsia" w:ascii="宋体" w:hAnsi="宋体"/>
          <w:szCs w:val="21"/>
          <w:lang w:val="en-US" w:eastAsia="zh-CN"/>
        </w:rPr>
        <w:t>邹女士</w:t>
      </w:r>
    </w:p>
    <w:p w14:paraId="2DB5AEE7">
      <w:pPr>
        <w:adjustRightInd w:val="0"/>
        <w:snapToGrid w:val="0"/>
        <w:spacing w:line="360" w:lineRule="auto"/>
        <w:ind w:firstLine="420" w:firstLineChars="200"/>
        <w:rPr>
          <w:rFonts w:hint="eastAsia" w:eastAsia="宋体" w:cs="宋体"/>
          <w:b/>
          <w:kern w:val="0"/>
          <w:lang w:eastAsia="zh-CN"/>
        </w:rPr>
      </w:pPr>
      <w:r>
        <w:rPr>
          <w:rFonts w:hint="eastAsia" w:ascii="宋体" w:hAnsi="宋体"/>
          <w:szCs w:val="21"/>
        </w:rPr>
        <w:t>2、电话：</w:t>
      </w:r>
      <w:r>
        <w:rPr>
          <w:rFonts w:hint="eastAsia" w:ascii="宋体" w:hAnsi="宋体"/>
          <w:szCs w:val="21"/>
          <w:lang w:val="en-US" w:eastAsia="zh-CN"/>
        </w:rPr>
        <w:t>13875473270</w:t>
      </w:r>
    </w:p>
    <w:p w14:paraId="29677DB4">
      <w:pPr>
        <w:adjustRightInd w:val="0"/>
        <w:snapToGrid w:val="0"/>
        <w:spacing w:line="360" w:lineRule="auto"/>
        <w:rPr>
          <w:rFonts w:ascii="黑体" w:hAnsi="黑体" w:eastAsia="黑体"/>
          <w:b/>
          <w:bCs/>
          <w:sz w:val="24"/>
          <w:szCs w:val="21"/>
        </w:rPr>
      </w:pPr>
      <w:r>
        <w:rPr>
          <w:rFonts w:hint="eastAsia" w:cs="宋体"/>
          <w:b/>
          <w:kern w:val="0"/>
        </w:rPr>
        <w:t>十四、</w:t>
      </w:r>
      <w:bookmarkEnd w:id="34"/>
      <w:bookmarkEnd w:id="35"/>
      <w:r>
        <w:rPr>
          <w:rFonts w:hint="eastAsia" w:ascii="黑体" w:hAnsi="黑体" w:eastAsia="黑体"/>
          <w:b/>
          <w:bCs/>
          <w:sz w:val="24"/>
          <w:szCs w:val="21"/>
        </w:rPr>
        <w:t>采购人、采购代理机构的名称、地址和联系方法</w:t>
      </w:r>
    </w:p>
    <w:p w14:paraId="155A8C07">
      <w:pPr>
        <w:adjustRightInd w:val="0"/>
        <w:snapToGrid w:val="0"/>
        <w:spacing w:line="360" w:lineRule="auto"/>
        <w:ind w:firstLine="420" w:firstLineChars="200"/>
        <w:rPr>
          <w:rFonts w:ascii="宋体" w:hAnsi="宋体" w:cs="宋体"/>
        </w:rPr>
      </w:pPr>
      <w:r>
        <w:rPr>
          <w:rFonts w:hint="eastAsia" w:ascii="宋体" w:hAnsi="宋体" w:cs="宋体"/>
        </w:rPr>
        <w:t>1、采购人信息</w:t>
      </w:r>
    </w:p>
    <w:p w14:paraId="6A5F3E74">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szCs w:val="21"/>
        </w:rPr>
        <w:t>名称：</w:t>
      </w:r>
      <w:r>
        <w:rPr>
          <w:rFonts w:hint="eastAsia" w:ascii="宋体" w:hAnsi="宋体"/>
          <w:szCs w:val="21"/>
          <w:lang w:eastAsia="zh-CN"/>
        </w:rPr>
        <w:t>新化县农业农村局</w:t>
      </w:r>
    </w:p>
    <w:p w14:paraId="15818108">
      <w:pPr>
        <w:adjustRightInd w:val="0"/>
        <w:snapToGrid w:val="0"/>
        <w:spacing w:line="360" w:lineRule="auto"/>
        <w:ind w:firstLine="420" w:firstLineChars="200"/>
        <w:rPr>
          <w:rFonts w:ascii="宋体" w:hAnsi="宋体" w:cs="宋体"/>
        </w:rPr>
      </w:pPr>
      <w:r>
        <w:rPr>
          <w:rFonts w:hint="eastAsia" w:ascii="宋体" w:hAnsi="宋体" w:cs="宋体"/>
        </w:rPr>
        <w:t>地址：</w:t>
      </w:r>
      <w:r>
        <w:rPr>
          <w:rFonts w:hint="eastAsia" w:ascii="宋体" w:hAnsi="宋体" w:cs="宋体"/>
          <w:bCs/>
          <w:szCs w:val="21"/>
          <w:lang w:eastAsia="zh-CN"/>
        </w:rPr>
        <w:t>新化县</w:t>
      </w:r>
      <w:r>
        <w:rPr>
          <w:rFonts w:hint="eastAsia" w:asciiTheme="minorEastAsia" w:hAnsiTheme="minorEastAsia" w:eastAsiaTheme="minorEastAsia"/>
          <w:lang w:val="en-US" w:eastAsia="zh-CN"/>
        </w:rPr>
        <w:t>梅苑北</w:t>
      </w:r>
      <w:r>
        <w:rPr>
          <w:rFonts w:hint="eastAsia" w:asciiTheme="minorEastAsia" w:hAnsiTheme="minorEastAsia" w:eastAsiaTheme="minorEastAsia"/>
        </w:rPr>
        <w:t>路</w:t>
      </w:r>
    </w:p>
    <w:p w14:paraId="421F57F0">
      <w:pPr>
        <w:adjustRightInd w:val="0"/>
        <w:snapToGrid w:val="0"/>
        <w:spacing w:line="360" w:lineRule="auto"/>
        <w:ind w:firstLine="420" w:firstLineChars="200"/>
        <w:rPr>
          <w:rFonts w:hint="default" w:ascii="宋体" w:hAnsi="宋体" w:eastAsia="宋体" w:cs="宋体"/>
          <w:lang w:val="en-US" w:eastAsia="zh-CN"/>
        </w:rPr>
      </w:pPr>
      <w:r>
        <w:rPr>
          <w:rFonts w:hint="eastAsia" w:ascii="宋体" w:hAnsi="宋体" w:cs="宋体"/>
        </w:rPr>
        <w:t>联系人：</w:t>
      </w:r>
      <w:r>
        <w:rPr>
          <w:rFonts w:hint="eastAsia" w:ascii="宋体" w:hAnsi="宋体" w:cs="宋体"/>
          <w:lang w:val="en-US" w:eastAsia="zh-CN"/>
        </w:rPr>
        <w:t>邹女士</w:t>
      </w:r>
    </w:p>
    <w:p w14:paraId="44BAA823">
      <w:pPr>
        <w:adjustRightInd w:val="0"/>
        <w:snapToGrid w:val="0"/>
        <w:spacing w:line="360" w:lineRule="auto"/>
        <w:ind w:firstLine="420" w:firstLineChars="200"/>
        <w:rPr>
          <w:rFonts w:ascii="宋体" w:hAnsi="宋体"/>
          <w:szCs w:val="21"/>
        </w:rPr>
      </w:pPr>
      <w:r>
        <w:rPr>
          <w:rFonts w:hint="eastAsia" w:ascii="宋体" w:hAnsi="宋体"/>
          <w:szCs w:val="21"/>
        </w:rPr>
        <w:t>邮编：417600</w:t>
      </w:r>
    </w:p>
    <w:p w14:paraId="489C658C">
      <w:pPr>
        <w:adjustRightInd w:val="0"/>
        <w:snapToGrid w:val="0"/>
        <w:spacing w:line="360" w:lineRule="auto"/>
        <w:ind w:firstLine="420" w:firstLineChars="200"/>
        <w:rPr>
          <w:rFonts w:hint="eastAsia" w:ascii="宋体" w:hAnsi="宋体"/>
          <w:szCs w:val="21"/>
        </w:rPr>
      </w:pPr>
      <w:r>
        <w:rPr>
          <w:rFonts w:hint="eastAsia" w:ascii="宋体" w:hAnsi="宋体" w:cs="宋体"/>
        </w:rPr>
        <w:t>电</w:t>
      </w:r>
      <w:r>
        <w:rPr>
          <w:rFonts w:hint="eastAsia" w:ascii="宋体" w:hAnsi="宋体"/>
          <w:szCs w:val="21"/>
        </w:rPr>
        <w:t>话：</w:t>
      </w:r>
      <w:r>
        <w:rPr>
          <w:rFonts w:hint="eastAsia" w:ascii="宋体" w:hAnsi="宋体"/>
          <w:szCs w:val="21"/>
          <w:lang w:val="en-US" w:eastAsia="zh-CN"/>
        </w:rPr>
        <w:t>13875473270</w:t>
      </w:r>
    </w:p>
    <w:p w14:paraId="4171A04B">
      <w:pPr>
        <w:adjustRightInd w:val="0"/>
        <w:snapToGrid w:val="0"/>
        <w:spacing w:line="360" w:lineRule="auto"/>
        <w:ind w:firstLine="420" w:firstLineChars="200"/>
        <w:rPr>
          <w:rFonts w:asciiTheme="minorEastAsia" w:hAnsiTheme="minorEastAsia" w:eastAsiaTheme="minorEastAsia" w:cstheme="minorEastAsia"/>
          <w:bCs/>
        </w:rPr>
      </w:pPr>
      <w:r>
        <w:rPr>
          <w:rFonts w:hint="eastAsia" w:asciiTheme="minorEastAsia" w:hAnsiTheme="minorEastAsia" w:eastAsiaTheme="minorEastAsia" w:cstheme="minorEastAsia"/>
          <w:bCs/>
        </w:rPr>
        <w:t>电子邮箱：/</w:t>
      </w:r>
    </w:p>
    <w:p w14:paraId="6ED43E70">
      <w:pPr>
        <w:numPr>
          <w:ilvl w:val="0"/>
          <w:numId w:val="1"/>
        </w:numPr>
        <w:adjustRightInd w:val="0"/>
        <w:snapToGrid w:val="0"/>
        <w:spacing w:line="360" w:lineRule="auto"/>
        <w:ind w:firstLine="420" w:firstLineChars="200"/>
        <w:rPr>
          <w:rFonts w:asciiTheme="minorEastAsia" w:hAnsiTheme="minorEastAsia" w:eastAsiaTheme="minorEastAsia" w:cstheme="minorEastAsia"/>
          <w:bCs/>
        </w:rPr>
      </w:pPr>
      <w:r>
        <w:rPr>
          <w:rFonts w:hint="eastAsia" w:asciiTheme="minorEastAsia" w:hAnsiTheme="minorEastAsia" w:eastAsiaTheme="minorEastAsia" w:cstheme="minorEastAsia"/>
          <w:bCs/>
        </w:rPr>
        <w:t>采购代理机构信息</w:t>
      </w:r>
    </w:p>
    <w:p w14:paraId="2102C952">
      <w:pPr>
        <w:adjustRightInd w:val="0"/>
        <w:snapToGrid w:val="0"/>
        <w:spacing w:line="360" w:lineRule="auto"/>
        <w:ind w:firstLine="420" w:firstLineChars="200"/>
        <w:rPr>
          <w:rFonts w:hint="eastAsia" w:asciiTheme="minorEastAsia" w:hAnsiTheme="minorEastAsia" w:eastAsiaTheme="minorEastAsia" w:cstheme="minorEastAsia"/>
          <w:bCs/>
          <w:lang w:eastAsia="zh-CN"/>
        </w:rPr>
      </w:pPr>
      <w:r>
        <w:rPr>
          <w:rFonts w:hint="eastAsia" w:asciiTheme="minorEastAsia" w:hAnsiTheme="minorEastAsia" w:eastAsiaTheme="minorEastAsia" w:cstheme="minorEastAsia"/>
        </w:rPr>
        <w:t>名称：</w:t>
      </w:r>
      <w:r>
        <w:rPr>
          <w:rFonts w:hint="eastAsia" w:asciiTheme="minorEastAsia" w:hAnsiTheme="minorEastAsia" w:eastAsiaTheme="minorEastAsia" w:cstheme="minorEastAsia"/>
          <w:lang w:eastAsia="zh-CN"/>
        </w:rPr>
        <w:t>湖南智立方工程项目管理有限公司</w:t>
      </w:r>
    </w:p>
    <w:p w14:paraId="79CE4A18">
      <w:pPr>
        <w:adjustRightInd w:val="0"/>
        <w:snapToGrid w:val="0"/>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地  址：长沙市天心区书院南路423号乾城嘉园1栋10层1001  </w:t>
      </w:r>
    </w:p>
    <w:p w14:paraId="6EECD04A">
      <w:pPr>
        <w:adjustRightInd w:val="0"/>
        <w:snapToGrid w:val="0"/>
        <w:spacing w:line="360" w:lineRule="auto"/>
        <w:ind w:firstLine="420" w:firstLineChars="20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联系人：</w:t>
      </w:r>
      <w:r>
        <w:rPr>
          <w:rFonts w:hint="eastAsia" w:asciiTheme="minorEastAsia" w:hAnsiTheme="minorEastAsia" w:eastAsiaTheme="minorEastAsia" w:cstheme="minorEastAsia"/>
          <w:lang w:val="en-US" w:eastAsia="zh-CN"/>
        </w:rPr>
        <w:t>李丽</w:t>
      </w:r>
    </w:p>
    <w:p w14:paraId="19E270FF">
      <w:pPr>
        <w:adjustRightInd w:val="0"/>
        <w:snapToGrid w:val="0"/>
        <w:spacing w:line="360" w:lineRule="auto"/>
        <w:ind w:firstLine="420" w:firstLineChars="200"/>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邮编：</w:t>
      </w:r>
      <w:r>
        <w:rPr>
          <w:rFonts w:hint="eastAsia" w:asciiTheme="minorEastAsia" w:hAnsiTheme="minorEastAsia" w:eastAsiaTheme="minorEastAsia" w:cstheme="minorEastAsia"/>
          <w:lang w:val="en-US" w:eastAsia="zh-CN"/>
        </w:rPr>
        <w:t>417000</w:t>
      </w:r>
    </w:p>
    <w:p w14:paraId="04C7A9B6">
      <w:pPr>
        <w:adjustRightInd w:val="0"/>
        <w:snapToGrid w:val="0"/>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电  话：13786871007   </w:t>
      </w:r>
    </w:p>
    <w:p w14:paraId="6AC1A779">
      <w:pPr>
        <w:adjustRightInd w:val="0"/>
        <w:snapToGrid w:val="0"/>
        <w:spacing w:line="360" w:lineRule="auto"/>
        <w:ind w:firstLine="420" w:firstLineChars="200"/>
        <w:rPr>
          <w:rFonts w:cs="宋体" w:asciiTheme="minorEastAsia" w:hAnsiTheme="minorEastAsia" w:eastAsiaTheme="minorEastAsia"/>
        </w:rPr>
      </w:pPr>
      <w:r>
        <w:rPr>
          <w:rFonts w:hint="eastAsia" w:cs="宋体" w:asciiTheme="minorEastAsia" w:hAnsiTheme="minorEastAsia" w:eastAsiaTheme="minorEastAsia"/>
        </w:rPr>
        <w:t>电子邮箱：480605@qq.com</w:t>
      </w:r>
    </w:p>
    <w:p w14:paraId="121FA4BD">
      <w:pPr>
        <w:adjustRightInd w:val="0"/>
        <w:snapToGrid w:val="0"/>
        <w:spacing w:line="360" w:lineRule="auto"/>
        <w:ind w:firstLine="420" w:firstLineChars="200"/>
        <w:rPr>
          <w:rFonts w:cs="宋体" w:asciiTheme="minorEastAsia" w:hAnsiTheme="minorEastAsia" w:eastAsiaTheme="minorEastAsia"/>
        </w:rPr>
      </w:pPr>
      <w:r>
        <w:rPr>
          <w:rFonts w:hint="eastAsia" w:cs="宋体" w:asciiTheme="minorEastAsia" w:hAnsiTheme="minorEastAsia" w:eastAsiaTheme="minorEastAsia"/>
        </w:rPr>
        <w:t>3、电子交易平台服务机构信息</w:t>
      </w:r>
    </w:p>
    <w:p w14:paraId="6FB78E6F">
      <w:pPr>
        <w:adjustRightInd w:val="0"/>
        <w:snapToGrid w:val="0"/>
        <w:spacing w:line="360" w:lineRule="auto"/>
        <w:ind w:firstLine="420" w:firstLineChars="2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rPr>
        <w:t>名称</w:t>
      </w:r>
      <w:r>
        <w:rPr>
          <w:rFonts w:hint="eastAsia" w:cs="宋体" w:asciiTheme="minorEastAsia" w:hAnsiTheme="minorEastAsia" w:eastAsiaTheme="minorEastAsia"/>
          <w:color w:val="000000" w:themeColor="text1"/>
          <w14:textFill>
            <w14:solidFill>
              <w14:schemeClr w14:val="tx1"/>
            </w14:solidFill>
          </w14:textFill>
        </w:rPr>
        <w:t>：娄底市公共资源交易中心</w:t>
      </w:r>
    </w:p>
    <w:p w14:paraId="6DAEB427">
      <w:pPr>
        <w:adjustRightInd w:val="0"/>
        <w:snapToGrid w:val="0"/>
        <w:spacing w:line="360" w:lineRule="auto"/>
        <w:ind w:firstLine="420" w:firstLineChars="200"/>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联系人：金润软件</w:t>
      </w:r>
    </w:p>
    <w:p w14:paraId="4D57D3B3">
      <w:pPr>
        <w:adjustRightInd w:val="0"/>
        <w:snapToGrid w:val="0"/>
        <w:spacing w:line="360" w:lineRule="auto"/>
        <w:ind w:firstLine="420" w:firstLineChars="200"/>
        <w:rPr>
          <w:rFonts w:hint="default" w:cs="宋体" w:asciiTheme="minorEastAsia" w:hAnsiTheme="minorEastAsia" w:eastAsiaTheme="minorEastAsia"/>
          <w:color w:val="000000" w:themeColor="text1"/>
          <w:lang w:val="en-US" w:eastAsia="zh-CN"/>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电话：</w:t>
      </w:r>
      <w:bookmarkEnd w:id="11"/>
      <w:bookmarkStart w:id="36" w:name="_Toc18863"/>
      <w:bookmarkStart w:id="37" w:name="_Toc34637762"/>
      <w:r>
        <w:rPr>
          <w:rFonts w:hint="eastAsia" w:cs="宋体" w:asciiTheme="minorEastAsia" w:hAnsiTheme="minorEastAsia" w:eastAsiaTheme="minorEastAsia"/>
          <w:color w:val="000000" w:themeColor="text1"/>
          <w:lang w:val="en-US" w:eastAsia="zh-CN"/>
          <w14:textFill>
            <w14:solidFill>
              <w14:schemeClr w14:val="tx1"/>
            </w14:solidFill>
          </w14:textFill>
        </w:rPr>
        <w:t xml:space="preserve">0738-6371199    </w:t>
      </w:r>
      <w:r>
        <w:rPr>
          <w:rFonts w:hint="eastAsia" w:cs="宋体" w:asciiTheme="minorEastAsia" w:hAnsiTheme="minorEastAsia" w:eastAsiaTheme="minorEastAsia"/>
          <w:color w:val="000000" w:themeColor="text1"/>
          <w14:textFill>
            <w14:solidFill>
              <w14:schemeClr w14:val="tx1"/>
            </w14:solidFill>
          </w14:textFill>
        </w:rPr>
        <w:t>400</w:t>
      </w:r>
      <w:r>
        <w:rPr>
          <w:rFonts w:hint="eastAsia" w:cs="宋体" w:asciiTheme="minorEastAsia" w:hAnsiTheme="minorEastAsia" w:eastAsiaTheme="minorEastAsia"/>
          <w:color w:val="000000" w:themeColor="text1"/>
          <w:lang w:val="en-US" w:eastAsia="zh-CN"/>
          <w14:textFill>
            <w14:solidFill>
              <w14:schemeClr w14:val="tx1"/>
            </w14:solidFill>
          </w14:textFill>
        </w:rPr>
        <w:t>9269966</w:t>
      </w:r>
    </w:p>
    <w:p w14:paraId="0AC8D704">
      <w:pPr>
        <w:adjustRightInd w:val="0"/>
        <w:snapToGrid w:val="0"/>
        <w:spacing w:line="360" w:lineRule="auto"/>
        <w:ind w:firstLine="420" w:firstLineChars="200"/>
        <w:rPr>
          <w:rFonts w:ascii="黑体" w:hAnsi="黑体" w:eastAsia="黑体"/>
          <w:b/>
          <w:sz w:val="32"/>
          <w:szCs w:val="32"/>
        </w:rPr>
      </w:pPr>
      <w:r>
        <w:rPr>
          <w:rFonts w:hint="eastAsia" w:cs="宋体" w:asciiTheme="minorEastAsia" w:hAnsiTheme="minorEastAsia" w:eastAsiaTheme="minorEastAsia"/>
        </w:rPr>
        <w:t>电子邮箱：2159511823@qq.com</w:t>
      </w:r>
      <w:r>
        <w:rPr>
          <w:rFonts w:hint="eastAsia" w:ascii="黑体" w:hAnsi="黑体" w:eastAsia="黑体"/>
          <w:b/>
          <w:sz w:val="32"/>
          <w:szCs w:val="32"/>
        </w:rPr>
        <w:br w:type="page"/>
      </w:r>
    </w:p>
    <w:p w14:paraId="0462A9AD">
      <w:pPr>
        <w:jc w:val="center"/>
        <w:outlineLvl w:val="0"/>
        <w:rPr>
          <w:rFonts w:ascii="黑体" w:hAnsi="黑体" w:eastAsia="黑体"/>
          <w:b/>
          <w:sz w:val="32"/>
          <w:szCs w:val="32"/>
        </w:rPr>
      </w:pPr>
      <w:bookmarkStart w:id="38" w:name="_Toc145373997"/>
      <w:bookmarkStart w:id="39" w:name="_Toc1036"/>
      <w:bookmarkStart w:id="40" w:name="_Toc22204"/>
      <w:bookmarkStart w:id="41" w:name="_Toc5884"/>
      <w:bookmarkStart w:id="42" w:name="_Toc27924"/>
      <w:bookmarkStart w:id="43" w:name="_Toc23493"/>
      <w:bookmarkStart w:id="44" w:name="_Toc209084325"/>
      <w:r>
        <w:rPr>
          <w:rFonts w:hint="eastAsia" w:ascii="黑体" w:hAnsi="黑体" w:eastAsia="黑体"/>
          <w:b/>
          <w:sz w:val="32"/>
          <w:szCs w:val="32"/>
        </w:rPr>
        <w:t>第二章 谈判须知</w:t>
      </w:r>
      <w:bookmarkEnd w:id="36"/>
      <w:bookmarkEnd w:id="37"/>
      <w:bookmarkEnd w:id="38"/>
      <w:bookmarkEnd w:id="39"/>
      <w:bookmarkEnd w:id="40"/>
      <w:bookmarkEnd w:id="41"/>
      <w:bookmarkEnd w:id="42"/>
      <w:bookmarkEnd w:id="43"/>
      <w:bookmarkEnd w:id="44"/>
    </w:p>
    <w:p w14:paraId="622E138C">
      <w:pPr>
        <w:jc w:val="center"/>
        <w:outlineLvl w:val="1"/>
        <w:rPr>
          <w:rFonts w:ascii="黑体" w:hAnsi="黑体" w:eastAsia="黑体"/>
          <w:b/>
          <w:sz w:val="28"/>
          <w:szCs w:val="28"/>
        </w:rPr>
      </w:pPr>
      <w:bookmarkStart w:id="45" w:name="_Toc9587"/>
      <w:bookmarkStart w:id="46" w:name="_Toc13611"/>
      <w:bookmarkStart w:id="47" w:name="_Toc14754"/>
      <w:bookmarkStart w:id="48" w:name="_Toc145373998"/>
      <w:bookmarkStart w:id="49" w:name="_Toc209084326"/>
      <w:bookmarkStart w:id="50" w:name="_Toc20051"/>
      <w:bookmarkStart w:id="51" w:name="_Toc34637763"/>
      <w:bookmarkStart w:id="52" w:name="_Toc5612"/>
      <w:bookmarkStart w:id="53" w:name="_Toc571"/>
      <w:r>
        <w:rPr>
          <w:rFonts w:hint="eastAsia" w:ascii="黑体" w:hAnsi="黑体" w:eastAsia="黑体"/>
          <w:b/>
          <w:sz w:val="28"/>
          <w:szCs w:val="28"/>
        </w:rPr>
        <w:t>第一节 谈判须知前附表</w:t>
      </w:r>
      <w:bookmarkEnd w:id="45"/>
      <w:bookmarkEnd w:id="46"/>
      <w:bookmarkEnd w:id="47"/>
      <w:bookmarkEnd w:id="48"/>
      <w:bookmarkEnd w:id="49"/>
      <w:bookmarkEnd w:id="50"/>
      <w:bookmarkEnd w:id="51"/>
      <w:bookmarkEnd w:id="52"/>
      <w:bookmarkEnd w:id="53"/>
    </w:p>
    <w:tbl>
      <w:tblPr>
        <w:tblStyle w:val="45"/>
        <w:tblW w:w="863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97"/>
        <w:gridCol w:w="2126"/>
        <w:gridCol w:w="5307"/>
      </w:tblGrid>
      <w:tr w14:paraId="61657B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197" w:type="dxa"/>
            <w:vAlign w:val="center"/>
          </w:tcPr>
          <w:p w14:paraId="046F40E5">
            <w:pPr>
              <w:adjustRightInd w:val="0"/>
              <w:snapToGrid w:val="0"/>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条款号</w:t>
            </w:r>
          </w:p>
        </w:tc>
        <w:tc>
          <w:tcPr>
            <w:tcW w:w="2126" w:type="dxa"/>
            <w:vAlign w:val="center"/>
          </w:tcPr>
          <w:p w14:paraId="2C8F84BF">
            <w:pPr>
              <w:adjustRightInd w:val="0"/>
              <w:snapToGrid w:val="0"/>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条款名称</w:t>
            </w:r>
          </w:p>
        </w:tc>
        <w:tc>
          <w:tcPr>
            <w:tcW w:w="5307" w:type="dxa"/>
            <w:vAlign w:val="center"/>
          </w:tcPr>
          <w:p w14:paraId="5D889C64">
            <w:pPr>
              <w:adjustRightInd w:val="0"/>
              <w:snapToGrid w:val="0"/>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编列内容规定</w:t>
            </w:r>
          </w:p>
        </w:tc>
      </w:tr>
      <w:tr w14:paraId="47004F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8630" w:type="dxa"/>
            <w:gridSpan w:val="3"/>
            <w:vAlign w:val="center"/>
          </w:tcPr>
          <w:p w14:paraId="4801BA88">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b/>
                <w:szCs w:val="21"/>
              </w:rPr>
              <w:t>一、说明</w:t>
            </w:r>
          </w:p>
        </w:tc>
      </w:tr>
      <w:tr w14:paraId="4C7F3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197" w:type="dxa"/>
            <w:vAlign w:val="center"/>
          </w:tcPr>
          <w:p w14:paraId="6A49979B">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第1.1款</w:t>
            </w:r>
          </w:p>
        </w:tc>
        <w:tc>
          <w:tcPr>
            <w:tcW w:w="2126" w:type="dxa"/>
            <w:vAlign w:val="center"/>
          </w:tcPr>
          <w:p w14:paraId="4DFB4A0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采购项目</w:t>
            </w:r>
          </w:p>
        </w:tc>
        <w:tc>
          <w:tcPr>
            <w:tcW w:w="5307" w:type="dxa"/>
            <w:vAlign w:val="center"/>
          </w:tcPr>
          <w:p w14:paraId="4EE2DE78">
            <w:pPr>
              <w:adjustRightInd w:val="0"/>
              <w:snapToGrid w:val="0"/>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新化县2026年“秋粮抗逆防灾”服务采购</w:t>
            </w:r>
          </w:p>
        </w:tc>
      </w:tr>
      <w:tr w14:paraId="57787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197" w:type="dxa"/>
            <w:vAlign w:val="center"/>
          </w:tcPr>
          <w:p w14:paraId="0CCC57CD">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第1.2款</w:t>
            </w:r>
          </w:p>
        </w:tc>
        <w:tc>
          <w:tcPr>
            <w:tcW w:w="2126" w:type="dxa"/>
            <w:vAlign w:val="center"/>
          </w:tcPr>
          <w:p w14:paraId="5B4BA1E4">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是否预留采购份额</w:t>
            </w:r>
          </w:p>
        </w:tc>
        <w:tc>
          <w:tcPr>
            <w:tcW w:w="5307" w:type="dxa"/>
            <w:vAlign w:val="center"/>
          </w:tcPr>
          <w:p w14:paraId="6CA03ACF">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否</w:t>
            </w:r>
          </w:p>
        </w:tc>
      </w:tr>
      <w:tr w14:paraId="3C6E9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73934C2B">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第2.1款</w:t>
            </w:r>
          </w:p>
        </w:tc>
        <w:tc>
          <w:tcPr>
            <w:tcW w:w="2126" w:type="dxa"/>
            <w:vAlign w:val="center"/>
          </w:tcPr>
          <w:p w14:paraId="349FD0E1">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采购项目联系人姓名和电话</w:t>
            </w:r>
          </w:p>
        </w:tc>
        <w:tc>
          <w:tcPr>
            <w:tcW w:w="5307" w:type="dxa"/>
            <w:vAlign w:val="center"/>
          </w:tcPr>
          <w:p w14:paraId="3B199AC2">
            <w:pPr>
              <w:adjustRightInd w:val="0"/>
              <w:snapToGrid w:val="0"/>
              <w:spacing w:line="360" w:lineRule="exact"/>
              <w:rPr>
                <w:rFonts w:hint="default" w:ascii="宋体" w:hAnsi="宋体" w:eastAsia="宋体"/>
                <w:szCs w:val="21"/>
                <w:lang w:val="en-US" w:eastAsia="zh-CN"/>
              </w:rPr>
            </w:pPr>
            <w:r>
              <w:rPr>
                <w:rFonts w:hint="eastAsia" w:ascii="宋体" w:hAnsi="宋体"/>
                <w:szCs w:val="21"/>
              </w:rPr>
              <w:t>姓名：</w:t>
            </w:r>
            <w:r>
              <w:rPr>
                <w:rFonts w:hint="eastAsia" w:ascii="宋体" w:hAnsi="宋体"/>
                <w:szCs w:val="21"/>
                <w:lang w:val="en-US" w:eastAsia="zh-CN"/>
              </w:rPr>
              <w:t>邹女士</w:t>
            </w:r>
          </w:p>
          <w:p w14:paraId="530D1B08">
            <w:pPr>
              <w:adjustRightInd w:val="0"/>
              <w:snapToGrid w:val="0"/>
              <w:spacing w:line="360" w:lineRule="exact"/>
              <w:rPr>
                <w:rFonts w:hint="default" w:eastAsia="宋体" w:asciiTheme="minorEastAsia" w:hAnsiTheme="minorEastAsia"/>
                <w:szCs w:val="21"/>
                <w:lang w:val="en-US" w:eastAsia="zh-CN"/>
              </w:rPr>
            </w:pPr>
            <w:r>
              <w:rPr>
                <w:rFonts w:hint="eastAsia" w:ascii="宋体" w:hAnsi="宋体"/>
                <w:szCs w:val="21"/>
              </w:rPr>
              <w:t>电话：</w:t>
            </w:r>
            <w:r>
              <w:rPr>
                <w:rFonts w:hint="eastAsia" w:ascii="宋体" w:hAnsi="宋体"/>
                <w:szCs w:val="21"/>
                <w:lang w:val="en-US" w:eastAsia="zh-CN"/>
              </w:rPr>
              <w:t>13875473270</w:t>
            </w:r>
          </w:p>
        </w:tc>
      </w:tr>
      <w:tr w14:paraId="2828B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6EF52A63">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第2.2款</w:t>
            </w:r>
          </w:p>
        </w:tc>
        <w:tc>
          <w:tcPr>
            <w:tcW w:w="2126" w:type="dxa"/>
            <w:vAlign w:val="center"/>
          </w:tcPr>
          <w:p w14:paraId="74203914">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采购人名称、地址、电话、联系人</w:t>
            </w:r>
          </w:p>
        </w:tc>
        <w:tc>
          <w:tcPr>
            <w:tcW w:w="5307" w:type="dxa"/>
            <w:vAlign w:val="center"/>
          </w:tcPr>
          <w:p w14:paraId="00DFD0C8">
            <w:pPr>
              <w:adjustRightInd w:val="0"/>
              <w:snapToGrid w:val="0"/>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采购人：</w:t>
            </w:r>
            <w:r>
              <w:rPr>
                <w:rFonts w:hint="eastAsia" w:asciiTheme="minorEastAsia" w:hAnsiTheme="minorEastAsia" w:eastAsiaTheme="minorEastAsia"/>
                <w:szCs w:val="21"/>
                <w:lang w:eastAsia="zh-CN"/>
              </w:rPr>
              <w:t>新化县农业农村局</w:t>
            </w:r>
          </w:p>
          <w:p w14:paraId="468E6197">
            <w:pPr>
              <w:adjustRightInd w:val="0"/>
              <w:snapToGrid w:val="0"/>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联系人：</w:t>
            </w:r>
            <w:r>
              <w:rPr>
                <w:rFonts w:hint="eastAsia" w:ascii="宋体" w:hAnsi="宋体"/>
                <w:szCs w:val="21"/>
                <w:lang w:val="en-US" w:eastAsia="zh-CN"/>
              </w:rPr>
              <w:t>邹女士</w:t>
            </w:r>
          </w:p>
          <w:p w14:paraId="26B91C0B">
            <w:pPr>
              <w:adjustRightInd w:val="0"/>
              <w:snapToGrid w:val="0"/>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电  话：</w:t>
            </w:r>
            <w:r>
              <w:rPr>
                <w:rFonts w:hint="eastAsia" w:ascii="宋体" w:hAnsi="宋体"/>
                <w:szCs w:val="21"/>
                <w:lang w:val="en-US" w:eastAsia="zh-CN"/>
              </w:rPr>
              <w:t>13875473270</w:t>
            </w:r>
          </w:p>
          <w:p w14:paraId="2FB8B5D1">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地  址：</w:t>
            </w:r>
            <w:r>
              <w:rPr>
                <w:rFonts w:hint="eastAsia" w:ascii="宋体" w:hAnsi="宋体" w:cs="宋体"/>
                <w:bCs/>
                <w:szCs w:val="21"/>
                <w:lang w:eastAsia="zh-CN"/>
              </w:rPr>
              <w:t>新化县</w:t>
            </w:r>
          </w:p>
        </w:tc>
      </w:tr>
      <w:tr w14:paraId="7EC49A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2C5679AC">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第2.3款</w:t>
            </w:r>
          </w:p>
        </w:tc>
        <w:tc>
          <w:tcPr>
            <w:tcW w:w="2126" w:type="dxa"/>
            <w:vAlign w:val="center"/>
          </w:tcPr>
          <w:p w14:paraId="50629F0F">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采购代理机构名称、地址、电话、联系人</w:t>
            </w:r>
          </w:p>
        </w:tc>
        <w:tc>
          <w:tcPr>
            <w:tcW w:w="5307" w:type="dxa"/>
            <w:vAlign w:val="center"/>
          </w:tcPr>
          <w:p w14:paraId="5FAABB4D">
            <w:pPr>
              <w:adjustRightInd w:val="0"/>
              <w:snapToGrid w:val="0"/>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采购代理机构：</w:t>
            </w:r>
            <w:r>
              <w:rPr>
                <w:rFonts w:hint="eastAsia" w:asciiTheme="minorEastAsia" w:hAnsiTheme="minorEastAsia" w:eastAsiaTheme="minorEastAsia"/>
                <w:szCs w:val="21"/>
                <w:lang w:eastAsia="zh-CN"/>
              </w:rPr>
              <w:t>湖南智立方工程项目管理有限公司</w:t>
            </w:r>
          </w:p>
          <w:p w14:paraId="5AF192AE">
            <w:pPr>
              <w:adjustRightInd w:val="0"/>
              <w:snapToGrid w:val="0"/>
              <w:spacing w:line="360" w:lineRule="exac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联系人：</w:t>
            </w:r>
            <w:r>
              <w:rPr>
                <w:rFonts w:hint="eastAsia" w:asciiTheme="minorEastAsia" w:hAnsiTheme="minorEastAsia" w:eastAsiaTheme="minorEastAsia"/>
                <w:szCs w:val="21"/>
                <w:lang w:val="en-US" w:eastAsia="zh-CN"/>
              </w:rPr>
              <w:t>李丽</w:t>
            </w:r>
          </w:p>
          <w:p w14:paraId="04D9D4A4">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电  话：</w:t>
            </w:r>
            <w:r>
              <w:rPr>
                <w:rFonts w:hint="eastAsia" w:asciiTheme="minorEastAsia" w:hAnsiTheme="minorEastAsia" w:eastAsiaTheme="minorEastAsia" w:cstheme="minorEastAsia"/>
              </w:rPr>
              <w:t>13786871007</w:t>
            </w:r>
            <w:r>
              <w:rPr>
                <w:rFonts w:hint="eastAsia" w:asciiTheme="minorEastAsia" w:hAnsiTheme="minorEastAsia" w:eastAsiaTheme="minorEastAsia"/>
                <w:szCs w:val="21"/>
              </w:rPr>
              <w:t xml:space="preserve">  </w:t>
            </w:r>
          </w:p>
          <w:p w14:paraId="3D7F4671">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地  址：</w:t>
            </w:r>
            <w:r>
              <w:rPr>
                <w:rFonts w:hint="eastAsia" w:asciiTheme="minorEastAsia" w:hAnsiTheme="minorEastAsia" w:eastAsiaTheme="minorEastAsia" w:cstheme="minorEastAsia"/>
              </w:rPr>
              <w:t xml:space="preserve">长沙市天心区书院南路423号乾城嘉园1栋10层1001 </w:t>
            </w:r>
          </w:p>
        </w:tc>
      </w:tr>
      <w:tr w14:paraId="702D1A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00" w:hRule="atLeast"/>
          <w:jc w:val="center"/>
        </w:trPr>
        <w:tc>
          <w:tcPr>
            <w:tcW w:w="1197" w:type="dxa"/>
            <w:tcBorders>
              <w:bottom w:val="single" w:color="auto" w:sz="4" w:space="0"/>
            </w:tcBorders>
            <w:vAlign w:val="center"/>
          </w:tcPr>
          <w:p w14:paraId="4BFFBC0F">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第3.1款</w:t>
            </w:r>
          </w:p>
        </w:tc>
        <w:tc>
          <w:tcPr>
            <w:tcW w:w="2126" w:type="dxa"/>
            <w:vAlign w:val="center"/>
          </w:tcPr>
          <w:p w14:paraId="0810E6C0">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bCs/>
                <w:szCs w:val="21"/>
              </w:rPr>
              <w:t>供应商</w:t>
            </w:r>
            <w:r>
              <w:rPr>
                <w:rFonts w:hint="eastAsia" w:asciiTheme="minorEastAsia" w:hAnsiTheme="minorEastAsia" w:eastAsiaTheme="minorEastAsia"/>
                <w:szCs w:val="21"/>
              </w:rPr>
              <w:t>资格条件</w:t>
            </w:r>
          </w:p>
        </w:tc>
        <w:tc>
          <w:tcPr>
            <w:tcW w:w="5307" w:type="dxa"/>
            <w:vAlign w:val="center"/>
          </w:tcPr>
          <w:p w14:paraId="2901F66A">
            <w:pPr>
              <w:spacing w:line="360" w:lineRule="exact"/>
              <w:rPr>
                <w:rStyle w:val="278"/>
                <w:rFonts w:ascii="宋体" w:hAnsi="宋体" w:cs="宋体"/>
                <w:b/>
                <w:bCs/>
                <w:szCs w:val="21"/>
              </w:rPr>
            </w:pPr>
            <w:r>
              <w:rPr>
                <w:rStyle w:val="278"/>
                <w:rFonts w:hint="eastAsia" w:ascii="宋体" w:hAnsi="宋体" w:cs="宋体"/>
                <w:b/>
                <w:bCs/>
                <w:szCs w:val="21"/>
              </w:rPr>
              <w:t>1、</w:t>
            </w:r>
            <w:r>
              <w:rPr>
                <w:rFonts w:hint="eastAsia" w:ascii="宋体" w:hAnsi="宋体" w:cs="宋体"/>
                <w:szCs w:val="21"/>
              </w:rPr>
              <w:t>满足《中华人民共和国政府采购法》第二十二条规定；</w:t>
            </w:r>
          </w:p>
          <w:p w14:paraId="612115C1">
            <w:pPr>
              <w:spacing w:line="360" w:lineRule="exact"/>
              <w:rPr>
                <w:rStyle w:val="278"/>
                <w:rFonts w:ascii="宋体" w:hAnsi="宋体" w:cs="宋体"/>
                <w:b/>
                <w:bCs/>
                <w:szCs w:val="21"/>
              </w:rPr>
            </w:pPr>
            <w:r>
              <w:rPr>
                <w:rStyle w:val="278"/>
                <w:rFonts w:hint="eastAsia" w:ascii="宋体" w:hAnsi="宋体" w:cs="宋体"/>
                <w:b/>
                <w:bCs/>
                <w:szCs w:val="21"/>
              </w:rPr>
              <w:t>2、</w:t>
            </w:r>
            <w:r>
              <w:rPr>
                <w:rFonts w:hint="eastAsia" w:ascii="宋体" w:hAnsi="宋体" w:cs="宋体"/>
                <w:szCs w:val="21"/>
              </w:rPr>
              <w:t>落实政府采购政策需满足的资格要求：</w:t>
            </w:r>
          </w:p>
          <w:p w14:paraId="37D4EF81">
            <w:pPr>
              <w:spacing w:line="360" w:lineRule="exact"/>
              <w:rPr>
                <w:rStyle w:val="278"/>
                <w:rFonts w:ascii="宋体" w:hAnsi="宋体" w:cs="宋体"/>
                <w:b/>
                <w:bCs/>
                <w:szCs w:val="21"/>
              </w:rPr>
            </w:pPr>
            <w:r>
              <w:rPr>
                <w:rFonts w:hint="eastAsia" w:ascii="宋体" w:hAnsi="宋体" w:cs="宋体"/>
                <w:iCs/>
                <w:szCs w:val="21"/>
              </w:rPr>
              <w:sym w:font="Wingdings" w:char="00A8"/>
            </w:r>
            <w:r>
              <w:rPr>
                <w:rFonts w:hint="eastAsia" w:ascii="宋体" w:hAnsi="宋体" w:cs="宋体"/>
                <w:iCs/>
                <w:szCs w:val="21"/>
              </w:rPr>
              <w:t>专门面向</w:t>
            </w:r>
            <w:r>
              <w:rPr>
                <w:rFonts w:hint="eastAsia" w:ascii="宋体" w:hAnsi="宋体" w:cs="宋体"/>
                <w:bCs/>
                <w:szCs w:val="21"/>
              </w:rPr>
              <w:t>：</w:t>
            </w:r>
            <w:r>
              <w:rPr>
                <w:rFonts w:hint="eastAsia" w:ascii="宋体" w:hAnsi="宋体" w:cs="宋体"/>
                <w:iCs/>
                <w:szCs w:val="21"/>
              </w:rPr>
              <w:sym w:font="Wingdings" w:char="00A8"/>
            </w:r>
            <w:r>
              <w:rPr>
                <w:rFonts w:hint="eastAsia" w:ascii="宋体" w:hAnsi="宋体" w:cs="宋体"/>
                <w:iCs/>
                <w:szCs w:val="21"/>
              </w:rPr>
              <w:t xml:space="preserve">中小企业  </w:t>
            </w:r>
            <w:r>
              <w:rPr>
                <w:rFonts w:hint="eastAsia" w:ascii="宋体" w:hAnsi="宋体" w:cs="宋体"/>
                <w:iCs/>
                <w:szCs w:val="21"/>
              </w:rPr>
              <w:sym w:font="Wingdings" w:char="00A8"/>
            </w:r>
            <w:r>
              <w:rPr>
                <w:rFonts w:hint="eastAsia" w:ascii="宋体" w:hAnsi="宋体" w:cs="宋体"/>
                <w:iCs/>
                <w:szCs w:val="21"/>
              </w:rPr>
              <w:t xml:space="preserve">小微企业 </w:t>
            </w:r>
            <w:r>
              <w:rPr>
                <w:rFonts w:hint="eastAsia" w:ascii="宋体" w:hAnsi="宋体" w:cs="宋体"/>
                <w:iCs/>
                <w:szCs w:val="21"/>
              </w:rPr>
              <w:sym w:font="Wingdings" w:char="00A8"/>
            </w:r>
            <w:r>
              <w:rPr>
                <w:rFonts w:hint="eastAsia" w:ascii="宋体" w:hAnsi="宋体" w:cs="宋体"/>
                <w:iCs/>
                <w:szCs w:val="21"/>
              </w:rPr>
              <w:t xml:space="preserve">监狱企业 </w:t>
            </w:r>
            <w:r>
              <w:rPr>
                <w:rFonts w:hint="eastAsia" w:ascii="宋体" w:hAnsi="宋体" w:cs="宋体"/>
                <w:iCs/>
                <w:szCs w:val="21"/>
              </w:rPr>
              <w:sym w:font="Wingdings" w:char="00A8"/>
            </w:r>
            <w:r>
              <w:rPr>
                <w:rFonts w:hint="eastAsia" w:ascii="宋体" w:hAnsi="宋体" w:cs="宋体"/>
                <w:iCs/>
                <w:szCs w:val="21"/>
              </w:rPr>
              <w:t>福利性单位。</w:t>
            </w:r>
          </w:p>
          <w:p w14:paraId="61C377C3">
            <w:pPr>
              <w:spacing w:line="360" w:lineRule="exact"/>
              <w:rPr>
                <w:rStyle w:val="278"/>
                <w:rFonts w:ascii="宋体" w:hAnsi="宋体" w:cs="宋体"/>
                <w:b/>
                <w:bCs/>
                <w:szCs w:val="21"/>
              </w:rPr>
            </w:pPr>
            <w:r>
              <w:rPr>
                <w:rFonts w:hint="eastAsia" w:ascii="宋体" w:hAnsi="宋体" w:cs="宋体"/>
                <w:iCs/>
                <w:szCs w:val="21"/>
              </w:rPr>
              <w:sym w:font="Wingdings" w:char="00A8"/>
            </w:r>
            <w:r>
              <w:rPr>
                <w:rFonts w:hint="eastAsia" w:ascii="宋体" w:hAnsi="宋体" w:cs="宋体"/>
                <w:iCs/>
                <w:szCs w:val="21"/>
              </w:rPr>
              <w:t>强制</w:t>
            </w:r>
            <w:r>
              <w:rPr>
                <w:rFonts w:hint="eastAsia" w:ascii="宋体" w:hAnsi="宋体" w:cs="宋体"/>
                <w:bCs/>
                <w:szCs w:val="21"/>
              </w:rPr>
              <w:t>分包：大型企业应将采购份额的</w:t>
            </w:r>
            <w:r>
              <w:rPr>
                <w:rFonts w:hint="eastAsia" w:ascii="宋体" w:hAnsi="宋体" w:cs="宋体"/>
                <w:bCs/>
                <w:szCs w:val="21"/>
                <w:u w:val="single"/>
              </w:rPr>
              <w:t xml:space="preserve"> / </w:t>
            </w:r>
            <w:r>
              <w:rPr>
                <w:rFonts w:hint="eastAsia" w:ascii="宋体" w:hAnsi="宋体" w:cs="宋体"/>
                <w:bCs/>
                <w:szCs w:val="21"/>
              </w:rPr>
              <w:t>%分包给中小企业。</w:t>
            </w:r>
          </w:p>
          <w:p w14:paraId="66BDC3DC">
            <w:pPr>
              <w:adjustRightInd w:val="0"/>
              <w:snapToGrid w:val="0"/>
              <w:spacing w:line="360" w:lineRule="exact"/>
              <w:rPr>
                <w:rFonts w:ascii="宋体" w:hAnsi="宋体" w:cs="宋体"/>
                <w:szCs w:val="21"/>
              </w:rPr>
            </w:pPr>
            <w:r>
              <w:rPr>
                <w:rStyle w:val="278"/>
                <w:rFonts w:hint="eastAsia" w:ascii="宋体" w:hAnsi="宋体" w:cs="宋体"/>
                <w:b/>
                <w:bCs/>
                <w:szCs w:val="21"/>
              </w:rPr>
              <w:t>3、本项目的特定资格要求：</w:t>
            </w:r>
            <w:r>
              <w:rPr>
                <w:rFonts w:hint="eastAsia" w:asciiTheme="minorEastAsia" w:hAnsiTheme="minorEastAsia" w:eastAsiaTheme="minorEastAsia"/>
                <w:szCs w:val="21"/>
                <w:lang w:val="en-US" w:eastAsia="zh-CN"/>
              </w:rPr>
              <w:t>无。</w:t>
            </w:r>
          </w:p>
          <w:p w14:paraId="3DB02E61">
            <w:pPr>
              <w:spacing w:line="360" w:lineRule="exact"/>
              <w:rPr>
                <w:rStyle w:val="278"/>
                <w:rFonts w:ascii="宋体" w:hAnsi="宋体" w:cs="宋体"/>
                <w:szCs w:val="21"/>
              </w:rPr>
            </w:pPr>
            <w:r>
              <w:rPr>
                <w:rStyle w:val="280"/>
                <w:rFonts w:hint="eastAsia" w:ascii="宋体" w:hAnsi="宋体" w:cs="宋体"/>
                <w:kern w:val="0"/>
              </w:rPr>
              <w:t>4、单位负责人为同一人或者存在直接控股、管理关系的不同投标人，不得参加同一合同项下的政府采购活动。</w:t>
            </w:r>
          </w:p>
          <w:p w14:paraId="2BDFBE1F">
            <w:pPr>
              <w:spacing w:line="360" w:lineRule="exact"/>
              <w:rPr>
                <w:rStyle w:val="278"/>
                <w:rFonts w:ascii="宋体" w:hAnsi="宋体" w:cs="宋体"/>
                <w:szCs w:val="21"/>
              </w:rPr>
            </w:pPr>
            <w:r>
              <w:rPr>
                <w:rStyle w:val="280"/>
                <w:rFonts w:hint="eastAsia" w:ascii="宋体" w:hAnsi="宋体" w:cs="宋体"/>
                <w:kern w:val="0"/>
              </w:rPr>
              <w:t>5、为本采购项目提供整体设计、规范编制或者项目管理、监理、检测等服务的，不得再参加此项目的其他招标采购活动。</w:t>
            </w:r>
          </w:p>
          <w:p w14:paraId="3B87CB25">
            <w:pPr>
              <w:adjustRightInd w:val="0"/>
              <w:snapToGrid w:val="0"/>
              <w:spacing w:line="360" w:lineRule="exact"/>
              <w:rPr>
                <w:rFonts w:ascii="宋体" w:hAnsi="宋体" w:cs="宋体"/>
                <w:b/>
                <w:szCs w:val="21"/>
              </w:rPr>
            </w:pPr>
            <w:r>
              <w:rPr>
                <w:rStyle w:val="280"/>
                <w:rFonts w:hint="eastAsia" w:ascii="宋体" w:hAnsi="宋体" w:cs="宋体"/>
                <w:kern w:val="0"/>
              </w:rPr>
              <w:t>6、列入失信被执行人、重大税收违法案件当事人名单，列入政府采购严重违法失信行为记录名单的，拒绝其参与政府采购活动。</w:t>
            </w:r>
          </w:p>
        </w:tc>
      </w:tr>
      <w:tr w14:paraId="193EE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197" w:type="dxa"/>
            <w:tcBorders>
              <w:bottom w:val="single" w:color="auto" w:sz="4" w:space="0"/>
            </w:tcBorders>
            <w:vAlign w:val="center"/>
          </w:tcPr>
          <w:p w14:paraId="0DD6071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第3.2款</w:t>
            </w:r>
          </w:p>
        </w:tc>
        <w:tc>
          <w:tcPr>
            <w:tcW w:w="2126" w:type="dxa"/>
            <w:vAlign w:val="center"/>
          </w:tcPr>
          <w:p w14:paraId="2636C8B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是否接收联合体形式</w:t>
            </w:r>
          </w:p>
        </w:tc>
        <w:tc>
          <w:tcPr>
            <w:tcW w:w="5307" w:type="dxa"/>
            <w:vAlign w:val="center"/>
          </w:tcPr>
          <w:p w14:paraId="659A826E">
            <w:pPr>
              <w:adjustRightInd w:val="0"/>
              <w:snapToGrid w:val="0"/>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□接受</w:t>
            </w:r>
          </w:p>
          <w:p w14:paraId="3F9B6273">
            <w:pPr>
              <w:adjustRightInd w:val="0"/>
              <w:snapToGrid w:val="0"/>
              <w:spacing w:line="360" w:lineRule="exact"/>
              <w:rPr>
                <w:rFonts w:asciiTheme="minorEastAsia" w:hAnsiTheme="minorEastAsia" w:eastAsiaTheme="minorEastAsia"/>
                <w:szCs w:val="21"/>
              </w:rPr>
            </w:pPr>
            <w:r>
              <w:rPr>
                <w:rFonts w:hint="eastAsia" w:cs="宋体" w:asciiTheme="minorEastAsia" w:hAnsiTheme="minorEastAsia" w:eastAsiaTheme="minorEastAsia"/>
                <w:szCs w:val="21"/>
              </w:rPr>
              <w:t>√不接受</w:t>
            </w:r>
          </w:p>
        </w:tc>
      </w:tr>
      <w:tr w14:paraId="004F2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97" w:type="dxa"/>
            <w:vAlign w:val="center"/>
          </w:tcPr>
          <w:p w14:paraId="6E45B93D">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第5.1款</w:t>
            </w:r>
          </w:p>
        </w:tc>
        <w:tc>
          <w:tcPr>
            <w:tcW w:w="2126" w:type="dxa"/>
            <w:vAlign w:val="center"/>
          </w:tcPr>
          <w:p w14:paraId="333C312F">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现场勘察</w:t>
            </w:r>
          </w:p>
        </w:tc>
        <w:tc>
          <w:tcPr>
            <w:tcW w:w="5307" w:type="dxa"/>
            <w:vAlign w:val="center"/>
          </w:tcPr>
          <w:p w14:paraId="1708B6F7">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供应商在投标前，可自行踏勘现场，有关费用自理，踏勘期间发生的意外自负。</w:t>
            </w:r>
          </w:p>
        </w:tc>
      </w:tr>
      <w:tr w14:paraId="72F609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8630" w:type="dxa"/>
            <w:gridSpan w:val="3"/>
            <w:vAlign w:val="center"/>
          </w:tcPr>
          <w:p w14:paraId="2C7A745F">
            <w:pPr>
              <w:adjustRightInd w:val="0"/>
              <w:snapToGrid w:val="0"/>
              <w:spacing w:line="360" w:lineRule="exact"/>
              <w:rPr>
                <w:rFonts w:asciiTheme="minorEastAsia" w:hAnsiTheme="minorEastAsia" w:eastAsiaTheme="minorEastAsia"/>
                <w:b/>
                <w:szCs w:val="21"/>
              </w:rPr>
            </w:pPr>
            <w:r>
              <w:rPr>
                <w:rFonts w:hint="eastAsia" w:asciiTheme="minorEastAsia" w:hAnsiTheme="minorEastAsia" w:eastAsiaTheme="minorEastAsia"/>
                <w:b/>
                <w:szCs w:val="21"/>
              </w:rPr>
              <w:t>二、谈判文件</w:t>
            </w:r>
          </w:p>
        </w:tc>
      </w:tr>
      <w:tr w14:paraId="63C9E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1197" w:type="dxa"/>
            <w:vAlign w:val="center"/>
          </w:tcPr>
          <w:p w14:paraId="4B0EA899">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第6.3款</w:t>
            </w:r>
          </w:p>
        </w:tc>
        <w:tc>
          <w:tcPr>
            <w:tcW w:w="2126" w:type="dxa"/>
            <w:vAlign w:val="center"/>
          </w:tcPr>
          <w:p w14:paraId="60AE3AEC">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bCs/>
                <w:szCs w:val="21"/>
              </w:rPr>
              <w:t>谈判文件的实质性变动内容</w:t>
            </w:r>
          </w:p>
        </w:tc>
        <w:tc>
          <w:tcPr>
            <w:tcW w:w="5307" w:type="dxa"/>
            <w:vAlign w:val="center"/>
          </w:tcPr>
          <w:p w14:paraId="379D3621">
            <w:pPr>
              <w:adjustRightInd w:val="0"/>
              <w:snapToGrid w:val="0"/>
              <w:spacing w:line="360" w:lineRule="exact"/>
              <w:rPr>
                <w:rFonts w:asciiTheme="minorEastAsia" w:hAnsiTheme="minorEastAsia" w:eastAsiaTheme="minorEastAsia"/>
                <w:color w:val="FF0000"/>
                <w:szCs w:val="21"/>
              </w:rPr>
            </w:pPr>
            <w:r>
              <w:rPr>
                <w:rFonts w:hint="eastAsia" w:asciiTheme="minorEastAsia" w:hAnsiTheme="minorEastAsia" w:eastAsiaTheme="minorEastAsia"/>
                <w:szCs w:val="21"/>
              </w:rPr>
              <w:t>不允许</w:t>
            </w:r>
          </w:p>
        </w:tc>
      </w:tr>
      <w:tr w14:paraId="7E914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8630" w:type="dxa"/>
            <w:gridSpan w:val="3"/>
            <w:vAlign w:val="center"/>
          </w:tcPr>
          <w:p w14:paraId="349D171F">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b/>
                <w:szCs w:val="21"/>
              </w:rPr>
              <w:t>三、响应文件的编写</w:t>
            </w:r>
          </w:p>
        </w:tc>
      </w:tr>
      <w:tr w14:paraId="3BA93C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4CA5121E">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第11.3款</w:t>
            </w:r>
          </w:p>
        </w:tc>
        <w:tc>
          <w:tcPr>
            <w:tcW w:w="2126" w:type="dxa"/>
            <w:vAlign w:val="center"/>
          </w:tcPr>
          <w:p w14:paraId="63538ADF">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采购项目预算</w:t>
            </w:r>
          </w:p>
        </w:tc>
        <w:tc>
          <w:tcPr>
            <w:tcW w:w="5307" w:type="dxa"/>
            <w:vAlign w:val="center"/>
          </w:tcPr>
          <w:p w14:paraId="6A62D208">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详见招标公告</w:t>
            </w:r>
          </w:p>
        </w:tc>
      </w:tr>
      <w:tr w14:paraId="290217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4E2F565C">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第11.6款</w:t>
            </w:r>
          </w:p>
        </w:tc>
        <w:tc>
          <w:tcPr>
            <w:tcW w:w="2126" w:type="dxa"/>
            <w:vAlign w:val="center"/>
          </w:tcPr>
          <w:p w14:paraId="1E813D4B">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报价的其他要求</w:t>
            </w:r>
          </w:p>
        </w:tc>
        <w:tc>
          <w:tcPr>
            <w:tcW w:w="5307" w:type="dxa"/>
            <w:vAlign w:val="center"/>
          </w:tcPr>
          <w:p w14:paraId="07683D0C">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不得超过上限值</w:t>
            </w:r>
          </w:p>
        </w:tc>
      </w:tr>
      <w:tr w14:paraId="3F59C3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05CEC272">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第12.1款</w:t>
            </w:r>
          </w:p>
        </w:tc>
        <w:tc>
          <w:tcPr>
            <w:tcW w:w="2126" w:type="dxa"/>
            <w:vAlign w:val="center"/>
          </w:tcPr>
          <w:p w14:paraId="2ECE37C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保证金</w:t>
            </w:r>
          </w:p>
        </w:tc>
        <w:tc>
          <w:tcPr>
            <w:tcW w:w="5307" w:type="dxa"/>
            <w:vAlign w:val="center"/>
          </w:tcPr>
          <w:p w14:paraId="5F984FD0">
            <w:pPr>
              <w:adjustRightInd w:val="0"/>
              <w:snapToGrid w:val="0"/>
              <w:spacing w:line="340" w:lineRule="exact"/>
              <w:rPr>
                <w:rFonts w:asciiTheme="minorEastAsia" w:hAnsiTheme="minorEastAsia" w:eastAsiaTheme="minorEastAsia"/>
                <w:szCs w:val="21"/>
              </w:rPr>
            </w:pPr>
            <w:r>
              <w:rPr>
                <w:rFonts w:hint="eastAsia" w:asciiTheme="minorEastAsia" w:hAnsiTheme="minorEastAsia" w:eastAsiaTheme="minorEastAsia"/>
                <w:szCs w:val="21"/>
              </w:rPr>
              <w:t>不要求提供</w:t>
            </w:r>
          </w:p>
        </w:tc>
      </w:tr>
      <w:tr w14:paraId="7D0427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3BEA914B">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第13.1款</w:t>
            </w:r>
          </w:p>
        </w:tc>
        <w:tc>
          <w:tcPr>
            <w:tcW w:w="2126" w:type="dxa"/>
            <w:vAlign w:val="center"/>
          </w:tcPr>
          <w:p w14:paraId="4F44C3A2">
            <w:pPr>
              <w:adjustRightInd w:val="0"/>
              <w:snapToGrid w:val="0"/>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响应文件有效期</w:t>
            </w:r>
          </w:p>
        </w:tc>
        <w:tc>
          <w:tcPr>
            <w:tcW w:w="5307" w:type="dxa"/>
            <w:vAlign w:val="center"/>
          </w:tcPr>
          <w:p w14:paraId="11AE585F">
            <w:pPr>
              <w:adjustRightInd w:val="0"/>
              <w:snapToGrid w:val="0"/>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60日（日历日）</w:t>
            </w:r>
          </w:p>
        </w:tc>
      </w:tr>
      <w:tr w14:paraId="41684B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3050BEF9">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第14.1款</w:t>
            </w:r>
          </w:p>
        </w:tc>
        <w:tc>
          <w:tcPr>
            <w:tcW w:w="2126" w:type="dxa"/>
            <w:vAlign w:val="center"/>
          </w:tcPr>
          <w:p w14:paraId="71E383D4">
            <w:pPr>
              <w:adjustRightInd w:val="0"/>
              <w:snapToGrid w:val="0"/>
              <w:spacing w:line="360" w:lineRule="exact"/>
              <w:jc w:val="center"/>
              <w:rPr>
                <w:rFonts w:asciiTheme="minorEastAsia" w:hAnsiTheme="minorEastAsia" w:eastAsiaTheme="minorEastAsia"/>
                <w:bCs/>
                <w:szCs w:val="21"/>
              </w:rPr>
            </w:pPr>
            <w:r>
              <w:rPr>
                <w:rFonts w:hint="eastAsia" w:asciiTheme="minorEastAsia" w:hAnsiTheme="minorEastAsia" w:eastAsiaTheme="minorEastAsia"/>
                <w:bCs/>
                <w:szCs w:val="21"/>
              </w:rPr>
              <w:t>分包</w:t>
            </w:r>
          </w:p>
        </w:tc>
        <w:tc>
          <w:tcPr>
            <w:tcW w:w="5307" w:type="dxa"/>
            <w:vAlign w:val="center"/>
          </w:tcPr>
          <w:p w14:paraId="4C5B4040">
            <w:pPr>
              <w:adjustRightInd w:val="0"/>
              <w:snapToGrid w:val="0"/>
              <w:spacing w:line="360" w:lineRule="exact"/>
              <w:rPr>
                <w:rFonts w:asciiTheme="minorEastAsia" w:hAnsiTheme="minorEastAsia" w:eastAsiaTheme="minorEastAsia"/>
                <w:bCs/>
                <w:szCs w:val="21"/>
              </w:rPr>
            </w:pPr>
            <w:r>
              <w:rPr>
                <w:rFonts w:asciiTheme="minorEastAsia" w:hAnsiTheme="minorEastAsia" w:eastAsiaTheme="minorEastAsia"/>
                <w:bCs/>
                <w:szCs w:val="21"/>
              </w:rPr>
              <w:t>不</w:t>
            </w:r>
            <w:r>
              <w:rPr>
                <w:rFonts w:hint="eastAsia" w:asciiTheme="minorEastAsia" w:hAnsiTheme="minorEastAsia" w:eastAsiaTheme="minorEastAsia"/>
                <w:bCs/>
                <w:szCs w:val="21"/>
              </w:rPr>
              <w:t>允许</w:t>
            </w:r>
            <w:r>
              <w:rPr>
                <w:rFonts w:asciiTheme="minorEastAsia" w:hAnsiTheme="minorEastAsia" w:eastAsiaTheme="minorEastAsia"/>
                <w:bCs/>
                <w:szCs w:val="21"/>
              </w:rPr>
              <w:t>分包</w:t>
            </w:r>
          </w:p>
        </w:tc>
      </w:tr>
      <w:tr w14:paraId="45A849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1197" w:type="dxa"/>
            <w:vAlign w:val="center"/>
          </w:tcPr>
          <w:p w14:paraId="4354CD9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第15.1款</w:t>
            </w:r>
          </w:p>
        </w:tc>
        <w:tc>
          <w:tcPr>
            <w:tcW w:w="2126" w:type="dxa"/>
            <w:vAlign w:val="center"/>
          </w:tcPr>
          <w:p w14:paraId="73B375BA">
            <w:pPr>
              <w:adjustRightInd w:val="0"/>
              <w:snapToGrid w:val="0"/>
              <w:spacing w:line="360" w:lineRule="exact"/>
              <w:jc w:val="center"/>
              <w:rPr>
                <w:rFonts w:asciiTheme="minorEastAsia" w:hAnsiTheme="minorEastAsia" w:eastAsiaTheme="minorEastAsia"/>
                <w:bCs/>
                <w:szCs w:val="21"/>
              </w:rPr>
            </w:pPr>
            <w:r>
              <w:rPr>
                <w:rStyle w:val="278"/>
                <w:rFonts w:ascii="宋体" w:hAnsi="宋体"/>
                <w:color w:val="000000"/>
                <w:szCs w:val="21"/>
              </w:rPr>
              <w:t>电子投标文件的签署盖章</w:t>
            </w:r>
          </w:p>
        </w:tc>
        <w:tc>
          <w:tcPr>
            <w:tcW w:w="5307" w:type="dxa"/>
            <w:vAlign w:val="center"/>
          </w:tcPr>
          <w:p w14:paraId="2CA32E5D">
            <w:pPr>
              <w:adjustRightInd w:val="0"/>
              <w:snapToGrid w:val="0"/>
              <w:spacing w:line="360" w:lineRule="exact"/>
              <w:rPr>
                <w:rFonts w:asciiTheme="minorEastAsia" w:hAnsiTheme="minorEastAsia" w:eastAsiaTheme="minorEastAsia"/>
                <w:bCs/>
                <w:szCs w:val="21"/>
              </w:rPr>
            </w:pPr>
            <w:r>
              <w:rPr>
                <w:rFonts w:hint="eastAsia" w:asciiTheme="minorEastAsia" w:hAnsiTheme="minorEastAsia" w:eastAsiaTheme="minorEastAsia"/>
              </w:rPr>
              <w:t>应按谈判文件要求在签章处盖供应商单位公章和在签字处由供应商代表签字，均</w:t>
            </w:r>
            <w:r>
              <w:rPr>
                <w:rFonts w:hint="eastAsia" w:asciiTheme="minorEastAsia" w:hAnsiTheme="minorEastAsia" w:eastAsiaTheme="minorEastAsia"/>
                <w:szCs w:val="21"/>
              </w:rPr>
              <w:t>使用电子签章。</w:t>
            </w:r>
          </w:p>
        </w:tc>
      </w:tr>
      <w:tr w14:paraId="163E1E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3" w:hRule="atLeast"/>
          <w:jc w:val="center"/>
        </w:trPr>
        <w:tc>
          <w:tcPr>
            <w:tcW w:w="1197" w:type="dxa"/>
            <w:vAlign w:val="center"/>
          </w:tcPr>
          <w:p w14:paraId="5D4D790D">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第15.2款</w:t>
            </w:r>
          </w:p>
        </w:tc>
        <w:tc>
          <w:tcPr>
            <w:tcW w:w="2126" w:type="dxa"/>
            <w:vAlign w:val="center"/>
          </w:tcPr>
          <w:p w14:paraId="5932431C">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bCs/>
                <w:szCs w:val="21"/>
              </w:rPr>
              <w:t>投标文件</w:t>
            </w:r>
            <w:r>
              <w:rPr>
                <w:rFonts w:hint="eastAsia" w:asciiTheme="minorEastAsia" w:hAnsiTheme="minorEastAsia" w:eastAsiaTheme="minorEastAsia"/>
                <w:szCs w:val="21"/>
              </w:rPr>
              <w:t>份数</w:t>
            </w:r>
          </w:p>
        </w:tc>
        <w:tc>
          <w:tcPr>
            <w:tcW w:w="5307" w:type="dxa"/>
            <w:vAlign w:val="center"/>
          </w:tcPr>
          <w:p w14:paraId="7C50942F">
            <w:pPr>
              <w:adjustRightInd w:val="0"/>
              <w:snapToGrid w:val="0"/>
              <w:spacing w:line="360" w:lineRule="exact"/>
              <w:rPr>
                <w:rFonts w:asciiTheme="minorEastAsia" w:hAnsiTheme="minorEastAsia" w:eastAsiaTheme="minorEastAsia"/>
                <w:szCs w:val="21"/>
                <w:u w:val="single"/>
              </w:rPr>
            </w:pPr>
            <w:r>
              <w:rPr>
                <w:rFonts w:hint="eastAsia" w:asciiTheme="minorEastAsia" w:hAnsiTheme="minorEastAsia" w:eastAsiaTheme="minorEastAsia"/>
                <w:szCs w:val="21"/>
              </w:rPr>
              <w:t>投标人应准备所投项目的电子投标文件一份</w:t>
            </w:r>
          </w:p>
        </w:tc>
      </w:tr>
      <w:tr w14:paraId="497F3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31DF2D55">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第15.3款</w:t>
            </w:r>
          </w:p>
        </w:tc>
        <w:tc>
          <w:tcPr>
            <w:tcW w:w="2126" w:type="dxa"/>
            <w:vAlign w:val="center"/>
          </w:tcPr>
          <w:p w14:paraId="7B5314DB">
            <w:pPr>
              <w:adjustRightInd w:val="0"/>
              <w:snapToGrid w:val="0"/>
              <w:spacing w:line="360" w:lineRule="exact"/>
              <w:jc w:val="center"/>
              <w:rPr>
                <w:rFonts w:asciiTheme="minorEastAsia" w:hAnsiTheme="minorEastAsia" w:eastAsiaTheme="minorEastAsia"/>
                <w:bCs/>
                <w:szCs w:val="21"/>
              </w:rPr>
            </w:pPr>
            <w:r>
              <w:rPr>
                <w:rStyle w:val="278"/>
                <w:rFonts w:ascii="宋体" w:hAnsi="宋体"/>
                <w:color w:val="000000"/>
                <w:szCs w:val="21"/>
              </w:rPr>
              <w:t>电子投标文件制作要求</w:t>
            </w:r>
          </w:p>
        </w:tc>
        <w:tc>
          <w:tcPr>
            <w:tcW w:w="5307" w:type="dxa"/>
            <w:vAlign w:val="center"/>
          </w:tcPr>
          <w:p w14:paraId="42CB0950">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电子投标文件必须使用娄底市公共资源交易电子服务平台发布的“电子投标文件制作工具（</w:t>
            </w:r>
            <w:r>
              <w:rPr>
                <w:rStyle w:val="278"/>
                <w:rFonts w:asciiTheme="minorEastAsia" w:hAnsiTheme="minorEastAsia" w:eastAsiaTheme="minorEastAsia"/>
                <w:color w:val="000000"/>
                <w:szCs w:val="21"/>
              </w:rPr>
              <w:t>金润投标人工具箱）</w:t>
            </w:r>
            <w:r>
              <w:rPr>
                <w:rFonts w:hint="eastAsia" w:asciiTheme="minorEastAsia" w:hAnsiTheme="minorEastAsia" w:eastAsiaTheme="minorEastAsia"/>
                <w:szCs w:val="21"/>
              </w:rPr>
              <w:t>”编制生成</w:t>
            </w:r>
          </w:p>
        </w:tc>
      </w:tr>
      <w:tr w14:paraId="1B352C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8630" w:type="dxa"/>
            <w:gridSpan w:val="3"/>
            <w:vAlign w:val="center"/>
          </w:tcPr>
          <w:p w14:paraId="2EAF5D98">
            <w:pPr>
              <w:adjustRightInd w:val="0"/>
              <w:snapToGrid w:val="0"/>
              <w:spacing w:line="360" w:lineRule="exact"/>
              <w:rPr>
                <w:rFonts w:asciiTheme="minorEastAsia" w:hAnsiTheme="minorEastAsia" w:eastAsiaTheme="minorEastAsia"/>
                <w:b/>
                <w:bCs/>
                <w:szCs w:val="21"/>
              </w:rPr>
            </w:pPr>
            <w:r>
              <w:rPr>
                <w:rFonts w:hint="eastAsia" w:asciiTheme="minorEastAsia" w:hAnsiTheme="minorEastAsia" w:eastAsiaTheme="minorEastAsia"/>
                <w:b/>
                <w:szCs w:val="21"/>
              </w:rPr>
              <w:t>四、响应文件的递交</w:t>
            </w:r>
          </w:p>
        </w:tc>
      </w:tr>
      <w:tr w14:paraId="72C41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197" w:type="dxa"/>
            <w:vAlign w:val="center"/>
          </w:tcPr>
          <w:p w14:paraId="52AF894F">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第16.1款</w:t>
            </w:r>
          </w:p>
        </w:tc>
        <w:tc>
          <w:tcPr>
            <w:tcW w:w="2126" w:type="dxa"/>
            <w:vAlign w:val="center"/>
          </w:tcPr>
          <w:p w14:paraId="4B62E3B0">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投标文件加密要求</w:t>
            </w:r>
          </w:p>
        </w:tc>
        <w:tc>
          <w:tcPr>
            <w:tcW w:w="5307" w:type="dxa"/>
            <w:vAlign w:val="center"/>
          </w:tcPr>
          <w:p w14:paraId="468A4959">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娄底市公共资源交易电子服务平台发布的“电子投标文件制作工具（</w:t>
            </w:r>
            <w:r>
              <w:rPr>
                <w:rStyle w:val="278"/>
                <w:rFonts w:asciiTheme="minorEastAsia" w:hAnsiTheme="minorEastAsia" w:eastAsiaTheme="minorEastAsia"/>
                <w:color w:val="000000"/>
                <w:szCs w:val="21"/>
              </w:rPr>
              <w:t>金润投标人工具箱）</w:t>
            </w:r>
            <w:r>
              <w:rPr>
                <w:rFonts w:hint="eastAsia" w:asciiTheme="minorEastAsia" w:hAnsiTheme="minorEastAsia" w:eastAsiaTheme="minorEastAsia"/>
                <w:szCs w:val="21"/>
              </w:rPr>
              <w:t>”的程序进行加密</w:t>
            </w:r>
          </w:p>
        </w:tc>
      </w:tr>
      <w:tr w14:paraId="443B3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7CD875C0">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第18.1款</w:t>
            </w:r>
          </w:p>
        </w:tc>
        <w:tc>
          <w:tcPr>
            <w:tcW w:w="2126" w:type="dxa"/>
            <w:vAlign w:val="center"/>
          </w:tcPr>
          <w:p w14:paraId="36288B34">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响应文件的递交</w:t>
            </w:r>
          </w:p>
        </w:tc>
        <w:tc>
          <w:tcPr>
            <w:tcW w:w="5307" w:type="dxa"/>
            <w:vAlign w:val="center"/>
          </w:tcPr>
          <w:p w14:paraId="04A134FC">
            <w:pPr>
              <w:adjustRightInd w:val="0"/>
              <w:snapToGrid w:val="0"/>
              <w:spacing w:line="360" w:lineRule="exact"/>
              <w:rPr>
                <w:rFonts w:ascii="宋体" w:hAnsi="宋体" w:cs="宋体"/>
              </w:rPr>
            </w:pPr>
            <w:r>
              <w:rPr>
                <w:rStyle w:val="278"/>
                <w:rFonts w:asciiTheme="minorEastAsia" w:hAnsiTheme="minorEastAsia" w:eastAsiaTheme="minorEastAsia"/>
                <w:szCs w:val="21"/>
              </w:rPr>
              <w:t>实行网上投标，</w:t>
            </w:r>
            <w:r>
              <w:rPr>
                <w:rFonts w:asciiTheme="minorEastAsia" w:hAnsiTheme="minorEastAsia" w:eastAsiaTheme="minorEastAsia"/>
              </w:rPr>
              <w:t>投标人必须</w:t>
            </w:r>
            <w:r>
              <w:rPr>
                <w:rFonts w:hint="eastAsia" w:asciiTheme="minorEastAsia" w:hAnsiTheme="minorEastAsia" w:eastAsiaTheme="minorEastAsia"/>
              </w:rPr>
              <w:t>在</w:t>
            </w:r>
            <w:r>
              <w:rPr>
                <w:rFonts w:asciiTheme="minorEastAsia" w:hAnsiTheme="minorEastAsia" w:eastAsiaTheme="minorEastAsia"/>
              </w:rPr>
              <w:t>采购文件规定的投标截止时间前完成，具体</w:t>
            </w:r>
            <w:r>
              <w:rPr>
                <w:rStyle w:val="278"/>
                <w:rFonts w:asciiTheme="minorEastAsia" w:hAnsiTheme="minorEastAsia" w:eastAsiaTheme="minorEastAsia"/>
                <w:szCs w:val="21"/>
              </w:rPr>
              <w:t>详见采购公告</w:t>
            </w:r>
          </w:p>
        </w:tc>
      </w:tr>
      <w:tr w14:paraId="4504A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8630" w:type="dxa"/>
            <w:gridSpan w:val="3"/>
            <w:vAlign w:val="center"/>
          </w:tcPr>
          <w:p w14:paraId="68DF7537">
            <w:pPr>
              <w:adjustRightInd w:val="0"/>
              <w:snapToGrid w:val="0"/>
              <w:spacing w:line="360" w:lineRule="exact"/>
              <w:rPr>
                <w:rFonts w:asciiTheme="minorEastAsia" w:hAnsiTheme="minorEastAsia" w:eastAsiaTheme="minorEastAsia"/>
                <w:b/>
                <w:bCs/>
                <w:szCs w:val="21"/>
              </w:rPr>
            </w:pPr>
            <w:r>
              <w:rPr>
                <w:rFonts w:hint="eastAsia" w:asciiTheme="minorEastAsia" w:hAnsiTheme="minorEastAsia" w:eastAsiaTheme="minorEastAsia"/>
                <w:b/>
                <w:bCs/>
                <w:szCs w:val="21"/>
              </w:rPr>
              <w:t>五、响应文件的评审与谈判</w:t>
            </w:r>
          </w:p>
        </w:tc>
      </w:tr>
      <w:tr w14:paraId="2F59F5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767C0D34">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第22.4款</w:t>
            </w:r>
          </w:p>
        </w:tc>
        <w:tc>
          <w:tcPr>
            <w:tcW w:w="2126" w:type="dxa"/>
            <w:vAlign w:val="center"/>
          </w:tcPr>
          <w:p w14:paraId="5140A19B">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谈判文件规定的实质性要求和条件</w:t>
            </w:r>
          </w:p>
        </w:tc>
        <w:tc>
          <w:tcPr>
            <w:tcW w:w="5307" w:type="dxa"/>
            <w:vAlign w:val="center"/>
          </w:tcPr>
          <w:p w14:paraId="02C2A87F">
            <w:pPr>
              <w:adjustRightInd w:val="0"/>
              <w:snapToGrid w:val="0"/>
              <w:spacing w:line="360" w:lineRule="exact"/>
              <w:rPr>
                <w:rFonts w:asciiTheme="minorEastAsia" w:hAnsiTheme="minorEastAsia" w:eastAsiaTheme="minorEastAsia"/>
                <w:bCs/>
                <w:color w:val="FF0000"/>
                <w:szCs w:val="21"/>
              </w:rPr>
            </w:pPr>
            <w:r>
              <w:rPr>
                <w:rFonts w:hint="eastAsia" w:asciiTheme="minorEastAsia" w:hAnsiTheme="minorEastAsia" w:eastAsiaTheme="minorEastAsia"/>
                <w:bCs/>
                <w:szCs w:val="21"/>
              </w:rPr>
              <w:t>一般商务条款、合同条款和采购需求中的技术条款都不允许负偏离</w:t>
            </w:r>
          </w:p>
        </w:tc>
      </w:tr>
      <w:tr w14:paraId="518B6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197" w:type="dxa"/>
            <w:vAlign w:val="center"/>
          </w:tcPr>
          <w:p w14:paraId="57A2D9B0">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第28.3款</w:t>
            </w:r>
          </w:p>
        </w:tc>
        <w:tc>
          <w:tcPr>
            <w:tcW w:w="2126" w:type="dxa"/>
            <w:vAlign w:val="center"/>
          </w:tcPr>
          <w:p w14:paraId="3BCAF838">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bCs/>
                <w:szCs w:val="21"/>
              </w:rPr>
              <w:t>最后报价的算术修正</w:t>
            </w:r>
          </w:p>
        </w:tc>
        <w:tc>
          <w:tcPr>
            <w:tcW w:w="5307" w:type="dxa"/>
            <w:vAlign w:val="center"/>
          </w:tcPr>
          <w:p w14:paraId="168264A8">
            <w:pPr>
              <w:adjustRightInd w:val="0"/>
              <w:snapToGrid w:val="0"/>
              <w:spacing w:line="360" w:lineRule="exact"/>
              <w:rPr>
                <w:rFonts w:asciiTheme="minorEastAsia" w:hAnsiTheme="minorEastAsia" w:eastAsiaTheme="minorEastAsia"/>
                <w:bCs/>
                <w:szCs w:val="21"/>
              </w:rPr>
            </w:pPr>
            <w:r>
              <w:rPr>
                <w:rFonts w:hint="eastAsia" w:asciiTheme="minorEastAsia" w:hAnsiTheme="minorEastAsia" w:eastAsiaTheme="minorEastAsia"/>
                <w:bCs/>
                <w:szCs w:val="21"/>
              </w:rPr>
              <w:t>/</w:t>
            </w:r>
          </w:p>
        </w:tc>
      </w:tr>
      <w:tr w14:paraId="28612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8630" w:type="dxa"/>
            <w:gridSpan w:val="3"/>
            <w:vAlign w:val="center"/>
          </w:tcPr>
          <w:p w14:paraId="0E40F920">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宋体" w:hAnsi="宋体"/>
                <w:b/>
                <w:szCs w:val="21"/>
              </w:rPr>
              <w:t>成交结果信息公布与授予合同</w:t>
            </w:r>
          </w:p>
        </w:tc>
      </w:tr>
      <w:tr w14:paraId="2DC103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5" w:hRule="atLeast"/>
          <w:jc w:val="center"/>
        </w:trPr>
        <w:tc>
          <w:tcPr>
            <w:tcW w:w="1197" w:type="dxa"/>
            <w:vAlign w:val="center"/>
          </w:tcPr>
          <w:p w14:paraId="0EE2CBEB">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第34.1款</w:t>
            </w:r>
          </w:p>
        </w:tc>
        <w:tc>
          <w:tcPr>
            <w:tcW w:w="2126" w:type="dxa"/>
            <w:vAlign w:val="center"/>
          </w:tcPr>
          <w:p w14:paraId="27D31766">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财政部门指定的媒体</w:t>
            </w:r>
          </w:p>
        </w:tc>
        <w:tc>
          <w:tcPr>
            <w:tcW w:w="5307" w:type="dxa"/>
            <w:vAlign w:val="center"/>
          </w:tcPr>
          <w:p w14:paraId="549E02B6">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湖南省政府采购网(www.ccgp-hunan.gov.cn)和娄底市公共资源交易网</w:t>
            </w:r>
          </w:p>
        </w:tc>
      </w:tr>
      <w:tr w14:paraId="7329B8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6603CC31">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第35.3款</w:t>
            </w:r>
          </w:p>
        </w:tc>
        <w:tc>
          <w:tcPr>
            <w:tcW w:w="2126" w:type="dxa"/>
            <w:vAlign w:val="center"/>
          </w:tcPr>
          <w:p w14:paraId="070E9543">
            <w:pPr>
              <w:adjustRightInd w:val="0"/>
              <w:snapToGrid w:val="0"/>
              <w:spacing w:line="360" w:lineRule="exact"/>
              <w:jc w:val="center"/>
              <w:rPr>
                <w:rFonts w:asciiTheme="minorEastAsia" w:hAnsiTheme="minorEastAsia" w:eastAsiaTheme="minorEastAsia"/>
                <w:szCs w:val="21"/>
              </w:rPr>
            </w:pPr>
            <w:r>
              <w:rPr>
                <w:rFonts w:hint="eastAsia" w:ascii="宋体" w:hAnsi="宋体"/>
                <w:szCs w:val="21"/>
              </w:rPr>
              <w:t>接收质疑函的联系部门、联系电话和通讯地址</w:t>
            </w:r>
          </w:p>
        </w:tc>
        <w:tc>
          <w:tcPr>
            <w:tcW w:w="5307" w:type="dxa"/>
            <w:vAlign w:val="center"/>
          </w:tcPr>
          <w:p w14:paraId="46312461">
            <w:pPr>
              <w:adjustRightInd w:val="0"/>
              <w:snapToGrid w:val="0"/>
              <w:spacing w:line="360" w:lineRule="exact"/>
              <w:rPr>
                <w:rFonts w:hint="eastAsia" w:ascii="宋体" w:hAnsi="宋体" w:eastAsia="宋体"/>
                <w:szCs w:val="21"/>
                <w:lang w:eastAsia="zh-CN"/>
              </w:rPr>
            </w:pPr>
            <w:r>
              <w:rPr>
                <w:rFonts w:hint="eastAsia" w:ascii="宋体" w:hAnsi="宋体"/>
                <w:szCs w:val="21"/>
                <w:lang w:eastAsia="zh-CN"/>
              </w:rPr>
              <w:t>湖南智立方工程项目管理有限公司</w:t>
            </w:r>
          </w:p>
          <w:p w14:paraId="1F5E974A">
            <w:pPr>
              <w:adjustRightInd w:val="0"/>
              <w:snapToGrid w:val="0"/>
              <w:spacing w:line="360" w:lineRule="exact"/>
              <w:rPr>
                <w:rFonts w:hint="default" w:ascii="宋体" w:hAnsi="宋体" w:eastAsia="宋体"/>
                <w:szCs w:val="21"/>
                <w:lang w:val="en-US" w:eastAsia="zh-CN"/>
              </w:rPr>
            </w:pPr>
            <w:r>
              <w:rPr>
                <w:rFonts w:hint="eastAsia" w:ascii="宋体" w:hAnsi="宋体"/>
                <w:szCs w:val="21"/>
              </w:rPr>
              <w:t>联系人：</w:t>
            </w:r>
            <w:r>
              <w:rPr>
                <w:rFonts w:hint="eastAsia" w:ascii="宋体" w:hAnsi="宋体"/>
                <w:szCs w:val="21"/>
                <w:lang w:val="en-US" w:eastAsia="zh-CN"/>
              </w:rPr>
              <w:t>李丽</w:t>
            </w:r>
          </w:p>
          <w:p w14:paraId="4576CB4A">
            <w:pPr>
              <w:adjustRightInd w:val="0"/>
              <w:snapToGrid w:val="0"/>
              <w:spacing w:line="360" w:lineRule="exact"/>
              <w:rPr>
                <w:rFonts w:hint="default" w:ascii="宋体" w:hAnsi="宋体" w:eastAsia="宋体"/>
                <w:szCs w:val="21"/>
                <w:lang w:val="en-US" w:eastAsia="zh-CN"/>
              </w:rPr>
            </w:pPr>
            <w:r>
              <w:rPr>
                <w:rFonts w:hint="eastAsia" w:ascii="宋体" w:hAnsi="宋体"/>
                <w:szCs w:val="21"/>
              </w:rPr>
              <w:t>联系电话：</w:t>
            </w:r>
            <w:r>
              <w:rPr>
                <w:rFonts w:hint="eastAsia" w:asciiTheme="minorEastAsia" w:hAnsiTheme="minorEastAsia" w:eastAsiaTheme="minorEastAsia" w:cstheme="minorEastAsia"/>
              </w:rPr>
              <w:t>13786871007</w:t>
            </w:r>
            <w:r>
              <w:rPr>
                <w:rFonts w:hint="eastAsia" w:asciiTheme="minorEastAsia" w:hAnsiTheme="minorEastAsia" w:eastAsiaTheme="minorEastAsia"/>
                <w:szCs w:val="21"/>
              </w:rPr>
              <w:t xml:space="preserve"> </w:t>
            </w:r>
          </w:p>
          <w:p w14:paraId="08C82A3C">
            <w:pPr>
              <w:pStyle w:val="61"/>
              <w:ind w:firstLine="0" w:firstLineChars="0"/>
            </w:pPr>
            <w:r>
              <w:rPr>
                <w:rFonts w:hint="eastAsia" w:ascii="宋体" w:hAnsi="宋体"/>
                <w:szCs w:val="21"/>
              </w:rPr>
              <w:t>通讯地址：</w:t>
            </w:r>
            <w:r>
              <w:rPr>
                <w:rFonts w:hint="eastAsia" w:asciiTheme="minorEastAsia" w:hAnsiTheme="minorEastAsia" w:eastAsiaTheme="minorEastAsia" w:cstheme="minorEastAsia"/>
              </w:rPr>
              <w:t xml:space="preserve">长沙市天心区书院南路423号乾城嘉园1栋10层1001 </w:t>
            </w:r>
          </w:p>
        </w:tc>
      </w:tr>
      <w:tr w14:paraId="300989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5D2124F7">
            <w:pPr>
              <w:adjustRightInd w:val="0"/>
              <w:snapToGrid w:val="0"/>
              <w:spacing w:line="360" w:lineRule="exact"/>
              <w:rPr>
                <w:rFonts w:asciiTheme="minorEastAsia" w:hAnsiTheme="minorEastAsia" w:eastAsiaTheme="minorEastAsia"/>
                <w:szCs w:val="21"/>
              </w:rPr>
            </w:pPr>
            <w:r>
              <w:rPr>
                <w:rFonts w:hint="eastAsia" w:ascii="宋体" w:hAnsi="宋体"/>
                <w:szCs w:val="21"/>
              </w:rPr>
              <w:t>第36.1款</w:t>
            </w:r>
          </w:p>
        </w:tc>
        <w:tc>
          <w:tcPr>
            <w:tcW w:w="2126" w:type="dxa"/>
            <w:vAlign w:val="center"/>
          </w:tcPr>
          <w:p w14:paraId="5A33AD99">
            <w:pPr>
              <w:adjustRightInd w:val="0"/>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履约担保</w:t>
            </w:r>
          </w:p>
        </w:tc>
        <w:tc>
          <w:tcPr>
            <w:tcW w:w="5307" w:type="dxa"/>
            <w:vAlign w:val="center"/>
          </w:tcPr>
          <w:p w14:paraId="4D5875A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iCs/>
                <w:szCs w:val="21"/>
                <w:highlight w:val="none"/>
              </w:rPr>
              <w:sym w:font="Wingdings" w:char="00FE"/>
            </w:r>
            <w:r>
              <w:rPr>
                <w:rFonts w:hint="eastAsia" w:asciiTheme="minorEastAsia" w:hAnsiTheme="minorEastAsia" w:eastAsiaTheme="minorEastAsia"/>
                <w:szCs w:val="21"/>
              </w:rPr>
              <w:t>不要求提供</w:t>
            </w:r>
          </w:p>
          <w:p w14:paraId="3068CE94">
            <w:pPr>
              <w:pStyle w:val="61"/>
              <w:keepNext w:val="0"/>
              <w:keepLines w:val="0"/>
              <w:pageBreakBefore w:val="0"/>
              <w:widowControl w:val="0"/>
              <w:kinsoku/>
              <w:wordWrap/>
              <w:overflowPunct/>
              <w:topLinePunct w:val="0"/>
              <w:autoSpaceDE/>
              <w:autoSpaceDN/>
              <w:bidi w:val="0"/>
              <w:spacing w:line="360" w:lineRule="exact"/>
              <w:ind w:left="0" w:leftChars="0" w:firstLine="0" w:firstLineChars="0"/>
              <w:textAlignment w:val="auto"/>
              <w:rPr>
                <w:rFonts w:hint="default" w:eastAsiaTheme="minorEastAsia"/>
                <w:lang w:val="en-US" w:eastAsia="zh-CN"/>
              </w:rPr>
            </w:pPr>
            <w:r>
              <w:rPr>
                <w:rFonts w:hint="eastAsia" w:cs="宋体" w:asciiTheme="minorEastAsia" w:hAnsiTheme="minorEastAsia" w:eastAsiaTheme="minorEastAsia"/>
                <w:szCs w:val="21"/>
                <w:lang w:eastAsia="zh-CN"/>
              </w:rPr>
              <w:t>□</w:t>
            </w:r>
            <w:r>
              <w:rPr>
                <w:rFonts w:hint="eastAsia" w:asciiTheme="minorEastAsia" w:hAnsiTheme="minorEastAsia" w:eastAsiaTheme="minorEastAsia" w:cstheme="minorEastAsia"/>
              </w:rPr>
              <w:t>要求提供，履约担保的金额为：</w:t>
            </w:r>
          </w:p>
        </w:tc>
      </w:tr>
      <w:tr w14:paraId="1A96E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8630" w:type="dxa"/>
            <w:gridSpan w:val="3"/>
            <w:vAlign w:val="center"/>
          </w:tcPr>
          <w:p w14:paraId="2E330426">
            <w:pPr>
              <w:adjustRightInd w:val="0"/>
              <w:snapToGrid w:val="0"/>
              <w:spacing w:line="360" w:lineRule="exact"/>
              <w:rPr>
                <w:rFonts w:asciiTheme="minorEastAsia" w:hAnsiTheme="minorEastAsia" w:eastAsiaTheme="minorEastAsia"/>
                <w:b/>
                <w:szCs w:val="21"/>
              </w:rPr>
            </w:pPr>
            <w:r>
              <w:rPr>
                <w:rFonts w:hint="eastAsia" w:asciiTheme="minorEastAsia" w:hAnsiTheme="minorEastAsia" w:eastAsiaTheme="minorEastAsia"/>
                <w:b/>
                <w:szCs w:val="21"/>
              </w:rPr>
              <w:t>七、政府采购政策</w:t>
            </w:r>
          </w:p>
        </w:tc>
      </w:tr>
      <w:tr w14:paraId="11DE9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97" w:type="dxa"/>
            <w:vAlign w:val="center"/>
          </w:tcPr>
          <w:p w14:paraId="3CE590CA">
            <w:pPr>
              <w:adjustRightInd w:val="0"/>
              <w:snapToGrid w:val="0"/>
              <w:spacing w:line="360" w:lineRule="exact"/>
              <w:jc w:val="center"/>
              <w:rPr>
                <w:rFonts w:ascii="宋体" w:hAnsi="宋体" w:cs="宋体"/>
                <w:szCs w:val="21"/>
              </w:rPr>
            </w:pPr>
            <w:r>
              <w:rPr>
                <w:rFonts w:hint="eastAsia" w:ascii="宋体" w:hAnsi="宋体" w:cs="宋体"/>
                <w:szCs w:val="21"/>
              </w:rPr>
              <w:t>第40.1款</w:t>
            </w:r>
          </w:p>
        </w:tc>
        <w:tc>
          <w:tcPr>
            <w:tcW w:w="2126" w:type="dxa"/>
            <w:tcBorders>
              <w:bottom w:val="single" w:color="auto" w:sz="4" w:space="0"/>
            </w:tcBorders>
          </w:tcPr>
          <w:p w14:paraId="06050072">
            <w:pPr>
              <w:jc w:val="center"/>
              <w:rPr>
                <w:rFonts w:ascii="宋体" w:hAnsi="宋体" w:cs="宋体"/>
                <w:szCs w:val="21"/>
                <w:highlight w:val="none"/>
              </w:rPr>
            </w:pPr>
            <w:r>
              <w:rPr>
                <w:rFonts w:hint="eastAsia" w:ascii="宋体" w:hAnsi="宋体" w:cs="宋体"/>
                <w:highlight w:val="none"/>
              </w:rPr>
              <w:t>节能产品、环境标志产品</w:t>
            </w:r>
            <w:r>
              <w:rPr>
                <w:rFonts w:hint="eastAsia" w:ascii="宋体" w:hAnsi="宋体" w:cs="宋体"/>
                <w:szCs w:val="21"/>
                <w:highlight w:val="none"/>
              </w:rPr>
              <w:t>的价格折扣比例</w:t>
            </w:r>
          </w:p>
        </w:tc>
        <w:tc>
          <w:tcPr>
            <w:tcW w:w="5307" w:type="dxa"/>
            <w:tcBorders>
              <w:bottom w:val="single" w:color="auto" w:sz="4" w:space="0"/>
            </w:tcBorders>
            <w:vAlign w:val="center"/>
          </w:tcPr>
          <w:p w14:paraId="28A12C52">
            <w:pPr>
              <w:adjustRightInd w:val="0"/>
              <w:snapToGrid w:val="0"/>
              <w:spacing w:line="360" w:lineRule="exact"/>
              <w:rPr>
                <w:rFonts w:ascii="宋体" w:hAnsi="宋体" w:cs="宋体"/>
                <w:szCs w:val="21"/>
                <w:highlight w:val="none"/>
              </w:rPr>
            </w:pPr>
            <w:r>
              <w:rPr>
                <w:rFonts w:hint="eastAsia" w:asciiTheme="minorEastAsia" w:hAnsiTheme="minorEastAsia" w:eastAsiaTheme="minorEastAsia"/>
                <w:szCs w:val="21"/>
              </w:rPr>
              <w:t>/</w:t>
            </w:r>
          </w:p>
        </w:tc>
      </w:tr>
      <w:tr w14:paraId="0F69F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97" w:type="dxa"/>
            <w:vAlign w:val="center"/>
          </w:tcPr>
          <w:p w14:paraId="2C678DB0">
            <w:pPr>
              <w:adjustRightInd w:val="0"/>
              <w:snapToGrid w:val="0"/>
              <w:spacing w:line="360" w:lineRule="exact"/>
              <w:jc w:val="center"/>
              <w:rPr>
                <w:rFonts w:hint="eastAsia" w:ascii="宋体" w:hAnsi="宋体" w:cs="宋体"/>
                <w:szCs w:val="21"/>
              </w:rPr>
            </w:pPr>
            <w:r>
              <w:rPr>
                <w:rFonts w:hint="eastAsia" w:ascii="宋体" w:hAnsi="宋体" w:cs="宋体"/>
                <w:szCs w:val="21"/>
              </w:rPr>
              <w:t>第40.</w:t>
            </w:r>
            <w:r>
              <w:rPr>
                <w:rFonts w:hint="eastAsia" w:ascii="宋体" w:hAnsi="宋体" w:cs="宋体"/>
                <w:szCs w:val="21"/>
                <w:lang w:val="en-US" w:eastAsia="zh-CN"/>
              </w:rPr>
              <w:t>2</w:t>
            </w:r>
            <w:r>
              <w:rPr>
                <w:rFonts w:hint="eastAsia" w:ascii="宋体" w:hAnsi="宋体" w:cs="宋体"/>
                <w:szCs w:val="21"/>
              </w:rPr>
              <w:t>款</w:t>
            </w:r>
          </w:p>
        </w:tc>
        <w:tc>
          <w:tcPr>
            <w:tcW w:w="2126" w:type="dxa"/>
            <w:tcBorders>
              <w:bottom w:val="single" w:color="auto" w:sz="4" w:space="0"/>
            </w:tcBorders>
          </w:tcPr>
          <w:p w14:paraId="3DDBFDCB">
            <w:pPr>
              <w:jc w:val="center"/>
              <w:rPr>
                <w:rFonts w:hint="eastAsia" w:ascii="宋体" w:hAnsi="宋体" w:cs="宋体"/>
                <w:highlight w:val="none"/>
              </w:rPr>
            </w:pPr>
            <w:r>
              <w:rPr>
                <w:rFonts w:hint="eastAsia" w:ascii="宋体" w:hAnsi="宋体" w:cs="宋体"/>
                <w:szCs w:val="21"/>
              </w:rPr>
              <w:t>两型产品的价格折扣比例</w:t>
            </w:r>
          </w:p>
        </w:tc>
        <w:tc>
          <w:tcPr>
            <w:tcW w:w="5307" w:type="dxa"/>
            <w:tcBorders>
              <w:bottom w:val="single" w:color="auto" w:sz="4" w:space="0"/>
            </w:tcBorders>
            <w:vAlign w:val="center"/>
          </w:tcPr>
          <w:p w14:paraId="263FB389">
            <w:pPr>
              <w:adjustRightInd w:val="0"/>
              <w:snapToGrid w:val="0"/>
              <w:spacing w:line="360" w:lineRule="exact"/>
              <w:rPr>
                <w:rFonts w:hint="eastAsia" w:ascii="宋体" w:hAnsi="宋体"/>
                <w:szCs w:val="21"/>
                <w:highlight w:val="none"/>
                <w:lang w:eastAsia="zh-CN"/>
              </w:rPr>
            </w:pPr>
            <w:r>
              <w:rPr>
                <w:rFonts w:hint="eastAsia" w:asciiTheme="minorEastAsia" w:hAnsiTheme="minorEastAsia" w:eastAsiaTheme="minorEastAsia"/>
                <w:szCs w:val="21"/>
              </w:rPr>
              <w:t>/</w:t>
            </w:r>
          </w:p>
        </w:tc>
      </w:tr>
      <w:tr w14:paraId="3FAD9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02" w:hRule="atLeast"/>
          <w:jc w:val="center"/>
        </w:trPr>
        <w:tc>
          <w:tcPr>
            <w:tcW w:w="1197" w:type="dxa"/>
            <w:vAlign w:val="center"/>
          </w:tcPr>
          <w:p w14:paraId="2BD4FEBB">
            <w:pPr>
              <w:adjustRightInd w:val="0"/>
              <w:snapToGrid w:val="0"/>
              <w:spacing w:line="360" w:lineRule="exact"/>
              <w:jc w:val="center"/>
              <w:rPr>
                <w:rFonts w:ascii="宋体" w:hAnsi="宋体" w:cs="宋体"/>
                <w:szCs w:val="21"/>
              </w:rPr>
            </w:pPr>
            <w:r>
              <w:rPr>
                <w:rFonts w:hint="eastAsia" w:ascii="宋体" w:hAnsi="宋体" w:cs="宋体"/>
                <w:szCs w:val="21"/>
              </w:rPr>
              <w:t>第41.2（1）项</w:t>
            </w:r>
          </w:p>
        </w:tc>
        <w:tc>
          <w:tcPr>
            <w:tcW w:w="2126" w:type="dxa"/>
            <w:vAlign w:val="center"/>
          </w:tcPr>
          <w:p w14:paraId="1E66FB80">
            <w:pPr>
              <w:adjustRightInd w:val="0"/>
              <w:snapToGrid w:val="0"/>
              <w:jc w:val="center"/>
              <w:rPr>
                <w:rFonts w:ascii="宋体" w:hAnsi="宋体" w:cs="宋体"/>
                <w:szCs w:val="21"/>
                <w:highlight w:val="none"/>
              </w:rPr>
            </w:pPr>
            <w:r>
              <w:rPr>
                <w:rFonts w:hint="eastAsia" w:ascii="宋体" w:hAnsi="宋体" w:cs="宋体"/>
                <w:szCs w:val="21"/>
                <w:highlight w:val="none"/>
              </w:rPr>
              <w:t>小型、微型企业的价格折扣比例</w:t>
            </w:r>
          </w:p>
        </w:tc>
        <w:tc>
          <w:tcPr>
            <w:tcW w:w="5307" w:type="dxa"/>
            <w:vAlign w:val="center"/>
          </w:tcPr>
          <w:p w14:paraId="42168C35">
            <w:pPr>
              <w:adjustRightInd w:val="0"/>
              <w:snapToGrid w:val="0"/>
              <w:spacing w:line="360" w:lineRule="exact"/>
              <w:rPr>
                <w:highlight w:val="none"/>
              </w:rPr>
            </w:pPr>
            <w:r>
              <w:rPr>
                <w:rFonts w:hint="eastAsia" w:ascii="宋体" w:hAnsi="宋体"/>
                <w:color w:val="auto"/>
                <w:szCs w:val="21"/>
                <w:highlight w:val="none"/>
              </w:rPr>
              <w:sym w:font="Wingdings" w:char="00FE"/>
            </w:r>
            <w:r>
              <w:rPr>
                <w:rFonts w:hint="eastAsia" w:ascii="宋体" w:hAnsi="宋体"/>
                <w:b/>
                <w:bCs/>
                <w:color w:val="auto"/>
                <w:highlight w:val="none"/>
              </w:rPr>
              <w:t>在</w:t>
            </w:r>
            <w:r>
              <w:rPr>
                <w:rFonts w:hint="eastAsia" w:ascii="宋体" w:hAnsi="宋体"/>
                <w:b/>
                <w:bCs/>
                <w:color w:val="auto"/>
                <w:highlight w:val="none"/>
                <w:lang w:val="en-US" w:eastAsia="zh-CN"/>
              </w:rPr>
              <w:t>本</w:t>
            </w:r>
            <w:r>
              <w:rPr>
                <w:rFonts w:hint="eastAsia" w:ascii="宋体" w:hAnsi="宋体"/>
                <w:b/>
                <w:bCs/>
                <w:color w:val="auto"/>
                <w:highlight w:val="none"/>
              </w:rPr>
              <w:t>服务采购项目中，服务由中小企业承接</w:t>
            </w:r>
            <w:r>
              <w:rPr>
                <w:rFonts w:hint="eastAsia" w:ascii="宋体" w:hAnsi="宋体"/>
                <w:b/>
                <w:bCs/>
                <w:color w:val="auto"/>
                <w:highlight w:val="none"/>
                <w:lang w:val="en-US" w:eastAsia="zh-CN"/>
              </w:rPr>
              <w:t>的</w:t>
            </w:r>
            <w:r>
              <w:rPr>
                <w:rFonts w:hint="eastAsia" w:ascii="宋体" w:hAnsi="宋体"/>
                <w:b/>
                <w:bCs/>
                <w:color w:val="auto"/>
                <w:highlight w:val="none"/>
              </w:rPr>
              <w:t>，给予一定比例的价格折扣</w:t>
            </w:r>
            <w:r>
              <w:rPr>
                <w:rFonts w:hint="eastAsia" w:ascii="宋体" w:hAnsi="宋体"/>
                <w:b/>
                <w:bCs/>
                <w:color w:val="auto"/>
                <w:highlight w:val="none"/>
                <w:lang w:eastAsia="zh-CN"/>
              </w:rPr>
              <w:t>（</w:t>
            </w:r>
            <w:r>
              <w:rPr>
                <w:rFonts w:hint="eastAsia" w:ascii="宋体" w:hAnsi="宋体"/>
                <w:b/>
                <w:bCs/>
                <w:color w:val="auto"/>
                <w:szCs w:val="21"/>
                <w:highlight w:val="none"/>
              </w:rPr>
              <w:t>10%-20%</w:t>
            </w:r>
            <w:r>
              <w:rPr>
                <w:rFonts w:hint="eastAsia" w:ascii="宋体" w:hAnsi="宋体"/>
                <w:b/>
                <w:bCs/>
                <w:color w:val="auto"/>
                <w:highlight w:val="none"/>
                <w:lang w:eastAsia="zh-CN"/>
              </w:rPr>
              <w:t>）</w:t>
            </w:r>
            <w:r>
              <w:rPr>
                <w:rFonts w:hint="eastAsia" w:ascii="宋体" w:hAnsi="宋体"/>
                <w:b/>
                <w:bCs/>
                <w:color w:val="auto"/>
                <w:highlight w:val="none"/>
              </w:rPr>
              <w:t>，用扣除后的价格参与评审</w:t>
            </w:r>
            <w:r>
              <w:rPr>
                <w:rFonts w:hint="eastAsia" w:ascii="宋体" w:hAnsi="宋体"/>
                <w:b/>
                <w:bCs/>
                <w:color w:val="auto"/>
                <w:szCs w:val="21"/>
                <w:highlight w:val="none"/>
              </w:rPr>
              <w:t>，本项目具体扣除比例为</w:t>
            </w:r>
            <w:r>
              <w:rPr>
                <w:rFonts w:hint="eastAsia" w:ascii="宋体" w:hAnsi="宋体"/>
                <w:b/>
                <w:bCs/>
                <w:color w:val="auto"/>
                <w:szCs w:val="21"/>
                <w:highlight w:val="none"/>
                <w:u w:val="single"/>
              </w:rPr>
              <w:t xml:space="preserve"> </w:t>
            </w:r>
            <w:r>
              <w:rPr>
                <w:rFonts w:hint="eastAsia" w:cs="Times New Roman"/>
                <w:b/>
                <w:bCs/>
                <w:color w:val="auto"/>
                <w:szCs w:val="21"/>
                <w:highlight w:val="none"/>
                <w:u w:val="single"/>
                <w:lang w:val="en-US" w:eastAsia="zh-CN"/>
              </w:rPr>
              <w:t>10</w:t>
            </w:r>
            <w:r>
              <w:rPr>
                <w:rFonts w:hint="eastAsia" w:ascii="宋体" w:hAnsi="宋体"/>
                <w:b/>
                <w:bCs/>
                <w:color w:val="auto"/>
                <w:szCs w:val="21"/>
                <w:highlight w:val="none"/>
                <w:u w:val="single"/>
              </w:rPr>
              <w:t xml:space="preserve"> </w:t>
            </w:r>
            <w:r>
              <w:rPr>
                <w:rFonts w:hint="eastAsia" w:ascii="宋体" w:hAnsi="宋体"/>
                <w:b/>
                <w:bCs/>
                <w:color w:val="auto"/>
                <w:szCs w:val="21"/>
                <w:highlight w:val="none"/>
              </w:rPr>
              <w:t>％；</w:t>
            </w:r>
            <w:r>
              <w:rPr>
                <w:rFonts w:hint="eastAsia" w:ascii="宋体" w:hAnsi="宋体"/>
                <w:b/>
                <w:bCs/>
                <w:szCs w:val="21"/>
              </w:rPr>
              <w:t>（注：</w:t>
            </w:r>
            <w:r>
              <w:rPr>
                <w:rFonts w:hint="eastAsia" w:ascii="宋体" w:hAnsi="宋体"/>
                <w:b/>
                <w:bCs/>
              </w:rPr>
              <w:t>监狱企业、残</w:t>
            </w:r>
            <w:r>
              <w:rPr>
                <w:rFonts w:hint="eastAsia" w:ascii="宋体" w:hAnsi="宋体"/>
                <w:b/>
                <w:bCs/>
                <w:szCs w:val="21"/>
              </w:rPr>
              <w:t>疾人福利性单位视同小型、微型企业，享受评审中价格扣除等促进中小企业发展的政府采购政策）</w:t>
            </w:r>
            <w:r>
              <w:rPr>
                <w:rFonts w:hint="eastAsia" w:ascii="宋体" w:hAnsi="宋体"/>
                <w:color w:val="auto"/>
                <w:szCs w:val="21"/>
                <w:highlight w:val="none"/>
              </w:rPr>
              <w:t>。</w:t>
            </w:r>
          </w:p>
        </w:tc>
      </w:tr>
      <w:tr w14:paraId="7487DF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371FF453">
            <w:pPr>
              <w:adjustRightInd w:val="0"/>
              <w:snapToGrid w:val="0"/>
              <w:spacing w:line="360" w:lineRule="exact"/>
              <w:jc w:val="center"/>
              <w:rPr>
                <w:rFonts w:ascii="宋体" w:hAnsi="宋体" w:cs="宋体"/>
                <w:szCs w:val="21"/>
              </w:rPr>
            </w:pPr>
            <w:r>
              <w:rPr>
                <w:rFonts w:hint="eastAsia" w:ascii="宋体" w:hAnsi="宋体" w:cs="宋体"/>
                <w:szCs w:val="21"/>
              </w:rPr>
              <w:t>第41.2（2）项</w:t>
            </w:r>
          </w:p>
        </w:tc>
        <w:tc>
          <w:tcPr>
            <w:tcW w:w="2126" w:type="dxa"/>
            <w:vAlign w:val="center"/>
          </w:tcPr>
          <w:p w14:paraId="221271E5">
            <w:pPr>
              <w:adjustRightInd w:val="0"/>
              <w:snapToGrid w:val="0"/>
              <w:jc w:val="center"/>
              <w:rPr>
                <w:rFonts w:ascii="宋体" w:hAnsi="宋体" w:cs="宋体"/>
                <w:szCs w:val="21"/>
                <w:highlight w:val="none"/>
              </w:rPr>
            </w:pPr>
            <w:r>
              <w:rPr>
                <w:rFonts w:hint="eastAsia" w:ascii="宋体" w:hAnsi="宋体" w:cs="宋体"/>
                <w:szCs w:val="21"/>
                <w:highlight w:val="none"/>
              </w:rPr>
              <w:t>小型、微型企业组成联合体或者大中型企业向小微企业分包的价格折扣比例</w:t>
            </w:r>
          </w:p>
        </w:tc>
        <w:tc>
          <w:tcPr>
            <w:tcW w:w="5307" w:type="dxa"/>
            <w:vAlign w:val="center"/>
          </w:tcPr>
          <w:p w14:paraId="2986263A">
            <w:pPr>
              <w:adjustRightInd w:val="0"/>
              <w:snapToGrid w:val="0"/>
              <w:spacing w:line="360" w:lineRule="exact"/>
              <w:rPr>
                <w:rFonts w:ascii="宋体" w:hAnsi="宋体" w:cs="宋体"/>
                <w:szCs w:val="21"/>
                <w:highlight w:val="none"/>
              </w:rPr>
            </w:pPr>
            <w:r>
              <w:rPr>
                <w:rFonts w:hint="eastAsia" w:cs="宋体" w:asciiTheme="minorEastAsia" w:hAnsiTheme="minorEastAsia" w:eastAsiaTheme="minorEastAsia"/>
                <w:b/>
                <w:bCs/>
                <w:szCs w:val="21"/>
                <w:lang w:eastAsia="zh-CN"/>
              </w:rPr>
              <w:t>□</w:t>
            </w:r>
            <w:r>
              <w:rPr>
                <w:rFonts w:hint="eastAsia" w:ascii="宋体" w:hAnsi="宋体" w:eastAsia="宋体" w:cs="Times New Roman"/>
                <w:b/>
                <w:bCs/>
                <w:color w:val="auto"/>
                <w:kern w:val="2"/>
                <w:sz w:val="21"/>
                <w:szCs w:val="21"/>
                <w:highlight w:val="none"/>
                <w:lang w:val="en-US" w:eastAsia="zh-CN" w:bidi="ar-SA"/>
              </w:rPr>
              <w:t>接受大中型企业与小微企业组成联合体或者允许大中型企业向一家或者多家小微企业分包的采购项目，对于联合协议或者分包意向协议约定小微企业的合同份额占到合同总金额40%以上的，给予</w:t>
            </w:r>
            <w:r>
              <w:rPr>
                <w:rFonts w:hint="eastAsia" w:ascii="宋体" w:hAnsi="宋体"/>
                <w:b/>
                <w:bCs/>
                <w:color w:val="auto"/>
                <w:szCs w:val="21"/>
                <w:highlight w:val="none"/>
              </w:rPr>
              <w:t>联合体或者大中型企业</w:t>
            </w:r>
            <w:r>
              <w:rPr>
                <w:rFonts w:hint="eastAsia" w:ascii="宋体" w:hAnsi="宋体"/>
                <w:b/>
                <w:bCs/>
                <w:color w:val="auto"/>
                <w:szCs w:val="21"/>
                <w:highlight w:val="none"/>
                <w:lang w:val="en-US" w:eastAsia="zh-CN"/>
              </w:rPr>
              <w:t>的报价</w:t>
            </w:r>
            <w:r>
              <w:rPr>
                <w:rFonts w:hint="eastAsia" w:ascii="宋体" w:hAnsi="宋体" w:eastAsia="宋体" w:cs="Times New Roman"/>
                <w:b/>
                <w:bCs/>
                <w:color w:val="auto"/>
                <w:kern w:val="2"/>
                <w:sz w:val="21"/>
                <w:szCs w:val="21"/>
                <w:highlight w:val="none"/>
                <w:lang w:val="en-US" w:eastAsia="zh-CN" w:bidi="ar-SA"/>
              </w:rPr>
              <w:t>一定比例（4%-6%）的价格折扣，用扣除后的价格参与评审，本项目具体扣除比例为</w:t>
            </w:r>
            <w:r>
              <w:rPr>
                <w:rFonts w:hint="eastAsia" w:ascii="宋体" w:hAnsi="宋体"/>
                <w:b/>
                <w:bCs/>
                <w:color w:val="auto"/>
                <w:szCs w:val="21"/>
                <w:highlight w:val="none"/>
                <w:u w:val="single"/>
              </w:rPr>
              <w:t xml:space="preserve"> </w:t>
            </w:r>
            <w:r>
              <w:rPr>
                <w:rFonts w:hint="eastAsia" w:ascii="宋体" w:hAnsi="宋体" w:eastAsia="宋体" w:cs="宋体"/>
                <w:b/>
                <w:bCs/>
                <w:color w:val="auto"/>
                <w:szCs w:val="21"/>
                <w:highlight w:val="none"/>
                <w:u w:val="single"/>
              </w:rPr>
              <w:t>/</w:t>
            </w:r>
            <w:r>
              <w:rPr>
                <w:rFonts w:hint="eastAsia" w:ascii="宋体" w:hAnsi="宋体"/>
                <w:b/>
                <w:bCs/>
                <w:color w:val="auto"/>
                <w:szCs w:val="21"/>
                <w:highlight w:val="none"/>
                <w:u w:val="single"/>
              </w:rPr>
              <w:t xml:space="preserve"> </w:t>
            </w:r>
            <w:r>
              <w:rPr>
                <w:rFonts w:hint="eastAsia" w:ascii="宋体" w:hAnsi="宋体" w:eastAsia="宋体" w:cs="Times New Roman"/>
                <w:b/>
                <w:bCs/>
                <w:color w:val="auto"/>
                <w:kern w:val="2"/>
                <w:sz w:val="21"/>
                <w:szCs w:val="21"/>
                <w:highlight w:val="none"/>
                <w:lang w:val="en-US" w:eastAsia="zh-CN" w:bidi="ar-SA"/>
              </w:rPr>
              <w:t>％</w:t>
            </w:r>
            <w:r>
              <w:rPr>
                <w:rFonts w:hint="eastAsia" w:ascii="宋体" w:hAnsi="宋体"/>
                <w:b/>
                <w:bCs/>
                <w:color w:val="auto"/>
                <w:szCs w:val="21"/>
                <w:highlight w:val="none"/>
              </w:rPr>
              <w:t>；</w:t>
            </w:r>
          </w:p>
        </w:tc>
      </w:tr>
      <w:tr w14:paraId="0B9D88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197" w:type="dxa"/>
            <w:vAlign w:val="center"/>
          </w:tcPr>
          <w:p w14:paraId="36811E13">
            <w:pPr>
              <w:adjustRightInd w:val="0"/>
              <w:snapToGrid w:val="0"/>
              <w:spacing w:line="360" w:lineRule="exact"/>
              <w:jc w:val="center"/>
              <w:rPr>
                <w:rFonts w:ascii="宋体" w:hAnsi="宋体" w:cs="宋体"/>
                <w:szCs w:val="21"/>
              </w:rPr>
            </w:pPr>
            <w:r>
              <w:rPr>
                <w:rFonts w:hint="eastAsia" w:ascii="宋体" w:hAnsi="宋体" w:cs="宋体"/>
                <w:szCs w:val="21"/>
              </w:rPr>
              <w:t>第44.1款</w:t>
            </w:r>
          </w:p>
        </w:tc>
        <w:tc>
          <w:tcPr>
            <w:tcW w:w="2126" w:type="dxa"/>
            <w:vAlign w:val="center"/>
          </w:tcPr>
          <w:p w14:paraId="4870015F">
            <w:pPr>
              <w:adjustRightInd w:val="0"/>
              <w:snapToGrid w:val="0"/>
              <w:jc w:val="center"/>
              <w:rPr>
                <w:rFonts w:ascii="宋体" w:hAnsi="宋体" w:cs="宋体"/>
                <w:szCs w:val="21"/>
              </w:rPr>
            </w:pPr>
            <w:r>
              <w:rPr>
                <w:rFonts w:hint="eastAsia" w:ascii="宋体" w:hAnsi="宋体" w:cs="宋体"/>
                <w:szCs w:val="21"/>
              </w:rPr>
              <w:t>采购进口产品</w:t>
            </w:r>
          </w:p>
        </w:tc>
        <w:tc>
          <w:tcPr>
            <w:tcW w:w="5307" w:type="dxa"/>
            <w:vAlign w:val="center"/>
          </w:tcPr>
          <w:p w14:paraId="59124CF1">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否</w:t>
            </w:r>
          </w:p>
        </w:tc>
      </w:tr>
      <w:tr w14:paraId="1E28A4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8630" w:type="dxa"/>
            <w:gridSpan w:val="3"/>
            <w:vAlign w:val="center"/>
          </w:tcPr>
          <w:p w14:paraId="0FD27273">
            <w:pPr>
              <w:adjustRightInd w:val="0"/>
              <w:snapToGrid w:val="0"/>
              <w:spacing w:line="360" w:lineRule="exact"/>
              <w:rPr>
                <w:rFonts w:asciiTheme="minorEastAsia" w:hAnsiTheme="minorEastAsia" w:eastAsiaTheme="minorEastAsia"/>
                <w:b/>
                <w:szCs w:val="21"/>
              </w:rPr>
            </w:pPr>
            <w:r>
              <w:rPr>
                <w:rFonts w:hint="eastAsia" w:asciiTheme="minorEastAsia" w:hAnsiTheme="minorEastAsia" w:eastAsiaTheme="minorEastAsia"/>
                <w:b/>
                <w:szCs w:val="21"/>
              </w:rPr>
              <w:t>八、其他规定</w:t>
            </w:r>
          </w:p>
        </w:tc>
      </w:tr>
      <w:tr w14:paraId="03CAF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2350D979">
            <w:pPr>
              <w:adjustRightInd w:val="0"/>
              <w:snapToGrid w:val="0"/>
              <w:spacing w:line="360" w:lineRule="exact"/>
              <w:jc w:val="center"/>
              <w:rPr>
                <w:rFonts w:ascii="宋体" w:hAnsi="宋体" w:cs="宋体"/>
                <w:szCs w:val="21"/>
              </w:rPr>
            </w:pPr>
            <w:r>
              <w:rPr>
                <w:rFonts w:hint="eastAsia" w:ascii="宋体" w:hAnsi="宋体" w:cs="宋体"/>
                <w:szCs w:val="21"/>
              </w:rPr>
              <w:t>第46.1</w:t>
            </w:r>
            <w:r>
              <w:rPr>
                <w:rFonts w:hint="eastAsia" w:ascii="宋体" w:hAnsi="宋体" w:cs="宋体"/>
                <w:kern w:val="0"/>
                <w:szCs w:val="21"/>
                <w:lang w:val="zh-CN"/>
              </w:rPr>
              <w:t>（</w:t>
            </w:r>
            <w:r>
              <w:rPr>
                <w:rFonts w:hint="eastAsia" w:ascii="宋体" w:hAnsi="宋体" w:cs="宋体"/>
                <w:kern w:val="0"/>
                <w:szCs w:val="21"/>
              </w:rPr>
              <w:t>1</w:t>
            </w:r>
            <w:r>
              <w:rPr>
                <w:rFonts w:hint="eastAsia" w:ascii="宋体" w:hAnsi="宋体" w:cs="宋体"/>
                <w:kern w:val="0"/>
                <w:szCs w:val="21"/>
                <w:lang w:val="zh-CN"/>
              </w:rPr>
              <w:t>）</w:t>
            </w:r>
            <w:r>
              <w:rPr>
                <w:rFonts w:hint="eastAsia" w:ascii="宋体" w:hAnsi="宋体" w:cs="宋体"/>
                <w:szCs w:val="21"/>
              </w:rPr>
              <w:t>项</w:t>
            </w:r>
          </w:p>
        </w:tc>
        <w:tc>
          <w:tcPr>
            <w:tcW w:w="2126" w:type="dxa"/>
            <w:vAlign w:val="center"/>
          </w:tcPr>
          <w:p w14:paraId="5966B70C">
            <w:pPr>
              <w:adjustRightInd w:val="0"/>
              <w:snapToGrid w:val="0"/>
              <w:spacing w:line="360" w:lineRule="exact"/>
              <w:jc w:val="center"/>
              <w:rPr>
                <w:rFonts w:ascii="宋体" w:hAnsi="宋体" w:cs="宋体"/>
                <w:szCs w:val="21"/>
              </w:rPr>
            </w:pPr>
            <w:r>
              <w:rPr>
                <w:rFonts w:hint="eastAsia" w:ascii="宋体" w:hAnsi="宋体" w:cs="宋体"/>
                <w:szCs w:val="21"/>
              </w:rPr>
              <w:t>合同预付款的支付比例和支付条件</w:t>
            </w:r>
          </w:p>
        </w:tc>
        <w:tc>
          <w:tcPr>
            <w:tcW w:w="5307" w:type="dxa"/>
            <w:vAlign w:val="center"/>
          </w:tcPr>
          <w:p w14:paraId="4558495D">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w:t>
            </w:r>
          </w:p>
        </w:tc>
      </w:tr>
      <w:tr w14:paraId="7AB552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197" w:type="dxa"/>
            <w:vAlign w:val="center"/>
          </w:tcPr>
          <w:p w14:paraId="37EBA8A9">
            <w:pPr>
              <w:adjustRightInd w:val="0"/>
              <w:snapToGrid w:val="0"/>
              <w:spacing w:line="360" w:lineRule="exact"/>
              <w:jc w:val="center"/>
              <w:rPr>
                <w:rFonts w:ascii="宋体" w:hAnsi="宋体" w:cs="宋体"/>
                <w:szCs w:val="21"/>
              </w:rPr>
            </w:pPr>
            <w:r>
              <w:rPr>
                <w:rFonts w:hint="eastAsia" w:ascii="宋体" w:hAnsi="宋体" w:cs="宋体"/>
                <w:szCs w:val="21"/>
              </w:rPr>
              <w:t>第46.1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szCs w:val="21"/>
              </w:rPr>
              <w:t>项</w:t>
            </w:r>
          </w:p>
        </w:tc>
        <w:tc>
          <w:tcPr>
            <w:tcW w:w="2126" w:type="dxa"/>
            <w:vAlign w:val="center"/>
          </w:tcPr>
          <w:p w14:paraId="3E66D357">
            <w:pPr>
              <w:adjustRightInd w:val="0"/>
              <w:snapToGrid w:val="0"/>
              <w:spacing w:line="360" w:lineRule="exact"/>
              <w:jc w:val="center"/>
              <w:rPr>
                <w:rFonts w:ascii="宋体" w:hAnsi="宋体" w:cs="宋体"/>
                <w:szCs w:val="21"/>
              </w:rPr>
            </w:pPr>
            <w:r>
              <w:rPr>
                <w:rFonts w:hint="eastAsia" w:ascii="宋体" w:hAnsi="宋体" w:cs="宋体"/>
                <w:szCs w:val="21"/>
              </w:rPr>
              <w:t>质量保证金</w:t>
            </w:r>
          </w:p>
        </w:tc>
        <w:tc>
          <w:tcPr>
            <w:tcW w:w="5307" w:type="dxa"/>
            <w:vAlign w:val="center"/>
          </w:tcPr>
          <w:p w14:paraId="09ABB496">
            <w:pPr>
              <w:adjustRightInd w:val="0"/>
              <w:snapToGrid w:val="0"/>
              <w:spacing w:line="360" w:lineRule="exact"/>
              <w:rPr>
                <w:rFonts w:asciiTheme="minorEastAsia" w:hAnsiTheme="minorEastAsia" w:eastAsiaTheme="minorEastAsia"/>
                <w:szCs w:val="21"/>
              </w:rPr>
            </w:pPr>
            <w:r>
              <w:rPr>
                <w:rStyle w:val="278"/>
                <w:rFonts w:hint="eastAsia" w:ascii="宋体" w:hAnsi="宋体"/>
                <w:szCs w:val="21"/>
              </w:rPr>
              <w:t>/</w:t>
            </w:r>
          </w:p>
        </w:tc>
      </w:tr>
      <w:tr w14:paraId="394D0A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1197" w:type="dxa"/>
            <w:vMerge w:val="restart"/>
            <w:vAlign w:val="center"/>
          </w:tcPr>
          <w:p w14:paraId="772B8769">
            <w:pPr>
              <w:adjustRightInd w:val="0"/>
              <w:snapToGrid w:val="0"/>
              <w:spacing w:before="50" w:line="360" w:lineRule="auto"/>
              <w:jc w:val="center"/>
              <w:rPr>
                <w:rFonts w:asciiTheme="minorEastAsia" w:hAnsiTheme="minorEastAsia" w:eastAsiaTheme="minorEastAsia"/>
                <w:szCs w:val="21"/>
              </w:rPr>
            </w:pPr>
            <w:r>
              <w:rPr>
                <w:rFonts w:hint="eastAsia" w:ascii="宋体" w:hAnsi="宋体"/>
                <w:szCs w:val="21"/>
              </w:rPr>
              <w:t>第46.</w:t>
            </w:r>
            <w:r>
              <w:rPr>
                <w:rFonts w:ascii="宋体" w:hAnsi="宋体"/>
                <w:szCs w:val="21"/>
              </w:rPr>
              <w:t>2</w:t>
            </w:r>
            <w:r>
              <w:rPr>
                <w:rFonts w:hint="eastAsia" w:ascii="宋体" w:hAnsi="宋体"/>
                <w:szCs w:val="21"/>
              </w:rPr>
              <w:t>款</w:t>
            </w:r>
          </w:p>
        </w:tc>
        <w:tc>
          <w:tcPr>
            <w:tcW w:w="2126" w:type="dxa"/>
            <w:vMerge w:val="restart"/>
            <w:vAlign w:val="center"/>
          </w:tcPr>
          <w:p w14:paraId="745801FF">
            <w:pPr>
              <w:adjustRightInd w:val="0"/>
              <w:snapToGrid w:val="0"/>
              <w:spacing w:before="50" w:line="360" w:lineRule="auto"/>
              <w:jc w:val="center"/>
              <w:rPr>
                <w:rFonts w:asciiTheme="minorEastAsia" w:hAnsiTheme="minorEastAsia" w:eastAsiaTheme="minorEastAsia"/>
                <w:szCs w:val="21"/>
              </w:rPr>
            </w:pPr>
            <w:r>
              <w:rPr>
                <w:rFonts w:hint="eastAsia" w:ascii="宋体" w:hAnsi="宋体"/>
                <w:szCs w:val="21"/>
              </w:rPr>
              <w:t>其他规定</w:t>
            </w:r>
          </w:p>
        </w:tc>
        <w:tc>
          <w:tcPr>
            <w:tcW w:w="5307" w:type="dxa"/>
            <w:tcBorders>
              <w:bottom w:val="single" w:color="auto" w:sz="4" w:space="0"/>
            </w:tcBorders>
            <w:vAlign w:val="center"/>
          </w:tcPr>
          <w:p w14:paraId="2E5695C7">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lang w:val="en-US" w:eastAsia="zh-CN"/>
              </w:rPr>
              <w:t>参照计价【2002】1980号文计算</w:t>
            </w:r>
            <w:r>
              <w:rPr>
                <w:rFonts w:asciiTheme="minorEastAsia" w:hAnsiTheme="minorEastAsia" w:eastAsiaTheme="minorEastAsia"/>
                <w:szCs w:val="21"/>
              </w:rPr>
              <w:t>代理服务费</w:t>
            </w:r>
            <w:r>
              <w:rPr>
                <w:rFonts w:hint="eastAsia" w:asciiTheme="minorEastAsia" w:hAnsiTheme="minorEastAsia" w:eastAsiaTheme="minorEastAsia"/>
                <w:szCs w:val="21"/>
                <w:lang w:val="en-US" w:eastAsia="zh-CN"/>
              </w:rPr>
              <w:t>壹万肆仟肆佰元整</w:t>
            </w:r>
            <w:r>
              <w:rPr>
                <w:rFonts w:asciiTheme="minorEastAsia" w:hAnsiTheme="minorEastAsia" w:eastAsiaTheme="minorEastAsia"/>
                <w:szCs w:val="21"/>
              </w:rPr>
              <w:t>由采购人支付；</w:t>
            </w:r>
          </w:p>
        </w:tc>
      </w:tr>
      <w:tr w14:paraId="715F3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69" w:hRule="atLeast"/>
          <w:jc w:val="center"/>
        </w:trPr>
        <w:tc>
          <w:tcPr>
            <w:tcW w:w="1197" w:type="dxa"/>
            <w:vMerge w:val="continue"/>
            <w:vAlign w:val="center"/>
          </w:tcPr>
          <w:p w14:paraId="0FA6D2C3">
            <w:pPr>
              <w:adjustRightInd w:val="0"/>
              <w:snapToGrid w:val="0"/>
              <w:spacing w:before="50" w:line="360" w:lineRule="auto"/>
              <w:jc w:val="center"/>
              <w:rPr>
                <w:rFonts w:ascii="宋体" w:hAnsi="宋体"/>
                <w:szCs w:val="21"/>
              </w:rPr>
            </w:pPr>
          </w:p>
        </w:tc>
        <w:tc>
          <w:tcPr>
            <w:tcW w:w="2126" w:type="dxa"/>
            <w:vMerge w:val="continue"/>
            <w:vAlign w:val="center"/>
          </w:tcPr>
          <w:p w14:paraId="67C0E155">
            <w:pPr>
              <w:adjustRightInd w:val="0"/>
              <w:snapToGrid w:val="0"/>
              <w:spacing w:before="50" w:line="360" w:lineRule="auto"/>
              <w:jc w:val="center"/>
              <w:rPr>
                <w:rFonts w:ascii="宋体" w:hAnsi="宋体"/>
                <w:szCs w:val="21"/>
              </w:rPr>
            </w:pPr>
          </w:p>
        </w:tc>
        <w:tc>
          <w:tcPr>
            <w:tcW w:w="5307" w:type="dxa"/>
            <w:tcBorders>
              <w:top w:val="single" w:color="auto" w:sz="4" w:space="0"/>
            </w:tcBorders>
            <w:vAlign w:val="center"/>
          </w:tcPr>
          <w:p w14:paraId="7D339206">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BEF6575">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1、信用信息查询的查询渠道：“信用中国”网站（www.creditchina.gov.cn）、中国政府采购网（www.ccgp.gov.cn）和湖南省政府采购网（www.ccgp-hunan.gov.cn）。</w:t>
            </w:r>
          </w:p>
          <w:p w14:paraId="3AEEA7D1">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2、信用信息查询的截止时点：至本项目投标截止时间止。</w:t>
            </w:r>
          </w:p>
          <w:p w14:paraId="1FD4366D">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3、信用信息查询记录的具体方式：采购人或采购代理机构在开标时在规定的查询渠道进行查询。</w:t>
            </w:r>
          </w:p>
          <w:p w14:paraId="55087EB6">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4、供应商对采购人（包括采购代理机构）发布的竞争性谈判文件有异议的，应在竞争性谈判文件规定的投标截止时间前，向采购人或采购代理机构或行政监督部门提出，否则视为认可竞争性谈判文件的内容和条款。</w:t>
            </w:r>
          </w:p>
        </w:tc>
      </w:tr>
    </w:tbl>
    <w:p w14:paraId="7AC74628">
      <w:pPr>
        <w:rPr>
          <w:rFonts w:ascii="黑体" w:hAnsi="黑体" w:eastAsia="黑体"/>
          <w:sz w:val="32"/>
        </w:rPr>
      </w:pPr>
      <w:bookmarkStart w:id="54" w:name="_Toc74694314"/>
      <w:bookmarkStart w:id="55" w:name="_Toc2001"/>
      <w:bookmarkStart w:id="56" w:name="_Toc21030"/>
      <w:bookmarkStart w:id="57" w:name="_Toc32347"/>
      <w:bookmarkStart w:id="58" w:name="_Toc34637764"/>
      <w:r>
        <w:rPr>
          <w:rFonts w:hint="eastAsia" w:ascii="黑体" w:hAnsi="黑体" w:eastAsia="黑体"/>
          <w:sz w:val="32"/>
        </w:rPr>
        <w:br w:type="page"/>
      </w:r>
    </w:p>
    <w:p w14:paraId="57C7E9C4">
      <w:pPr>
        <w:pStyle w:val="3"/>
        <w:keepNext w:val="0"/>
        <w:keepLines w:val="0"/>
        <w:adjustRightInd w:val="0"/>
        <w:snapToGrid w:val="0"/>
        <w:spacing w:beforeLines="50"/>
        <w:jc w:val="center"/>
        <w:rPr>
          <w:rFonts w:ascii="黑体" w:hAnsi="黑体" w:eastAsia="黑体"/>
          <w:sz w:val="32"/>
        </w:rPr>
      </w:pPr>
      <w:bookmarkStart w:id="59" w:name="_Toc3175"/>
      <w:bookmarkStart w:id="60" w:name="_Toc209084327"/>
      <w:bookmarkStart w:id="61" w:name="_Toc145373999"/>
      <w:bookmarkStart w:id="62" w:name="_Toc13493"/>
      <w:bookmarkStart w:id="63" w:name="_Toc7390"/>
      <w:bookmarkStart w:id="64" w:name="_Toc25467"/>
      <w:bookmarkStart w:id="65" w:name="_Toc7755"/>
      <w:r>
        <w:rPr>
          <w:rFonts w:hint="eastAsia" w:ascii="黑体" w:hAnsi="黑体" w:eastAsia="黑体"/>
          <w:sz w:val="32"/>
        </w:rPr>
        <w:t>第二节 谈判须知正文</w:t>
      </w:r>
      <w:bookmarkEnd w:id="54"/>
      <w:bookmarkEnd w:id="55"/>
      <w:bookmarkEnd w:id="56"/>
      <w:bookmarkEnd w:id="57"/>
      <w:bookmarkEnd w:id="58"/>
      <w:bookmarkEnd w:id="59"/>
      <w:bookmarkEnd w:id="60"/>
      <w:bookmarkEnd w:id="61"/>
      <w:bookmarkEnd w:id="62"/>
      <w:bookmarkEnd w:id="63"/>
      <w:bookmarkEnd w:id="64"/>
      <w:bookmarkEnd w:id="65"/>
    </w:p>
    <w:p w14:paraId="1928C944">
      <w:pPr>
        <w:pStyle w:val="4"/>
        <w:keepNext w:val="0"/>
        <w:keepLines w:val="0"/>
        <w:adjustRightInd w:val="0"/>
        <w:snapToGrid w:val="0"/>
        <w:spacing w:beforeLines="50" w:after="0" w:line="360" w:lineRule="auto"/>
        <w:jc w:val="center"/>
        <w:rPr>
          <w:rFonts w:ascii="黑体" w:hAnsi="黑体" w:eastAsia="黑体"/>
          <w:sz w:val="28"/>
          <w:szCs w:val="28"/>
        </w:rPr>
      </w:pPr>
      <w:bookmarkStart w:id="66" w:name="_Toc74694315"/>
      <w:bookmarkStart w:id="67" w:name="_Toc1487"/>
      <w:bookmarkStart w:id="68" w:name="_Toc32501"/>
      <w:bookmarkStart w:id="69" w:name="_Toc145374000"/>
      <w:bookmarkStart w:id="70" w:name="_Toc19975"/>
      <w:bookmarkStart w:id="71" w:name="_Toc34637765"/>
      <w:bookmarkStart w:id="72" w:name="_Toc18016"/>
      <w:bookmarkStart w:id="73" w:name="_Toc19623"/>
      <w:bookmarkStart w:id="74" w:name="_Toc8050"/>
      <w:bookmarkStart w:id="75" w:name="_Toc9644"/>
      <w:bookmarkStart w:id="76" w:name="_Toc3965"/>
      <w:bookmarkStart w:id="77" w:name="_Toc209084328"/>
      <w:r>
        <w:rPr>
          <w:rFonts w:hint="eastAsia" w:ascii="黑体" w:hAnsi="黑体" w:eastAsia="黑体"/>
          <w:sz w:val="28"/>
          <w:szCs w:val="28"/>
        </w:rPr>
        <w:t>一、说明</w:t>
      </w:r>
      <w:bookmarkEnd w:id="66"/>
      <w:bookmarkEnd w:id="67"/>
      <w:bookmarkEnd w:id="68"/>
      <w:bookmarkEnd w:id="69"/>
      <w:bookmarkEnd w:id="70"/>
      <w:bookmarkEnd w:id="71"/>
      <w:bookmarkEnd w:id="72"/>
      <w:bookmarkEnd w:id="73"/>
      <w:bookmarkEnd w:id="74"/>
      <w:bookmarkEnd w:id="75"/>
      <w:bookmarkEnd w:id="76"/>
      <w:bookmarkEnd w:id="77"/>
    </w:p>
    <w:p w14:paraId="5F553597">
      <w:pPr>
        <w:pStyle w:val="5"/>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 适用范围</w:t>
      </w:r>
    </w:p>
    <w:p w14:paraId="518AC359">
      <w:pPr>
        <w:adjustRightInd w:val="0"/>
        <w:snapToGrid w:val="0"/>
        <w:spacing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55548F4D">
      <w:pPr>
        <w:adjustRightInd w:val="0"/>
        <w:snapToGrid w:val="0"/>
        <w:spacing w:line="360" w:lineRule="auto"/>
        <w:ind w:firstLine="420" w:firstLineChars="200"/>
        <w:rPr>
          <w:rFonts w:asciiTheme="minorEastAsia" w:hAnsiTheme="minorEastAsia" w:eastAsiaTheme="minorEastAsia"/>
          <w:szCs w:val="21"/>
        </w:rPr>
      </w:pPr>
      <w:r>
        <w:rPr>
          <w:rFonts w:hint="eastAsia" w:ascii="宋体" w:hAnsi="宋体"/>
          <w:szCs w:val="21"/>
        </w:rPr>
        <w:t>1.2</w:t>
      </w:r>
      <w:r>
        <w:rPr>
          <w:rFonts w:hint="eastAsia" w:ascii="宋体" w:hAnsi="宋体"/>
          <w:b/>
          <w:szCs w:val="21"/>
        </w:rPr>
        <w:t>【谈判须知前附表】</w:t>
      </w:r>
      <w:r>
        <w:rPr>
          <w:rFonts w:hint="eastAsia" w:ascii="宋体" w:hAnsi="宋体"/>
          <w:szCs w:val="21"/>
        </w:rPr>
        <w:t>规定采购项目或者采购包属于“预留采购份额”的，供应商应当符合本章第3</w:t>
      </w:r>
      <w:r>
        <w:rPr>
          <w:rFonts w:ascii="宋体" w:hAnsi="宋体"/>
          <w:szCs w:val="21"/>
        </w:rPr>
        <w:t>8</w:t>
      </w:r>
      <w:r>
        <w:rPr>
          <w:rFonts w:hint="eastAsia" w:ascii="宋体" w:hAnsi="宋体"/>
          <w:szCs w:val="21"/>
        </w:rPr>
        <w:t>.1款规定，否则，</w:t>
      </w:r>
      <w:r>
        <w:rPr>
          <w:rFonts w:hint="eastAsia" w:ascii="宋体" w:hAnsi="宋体"/>
          <w:b/>
          <w:bCs/>
          <w:kern w:val="0"/>
          <w:szCs w:val="21"/>
        </w:rPr>
        <w:t>其响应无效</w:t>
      </w:r>
      <w:r>
        <w:rPr>
          <w:rFonts w:hint="eastAsia" w:ascii="宋体" w:hAnsi="宋体"/>
          <w:szCs w:val="21"/>
        </w:rPr>
        <w:t>。</w:t>
      </w:r>
    </w:p>
    <w:p w14:paraId="4025B674">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2.定义</w:t>
      </w:r>
    </w:p>
    <w:p w14:paraId="2C9A6E83">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2.1采购项目联系人姓名和电话见</w:t>
      </w:r>
      <w:r>
        <w:rPr>
          <w:rFonts w:hint="eastAsia" w:asciiTheme="minorEastAsia" w:hAnsiTheme="minorEastAsia" w:eastAsiaTheme="minorEastAsia"/>
          <w:b/>
          <w:szCs w:val="21"/>
        </w:rPr>
        <w:t>【谈判须知前附表】</w:t>
      </w:r>
      <w:r>
        <w:rPr>
          <w:rFonts w:hint="eastAsia" w:asciiTheme="minorEastAsia" w:hAnsiTheme="minorEastAsia" w:eastAsiaTheme="minorEastAsia"/>
          <w:szCs w:val="21"/>
        </w:rPr>
        <w:t>。</w:t>
      </w:r>
    </w:p>
    <w:p w14:paraId="4574DFAB">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2.2采购人名称、地址、电话、联系人见</w:t>
      </w:r>
      <w:r>
        <w:rPr>
          <w:rFonts w:hint="eastAsia" w:asciiTheme="minorEastAsia" w:hAnsiTheme="minorEastAsia" w:eastAsiaTheme="minorEastAsia"/>
          <w:b/>
          <w:szCs w:val="21"/>
        </w:rPr>
        <w:t>【谈判须知前附表】</w:t>
      </w:r>
      <w:r>
        <w:rPr>
          <w:rFonts w:hint="eastAsia" w:asciiTheme="minorEastAsia" w:hAnsiTheme="minorEastAsia" w:eastAsiaTheme="minorEastAsia"/>
          <w:szCs w:val="21"/>
        </w:rPr>
        <w:t>。</w:t>
      </w:r>
    </w:p>
    <w:p w14:paraId="7C8719C5">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2.3采购代理机构名称、地址、电话、联系人见</w:t>
      </w:r>
      <w:r>
        <w:rPr>
          <w:rFonts w:hint="eastAsia" w:asciiTheme="minorEastAsia" w:hAnsiTheme="minorEastAsia" w:eastAsiaTheme="minorEastAsia"/>
          <w:b/>
          <w:szCs w:val="21"/>
        </w:rPr>
        <w:t>【谈判须知前附表】。</w:t>
      </w:r>
    </w:p>
    <w:p w14:paraId="3FCB292F">
      <w:pPr>
        <w:adjustRightInd w:val="0"/>
        <w:snapToGrid w:val="0"/>
        <w:spacing w:line="360" w:lineRule="auto"/>
        <w:ind w:firstLine="420" w:firstLineChars="200"/>
        <w:rPr>
          <w:rFonts w:cs="宋体" w:asciiTheme="minorEastAsia" w:hAnsiTheme="minorEastAsia" w:eastAsiaTheme="minorEastAsia"/>
          <w:color w:val="FF0000"/>
          <w:kern w:val="0"/>
          <w:szCs w:val="21"/>
          <w:lang w:val="zh-CN"/>
        </w:rPr>
      </w:pPr>
      <w:r>
        <w:rPr>
          <w:rFonts w:hint="eastAsia" w:asciiTheme="minorEastAsia" w:hAnsiTheme="minorEastAsia" w:eastAsiaTheme="minorEastAsia"/>
          <w:szCs w:val="21"/>
        </w:rPr>
        <w:t>2.4供应商是指响应谈判文件要求、参加竞争性谈判采购的法人、其他组织或者自然人</w:t>
      </w:r>
      <w:r>
        <w:rPr>
          <w:rFonts w:hint="eastAsia" w:asciiTheme="minorEastAsia" w:hAnsiTheme="minorEastAsia" w:eastAsiaTheme="minorEastAsia"/>
          <w:b/>
          <w:szCs w:val="21"/>
        </w:rPr>
        <w:t>。</w:t>
      </w:r>
    </w:p>
    <w:p w14:paraId="47F2245D">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3.供应商的资格要求</w:t>
      </w:r>
    </w:p>
    <w:p w14:paraId="4E37E1CE">
      <w:pPr>
        <w:adjustRightInd w:val="0"/>
        <w:snapToGrid w:val="0"/>
        <w:spacing w:line="360" w:lineRule="auto"/>
        <w:ind w:firstLine="420" w:firstLineChars="200"/>
        <w:jc w:val="left"/>
        <w:rPr>
          <w:rFonts w:ascii="宋体" w:hAnsi="宋体"/>
          <w:szCs w:val="21"/>
        </w:rPr>
      </w:pPr>
      <w:r>
        <w:rPr>
          <w:rFonts w:hint="eastAsia" w:ascii="宋体" w:hAnsi="宋体"/>
          <w:szCs w:val="21"/>
        </w:rPr>
        <w:t>3.1供应商应当符合</w:t>
      </w:r>
      <w:r>
        <w:rPr>
          <w:rFonts w:hint="eastAsia" w:ascii="宋体" w:hAnsi="宋体"/>
          <w:b/>
          <w:szCs w:val="21"/>
        </w:rPr>
        <w:t>【谈判须知前附表】</w:t>
      </w:r>
      <w:r>
        <w:rPr>
          <w:rFonts w:hint="eastAsia" w:ascii="宋体" w:hAnsi="宋体"/>
          <w:szCs w:val="21"/>
        </w:rPr>
        <w:t>规定的供应商资格条件。</w:t>
      </w:r>
    </w:p>
    <w:p w14:paraId="69B554BD">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【谈判须知前附表】</w:t>
      </w:r>
      <w:r>
        <w:rPr>
          <w:rFonts w:hint="eastAsia" w:ascii="宋体" w:hAnsi="宋体"/>
          <w:szCs w:val="21"/>
        </w:rPr>
        <w:t>规定接受联合体形式的，供应商除应符合本章第3.1</w:t>
      </w:r>
      <w:r>
        <w:rPr>
          <w:rFonts w:hint="eastAsia" w:ascii="宋体" w:hAnsi="宋体" w:cs="宋体"/>
          <w:kern w:val="0"/>
          <w:szCs w:val="21"/>
          <w:lang w:val="zh-CN"/>
        </w:rPr>
        <w:t>款</w:t>
      </w:r>
      <w:r>
        <w:rPr>
          <w:rFonts w:hint="eastAsia" w:ascii="宋体" w:hAnsi="宋体"/>
          <w:szCs w:val="21"/>
        </w:rPr>
        <w:t xml:space="preserve">规定外，还应遵守以下规定： </w:t>
      </w:r>
    </w:p>
    <w:p w14:paraId="765613F0">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41140985">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（2）联合体各方应按谈判文件提供的格式签订联合体协议书，明确联合体牵头人和各方的权利义务、合同工作量比例；</w:t>
      </w:r>
    </w:p>
    <w:p w14:paraId="7B8AB8FC">
      <w:pPr>
        <w:adjustRightInd w:val="0"/>
        <w:snapToGrid w:val="0"/>
        <w:spacing w:line="360" w:lineRule="auto"/>
        <w:ind w:firstLine="420" w:firstLineChars="200"/>
        <w:rPr>
          <w:rFonts w:cs="宋体" w:asciiTheme="minorEastAsia" w:hAnsiTheme="minorEastAsia" w:eastAsiaTheme="minorEastAsia"/>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不得再单独参加或者与其他供应商组成新的联合体参加同一合同项下的采购活动。</w:t>
      </w:r>
    </w:p>
    <w:p w14:paraId="729CA9ED">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4.参与谈判的费用 </w:t>
      </w:r>
    </w:p>
    <w:p w14:paraId="1D84DF6F">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4.1无论谈判的结果如何，供应商应自行承担所有与竞争性谈判采购活动有关的全部费用。</w:t>
      </w:r>
    </w:p>
    <w:p w14:paraId="19203924">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5.现场勘察</w:t>
      </w:r>
    </w:p>
    <w:p w14:paraId="0F4738A2">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5.1供应商应按</w:t>
      </w:r>
      <w:r>
        <w:rPr>
          <w:rFonts w:hint="eastAsia" w:asciiTheme="minorEastAsia" w:hAnsiTheme="minorEastAsia" w:eastAsiaTheme="minorEastAsia"/>
          <w:b/>
          <w:szCs w:val="21"/>
        </w:rPr>
        <w:t>【谈判须知前附表】</w:t>
      </w:r>
      <w:r>
        <w:rPr>
          <w:rFonts w:hint="eastAsia" w:asciiTheme="minorEastAsia" w:hAnsiTheme="minorEastAsia" w:eastAsiaTheme="minorEastAsia"/>
          <w:szCs w:val="21"/>
        </w:rPr>
        <w:t>中规定对采购项目现场和周围环境的现场考察。</w:t>
      </w:r>
    </w:p>
    <w:p w14:paraId="02A0CE76">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5.2勘察现场的费用由供应商自己承担，勘察期间所发生的人身伤害及财产损失由供应商自己负责。</w:t>
      </w:r>
    </w:p>
    <w:p w14:paraId="2997F357">
      <w:pPr>
        <w:adjustRightInd w:val="0"/>
        <w:snapToGrid w:val="0"/>
        <w:spacing w:line="360" w:lineRule="auto"/>
        <w:ind w:firstLine="420" w:firstLineChars="200"/>
        <w:rPr>
          <w:rFonts w:asciiTheme="minorEastAsia" w:hAnsiTheme="minorEastAsia" w:eastAsiaTheme="minorEastAsia"/>
          <w:b/>
          <w:szCs w:val="21"/>
        </w:rPr>
      </w:pPr>
      <w:r>
        <w:rPr>
          <w:rFonts w:hint="eastAsia" w:asciiTheme="minorEastAsia" w:hAnsiTheme="minorEastAsia" w:eastAsiaTheme="minorEastAsia"/>
          <w:szCs w:val="21"/>
        </w:rPr>
        <w:t>5.3采购人不对供应商据此而做出的推论、理解和结论负责。一旦成交，供应商不得以任何借口，而提出额外补偿，或延长合同期限的要求。</w:t>
      </w:r>
    </w:p>
    <w:p w14:paraId="0D6A227F">
      <w:pPr>
        <w:pStyle w:val="4"/>
        <w:keepNext w:val="0"/>
        <w:keepLines w:val="0"/>
        <w:adjustRightInd w:val="0"/>
        <w:snapToGrid w:val="0"/>
        <w:spacing w:beforeLines="50" w:after="0" w:line="360" w:lineRule="auto"/>
        <w:jc w:val="center"/>
        <w:rPr>
          <w:rFonts w:ascii="黑体" w:hAnsi="黑体" w:eastAsia="黑体"/>
          <w:sz w:val="28"/>
          <w:szCs w:val="28"/>
        </w:rPr>
      </w:pPr>
      <w:bookmarkStart w:id="78" w:name="_Toc10575"/>
      <w:bookmarkStart w:id="79" w:name="_Toc20326"/>
      <w:bookmarkStart w:id="80" w:name="_Toc145374001"/>
      <w:bookmarkStart w:id="81" w:name="_Toc2829"/>
      <w:bookmarkStart w:id="82" w:name="_Toc24224"/>
      <w:bookmarkStart w:id="83" w:name="_Toc30443"/>
      <w:bookmarkStart w:id="84" w:name="_Toc74694316"/>
      <w:bookmarkStart w:id="85" w:name="_Toc76503419"/>
      <w:bookmarkStart w:id="86" w:name="_Toc34637766"/>
      <w:bookmarkStart w:id="87" w:name="_Toc17873"/>
      <w:bookmarkStart w:id="88" w:name="_Toc2407"/>
      <w:bookmarkStart w:id="89" w:name="_Toc209084329"/>
      <w:bookmarkStart w:id="90" w:name="_Toc19367"/>
      <w:bookmarkStart w:id="91" w:name="_Toc31725"/>
      <w:r>
        <w:rPr>
          <w:rFonts w:hint="eastAsia" w:ascii="黑体" w:hAnsi="黑体" w:eastAsia="黑体"/>
          <w:sz w:val="28"/>
          <w:szCs w:val="28"/>
        </w:rPr>
        <w:t>二、谈判文件</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03E056D">
      <w:pPr>
        <w:pStyle w:val="5"/>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6.谈判文件的组成</w:t>
      </w:r>
    </w:p>
    <w:p w14:paraId="1CA576F3">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6.1谈判文件由下列文件组成：</w:t>
      </w:r>
    </w:p>
    <w:p w14:paraId="4719DACE">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第一章采购邀请</w:t>
      </w:r>
    </w:p>
    <w:p w14:paraId="05F6AED2">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第二章 谈判须知</w:t>
      </w:r>
    </w:p>
    <w:p w14:paraId="4A4D5F43">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第三章 采购需求</w:t>
      </w:r>
    </w:p>
    <w:p w14:paraId="153E0105">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第四章 合同草案条款</w:t>
      </w:r>
    </w:p>
    <w:p w14:paraId="659043D1">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第五章 响应文件组成</w:t>
      </w:r>
    </w:p>
    <w:p w14:paraId="7BA930DB">
      <w:pPr>
        <w:pStyle w:val="24"/>
        <w:adjustRightInd w:val="0"/>
        <w:snapToGrid w:val="0"/>
        <w:spacing w:line="360" w:lineRule="auto"/>
        <w:ind w:firstLine="420" w:firstLineChars="200"/>
        <w:rPr>
          <w:rFonts w:cs="宋体" w:asciiTheme="minorEastAsia" w:hAnsiTheme="minorEastAsia" w:eastAsiaTheme="minorEastAsia"/>
          <w:kern w:val="0"/>
        </w:rPr>
      </w:pPr>
      <w:r>
        <w:rPr>
          <w:rFonts w:hint="eastAsia" w:asciiTheme="minorEastAsia" w:hAnsiTheme="minorEastAsia" w:eastAsiaTheme="minorEastAsia"/>
        </w:rPr>
        <w:t>6.2</w:t>
      </w:r>
      <w:r>
        <w:rPr>
          <w:rFonts w:hint="eastAsia" w:cs="宋体" w:asciiTheme="minorEastAsia" w:hAnsiTheme="minorEastAsia" w:eastAsiaTheme="minorEastAsia"/>
          <w:kern w:val="0"/>
        </w:rPr>
        <w:t>采购人、采购代理机构或者谈判小组在提交首次响应文件截止之日前对已发出的谈判文件进行的澄清或者修改，构成谈判文件的组成部分。</w:t>
      </w:r>
    </w:p>
    <w:p w14:paraId="7C5BF2E6">
      <w:pPr>
        <w:pStyle w:val="24"/>
        <w:adjustRightInd w:val="0"/>
        <w:snapToGrid w:val="0"/>
        <w:spacing w:line="360" w:lineRule="auto"/>
        <w:ind w:firstLine="420" w:firstLineChars="200"/>
        <w:rPr>
          <w:rFonts w:asciiTheme="minorEastAsia" w:hAnsiTheme="minorEastAsia" w:eastAsiaTheme="minorEastAsia"/>
        </w:rPr>
      </w:pPr>
      <w:r>
        <w:rPr>
          <w:rFonts w:hint="eastAsia" w:cs="宋体" w:asciiTheme="minorEastAsia" w:hAnsiTheme="minorEastAsia" w:eastAsiaTheme="minorEastAsia"/>
          <w:kern w:val="0"/>
        </w:rPr>
        <w:t>6.3谈判文件中，谈判小组根据与供应商谈判情况可能实质性变动的内容见</w:t>
      </w:r>
      <w:r>
        <w:rPr>
          <w:rFonts w:hint="eastAsia" w:asciiTheme="minorEastAsia" w:hAnsiTheme="minorEastAsia" w:eastAsiaTheme="minorEastAsia"/>
          <w:b/>
        </w:rPr>
        <w:t>【谈判须知前附表】</w:t>
      </w:r>
      <w:r>
        <w:rPr>
          <w:rFonts w:hint="eastAsia" w:cs="宋体" w:asciiTheme="minorEastAsia" w:hAnsiTheme="minorEastAsia" w:eastAsiaTheme="minorEastAsia"/>
          <w:kern w:val="0"/>
        </w:rPr>
        <w:t>。对谈判文件作出的实质性变动是谈判文件的有效组成部分。</w:t>
      </w:r>
    </w:p>
    <w:p w14:paraId="30F99DC2">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6.4供应商应仔细阅读</w:t>
      </w:r>
      <w:r>
        <w:rPr>
          <w:rFonts w:hint="eastAsia" w:asciiTheme="minorEastAsia" w:hAnsiTheme="minorEastAsia" w:eastAsiaTheme="minorEastAsia"/>
          <w:bCs/>
        </w:rPr>
        <w:t>谈判</w:t>
      </w:r>
      <w:r>
        <w:rPr>
          <w:rFonts w:hint="eastAsia" w:asciiTheme="minorEastAsia" w:hAnsiTheme="minorEastAsia" w:eastAsiaTheme="minorEastAsia"/>
        </w:rPr>
        <w:t>文件的全部内容，按照</w:t>
      </w:r>
      <w:r>
        <w:rPr>
          <w:rFonts w:hint="eastAsia" w:asciiTheme="minorEastAsia" w:hAnsiTheme="minorEastAsia" w:eastAsiaTheme="minorEastAsia"/>
          <w:bCs/>
        </w:rPr>
        <w:t>谈判</w:t>
      </w:r>
      <w:r>
        <w:rPr>
          <w:rFonts w:hint="eastAsia" w:asciiTheme="minorEastAsia" w:hAnsiTheme="minorEastAsia" w:eastAsiaTheme="minorEastAsia"/>
        </w:rPr>
        <w:t>文件要求编制响应文件。任何对</w:t>
      </w:r>
      <w:r>
        <w:rPr>
          <w:rFonts w:hint="eastAsia" w:asciiTheme="minorEastAsia" w:hAnsiTheme="minorEastAsia" w:eastAsiaTheme="minorEastAsia"/>
          <w:bCs/>
        </w:rPr>
        <w:t>谈判</w:t>
      </w:r>
      <w:r>
        <w:rPr>
          <w:rFonts w:hint="eastAsia" w:asciiTheme="minorEastAsia" w:hAnsiTheme="minorEastAsia" w:eastAsiaTheme="minorEastAsia"/>
        </w:rPr>
        <w:t>文件的忽略或误解不能作为响应文件存在缺陷或瑕疵的理由，其风险由供应商承担。</w:t>
      </w:r>
    </w:p>
    <w:p w14:paraId="3E204977">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7.谈判文件的澄清</w:t>
      </w:r>
      <w:r>
        <w:rPr>
          <w:rFonts w:hint="eastAsia" w:asciiTheme="minorEastAsia" w:hAnsiTheme="minorEastAsia" w:eastAsiaTheme="minorEastAsia"/>
          <w:kern w:val="0"/>
          <w:sz w:val="21"/>
          <w:szCs w:val="21"/>
          <w:lang w:val="zh-CN"/>
        </w:rPr>
        <w:t>或者</w:t>
      </w:r>
      <w:r>
        <w:rPr>
          <w:rFonts w:hint="eastAsia" w:asciiTheme="minorEastAsia" w:hAnsiTheme="minorEastAsia" w:eastAsiaTheme="minorEastAsia"/>
          <w:sz w:val="21"/>
          <w:szCs w:val="21"/>
        </w:rPr>
        <w:t>修改</w:t>
      </w:r>
    </w:p>
    <w:p w14:paraId="77DB9EBB">
      <w:pPr>
        <w:adjustRightInd w:val="0"/>
        <w:snapToGrid w:val="0"/>
        <w:spacing w:line="360" w:lineRule="auto"/>
        <w:ind w:firstLine="420" w:firstLineChars="200"/>
        <w:rPr>
          <w:rFonts w:cs="宋体" w:asciiTheme="minorEastAsia" w:hAnsiTheme="minorEastAsia" w:eastAsiaTheme="minorEastAsia"/>
          <w:kern w:val="0"/>
          <w:szCs w:val="21"/>
        </w:rPr>
      </w:pPr>
      <w:r>
        <w:rPr>
          <w:rFonts w:hint="eastAsia" w:asciiTheme="minorEastAsia" w:hAnsiTheme="minorEastAsia" w:eastAsiaTheme="minorEastAsia"/>
          <w:szCs w:val="21"/>
        </w:rPr>
        <w:t>7.1在</w:t>
      </w:r>
      <w:r>
        <w:rPr>
          <w:rFonts w:hint="eastAsia" w:cs="宋体" w:asciiTheme="minorEastAsia" w:hAnsiTheme="minorEastAsia" w:eastAsiaTheme="minorEastAsia"/>
          <w:kern w:val="0"/>
          <w:szCs w:val="21"/>
        </w:rPr>
        <w:t>提交首次响应文件截止之日前，采购人、采购代理机构或者谈判小组可以对已发出的谈判文件进行必要的澄清或者修改。</w:t>
      </w:r>
    </w:p>
    <w:p w14:paraId="406A2BBB">
      <w:pPr>
        <w:adjustRightInd w:val="0"/>
        <w:snapToGrid w:val="0"/>
        <w:spacing w:line="360" w:lineRule="auto"/>
        <w:ind w:firstLine="420" w:firstLineChars="200"/>
        <w:rPr>
          <w:rFonts w:ascii="宋体" w:hAnsi="宋体" w:cs="宋体"/>
          <w:kern w:val="0"/>
          <w:szCs w:val="21"/>
        </w:rPr>
      </w:pPr>
      <w:r>
        <w:rPr>
          <w:rFonts w:hint="eastAsia" w:asciiTheme="minorEastAsia" w:hAnsiTheme="minorEastAsia" w:eastAsiaTheme="minorEastAsia"/>
          <w:szCs w:val="21"/>
        </w:rPr>
        <w:t>7.2</w:t>
      </w:r>
      <w:r>
        <w:rPr>
          <w:rFonts w:hint="eastAsia" w:cs="宋体" w:asciiTheme="minorEastAsia" w:hAnsiTheme="minorEastAsia" w:eastAsiaTheme="minorEastAsia"/>
          <w:kern w:val="0"/>
          <w:szCs w:val="21"/>
        </w:rPr>
        <w:t>澄清或者修改的内容可能影响响应文件编制的，采购人、采购代理机构或者谈判小组应当在提交首次响应文件截止之日3个工作日前，</w:t>
      </w:r>
      <w:r>
        <w:rPr>
          <w:rFonts w:hint="eastAsia" w:ascii="宋体" w:hAnsi="宋体" w:cs="宋体"/>
        </w:rPr>
        <w:t>在</w:t>
      </w:r>
      <w:r>
        <w:rPr>
          <w:rFonts w:hint="eastAsia" w:asciiTheme="minorEastAsia" w:hAnsiTheme="minorEastAsia" w:eastAsiaTheme="minorEastAsia"/>
          <w:b/>
          <w:szCs w:val="21"/>
        </w:rPr>
        <w:t>【谈判须知前附表】</w:t>
      </w:r>
      <w:r>
        <w:rPr>
          <w:rFonts w:hint="eastAsia" w:ascii="宋体" w:hAnsi="宋体" w:cs="宋体"/>
        </w:rPr>
        <w:t>规定的网站上发布</w:t>
      </w:r>
      <w:r>
        <w:rPr>
          <w:rFonts w:hint="eastAsia" w:cs="宋体" w:asciiTheme="minorEastAsia" w:hAnsiTheme="minorEastAsia" w:eastAsiaTheme="minorEastAsia"/>
          <w:kern w:val="0"/>
          <w:szCs w:val="21"/>
        </w:rPr>
        <w:t>，不足3个工作日的，顺延供应商提交首次响应文件截止时间。</w:t>
      </w:r>
    </w:p>
    <w:p w14:paraId="75FE17D2">
      <w:pPr>
        <w:pStyle w:val="4"/>
        <w:keepNext w:val="0"/>
        <w:keepLines w:val="0"/>
        <w:adjustRightInd w:val="0"/>
        <w:snapToGrid w:val="0"/>
        <w:spacing w:beforeLines="50" w:after="0" w:line="360" w:lineRule="auto"/>
        <w:jc w:val="center"/>
        <w:rPr>
          <w:rFonts w:ascii="黑体" w:hAnsi="黑体" w:eastAsia="黑体"/>
          <w:sz w:val="28"/>
          <w:szCs w:val="28"/>
        </w:rPr>
      </w:pPr>
      <w:bookmarkStart w:id="92" w:name="_Toc6801"/>
      <w:bookmarkStart w:id="93" w:name="_Toc19982"/>
      <w:bookmarkStart w:id="94" w:name="_Toc5807"/>
      <w:bookmarkStart w:id="95" w:name="_Toc74694317"/>
      <w:bookmarkStart w:id="96" w:name="_Toc26544"/>
      <w:bookmarkStart w:id="97" w:name="_Toc76503420"/>
      <w:bookmarkStart w:id="98" w:name="_Toc17916"/>
      <w:bookmarkStart w:id="99" w:name="_Toc32600"/>
      <w:bookmarkStart w:id="100" w:name="_Toc30743"/>
      <w:bookmarkStart w:id="101" w:name="_Toc209084330"/>
      <w:bookmarkStart w:id="102" w:name="_Toc145374002"/>
      <w:bookmarkStart w:id="103" w:name="_Toc34637767"/>
      <w:bookmarkStart w:id="104" w:name="_Toc13008"/>
      <w:bookmarkStart w:id="105" w:name="_Toc6583"/>
      <w:r>
        <w:rPr>
          <w:rFonts w:hint="eastAsia" w:ascii="黑体" w:hAnsi="黑体" w:eastAsia="黑体"/>
          <w:sz w:val="28"/>
          <w:szCs w:val="28"/>
        </w:rPr>
        <w:t>三、响应文件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62A40A5">
      <w:pPr>
        <w:pStyle w:val="5"/>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8.一般要求</w:t>
      </w:r>
    </w:p>
    <w:p w14:paraId="7F87A571">
      <w:pPr>
        <w:adjustRightInd w:val="0"/>
        <w:snapToGrid w:val="0"/>
        <w:spacing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3D8BB498">
      <w:pPr>
        <w:adjustRightInd w:val="0"/>
        <w:snapToGrid w:val="0"/>
        <w:spacing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供应商提交的响应文件及供应商与采购人或采购代理机构、谈判小组就有关谈判的所有来往函电均使用中文。供应商可以提交其他语言的资料，但应附中文注释，在有差异时以中文为准。</w:t>
      </w:r>
    </w:p>
    <w:p w14:paraId="17031647">
      <w:pPr>
        <w:adjustRightInd w:val="0"/>
        <w:snapToGrid w:val="0"/>
        <w:spacing w:line="360" w:lineRule="auto"/>
        <w:ind w:firstLine="420" w:firstLineChars="200"/>
        <w:rPr>
          <w:rFonts w:ascii="宋体" w:hAnsi="宋体" w:cs="Courier New"/>
          <w:szCs w:val="21"/>
        </w:rPr>
      </w:pPr>
      <w:r>
        <w:rPr>
          <w:rFonts w:hint="eastAsia" w:ascii="宋体" w:hAnsi="宋体" w:cs="Courier New"/>
          <w:bCs/>
          <w:szCs w:val="21"/>
        </w:rPr>
        <w:t>8.3</w:t>
      </w:r>
      <w:r>
        <w:rPr>
          <w:rFonts w:hint="eastAsia" w:ascii="宋体" w:hAnsi="宋体" w:cs="Courier New"/>
          <w:szCs w:val="21"/>
        </w:rPr>
        <w:t>计量单位应使用我国法定计量单位，未列明时应默认为我国法定计量单位。</w:t>
      </w:r>
    </w:p>
    <w:p w14:paraId="7AFE4C2F">
      <w:pPr>
        <w:adjustRightInd w:val="0"/>
        <w:snapToGrid w:val="0"/>
        <w:spacing w:line="360" w:lineRule="auto"/>
        <w:ind w:firstLine="420" w:firstLineChars="200"/>
        <w:rPr>
          <w:rFonts w:ascii="宋体" w:hAnsi="宋体" w:cs="Courier New"/>
          <w:szCs w:val="21"/>
        </w:rPr>
      </w:pPr>
      <w:r>
        <w:rPr>
          <w:rFonts w:hint="eastAsia" w:ascii="宋体" w:hAnsi="宋体" w:cs="Courier New"/>
          <w:szCs w:val="21"/>
        </w:rPr>
        <w:t>8.4响应文件应采用书面形式，电报、传真、电子邮件形式的响应文件概不接受。</w:t>
      </w:r>
    </w:p>
    <w:p w14:paraId="194995DF">
      <w:pPr>
        <w:adjustRightInd w:val="0"/>
        <w:snapToGrid w:val="0"/>
        <w:spacing w:line="360" w:lineRule="auto"/>
        <w:ind w:firstLine="420" w:firstLineChars="200"/>
        <w:rPr>
          <w:rFonts w:asciiTheme="minorEastAsia" w:hAnsiTheme="minorEastAsia" w:eastAsiaTheme="minorEastAsia"/>
          <w:szCs w:val="21"/>
        </w:rPr>
      </w:pPr>
      <w:r>
        <w:rPr>
          <w:rFonts w:hint="eastAsia" w:ascii="宋体" w:hAnsi="宋体"/>
          <w:szCs w:val="21"/>
        </w:rPr>
        <w:t>8.5供应商应按谈判文件中提供的响应文件格式填写。</w:t>
      </w:r>
    </w:p>
    <w:p w14:paraId="354F7C1B">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9.响应文件的组成</w:t>
      </w:r>
    </w:p>
    <w:p w14:paraId="4AAC5546">
      <w:pPr>
        <w:pStyle w:val="167"/>
        <w:spacing w:beforeLines="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9.1响应文件包括下列内容：</w:t>
      </w:r>
    </w:p>
    <w:p w14:paraId="1B64F702">
      <w:pPr>
        <w:adjustRightInd w:val="0"/>
        <w:snapToGrid w:val="0"/>
        <w:spacing w:line="360" w:lineRule="auto"/>
        <w:ind w:firstLine="420" w:firstLineChars="200"/>
        <w:rPr>
          <w:rFonts w:ascii="宋体" w:hAnsi="宋体"/>
          <w:szCs w:val="21"/>
        </w:rPr>
      </w:pPr>
      <w:r>
        <w:rPr>
          <w:rFonts w:hint="eastAsia" w:ascii="宋体" w:hAnsi="宋体"/>
          <w:szCs w:val="21"/>
        </w:rPr>
        <w:t>（1）报价表及报价文件(格式)</w:t>
      </w:r>
    </w:p>
    <w:p w14:paraId="1C6E6333">
      <w:pPr>
        <w:adjustRightInd w:val="0"/>
        <w:snapToGrid w:val="0"/>
        <w:spacing w:line="360" w:lineRule="auto"/>
        <w:ind w:firstLine="420" w:firstLineChars="200"/>
        <w:rPr>
          <w:rFonts w:ascii="宋体" w:hAnsi="宋体"/>
          <w:szCs w:val="21"/>
        </w:rPr>
      </w:pPr>
      <w:r>
        <w:rPr>
          <w:rFonts w:hint="eastAsia" w:ascii="宋体" w:hAnsi="宋体"/>
          <w:szCs w:val="21"/>
        </w:rPr>
        <w:t>（2）谈判响应声明(格式)</w:t>
      </w:r>
    </w:p>
    <w:p w14:paraId="1F875049">
      <w:pPr>
        <w:adjustRightInd w:val="0"/>
        <w:snapToGrid w:val="0"/>
        <w:spacing w:line="360" w:lineRule="auto"/>
        <w:ind w:firstLine="420" w:firstLineChars="200"/>
        <w:rPr>
          <w:rFonts w:ascii="宋体" w:hAnsi="宋体"/>
          <w:szCs w:val="21"/>
        </w:rPr>
      </w:pPr>
      <w:r>
        <w:rPr>
          <w:rFonts w:hint="eastAsia" w:ascii="宋体" w:hAnsi="宋体"/>
          <w:szCs w:val="21"/>
        </w:rPr>
        <w:t>（3）授权委托书(格式)</w:t>
      </w:r>
    </w:p>
    <w:p w14:paraId="41A2DC5E">
      <w:pPr>
        <w:adjustRightInd w:val="0"/>
        <w:snapToGrid w:val="0"/>
        <w:spacing w:line="360" w:lineRule="auto"/>
        <w:ind w:firstLine="420" w:firstLineChars="200"/>
        <w:rPr>
          <w:rFonts w:ascii="宋体" w:hAnsi="宋体"/>
          <w:szCs w:val="21"/>
        </w:rPr>
      </w:pPr>
      <w:r>
        <w:rPr>
          <w:rFonts w:hint="eastAsia" w:ascii="宋体" w:hAnsi="宋体"/>
          <w:szCs w:val="21"/>
        </w:rPr>
        <w:t>（4）采购需求响应</w:t>
      </w:r>
    </w:p>
    <w:p w14:paraId="387E41D7">
      <w:pPr>
        <w:adjustRightInd w:val="0"/>
        <w:snapToGrid w:val="0"/>
        <w:spacing w:line="360" w:lineRule="auto"/>
        <w:ind w:firstLine="420" w:firstLineChars="200"/>
        <w:rPr>
          <w:rFonts w:ascii="宋体" w:hAnsi="宋体"/>
          <w:szCs w:val="21"/>
        </w:rPr>
      </w:pPr>
      <w:r>
        <w:rPr>
          <w:rFonts w:hint="eastAsia" w:ascii="宋体" w:hAnsi="宋体"/>
          <w:szCs w:val="21"/>
        </w:rPr>
        <w:t>（5）合同条款偏离表</w:t>
      </w:r>
    </w:p>
    <w:p w14:paraId="0E8A0224">
      <w:pPr>
        <w:adjustRightInd w:val="0"/>
        <w:snapToGrid w:val="0"/>
        <w:spacing w:line="360" w:lineRule="auto"/>
        <w:ind w:firstLine="420" w:firstLineChars="200"/>
        <w:rPr>
          <w:rFonts w:ascii="宋体" w:hAnsi="宋体"/>
          <w:szCs w:val="21"/>
        </w:rPr>
      </w:pPr>
      <w:r>
        <w:rPr>
          <w:rFonts w:hint="eastAsia" w:ascii="宋体" w:hAnsi="宋体"/>
          <w:szCs w:val="21"/>
        </w:rPr>
        <w:t>（6）采购需求偏离表</w:t>
      </w:r>
    </w:p>
    <w:p w14:paraId="3DB2D99F">
      <w:pPr>
        <w:adjustRightInd w:val="0"/>
        <w:snapToGrid w:val="0"/>
        <w:spacing w:line="360" w:lineRule="auto"/>
        <w:ind w:firstLine="420" w:firstLineChars="200"/>
        <w:rPr>
          <w:rFonts w:ascii="宋体" w:hAnsi="宋体"/>
          <w:szCs w:val="21"/>
        </w:rPr>
      </w:pPr>
      <w:r>
        <w:rPr>
          <w:rFonts w:hint="eastAsia" w:ascii="宋体" w:hAnsi="宋体"/>
          <w:szCs w:val="21"/>
        </w:rPr>
        <w:t>（7）享受政府采购政策的证明资料</w:t>
      </w:r>
    </w:p>
    <w:p w14:paraId="5FE59E46">
      <w:pPr>
        <w:adjustRightInd w:val="0"/>
        <w:snapToGrid w:val="0"/>
        <w:spacing w:line="360" w:lineRule="auto"/>
        <w:ind w:firstLine="420" w:firstLineChars="200"/>
        <w:rPr>
          <w:rFonts w:ascii="宋体" w:hAnsi="宋体"/>
          <w:szCs w:val="21"/>
        </w:rPr>
      </w:pPr>
      <w:r>
        <w:rPr>
          <w:rFonts w:hint="eastAsia" w:ascii="宋体" w:hAnsi="宋体"/>
          <w:szCs w:val="21"/>
        </w:rPr>
        <w:t>（8）</w:t>
      </w:r>
      <w:r>
        <w:rPr>
          <w:rFonts w:hint="eastAsia" w:ascii="宋体" w:hAnsi="宋体"/>
          <w:kern w:val="32"/>
          <w:szCs w:val="21"/>
        </w:rPr>
        <w:t>供应商提供的资格证明文件</w:t>
      </w:r>
    </w:p>
    <w:p w14:paraId="2EC05360">
      <w:pPr>
        <w:adjustRightInd w:val="0"/>
        <w:snapToGrid w:val="0"/>
        <w:spacing w:line="360" w:lineRule="auto"/>
        <w:ind w:firstLine="420" w:firstLineChars="200"/>
        <w:rPr>
          <w:rFonts w:ascii="宋体" w:hAnsi="宋体"/>
          <w:szCs w:val="21"/>
        </w:rPr>
      </w:pPr>
      <w:r>
        <w:rPr>
          <w:rFonts w:hint="eastAsia" w:ascii="宋体" w:hAnsi="宋体"/>
          <w:szCs w:val="21"/>
        </w:rPr>
        <w:t>（9）响应标的符合谈判文件规定的证明文件</w:t>
      </w:r>
    </w:p>
    <w:p w14:paraId="78A64B83">
      <w:pPr>
        <w:adjustRightInd w:val="0"/>
        <w:snapToGrid w:val="0"/>
        <w:spacing w:line="360" w:lineRule="auto"/>
        <w:ind w:firstLine="420" w:firstLineChars="200"/>
        <w:rPr>
          <w:rFonts w:ascii="宋体" w:hAnsi="宋体"/>
          <w:szCs w:val="21"/>
        </w:rPr>
      </w:pPr>
      <w:r>
        <w:rPr>
          <w:rFonts w:hint="eastAsia" w:ascii="宋体" w:hAnsi="宋体"/>
          <w:szCs w:val="21"/>
        </w:rPr>
        <w:t>（10）供应商认为需提供的其他资料（如有）</w:t>
      </w:r>
    </w:p>
    <w:p w14:paraId="25656744">
      <w:pPr>
        <w:adjustRightInd w:val="0"/>
        <w:snapToGrid w:val="0"/>
        <w:spacing w:line="360" w:lineRule="auto"/>
        <w:ind w:firstLine="420" w:firstLineChars="200"/>
        <w:rPr>
          <w:rFonts w:ascii="宋体" w:hAnsi="宋体"/>
          <w:szCs w:val="21"/>
        </w:rPr>
      </w:pPr>
      <w:r>
        <w:rPr>
          <w:rFonts w:hint="eastAsia" w:ascii="宋体" w:hAnsi="宋体"/>
          <w:szCs w:val="21"/>
        </w:rPr>
        <w:t>（11）最后报价</w:t>
      </w:r>
    </w:p>
    <w:p w14:paraId="4419482B">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9.2在谈判过程中，供应商根据</w:t>
      </w:r>
      <w:r>
        <w:rPr>
          <w:rFonts w:hint="eastAsia" w:cs="宋体" w:asciiTheme="minorEastAsia" w:hAnsiTheme="minorEastAsia" w:eastAsiaTheme="minorEastAsia"/>
          <w:kern w:val="0"/>
          <w:szCs w:val="21"/>
        </w:rPr>
        <w:t>谈判小组</w:t>
      </w:r>
      <w:r>
        <w:rPr>
          <w:rFonts w:hint="eastAsia" w:asciiTheme="minorEastAsia" w:hAnsiTheme="minorEastAsia" w:eastAsiaTheme="minorEastAsia"/>
          <w:bCs/>
          <w:szCs w:val="21"/>
        </w:rPr>
        <w:t>书面形式要求</w:t>
      </w:r>
      <w:r>
        <w:rPr>
          <w:rFonts w:hint="eastAsia" w:cs="宋体" w:asciiTheme="minorEastAsia" w:hAnsiTheme="minorEastAsia" w:eastAsiaTheme="minorEastAsia"/>
          <w:kern w:val="0"/>
          <w:szCs w:val="21"/>
        </w:rPr>
        <w:t>提交的</w:t>
      </w:r>
      <w:r>
        <w:rPr>
          <w:rFonts w:hint="eastAsia" w:asciiTheme="minorEastAsia" w:hAnsiTheme="minorEastAsia" w:eastAsiaTheme="minorEastAsia"/>
          <w:szCs w:val="21"/>
        </w:rPr>
        <w:t>最后报价(或者</w:t>
      </w:r>
      <w:r>
        <w:rPr>
          <w:rFonts w:hint="eastAsia" w:asciiTheme="minorEastAsia" w:hAnsiTheme="minorEastAsia" w:eastAsiaTheme="minorEastAsia"/>
          <w:bCs/>
          <w:szCs w:val="21"/>
        </w:rPr>
        <w:t>重</w:t>
      </w:r>
      <w:r>
        <w:rPr>
          <w:rFonts w:hint="eastAsia" w:cs="宋体" w:asciiTheme="minorEastAsia" w:hAnsiTheme="minorEastAsia" w:eastAsiaTheme="minorEastAsia"/>
          <w:kern w:val="0"/>
          <w:szCs w:val="21"/>
        </w:rPr>
        <w:t>新提交的响应文件和</w:t>
      </w:r>
      <w:r>
        <w:rPr>
          <w:rFonts w:hint="eastAsia" w:asciiTheme="minorEastAsia" w:hAnsiTheme="minorEastAsia" w:eastAsiaTheme="minorEastAsia"/>
          <w:szCs w:val="21"/>
        </w:rPr>
        <w:t>最后报价)是响应文件的有效组成部分。</w:t>
      </w:r>
    </w:p>
    <w:p w14:paraId="15254109">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9.3根据《政府采购法》第四十二条的规定，供应商无论成交与否，其响应文件不予退还。</w:t>
      </w:r>
    </w:p>
    <w:p w14:paraId="57DDA109">
      <w:pPr>
        <w:adjustRightInd w:val="0"/>
        <w:snapToGrid w:val="0"/>
        <w:spacing w:line="360" w:lineRule="auto"/>
        <w:outlineLvl w:val="3"/>
        <w:rPr>
          <w:rFonts w:ascii="黑体" w:hAnsi="黑体" w:eastAsia="黑体"/>
          <w:b/>
          <w:bCs/>
          <w:sz w:val="24"/>
        </w:rPr>
      </w:pPr>
      <w:bookmarkStart w:id="106" w:name="_Toc107997847"/>
      <w:bookmarkStart w:id="107" w:name="_Toc62225434"/>
      <w:bookmarkStart w:id="108" w:name="_Toc107997974"/>
      <w:r>
        <w:rPr>
          <w:rFonts w:hint="eastAsia" w:asciiTheme="minorEastAsia" w:hAnsiTheme="minorEastAsia" w:eastAsiaTheme="minorEastAsia"/>
          <w:b/>
          <w:bCs/>
          <w:szCs w:val="21"/>
        </w:rPr>
        <w:t>10.供应商的资格更新证明</w:t>
      </w:r>
      <w:bookmarkEnd w:id="106"/>
      <w:bookmarkEnd w:id="107"/>
      <w:bookmarkEnd w:id="108"/>
      <w:r>
        <w:rPr>
          <w:rFonts w:hint="eastAsia" w:asciiTheme="minorEastAsia" w:hAnsiTheme="minorEastAsia" w:eastAsiaTheme="minorEastAsia"/>
          <w:b/>
          <w:bCs/>
          <w:szCs w:val="21"/>
        </w:rPr>
        <w:t>材料</w:t>
      </w:r>
    </w:p>
    <w:p w14:paraId="41372B6F">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10.1被邀请的供应商在提交首次响应文件前，其资格条件发生变化，影响或者可能影响资格条件的，应随响应文件提供更新或者补充的资格证明材料，以证实其各项条件仍能继续满足本章第3.1款规定的供应商资格条件要求。</w:t>
      </w:r>
    </w:p>
    <w:p w14:paraId="764DA5C1">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11.报价要求</w:t>
      </w:r>
    </w:p>
    <w:p w14:paraId="3860AF3B">
      <w:pPr>
        <w:adjustRightInd w:val="0"/>
        <w:snapToGrid w:val="0"/>
        <w:spacing w:line="360" w:lineRule="auto"/>
        <w:ind w:firstLine="420" w:firstLineChars="200"/>
        <w:rPr>
          <w:rFonts w:ascii="宋体" w:hAnsi="宋体"/>
          <w:szCs w:val="21"/>
        </w:rPr>
      </w:pPr>
      <w:r>
        <w:rPr>
          <w:rFonts w:hint="eastAsia" w:ascii="宋体" w:hAnsi="宋体"/>
          <w:szCs w:val="21"/>
        </w:rPr>
        <w:t>11.1供应商应当根据谈判文件第三章第一节“采购清单一览表”逐一报价；谈判文件第三章提供第二节“工程量清单”的，供应商应按其要求填写相应表格。</w:t>
      </w:r>
    </w:p>
    <w:p w14:paraId="1D2B1E3B">
      <w:pPr>
        <w:adjustRightInd w:val="0"/>
        <w:snapToGrid w:val="0"/>
        <w:spacing w:line="360" w:lineRule="auto"/>
        <w:ind w:firstLine="420" w:firstLineChars="200"/>
        <w:rPr>
          <w:rFonts w:ascii="宋体" w:hAnsi="宋体"/>
          <w:szCs w:val="21"/>
        </w:rPr>
      </w:pPr>
      <w:r>
        <w:rPr>
          <w:rFonts w:hint="eastAsia" w:ascii="宋体" w:hAnsi="宋体"/>
          <w:szCs w:val="21"/>
        </w:rPr>
        <w:t>11.2在报价表、分项报价表填写报价时应注意下列要求：</w:t>
      </w:r>
    </w:p>
    <w:p w14:paraId="7A8ED14D">
      <w:pPr>
        <w:adjustRightInd w:val="0"/>
        <w:snapToGrid w:val="0"/>
        <w:spacing w:line="360" w:lineRule="auto"/>
        <w:ind w:firstLine="420" w:firstLineChars="200"/>
        <w:rPr>
          <w:rFonts w:ascii="宋体" w:hAnsi="宋体" w:cs="Courier New"/>
          <w:szCs w:val="21"/>
        </w:rPr>
      </w:pPr>
      <w:r>
        <w:rPr>
          <w:rFonts w:hint="eastAsia" w:ascii="宋体" w:hAnsi="宋体" w:cs="Courier New"/>
          <w:szCs w:val="21"/>
        </w:rPr>
        <w:t>（1）采购需求要求的安装、调试、培训、售后服务及其他附加服务的费用。</w:t>
      </w:r>
    </w:p>
    <w:p w14:paraId="55FC933E">
      <w:pPr>
        <w:adjustRightInd w:val="0"/>
        <w:snapToGrid w:val="0"/>
        <w:spacing w:line="360" w:lineRule="auto"/>
        <w:ind w:firstLine="420" w:firstLineChars="200"/>
        <w:rPr>
          <w:rFonts w:ascii="宋体" w:hAnsi="宋体" w:cs="Courier New"/>
          <w:szCs w:val="21"/>
        </w:rPr>
      </w:pPr>
      <w:r>
        <w:rPr>
          <w:rFonts w:hint="eastAsia" w:ascii="宋体" w:hAnsi="宋体" w:cs="Courier New"/>
          <w:szCs w:val="21"/>
        </w:rPr>
        <w:t>（2）所有根据合同或其他原因应由供应商交纳和支付的税款和费用。</w:t>
      </w:r>
    </w:p>
    <w:p w14:paraId="0C1D38D7">
      <w:pPr>
        <w:adjustRightInd w:val="0"/>
        <w:snapToGrid w:val="0"/>
        <w:spacing w:line="360" w:lineRule="auto"/>
        <w:ind w:firstLine="420" w:firstLineChars="200"/>
        <w:rPr>
          <w:rFonts w:ascii="宋体" w:hAnsi="宋体"/>
        </w:rPr>
      </w:pPr>
      <w:r>
        <w:rPr>
          <w:rFonts w:hint="eastAsia" w:ascii="宋体" w:hAnsi="宋体"/>
        </w:rPr>
        <w:t>（3）谈判文件指定交货地点的运输、保险、装卸费。</w:t>
      </w:r>
    </w:p>
    <w:p w14:paraId="1ACD8C21">
      <w:pPr>
        <w:adjustRightInd w:val="0"/>
        <w:snapToGrid w:val="0"/>
        <w:spacing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41DC8532">
      <w:pPr>
        <w:adjustRightInd w:val="0"/>
        <w:snapToGrid w:val="0"/>
        <w:spacing w:line="360" w:lineRule="auto"/>
        <w:ind w:firstLine="420" w:firstLineChars="200"/>
        <w:rPr>
          <w:rFonts w:ascii="宋体" w:hAnsi="宋体"/>
          <w:kern w:val="0"/>
          <w:szCs w:val="21"/>
        </w:rPr>
      </w:pPr>
      <w:r>
        <w:rPr>
          <w:rFonts w:hint="eastAsia" w:ascii="宋体" w:hAnsi="宋体"/>
          <w:kern w:val="0"/>
          <w:szCs w:val="21"/>
        </w:rPr>
        <w:t>11.3</w:t>
      </w:r>
      <w:r>
        <w:rPr>
          <w:rFonts w:hint="eastAsia" w:ascii="宋体" w:hAnsi="宋体" w:cs="宋体"/>
          <w:kern w:val="0"/>
          <w:szCs w:val="21"/>
          <w:lang w:val="zh-CN"/>
        </w:rPr>
        <w:t>供应商</w:t>
      </w:r>
      <w:r>
        <w:rPr>
          <w:rFonts w:hint="eastAsia" w:ascii="宋体" w:hAnsi="宋体"/>
          <w:kern w:val="0"/>
          <w:szCs w:val="21"/>
        </w:rPr>
        <w:t>的最后报价不得超过采购项目预算，</w:t>
      </w:r>
      <w:r>
        <w:rPr>
          <w:rFonts w:hint="eastAsia" w:ascii="宋体" w:hAnsi="宋体"/>
          <w:b/>
          <w:bCs/>
          <w:kern w:val="0"/>
          <w:szCs w:val="21"/>
        </w:rPr>
        <w:t>否则，其响应无效</w:t>
      </w:r>
      <w:r>
        <w:rPr>
          <w:rFonts w:hint="eastAsia" w:ascii="宋体" w:hAnsi="宋体"/>
          <w:kern w:val="0"/>
          <w:szCs w:val="21"/>
        </w:rPr>
        <w:t>。采购项目预算见</w:t>
      </w:r>
      <w:r>
        <w:rPr>
          <w:rFonts w:hint="eastAsia" w:ascii="宋体" w:hAnsi="宋体"/>
          <w:b/>
          <w:kern w:val="0"/>
          <w:szCs w:val="21"/>
        </w:rPr>
        <w:t>【谈判须知前附表】</w:t>
      </w:r>
      <w:r>
        <w:rPr>
          <w:rFonts w:hint="eastAsia" w:ascii="宋体" w:hAnsi="宋体"/>
          <w:kern w:val="0"/>
          <w:szCs w:val="21"/>
        </w:rPr>
        <w:t>。</w:t>
      </w:r>
    </w:p>
    <w:p w14:paraId="0F291436">
      <w:pPr>
        <w:adjustRightInd w:val="0"/>
        <w:snapToGrid w:val="0"/>
        <w:spacing w:line="360" w:lineRule="auto"/>
        <w:ind w:firstLine="420" w:firstLineChars="200"/>
        <w:rPr>
          <w:rFonts w:ascii="宋体" w:hAnsi="宋体" w:cs="Courier New"/>
          <w:szCs w:val="21"/>
        </w:rPr>
      </w:pPr>
      <w:r>
        <w:rPr>
          <w:rFonts w:hint="eastAsia" w:ascii="宋体" w:hAnsi="宋体" w:cs="Courier New"/>
          <w:szCs w:val="21"/>
        </w:rPr>
        <w:t>11.4</w:t>
      </w:r>
      <w:r>
        <w:rPr>
          <w:rFonts w:hint="eastAsia" w:ascii="宋体" w:hAnsi="宋体"/>
          <w:szCs w:val="21"/>
        </w:rPr>
        <w:t>采用固定价格定价方式的采购项目，</w:t>
      </w:r>
      <w:r>
        <w:rPr>
          <w:rFonts w:hint="eastAsia" w:ascii="宋体" w:hAnsi="宋体" w:cs="Courier New"/>
          <w:szCs w:val="21"/>
        </w:rPr>
        <w:t>供应商提交的最后报价在合同执行过程中是固定不变的，不得以任何理由予以变更。以可变动价格提交的报价将被认为是非实质响应而被拒绝。</w:t>
      </w:r>
    </w:p>
    <w:p w14:paraId="6A55144B">
      <w:pPr>
        <w:adjustRightInd w:val="0"/>
        <w:snapToGrid w:val="0"/>
        <w:spacing w:line="360" w:lineRule="auto"/>
        <w:ind w:firstLine="420" w:firstLineChars="200"/>
        <w:jc w:val="left"/>
        <w:rPr>
          <w:rFonts w:ascii="宋体" w:hAnsi="宋体"/>
        </w:rPr>
      </w:pPr>
      <w:r>
        <w:rPr>
          <w:rFonts w:hint="eastAsia" w:ascii="宋体" w:hAnsi="宋体"/>
        </w:rPr>
        <w:t>11.5采购人不接受供应商给予的赠品、回扣或者与采购无关的其他商品、服务。</w:t>
      </w:r>
    </w:p>
    <w:p w14:paraId="39F4C86C">
      <w:pPr>
        <w:pStyle w:val="24"/>
        <w:adjustRightInd w:val="0"/>
        <w:snapToGrid w:val="0"/>
        <w:spacing w:line="360" w:lineRule="auto"/>
        <w:ind w:firstLine="420" w:firstLineChars="200"/>
        <w:rPr>
          <w:rFonts w:asciiTheme="minorEastAsia" w:hAnsiTheme="minorEastAsia" w:eastAsiaTheme="minorEastAsia"/>
          <w:color w:val="000000"/>
        </w:rPr>
      </w:pPr>
      <w:r>
        <w:rPr>
          <w:rFonts w:hint="eastAsia" w:hAnsi="宋体"/>
        </w:rPr>
        <w:t>11.6报价的其他要求见</w:t>
      </w:r>
      <w:r>
        <w:rPr>
          <w:rFonts w:hint="eastAsia" w:hAnsi="宋体"/>
          <w:b/>
        </w:rPr>
        <w:t>【谈判须知前附表】</w:t>
      </w:r>
      <w:r>
        <w:rPr>
          <w:rFonts w:hint="eastAsia" w:hAnsi="宋体"/>
        </w:rPr>
        <w:t>。</w:t>
      </w:r>
    </w:p>
    <w:p w14:paraId="191CAD55">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12.谈判保证金（不要求提供）</w:t>
      </w:r>
    </w:p>
    <w:p w14:paraId="57B87C94">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13.响应文件有效期</w:t>
      </w:r>
    </w:p>
    <w:p w14:paraId="34D0944A">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13.1</w:t>
      </w:r>
      <w:r>
        <w:rPr>
          <w:rFonts w:hint="eastAsia" w:ascii="宋体" w:hAnsi="宋体"/>
        </w:rPr>
        <w:t>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w:t>
      </w:r>
      <w:r>
        <w:rPr>
          <w:rFonts w:hint="eastAsia" w:ascii="宋体" w:hAnsi="宋体"/>
        </w:rPr>
        <w:t>其</w:t>
      </w:r>
      <w:r>
        <w:rPr>
          <w:rFonts w:hint="eastAsia" w:ascii="宋体" w:hAnsi="宋体"/>
          <w:b/>
          <w:bCs/>
        </w:rPr>
        <w:t>响应无效</w:t>
      </w:r>
      <w:r>
        <w:rPr>
          <w:rFonts w:hint="eastAsia" w:hAnsi="宋体"/>
        </w:rPr>
        <w:t>。</w:t>
      </w:r>
    </w:p>
    <w:p w14:paraId="336EA319">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14.分包</w:t>
      </w:r>
    </w:p>
    <w:p w14:paraId="58F4F2D9">
      <w:pPr>
        <w:adjustRightInd w:val="0"/>
        <w:snapToGrid w:val="0"/>
        <w:spacing w:line="360" w:lineRule="auto"/>
        <w:ind w:firstLine="420" w:firstLineChars="200"/>
        <w:rPr>
          <w:rFonts w:ascii="宋体" w:hAnsi="宋体"/>
        </w:rPr>
      </w:pPr>
      <w:r>
        <w:rPr>
          <w:rFonts w:hint="eastAsia" w:ascii="宋体" w:hAnsi="宋体"/>
        </w:rPr>
        <w:t>1</w:t>
      </w:r>
      <w:r>
        <w:rPr>
          <w:rFonts w:ascii="宋体" w:hAnsi="宋体"/>
        </w:rPr>
        <w:t>4</w:t>
      </w:r>
      <w:r>
        <w:rPr>
          <w:rFonts w:hint="eastAsia" w:ascii="宋体" w:hAnsi="宋体"/>
        </w:rPr>
        <w:t>.1</w:t>
      </w:r>
      <w:r>
        <w:rPr>
          <w:rFonts w:hint="eastAsia" w:hAnsi="宋体"/>
          <w:b/>
          <w:bCs/>
        </w:rPr>
        <w:t>【谈判须知前附表】</w:t>
      </w:r>
      <w:r>
        <w:rPr>
          <w:rFonts w:hint="eastAsia" w:ascii="宋体" w:hAnsi="宋体"/>
        </w:rPr>
        <w:t>规定供应商分包的，供应商分包承诺不符合竞争性谈判文件中有关分包规定的，其</w:t>
      </w:r>
      <w:r>
        <w:rPr>
          <w:rFonts w:hint="eastAsia" w:ascii="宋体" w:hAnsi="宋体"/>
          <w:b/>
          <w:bCs/>
        </w:rPr>
        <w:t>响应无效</w:t>
      </w:r>
      <w:r>
        <w:rPr>
          <w:rFonts w:hint="eastAsia" w:ascii="宋体" w:hAnsi="宋体"/>
        </w:rPr>
        <w:t>。</w:t>
      </w:r>
    </w:p>
    <w:p w14:paraId="2819C802">
      <w:pPr>
        <w:adjustRightInd w:val="0"/>
        <w:snapToGrid w:val="0"/>
        <w:spacing w:line="360" w:lineRule="auto"/>
        <w:ind w:firstLine="420" w:firstLineChars="200"/>
        <w:rPr>
          <w:rFonts w:ascii="宋体" w:hAnsi="宋体"/>
        </w:rPr>
      </w:pPr>
      <w:r>
        <w:rPr>
          <w:rFonts w:hint="eastAsia" w:ascii="宋体" w:hAnsi="宋体"/>
        </w:rPr>
        <w:t>1</w:t>
      </w:r>
      <w:r>
        <w:rPr>
          <w:rFonts w:ascii="宋体" w:hAnsi="宋体"/>
        </w:rPr>
        <w:t>4</w:t>
      </w:r>
      <w:r>
        <w:rPr>
          <w:rFonts w:hint="eastAsia" w:ascii="宋体" w:hAnsi="宋体"/>
        </w:rPr>
        <w:t>.2供应商应在签订政府采购合同前向采购人提供分包合同，否则，采购人有权拒绝签订采购合同。</w:t>
      </w:r>
    </w:p>
    <w:p w14:paraId="099EA444">
      <w:pPr>
        <w:adjustRightInd w:val="0"/>
        <w:snapToGrid w:val="0"/>
        <w:spacing w:line="360" w:lineRule="auto"/>
        <w:ind w:firstLine="420" w:firstLineChars="200"/>
        <w:rPr>
          <w:rFonts w:ascii="宋体" w:hAnsi="宋体"/>
        </w:rPr>
      </w:pPr>
      <w:r>
        <w:rPr>
          <w:rFonts w:hint="eastAsia" w:ascii="宋体" w:hAnsi="宋体"/>
        </w:rPr>
        <w:t>1</w:t>
      </w:r>
      <w:r>
        <w:rPr>
          <w:rFonts w:ascii="宋体" w:hAnsi="宋体"/>
        </w:rPr>
        <w:t>4</w:t>
      </w:r>
      <w:r>
        <w:rPr>
          <w:rFonts w:hint="eastAsia" w:ascii="宋体" w:hAnsi="宋体"/>
        </w:rPr>
        <w:t>.3享受中小企业扶持政策获得政府采购合同的，小微企业不得将合同分包给大中型企业，中型企业不得将合同分包给大型企业。</w:t>
      </w:r>
    </w:p>
    <w:p w14:paraId="01FF0291">
      <w:pPr>
        <w:adjustRightInd w:val="0"/>
        <w:snapToGrid w:val="0"/>
        <w:spacing w:line="360" w:lineRule="auto"/>
        <w:ind w:firstLine="420" w:firstLineChars="200"/>
        <w:rPr>
          <w:rFonts w:asciiTheme="minorEastAsia" w:hAnsiTheme="minorEastAsia" w:eastAsiaTheme="minorEastAsia"/>
          <w:szCs w:val="21"/>
        </w:rPr>
      </w:pPr>
      <w:r>
        <w:rPr>
          <w:rFonts w:hint="eastAsia" w:ascii="宋体" w:hAnsi="宋体"/>
        </w:rPr>
        <w:t>1</w:t>
      </w:r>
      <w:r>
        <w:rPr>
          <w:rFonts w:ascii="宋体" w:hAnsi="宋体"/>
        </w:rPr>
        <w:t>4</w:t>
      </w:r>
      <w:r>
        <w:rPr>
          <w:rFonts w:hint="eastAsia" w:ascii="宋体" w:hAnsi="宋体"/>
        </w:rPr>
        <w:t>.4分包供应商不得再次分包。</w:t>
      </w:r>
    </w:p>
    <w:p w14:paraId="127D4530">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15.响应文件的签署及规定</w:t>
      </w:r>
    </w:p>
    <w:p w14:paraId="2AB7C022">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15.1</w:t>
      </w:r>
      <w:r>
        <w:rPr>
          <w:rFonts w:hint="eastAsia" w:hAnsi="宋体"/>
        </w:rPr>
        <w:t>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授权委托书</w:t>
      </w:r>
      <w:r>
        <w:rPr>
          <w:rFonts w:hint="eastAsia" w:asciiTheme="minorEastAsia" w:hAnsiTheme="minorEastAsia" w:eastAsiaTheme="minorEastAsia"/>
        </w:rPr>
        <w:t>。</w:t>
      </w:r>
    </w:p>
    <w:p w14:paraId="3304310D">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15.2投标人应准备所投项目的电子投标文件一份，进行网上投标。</w:t>
      </w:r>
    </w:p>
    <w:p w14:paraId="0FD03065">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15.3电子投标文件必须使用娄底市公共资源交易电子服务平台发布的“电子投标文件制作工具（</w:t>
      </w:r>
      <w:r>
        <w:rPr>
          <w:rStyle w:val="278"/>
          <w:rFonts w:asciiTheme="minorEastAsia" w:hAnsiTheme="minorEastAsia" w:eastAsiaTheme="minorEastAsia"/>
          <w:color w:val="000000"/>
          <w:szCs w:val="21"/>
        </w:rPr>
        <w:t>金润投标人工具箱）</w:t>
      </w:r>
      <w:r>
        <w:rPr>
          <w:rFonts w:hint="eastAsia" w:asciiTheme="minorEastAsia" w:hAnsiTheme="minorEastAsia" w:eastAsiaTheme="minorEastAsia"/>
          <w:szCs w:val="21"/>
        </w:rPr>
        <w:t>”编制生成。</w:t>
      </w:r>
    </w:p>
    <w:p w14:paraId="44F5A93A">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15.4在谈判过程中，供应商按谈判文件规定和谈判小组要求</w:t>
      </w:r>
      <w:r>
        <w:rPr>
          <w:rFonts w:hint="eastAsia" w:cs="宋体" w:asciiTheme="minorEastAsia" w:hAnsiTheme="minorEastAsia" w:eastAsiaTheme="minorEastAsia"/>
          <w:kern w:val="0"/>
        </w:rPr>
        <w:t>提交的</w:t>
      </w:r>
      <w:r>
        <w:rPr>
          <w:rFonts w:hint="eastAsia" w:asciiTheme="minorEastAsia" w:hAnsiTheme="minorEastAsia" w:eastAsiaTheme="minorEastAsia"/>
        </w:rPr>
        <w:t>最后报价(或者</w:t>
      </w:r>
      <w:r>
        <w:rPr>
          <w:rFonts w:hint="eastAsia" w:asciiTheme="minorEastAsia" w:hAnsiTheme="minorEastAsia" w:eastAsiaTheme="minorEastAsia"/>
          <w:bCs/>
        </w:rPr>
        <w:t>重</w:t>
      </w:r>
      <w:r>
        <w:rPr>
          <w:rFonts w:hint="eastAsia" w:cs="宋体" w:asciiTheme="minorEastAsia" w:hAnsiTheme="minorEastAsia" w:eastAsiaTheme="minorEastAsia"/>
          <w:kern w:val="0"/>
        </w:rPr>
        <w:t>新提交的响应文件和</w:t>
      </w:r>
      <w:r>
        <w:rPr>
          <w:rFonts w:hint="eastAsia" w:asciiTheme="minorEastAsia" w:hAnsiTheme="minorEastAsia" w:eastAsiaTheme="minorEastAsia"/>
        </w:rPr>
        <w:t>最后报价)，可打印或用不褪色材料书写，并经供应商代表签字，</w:t>
      </w:r>
      <w:r>
        <w:rPr>
          <w:rFonts w:hint="eastAsia" w:cs="宋体" w:asciiTheme="minorEastAsia" w:hAnsiTheme="minorEastAsia" w:eastAsiaTheme="minorEastAsia"/>
          <w:kern w:val="0"/>
        </w:rPr>
        <w:t>或者加盖供应商单位公章</w:t>
      </w:r>
      <w:r>
        <w:rPr>
          <w:rFonts w:hint="eastAsia" w:asciiTheme="minorEastAsia" w:hAnsiTheme="minorEastAsia" w:eastAsiaTheme="minorEastAsia"/>
        </w:rPr>
        <w:t>。否则，将导致响应文件无效。</w:t>
      </w:r>
    </w:p>
    <w:p w14:paraId="69E9F345">
      <w:pPr>
        <w:pStyle w:val="4"/>
        <w:keepNext w:val="0"/>
        <w:keepLines w:val="0"/>
        <w:adjustRightInd w:val="0"/>
        <w:snapToGrid w:val="0"/>
        <w:spacing w:beforeLines="50" w:after="0" w:line="360" w:lineRule="auto"/>
        <w:jc w:val="center"/>
        <w:rPr>
          <w:rFonts w:ascii="黑体" w:hAnsi="黑体" w:eastAsia="黑体"/>
          <w:sz w:val="28"/>
          <w:szCs w:val="28"/>
        </w:rPr>
      </w:pPr>
      <w:bookmarkStart w:id="109" w:name="_Toc34637768"/>
      <w:bookmarkStart w:id="110" w:name="_Toc23818"/>
      <w:bookmarkStart w:id="111" w:name="_Toc14041"/>
      <w:bookmarkStart w:id="112" w:name="_Toc76503421"/>
      <w:bookmarkStart w:id="113" w:name="_Toc19133"/>
      <w:bookmarkStart w:id="114" w:name="_Toc74694318"/>
      <w:bookmarkStart w:id="115" w:name="_Toc209084331"/>
      <w:bookmarkStart w:id="116" w:name="_Toc5069"/>
      <w:bookmarkStart w:id="117" w:name="_Toc4594"/>
      <w:bookmarkStart w:id="118" w:name="_Toc26291"/>
      <w:bookmarkStart w:id="119" w:name="_Toc3370"/>
      <w:bookmarkStart w:id="120" w:name="_Toc145374003"/>
      <w:bookmarkStart w:id="121" w:name="_Toc2897"/>
      <w:bookmarkStart w:id="122" w:name="_Toc12286"/>
      <w:r>
        <w:rPr>
          <w:rFonts w:hint="eastAsia" w:ascii="黑体" w:hAnsi="黑体" w:eastAsia="黑体"/>
          <w:sz w:val="28"/>
          <w:szCs w:val="28"/>
        </w:rPr>
        <w:t>四、响应文件的递交</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356DC512">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16.响应文件的加密要求</w:t>
      </w:r>
    </w:p>
    <w:p w14:paraId="35467C45">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16.1</w:t>
      </w:r>
      <w:r>
        <w:rPr>
          <w:rFonts w:hint="eastAsia" w:hAnsi="宋体"/>
        </w:rPr>
        <w:t>应当按照</w:t>
      </w:r>
      <w:r>
        <w:rPr>
          <w:rFonts w:hint="eastAsia" w:asciiTheme="minorEastAsia" w:hAnsiTheme="minorEastAsia" w:eastAsiaTheme="minorEastAsia"/>
          <w:b/>
        </w:rPr>
        <w:t>【谈判须知前附表】</w:t>
      </w:r>
      <w:r>
        <w:rPr>
          <w:rFonts w:hint="eastAsia" w:hAnsi="宋体"/>
        </w:rPr>
        <w:t>的规定加密投标文件，否则</w:t>
      </w:r>
      <w:r>
        <w:rPr>
          <w:rFonts w:hint="eastAsia" w:asciiTheme="minorEastAsia" w:hAnsiTheme="minorEastAsia" w:eastAsiaTheme="minorEastAsia"/>
        </w:rPr>
        <w:t>娄底市公共资源交易电子服务平台</w:t>
      </w:r>
      <w:r>
        <w:rPr>
          <w:rFonts w:hint="eastAsia" w:hAnsi="宋体"/>
        </w:rPr>
        <w:t>将</w:t>
      </w:r>
      <w:r>
        <w:rPr>
          <w:rFonts w:hint="eastAsia" w:hAnsi="宋体"/>
          <w:color w:val="000000"/>
        </w:rPr>
        <w:t>予以拒收</w:t>
      </w:r>
      <w:r>
        <w:rPr>
          <w:rFonts w:hint="eastAsia" w:hAnsi="宋体"/>
        </w:rPr>
        <w:t>。</w:t>
      </w:r>
    </w:p>
    <w:p w14:paraId="3F9F9A78">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16.2未按时解</w:t>
      </w:r>
      <w:r>
        <w:rPr>
          <w:rFonts w:hint="eastAsia" w:ascii="宋体" w:hAnsi="宋体"/>
          <w:color w:val="000000"/>
        </w:rPr>
        <w:t>密的响应文件，</w:t>
      </w:r>
      <w:r>
        <w:rPr>
          <w:rFonts w:hint="eastAsia" w:asciiTheme="minorEastAsia" w:hAnsiTheme="minorEastAsia" w:eastAsiaTheme="minorEastAsia"/>
          <w:szCs w:val="21"/>
        </w:rPr>
        <w:t>娄底市公共资源交易电子服务平台</w:t>
      </w:r>
      <w:r>
        <w:rPr>
          <w:rFonts w:hint="eastAsia" w:ascii="宋体" w:hAnsi="宋体"/>
        </w:rPr>
        <w:t>将</w:t>
      </w:r>
      <w:r>
        <w:rPr>
          <w:rStyle w:val="278"/>
          <w:rFonts w:asciiTheme="minorEastAsia" w:hAnsiTheme="minorEastAsia" w:eastAsiaTheme="minorEastAsia"/>
          <w:color w:val="000000"/>
          <w:szCs w:val="21"/>
        </w:rPr>
        <w:t>视为撤销其响应文件</w:t>
      </w:r>
      <w:r>
        <w:rPr>
          <w:rFonts w:hint="eastAsia" w:ascii="宋体" w:hAnsi="宋体"/>
          <w:color w:val="000000"/>
        </w:rPr>
        <w:t>。</w:t>
      </w:r>
    </w:p>
    <w:p w14:paraId="11586CC3">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17.响应文件的</w:t>
      </w:r>
      <w:r>
        <w:rPr>
          <w:rFonts w:hint="eastAsia" w:cs="宋体" w:asciiTheme="minorEastAsia" w:hAnsiTheme="minorEastAsia" w:eastAsiaTheme="minorEastAsia"/>
          <w:kern w:val="0"/>
          <w:sz w:val="21"/>
          <w:szCs w:val="21"/>
          <w:lang w:val="zh-CN"/>
        </w:rPr>
        <w:t>补充、修改或者撤回</w:t>
      </w:r>
    </w:p>
    <w:p w14:paraId="49D46E05">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17.1</w:t>
      </w:r>
      <w:r>
        <w:rPr>
          <w:rFonts w:hint="eastAsia" w:cs="宋体" w:asciiTheme="minorEastAsia" w:hAnsiTheme="minorEastAsia" w:eastAsiaTheme="minorEastAsia"/>
          <w:kern w:val="0"/>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rPr>
        <w:t>该通知应有供应商代表签字。</w:t>
      </w:r>
    </w:p>
    <w:p w14:paraId="3316A5AE">
      <w:pPr>
        <w:pStyle w:val="24"/>
        <w:adjustRightInd w:val="0"/>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17.2</w:t>
      </w:r>
      <w:r>
        <w:rPr>
          <w:rFonts w:hint="eastAsia" w:cs="宋体" w:asciiTheme="minorEastAsia" w:hAnsiTheme="minorEastAsia" w:eastAsiaTheme="minorEastAsia"/>
          <w:kern w:val="0"/>
          <w:lang w:val="zh-CN"/>
        </w:rPr>
        <w:t>补充、修改的内容与响应文件不一致时，以补充、修改的内容为准。</w:t>
      </w:r>
    </w:p>
    <w:p w14:paraId="55FB4DA3">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18.响应文件的递交与接收</w:t>
      </w:r>
    </w:p>
    <w:p w14:paraId="0D89FA32">
      <w:pPr>
        <w:adjustRightInd w:val="0"/>
        <w:snapToGrid w:val="0"/>
        <w:spacing w:line="360" w:lineRule="auto"/>
        <w:ind w:firstLine="420" w:firstLineChars="200"/>
        <w:rPr>
          <w:rFonts w:cs="宋体" w:asciiTheme="minorEastAsia" w:hAnsiTheme="minorEastAsia" w:eastAsiaTheme="minorEastAsia"/>
          <w:kern w:val="0"/>
          <w:szCs w:val="21"/>
        </w:rPr>
      </w:pPr>
      <w:r>
        <w:rPr>
          <w:rFonts w:hint="eastAsia" w:asciiTheme="minorEastAsia" w:hAnsiTheme="minorEastAsia" w:eastAsiaTheme="minorEastAsia"/>
          <w:szCs w:val="21"/>
        </w:rPr>
        <w:t>18.1供应商应在</w:t>
      </w:r>
      <w:r>
        <w:rPr>
          <w:rFonts w:hint="eastAsia" w:asciiTheme="minorEastAsia" w:hAnsiTheme="minorEastAsia" w:eastAsiaTheme="minorEastAsia"/>
          <w:b/>
          <w:szCs w:val="21"/>
        </w:rPr>
        <w:t>【谈判须知前附表】</w:t>
      </w:r>
      <w:r>
        <w:rPr>
          <w:rFonts w:hint="eastAsia" w:asciiTheme="minorEastAsia" w:hAnsiTheme="minorEastAsia" w:eastAsiaTheme="minorEastAsia"/>
          <w:szCs w:val="21"/>
        </w:rPr>
        <w:t>规定的</w:t>
      </w:r>
      <w:r>
        <w:rPr>
          <w:rFonts w:hint="eastAsia" w:cs="宋体" w:asciiTheme="minorEastAsia" w:hAnsiTheme="minorEastAsia" w:eastAsiaTheme="minorEastAsia"/>
          <w:kern w:val="0"/>
          <w:szCs w:val="21"/>
        </w:rPr>
        <w:t>时间</w:t>
      </w:r>
      <w:r>
        <w:rPr>
          <w:rFonts w:hint="eastAsia" w:asciiTheme="minorEastAsia" w:hAnsiTheme="minorEastAsia" w:eastAsiaTheme="minorEastAsia"/>
          <w:szCs w:val="21"/>
        </w:rPr>
        <w:t>提交响应文件。</w:t>
      </w:r>
    </w:p>
    <w:p w14:paraId="55C68E2B">
      <w:pPr>
        <w:adjustRightInd w:val="0"/>
        <w:snapToGrid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18.2</w:t>
      </w:r>
      <w:r>
        <w:rPr>
          <w:rFonts w:hint="eastAsia" w:ascii="宋体" w:hAnsi="宋体"/>
        </w:rPr>
        <w:t>逾期送达的投标文件，</w:t>
      </w:r>
      <w:r>
        <w:rPr>
          <w:rFonts w:hint="eastAsia" w:asciiTheme="minorEastAsia" w:hAnsiTheme="minorEastAsia" w:eastAsiaTheme="minorEastAsia"/>
          <w:szCs w:val="21"/>
        </w:rPr>
        <w:t>娄底市公共资源交易电子服务平台</w:t>
      </w:r>
      <w:r>
        <w:rPr>
          <w:rFonts w:hint="eastAsia" w:ascii="宋体" w:hAnsi="宋体"/>
        </w:rPr>
        <w:t>将予以拒收。</w:t>
      </w:r>
    </w:p>
    <w:p w14:paraId="15AD8F44">
      <w:pPr>
        <w:pStyle w:val="24"/>
        <w:adjustRightInd w:val="0"/>
        <w:snapToGrid w:val="0"/>
        <w:spacing w:line="360" w:lineRule="auto"/>
        <w:ind w:firstLine="420" w:firstLineChars="200"/>
        <w:rPr>
          <w:rFonts w:hAnsi="宋体"/>
        </w:rPr>
      </w:pPr>
      <w:r>
        <w:rPr>
          <w:rFonts w:hint="eastAsia" w:asciiTheme="minorEastAsia" w:hAnsiTheme="minorEastAsia" w:eastAsiaTheme="minorEastAsia"/>
        </w:rPr>
        <w:t>18.3采购人、</w:t>
      </w:r>
      <w:r>
        <w:rPr>
          <w:rFonts w:hint="eastAsia" w:asciiTheme="minorEastAsia" w:hAnsiTheme="minorEastAsia" w:eastAsiaTheme="minorEastAsia"/>
          <w:bCs/>
        </w:rPr>
        <w:t>采购代理机构</w:t>
      </w:r>
      <w:r>
        <w:rPr>
          <w:rFonts w:hint="eastAsia" w:asciiTheme="minorEastAsia" w:hAnsiTheme="minorEastAsia" w:eastAsiaTheme="minorEastAsia"/>
        </w:rPr>
        <w:t>在按本章第26.3款规定公布供应商的最后报价前，不公开供应商的技术资料、价格和其他信息。</w:t>
      </w:r>
    </w:p>
    <w:p w14:paraId="7C5963BD">
      <w:pPr>
        <w:pStyle w:val="4"/>
        <w:keepNext w:val="0"/>
        <w:keepLines w:val="0"/>
        <w:adjustRightInd w:val="0"/>
        <w:snapToGrid w:val="0"/>
        <w:spacing w:beforeLines="50" w:after="0" w:line="360" w:lineRule="auto"/>
        <w:jc w:val="center"/>
        <w:rPr>
          <w:rFonts w:ascii="黑体" w:hAnsi="黑体" w:eastAsia="黑体"/>
          <w:sz w:val="28"/>
          <w:szCs w:val="28"/>
        </w:rPr>
      </w:pPr>
      <w:bookmarkStart w:id="123" w:name="_Toc34637769"/>
      <w:bookmarkStart w:id="124" w:name="_Toc76503422"/>
      <w:bookmarkStart w:id="125" w:name="_Toc20714"/>
      <w:bookmarkStart w:id="126" w:name="_Toc15724"/>
      <w:bookmarkStart w:id="127" w:name="_Toc74694319"/>
      <w:bookmarkStart w:id="128" w:name="_Toc7719"/>
      <w:bookmarkStart w:id="129" w:name="_Toc31510"/>
      <w:bookmarkStart w:id="130" w:name="_Toc209084332"/>
      <w:bookmarkStart w:id="131" w:name="_Toc8657"/>
      <w:bookmarkStart w:id="132" w:name="_Toc10403"/>
      <w:bookmarkStart w:id="133" w:name="_Toc145374004"/>
      <w:bookmarkStart w:id="134" w:name="_Toc1388"/>
      <w:bookmarkStart w:id="135" w:name="_Toc5839"/>
      <w:bookmarkStart w:id="136" w:name="_Toc32441"/>
      <w:r>
        <w:rPr>
          <w:rFonts w:hint="eastAsia" w:ascii="黑体" w:hAnsi="黑体" w:eastAsia="黑体"/>
          <w:sz w:val="28"/>
          <w:szCs w:val="28"/>
        </w:rPr>
        <w:t>五、响应文件的评审与谈判</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6A415010">
      <w:pPr>
        <w:pStyle w:val="5"/>
        <w:keepNext w:val="0"/>
        <w:keepLines w:val="0"/>
        <w:adjustRightInd w:val="0"/>
        <w:snapToGrid w:val="0"/>
        <w:spacing w:before="0" w:after="0" w:line="360" w:lineRule="auto"/>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sz w:val="21"/>
          <w:szCs w:val="21"/>
        </w:rPr>
        <w:t>19.供应商资格</w:t>
      </w:r>
      <w:r>
        <w:rPr>
          <w:rFonts w:hint="eastAsia" w:asciiTheme="minorEastAsia" w:hAnsiTheme="minorEastAsia" w:eastAsiaTheme="minorEastAsia"/>
          <w:color w:val="000000" w:themeColor="text1"/>
          <w:sz w:val="21"/>
          <w:szCs w:val="21"/>
          <w14:textFill>
            <w14:solidFill>
              <w14:schemeClr w14:val="tx1"/>
            </w14:solidFill>
          </w14:textFill>
        </w:rPr>
        <w:t>审查</w:t>
      </w:r>
    </w:p>
    <w:p w14:paraId="04428D07">
      <w:pPr>
        <w:adjustRightInd w:val="0"/>
        <w:snapToGrid w:val="0"/>
        <w:spacing w:line="360" w:lineRule="auto"/>
        <w:ind w:firstLine="420" w:firstLineChars="200"/>
        <w:rPr>
          <w:rFonts w:asciiTheme="minorEastAsia" w:hAnsiTheme="minorEastAsia" w:eastAsiaTheme="minorEastAsia"/>
          <w:color w:val="000000"/>
          <w:szCs w:val="21"/>
        </w:rPr>
      </w:pPr>
      <w:r>
        <w:rPr>
          <w:rFonts w:hint="eastAsia" w:cs="宋体" w:asciiTheme="minorEastAsia" w:hAnsiTheme="minorEastAsia" w:eastAsiaTheme="minorEastAsia"/>
          <w:color w:val="000000"/>
          <w:kern w:val="0"/>
          <w:szCs w:val="21"/>
          <w:lang w:val="zh-CN"/>
        </w:rPr>
        <w:t>1</w:t>
      </w:r>
      <w:r>
        <w:rPr>
          <w:rFonts w:hint="eastAsia" w:cs="宋体" w:asciiTheme="minorEastAsia" w:hAnsiTheme="minorEastAsia" w:eastAsiaTheme="minorEastAsia"/>
          <w:color w:val="000000"/>
          <w:kern w:val="0"/>
          <w:szCs w:val="21"/>
        </w:rPr>
        <w:t>9</w:t>
      </w:r>
      <w:r>
        <w:rPr>
          <w:rFonts w:hint="eastAsia" w:cs="宋体" w:asciiTheme="minorEastAsia" w:hAnsiTheme="minorEastAsia" w:eastAsiaTheme="minorEastAsia"/>
          <w:color w:val="000000"/>
          <w:kern w:val="0"/>
          <w:szCs w:val="21"/>
          <w:lang w:val="zh-CN"/>
        </w:rPr>
        <w:t xml:space="preserve">.1 </w:t>
      </w:r>
      <w:r>
        <w:rPr>
          <w:rFonts w:hint="eastAsia" w:ascii="宋体" w:hAnsi="宋体" w:cs="宋体"/>
          <w:color w:val="000000"/>
        </w:rPr>
        <w:t>谈判小组将根据本章第</w:t>
      </w:r>
      <w:r>
        <w:rPr>
          <w:rFonts w:ascii="宋体" w:hAnsi="宋体" w:cs="宋体"/>
          <w:color w:val="000000"/>
        </w:rPr>
        <w:t>3.1</w:t>
      </w:r>
      <w:r>
        <w:rPr>
          <w:rFonts w:hint="eastAsia" w:ascii="宋体" w:hAnsi="宋体" w:cs="宋体"/>
          <w:color w:val="000000"/>
          <w:kern w:val="0"/>
          <w:lang w:val="zh-CN"/>
        </w:rPr>
        <w:t>款</w:t>
      </w:r>
      <w:r>
        <w:rPr>
          <w:rFonts w:hint="eastAsia" w:ascii="宋体" w:hAnsi="宋体" w:cs="宋体"/>
          <w:color w:val="000000"/>
        </w:rPr>
        <w:t>规定的供应商资格条件要求，</w:t>
      </w:r>
      <w:r>
        <w:rPr>
          <w:rFonts w:hint="eastAsia" w:ascii="宋体"/>
        </w:rPr>
        <w:t>对</w:t>
      </w:r>
      <w:r>
        <w:rPr>
          <w:rFonts w:hint="eastAsia"/>
        </w:rPr>
        <w:t>响应</w:t>
      </w:r>
      <w:r>
        <w:rPr>
          <w:rFonts w:hint="eastAsia" w:ascii="宋体"/>
        </w:rPr>
        <w:t>文件进行资格核查。供应商不满足资格条件的，在评审时将其视为无效响应</w:t>
      </w:r>
      <w:r>
        <w:rPr>
          <w:rFonts w:hint="eastAsia" w:ascii="宋体" w:hAnsi="宋体" w:cs="宋体"/>
          <w:color w:val="000000"/>
        </w:rPr>
        <w:t>。</w:t>
      </w:r>
    </w:p>
    <w:p w14:paraId="42A2A3D3">
      <w:pPr>
        <w:adjustRightInd w:val="0"/>
        <w:snapToGrid w:val="0"/>
        <w:spacing w:line="36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19.2 </w:t>
      </w:r>
      <w:r>
        <w:rPr>
          <w:rFonts w:hint="eastAsia" w:ascii="宋体"/>
        </w:rPr>
        <w:t>谈判</w:t>
      </w:r>
      <w:r>
        <w:rPr>
          <w:rFonts w:hint="eastAsia" w:ascii="宋体"/>
          <w:bCs/>
        </w:rPr>
        <w:t>小组</w:t>
      </w:r>
      <w:r>
        <w:rPr>
          <w:rFonts w:hint="eastAsia" w:ascii="宋体"/>
        </w:rPr>
        <w:t>可以要求供应商提交有关证明和证件，以便核验</w:t>
      </w:r>
      <w:r>
        <w:rPr>
          <w:rFonts w:hint="eastAsia" w:asciiTheme="minorEastAsia" w:hAnsiTheme="minorEastAsia" w:eastAsiaTheme="minorEastAsia"/>
          <w:color w:val="000000"/>
          <w:szCs w:val="21"/>
        </w:rPr>
        <w:t>。</w:t>
      </w:r>
    </w:p>
    <w:p w14:paraId="4F2B7C1A">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20.谈判小组</w:t>
      </w:r>
    </w:p>
    <w:p w14:paraId="74965481">
      <w:pPr>
        <w:adjustRightInd w:val="0"/>
        <w:snapToGrid w:val="0"/>
        <w:spacing w:line="360" w:lineRule="auto"/>
        <w:ind w:firstLine="420"/>
        <w:jc w:val="left"/>
        <w:rPr>
          <w:rFonts w:ascii="宋体" w:hAnsi="宋体"/>
          <w:bCs/>
          <w:szCs w:val="21"/>
        </w:rPr>
      </w:pPr>
      <w:r>
        <w:rPr>
          <w:rFonts w:hint="eastAsia" w:ascii="宋体" w:hAnsi="宋体"/>
          <w:bCs/>
          <w:szCs w:val="21"/>
        </w:rPr>
        <w:t>20.1谈判小组由采购人代表和评审专家组成。</w:t>
      </w:r>
    </w:p>
    <w:p w14:paraId="0BDB6FA6">
      <w:pPr>
        <w:adjustRightInd w:val="0"/>
        <w:snapToGrid w:val="0"/>
        <w:spacing w:line="360" w:lineRule="auto"/>
        <w:ind w:firstLine="420"/>
        <w:jc w:val="left"/>
        <w:rPr>
          <w:rFonts w:ascii="宋体" w:hAnsi="宋体"/>
          <w:szCs w:val="21"/>
        </w:rPr>
      </w:pPr>
      <w:r>
        <w:rPr>
          <w:rFonts w:hint="eastAsia" w:ascii="宋体" w:hAnsi="宋体"/>
          <w:bCs/>
          <w:szCs w:val="21"/>
        </w:rPr>
        <w:t>20.2谈判小组</w:t>
      </w:r>
      <w:r>
        <w:rPr>
          <w:rFonts w:ascii="宋体" w:hAnsi="宋体"/>
          <w:szCs w:val="21"/>
        </w:rPr>
        <w:t>成员有下列情形之一的，应当回避：</w:t>
      </w:r>
    </w:p>
    <w:p w14:paraId="3101A165">
      <w:pPr>
        <w:adjustRightInd w:val="0"/>
        <w:snapToGrid w:val="0"/>
        <w:spacing w:line="360" w:lineRule="auto"/>
        <w:ind w:firstLine="420"/>
        <w:jc w:val="left"/>
        <w:rPr>
          <w:szCs w:val="21"/>
        </w:rPr>
      </w:pPr>
      <w:r>
        <w:rPr>
          <w:rFonts w:ascii="宋体" w:hAnsi="宋体"/>
          <w:szCs w:val="21"/>
        </w:rPr>
        <w:t>（1）参加采购活动前 3 年内与供应商存在劳动关系</w:t>
      </w:r>
      <w:r>
        <w:rPr>
          <w:rFonts w:hint="eastAsia" w:ascii="宋体" w:hAnsi="宋体"/>
          <w:szCs w:val="21"/>
        </w:rPr>
        <w:t>；</w:t>
      </w:r>
    </w:p>
    <w:p w14:paraId="07E1CAC7">
      <w:pPr>
        <w:adjustRightInd w:val="0"/>
        <w:snapToGrid w:val="0"/>
        <w:spacing w:line="360" w:lineRule="auto"/>
        <w:ind w:firstLine="420"/>
        <w:jc w:val="left"/>
        <w:rPr>
          <w:szCs w:val="21"/>
        </w:rPr>
      </w:pPr>
      <w:r>
        <w:rPr>
          <w:rFonts w:ascii="宋体" w:hAnsi="宋体"/>
          <w:szCs w:val="21"/>
        </w:rPr>
        <w:t>（2）参加采购活动前 3 年内担任供应商的董事、监事；</w:t>
      </w:r>
    </w:p>
    <w:p w14:paraId="1C26C03A">
      <w:pPr>
        <w:adjustRightInd w:val="0"/>
        <w:snapToGrid w:val="0"/>
        <w:spacing w:line="360" w:lineRule="auto"/>
        <w:ind w:firstLine="420"/>
        <w:jc w:val="left"/>
        <w:rPr>
          <w:szCs w:val="21"/>
        </w:rPr>
      </w:pPr>
      <w:r>
        <w:rPr>
          <w:rFonts w:ascii="宋体" w:hAnsi="宋体"/>
          <w:szCs w:val="21"/>
        </w:rPr>
        <w:t>（3）参加采购活动前 3 年内是供应商的控股股东或者实际控制人；</w:t>
      </w:r>
    </w:p>
    <w:p w14:paraId="36BBAF2F">
      <w:pPr>
        <w:adjustRightInd w:val="0"/>
        <w:snapToGrid w:val="0"/>
        <w:spacing w:line="360" w:lineRule="auto"/>
        <w:ind w:firstLine="420"/>
        <w:jc w:val="left"/>
        <w:rPr>
          <w:rFonts w:ascii="宋体" w:hAnsi="宋体"/>
          <w:szCs w:val="21"/>
        </w:rPr>
      </w:pPr>
      <w:r>
        <w:rPr>
          <w:rFonts w:ascii="宋体" w:hAnsi="宋体"/>
          <w:szCs w:val="21"/>
        </w:rPr>
        <w:t>（4）与供应商的法定代表人或者负责人有夫妻、直系血亲、三代以内旁系血</w:t>
      </w:r>
    </w:p>
    <w:p w14:paraId="032641F7">
      <w:pPr>
        <w:adjustRightInd w:val="0"/>
        <w:snapToGrid w:val="0"/>
        <w:spacing w:line="360" w:lineRule="auto"/>
        <w:ind w:firstLine="420"/>
        <w:jc w:val="left"/>
        <w:rPr>
          <w:szCs w:val="21"/>
        </w:rPr>
      </w:pPr>
      <w:r>
        <w:rPr>
          <w:rFonts w:ascii="宋体" w:hAnsi="宋体"/>
          <w:szCs w:val="21"/>
        </w:rPr>
        <w:t>亲或者近姻亲关系；</w:t>
      </w:r>
    </w:p>
    <w:p w14:paraId="6FEA0F7F">
      <w:pPr>
        <w:adjustRightInd w:val="0"/>
        <w:snapToGrid w:val="0"/>
        <w:spacing w:line="360" w:lineRule="auto"/>
        <w:ind w:firstLine="420"/>
        <w:jc w:val="left"/>
        <w:rPr>
          <w:rFonts w:ascii="宋体" w:hAnsi="宋体"/>
          <w:szCs w:val="21"/>
        </w:rPr>
      </w:pPr>
      <w:r>
        <w:rPr>
          <w:rFonts w:ascii="宋体" w:hAnsi="宋体"/>
          <w:szCs w:val="21"/>
        </w:rPr>
        <w:t>（5）与供应商有其他可能影响政府采购活动公平、公正进行的关系。</w:t>
      </w:r>
    </w:p>
    <w:p w14:paraId="27B6DB43">
      <w:pPr>
        <w:adjustRightInd w:val="0"/>
        <w:snapToGrid w:val="0"/>
        <w:spacing w:line="360" w:lineRule="auto"/>
        <w:ind w:firstLine="420"/>
        <w:rPr>
          <w:rFonts w:asciiTheme="minorEastAsia" w:hAnsiTheme="minorEastAsia" w:eastAsiaTheme="minorEastAsia"/>
          <w:szCs w:val="21"/>
        </w:rPr>
      </w:pPr>
      <w:r>
        <w:rPr>
          <w:rFonts w:hint="eastAsia" w:ascii="宋体" w:hAnsi="宋体"/>
          <w:szCs w:val="21"/>
        </w:rPr>
        <w:t>20</w:t>
      </w:r>
      <w:r>
        <w:rPr>
          <w:rFonts w:ascii="宋体" w:hAnsi="宋体"/>
          <w:szCs w:val="21"/>
        </w:rPr>
        <w:t>.</w:t>
      </w:r>
      <w:r>
        <w:rPr>
          <w:rFonts w:hint="eastAsia" w:ascii="宋体" w:hAnsi="宋体"/>
          <w:szCs w:val="21"/>
        </w:rPr>
        <w:t>3谈判小组成员应当按照客观、公正、审慎的原则，根据谈判文件规定的评审程序、评审方法和评审标准进行独立评审。</w:t>
      </w:r>
    </w:p>
    <w:p w14:paraId="19109873">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21.谈判程序</w:t>
      </w:r>
    </w:p>
    <w:p w14:paraId="694F10A1">
      <w:pPr>
        <w:adjustRightInd w:val="0"/>
        <w:snapToGrid w:val="0"/>
        <w:spacing w:line="360" w:lineRule="auto"/>
        <w:ind w:firstLine="420"/>
        <w:jc w:val="left"/>
        <w:rPr>
          <w:rFonts w:ascii="宋体" w:hAnsi="宋体"/>
          <w:bCs/>
          <w:szCs w:val="21"/>
        </w:rPr>
      </w:pPr>
      <w:r>
        <w:rPr>
          <w:rFonts w:hint="eastAsia" w:ascii="宋体" w:hAnsi="宋体" w:cs="宋体"/>
          <w:kern w:val="0"/>
          <w:szCs w:val="21"/>
        </w:rPr>
        <w:t>21.1</w:t>
      </w:r>
      <w:r>
        <w:rPr>
          <w:rFonts w:hint="eastAsia" w:ascii="宋体" w:hAnsi="宋体"/>
          <w:bCs/>
          <w:szCs w:val="21"/>
        </w:rPr>
        <w:t>谈判程序：谈判（响应文件审查、澄清）、最后报价、提出成交供应商。其中，谈判按本章第23条进行。</w:t>
      </w:r>
    </w:p>
    <w:p w14:paraId="10E6E9D2">
      <w:pPr>
        <w:adjustRightInd w:val="0"/>
        <w:snapToGrid w:val="0"/>
        <w:spacing w:line="360" w:lineRule="auto"/>
        <w:ind w:firstLine="420"/>
        <w:jc w:val="left"/>
        <w:rPr>
          <w:rFonts w:ascii="宋体" w:hAnsi="宋体"/>
          <w:bCs/>
          <w:szCs w:val="21"/>
        </w:rPr>
      </w:pPr>
      <w:r>
        <w:rPr>
          <w:rFonts w:hint="eastAsia" w:ascii="宋体" w:hAnsi="宋体"/>
          <w:bCs/>
          <w:szCs w:val="21"/>
        </w:rPr>
        <w:t>21.2谈判小组应当对响应文件进行评审，并根据谈判文件规定的程序、评定成交的标准等事项与实质性响应谈判文件要求的供应商进行谈判。</w:t>
      </w:r>
    </w:p>
    <w:p w14:paraId="7F35D86E">
      <w:pPr>
        <w:adjustRightInd w:val="0"/>
        <w:snapToGrid w:val="0"/>
        <w:spacing w:line="360" w:lineRule="auto"/>
        <w:ind w:firstLine="420"/>
        <w:rPr>
          <w:rFonts w:asciiTheme="minorEastAsia" w:hAnsiTheme="minorEastAsia" w:eastAsiaTheme="minorEastAsia"/>
          <w:bCs/>
          <w:szCs w:val="21"/>
        </w:rPr>
      </w:pPr>
      <w:r>
        <w:rPr>
          <w:rFonts w:hint="eastAsia" w:ascii="宋体" w:hAnsi="宋体"/>
          <w:bCs/>
          <w:szCs w:val="21"/>
        </w:rPr>
        <w:t>21.3在谈判过程中谈判的任何一方不得向他人透露与谈判有关的技术资料、价格或其他信息。</w:t>
      </w:r>
    </w:p>
    <w:p w14:paraId="63A1E762">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22.响应文件审查</w:t>
      </w:r>
    </w:p>
    <w:p w14:paraId="31A5E933">
      <w:pPr>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22.1谈判小组对响应文件(包括首次提交的响应文件、重新提交的响应文件)的有效性、完整性和对谈判文件的响应程度进行审查。</w:t>
      </w:r>
    </w:p>
    <w:p w14:paraId="6D219915">
      <w:pPr>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22.2响应文件有下列情况之一，响应文件按无效处理，谈判小组应当告知有关供应商。</w:t>
      </w:r>
    </w:p>
    <w:p w14:paraId="10F77760">
      <w:pPr>
        <w:adjustRightInd w:val="0"/>
        <w:snapToGrid w:val="0"/>
        <w:spacing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3CC3F9FA">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08360A6A">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677EA271">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1BE409D9">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szCs w:val="21"/>
        </w:rPr>
      </w:pPr>
      <w:r>
        <w:rPr>
          <w:rFonts w:hint="eastAsia" w:ascii="宋体" w:hAnsi="宋体" w:cs="宋体"/>
          <w:kern w:val="0"/>
          <w:szCs w:val="21"/>
        </w:rPr>
        <w:t>22.3响应文件按无效处理的，谈判小组应拒绝其参与谈判，但属于谈判文件规定的实质性变动内容的除外。</w:t>
      </w:r>
    </w:p>
    <w:p w14:paraId="29046887">
      <w:pPr>
        <w:adjustRightInd w:val="0"/>
        <w:snapToGrid w:val="0"/>
        <w:spacing w:line="360" w:lineRule="auto"/>
        <w:ind w:firstLine="420"/>
        <w:rPr>
          <w:rFonts w:cs="宋体" w:asciiTheme="minorEastAsia" w:hAnsiTheme="minorEastAsia" w:eastAsiaTheme="minorEastAsia"/>
          <w:kern w:val="0"/>
          <w:szCs w:val="21"/>
        </w:rPr>
      </w:pPr>
      <w:r>
        <w:rPr>
          <w:rFonts w:hint="eastAsia" w:ascii="宋体" w:hAnsi="宋体" w:cs="宋体"/>
          <w:kern w:val="0"/>
          <w:szCs w:val="21"/>
        </w:rPr>
        <w:t>22.4谈判文件规定的实质性要求和条件见【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06FF36BC">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23.澄清</w:t>
      </w:r>
    </w:p>
    <w:p w14:paraId="600DC972">
      <w:pPr>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22.1</w:t>
      </w:r>
      <w:r>
        <w:rPr>
          <w:rFonts w:hint="eastAsia" w:ascii="宋体" w:hAnsi="宋体" w:cs="宋体"/>
          <w:kern w:val="0"/>
          <w:szCs w:val="21"/>
        </w:rPr>
        <w:t>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r>
        <w:rPr>
          <w:rFonts w:hint="eastAsia" w:cs="宋体" w:asciiTheme="minorEastAsia" w:hAnsiTheme="minorEastAsia" w:eastAsiaTheme="minorEastAsia"/>
          <w:kern w:val="0"/>
          <w:szCs w:val="21"/>
        </w:rPr>
        <w:t>。</w:t>
      </w:r>
    </w:p>
    <w:p w14:paraId="06B9E179">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24.谈判的规定</w:t>
      </w:r>
    </w:p>
    <w:p w14:paraId="67A022DD">
      <w:pPr>
        <w:adjustRightInd w:val="0"/>
        <w:snapToGrid w:val="0"/>
        <w:spacing w:line="360" w:lineRule="auto"/>
        <w:ind w:firstLine="420"/>
        <w:jc w:val="left"/>
        <w:rPr>
          <w:rFonts w:ascii="宋体" w:hAnsi="宋体" w:cs="宋体"/>
          <w:kern w:val="0"/>
          <w:szCs w:val="21"/>
        </w:rPr>
      </w:pPr>
      <w:r>
        <w:rPr>
          <w:rFonts w:hint="eastAsia" w:ascii="宋体" w:hAnsi="宋体"/>
          <w:bCs/>
          <w:szCs w:val="21"/>
        </w:rPr>
        <w:t>24.1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134AADC7">
      <w:pPr>
        <w:adjustRightInd w:val="0"/>
        <w:snapToGrid w:val="0"/>
        <w:spacing w:line="360" w:lineRule="auto"/>
        <w:ind w:firstLine="420"/>
        <w:jc w:val="left"/>
        <w:rPr>
          <w:rFonts w:ascii="宋体" w:hAnsi="宋体" w:cs="宋体"/>
          <w:kern w:val="0"/>
          <w:szCs w:val="21"/>
        </w:rPr>
      </w:pPr>
      <w:r>
        <w:rPr>
          <w:rFonts w:hint="eastAsia" w:ascii="宋体" w:hAnsi="宋体"/>
          <w:bCs/>
          <w:szCs w:val="21"/>
        </w:rPr>
        <w:t>24.2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5E59CE6">
      <w:pPr>
        <w:adjustRightInd w:val="0"/>
        <w:snapToGrid w:val="0"/>
        <w:spacing w:line="360" w:lineRule="auto"/>
        <w:ind w:firstLine="420"/>
        <w:rPr>
          <w:rFonts w:cs="宋体" w:asciiTheme="minorEastAsia" w:hAnsiTheme="minorEastAsia" w:eastAsiaTheme="minorEastAsia"/>
          <w:kern w:val="0"/>
          <w:szCs w:val="21"/>
        </w:rPr>
      </w:pPr>
      <w:r>
        <w:rPr>
          <w:rFonts w:ascii="宋体" w:hAnsi="宋体" w:cs="宋体"/>
          <w:kern w:val="0"/>
          <w:szCs w:val="21"/>
        </w:rPr>
        <w:t>2</w:t>
      </w: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r>
        <w:rPr>
          <w:rFonts w:hint="eastAsia" w:cs="宋体" w:asciiTheme="minorEastAsia" w:hAnsiTheme="minorEastAsia" w:eastAsiaTheme="minorEastAsia"/>
          <w:kern w:val="0"/>
          <w:szCs w:val="21"/>
        </w:rPr>
        <w:t>。</w:t>
      </w:r>
    </w:p>
    <w:p w14:paraId="4BB87659">
      <w:pPr>
        <w:pStyle w:val="5"/>
        <w:adjustRightInd w:val="0"/>
        <w:snapToGrid w:val="0"/>
        <w:spacing w:before="0" w:after="0" w:line="360" w:lineRule="auto"/>
        <w:rPr>
          <w:rFonts w:cs="宋体" w:asciiTheme="minorEastAsia" w:hAnsiTheme="minorEastAsia" w:eastAsiaTheme="minorEastAsia"/>
          <w:kern w:val="0"/>
          <w:sz w:val="21"/>
          <w:szCs w:val="21"/>
        </w:rPr>
      </w:pPr>
      <w:r>
        <w:rPr>
          <w:rFonts w:hint="eastAsia" w:asciiTheme="minorEastAsia" w:hAnsiTheme="minorEastAsia" w:eastAsiaTheme="minorEastAsia"/>
          <w:sz w:val="21"/>
          <w:szCs w:val="21"/>
        </w:rPr>
        <w:t>25.退出谈判</w:t>
      </w:r>
    </w:p>
    <w:p w14:paraId="30E6BC15">
      <w:pPr>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24.1供应商在提交最后报价之前，可以根据谈判情况退出谈判，并书面通知采购人、采购代理机构或者谈判小组。</w:t>
      </w:r>
      <w:r>
        <w:rPr>
          <w:rFonts w:hint="eastAsia" w:asciiTheme="minorEastAsia" w:hAnsiTheme="minorEastAsia" w:eastAsiaTheme="minorEastAsia"/>
          <w:szCs w:val="21"/>
        </w:rPr>
        <w:t>该通知由供应商代表签字。</w:t>
      </w:r>
    </w:p>
    <w:p w14:paraId="67B6C114">
      <w:pPr>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24.2供应商参与谈判，但未提交最后报价又未按前款规定退出谈判的，采购人可以做出不良行为记录的处罚。</w:t>
      </w:r>
    </w:p>
    <w:p w14:paraId="6C3C63B0">
      <w:pPr>
        <w:pStyle w:val="5"/>
        <w:keepNext w:val="0"/>
        <w:keepLines w:val="0"/>
        <w:adjustRightInd w:val="0"/>
        <w:snapToGrid w:val="0"/>
        <w:spacing w:before="0" w:after="0"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26.最后报价</w:t>
      </w:r>
    </w:p>
    <w:p w14:paraId="0CADDA8F">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26.1</w:t>
      </w:r>
      <w:r>
        <w:rPr>
          <w:rFonts w:hint="eastAsia" w:ascii="宋体" w:hAnsi="宋体" w:cs="宋体"/>
          <w:kern w:val="0"/>
          <w:szCs w:val="21"/>
        </w:rPr>
        <w:t>谈判结束后，谈判小组按本章第22.2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r>
        <w:rPr>
          <w:rFonts w:hint="eastAsia" w:cs="宋体" w:asciiTheme="minorEastAsia" w:hAnsiTheme="minorEastAsia" w:eastAsiaTheme="minorEastAsia"/>
          <w:kern w:val="0"/>
          <w:szCs w:val="21"/>
        </w:rPr>
        <w:t>。</w:t>
      </w:r>
    </w:p>
    <w:p w14:paraId="7FE78508">
      <w:pPr>
        <w:adjustRightInd w:val="0"/>
        <w:snapToGrid w:val="0"/>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（1）谈判文件能够详细列明采购需求的技术、服务要求的，谈判结束后，谈判小组应当要求所有供应商在规定时间内提交最后报价。</w:t>
      </w:r>
    </w:p>
    <w:p w14:paraId="6A2BF9A6">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C04413">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26.2下列情形，谈判小组确认符合谈判文件规定的实质性要求和条件的供应商不少于3家，可以不与供应商谈判，直接要求符合谈判文件规定的实质性要求和条件的供应商提交最后报价。</w:t>
      </w:r>
    </w:p>
    <w:p w14:paraId="15F73C03">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（1）谈判文件未明确可能实质性变动的；</w:t>
      </w:r>
    </w:p>
    <w:p w14:paraId="7A4BEF12">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（2）谈判文件明确可能实质性变动，但谈判小组对供应商提交的首次响应文件的有效性、完整性和响应程度进行审查后，认为谈判文件不需发生实质性变动、不需要谈判的。</w:t>
      </w:r>
    </w:p>
    <w:p w14:paraId="2A9D34E9">
      <w:pPr>
        <w:widowControl/>
        <w:adjustRightInd w:val="0"/>
        <w:snapToGrid w:val="0"/>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26.3</w:t>
      </w:r>
      <w:r>
        <w:rPr>
          <w:rStyle w:val="278"/>
          <w:rFonts w:ascii="宋体" w:hAnsi="宋体" w:cs="宋体"/>
          <w:bCs/>
          <w:szCs w:val="21"/>
        </w:rPr>
        <w:t>重</w:t>
      </w:r>
      <w:r>
        <w:rPr>
          <w:rStyle w:val="278"/>
          <w:rFonts w:ascii="宋体" w:hAnsi="宋体"/>
          <w:kern w:val="0"/>
          <w:szCs w:val="21"/>
        </w:rPr>
        <w:t>新提交的响应文件</w:t>
      </w:r>
      <w:r>
        <w:rPr>
          <w:rStyle w:val="278"/>
          <w:rFonts w:ascii="宋体" w:hAnsi="宋体"/>
          <w:szCs w:val="21"/>
        </w:rPr>
        <w:t>或者最后报价应</w:t>
      </w:r>
      <w:r>
        <w:rPr>
          <w:rStyle w:val="278"/>
          <w:rFonts w:ascii="宋体" w:hAnsi="宋体"/>
          <w:kern w:val="0"/>
          <w:szCs w:val="21"/>
        </w:rPr>
        <w:t>在规定时间内网上递交给谈判小组，</w:t>
      </w:r>
      <w:r>
        <w:rPr>
          <w:rStyle w:val="278"/>
          <w:rFonts w:hint="eastAsia" w:ascii="宋体" w:hAnsi="宋体"/>
          <w:kern w:val="0"/>
          <w:szCs w:val="21"/>
          <w:lang w:val="zh-CN"/>
        </w:rPr>
        <w:t>操作流程按</w:t>
      </w:r>
      <w:r>
        <w:rPr>
          <w:rFonts w:hint="eastAsia" w:asciiTheme="minorEastAsia" w:hAnsiTheme="minorEastAsia" w:eastAsiaTheme="minorEastAsia"/>
          <w:szCs w:val="21"/>
        </w:rPr>
        <w:t>电子投标文件制作工具（</w:t>
      </w:r>
      <w:r>
        <w:rPr>
          <w:rStyle w:val="278"/>
          <w:rFonts w:asciiTheme="minorEastAsia" w:hAnsiTheme="minorEastAsia" w:eastAsiaTheme="minorEastAsia"/>
          <w:color w:val="000000"/>
          <w:szCs w:val="21"/>
        </w:rPr>
        <w:t>金润投标人工具箱）规定</w:t>
      </w:r>
      <w:r>
        <w:rPr>
          <w:rFonts w:hint="eastAsia" w:cs="宋体" w:asciiTheme="minorEastAsia" w:hAnsiTheme="minorEastAsia" w:eastAsiaTheme="minorEastAsia"/>
          <w:kern w:val="0"/>
          <w:szCs w:val="21"/>
        </w:rPr>
        <w:t>。</w:t>
      </w:r>
    </w:p>
    <w:p w14:paraId="6F55A5BA">
      <w:pPr>
        <w:pStyle w:val="5"/>
        <w:adjustRightInd w:val="0"/>
        <w:snapToGrid w:val="0"/>
        <w:spacing w:before="0" w:after="0" w:line="360" w:lineRule="auto"/>
        <w:rPr>
          <w:rFonts w:cs="宋体" w:asciiTheme="minorEastAsia" w:hAnsiTheme="minorEastAsia" w:eastAsiaTheme="minorEastAsia"/>
          <w:color w:val="auto"/>
          <w:kern w:val="0"/>
          <w:sz w:val="21"/>
          <w:szCs w:val="21"/>
          <w:highlight w:val="none"/>
        </w:rPr>
      </w:pPr>
      <w:r>
        <w:rPr>
          <w:rFonts w:hint="eastAsia" w:asciiTheme="minorEastAsia" w:hAnsiTheme="minorEastAsia" w:eastAsiaTheme="minorEastAsia"/>
          <w:color w:val="auto"/>
          <w:sz w:val="21"/>
          <w:szCs w:val="21"/>
          <w:highlight w:val="none"/>
        </w:rPr>
        <w:t>27.异常报价</w:t>
      </w:r>
    </w:p>
    <w:p w14:paraId="52CD0924">
      <w:pPr>
        <w:adjustRightInd w:val="0"/>
        <w:snapToGrid w:val="0"/>
        <w:spacing w:line="360" w:lineRule="auto"/>
        <w:ind w:firstLine="420" w:firstLineChars="200"/>
        <w:rPr>
          <w:rFonts w:hint="eastAsia" w:ascii="宋体" w:hAnsi="宋体" w:eastAsia="宋体" w:cs="Times New Roman"/>
          <w:color w:val="auto"/>
          <w:szCs w:val="21"/>
          <w:highlight w:val="none"/>
        </w:rPr>
      </w:pPr>
      <w:r>
        <w:rPr>
          <w:rStyle w:val="278"/>
          <w:rFonts w:ascii="宋体" w:hAnsi="宋体"/>
          <w:color w:val="auto"/>
          <w:kern w:val="0"/>
          <w:szCs w:val="21"/>
          <w:highlight w:val="none"/>
        </w:rPr>
        <w:t>2</w:t>
      </w:r>
      <w:r>
        <w:rPr>
          <w:rStyle w:val="278"/>
          <w:rFonts w:hint="eastAsia" w:ascii="宋体" w:hAnsi="宋体"/>
          <w:color w:val="auto"/>
          <w:kern w:val="0"/>
          <w:szCs w:val="21"/>
          <w:highlight w:val="none"/>
          <w:lang w:val="en-US" w:eastAsia="zh-CN"/>
        </w:rPr>
        <w:t>7</w:t>
      </w:r>
      <w:r>
        <w:rPr>
          <w:rStyle w:val="278"/>
          <w:rFonts w:ascii="宋体" w:hAnsi="宋体"/>
          <w:color w:val="auto"/>
          <w:kern w:val="0"/>
          <w:szCs w:val="21"/>
          <w:highlight w:val="none"/>
        </w:rPr>
        <w:t>.1</w:t>
      </w:r>
      <w:r>
        <w:rPr>
          <w:rFonts w:hint="eastAsia" w:ascii="宋体" w:hAnsi="宋体" w:eastAsia="宋体" w:cs="Times New Roman"/>
          <w:color w:val="auto"/>
          <w:szCs w:val="21"/>
          <w:highlight w:val="none"/>
          <w:lang w:val="en-US" w:eastAsia="zh-CN"/>
        </w:rPr>
        <w:t>投标报价</w:t>
      </w:r>
      <w:r>
        <w:rPr>
          <w:rFonts w:hint="eastAsia" w:ascii="宋体" w:hAnsi="宋体" w:eastAsia="宋体" w:cs="Times New Roman"/>
          <w:color w:val="auto"/>
          <w:szCs w:val="21"/>
          <w:highlight w:val="none"/>
        </w:rPr>
        <w:t>中出现下列情形之一的，评审委员会应当启动异常低价投标（响应）审查程序：　　</w:t>
      </w:r>
    </w:p>
    <w:p w14:paraId="034912A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投标（响应）报价低于全部通过符合性审查供应商投标（响应）报价平均值50%的，即投标（响应）报价&lt;全部通过符合性审查供应商投标（响应）报价平均值×50%； </w:t>
      </w:r>
    </w:p>
    <w:p w14:paraId="33DF18C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投标（响应）报价低于通过符合性审查的次低报价供应商投标（响应）报价50%的，即投标（响应）报价&lt;通过符合性审查的次低报价供应商投标（响应）报价×50%； </w:t>
      </w:r>
    </w:p>
    <w:p w14:paraId="2C728DC0">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投标（响应）报价低于采购项目最高限价45%的，即投标（响应）报价&lt;采购项目最高限价×45%； </w:t>
      </w:r>
    </w:p>
    <w:p w14:paraId="417BBF9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评审委员会基于专业判断，认为供应商报价过低，有可能影响产品质量或者不能诚信履约的其他情形。</w:t>
      </w:r>
    </w:p>
    <w:p w14:paraId="069A573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采购人可以结合具体项目实际情况，提高上述第1项至第3项中启动异常低价投标（响应）审查的数值标准，但是最高不得超过65%。 </w:t>
      </w:r>
    </w:p>
    <w:p w14:paraId="16AA5E2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相关法律法规对供应商报价有规定的，从其规定。 </w:t>
      </w:r>
    </w:p>
    <w:p w14:paraId="6F037111">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评审委员会启动异常低价投标（响应）审查后，属于</w:t>
      </w: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.1款</w:t>
      </w:r>
      <w:r>
        <w:rPr>
          <w:rFonts w:hint="eastAsia" w:ascii="宋体" w:hAnsi="宋体" w:eastAsia="宋体" w:cs="Times New Roman"/>
          <w:color w:val="auto"/>
          <w:szCs w:val="21"/>
          <w:highlight w:val="none"/>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4F7837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4713D53">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45E6B16C">
      <w:pPr>
        <w:snapToGrid w:val="0"/>
        <w:spacing w:line="360" w:lineRule="auto"/>
        <w:ind w:firstLine="420"/>
        <w:rPr>
          <w:rStyle w:val="278"/>
          <w:rFonts w:ascii="宋体" w:hAnsi="宋体"/>
          <w:color w:val="auto"/>
          <w:kern w:val="0"/>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异常低价投标（响应）审查的启动原因、审查意见和审查结果应当在评审报告中记录，并随供应商提供的相关书面说明及证明材料。</w:t>
      </w:r>
    </w:p>
    <w:p w14:paraId="2E335FBF">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kern w:val="0"/>
          <w:sz w:val="21"/>
          <w:szCs w:val="21"/>
          <w:highlight w:val="none"/>
        </w:rPr>
        <w:t>28.</w:t>
      </w:r>
      <w:r>
        <w:rPr>
          <w:rFonts w:hint="eastAsia" w:asciiTheme="minorEastAsia" w:hAnsiTheme="minorEastAsia" w:eastAsiaTheme="minorEastAsia"/>
          <w:color w:val="auto"/>
          <w:sz w:val="21"/>
          <w:szCs w:val="21"/>
          <w:highlight w:val="none"/>
        </w:rPr>
        <w:t>提出成交供应商</w:t>
      </w:r>
    </w:p>
    <w:p w14:paraId="09DFCDEF">
      <w:pPr>
        <w:adjustRightInd w:val="0"/>
        <w:snapToGrid w:val="0"/>
        <w:spacing w:line="360" w:lineRule="auto"/>
        <w:ind w:firstLine="42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28.1谈判小组应当从质量和服务均能满足采购文件实质性响应要求的供应商中，按照最后报价由低到高的顺序提出3名以上成交候选人，并编写评审报告。</w:t>
      </w:r>
    </w:p>
    <w:p w14:paraId="6BFB90B7">
      <w:pPr>
        <w:adjustRightInd w:val="0"/>
        <w:snapToGrid w:val="0"/>
        <w:spacing w:line="360" w:lineRule="auto"/>
        <w:ind w:firstLine="420"/>
        <w:rPr>
          <w:rFonts w:asciiTheme="minorEastAsia" w:hAnsiTheme="minorEastAsia" w:eastAsiaTheme="minorEastAsia"/>
          <w:bCs/>
          <w:color w:val="auto"/>
          <w:szCs w:val="21"/>
          <w:highlight w:val="none"/>
        </w:rPr>
      </w:pPr>
      <w:r>
        <w:rPr>
          <w:rFonts w:hint="eastAsia" w:cs="宋体" w:asciiTheme="minorEastAsia" w:hAnsiTheme="minorEastAsia" w:eastAsiaTheme="minorEastAsia"/>
          <w:color w:val="auto"/>
          <w:kern w:val="0"/>
          <w:szCs w:val="21"/>
          <w:highlight w:val="none"/>
        </w:rPr>
        <w:t>28.2供应商最后报价涉及算术修正、需落实政府采购政策的，按上款规定由低到高的顺序排序。</w:t>
      </w:r>
      <w:r>
        <w:rPr>
          <w:rFonts w:hint="eastAsia" w:asciiTheme="minorEastAsia" w:hAnsiTheme="minorEastAsia" w:eastAsiaTheme="minorEastAsia"/>
          <w:color w:val="auto"/>
          <w:szCs w:val="21"/>
          <w:highlight w:val="none"/>
        </w:rPr>
        <w:t>最后报价排序</w:t>
      </w:r>
      <w:r>
        <w:rPr>
          <w:rFonts w:asciiTheme="minorEastAsia" w:hAnsiTheme="minorEastAsia" w:eastAsiaTheme="minorEastAsia"/>
          <w:color w:val="auto"/>
          <w:szCs w:val="21"/>
          <w:highlight w:val="none"/>
        </w:rPr>
        <w:t>相同的</w:t>
      </w:r>
      <w:r>
        <w:rPr>
          <w:rFonts w:hint="eastAsia" w:asciiTheme="minorEastAsia" w:hAnsiTheme="minorEastAsia" w:eastAsiaTheme="minorEastAsia"/>
          <w:color w:val="auto"/>
          <w:szCs w:val="21"/>
          <w:highlight w:val="none"/>
        </w:rPr>
        <w:t>并列</w:t>
      </w:r>
      <w:r>
        <w:rPr>
          <w:rFonts w:hint="eastAsia" w:asciiTheme="minorEastAsia" w:hAnsiTheme="minorEastAsia" w:eastAsiaTheme="minorEastAsia"/>
          <w:bCs/>
          <w:color w:val="auto"/>
          <w:szCs w:val="21"/>
          <w:highlight w:val="none"/>
        </w:rPr>
        <w:t>。</w:t>
      </w:r>
    </w:p>
    <w:p w14:paraId="5E4450CE">
      <w:pPr>
        <w:adjustRightInd w:val="0"/>
        <w:snapToGrid w:val="0"/>
        <w:spacing w:line="360" w:lineRule="auto"/>
        <w:ind w:firstLine="42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Cs/>
          <w:color w:val="auto"/>
          <w:szCs w:val="21"/>
          <w:highlight w:val="none"/>
        </w:rPr>
        <w:t>28.3</w:t>
      </w:r>
      <w:r>
        <w:rPr>
          <w:rFonts w:hint="eastAsia" w:cs="宋体" w:asciiTheme="minorEastAsia" w:hAnsiTheme="minorEastAsia" w:eastAsiaTheme="minorEastAsia"/>
          <w:color w:val="auto"/>
          <w:kern w:val="0"/>
          <w:szCs w:val="21"/>
          <w:highlight w:val="none"/>
        </w:rPr>
        <w:t>最后报价有算术错误的，除</w:t>
      </w:r>
      <w:r>
        <w:rPr>
          <w:rFonts w:hint="eastAsia" w:asciiTheme="minorEastAsia" w:hAnsiTheme="minorEastAsia" w:eastAsiaTheme="minorEastAsia"/>
          <w:b/>
          <w:color w:val="auto"/>
          <w:szCs w:val="21"/>
          <w:highlight w:val="none"/>
        </w:rPr>
        <w:t>【谈判须知前附表】</w:t>
      </w:r>
      <w:r>
        <w:rPr>
          <w:rFonts w:hint="eastAsia" w:cs="宋体" w:asciiTheme="minorEastAsia" w:hAnsiTheme="minorEastAsia" w:eastAsiaTheme="minorEastAsia"/>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6E4AB4D8">
      <w:pPr>
        <w:adjustRightInd w:val="0"/>
        <w:snapToGrid w:val="0"/>
        <w:spacing w:line="360" w:lineRule="auto"/>
        <w:ind w:firstLine="42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（1）大写金额与小写金额不一致的，以大写金额为准。</w:t>
      </w:r>
    </w:p>
    <w:p w14:paraId="71A67BDE">
      <w:pPr>
        <w:adjustRightInd w:val="0"/>
        <w:snapToGrid w:val="0"/>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（2）总价金额与按单价汇总金额不一致的，以单价金额计算结果为准。</w:t>
      </w:r>
    </w:p>
    <w:p w14:paraId="0D6C4B79">
      <w:pPr>
        <w:adjustRightInd w:val="0"/>
        <w:snapToGrid w:val="0"/>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修正后的报价由供应商代表签字或者加盖单位公章确认后产生约束力，不确认的，其报价无效。</w:t>
      </w:r>
    </w:p>
    <w:p w14:paraId="32B6694D">
      <w:pPr>
        <w:adjustRightInd w:val="0"/>
        <w:snapToGrid w:val="0"/>
        <w:spacing w:line="360" w:lineRule="auto"/>
        <w:ind w:firstLine="420" w:firstLineChars="2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28.4最后报价的评审</w:t>
      </w:r>
    </w:p>
    <w:p w14:paraId="18BBB4D3">
      <w:pPr>
        <w:adjustRightInd w:val="0"/>
        <w:snapToGrid w:val="0"/>
        <w:spacing w:line="360" w:lineRule="auto"/>
        <w:ind w:firstLine="420" w:firstLineChars="2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（1）如果有算术错误，最后报价将按上款规定进行算术修正。</w:t>
      </w:r>
    </w:p>
    <w:p w14:paraId="5E4B79C0">
      <w:pPr>
        <w:adjustRightInd w:val="0"/>
        <w:snapToGrid w:val="0"/>
        <w:spacing w:line="360" w:lineRule="auto"/>
        <w:ind w:firstLine="420" w:firstLineChars="2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（2）需落实政府采购政策（优先采购、价格评审优惠）的，按本章本节第</w:t>
      </w:r>
      <w:r>
        <w:rPr>
          <w:rFonts w:hint="eastAsia" w:ascii="宋体" w:hAnsi="宋体"/>
          <w:bCs/>
          <w:color w:val="auto"/>
          <w:szCs w:val="21"/>
          <w:highlight w:val="none"/>
        </w:rPr>
        <w:t>40、41</w:t>
      </w:r>
      <w:r>
        <w:rPr>
          <w:rFonts w:hint="eastAsia" w:asciiTheme="minorEastAsia" w:hAnsiTheme="minorEastAsia" w:eastAsiaTheme="minorEastAsia"/>
          <w:bCs/>
          <w:color w:val="auto"/>
          <w:szCs w:val="21"/>
          <w:highlight w:val="none"/>
        </w:rPr>
        <w:t>条等相关规定进行价格扣除。</w:t>
      </w:r>
    </w:p>
    <w:p w14:paraId="52A3CADA">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29.确定成交供应商</w:t>
      </w:r>
    </w:p>
    <w:p w14:paraId="01DC107F">
      <w:pPr>
        <w:adjustRightInd w:val="0"/>
        <w:snapToGrid w:val="0"/>
        <w:spacing w:line="360" w:lineRule="auto"/>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29.1采购代理机构应当在评审结束后2个工作日内将评审报告送采购人确认。</w:t>
      </w:r>
    </w:p>
    <w:p w14:paraId="65194E55">
      <w:pPr>
        <w:adjustRightInd w:val="0"/>
        <w:snapToGrid w:val="0"/>
        <w:spacing w:line="360" w:lineRule="auto"/>
        <w:ind w:firstLine="42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29.2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6D307C83">
      <w:pPr>
        <w:adjustRightInd w:val="0"/>
        <w:snapToGrid w:val="0"/>
        <w:spacing w:line="360" w:lineRule="auto"/>
        <w:ind w:firstLine="420"/>
        <w:rPr>
          <w:rFonts w:asciiTheme="minorEastAsia" w:hAnsiTheme="minorEastAsia" w:eastAsiaTheme="minorEastAsia"/>
          <w:bCs/>
          <w:color w:val="auto"/>
          <w:szCs w:val="21"/>
          <w:highlight w:val="none"/>
        </w:rPr>
      </w:pPr>
      <w:r>
        <w:rPr>
          <w:rFonts w:hint="eastAsia" w:cs="宋体" w:asciiTheme="minorEastAsia" w:hAnsiTheme="minorEastAsia" w:eastAsiaTheme="minorEastAsia"/>
          <w:color w:val="auto"/>
          <w:kern w:val="0"/>
          <w:szCs w:val="21"/>
          <w:highlight w:val="none"/>
        </w:rPr>
        <w:t>29.3成交候选人并列的，由采购人自行确定成交供应商。</w:t>
      </w:r>
    </w:p>
    <w:p w14:paraId="49E57454">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30.谈判的特殊情形</w:t>
      </w:r>
    </w:p>
    <w:p w14:paraId="5E9EE2C9">
      <w:pPr>
        <w:adjustRightInd w:val="0"/>
        <w:snapToGrid w:val="0"/>
        <w:spacing w:line="360" w:lineRule="auto"/>
        <w:ind w:firstLine="420" w:firstLineChars="200"/>
        <w:rPr>
          <w:rFonts w:ascii="宋体" w:hAnsi="宋体"/>
          <w:color w:val="auto"/>
          <w:kern w:val="0"/>
          <w:highlight w:val="none"/>
          <w:lang w:val="zh-CN"/>
        </w:rPr>
      </w:pPr>
      <w:r>
        <w:rPr>
          <w:rFonts w:hint="eastAsia" w:ascii="宋体" w:hAnsi="宋体"/>
          <w:color w:val="auto"/>
          <w:kern w:val="0"/>
          <w:highlight w:val="none"/>
          <w:lang w:val="zh-CN"/>
        </w:rPr>
        <w:t>30.1对于经公开招标的货物、服务采购项目，招标过程中提交投标文件或者经评审实质性响应招标文件要求的供应商只有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3F8BE33">
      <w:pPr>
        <w:adjustRightInd w:val="0"/>
        <w:snapToGrid w:val="0"/>
        <w:spacing w:line="360" w:lineRule="auto"/>
        <w:ind w:firstLine="420" w:firstLineChars="200"/>
        <w:rPr>
          <w:rFonts w:asciiTheme="minorEastAsia" w:hAnsiTheme="minorEastAsia" w:eastAsiaTheme="minorEastAsia"/>
          <w:color w:val="auto"/>
          <w:kern w:val="0"/>
          <w:szCs w:val="21"/>
          <w:highlight w:val="none"/>
          <w:lang w:val="zh-CN"/>
        </w:rPr>
      </w:pPr>
      <w:r>
        <w:rPr>
          <w:rFonts w:hint="eastAsia" w:ascii="宋体" w:hAnsi="宋体"/>
          <w:color w:val="auto"/>
          <w:kern w:val="0"/>
          <w:highlight w:val="none"/>
          <w:lang w:val="zh-CN"/>
        </w:rPr>
        <w:t>30.2</w:t>
      </w:r>
      <w:r>
        <w:rPr>
          <w:rFonts w:hint="eastAsia" w:ascii="宋体" w:hAnsi="宋体" w:cs="宋体"/>
          <w:color w:val="auto"/>
          <w:kern w:val="0"/>
          <w:szCs w:val="21"/>
          <w:highlight w:val="none"/>
        </w:rPr>
        <w:t>符合上款情形的，本章本节相关条款规定的供应商最低数量可以为两家</w:t>
      </w:r>
      <w:r>
        <w:rPr>
          <w:rFonts w:hint="eastAsia" w:cs="宋体" w:asciiTheme="minorEastAsia" w:hAnsiTheme="minorEastAsia" w:eastAsiaTheme="minorEastAsia"/>
          <w:color w:val="auto"/>
          <w:kern w:val="0"/>
          <w:szCs w:val="21"/>
          <w:highlight w:val="none"/>
        </w:rPr>
        <w:t>。</w:t>
      </w:r>
    </w:p>
    <w:p w14:paraId="415E41E3">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31.谈判终止</w:t>
      </w:r>
    </w:p>
    <w:p w14:paraId="2975A66A">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31.1</w:t>
      </w:r>
      <w:r>
        <w:rPr>
          <w:rFonts w:hint="eastAsia" w:ascii="宋体" w:hAnsi="宋体" w:cs="宋体"/>
          <w:color w:val="auto"/>
          <w:kern w:val="0"/>
          <w:szCs w:val="21"/>
          <w:highlight w:val="none"/>
        </w:rPr>
        <w:t>出现下列情形之一的，采购人、采购代理机构应当终止竞争性谈判采购活动，</w:t>
      </w:r>
      <w:r>
        <w:rPr>
          <w:rFonts w:hint="eastAsia" w:hAnsi="宋体"/>
          <w:color w:val="auto"/>
          <w:highlight w:val="none"/>
        </w:rPr>
        <w:t>在指定的媒体上</w:t>
      </w:r>
      <w:r>
        <w:rPr>
          <w:rFonts w:hint="eastAsia" w:ascii="宋体" w:hAnsi="宋体" w:cs="宋体"/>
          <w:color w:val="auto"/>
          <w:kern w:val="0"/>
          <w:szCs w:val="21"/>
          <w:highlight w:val="none"/>
        </w:rPr>
        <w:t xml:space="preserve">发布项目终止公告并说明原因，重新开展采购活动： </w:t>
      </w:r>
    </w:p>
    <w:p w14:paraId="5E510BC7">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（1）因情况变化，不再符合规定的竞争性谈判采购方式适用情形的；</w:t>
      </w:r>
    </w:p>
    <w:p w14:paraId="059F9E4E">
      <w:pPr>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（2）出现影响采购公正的违法、违规行为的；</w:t>
      </w:r>
    </w:p>
    <w:p w14:paraId="661AC175">
      <w:pPr>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（3）在采购过程中符合竞争要求的供应商或者报价未超过采购预算的供应商不足3家的，或者提交最后报价的供应商少于3家的；</w:t>
      </w:r>
    </w:p>
    <w:p w14:paraId="082F089B">
      <w:pPr>
        <w:adjustRightInd w:val="0"/>
        <w:snapToGrid w:val="0"/>
        <w:spacing w:line="360" w:lineRule="auto"/>
        <w:ind w:firstLine="420"/>
        <w:rPr>
          <w:rFonts w:cs="宋体" w:asciiTheme="minorEastAsia" w:hAnsiTheme="minorEastAsia" w:eastAsiaTheme="minorEastAsia"/>
          <w:color w:val="auto"/>
          <w:kern w:val="0"/>
          <w:szCs w:val="21"/>
          <w:highlight w:val="none"/>
        </w:rPr>
      </w:pPr>
      <w:r>
        <w:rPr>
          <w:rFonts w:hint="eastAsia" w:ascii="宋体" w:hAnsi="宋体" w:cs="宋体"/>
          <w:color w:val="auto"/>
          <w:kern w:val="0"/>
          <w:szCs w:val="21"/>
          <w:highlight w:val="none"/>
        </w:rPr>
        <w:t>（4）</w:t>
      </w:r>
      <w:r>
        <w:rPr>
          <w:rFonts w:hint="eastAsia" w:ascii="宋体" w:hAnsi="宋体"/>
          <w:bCs/>
          <w:color w:val="auto"/>
          <w:szCs w:val="21"/>
          <w:highlight w:val="none"/>
        </w:rPr>
        <w:t>因重大变故，采购任务取消的。</w:t>
      </w:r>
    </w:p>
    <w:p w14:paraId="40073B4F">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32.重新评审</w:t>
      </w:r>
    </w:p>
    <w:p w14:paraId="4D7F8F4E">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32.1除资格性审查认定错误和价格计算错误外，采购人、采购代理机构不以任何理由组织重新评审。</w:t>
      </w:r>
    </w:p>
    <w:p w14:paraId="43CFD0FB">
      <w:pPr>
        <w:adjustRightInd w:val="0"/>
        <w:snapToGrid w:val="0"/>
        <w:spacing w:line="360" w:lineRule="auto"/>
        <w:ind w:firstLine="420" w:firstLineChars="200"/>
        <w:rPr>
          <w:rFonts w:cs="宋体" w:asciiTheme="minorEastAsia" w:hAnsiTheme="minorEastAsia" w:eastAsiaTheme="minorEastAsia"/>
          <w:color w:val="auto"/>
          <w:kern w:val="0"/>
          <w:szCs w:val="21"/>
          <w:highlight w:val="none"/>
        </w:rPr>
      </w:pPr>
      <w:r>
        <w:rPr>
          <w:rFonts w:hint="eastAsia" w:ascii="宋体" w:hAnsi="宋体" w:cs="宋体"/>
          <w:color w:val="auto"/>
          <w:kern w:val="0"/>
          <w:szCs w:val="21"/>
          <w:highlight w:val="none"/>
        </w:rPr>
        <w:t>32.2采购人、采购代理机构发现谈判小组未按照谈判文件规定的评定成交的标准进行评审的，应当重新开展采购活动，并同时书面报告本级财政部门</w:t>
      </w:r>
      <w:r>
        <w:rPr>
          <w:rFonts w:hint="eastAsia" w:cs="宋体" w:asciiTheme="minorEastAsia" w:hAnsiTheme="minorEastAsia" w:eastAsiaTheme="minorEastAsia"/>
          <w:color w:val="auto"/>
          <w:kern w:val="0"/>
          <w:szCs w:val="21"/>
          <w:highlight w:val="none"/>
        </w:rPr>
        <w:t>。</w:t>
      </w:r>
    </w:p>
    <w:p w14:paraId="143E3093">
      <w:pPr>
        <w:pStyle w:val="5"/>
        <w:keepNext w:val="0"/>
        <w:keepLines w:val="0"/>
        <w:adjustRightInd w:val="0"/>
        <w:snapToGrid w:val="0"/>
        <w:spacing w:before="0" w:after="0"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33.保密及串通行为</w:t>
      </w:r>
    </w:p>
    <w:p w14:paraId="18D8260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33.1谈判小组成员以及与评审工作有关的人员不得泄露评审情况以及评审过程中获悉的国家秘密、商业秘密。</w:t>
      </w:r>
    </w:p>
    <w:p w14:paraId="64389BA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或者谈判小组成员行贿或者提供其他不正当利益；不得提供虚假材料谋取成交；不得以任何方式干扰、影响采购工作。</w:t>
      </w:r>
    </w:p>
    <w:p w14:paraId="7F05EA06">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Arial"/>
          <w:color w:val="auto"/>
          <w:kern w:val="0"/>
          <w:szCs w:val="21"/>
          <w:highlight w:val="none"/>
        </w:rPr>
        <w:t>33.3</w:t>
      </w:r>
      <w:r>
        <w:rPr>
          <w:rFonts w:ascii="宋体" w:hAnsi="宋体" w:cs="Arial"/>
          <w:color w:val="auto"/>
          <w:kern w:val="0"/>
          <w:szCs w:val="21"/>
          <w:highlight w:val="none"/>
        </w:rPr>
        <w:t>有下列情形之一的，</w:t>
      </w:r>
      <w:r>
        <w:rPr>
          <w:rFonts w:ascii="宋体" w:hAnsi="宋体" w:cs="宋体"/>
          <w:color w:val="auto"/>
          <w:kern w:val="0"/>
          <w:szCs w:val="21"/>
          <w:highlight w:val="none"/>
          <w:lang w:val="zh-CN"/>
        </w:rPr>
        <w:t>属于恶意串通，</w:t>
      </w:r>
      <w:r>
        <w:rPr>
          <w:rFonts w:ascii="宋体" w:hAnsi="宋体" w:cs="宋体"/>
          <w:color w:val="auto"/>
          <w:kern w:val="0"/>
          <w:szCs w:val="21"/>
          <w:highlight w:val="none"/>
        </w:rPr>
        <w:t>成交无效，并</w:t>
      </w:r>
      <w:r>
        <w:rPr>
          <w:rFonts w:ascii="宋体" w:hAnsi="宋体" w:cs="宋体"/>
          <w:color w:val="auto"/>
          <w:kern w:val="0"/>
          <w:szCs w:val="21"/>
          <w:highlight w:val="none"/>
          <w:lang w:val="zh-CN"/>
        </w:rPr>
        <w:t>依照《政府采购法》第七十七条的规定追究法律责任：</w:t>
      </w:r>
    </w:p>
    <w:p w14:paraId="0AED40F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（1）供应商直接或者间接从</w:t>
      </w:r>
      <w:r>
        <w:rPr>
          <w:rFonts w:hint="eastAsia" w:ascii="宋体" w:hAnsi="宋体"/>
          <w:bCs/>
          <w:color w:val="auto"/>
          <w:szCs w:val="21"/>
          <w:highlight w:val="none"/>
        </w:rPr>
        <w:t>采购人、采购代理机构</w:t>
      </w:r>
      <w:r>
        <w:rPr>
          <w:rFonts w:hint="eastAsia" w:ascii="宋体" w:hAnsi="宋体"/>
          <w:color w:val="auto"/>
          <w:szCs w:val="21"/>
          <w:highlight w:val="none"/>
        </w:rPr>
        <w:t>获得其他供应商的响应情况，并修改其响应文件</w:t>
      </w:r>
      <w:r>
        <w:rPr>
          <w:rFonts w:hint="eastAsia" w:ascii="宋体" w:hAnsi="宋体"/>
          <w:color w:val="auto"/>
          <w:highlight w:val="none"/>
        </w:rPr>
        <w:t>的</w:t>
      </w:r>
      <w:r>
        <w:rPr>
          <w:rFonts w:hint="eastAsia" w:ascii="宋体" w:hAnsi="宋体"/>
          <w:color w:val="auto"/>
          <w:szCs w:val="21"/>
          <w:highlight w:val="none"/>
        </w:rPr>
        <w:t>；</w:t>
      </w:r>
    </w:p>
    <w:p w14:paraId="369643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采购人、采购代理机构</w:t>
      </w:r>
      <w:r>
        <w:rPr>
          <w:rFonts w:hint="eastAsia" w:ascii="宋体" w:hAnsi="宋体"/>
          <w:color w:val="auto"/>
          <w:szCs w:val="21"/>
          <w:highlight w:val="none"/>
        </w:rPr>
        <w:t>授意供应商撤换、修改响应文件</w:t>
      </w:r>
      <w:r>
        <w:rPr>
          <w:rFonts w:hint="eastAsia" w:ascii="宋体" w:hAnsi="宋体"/>
          <w:color w:val="auto"/>
          <w:highlight w:val="none"/>
        </w:rPr>
        <w:t>的</w:t>
      </w:r>
      <w:r>
        <w:rPr>
          <w:rFonts w:hint="eastAsia" w:ascii="宋体" w:hAnsi="宋体"/>
          <w:color w:val="auto"/>
          <w:szCs w:val="21"/>
          <w:highlight w:val="none"/>
        </w:rPr>
        <w:t>；</w:t>
      </w:r>
    </w:p>
    <w:p w14:paraId="21F1429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（3）供应商之间协商技术方案、合同条款以及报价等响应文件实质性内容</w:t>
      </w:r>
      <w:r>
        <w:rPr>
          <w:rFonts w:hint="eastAsia" w:ascii="宋体" w:hAnsi="宋体"/>
          <w:color w:val="auto"/>
          <w:highlight w:val="none"/>
        </w:rPr>
        <w:t>的</w:t>
      </w:r>
      <w:r>
        <w:rPr>
          <w:rFonts w:hint="eastAsia" w:ascii="宋体" w:hAnsi="宋体"/>
          <w:color w:val="auto"/>
          <w:szCs w:val="21"/>
          <w:highlight w:val="none"/>
        </w:rPr>
        <w:t>；</w:t>
      </w:r>
    </w:p>
    <w:p w14:paraId="40C4230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（4）属于同一集团、协会、商会等组织成员的供应商按照该组织要求协同参加竞争性谈判政府采购活动</w:t>
      </w:r>
      <w:r>
        <w:rPr>
          <w:rFonts w:hint="eastAsia" w:ascii="宋体" w:hAnsi="宋体"/>
          <w:color w:val="auto"/>
          <w:highlight w:val="none"/>
        </w:rPr>
        <w:t>的</w:t>
      </w:r>
      <w:r>
        <w:rPr>
          <w:rFonts w:hint="eastAsia" w:ascii="宋体" w:hAnsi="宋体"/>
          <w:color w:val="auto"/>
          <w:szCs w:val="21"/>
          <w:highlight w:val="none"/>
        </w:rPr>
        <w:t>；</w:t>
      </w:r>
    </w:p>
    <w:p w14:paraId="7CCC0BB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（5）供应商之间事先约定由某一特定供应商成交</w:t>
      </w:r>
      <w:r>
        <w:rPr>
          <w:rFonts w:hint="eastAsia" w:ascii="宋体" w:hAnsi="宋体"/>
          <w:color w:val="auto"/>
          <w:highlight w:val="none"/>
        </w:rPr>
        <w:t>的</w:t>
      </w:r>
      <w:r>
        <w:rPr>
          <w:rFonts w:hint="eastAsia" w:ascii="宋体" w:hAnsi="宋体"/>
          <w:color w:val="auto"/>
          <w:szCs w:val="21"/>
          <w:highlight w:val="none"/>
        </w:rPr>
        <w:t>；</w:t>
      </w:r>
    </w:p>
    <w:p w14:paraId="5E9D22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（6）供应商之间商定部分供应商放弃</w:t>
      </w:r>
      <w:r>
        <w:rPr>
          <w:rFonts w:hint="eastAsia" w:ascii="宋体" w:hAnsi="宋体"/>
          <w:color w:val="auto"/>
          <w:highlight w:val="none"/>
        </w:rPr>
        <w:t>提</w:t>
      </w:r>
      <w:r>
        <w:rPr>
          <w:rFonts w:hint="eastAsia" w:ascii="宋体" w:hAnsi="宋体"/>
          <w:color w:val="auto"/>
          <w:szCs w:val="21"/>
          <w:highlight w:val="none"/>
        </w:rPr>
        <w:t>交响应文件或者退出谈判或者放弃成交</w:t>
      </w:r>
      <w:r>
        <w:rPr>
          <w:rFonts w:hint="eastAsia" w:ascii="宋体" w:hAnsi="宋体"/>
          <w:color w:val="auto"/>
          <w:highlight w:val="none"/>
        </w:rPr>
        <w:t>的</w:t>
      </w:r>
      <w:r>
        <w:rPr>
          <w:rFonts w:hint="eastAsia" w:ascii="宋体" w:hAnsi="宋体"/>
          <w:color w:val="auto"/>
          <w:szCs w:val="21"/>
          <w:highlight w:val="none"/>
        </w:rPr>
        <w:t>；</w:t>
      </w:r>
    </w:p>
    <w:p w14:paraId="51AE0556">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（7）供应商与</w:t>
      </w:r>
      <w:r>
        <w:rPr>
          <w:rFonts w:hint="eastAsia" w:ascii="宋体" w:hAnsi="宋体"/>
          <w:bCs/>
          <w:color w:val="auto"/>
          <w:szCs w:val="21"/>
          <w:highlight w:val="none"/>
        </w:rPr>
        <w:t>采购人、采购代理机构以及</w:t>
      </w:r>
      <w:r>
        <w:rPr>
          <w:rFonts w:hint="eastAsia" w:ascii="宋体" w:hAnsi="宋体"/>
          <w:color w:val="auto"/>
          <w:szCs w:val="21"/>
          <w:highlight w:val="none"/>
        </w:rPr>
        <w:t>谈判小组成员之间、供应商相互之间，为谋求特定供应商成交或者排斥其他供应商的其他串通行为</w:t>
      </w:r>
      <w:r>
        <w:rPr>
          <w:rFonts w:hint="eastAsia" w:ascii="宋体" w:hAnsi="宋体"/>
          <w:color w:val="auto"/>
          <w:highlight w:val="none"/>
        </w:rPr>
        <w:t>的</w:t>
      </w:r>
      <w:r>
        <w:rPr>
          <w:rFonts w:hint="eastAsia" w:ascii="宋体" w:hAnsi="宋体"/>
          <w:color w:val="auto"/>
          <w:szCs w:val="21"/>
          <w:highlight w:val="none"/>
        </w:rPr>
        <w:t>。</w:t>
      </w:r>
    </w:p>
    <w:p w14:paraId="2B051AF6">
      <w:pPr>
        <w:adjustRightInd w:val="0"/>
        <w:snapToGrid w:val="0"/>
        <w:spacing w:line="360" w:lineRule="auto"/>
        <w:ind w:firstLine="420" w:firstLineChars="200"/>
        <w:rPr>
          <w:rFonts w:ascii="宋体" w:hAnsi="宋体"/>
          <w:color w:val="auto"/>
          <w:szCs w:val="21"/>
          <w:highlight w:val="none"/>
        </w:rPr>
      </w:pPr>
      <w:r>
        <w:rPr>
          <w:rFonts w:ascii="宋体" w:hAnsi="宋体" w:cs="Arial"/>
          <w:color w:val="auto"/>
          <w:szCs w:val="21"/>
          <w:highlight w:val="none"/>
        </w:rPr>
        <w:t>（</w:t>
      </w:r>
      <w:r>
        <w:rPr>
          <w:rFonts w:hint="eastAsia" w:ascii="宋体" w:hAnsi="宋体" w:cs="Arial"/>
          <w:color w:val="auto"/>
          <w:szCs w:val="21"/>
          <w:highlight w:val="none"/>
        </w:rPr>
        <w:t>8</w:t>
      </w:r>
      <w:r>
        <w:rPr>
          <w:rFonts w:ascii="宋体" w:hAnsi="宋体" w:cs="Arial"/>
          <w:color w:val="auto"/>
          <w:szCs w:val="21"/>
          <w:highlight w:val="none"/>
        </w:rPr>
        <w:t>）</w:t>
      </w:r>
      <w:r>
        <w:rPr>
          <w:rFonts w:ascii="宋体" w:hAnsi="宋体"/>
          <w:color w:val="auto"/>
          <w:szCs w:val="21"/>
          <w:highlight w:val="none"/>
        </w:rPr>
        <w:t>法律、行政法规或规章规定的其他串通行为</w:t>
      </w:r>
      <w:r>
        <w:rPr>
          <w:rFonts w:asciiTheme="minorEastAsia" w:hAnsiTheme="minorEastAsia" w:eastAsiaTheme="minorEastAsia"/>
          <w:color w:val="auto"/>
          <w:szCs w:val="21"/>
          <w:highlight w:val="none"/>
        </w:rPr>
        <w:t>。</w:t>
      </w:r>
    </w:p>
    <w:p w14:paraId="0337BF7C">
      <w:pPr>
        <w:pStyle w:val="4"/>
        <w:keepNext w:val="0"/>
        <w:keepLines w:val="0"/>
        <w:adjustRightInd w:val="0"/>
        <w:snapToGrid w:val="0"/>
        <w:spacing w:beforeLines="50" w:after="0" w:line="360" w:lineRule="auto"/>
        <w:jc w:val="center"/>
        <w:rPr>
          <w:rFonts w:ascii="黑体" w:hAnsi="黑体" w:eastAsia="黑体"/>
          <w:color w:val="auto"/>
          <w:sz w:val="28"/>
          <w:szCs w:val="28"/>
          <w:highlight w:val="none"/>
        </w:rPr>
      </w:pPr>
      <w:bookmarkStart w:id="137" w:name="_Toc145374005"/>
      <w:bookmarkStart w:id="138" w:name="_Toc24557"/>
      <w:bookmarkStart w:id="139" w:name="_Toc12687"/>
      <w:bookmarkStart w:id="140" w:name="_Toc76503423"/>
      <w:bookmarkStart w:id="141" w:name="_Toc24211"/>
      <w:bookmarkStart w:id="142" w:name="_Toc225"/>
      <w:bookmarkStart w:id="143" w:name="_Toc5297"/>
      <w:bookmarkStart w:id="144" w:name="_Toc34637770"/>
      <w:bookmarkStart w:id="145" w:name="_Toc74694320"/>
      <w:bookmarkStart w:id="146" w:name="_Toc8839"/>
      <w:bookmarkStart w:id="147" w:name="_Toc2782"/>
      <w:bookmarkStart w:id="148" w:name="_Toc12934"/>
      <w:bookmarkStart w:id="149" w:name="_Toc9544"/>
      <w:bookmarkStart w:id="150" w:name="_Toc209084333"/>
      <w:r>
        <w:rPr>
          <w:rFonts w:hint="eastAsia" w:ascii="黑体" w:hAnsi="黑体" w:eastAsia="黑体"/>
          <w:color w:val="auto"/>
          <w:sz w:val="28"/>
          <w:szCs w:val="28"/>
          <w:highlight w:val="none"/>
        </w:rPr>
        <w:t>六、成交结果信息公布与授予合同</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2BF7BD91">
      <w:pPr>
        <w:adjustRightInd w:val="0"/>
        <w:snapToGrid w:val="0"/>
        <w:spacing w:line="360" w:lineRule="auto"/>
        <w:outlineLvl w:val="3"/>
        <w:rPr>
          <w:rFonts w:ascii="黑体" w:hAnsi="黑体" w:eastAsia="黑体"/>
          <w:b/>
          <w:bCs/>
          <w:color w:val="auto"/>
          <w:sz w:val="24"/>
          <w:highlight w:val="none"/>
        </w:rPr>
      </w:pPr>
      <w:bookmarkStart w:id="151" w:name="_Toc107998002"/>
      <w:bookmarkStart w:id="152" w:name="_Toc107997875"/>
      <w:r>
        <w:rPr>
          <w:rFonts w:hint="eastAsia" w:ascii="黑体" w:hAnsi="黑体" w:eastAsia="黑体"/>
          <w:b/>
          <w:bCs/>
          <w:color w:val="auto"/>
          <w:sz w:val="24"/>
          <w:highlight w:val="none"/>
        </w:rPr>
        <w:t>34.成交信息的公布与成交通知书</w:t>
      </w:r>
      <w:bookmarkEnd w:id="151"/>
      <w:bookmarkEnd w:id="152"/>
    </w:p>
    <w:p w14:paraId="703D0C55">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34.1采购人、采购代理机构应当自采购人确定成交供应商之日起2个工作日内，发出成交通知书，并在</w:t>
      </w:r>
      <w:r>
        <w:rPr>
          <w:rFonts w:hint="eastAsia" w:ascii="宋体" w:hAnsi="宋体" w:cs="Courier New"/>
          <w:b/>
          <w:color w:val="auto"/>
          <w:szCs w:val="21"/>
          <w:highlight w:val="none"/>
        </w:rPr>
        <w:t>【谈判须知前附表】</w:t>
      </w:r>
      <w:r>
        <w:rPr>
          <w:rFonts w:hint="eastAsia" w:ascii="宋体" w:hAnsi="宋体" w:cs="Courier New"/>
          <w:color w:val="auto"/>
          <w:szCs w:val="21"/>
          <w:highlight w:val="none"/>
        </w:rPr>
        <w:t>指定媒体上公告成交结果，竞争性谈判文件随成交结果同时公告，成交结果公告期限为1个工作日。</w:t>
      </w:r>
    </w:p>
    <w:p w14:paraId="570F0F8A">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34.2成交供应商确定后，采购人、采购代理机构将以书面形式向成交供应商发出成交通知书。成交通知书对采购人和成交供应商具有同等法律效力。</w:t>
      </w:r>
    </w:p>
    <w:p w14:paraId="07121DA8">
      <w:pPr>
        <w:adjustRightInd w:val="0"/>
        <w:snapToGrid w:val="0"/>
        <w:spacing w:line="360" w:lineRule="auto"/>
        <w:ind w:firstLine="420" w:firstLineChars="200"/>
        <w:rPr>
          <w:rFonts w:ascii="宋体" w:hAnsi="Courier New" w:cs="Courier New"/>
          <w:color w:val="auto"/>
          <w:szCs w:val="21"/>
          <w:highlight w:val="none"/>
        </w:rPr>
      </w:pPr>
      <w:r>
        <w:rPr>
          <w:rFonts w:hint="eastAsia" w:ascii="宋体" w:hAnsi="宋体" w:cs="Courier New"/>
          <w:color w:val="auto"/>
          <w:szCs w:val="21"/>
          <w:highlight w:val="none"/>
        </w:rPr>
        <w:t>34.3成交通知书是合同文件的组成部分。</w:t>
      </w:r>
    </w:p>
    <w:p w14:paraId="50D1D235">
      <w:pPr>
        <w:spacing w:line="360" w:lineRule="auto"/>
        <w:outlineLvl w:val="3"/>
        <w:rPr>
          <w:rFonts w:ascii="黑体" w:hAnsi="黑体" w:eastAsia="黑体"/>
          <w:b/>
          <w:bCs/>
          <w:color w:val="auto"/>
          <w:sz w:val="24"/>
          <w:highlight w:val="none"/>
        </w:rPr>
      </w:pPr>
      <w:bookmarkStart w:id="153" w:name="_Toc107997876"/>
      <w:bookmarkStart w:id="154" w:name="_Toc107998003"/>
      <w:r>
        <w:rPr>
          <w:rFonts w:hint="eastAsia" w:ascii="黑体" w:hAnsi="黑体" w:eastAsia="黑体"/>
          <w:b/>
          <w:bCs/>
          <w:color w:val="auto"/>
          <w:sz w:val="24"/>
          <w:highlight w:val="none"/>
        </w:rPr>
        <w:t>35.询问及质疑</w:t>
      </w:r>
      <w:bookmarkEnd w:id="153"/>
      <w:bookmarkEnd w:id="154"/>
    </w:p>
    <w:p w14:paraId="254EAF42">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35.1供应商对政府采购活动事项有疑问的，可以向采购人、采购代理机构提出询问。采购人或采购代理机构将在3个工作日内作出答复。</w:t>
      </w:r>
    </w:p>
    <w:p w14:paraId="40C5C708">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35.2供应商若认为谈判文件、采购过程和成交结果使自己的权益受到损害，可以按法律、规章及《湖南省财政厅关于印发＜政府采购质疑答复和投诉处理操作规程＞的通知》(湘财购〔2024〕67号)文件规定向采购人、采购代理机构提出质疑。供应商应当在法定质疑期内一次性提出针对同一采购程序环节的质疑。</w:t>
      </w:r>
    </w:p>
    <w:p w14:paraId="6974C24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35.3供应商提出质疑的，质疑函应按照《湖南省财政厅关于印发＜政府采购质疑答复和投诉处理操作规程＞的通知》规定制作、签署、送达。采购人、采购代理机构接收质疑函的联系部门、联系电话和通讯地址见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319765BD">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35.4采购人、采购代理机构按照《湖南省财政厅关于印发＜政府采购质疑答复和投诉处理操作规程＞的通知》规定进行质疑答复。</w:t>
      </w:r>
    </w:p>
    <w:p w14:paraId="7FE69354">
      <w:pPr>
        <w:pStyle w:val="61"/>
        <w:spacing w:line="360" w:lineRule="auto"/>
        <w:rPr>
          <w:rFonts w:ascii="宋体" w:hAnsi="宋体"/>
          <w:color w:val="auto"/>
          <w:highlight w:val="none"/>
        </w:rPr>
      </w:pPr>
      <w:r>
        <w:rPr>
          <w:rFonts w:hint="eastAsia" w:ascii="宋体" w:hAnsi="宋体"/>
          <w:color w:val="auto"/>
          <w:highlight w:val="none"/>
        </w:rPr>
        <w:t>35.5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5D0FB15">
      <w:pPr>
        <w:spacing w:line="360" w:lineRule="auto"/>
        <w:outlineLvl w:val="3"/>
        <w:rPr>
          <w:rFonts w:ascii="黑体" w:hAnsi="黑体" w:eastAsia="黑体"/>
          <w:b/>
          <w:bCs/>
          <w:color w:val="auto"/>
          <w:sz w:val="24"/>
          <w:highlight w:val="none"/>
        </w:rPr>
      </w:pPr>
      <w:bookmarkStart w:id="155" w:name="_Toc107998004"/>
      <w:bookmarkStart w:id="156" w:name="_Toc107997877"/>
      <w:r>
        <w:rPr>
          <w:rFonts w:hint="eastAsia" w:ascii="黑体" w:hAnsi="黑体" w:eastAsia="黑体"/>
          <w:b/>
          <w:bCs/>
          <w:color w:val="auto"/>
          <w:sz w:val="24"/>
          <w:highlight w:val="none"/>
        </w:rPr>
        <w:t>36.履约担保</w:t>
      </w:r>
      <w:bookmarkEnd w:id="155"/>
      <w:bookmarkEnd w:id="156"/>
    </w:p>
    <w:p w14:paraId="4F8BD1A7">
      <w:pPr>
        <w:adjustRightInd w:val="0"/>
        <w:snapToGrid w:val="0"/>
        <w:spacing w:before="50"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36.1</w:t>
      </w:r>
      <w:r>
        <w:rPr>
          <w:rFonts w:hint="eastAsia" w:ascii="宋体" w:hAnsi="宋体"/>
          <w:color w:val="auto"/>
          <w:szCs w:val="21"/>
          <w:highlight w:val="none"/>
        </w:rPr>
        <w:t>谈判文件要求成交供应商向采购人提交履约担保的，成交供应商应按照</w:t>
      </w:r>
      <w:r>
        <w:rPr>
          <w:rFonts w:hint="eastAsia" w:ascii="宋体" w:hAnsi="宋体"/>
          <w:b/>
          <w:color w:val="auto"/>
          <w:szCs w:val="21"/>
          <w:highlight w:val="none"/>
        </w:rPr>
        <w:t>【谈判须知前附表】</w:t>
      </w:r>
      <w:r>
        <w:rPr>
          <w:rFonts w:hint="eastAsia" w:ascii="宋体" w:hAnsi="宋体"/>
          <w:color w:val="auto"/>
          <w:szCs w:val="21"/>
          <w:highlight w:val="none"/>
        </w:rPr>
        <w:t>的规定提交，供应商可用保函、电子增信替代履约保证金。联合体成交的，履约担保由联合体各方或联合体中牵头人的名义提交。</w:t>
      </w:r>
    </w:p>
    <w:p w14:paraId="5D00E2AD">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36.2成交供应商</w:t>
      </w:r>
      <w:r>
        <w:rPr>
          <w:rFonts w:hint="eastAsia" w:ascii="宋体" w:hAnsi="宋体" w:cs="Courier New"/>
          <w:color w:val="auto"/>
          <w:spacing w:val="4"/>
          <w:szCs w:val="21"/>
          <w:highlight w:val="none"/>
        </w:rPr>
        <w:t>没有按照本章第36.1</w:t>
      </w:r>
      <w:r>
        <w:rPr>
          <w:rFonts w:hint="eastAsia" w:ascii="宋体" w:hAnsi="宋体" w:cs="宋体"/>
          <w:color w:val="auto"/>
          <w:kern w:val="0"/>
          <w:szCs w:val="21"/>
          <w:highlight w:val="none"/>
          <w:lang w:val="zh-CN"/>
        </w:rPr>
        <w:t>款</w:t>
      </w:r>
      <w:r>
        <w:rPr>
          <w:rFonts w:hint="eastAsia" w:ascii="宋体" w:hAnsi="宋体" w:cs="Courier New"/>
          <w:color w:val="auto"/>
          <w:spacing w:val="4"/>
          <w:szCs w:val="21"/>
          <w:highlight w:val="none"/>
        </w:rPr>
        <w:t>规定</w:t>
      </w:r>
      <w:r>
        <w:rPr>
          <w:rFonts w:hint="eastAsia" w:ascii="宋体" w:hAnsi="宋体" w:cs="Courier New"/>
          <w:color w:val="auto"/>
          <w:szCs w:val="21"/>
          <w:highlight w:val="none"/>
        </w:rPr>
        <w:t>提交履约担保的</w:t>
      </w:r>
      <w:r>
        <w:rPr>
          <w:rFonts w:hint="eastAsia" w:ascii="宋体" w:hAnsi="宋体" w:cs="Courier New"/>
          <w:color w:val="auto"/>
          <w:spacing w:val="4"/>
          <w:szCs w:val="21"/>
          <w:highlight w:val="none"/>
        </w:rPr>
        <w:t>，视为放弃</w:t>
      </w:r>
      <w:r>
        <w:rPr>
          <w:rFonts w:hint="eastAsia" w:ascii="宋体" w:hAnsi="宋体" w:cs="Courier New"/>
          <w:color w:val="auto"/>
          <w:szCs w:val="21"/>
          <w:highlight w:val="none"/>
        </w:rPr>
        <w:t>成交资格</w:t>
      </w:r>
      <w:r>
        <w:rPr>
          <w:rFonts w:hint="eastAsia" w:ascii="宋体" w:hAnsi="宋体" w:cs="Courier New"/>
          <w:color w:val="auto"/>
          <w:spacing w:val="4"/>
          <w:szCs w:val="21"/>
          <w:highlight w:val="none"/>
        </w:rPr>
        <w:t>，</w:t>
      </w:r>
      <w:r>
        <w:rPr>
          <w:rFonts w:hint="eastAsia" w:ascii="宋体" w:hAnsi="宋体" w:cs="Courier New"/>
          <w:color w:val="auto"/>
          <w:spacing w:val="2"/>
          <w:szCs w:val="21"/>
          <w:highlight w:val="none"/>
        </w:rPr>
        <w:t>其谈判保证金不予退还。</w:t>
      </w:r>
    </w:p>
    <w:p w14:paraId="243928D2">
      <w:pPr>
        <w:spacing w:line="360" w:lineRule="auto"/>
        <w:outlineLvl w:val="3"/>
        <w:rPr>
          <w:rFonts w:ascii="黑体" w:hAnsi="黑体" w:eastAsia="黑体"/>
          <w:b/>
          <w:bCs/>
          <w:color w:val="auto"/>
          <w:sz w:val="24"/>
          <w:highlight w:val="none"/>
        </w:rPr>
      </w:pPr>
      <w:bookmarkStart w:id="157" w:name="_Toc107997878"/>
      <w:bookmarkStart w:id="158" w:name="_Toc107998005"/>
      <w:r>
        <w:rPr>
          <w:rFonts w:hint="eastAsia" w:ascii="黑体" w:hAnsi="黑体" w:eastAsia="黑体"/>
          <w:b/>
          <w:bCs/>
          <w:color w:val="auto"/>
          <w:sz w:val="24"/>
          <w:highlight w:val="none"/>
        </w:rPr>
        <w:t>37.签订合同</w:t>
      </w:r>
      <w:bookmarkEnd w:id="157"/>
      <w:bookmarkEnd w:id="158"/>
    </w:p>
    <w:p w14:paraId="123F1CC1">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37.1谈判文件、成交供应商的响应文件及其补充的响应文件等均为签订政府采购合同的依据。</w:t>
      </w:r>
    </w:p>
    <w:p w14:paraId="70333579">
      <w:pPr>
        <w:adjustRightInd w:val="0"/>
        <w:snapToGrid w:val="0"/>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37.2成交供应商应当在成交通知书发出之日起</w:t>
      </w: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0日内与采购人签订政府采购合同。</w:t>
      </w:r>
    </w:p>
    <w:p w14:paraId="670164B6">
      <w:pPr>
        <w:pStyle w:val="24"/>
        <w:adjustRightInd w:val="0"/>
        <w:snapToGrid w:val="0"/>
        <w:spacing w:line="360" w:lineRule="auto"/>
        <w:ind w:firstLine="420" w:firstLineChars="200"/>
        <w:rPr>
          <w:rFonts w:hAnsi="宋体" w:cs="宋体"/>
          <w:color w:val="auto"/>
          <w:kern w:val="0"/>
          <w:highlight w:val="none"/>
        </w:rPr>
      </w:pPr>
      <w:r>
        <w:rPr>
          <w:rFonts w:hint="eastAsia" w:hAnsi="宋体"/>
          <w:color w:val="auto"/>
          <w:highlight w:val="none"/>
        </w:rPr>
        <w:t>37.3成交供应商应当按照合同约定履行义务。成交供应商不得向他人转让成交项目，也不得将成交项目分包后分别向他人转让。</w:t>
      </w:r>
    </w:p>
    <w:p w14:paraId="5FCB2B75">
      <w:pPr>
        <w:pStyle w:val="4"/>
        <w:keepNext w:val="0"/>
        <w:keepLines w:val="0"/>
        <w:adjustRightInd w:val="0"/>
        <w:snapToGrid w:val="0"/>
        <w:spacing w:beforeLines="50" w:after="0" w:line="360" w:lineRule="auto"/>
        <w:jc w:val="center"/>
        <w:rPr>
          <w:rFonts w:ascii="黑体" w:hAnsi="黑体" w:eastAsia="黑体"/>
          <w:color w:val="auto"/>
          <w:sz w:val="28"/>
          <w:szCs w:val="28"/>
          <w:highlight w:val="none"/>
        </w:rPr>
      </w:pPr>
      <w:bookmarkStart w:id="159" w:name="_Toc209084334"/>
      <w:bookmarkStart w:id="160" w:name="_Toc31339"/>
      <w:bookmarkStart w:id="161" w:name="_Toc12781"/>
      <w:bookmarkStart w:id="162" w:name="_Toc29957"/>
      <w:bookmarkStart w:id="163" w:name="_Toc76503424"/>
      <w:bookmarkStart w:id="164" w:name="_Toc23359"/>
      <w:bookmarkStart w:id="165" w:name="_Toc3664"/>
      <w:bookmarkStart w:id="166" w:name="_Toc9959"/>
      <w:bookmarkStart w:id="167" w:name="_Toc145374006"/>
      <w:bookmarkStart w:id="168" w:name="_Toc34637771"/>
      <w:bookmarkStart w:id="169" w:name="_Toc14784"/>
      <w:bookmarkStart w:id="170" w:name="_Toc22201076"/>
      <w:bookmarkStart w:id="171" w:name="_Toc74694321"/>
      <w:bookmarkStart w:id="172" w:name="_Toc32445"/>
      <w:bookmarkStart w:id="173" w:name="_Toc32436"/>
      <w:r>
        <w:rPr>
          <w:rFonts w:hint="eastAsia" w:ascii="黑体" w:hAnsi="黑体" w:eastAsia="黑体"/>
          <w:color w:val="auto"/>
          <w:sz w:val="28"/>
          <w:szCs w:val="28"/>
          <w:highlight w:val="none"/>
        </w:rPr>
        <w:t>七、政府采购政策</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225DF8A0">
      <w:pPr>
        <w:adjustRightInd w:val="0"/>
        <w:snapToGrid w:val="0"/>
        <w:spacing w:line="360" w:lineRule="auto"/>
        <w:outlineLvl w:val="3"/>
        <w:rPr>
          <w:rFonts w:ascii="黑体" w:hAnsi="黑体" w:eastAsia="黑体"/>
          <w:b/>
          <w:bCs/>
          <w:color w:val="auto"/>
          <w:sz w:val="24"/>
          <w:highlight w:val="none"/>
        </w:rPr>
      </w:pPr>
      <w:bookmarkStart w:id="174" w:name="_Toc62225465"/>
      <w:bookmarkStart w:id="175" w:name="_Toc107998007"/>
      <w:bookmarkStart w:id="176" w:name="_Toc107997880"/>
      <w:r>
        <w:rPr>
          <w:rFonts w:hint="eastAsia" w:ascii="黑体" w:hAnsi="黑体" w:eastAsia="黑体"/>
          <w:b/>
          <w:bCs/>
          <w:color w:val="auto"/>
          <w:sz w:val="24"/>
          <w:highlight w:val="none"/>
        </w:rPr>
        <w:t>38.</w:t>
      </w:r>
      <w:bookmarkEnd w:id="174"/>
      <w:r>
        <w:rPr>
          <w:rFonts w:hint="eastAsia" w:ascii="黑体" w:hAnsi="黑体" w:eastAsia="黑体"/>
          <w:b/>
          <w:bCs/>
          <w:color w:val="auto"/>
          <w:sz w:val="24"/>
          <w:highlight w:val="none"/>
        </w:rPr>
        <w:t>预留采购份额</w:t>
      </w:r>
      <w:bookmarkEnd w:id="175"/>
      <w:bookmarkEnd w:id="176"/>
    </w:p>
    <w:p w14:paraId="462E807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38.1执行中小企业预留采购份额政策的规定：</w:t>
      </w:r>
    </w:p>
    <w:p w14:paraId="5E3BB1FF">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（1）预留份额的采购项目或者采购包，应明确该项目或相关采购包专门面向中小企业采购，并作为供应商资格条件。</w:t>
      </w:r>
    </w:p>
    <w:p w14:paraId="5D2C13B8">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（2）要求以联合体形式参加或者合同分包的，应明确联合协议或者分包承诺中中小企业合同金额应当达到的比例，并作为供应商资格条件。</w:t>
      </w:r>
    </w:p>
    <w:p w14:paraId="0E7BCE47">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（3）组成联合体或者接受分包合同的中小企业与联合体内其他企业(成员)、分包企业之间不得存在直接控股、管理关系。</w:t>
      </w:r>
    </w:p>
    <w:p w14:paraId="46705D66">
      <w:pPr>
        <w:adjustRightInd w:val="0"/>
        <w:snapToGrid w:val="0"/>
        <w:spacing w:line="360" w:lineRule="auto"/>
        <w:outlineLvl w:val="3"/>
        <w:rPr>
          <w:rFonts w:ascii="黑体" w:hAnsi="黑体" w:eastAsia="黑体"/>
          <w:b/>
          <w:bCs/>
          <w:color w:val="auto"/>
          <w:sz w:val="24"/>
          <w:highlight w:val="none"/>
        </w:rPr>
      </w:pPr>
      <w:bookmarkStart w:id="177" w:name="_Toc107998008"/>
      <w:bookmarkStart w:id="178" w:name="_Toc107997881"/>
      <w:bookmarkStart w:id="179" w:name="_Toc62225466"/>
      <w:r>
        <w:rPr>
          <w:rFonts w:hint="eastAsia" w:ascii="黑体" w:hAnsi="黑体" w:eastAsia="黑体"/>
          <w:b/>
          <w:bCs/>
          <w:color w:val="auto"/>
          <w:sz w:val="24"/>
          <w:highlight w:val="none"/>
        </w:rPr>
        <w:t>39.强制采购</w:t>
      </w:r>
      <w:bookmarkEnd w:id="177"/>
      <w:bookmarkEnd w:id="178"/>
      <w:bookmarkEnd w:id="179"/>
    </w:p>
    <w:p w14:paraId="5D0C0E71">
      <w:pPr>
        <w:adjustRightInd w:val="0"/>
        <w:snapToGrid w:val="0"/>
        <w:spacing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39.1纳入财政部会同国务院有关部门发布的节能产品政府采购品目清单（品目清单中标注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符号产品），实施政府强制采购的，供应商提供的产品不符合强制采购规定，其</w:t>
      </w:r>
      <w:r>
        <w:rPr>
          <w:rFonts w:hint="eastAsia" w:ascii="宋体" w:hAnsi="宋体" w:cs="宋体"/>
          <w:b/>
          <w:color w:val="auto"/>
          <w:kern w:val="0"/>
          <w:highlight w:val="none"/>
        </w:rPr>
        <w:t>响应</w:t>
      </w:r>
      <w:r>
        <w:rPr>
          <w:rFonts w:hint="eastAsia" w:ascii="宋体" w:hAnsi="宋体" w:cs="宋体"/>
          <w:b/>
          <w:color w:val="auto"/>
          <w:kern w:val="0"/>
          <w:szCs w:val="21"/>
          <w:highlight w:val="none"/>
        </w:rPr>
        <w:t>无效</w:t>
      </w:r>
      <w:r>
        <w:rPr>
          <w:rFonts w:hint="eastAsia" w:ascii="宋体" w:hAnsi="宋体" w:cs="宋体"/>
          <w:color w:val="auto"/>
          <w:kern w:val="0"/>
          <w:highlight w:val="none"/>
        </w:rPr>
        <w:t>。</w:t>
      </w:r>
    </w:p>
    <w:p w14:paraId="13378B2D">
      <w:pPr>
        <w:adjustRightInd w:val="0"/>
        <w:snapToGrid w:val="0"/>
        <w:spacing w:line="360" w:lineRule="auto"/>
        <w:outlineLvl w:val="3"/>
        <w:rPr>
          <w:rFonts w:ascii="黑体" w:hAnsi="黑体" w:eastAsia="黑体"/>
          <w:b/>
          <w:bCs/>
          <w:color w:val="auto"/>
          <w:sz w:val="24"/>
          <w:highlight w:val="none"/>
        </w:rPr>
      </w:pPr>
      <w:bookmarkStart w:id="180" w:name="_Toc62225467"/>
      <w:bookmarkStart w:id="181" w:name="_Toc107998009"/>
      <w:bookmarkStart w:id="182" w:name="_Toc107997882"/>
      <w:r>
        <w:rPr>
          <w:rFonts w:hint="eastAsia" w:ascii="黑体" w:hAnsi="黑体" w:eastAsia="黑体"/>
          <w:b/>
          <w:bCs/>
          <w:color w:val="auto"/>
          <w:sz w:val="24"/>
          <w:highlight w:val="none"/>
        </w:rPr>
        <w:t>40.优先采购</w:t>
      </w:r>
      <w:bookmarkEnd w:id="180"/>
      <w:bookmarkEnd w:id="181"/>
      <w:bookmarkEnd w:id="182"/>
    </w:p>
    <w:p w14:paraId="3D5D62EB">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40.1对</w:t>
      </w:r>
      <w:r>
        <w:rPr>
          <w:rFonts w:hint="eastAsia" w:ascii="宋体" w:hAnsi="宋体"/>
          <w:color w:val="auto"/>
          <w:szCs w:val="21"/>
          <w:highlight w:val="none"/>
        </w:rPr>
        <w:t>纳入财政部会同国务院有关部门发布的节能产品(未</w:t>
      </w:r>
      <w:r>
        <w:rPr>
          <w:rFonts w:hint="eastAsia" w:ascii="宋体" w:hAnsi="宋体" w:cs="宋体"/>
          <w:color w:val="auto"/>
          <w:kern w:val="0"/>
          <w:highlight w:val="none"/>
        </w:rPr>
        <w:t>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w:t>
      </w:r>
      <w:r>
        <w:rPr>
          <w:rFonts w:hint="eastAsia" w:ascii="宋体" w:hAnsi="宋体"/>
          <w:color w:val="auto"/>
          <w:szCs w:val="21"/>
          <w:highlight w:val="none"/>
        </w:rPr>
        <w:t>)、环境标志产品政府采购品目清单，实施政府优先采购的，评审时对该部分产品按</w:t>
      </w:r>
      <w:r>
        <w:rPr>
          <w:rFonts w:hint="eastAsia" w:ascii="宋体" w:hAnsi="宋体"/>
          <w:b/>
          <w:color w:val="auto"/>
          <w:szCs w:val="21"/>
          <w:highlight w:val="none"/>
        </w:rPr>
        <w:t>【谈判须知前附表】</w:t>
      </w:r>
      <w:r>
        <w:rPr>
          <w:rFonts w:hint="eastAsia" w:ascii="宋体" w:hAnsi="宋体"/>
          <w:color w:val="auto"/>
          <w:szCs w:val="21"/>
          <w:highlight w:val="none"/>
        </w:rPr>
        <w:t>规定给予价格折扣；</w:t>
      </w:r>
    </w:p>
    <w:p w14:paraId="3D3715ED">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40.2对纳入湖南省财政厅等有关部门发布的湖南省两型产品政府采购目录，实施政府优先采购的，评审时</w:t>
      </w:r>
      <w:r>
        <w:rPr>
          <w:rFonts w:hint="eastAsia" w:ascii="宋体" w:hAnsi="宋体"/>
          <w:color w:val="auto"/>
          <w:szCs w:val="21"/>
          <w:highlight w:val="none"/>
        </w:rPr>
        <w:t>该部分产品</w:t>
      </w:r>
      <w:r>
        <w:rPr>
          <w:rFonts w:hint="eastAsia" w:ascii="宋体" w:hAnsi="宋体"/>
          <w:color w:val="auto"/>
          <w:highlight w:val="none"/>
        </w:rPr>
        <w:t>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w:t>
      </w:r>
    </w:p>
    <w:p w14:paraId="7E67516F">
      <w:pPr>
        <w:adjustRightInd w:val="0"/>
        <w:snapToGrid w:val="0"/>
        <w:spacing w:line="360" w:lineRule="auto"/>
        <w:outlineLvl w:val="3"/>
        <w:rPr>
          <w:rFonts w:ascii="黑体" w:hAnsi="黑体" w:eastAsia="黑体"/>
          <w:b/>
          <w:bCs/>
          <w:color w:val="auto"/>
          <w:sz w:val="24"/>
          <w:highlight w:val="none"/>
        </w:rPr>
      </w:pPr>
      <w:bookmarkStart w:id="183" w:name="_Toc107998010"/>
      <w:bookmarkStart w:id="184" w:name="_Toc62225468"/>
      <w:bookmarkStart w:id="185" w:name="_Toc107997883"/>
      <w:r>
        <w:rPr>
          <w:rFonts w:hint="eastAsia" w:ascii="黑体" w:hAnsi="黑体" w:eastAsia="黑体"/>
          <w:b/>
          <w:bCs/>
          <w:color w:val="auto"/>
          <w:sz w:val="24"/>
          <w:highlight w:val="none"/>
        </w:rPr>
        <w:t>41.价格评审优惠</w:t>
      </w:r>
      <w:bookmarkEnd w:id="183"/>
      <w:bookmarkEnd w:id="184"/>
      <w:bookmarkEnd w:id="185"/>
    </w:p>
    <w:p w14:paraId="4814AC6B">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1.1</w:t>
      </w:r>
      <w:r>
        <w:rPr>
          <w:rFonts w:hint="eastAsia" w:ascii="宋体" w:hAnsi="宋体"/>
          <w:color w:val="auto"/>
          <w:highlight w:val="none"/>
        </w:rPr>
        <w:t>在政府采购活动中，供应商提供的货物、工程或者服务符合下列情形的：</w:t>
      </w:r>
      <w:r>
        <w:rPr>
          <w:rFonts w:ascii="宋体" w:hAnsi="宋体"/>
          <w:color w:val="auto"/>
          <w:highlight w:val="none"/>
        </w:rPr>
        <w:t>（</w:t>
      </w: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给予一定比例的价格折扣，用扣除后的价格参与评审；</w:t>
      </w:r>
    </w:p>
    <w:p w14:paraId="77D4AA4C">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1.2价格折扣比例</w:t>
      </w:r>
    </w:p>
    <w:p w14:paraId="394AB9FE">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（1）对于经主管预算单位统筹后未预留份额专门面向中小企业采购的采购项目，以及预留份额项目中的非预留部分采购包，符合小微企业生产的货物或者提供的服务、工程情形的，按照</w:t>
      </w:r>
      <w:r>
        <w:rPr>
          <w:rFonts w:hint="eastAsia" w:ascii="宋体" w:hAnsi="宋体"/>
          <w:b/>
          <w:color w:val="auto"/>
          <w:szCs w:val="21"/>
          <w:highlight w:val="none"/>
        </w:rPr>
        <w:t>【谈判须知前附表】</w:t>
      </w:r>
      <w:r>
        <w:rPr>
          <w:rFonts w:hint="eastAsia" w:ascii="宋体" w:hAnsi="宋体"/>
          <w:color w:val="auto"/>
          <w:highlight w:val="none"/>
        </w:rPr>
        <w:t>规定的比例给予价格折扣，用扣除后的价格参与评审。</w:t>
      </w:r>
    </w:p>
    <w:p w14:paraId="515253E3">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（2）接受大中型企业与小微企业组成联合体或者允许大中型企业向一家或者多家小微企业分包的采购项目，对于联合协议或者分包承诺约定小微企业的合同份额占到合同总金额40%以上的，按照</w:t>
      </w:r>
      <w:r>
        <w:rPr>
          <w:rFonts w:hint="eastAsia" w:ascii="宋体" w:hAnsi="宋体"/>
          <w:b/>
          <w:color w:val="auto"/>
          <w:szCs w:val="21"/>
          <w:highlight w:val="none"/>
        </w:rPr>
        <w:t>【谈判须知前附表】</w:t>
      </w:r>
      <w:r>
        <w:rPr>
          <w:rFonts w:hint="eastAsia" w:ascii="宋体" w:hAnsi="宋体"/>
          <w:color w:val="auto"/>
          <w:highlight w:val="none"/>
        </w:rPr>
        <w:t>规定的比例给予价格折扣，用扣除后的价格参与评审。以联合体形式参加政府采购活动，联合体各方均为中小企业的，联合体视同中小企业。其中，联合体各方均为小微企业的，联合体视同小微企业。</w:t>
      </w:r>
    </w:p>
    <w:p w14:paraId="3FB22358">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1.3</w:t>
      </w:r>
      <w:r>
        <w:rPr>
          <w:rFonts w:hint="eastAsia" w:ascii="宋体" w:hAnsi="宋体"/>
          <w:color w:val="auto"/>
          <w:highlight w:val="none"/>
        </w:rPr>
        <w:t>符合中小企业划分标准的个体工商户视同中小企业，享受评审中价格扣除等促进中小企业发展的政府采购政策。</w:t>
      </w:r>
    </w:p>
    <w:p w14:paraId="0250D40E">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1.4</w:t>
      </w:r>
      <w:r>
        <w:rPr>
          <w:rFonts w:hint="eastAsia" w:ascii="宋体" w:hAnsi="宋体"/>
          <w:color w:val="auto"/>
          <w:highlight w:val="none"/>
        </w:rPr>
        <w:t>监狱企业、残疾人福利性单位视同小型、微型企业，享受评审中价格扣除等促进中小企业发展的政府采购政策。</w:t>
      </w:r>
    </w:p>
    <w:p w14:paraId="55420555">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w:t>
      </w:r>
      <w:r>
        <w:rPr>
          <w:rFonts w:ascii="宋体" w:hAnsi="宋体"/>
          <w:color w:val="auto"/>
          <w:highlight w:val="none"/>
        </w:rPr>
        <w:t>1.5</w:t>
      </w:r>
      <w:r>
        <w:rPr>
          <w:rFonts w:hint="eastAsia" w:ascii="宋体" w:hAnsi="宋体"/>
          <w:color w:val="auto"/>
          <w:highlight w:val="none"/>
        </w:rPr>
        <w:t xml:space="preserve">与大企业的负责人为同一人，或者与大企业存在直接控股、管理关系的中小企业，不享受评审中价格扣除等促进中小企业发展的政府采购政策。 </w:t>
      </w:r>
    </w:p>
    <w:p w14:paraId="7D7C9281">
      <w:pPr>
        <w:adjustRightInd w:val="0"/>
        <w:snapToGrid w:val="0"/>
        <w:spacing w:line="360" w:lineRule="auto"/>
        <w:ind w:firstLine="420" w:firstLineChars="200"/>
        <w:jc w:val="left"/>
        <w:rPr>
          <w:rFonts w:ascii="宋体" w:hAnsi="宋体"/>
          <w:bCs/>
          <w:color w:val="auto"/>
          <w:szCs w:val="21"/>
          <w:highlight w:val="none"/>
        </w:rPr>
      </w:pPr>
      <w:r>
        <w:rPr>
          <w:rFonts w:hint="eastAsia" w:ascii="宋体" w:hAnsi="宋体"/>
          <w:color w:val="auto"/>
          <w:highlight w:val="none"/>
        </w:rPr>
        <w:t>4</w:t>
      </w:r>
      <w:r>
        <w:rPr>
          <w:rFonts w:ascii="宋体" w:hAnsi="宋体"/>
          <w:color w:val="auto"/>
          <w:highlight w:val="none"/>
        </w:rPr>
        <w:t>1.6</w:t>
      </w:r>
      <w:r>
        <w:rPr>
          <w:rFonts w:hint="eastAsia" w:ascii="宋体" w:hAnsi="宋体"/>
          <w:color w:val="auto"/>
          <w:highlight w:val="none"/>
        </w:rPr>
        <w:t>本章第1.2款规定采购项目或者采购包属于“预留采购份额”的，预留部分不再享受本款“价格评审优惠”的小微企业扶持政策。</w:t>
      </w:r>
    </w:p>
    <w:p w14:paraId="5586BCA1">
      <w:pPr>
        <w:adjustRightInd w:val="0"/>
        <w:snapToGrid w:val="0"/>
        <w:spacing w:line="360" w:lineRule="auto"/>
        <w:outlineLvl w:val="3"/>
        <w:rPr>
          <w:rFonts w:ascii="黑体" w:hAnsi="黑体" w:eastAsia="黑体"/>
          <w:b/>
          <w:bCs/>
          <w:color w:val="auto"/>
          <w:sz w:val="24"/>
          <w:highlight w:val="none"/>
        </w:rPr>
      </w:pPr>
      <w:bookmarkStart w:id="186" w:name="_Toc107998011"/>
      <w:bookmarkStart w:id="187" w:name="_Toc107997884"/>
      <w:bookmarkStart w:id="188" w:name="_Toc62225469"/>
      <w:r>
        <w:rPr>
          <w:rFonts w:hint="eastAsia" w:ascii="黑体" w:hAnsi="黑体" w:eastAsia="黑体"/>
          <w:b/>
          <w:bCs/>
          <w:color w:val="auto"/>
          <w:sz w:val="24"/>
          <w:highlight w:val="none"/>
        </w:rPr>
        <w:t>42.政府采购政策其他规定</w:t>
      </w:r>
      <w:bookmarkEnd w:id="186"/>
      <w:bookmarkEnd w:id="187"/>
      <w:bookmarkEnd w:id="188"/>
    </w:p>
    <w:p w14:paraId="67DEE56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42.1中型企业、小型企业和微型企业类型按照《关于印发＜政府采购促进中小企业发展办法＞的通知》(财库[2020]46号)和《关于印发中小企业划型标准规定的通知》（工信部联企业〔2011〕300号）规定认定。</w:t>
      </w:r>
    </w:p>
    <w:p w14:paraId="6FD93D68">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highlight w:val="none"/>
        </w:rPr>
        <w:t>42.2监狱企业、残</w:t>
      </w:r>
      <w:r>
        <w:rPr>
          <w:rFonts w:hint="eastAsia" w:ascii="宋体" w:hAnsi="宋体"/>
          <w:color w:val="auto"/>
          <w:szCs w:val="21"/>
          <w:highlight w:val="none"/>
        </w:rPr>
        <w:t>疾人福利性单位以及个体工商户视同小型、微型企业，享受预留采购份额、价格扣除等促进中小企业发展的政府采购政策。监狱企业、残疾人福利性单位以及个体工商户属于小型、微型企业的，不重复享受扶持政策。</w:t>
      </w:r>
    </w:p>
    <w:p w14:paraId="5C0E0DE1">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42.3以联合体形式参加政府采购活动，联合体各方均为中小企业的，联合体视同中小企业。其中，联合体各方均为小微企业的，联合体视同小微企业。</w:t>
      </w:r>
    </w:p>
    <w:p w14:paraId="2719F1DC">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42.4在货物采购项目中，供应商提供的货物既有中小企业制造货物，也有大型企业制造货物的，不享受中小企业扶持政策。</w:t>
      </w:r>
    </w:p>
    <w:p w14:paraId="3C2A3FC6">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42.</w:t>
      </w:r>
      <w:r>
        <w:rPr>
          <w:rFonts w:ascii="宋体" w:hAnsi="宋体"/>
          <w:color w:val="auto"/>
          <w:highlight w:val="none"/>
        </w:rPr>
        <w:t>5</w:t>
      </w:r>
      <w:r>
        <w:rPr>
          <w:rFonts w:hint="eastAsia" w:ascii="宋体" w:hAnsi="宋体"/>
          <w:color w:val="auto"/>
          <w:highlight w:val="none"/>
        </w:rPr>
        <w:t>供应商提供的产品取得两个及以上优先采购产品认证的，评审时只有其中一项产品能够享受优先采购优惠（供应商自行选择，并在响应文件中并填报相关信息及数据）。</w:t>
      </w:r>
    </w:p>
    <w:p w14:paraId="19339B58">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42.</w:t>
      </w:r>
      <w:r>
        <w:rPr>
          <w:rFonts w:ascii="宋体" w:hAnsi="宋体"/>
          <w:color w:val="auto"/>
          <w:highlight w:val="none"/>
        </w:rPr>
        <w:t>6</w:t>
      </w:r>
      <w:r>
        <w:rPr>
          <w:rFonts w:hint="eastAsia" w:ascii="宋体" w:hAnsi="宋体"/>
          <w:color w:val="auto"/>
          <w:highlight w:val="none"/>
        </w:rPr>
        <w:t>“价格评审优惠”可以与同时属于“节能产品”、“环境标志产品”及“两型产品”中的一项“优先采购”累加计算。</w:t>
      </w:r>
    </w:p>
    <w:p w14:paraId="10C73ED7">
      <w:pPr>
        <w:adjustRightInd w:val="0"/>
        <w:snapToGrid w:val="0"/>
        <w:spacing w:line="360" w:lineRule="auto"/>
        <w:outlineLvl w:val="3"/>
        <w:rPr>
          <w:rFonts w:ascii="黑体" w:hAnsi="黑体" w:eastAsia="黑体"/>
          <w:b/>
          <w:bCs/>
          <w:color w:val="auto"/>
          <w:sz w:val="24"/>
          <w:highlight w:val="none"/>
        </w:rPr>
      </w:pPr>
      <w:bookmarkStart w:id="189" w:name="_Toc23255846"/>
      <w:bookmarkStart w:id="190" w:name="_Toc107997885"/>
      <w:bookmarkStart w:id="191" w:name="_Toc107998012"/>
      <w:bookmarkStart w:id="192" w:name="_Toc23243979"/>
      <w:bookmarkStart w:id="193" w:name="_Toc62225470"/>
      <w:r>
        <w:rPr>
          <w:rFonts w:hint="eastAsia" w:ascii="黑体" w:hAnsi="黑体" w:eastAsia="黑体"/>
          <w:b/>
          <w:bCs/>
          <w:color w:val="auto"/>
          <w:sz w:val="24"/>
          <w:highlight w:val="none"/>
        </w:rPr>
        <w:t>43.供应商应提供的政府采购政策证明资料</w:t>
      </w:r>
      <w:bookmarkEnd w:id="189"/>
      <w:bookmarkEnd w:id="190"/>
      <w:bookmarkEnd w:id="191"/>
      <w:bookmarkEnd w:id="192"/>
      <w:bookmarkEnd w:id="193"/>
    </w:p>
    <w:p w14:paraId="31E40C1E">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43.1符合本章第38条、第39条、第40条、第41条规定的，供应商应在响应文件中提供相关证明资料。</w:t>
      </w:r>
    </w:p>
    <w:p w14:paraId="2C456335">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（1）节能产品、环境标志产品：提供国家确定的认证机构出具的、处于有效期之内的节能产品、环境标志产品认证证书（复印件）。</w:t>
      </w:r>
    </w:p>
    <w:p w14:paraId="6E1D4EAD">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（2）两型产品：提供《湖南省两型产品政府采购目录》（最新一期）文件首页和产品所在页（截图）。</w:t>
      </w:r>
    </w:p>
    <w:p w14:paraId="7EBEE5EB">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工程、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rPr>
        <w:t>。</w:t>
      </w:r>
    </w:p>
    <w:p w14:paraId="791E69C1">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（4）监狱企业：按《关于政府采购支持监狱企业发展有关问题的通知》(财库〔2014〕68号)文件规定提供证明文件（复印件）。</w:t>
      </w:r>
    </w:p>
    <w:p w14:paraId="343FAF46">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（5）残疾人福利性单位：按《关于促进残疾人就业政府采购政策的通知》(财库〔2017〕141号)文件规定提供《残疾人福利性单位声明函》（格式）。</w:t>
      </w:r>
    </w:p>
    <w:p w14:paraId="2278BE51">
      <w:pPr>
        <w:adjustRightInd w:val="0"/>
        <w:snapToGrid w:val="0"/>
        <w:spacing w:line="360" w:lineRule="auto"/>
        <w:outlineLvl w:val="3"/>
        <w:rPr>
          <w:rFonts w:ascii="黑体" w:hAnsi="黑体" w:eastAsia="黑体"/>
          <w:b/>
          <w:bCs/>
          <w:color w:val="auto"/>
          <w:sz w:val="24"/>
          <w:highlight w:val="none"/>
        </w:rPr>
      </w:pPr>
      <w:bookmarkStart w:id="194" w:name="_Toc107998013"/>
      <w:bookmarkStart w:id="195" w:name="_Toc62225472"/>
      <w:bookmarkStart w:id="196" w:name="_Toc107997886"/>
      <w:r>
        <w:rPr>
          <w:rFonts w:hint="eastAsia" w:ascii="黑体" w:hAnsi="黑体" w:eastAsia="黑体"/>
          <w:b/>
          <w:bCs/>
          <w:color w:val="auto"/>
          <w:sz w:val="24"/>
          <w:highlight w:val="none"/>
        </w:rPr>
        <w:t>4</w:t>
      </w:r>
      <w:r>
        <w:rPr>
          <w:rFonts w:ascii="黑体" w:hAnsi="黑体" w:eastAsia="黑体"/>
          <w:b/>
          <w:bCs/>
          <w:color w:val="auto"/>
          <w:sz w:val="24"/>
          <w:highlight w:val="none"/>
        </w:rPr>
        <w:t>4</w:t>
      </w:r>
      <w:r>
        <w:rPr>
          <w:rFonts w:hint="eastAsia" w:ascii="黑体" w:hAnsi="黑体" w:eastAsia="黑体"/>
          <w:b/>
          <w:bCs/>
          <w:color w:val="auto"/>
          <w:sz w:val="24"/>
          <w:highlight w:val="none"/>
        </w:rPr>
        <w:t>. 采购进口产品</w:t>
      </w:r>
    </w:p>
    <w:p w14:paraId="4CB64B9D">
      <w:pPr>
        <w:adjustRightInd w:val="0"/>
        <w:snapToGrid w:val="0"/>
        <w:spacing w:line="360" w:lineRule="auto"/>
        <w:ind w:firstLine="420" w:firstLineChars="200"/>
        <w:jc w:val="left"/>
        <w:rPr>
          <w:rFonts w:ascii="黑体" w:hAnsi="黑体" w:eastAsia="黑体"/>
          <w:b/>
          <w:bCs/>
          <w:color w:val="auto"/>
          <w:sz w:val="24"/>
          <w:highlight w:val="none"/>
        </w:rPr>
      </w:pPr>
      <w:r>
        <w:rPr>
          <w:rFonts w:hint="eastAsia" w:ascii="宋体" w:hAnsi="宋体" w:cs="宋体"/>
          <w:bCs/>
          <w:color w:val="auto"/>
          <w:kern w:val="0"/>
          <w:szCs w:val="21"/>
          <w:highlight w:val="none"/>
        </w:rPr>
        <w:t>44.1</w:t>
      </w:r>
      <w:r>
        <w:rPr>
          <w:rFonts w:hint="eastAsia" w:ascii="宋体" w:hAnsi="宋体" w:cs="宋体"/>
          <w:bCs/>
          <w:color w:val="auto"/>
          <w:kern w:val="0"/>
          <w:szCs w:val="21"/>
          <w:highlight w:val="none"/>
          <w:lang w:val="zh-CN"/>
        </w:rPr>
        <w:t>进口产品是指符合《政府采购进口产品管理办法》（财库〔2007〕119号）和《关于政府采购进口产品管理有关问题的通知》（财办库〔2008〕248号）文件规定的产品。</w:t>
      </w:r>
      <w:r>
        <w:rPr>
          <w:rFonts w:hint="eastAsia" w:ascii="宋体" w:hAnsi="宋体" w:cs="宋体"/>
          <w:b/>
          <w:color w:val="auto"/>
          <w:kern w:val="0"/>
          <w:szCs w:val="21"/>
          <w:highlight w:val="none"/>
          <w:lang w:val="zh-CN"/>
        </w:rPr>
        <w:t>除【谈判须知前附表】另有规定外，采购项目拒绝进口产品参加谈判。</w:t>
      </w:r>
      <w:r>
        <w:rPr>
          <w:rFonts w:hint="eastAsia" w:ascii="宋体" w:hAnsi="宋体" w:cs="宋体"/>
          <w:bCs/>
          <w:color w:val="auto"/>
          <w:kern w:val="0"/>
          <w:szCs w:val="21"/>
          <w:highlight w:val="none"/>
          <w:lang w:val="zh-CN"/>
        </w:rPr>
        <w:t>本款规定同意购买进口产品的，不限制满足谈判文件要求的国内产品参与谈判竞争。</w:t>
      </w:r>
    </w:p>
    <w:p w14:paraId="49E08ADB">
      <w:pPr>
        <w:adjustRightInd w:val="0"/>
        <w:snapToGrid w:val="0"/>
        <w:spacing w:line="360" w:lineRule="auto"/>
        <w:outlineLvl w:val="3"/>
        <w:rPr>
          <w:rFonts w:ascii="黑体" w:hAnsi="黑体" w:eastAsia="黑体"/>
          <w:b/>
          <w:bCs/>
          <w:color w:val="auto"/>
          <w:sz w:val="24"/>
          <w:highlight w:val="none"/>
        </w:rPr>
      </w:pPr>
      <w:r>
        <w:rPr>
          <w:rFonts w:hint="eastAsia" w:ascii="黑体" w:hAnsi="黑体" w:eastAsia="黑体"/>
          <w:b/>
          <w:bCs/>
          <w:color w:val="auto"/>
          <w:sz w:val="24"/>
          <w:highlight w:val="none"/>
        </w:rPr>
        <w:t>45.融资、担保</w:t>
      </w:r>
      <w:bookmarkEnd w:id="194"/>
      <w:bookmarkEnd w:id="195"/>
      <w:bookmarkEnd w:id="196"/>
    </w:p>
    <w:p w14:paraId="0F48765C">
      <w:pPr>
        <w:adjustRightInd w:val="0"/>
        <w:snapToGrid w:val="0"/>
        <w:spacing w:line="360" w:lineRule="auto"/>
        <w:ind w:firstLine="420" w:firstLineChars="200"/>
        <w:rPr>
          <w:rFonts w:asciiTheme="minorEastAsia" w:hAnsiTheme="minorEastAsia" w:eastAsiaTheme="minorEastAsia"/>
          <w:color w:val="auto"/>
          <w:highlight w:val="none"/>
        </w:rPr>
      </w:pPr>
      <w:r>
        <w:rPr>
          <w:rFonts w:hint="eastAsia" w:ascii="宋体" w:hAnsi="宋体"/>
          <w:color w:val="auto"/>
          <w:highlight w:val="none"/>
        </w:rPr>
        <w:t>45.1供应商有融资、担保需求的，可登陆中国湖南政府采购网查询相关银行、担保机构业务。</w:t>
      </w:r>
    </w:p>
    <w:p w14:paraId="1645F0E4">
      <w:pPr>
        <w:pStyle w:val="4"/>
        <w:keepNext w:val="0"/>
        <w:keepLines w:val="0"/>
        <w:adjustRightInd w:val="0"/>
        <w:snapToGrid w:val="0"/>
        <w:spacing w:beforeLines="50" w:after="0" w:line="360" w:lineRule="auto"/>
        <w:jc w:val="center"/>
        <w:rPr>
          <w:rFonts w:ascii="黑体" w:hAnsi="黑体" w:eastAsia="黑体"/>
          <w:color w:val="auto"/>
          <w:sz w:val="28"/>
          <w:szCs w:val="28"/>
          <w:highlight w:val="none"/>
        </w:rPr>
      </w:pPr>
      <w:bookmarkStart w:id="197" w:name="_Toc25971"/>
      <w:bookmarkStart w:id="198" w:name="_Toc74694322"/>
      <w:bookmarkStart w:id="199" w:name="_Toc76503425"/>
      <w:bookmarkStart w:id="200" w:name="_Toc6671"/>
      <w:bookmarkStart w:id="201" w:name="_Toc28632"/>
      <w:bookmarkStart w:id="202" w:name="_Toc26600"/>
      <w:bookmarkStart w:id="203" w:name="_Toc6730"/>
      <w:bookmarkStart w:id="204" w:name="_Toc209084335"/>
      <w:bookmarkStart w:id="205" w:name="_Toc34637772"/>
      <w:bookmarkStart w:id="206" w:name="_Toc27687"/>
      <w:bookmarkStart w:id="207" w:name="_Toc1971"/>
      <w:bookmarkStart w:id="208" w:name="_Toc12174"/>
      <w:bookmarkStart w:id="209" w:name="_Toc4037"/>
      <w:bookmarkStart w:id="210" w:name="_Toc145374007"/>
      <w:r>
        <w:rPr>
          <w:rFonts w:hint="eastAsia" w:ascii="黑体" w:hAnsi="黑体" w:eastAsia="黑体"/>
          <w:color w:val="auto"/>
          <w:sz w:val="28"/>
          <w:szCs w:val="28"/>
          <w:highlight w:val="none"/>
        </w:rPr>
        <w:t>八、其他规定</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FC61134">
      <w:pPr>
        <w:spacing w:line="360" w:lineRule="auto"/>
        <w:outlineLvl w:val="3"/>
        <w:rPr>
          <w:rFonts w:ascii="黑体" w:hAnsi="黑体" w:eastAsia="黑体"/>
          <w:b/>
          <w:bCs/>
          <w:color w:val="auto"/>
          <w:sz w:val="24"/>
          <w:highlight w:val="none"/>
        </w:rPr>
      </w:pPr>
      <w:bookmarkStart w:id="211" w:name="_Toc107997888"/>
      <w:bookmarkStart w:id="212" w:name="_Toc107998015"/>
      <w:r>
        <w:rPr>
          <w:rFonts w:hint="eastAsia" w:ascii="黑体" w:hAnsi="黑体" w:eastAsia="黑体"/>
          <w:b/>
          <w:bCs/>
          <w:color w:val="auto"/>
          <w:sz w:val="24"/>
          <w:highlight w:val="none"/>
        </w:rPr>
        <w:t>46.其他规定</w:t>
      </w:r>
      <w:bookmarkEnd w:id="211"/>
      <w:bookmarkEnd w:id="212"/>
    </w:p>
    <w:p w14:paraId="46200027">
      <w:pPr>
        <w:adjustRightInd w:val="0"/>
        <w:snapToGrid w:val="0"/>
        <w:spacing w:line="360" w:lineRule="auto"/>
        <w:ind w:firstLine="420" w:firstLineChars="200"/>
        <w:jc w:val="left"/>
        <w:rPr>
          <w:rFonts w:ascii="宋体" w:hAnsi="宋体"/>
          <w:color w:val="auto"/>
          <w:highlight w:val="none"/>
        </w:rPr>
      </w:pPr>
      <w:r>
        <w:rPr>
          <w:rFonts w:ascii="宋体" w:hAnsi="宋体"/>
          <w:color w:val="auto"/>
          <w:highlight w:val="none"/>
        </w:rPr>
        <w:t>4</w:t>
      </w:r>
      <w:r>
        <w:rPr>
          <w:rFonts w:hint="eastAsia" w:ascii="宋体" w:hAnsi="宋体"/>
          <w:color w:val="auto"/>
          <w:highlight w:val="none"/>
        </w:rPr>
        <w:t>6</w:t>
      </w:r>
      <w:r>
        <w:rPr>
          <w:rFonts w:ascii="宋体" w:hAnsi="宋体"/>
          <w:color w:val="auto"/>
          <w:highlight w:val="none"/>
        </w:rPr>
        <w:t>.1</w:t>
      </w:r>
      <w:r>
        <w:rPr>
          <w:rFonts w:hint="eastAsia" w:ascii="宋体" w:hAnsi="宋体"/>
          <w:color w:val="auto"/>
          <w:highlight w:val="none"/>
        </w:rPr>
        <w:t>合同价款支付</w:t>
      </w:r>
    </w:p>
    <w:p w14:paraId="7E09DDD5">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（1）竞争性谈判文件规定支付合同预付款的，采购人应按【谈判须知前附表】规定的支付比例和支付条件向符合要求的成交供应商及时支付相应款项，并在政府采购合同中进行明确。</w:t>
      </w:r>
    </w:p>
    <w:p w14:paraId="731E9238">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（2）竞争性谈判文件规定需提交质量保证金的，采购人可以按【谈判须知前附表】规定要求成交供应商提交质量保证金，并在政府采购合同中进行明确。</w:t>
      </w:r>
    </w:p>
    <w:p w14:paraId="1A817DF3">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（3）供应商可以保函、电子增信替代预付款担保、质量保证金。</w:t>
      </w:r>
    </w:p>
    <w:p w14:paraId="50511AB4">
      <w:pPr>
        <w:tabs>
          <w:tab w:val="left" w:pos="420"/>
          <w:tab w:val="left" w:pos="7560"/>
          <w:tab w:val="left" w:pos="7740"/>
          <w:tab w:val="left" w:pos="7920"/>
        </w:tabs>
        <w:adjustRightInd w:val="0"/>
        <w:snapToGrid w:val="0"/>
        <w:spacing w:line="360" w:lineRule="auto"/>
        <w:ind w:firstLine="420" w:firstLineChars="200"/>
        <w:rPr>
          <w:rFonts w:asciiTheme="minorEastAsia" w:hAnsiTheme="minorEastAsia" w:eastAsiaTheme="minorEastAsia"/>
          <w:color w:val="auto"/>
          <w:szCs w:val="21"/>
          <w:highlight w:val="none"/>
        </w:rPr>
      </w:pPr>
      <w:r>
        <w:rPr>
          <w:rFonts w:hint="eastAsia" w:ascii="宋体" w:hAnsi="宋体"/>
          <w:color w:val="auto"/>
          <w:highlight w:val="none"/>
        </w:rPr>
        <w:t>46.</w:t>
      </w:r>
      <w:r>
        <w:rPr>
          <w:rFonts w:ascii="宋体" w:hAnsi="宋体"/>
          <w:color w:val="auto"/>
          <w:highlight w:val="none"/>
        </w:rPr>
        <w:t>2</w:t>
      </w:r>
      <w:r>
        <w:rPr>
          <w:rFonts w:hint="eastAsia" w:ascii="宋体" w:hAnsi="宋体"/>
          <w:color w:val="auto"/>
          <w:szCs w:val="21"/>
          <w:highlight w:val="none"/>
        </w:rPr>
        <w:t>谈判文件</w:t>
      </w:r>
      <w:r>
        <w:rPr>
          <w:rFonts w:hint="eastAsia" w:hAnsi="宋体"/>
          <w:color w:val="auto"/>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2E195856">
      <w:pPr>
        <w:pStyle w:val="2"/>
        <w:rPr>
          <w:rFonts w:ascii="黑体" w:hAnsi="黑体" w:eastAsia="黑体"/>
          <w:color w:val="auto"/>
          <w:sz w:val="32"/>
          <w:szCs w:val="32"/>
          <w:highlight w:val="none"/>
        </w:rPr>
      </w:pPr>
      <w:r>
        <w:rPr>
          <w:rFonts w:ascii="宋体" w:hAnsi="宋体"/>
          <w:color w:val="auto"/>
          <w:szCs w:val="21"/>
          <w:highlight w:val="none"/>
        </w:rPr>
        <w:br w:type="page"/>
      </w:r>
      <w:bookmarkStart w:id="213" w:name="_Toc34637773"/>
      <w:bookmarkStart w:id="214" w:name="_Toc209084336"/>
      <w:bookmarkStart w:id="215" w:name="_Toc8820"/>
      <w:bookmarkStart w:id="216" w:name="_Toc575"/>
      <w:bookmarkStart w:id="217" w:name="_Toc32022"/>
      <w:bookmarkStart w:id="218" w:name="_Toc2230"/>
      <w:bookmarkStart w:id="219" w:name="_Toc15360"/>
      <w:bookmarkStart w:id="220" w:name="_Toc9275"/>
      <w:bookmarkStart w:id="221" w:name="_Toc145374008"/>
      <w:bookmarkStart w:id="222" w:name="_Toc931"/>
      <w:bookmarkStart w:id="223" w:name="_Toc74694323"/>
      <w:bookmarkStart w:id="224" w:name="_Toc18652"/>
      <w:r>
        <w:rPr>
          <w:rFonts w:hint="eastAsia" w:ascii="黑体" w:hAnsi="黑体" w:eastAsia="黑体"/>
          <w:color w:val="auto"/>
          <w:sz w:val="32"/>
          <w:szCs w:val="32"/>
          <w:highlight w:val="none"/>
        </w:rPr>
        <w:t>第三章  采购需求</w:t>
      </w:r>
      <w:bookmarkEnd w:id="213"/>
      <w:bookmarkEnd w:id="214"/>
      <w:bookmarkEnd w:id="215"/>
      <w:bookmarkEnd w:id="216"/>
      <w:bookmarkEnd w:id="217"/>
      <w:bookmarkEnd w:id="218"/>
      <w:bookmarkEnd w:id="219"/>
      <w:bookmarkEnd w:id="220"/>
      <w:bookmarkEnd w:id="221"/>
      <w:bookmarkEnd w:id="222"/>
      <w:bookmarkEnd w:id="223"/>
      <w:bookmarkEnd w:id="224"/>
    </w:p>
    <w:p w14:paraId="1EBEC39C">
      <w:pPr>
        <w:adjustRightInd w:val="0"/>
        <w:snapToGrid w:val="0"/>
        <w:spacing w:line="360" w:lineRule="auto"/>
        <w:ind w:firstLine="422" w:firstLineChars="200"/>
        <w:rPr>
          <w:rFonts w:hint="eastAsia" w:ascii="宋体" w:hAnsi="宋体"/>
          <w:highlight w:val="none"/>
        </w:rPr>
      </w:pPr>
      <w:r>
        <w:rPr>
          <w:rFonts w:hint="eastAsia" w:ascii="宋体" w:hAnsi="宋体"/>
          <w:b/>
          <w:highlight w:val="none"/>
        </w:rPr>
        <w:t>一、采购项目：</w:t>
      </w:r>
      <w:r>
        <w:rPr>
          <w:rFonts w:hint="eastAsia" w:ascii="宋体" w:hAnsi="宋体" w:cs="宋体"/>
          <w:szCs w:val="21"/>
          <w:highlight w:val="none"/>
          <w:lang w:eastAsia="zh-CN"/>
        </w:rPr>
        <w:t>新化县2026年“秋粮抗逆防灾”服务</w:t>
      </w:r>
      <w:r>
        <w:rPr>
          <w:rFonts w:hint="eastAsia" w:ascii="宋体" w:hAnsi="宋体" w:cs="宋体"/>
          <w:szCs w:val="21"/>
          <w:highlight w:val="none"/>
          <w:lang w:val="en-US" w:eastAsia="zh-CN"/>
        </w:rPr>
        <w:t>采购</w:t>
      </w:r>
    </w:p>
    <w:p w14:paraId="34863ABC">
      <w:pPr>
        <w:adjustRightInd w:val="0"/>
        <w:snapToGrid w:val="0"/>
        <w:spacing w:line="360" w:lineRule="auto"/>
        <w:ind w:firstLine="422" w:firstLineChars="200"/>
        <w:rPr>
          <w:rFonts w:hint="eastAsia" w:ascii="宋体" w:hAnsi="宋体"/>
          <w:highlight w:val="none"/>
        </w:rPr>
      </w:pPr>
      <w:r>
        <w:rPr>
          <w:rFonts w:hint="eastAsia" w:ascii="宋体" w:hAnsi="宋体"/>
          <w:b/>
          <w:highlight w:val="none"/>
        </w:rPr>
        <w:t>二、</w:t>
      </w:r>
      <w:r>
        <w:rPr>
          <w:rFonts w:hint="eastAsia" w:ascii="宋体" w:hAnsi="宋体"/>
          <w:b/>
          <w:highlight w:val="none"/>
          <w:lang w:val="en-US" w:eastAsia="zh-CN"/>
        </w:rPr>
        <w:t>项目背景</w:t>
      </w:r>
      <w:r>
        <w:rPr>
          <w:rFonts w:hint="eastAsia" w:ascii="宋体" w:hAnsi="宋体"/>
          <w:b/>
          <w:highlight w:val="none"/>
        </w:rPr>
        <w:t>：</w:t>
      </w:r>
    </w:p>
    <w:p w14:paraId="2C09A927">
      <w:pPr>
        <w:adjustRightInd w:val="0"/>
        <w:snapToGrid w:val="0"/>
        <w:spacing w:line="360" w:lineRule="auto"/>
        <w:ind w:firstLine="420" w:firstLineChars="200"/>
        <w:rPr>
          <w:rFonts w:hint="eastAsia" w:ascii="宋体" w:hAnsi="宋体"/>
          <w:highlight w:val="none"/>
        </w:rPr>
      </w:pPr>
      <w:r>
        <w:rPr>
          <w:rFonts w:hint="eastAsia" w:ascii="宋体" w:hAnsi="宋体" w:eastAsia="宋体" w:cs="宋体"/>
          <w:szCs w:val="21"/>
          <w:highlight w:val="none"/>
          <w:lang w:eastAsia="zh-CN"/>
        </w:rPr>
        <w:t>根据《农业农村部</w:t>
      </w:r>
      <w:r>
        <w:rPr>
          <w:rFonts w:hint="eastAsia" w:ascii="宋体" w:hAnsi="宋体" w:eastAsia="宋体" w:cs="宋体"/>
          <w:szCs w:val="21"/>
          <w:highlight w:val="none"/>
          <w:lang w:val="en-US" w:eastAsia="zh-CN"/>
        </w:rPr>
        <w:t>办公厅</w:t>
      </w:r>
      <w:r>
        <w:rPr>
          <w:rFonts w:hint="eastAsia" w:ascii="宋体" w:hAnsi="宋体" w:cs="宋体"/>
          <w:szCs w:val="21"/>
          <w:highlight w:val="none"/>
          <w:lang w:val="en-US" w:eastAsia="zh-CN"/>
        </w:rPr>
        <w:t>办公厅</w:t>
      </w:r>
      <w:r>
        <w:rPr>
          <w:rFonts w:hint="eastAsia" w:ascii="宋体" w:hAnsi="宋体" w:eastAsia="宋体" w:cs="宋体"/>
          <w:szCs w:val="21"/>
          <w:highlight w:val="none"/>
          <w:lang w:eastAsia="zh-CN"/>
        </w:rPr>
        <w:t>关于切实</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lang w:eastAsia="zh-CN"/>
        </w:rPr>
        <w:t>好</w:t>
      </w:r>
      <w:r>
        <w:rPr>
          <w:rFonts w:hint="eastAsia" w:ascii="宋体" w:hAnsi="宋体" w:cs="宋体"/>
          <w:szCs w:val="21"/>
          <w:highlight w:val="none"/>
          <w:lang w:val="en-US" w:eastAsia="zh-CN"/>
        </w:rPr>
        <w:t>2026</w:t>
      </w:r>
      <w:r>
        <w:rPr>
          <w:rFonts w:hint="eastAsia" w:ascii="宋体" w:hAnsi="宋体" w:eastAsia="宋体" w:cs="宋体"/>
          <w:szCs w:val="21"/>
          <w:highlight w:val="none"/>
          <w:lang w:val="en-US" w:eastAsia="zh-CN"/>
        </w:rPr>
        <w:t>年</w:t>
      </w:r>
      <w:r>
        <w:rPr>
          <w:rFonts w:hint="eastAsia" w:ascii="宋体" w:hAnsi="宋体" w:eastAsia="宋体" w:cs="宋体"/>
          <w:szCs w:val="21"/>
          <w:highlight w:val="none"/>
          <w:lang w:eastAsia="zh-CN"/>
        </w:rPr>
        <w:t>“秋粮</w:t>
      </w:r>
      <w:r>
        <w:rPr>
          <w:rFonts w:hint="eastAsia" w:ascii="宋体" w:hAnsi="宋体" w:cs="宋体"/>
          <w:szCs w:val="21"/>
          <w:highlight w:val="none"/>
          <w:lang w:eastAsia="zh-CN"/>
        </w:rPr>
        <w:t>抗逆防灾</w:t>
      </w:r>
      <w:r>
        <w:rPr>
          <w:rFonts w:hint="eastAsia" w:ascii="宋体" w:hAnsi="宋体" w:eastAsia="宋体" w:cs="宋体"/>
          <w:szCs w:val="21"/>
          <w:highlight w:val="none"/>
          <w:lang w:eastAsia="zh-CN"/>
        </w:rPr>
        <w:t>”</w:t>
      </w:r>
      <w:r>
        <w:rPr>
          <w:rFonts w:hint="eastAsia" w:ascii="宋体" w:hAnsi="宋体" w:cs="宋体"/>
          <w:szCs w:val="21"/>
          <w:highlight w:val="none"/>
          <w:lang w:eastAsia="zh-CN"/>
        </w:rPr>
        <w:t>工作</w:t>
      </w:r>
      <w:r>
        <w:rPr>
          <w:rFonts w:hint="eastAsia" w:ascii="宋体" w:hAnsi="宋体" w:eastAsia="宋体" w:cs="宋体"/>
          <w:szCs w:val="21"/>
          <w:highlight w:val="none"/>
          <w:lang w:val="en-US" w:eastAsia="zh-CN"/>
        </w:rPr>
        <w:t>的</w:t>
      </w:r>
      <w:r>
        <w:rPr>
          <w:rFonts w:hint="eastAsia" w:ascii="宋体" w:hAnsi="宋体" w:eastAsia="宋体" w:cs="宋体"/>
          <w:szCs w:val="21"/>
          <w:highlight w:val="none"/>
          <w:lang w:eastAsia="zh-CN"/>
        </w:rPr>
        <w:t>通知》</w:t>
      </w:r>
      <w:r>
        <w:rPr>
          <w:rFonts w:hint="eastAsia" w:ascii="宋体" w:hAnsi="宋体" w:cs="宋体"/>
          <w:szCs w:val="21"/>
          <w:highlight w:val="none"/>
          <w:lang w:val="en-US" w:eastAsia="zh-CN"/>
        </w:rPr>
        <w:t>、</w:t>
      </w:r>
      <w:r>
        <w:rPr>
          <w:rFonts w:hint="eastAsia" w:ascii="宋体" w:hAnsi="宋体" w:eastAsia="宋体" w:cs="宋体"/>
          <w:szCs w:val="21"/>
          <w:highlight w:val="none"/>
          <w:lang w:eastAsia="zh-CN"/>
        </w:rPr>
        <w:t>湖南省农业农村厅</w:t>
      </w:r>
      <w:r>
        <w:rPr>
          <w:rFonts w:hint="eastAsia" w:ascii="宋体" w:hAnsi="宋体" w:cs="宋体"/>
          <w:szCs w:val="21"/>
          <w:highlight w:val="none"/>
          <w:lang w:eastAsia="zh-CN"/>
        </w:rPr>
        <w:t>办公室</w:t>
      </w:r>
      <w:r>
        <w:rPr>
          <w:rFonts w:hint="eastAsia" w:ascii="宋体" w:hAnsi="宋体" w:eastAsia="宋体" w:cs="宋体"/>
          <w:szCs w:val="21"/>
          <w:highlight w:val="none"/>
          <w:lang w:eastAsia="zh-CN"/>
        </w:rPr>
        <w:t>《</w:t>
      </w:r>
      <w:r>
        <w:rPr>
          <w:rFonts w:hint="eastAsia" w:ascii="宋体" w:hAnsi="宋体" w:cs="宋体"/>
          <w:szCs w:val="21"/>
          <w:highlight w:val="none"/>
          <w:lang w:eastAsia="zh-CN"/>
        </w:rPr>
        <w:t>关于印发〈</w:t>
      </w:r>
      <w:r>
        <w:rPr>
          <w:rFonts w:hint="eastAsia" w:ascii="宋体" w:hAnsi="宋体" w:eastAsia="宋体" w:cs="宋体"/>
          <w:szCs w:val="21"/>
          <w:highlight w:val="none"/>
          <w:lang w:eastAsia="zh-CN"/>
        </w:rPr>
        <w:t>湖南省</w:t>
      </w:r>
      <w:r>
        <w:rPr>
          <w:rFonts w:hint="eastAsia" w:ascii="宋体" w:hAnsi="宋体" w:cs="宋体"/>
          <w:szCs w:val="21"/>
          <w:highlight w:val="none"/>
          <w:lang w:eastAsia="zh-CN"/>
        </w:rPr>
        <w:t>2026</w:t>
      </w:r>
      <w:r>
        <w:rPr>
          <w:rFonts w:hint="eastAsia" w:ascii="宋体" w:hAnsi="宋体" w:eastAsia="宋体" w:cs="宋体"/>
          <w:szCs w:val="21"/>
          <w:highlight w:val="none"/>
          <w:lang w:eastAsia="zh-CN"/>
        </w:rPr>
        <w:t>年“秋粮</w:t>
      </w:r>
      <w:r>
        <w:rPr>
          <w:rFonts w:hint="eastAsia" w:ascii="宋体" w:hAnsi="宋体" w:cs="宋体"/>
          <w:szCs w:val="21"/>
          <w:highlight w:val="none"/>
          <w:lang w:eastAsia="zh-CN"/>
        </w:rPr>
        <w:t>抗逆防灾</w:t>
      </w:r>
      <w:r>
        <w:rPr>
          <w:rFonts w:hint="eastAsia" w:ascii="宋体" w:hAnsi="宋体" w:eastAsia="宋体" w:cs="宋体"/>
          <w:szCs w:val="21"/>
          <w:highlight w:val="none"/>
          <w:lang w:eastAsia="zh-CN"/>
        </w:rPr>
        <w:t>”实施方案</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的通知》</w:t>
      </w:r>
      <w:r>
        <w:rPr>
          <w:rFonts w:hint="eastAsia" w:ascii="宋体" w:hAnsi="宋体" w:cs="宋体"/>
          <w:szCs w:val="21"/>
          <w:highlight w:val="none"/>
          <w:lang w:eastAsia="zh-CN"/>
        </w:rPr>
        <w:t>等</w:t>
      </w:r>
      <w:r>
        <w:rPr>
          <w:rFonts w:hint="eastAsia" w:ascii="宋体" w:hAnsi="宋体" w:eastAsia="宋体" w:cs="宋体"/>
          <w:szCs w:val="21"/>
          <w:highlight w:val="none"/>
          <w:lang w:eastAsia="zh-CN"/>
        </w:rPr>
        <w:t>文件要求，在水稻生育中后期，将叶面肥、</w:t>
      </w:r>
      <w:r>
        <w:rPr>
          <w:rFonts w:hint="eastAsia" w:ascii="宋体" w:hAnsi="宋体" w:eastAsia="宋体" w:cs="宋体"/>
          <w:szCs w:val="21"/>
          <w:highlight w:val="none"/>
          <w:lang w:val="en-US" w:eastAsia="zh-CN"/>
        </w:rPr>
        <w:t>植物生长</w:t>
      </w:r>
      <w:r>
        <w:rPr>
          <w:rFonts w:hint="eastAsia" w:ascii="宋体" w:hAnsi="宋体" w:eastAsia="宋体" w:cs="宋体"/>
          <w:szCs w:val="21"/>
          <w:highlight w:val="none"/>
          <w:lang w:eastAsia="zh-CN"/>
        </w:rPr>
        <w:t>调节剂</w:t>
      </w:r>
      <w:r>
        <w:rPr>
          <w:rFonts w:hint="eastAsia" w:ascii="宋体" w:hAnsi="宋体" w:cs="宋体"/>
          <w:szCs w:val="21"/>
          <w:highlight w:val="none"/>
          <w:lang w:eastAsia="zh-CN"/>
        </w:rPr>
        <w:t>、抗逆剂</w:t>
      </w:r>
      <w:r>
        <w:rPr>
          <w:rFonts w:hint="eastAsia" w:ascii="宋体" w:hAnsi="宋体" w:eastAsia="宋体" w:cs="宋体"/>
          <w:szCs w:val="21"/>
          <w:highlight w:val="none"/>
          <w:lang w:eastAsia="zh-CN"/>
        </w:rPr>
        <w:t>等混合喷施，一次作业可以实现促生长发育、促灌浆成熟、促灾后恢复、促产量提高等多重效应，是</w:t>
      </w:r>
      <w:r>
        <w:rPr>
          <w:rFonts w:hint="eastAsia" w:ascii="宋体" w:hAnsi="宋体" w:cs="宋体"/>
          <w:szCs w:val="21"/>
          <w:highlight w:val="none"/>
          <w:lang w:eastAsia="zh-CN"/>
        </w:rPr>
        <w:t>抗逆</w:t>
      </w:r>
      <w:r>
        <w:rPr>
          <w:rFonts w:hint="eastAsia" w:ascii="宋体" w:hAnsi="宋体" w:eastAsia="宋体" w:cs="宋体"/>
          <w:szCs w:val="21"/>
          <w:highlight w:val="none"/>
          <w:lang w:eastAsia="zh-CN"/>
        </w:rPr>
        <w:t>防灾、</w:t>
      </w:r>
      <w:r>
        <w:rPr>
          <w:rFonts w:hint="eastAsia" w:ascii="宋体" w:hAnsi="宋体" w:cs="宋体"/>
          <w:szCs w:val="21"/>
          <w:highlight w:val="none"/>
          <w:lang w:eastAsia="zh-CN"/>
        </w:rPr>
        <w:t>稳产</w:t>
      </w:r>
      <w:r>
        <w:rPr>
          <w:rFonts w:hint="eastAsia" w:ascii="宋体" w:hAnsi="宋体" w:eastAsia="宋体" w:cs="宋体"/>
          <w:szCs w:val="21"/>
          <w:highlight w:val="none"/>
          <w:lang w:eastAsia="zh-CN"/>
        </w:rPr>
        <w:t>增产的关键措施。为全力夺取</w:t>
      </w:r>
      <w:r>
        <w:rPr>
          <w:rFonts w:hint="eastAsia" w:ascii="宋体" w:hAnsi="宋体" w:eastAsia="宋体" w:cs="宋体"/>
          <w:szCs w:val="21"/>
          <w:highlight w:val="none"/>
          <w:lang w:val="en-US" w:eastAsia="zh-CN"/>
        </w:rPr>
        <w:t>新化</w:t>
      </w:r>
      <w:r>
        <w:rPr>
          <w:rFonts w:hint="eastAsia" w:ascii="宋体" w:hAnsi="宋体" w:eastAsia="宋体" w:cs="宋体"/>
          <w:szCs w:val="21"/>
          <w:highlight w:val="none"/>
          <w:lang w:eastAsia="zh-CN"/>
        </w:rPr>
        <w:t>县秋粮</w:t>
      </w:r>
      <w:r>
        <w:rPr>
          <w:rFonts w:hint="eastAsia" w:ascii="宋体" w:hAnsi="宋体" w:cs="宋体"/>
          <w:szCs w:val="21"/>
          <w:highlight w:val="none"/>
          <w:lang w:eastAsia="zh-CN"/>
        </w:rPr>
        <w:t>丰产</w:t>
      </w:r>
      <w:r>
        <w:rPr>
          <w:rFonts w:hint="eastAsia" w:ascii="宋体" w:hAnsi="宋体" w:eastAsia="宋体" w:cs="宋体"/>
          <w:szCs w:val="21"/>
          <w:highlight w:val="none"/>
          <w:lang w:eastAsia="zh-CN"/>
        </w:rPr>
        <w:t>丰收，结合</w:t>
      </w:r>
      <w:r>
        <w:rPr>
          <w:rFonts w:hint="eastAsia" w:ascii="宋体" w:hAnsi="宋体" w:eastAsia="宋体" w:cs="宋体"/>
          <w:szCs w:val="21"/>
          <w:highlight w:val="none"/>
          <w:lang w:val="en-US" w:eastAsia="zh-CN"/>
        </w:rPr>
        <w:t>新化</w:t>
      </w:r>
      <w:r>
        <w:rPr>
          <w:rFonts w:hint="eastAsia" w:ascii="宋体" w:hAnsi="宋体" w:eastAsia="宋体" w:cs="宋体"/>
          <w:szCs w:val="21"/>
          <w:highlight w:val="none"/>
          <w:lang w:eastAsia="zh-CN"/>
        </w:rPr>
        <w:t>县实际，开展</w:t>
      </w:r>
      <w:r>
        <w:rPr>
          <w:rFonts w:hint="eastAsia" w:ascii="宋体" w:hAnsi="宋体" w:eastAsia="宋体" w:cs="宋体"/>
          <w:szCs w:val="21"/>
          <w:highlight w:val="none"/>
          <w:lang w:val="en-US" w:eastAsia="zh-CN"/>
        </w:rPr>
        <w:t>新化</w:t>
      </w:r>
      <w:r>
        <w:rPr>
          <w:rFonts w:hint="eastAsia" w:ascii="宋体" w:hAnsi="宋体" w:eastAsia="宋体" w:cs="宋体"/>
          <w:szCs w:val="21"/>
          <w:highlight w:val="none"/>
          <w:lang w:eastAsia="zh-CN"/>
        </w:rPr>
        <w:t>县</w:t>
      </w:r>
      <w:r>
        <w:rPr>
          <w:rFonts w:hint="eastAsia" w:ascii="宋体" w:hAnsi="宋体" w:cs="宋体"/>
          <w:szCs w:val="21"/>
          <w:highlight w:val="none"/>
          <w:lang w:eastAsia="zh-CN"/>
        </w:rPr>
        <w:t>2026</w:t>
      </w:r>
      <w:r>
        <w:rPr>
          <w:rFonts w:hint="eastAsia" w:ascii="宋体" w:hAnsi="宋体" w:eastAsia="宋体" w:cs="宋体"/>
          <w:szCs w:val="21"/>
          <w:highlight w:val="none"/>
          <w:lang w:eastAsia="zh-CN"/>
        </w:rPr>
        <w:t>年“秋粮</w:t>
      </w:r>
      <w:r>
        <w:rPr>
          <w:rFonts w:hint="eastAsia" w:ascii="宋体" w:hAnsi="宋体" w:cs="宋体"/>
          <w:szCs w:val="21"/>
          <w:highlight w:val="none"/>
          <w:lang w:eastAsia="zh-CN"/>
        </w:rPr>
        <w:t>抗逆防灾</w:t>
      </w:r>
      <w:r>
        <w:rPr>
          <w:rFonts w:hint="eastAsia" w:ascii="宋体" w:hAnsi="宋体" w:eastAsia="宋体" w:cs="宋体"/>
          <w:szCs w:val="21"/>
          <w:highlight w:val="none"/>
          <w:lang w:eastAsia="zh-CN"/>
        </w:rPr>
        <w:t>”服务</w:t>
      </w:r>
      <w:r>
        <w:rPr>
          <w:rFonts w:hint="eastAsia" w:ascii="宋体" w:hAnsi="宋体" w:eastAsia="宋体" w:cs="宋体"/>
          <w:szCs w:val="21"/>
          <w:highlight w:val="none"/>
          <w:lang w:val="en-US" w:eastAsia="zh-CN"/>
        </w:rPr>
        <w:t>项目</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作业面积为</w:t>
      </w:r>
      <w:r>
        <w:rPr>
          <w:rFonts w:hint="eastAsia" w:ascii="宋体" w:hAnsi="宋体" w:cs="宋体"/>
          <w:szCs w:val="21"/>
          <w:highlight w:val="none"/>
          <w:lang w:val="en-US" w:eastAsia="zh-CN"/>
        </w:rPr>
        <w:t>5.34</w:t>
      </w:r>
      <w:r>
        <w:rPr>
          <w:rFonts w:hint="eastAsia" w:ascii="宋体" w:hAnsi="宋体" w:eastAsia="宋体" w:cs="宋体"/>
          <w:szCs w:val="21"/>
          <w:highlight w:val="none"/>
          <w:lang w:val="en-US" w:eastAsia="zh-CN"/>
        </w:rPr>
        <w:t>万亩以上</w:t>
      </w:r>
      <w:r>
        <w:rPr>
          <w:rFonts w:hint="eastAsia" w:ascii="宋体" w:hAnsi="宋体" w:eastAsia="宋体" w:cs="宋体"/>
          <w:szCs w:val="21"/>
          <w:highlight w:val="none"/>
          <w:lang w:eastAsia="zh-CN"/>
        </w:rPr>
        <w:t>。</w:t>
      </w:r>
    </w:p>
    <w:p w14:paraId="08796D31">
      <w:pPr>
        <w:adjustRightInd w:val="0"/>
        <w:snapToGrid w:val="0"/>
        <w:spacing w:line="360" w:lineRule="auto"/>
        <w:ind w:firstLine="422" w:firstLineChars="200"/>
        <w:rPr>
          <w:rFonts w:hint="default" w:ascii="宋体" w:hAnsi="宋体" w:eastAsia="宋体" w:cs="Times New Roman"/>
          <w:b w:val="0"/>
          <w:bCs/>
          <w:highlight w:val="none"/>
          <w:lang w:val="en-US" w:eastAsia="zh-CN"/>
        </w:rPr>
      </w:pPr>
      <w:r>
        <w:rPr>
          <w:rFonts w:hint="eastAsia" w:ascii="宋体" w:hAnsi="宋体" w:cs="Times New Roman"/>
          <w:b/>
          <w:bCs w:val="0"/>
          <w:highlight w:val="none"/>
          <w:lang w:val="en-US" w:eastAsia="zh-CN"/>
        </w:rPr>
        <w:t>三、实施区域划分</w:t>
      </w:r>
    </w:p>
    <w:p w14:paraId="6BE85A4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highlight w:val="none"/>
          <w:lang w:val="en-US" w:eastAsia="zh-CN"/>
        </w:rPr>
      </w:pPr>
      <w:r>
        <w:rPr>
          <w:rFonts w:hint="eastAsia" w:ascii="宋体" w:hAnsi="宋体" w:eastAsia="宋体" w:cs="Times New Roman"/>
          <w:b w:val="0"/>
          <w:bCs/>
          <w:highlight w:val="none"/>
          <w:lang w:val="en-US" w:eastAsia="zh-CN"/>
        </w:rPr>
        <w:t>我县“秋粮</w:t>
      </w:r>
      <w:r>
        <w:rPr>
          <w:rFonts w:hint="eastAsia" w:ascii="宋体" w:hAnsi="宋体" w:cs="Times New Roman"/>
          <w:b w:val="0"/>
          <w:bCs/>
          <w:highlight w:val="none"/>
          <w:lang w:val="en-US" w:eastAsia="zh-CN"/>
        </w:rPr>
        <w:t>抗逆防灾</w:t>
      </w:r>
      <w:r>
        <w:rPr>
          <w:rFonts w:hint="eastAsia" w:ascii="宋体" w:hAnsi="宋体" w:eastAsia="宋体" w:cs="Times New Roman"/>
          <w:b w:val="0"/>
          <w:bCs/>
          <w:highlight w:val="none"/>
          <w:lang w:val="en-US" w:eastAsia="zh-CN"/>
        </w:rPr>
        <w:t>”喷施作业任务为</w:t>
      </w:r>
      <w:r>
        <w:rPr>
          <w:rFonts w:hint="eastAsia" w:ascii="宋体" w:hAnsi="宋体" w:cs="Times New Roman"/>
          <w:b w:val="0"/>
          <w:bCs/>
          <w:highlight w:val="none"/>
          <w:lang w:val="en-US" w:eastAsia="zh-CN"/>
        </w:rPr>
        <w:t>5.34</w:t>
      </w:r>
      <w:r>
        <w:rPr>
          <w:rFonts w:hint="eastAsia" w:ascii="宋体" w:hAnsi="宋体" w:eastAsia="宋体" w:cs="Times New Roman"/>
          <w:b w:val="0"/>
          <w:bCs/>
          <w:highlight w:val="none"/>
          <w:lang w:val="en-US" w:eastAsia="zh-CN"/>
        </w:rPr>
        <w:t>万亩，涉及到20个乡镇。根据晚稻的生产实际，参考</w:t>
      </w:r>
      <w:r>
        <w:rPr>
          <w:rFonts w:hint="eastAsia" w:ascii="宋体" w:hAnsi="宋体" w:cs="Times New Roman"/>
          <w:b w:val="0"/>
          <w:bCs/>
          <w:highlight w:val="none"/>
          <w:lang w:val="en-US" w:eastAsia="zh-CN"/>
        </w:rPr>
        <w:t>《</w:t>
      </w:r>
      <w:r>
        <w:rPr>
          <w:rFonts w:hint="eastAsia" w:ascii="宋体" w:hAnsi="宋体" w:eastAsia="宋体" w:cs="Times New Roman"/>
          <w:b w:val="0"/>
          <w:bCs/>
          <w:highlight w:val="none"/>
          <w:lang w:val="en-US" w:eastAsia="zh-CN"/>
        </w:rPr>
        <w:t>202</w:t>
      </w:r>
      <w:r>
        <w:rPr>
          <w:rFonts w:hint="eastAsia" w:ascii="宋体" w:hAnsi="宋体" w:cs="Times New Roman"/>
          <w:b w:val="0"/>
          <w:bCs/>
          <w:highlight w:val="none"/>
          <w:lang w:val="en-US" w:eastAsia="zh-CN"/>
        </w:rPr>
        <w:t>5</w:t>
      </w:r>
      <w:r>
        <w:rPr>
          <w:rFonts w:hint="eastAsia" w:ascii="宋体" w:hAnsi="宋体" w:eastAsia="宋体" w:cs="Times New Roman"/>
          <w:b w:val="0"/>
          <w:bCs/>
          <w:highlight w:val="none"/>
          <w:lang w:val="en-US" w:eastAsia="zh-CN"/>
        </w:rPr>
        <w:t>年</w:t>
      </w:r>
      <w:r>
        <w:rPr>
          <w:rFonts w:hint="eastAsia" w:ascii="宋体" w:hAnsi="宋体" w:cs="Times New Roman"/>
          <w:b w:val="0"/>
          <w:bCs/>
          <w:highlight w:val="none"/>
          <w:lang w:val="en-US" w:eastAsia="zh-CN"/>
        </w:rPr>
        <w:t>新化县</w:t>
      </w:r>
      <w:r>
        <w:rPr>
          <w:rFonts w:hint="eastAsia" w:ascii="宋体" w:hAnsi="宋体" w:eastAsia="宋体" w:cs="Times New Roman"/>
          <w:b w:val="0"/>
          <w:bCs/>
          <w:highlight w:val="none"/>
          <w:lang w:val="en-US" w:eastAsia="zh-CN"/>
        </w:rPr>
        <w:t>双季稻面积验收</w:t>
      </w:r>
      <w:r>
        <w:rPr>
          <w:rFonts w:hint="eastAsia" w:ascii="宋体" w:hAnsi="宋体" w:cs="Times New Roman"/>
          <w:b w:val="0"/>
          <w:bCs/>
          <w:highlight w:val="none"/>
          <w:lang w:val="en-US" w:eastAsia="zh-CN"/>
        </w:rPr>
        <w:t>乡镇汇总表》</w:t>
      </w:r>
      <w:r>
        <w:rPr>
          <w:rFonts w:hint="eastAsia" w:ascii="宋体" w:hAnsi="宋体" w:eastAsia="宋体" w:cs="Times New Roman"/>
          <w:b w:val="0"/>
          <w:bCs/>
          <w:highlight w:val="none"/>
          <w:lang w:val="en-US" w:eastAsia="zh-CN"/>
        </w:rPr>
        <w:t>，结合“</w:t>
      </w:r>
      <w:r>
        <w:rPr>
          <w:rFonts w:hint="eastAsia" w:ascii="宋体" w:hAnsi="宋体" w:cs="Times New Roman"/>
          <w:b w:val="0"/>
          <w:bCs/>
          <w:highlight w:val="none"/>
          <w:lang w:val="en-US" w:eastAsia="zh-CN"/>
        </w:rPr>
        <w:t>抗逆防灾</w:t>
      </w:r>
      <w:r>
        <w:rPr>
          <w:rFonts w:hint="eastAsia" w:ascii="宋体" w:hAnsi="宋体" w:eastAsia="宋体" w:cs="Times New Roman"/>
          <w:b w:val="0"/>
          <w:bCs/>
          <w:highlight w:val="none"/>
          <w:lang w:val="en-US" w:eastAsia="zh-CN"/>
        </w:rPr>
        <w:t xml:space="preserve">”工作便利，建议将我县分为二个实施区域：第一实施区域 </w:t>
      </w:r>
      <w:r>
        <w:rPr>
          <w:rFonts w:hint="eastAsia" w:ascii="宋体" w:hAnsi="宋体" w:cs="Times New Roman"/>
          <w:b w:val="0"/>
          <w:bCs/>
          <w:highlight w:val="none"/>
          <w:lang w:val="en-US" w:eastAsia="zh-CN"/>
        </w:rPr>
        <w:t>2</w:t>
      </w:r>
      <w:r>
        <w:rPr>
          <w:rFonts w:hint="eastAsia" w:ascii="宋体" w:hAnsi="宋体" w:eastAsia="宋体" w:cs="Times New Roman"/>
          <w:b w:val="0"/>
          <w:bCs/>
          <w:highlight w:val="none"/>
          <w:lang w:val="en-US" w:eastAsia="zh-CN"/>
        </w:rPr>
        <w:t>.</w:t>
      </w:r>
      <w:r>
        <w:rPr>
          <w:rFonts w:hint="eastAsia" w:ascii="宋体" w:hAnsi="宋体" w:cs="Times New Roman"/>
          <w:b w:val="0"/>
          <w:bCs/>
          <w:highlight w:val="none"/>
          <w:lang w:val="en-US" w:eastAsia="zh-CN"/>
        </w:rPr>
        <w:t>67</w:t>
      </w:r>
      <w:r>
        <w:rPr>
          <w:rFonts w:hint="eastAsia" w:ascii="宋体" w:hAnsi="宋体" w:eastAsia="宋体" w:cs="Times New Roman"/>
          <w:b w:val="0"/>
          <w:bCs/>
          <w:highlight w:val="none"/>
          <w:lang w:val="en-US" w:eastAsia="zh-CN"/>
        </w:rPr>
        <w:t>万亩，其中石冲口</w:t>
      </w:r>
      <w:r>
        <w:rPr>
          <w:rFonts w:hint="eastAsia" w:ascii="宋体" w:hAnsi="宋体" w:cs="Times New Roman"/>
          <w:b w:val="0"/>
          <w:bCs/>
          <w:highlight w:val="none"/>
          <w:lang w:val="en-US" w:eastAsia="zh-CN"/>
        </w:rPr>
        <w:t>4000</w:t>
      </w:r>
      <w:r>
        <w:rPr>
          <w:rFonts w:hint="eastAsia" w:ascii="宋体" w:hAnsi="宋体" w:eastAsia="宋体" w:cs="Times New Roman"/>
          <w:b w:val="0"/>
          <w:bCs/>
          <w:highlight w:val="none"/>
          <w:lang w:val="en-US" w:eastAsia="zh-CN"/>
        </w:rPr>
        <w:t>亩、维山</w:t>
      </w:r>
      <w:r>
        <w:rPr>
          <w:rFonts w:hint="eastAsia" w:ascii="宋体" w:hAnsi="宋体" w:cs="Times New Roman"/>
          <w:b w:val="0"/>
          <w:bCs/>
          <w:highlight w:val="none"/>
          <w:lang w:val="en-US" w:eastAsia="zh-CN"/>
        </w:rPr>
        <w:t>1280</w:t>
      </w:r>
      <w:r>
        <w:rPr>
          <w:rFonts w:hint="eastAsia" w:ascii="宋体" w:hAnsi="宋体" w:eastAsia="宋体" w:cs="Times New Roman"/>
          <w:b w:val="0"/>
          <w:bCs/>
          <w:highlight w:val="none"/>
          <w:lang w:val="en-US" w:eastAsia="zh-CN"/>
        </w:rPr>
        <w:t>亩、科头</w:t>
      </w:r>
      <w:r>
        <w:rPr>
          <w:rFonts w:hint="eastAsia" w:ascii="宋体" w:hAnsi="宋体" w:cs="Times New Roman"/>
          <w:b w:val="0"/>
          <w:bCs/>
          <w:highlight w:val="none"/>
          <w:lang w:val="en-US" w:eastAsia="zh-CN"/>
        </w:rPr>
        <w:t>1870</w:t>
      </w:r>
      <w:r>
        <w:rPr>
          <w:rFonts w:hint="eastAsia" w:ascii="宋体" w:hAnsi="宋体" w:eastAsia="宋体" w:cs="Times New Roman"/>
          <w:b w:val="0"/>
          <w:bCs/>
          <w:highlight w:val="none"/>
          <w:lang w:val="en-US" w:eastAsia="zh-CN"/>
        </w:rPr>
        <w:t>亩、洋溪</w:t>
      </w:r>
      <w:r>
        <w:rPr>
          <w:rFonts w:hint="eastAsia" w:ascii="宋体" w:hAnsi="宋体" w:cs="Times New Roman"/>
          <w:b w:val="0"/>
          <w:bCs/>
          <w:highlight w:val="none"/>
          <w:lang w:val="en-US" w:eastAsia="zh-CN"/>
        </w:rPr>
        <w:t>4400</w:t>
      </w:r>
      <w:r>
        <w:rPr>
          <w:rFonts w:hint="eastAsia" w:ascii="宋体" w:hAnsi="宋体" w:eastAsia="宋体" w:cs="Times New Roman"/>
          <w:b w:val="0"/>
          <w:bCs/>
          <w:highlight w:val="none"/>
          <w:lang w:val="en-US" w:eastAsia="zh-CN"/>
        </w:rPr>
        <w:t>亩、槎溪</w:t>
      </w:r>
      <w:r>
        <w:rPr>
          <w:rFonts w:hint="eastAsia" w:ascii="宋体" w:hAnsi="宋体" w:cs="Times New Roman"/>
          <w:b w:val="0"/>
          <w:bCs/>
          <w:highlight w:val="none"/>
          <w:lang w:val="en-US" w:eastAsia="zh-CN"/>
        </w:rPr>
        <w:t>950</w:t>
      </w:r>
      <w:r>
        <w:rPr>
          <w:rFonts w:hint="eastAsia" w:ascii="宋体" w:hAnsi="宋体" w:eastAsia="宋体" w:cs="Times New Roman"/>
          <w:b w:val="0"/>
          <w:bCs/>
          <w:highlight w:val="none"/>
          <w:lang w:val="en-US" w:eastAsia="zh-CN"/>
        </w:rPr>
        <w:t>亩、炉观</w:t>
      </w:r>
      <w:r>
        <w:rPr>
          <w:rFonts w:hint="eastAsia" w:ascii="宋体" w:hAnsi="宋体" w:cs="Times New Roman"/>
          <w:b w:val="0"/>
          <w:bCs/>
          <w:highlight w:val="none"/>
          <w:lang w:val="en-US" w:eastAsia="zh-CN"/>
        </w:rPr>
        <w:t>8460</w:t>
      </w:r>
      <w:r>
        <w:rPr>
          <w:rFonts w:hint="eastAsia" w:ascii="宋体" w:hAnsi="宋体" w:eastAsia="宋体" w:cs="Times New Roman"/>
          <w:b w:val="0"/>
          <w:bCs/>
          <w:highlight w:val="none"/>
          <w:lang w:val="en-US" w:eastAsia="zh-CN"/>
        </w:rPr>
        <w:t>亩、游家</w:t>
      </w:r>
      <w:r>
        <w:rPr>
          <w:rFonts w:hint="eastAsia" w:ascii="宋体" w:hAnsi="宋体" w:cs="Times New Roman"/>
          <w:b w:val="0"/>
          <w:bCs/>
          <w:highlight w:val="none"/>
          <w:lang w:val="en-US" w:eastAsia="zh-CN"/>
        </w:rPr>
        <w:t>2520</w:t>
      </w:r>
      <w:r>
        <w:rPr>
          <w:rFonts w:hint="eastAsia" w:ascii="宋体" w:hAnsi="宋体" w:eastAsia="宋体" w:cs="Times New Roman"/>
          <w:b w:val="0"/>
          <w:bCs/>
          <w:highlight w:val="none"/>
          <w:lang w:val="en-US" w:eastAsia="zh-CN"/>
        </w:rPr>
        <w:t>亩</w:t>
      </w:r>
      <w:r>
        <w:rPr>
          <w:rFonts w:hint="eastAsia" w:ascii="宋体" w:hAnsi="宋体" w:cs="Times New Roman"/>
          <w:b w:val="0"/>
          <w:bCs/>
          <w:highlight w:val="none"/>
          <w:lang w:val="en-US" w:eastAsia="zh-CN"/>
        </w:rPr>
        <w:t>、</w:t>
      </w:r>
      <w:r>
        <w:rPr>
          <w:rFonts w:hint="eastAsia" w:ascii="宋体" w:hAnsi="宋体" w:eastAsia="宋体" w:cs="Times New Roman"/>
          <w:b w:val="0"/>
          <w:bCs/>
          <w:highlight w:val="none"/>
          <w:lang w:val="en-US" w:eastAsia="zh-CN"/>
        </w:rPr>
        <w:t>上梅</w:t>
      </w:r>
      <w:r>
        <w:rPr>
          <w:rFonts w:hint="eastAsia" w:ascii="宋体" w:hAnsi="宋体" w:cs="Times New Roman"/>
          <w:b w:val="0"/>
          <w:bCs/>
          <w:highlight w:val="none"/>
          <w:lang w:val="en-US" w:eastAsia="zh-CN"/>
        </w:rPr>
        <w:t>1390</w:t>
      </w:r>
      <w:r>
        <w:rPr>
          <w:rFonts w:hint="eastAsia" w:ascii="宋体" w:hAnsi="宋体" w:eastAsia="宋体" w:cs="Times New Roman"/>
          <w:b w:val="0"/>
          <w:bCs/>
          <w:highlight w:val="none"/>
          <w:lang w:val="en-US" w:eastAsia="zh-CN"/>
        </w:rPr>
        <w:t>亩、枫林</w:t>
      </w:r>
      <w:r>
        <w:rPr>
          <w:rFonts w:hint="eastAsia" w:ascii="宋体" w:hAnsi="宋体" w:cs="Times New Roman"/>
          <w:b w:val="0"/>
          <w:bCs/>
          <w:highlight w:val="none"/>
          <w:lang w:val="en-US" w:eastAsia="zh-CN"/>
        </w:rPr>
        <w:t>1830</w:t>
      </w:r>
      <w:r>
        <w:rPr>
          <w:rFonts w:hint="eastAsia" w:ascii="宋体" w:hAnsi="宋体" w:eastAsia="宋体" w:cs="Times New Roman"/>
          <w:b w:val="0"/>
          <w:bCs/>
          <w:highlight w:val="none"/>
          <w:lang w:val="en-US" w:eastAsia="zh-CN"/>
        </w:rPr>
        <w:t>亩。第二实施区域</w:t>
      </w:r>
      <w:r>
        <w:rPr>
          <w:rFonts w:hint="eastAsia" w:ascii="宋体" w:hAnsi="宋体" w:cs="Times New Roman"/>
          <w:b w:val="0"/>
          <w:bCs/>
          <w:highlight w:val="none"/>
          <w:lang w:val="en-US" w:eastAsia="zh-CN"/>
        </w:rPr>
        <w:t>2</w:t>
      </w:r>
      <w:r>
        <w:rPr>
          <w:rFonts w:hint="eastAsia" w:ascii="宋体" w:hAnsi="宋体" w:eastAsia="宋体" w:cs="Times New Roman"/>
          <w:b w:val="0"/>
          <w:bCs/>
          <w:highlight w:val="none"/>
          <w:lang w:val="en-US" w:eastAsia="zh-CN"/>
        </w:rPr>
        <w:t>.</w:t>
      </w:r>
      <w:r>
        <w:rPr>
          <w:rFonts w:hint="eastAsia" w:ascii="宋体" w:hAnsi="宋体" w:cs="Times New Roman"/>
          <w:b w:val="0"/>
          <w:bCs/>
          <w:highlight w:val="none"/>
          <w:lang w:val="en-US" w:eastAsia="zh-CN"/>
        </w:rPr>
        <w:t>67</w:t>
      </w:r>
      <w:r>
        <w:rPr>
          <w:rFonts w:hint="eastAsia" w:ascii="宋体" w:hAnsi="宋体" w:eastAsia="宋体" w:cs="Times New Roman"/>
          <w:b w:val="0"/>
          <w:bCs/>
          <w:highlight w:val="none"/>
          <w:lang w:val="en-US" w:eastAsia="zh-CN"/>
        </w:rPr>
        <w:t>万亩，其中圳上</w:t>
      </w:r>
      <w:r>
        <w:rPr>
          <w:rFonts w:hint="eastAsia" w:ascii="宋体" w:hAnsi="宋体" w:cs="Times New Roman"/>
          <w:b w:val="0"/>
          <w:bCs/>
          <w:highlight w:val="none"/>
          <w:lang w:val="en-US" w:eastAsia="zh-CN"/>
        </w:rPr>
        <w:t>3130</w:t>
      </w:r>
      <w:r>
        <w:rPr>
          <w:rFonts w:hint="eastAsia" w:ascii="宋体" w:hAnsi="宋体" w:eastAsia="宋体" w:cs="Times New Roman"/>
          <w:b w:val="0"/>
          <w:bCs/>
          <w:highlight w:val="none"/>
          <w:lang w:val="en-US" w:eastAsia="zh-CN"/>
        </w:rPr>
        <w:t>亩、白溪</w:t>
      </w:r>
      <w:r>
        <w:rPr>
          <w:rFonts w:hint="eastAsia" w:ascii="宋体" w:hAnsi="宋体" w:cs="Times New Roman"/>
          <w:b w:val="0"/>
          <w:bCs/>
          <w:highlight w:val="none"/>
          <w:lang w:val="en-US" w:eastAsia="zh-CN"/>
        </w:rPr>
        <w:t>1750</w:t>
      </w:r>
      <w:r>
        <w:rPr>
          <w:rFonts w:hint="eastAsia" w:ascii="宋体" w:hAnsi="宋体" w:eastAsia="宋体" w:cs="Times New Roman"/>
          <w:b w:val="0"/>
          <w:bCs/>
          <w:highlight w:val="none"/>
          <w:lang w:val="en-US" w:eastAsia="zh-CN"/>
        </w:rPr>
        <w:t>亩、油溪</w:t>
      </w:r>
      <w:r>
        <w:rPr>
          <w:rFonts w:hint="eastAsia" w:ascii="宋体" w:hAnsi="宋体" w:cs="Times New Roman"/>
          <w:b w:val="0"/>
          <w:bCs/>
          <w:highlight w:val="none"/>
          <w:lang w:val="en-US" w:eastAsia="zh-CN"/>
        </w:rPr>
        <w:t>720</w:t>
      </w:r>
      <w:r>
        <w:rPr>
          <w:rFonts w:hint="eastAsia" w:ascii="宋体" w:hAnsi="宋体" w:eastAsia="宋体" w:cs="Times New Roman"/>
          <w:b w:val="0"/>
          <w:bCs/>
          <w:highlight w:val="none"/>
          <w:lang w:val="en-US" w:eastAsia="zh-CN"/>
        </w:rPr>
        <w:t>亩、荣华</w:t>
      </w:r>
      <w:r>
        <w:rPr>
          <w:rFonts w:hint="eastAsia" w:ascii="宋体" w:hAnsi="宋体" w:cs="Times New Roman"/>
          <w:b w:val="0"/>
          <w:bCs/>
          <w:highlight w:val="none"/>
          <w:lang w:val="en-US" w:eastAsia="zh-CN"/>
        </w:rPr>
        <w:t>1290</w:t>
      </w:r>
      <w:r>
        <w:rPr>
          <w:rFonts w:hint="eastAsia" w:ascii="宋体" w:hAnsi="宋体" w:eastAsia="宋体" w:cs="Times New Roman"/>
          <w:b w:val="0"/>
          <w:bCs/>
          <w:highlight w:val="none"/>
          <w:lang w:val="en-US" w:eastAsia="zh-CN"/>
        </w:rPr>
        <w:t>亩、吉庆</w:t>
      </w:r>
      <w:r>
        <w:rPr>
          <w:rFonts w:hint="eastAsia" w:ascii="宋体" w:hAnsi="宋体" w:cs="Times New Roman"/>
          <w:b w:val="0"/>
          <w:bCs/>
          <w:highlight w:val="none"/>
          <w:lang w:val="en-US" w:eastAsia="zh-CN"/>
        </w:rPr>
        <w:t>1350</w:t>
      </w:r>
      <w:r>
        <w:rPr>
          <w:rFonts w:hint="eastAsia" w:ascii="宋体" w:hAnsi="宋体" w:eastAsia="宋体" w:cs="Times New Roman"/>
          <w:b w:val="0"/>
          <w:bCs/>
          <w:highlight w:val="none"/>
          <w:lang w:val="en-US" w:eastAsia="zh-CN"/>
        </w:rPr>
        <w:t>亩、曹家</w:t>
      </w:r>
      <w:r>
        <w:rPr>
          <w:rFonts w:hint="eastAsia" w:ascii="宋体" w:hAnsi="宋体" w:cs="Times New Roman"/>
          <w:b w:val="0"/>
          <w:bCs/>
          <w:highlight w:val="none"/>
          <w:lang w:val="en-US" w:eastAsia="zh-CN"/>
        </w:rPr>
        <w:t>1280</w:t>
      </w:r>
      <w:r>
        <w:rPr>
          <w:rFonts w:hint="eastAsia" w:ascii="宋体" w:hAnsi="宋体" w:eastAsia="宋体" w:cs="Times New Roman"/>
          <w:b w:val="0"/>
          <w:bCs/>
          <w:highlight w:val="none"/>
          <w:lang w:val="en-US" w:eastAsia="zh-CN"/>
        </w:rPr>
        <w:t>亩、桑梓</w:t>
      </w:r>
      <w:r>
        <w:rPr>
          <w:rFonts w:hint="eastAsia" w:ascii="宋体" w:hAnsi="宋体" w:cs="Times New Roman"/>
          <w:b w:val="0"/>
          <w:bCs/>
          <w:highlight w:val="none"/>
          <w:lang w:val="en-US" w:eastAsia="zh-CN"/>
        </w:rPr>
        <w:t>2590</w:t>
      </w:r>
      <w:r>
        <w:rPr>
          <w:rFonts w:hint="eastAsia" w:ascii="宋体" w:hAnsi="宋体" w:eastAsia="宋体" w:cs="Times New Roman"/>
          <w:b w:val="0"/>
          <w:bCs/>
          <w:highlight w:val="none"/>
          <w:lang w:val="en-US" w:eastAsia="zh-CN"/>
        </w:rPr>
        <w:t>亩、上渡</w:t>
      </w:r>
      <w:r>
        <w:rPr>
          <w:rFonts w:hint="eastAsia" w:ascii="宋体" w:hAnsi="宋体" w:cs="Times New Roman"/>
          <w:b w:val="0"/>
          <w:bCs/>
          <w:highlight w:val="none"/>
          <w:lang w:val="en-US" w:eastAsia="zh-CN"/>
        </w:rPr>
        <w:t>910</w:t>
      </w:r>
      <w:r>
        <w:rPr>
          <w:rFonts w:hint="eastAsia" w:ascii="宋体" w:hAnsi="宋体" w:eastAsia="宋体" w:cs="Times New Roman"/>
          <w:b w:val="0"/>
          <w:bCs/>
          <w:highlight w:val="none"/>
          <w:lang w:val="en-US" w:eastAsia="zh-CN"/>
        </w:rPr>
        <w:t>亩、琅塘</w:t>
      </w:r>
      <w:r>
        <w:rPr>
          <w:rFonts w:hint="eastAsia" w:ascii="宋体" w:hAnsi="宋体" w:cs="Times New Roman"/>
          <w:b w:val="0"/>
          <w:bCs/>
          <w:highlight w:val="none"/>
          <w:lang w:val="en-US" w:eastAsia="zh-CN"/>
        </w:rPr>
        <w:t>6590</w:t>
      </w:r>
      <w:r>
        <w:rPr>
          <w:rFonts w:hint="eastAsia" w:ascii="宋体" w:hAnsi="宋体" w:eastAsia="宋体" w:cs="Times New Roman"/>
          <w:b w:val="0"/>
          <w:bCs/>
          <w:highlight w:val="none"/>
          <w:lang w:val="en-US" w:eastAsia="zh-CN"/>
        </w:rPr>
        <w:t>亩、孟公</w:t>
      </w:r>
      <w:r>
        <w:rPr>
          <w:rFonts w:hint="eastAsia" w:ascii="宋体" w:hAnsi="宋体" w:cs="Times New Roman"/>
          <w:b w:val="0"/>
          <w:bCs/>
          <w:highlight w:val="none"/>
          <w:lang w:val="en-US" w:eastAsia="zh-CN"/>
        </w:rPr>
        <w:t>3820</w:t>
      </w:r>
      <w:r>
        <w:rPr>
          <w:rFonts w:hint="eastAsia" w:ascii="宋体" w:hAnsi="宋体" w:eastAsia="宋体" w:cs="Times New Roman"/>
          <w:b w:val="0"/>
          <w:bCs/>
          <w:highlight w:val="none"/>
          <w:lang w:val="en-US" w:eastAsia="zh-CN"/>
        </w:rPr>
        <w:t>亩、西河</w:t>
      </w:r>
      <w:r>
        <w:rPr>
          <w:rFonts w:hint="eastAsia" w:ascii="宋体" w:hAnsi="宋体" w:cs="Times New Roman"/>
          <w:b w:val="0"/>
          <w:bCs/>
          <w:highlight w:val="none"/>
          <w:lang w:val="en-US" w:eastAsia="zh-CN"/>
        </w:rPr>
        <w:t>3270</w:t>
      </w:r>
      <w:r>
        <w:rPr>
          <w:rFonts w:hint="eastAsia" w:ascii="宋体" w:hAnsi="宋体" w:eastAsia="宋体" w:cs="Times New Roman"/>
          <w:b w:val="0"/>
          <w:bCs/>
          <w:highlight w:val="none"/>
          <w:lang w:val="en-US" w:eastAsia="zh-CN"/>
        </w:rPr>
        <w:t>亩。</w:t>
      </w:r>
    </w:p>
    <w:p w14:paraId="1EC9EF21">
      <w:pPr>
        <w:adjustRightInd w:val="0"/>
        <w:snapToGrid w:val="0"/>
        <w:spacing w:line="360" w:lineRule="auto"/>
        <w:ind w:firstLine="422" w:firstLineChars="200"/>
        <w:rPr>
          <w:rFonts w:hint="default" w:ascii="宋体" w:hAnsi="宋体" w:eastAsia="宋体" w:cs="Times New Roman"/>
          <w:b/>
          <w:highlight w:val="none"/>
          <w:lang w:val="en-US" w:eastAsia="zh-CN"/>
        </w:rPr>
      </w:pPr>
      <w:r>
        <w:rPr>
          <w:rFonts w:hint="eastAsia" w:ascii="宋体" w:hAnsi="宋体" w:cs="Times New Roman"/>
          <w:b/>
          <w:highlight w:val="none"/>
          <w:lang w:val="en-US" w:eastAsia="zh-CN"/>
        </w:rPr>
        <w:t>四</w:t>
      </w:r>
      <w:r>
        <w:rPr>
          <w:rFonts w:hint="eastAsia" w:ascii="宋体" w:hAnsi="宋体" w:eastAsia="宋体" w:cs="Times New Roman"/>
          <w:b/>
          <w:highlight w:val="none"/>
          <w:lang w:val="en-US" w:eastAsia="zh-CN"/>
        </w:rPr>
        <w:t>、服务内容及要求</w:t>
      </w:r>
    </w:p>
    <w:p w14:paraId="59806DC6">
      <w:pPr>
        <w:adjustRightInd w:val="0"/>
        <w:snapToGrid w:val="0"/>
        <w:spacing w:line="360" w:lineRule="auto"/>
        <w:ind w:firstLine="422" w:firstLineChars="200"/>
        <w:rPr>
          <w:rFonts w:hint="default" w:ascii="宋体" w:hAnsi="宋体" w:eastAsia="宋体" w:cs="Times New Roman"/>
          <w:b/>
          <w:highlight w:val="none"/>
          <w:lang w:val="en-US" w:eastAsia="zh-CN"/>
        </w:rPr>
      </w:pPr>
      <w:r>
        <w:rPr>
          <w:rFonts w:hint="eastAsia" w:ascii="宋体" w:hAnsi="宋体" w:eastAsia="宋体" w:cs="Times New Roman"/>
          <w:b/>
          <w:highlight w:val="none"/>
          <w:lang w:val="en-US" w:eastAsia="zh-CN"/>
        </w:rPr>
        <w:t>1、目标任务</w:t>
      </w:r>
    </w:p>
    <w:p w14:paraId="4B82934C">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坚持“</w:t>
      </w:r>
      <w:r>
        <w:rPr>
          <w:rFonts w:hint="eastAsia" w:ascii="宋体" w:hAnsi="宋体" w:eastAsia="宋体" w:cs="宋体"/>
          <w:szCs w:val="21"/>
          <w:highlight w:val="none"/>
          <w:lang w:val="en-US" w:eastAsia="zh-CN"/>
        </w:rPr>
        <w:t>因地制宜、</w:t>
      </w:r>
      <w:r>
        <w:rPr>
          <w:rFonts w:hint="eastAsia" w:ascii="宋体" w:hAnsi="宋体" w:eastAsia="宋体" w:cs="宋体"/>
          <w:szCs w:val="21"/>
          <w:highlight w:val="none"/>
          <w:lang w:eastAsia="zh-CN"/>
        </w:rPr>
        <w:t>分类施策、</w:t>
      </w:r>
      <w:r>
        <w:rPr>
          <w:rFonts w:hint="eastAsia" w:ascii="宋体" w:hAnsi="宋体" w:eastAsia="宋体" w:cs="宋体"/>
          <w:szCs w:val="21"/>
          <w:highlight w:val="none"/>
          <w:lang w:val="en-US" w:eastAsia="zh-CN"/>
        </w:rPr>
        <w:t>精选药肥</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科学</w:t>
      </w:r>
      <w:r>
        <w:rPr>
          <w:rFonts w:hint="eastAsia" w:ascii="宋体" w:hAnsi="宋体" w:eastAsia="宋体" w:cs="宋体"/>
          <w:szCs w:val="21"/>
          <w:highlight w:val="none"/>
          <w:lang w:eastAsia="zh-CN"/>
        </w:rPr>
        <w:t>喷施”原则，聚焦晚稻主产区、生产受灾区域、增产潜力大的区域、实施模式好的区域，重点针对</w:t>
      </w:r>
      <w:r>
        <w:rPr>
          <w:rFonts w:hint="eastAsia" w:ascii="宋体" w:hAnsi="宋体" w:cs="宋体"/>
          <w:szCs w:val="21"/>
          <w:highlight w:val="none"/>
          <w:lang w:eastAsia="zh-CN"/>
        </w:rPr>
        <w:t>洪涝、</w:t>
      </w:r>
      <w:r>
        <w:rPr>
          <w:rFonts w:hint="eastAsia" w:ascii="宋体" w:hAnsi="宋体" w:eastAsia="宋体" w:cs="宋体"/>
          <w:szCs w:val="21"/>
          <w:highlight w:val="none"/>
          <w:lang w:eastAsia="zh-CN"/>
        </w:rPr>
        <w:t>高温</w:t>
      </w:r>
      <w:r>
        <w:rPr>
          <w:rFonts w:hint="eastAsia" w:ascii="宋体" w:hAnsi="宋体" w:cs="宋体"/>
          <w:szCs w:val="21"/>
          <w:highlight w:val="none"/>
          <w:lang w:eastAsia="zh-CN"/>
        </w:rPr>
        <w:t>热害</w:t>
      </w:r>
      <w:r>
        <w:rPr>
          <w:rFonts w:hint="eastAsia" w:ascii="宋体" w:hAnsi="宋体" w:eastAsia="宋体" w:cs="宋体"/>
          <w:szCs w:val="21"/>
          <w:highlight w:val="none"/>
          <w:lang w:eastAsia="zh-CN"/>
        </w:rPr>
        <w:t>、</w:t>
      </w:r>
      <w:r>
        <w:rPr>
          <w:rFonts w:hint="eastAsia" w:ascii="宋体" w:hAnsi="宋体" w:cs="宋体"/>
          <w:szCs w:val="21"/>
          <w:highlight w:val="none"/>
          <w:lang w:eastAsia="zh-CN"/>
        </w:rPr>
        <w:t>旱</w:t>
      </w:r>
      <w:r>
        <w:rPr>
          <w:rFonts w:hint="eastAsia" w:ascii="宋体" w:hAnsi="宋体" w:eastAsia="宋体" w:cs="宋体"/>
          <w:szCs w:val="21"/>
          <w:highlight w:val="none"/>
          <w:lang w:eastAsia="zh-CN"/>
        </w:rPr>
        <w:t>洪</w:t>
      </w:r>
      <w:r>
        <w:rPr>
          <w:rFonts w:hint="eastAsia" w:ascii="宋体" w:hAnsi="宋体" w:cs="宋体"/>
          <w:szCs w:val="21"/>
          <w:highlight w:val="none"/>
          <w:lang w:eastAsia="zh-CN"/>
        </w:rPr>
        <w:t>急转</w:t>
      </w:r>
      <w:r>
        <w:rPr>
          <w:rFonts w:hint="eastAsia" w:ascii="宋体" w:hAnsi="宋体" w:eastAsia="宋体" w:cs="宋体"/>
          <w:szCs w:val="21"/>
          <w:highlight w:val="none"/>
          <w:lang w:eastAsia="zh-CN"/>
        </w:rPr>
        <w:t>、寒露风</w:t>
      </w:r>
      <w:r>
        <w:rPr>
          <w:rFonts w:hint="eastAsia" w:ascii="宋体" w:hAnsi="宋体" w:cs="宋体"/>
          <w:szCs w:val="21"/>
          <w:highlight w:val="none"/>
          <w:lang w:eastAsia="zh-CN"/>
        </w:rPr>
        <w:t>及重大生物灾害</w:t>
      </w:r>
      <w:r>
        <w:rPr>
          <w:rFonts w:hint="eastAsia" w:ascii="宋体" w:hAnsi="宋体" w:eastAsia="宋体" w:cs="宋体"/>
          <w:szCs w:val="21"/>
          <w:highlight w:val="none"/>
          <w:lang w:eastAsia="zh-CN"/>
        </w:rPr>
        <w:t>等</w:t>
      </w:r>
      <w:r>
        <w:rPr>
          <w:rFonts w:hint="eastAsia" w:ascii="宋体" w:hAnsi="宋体" w:cs="宋体"/>
          <w:szCs w:val="21"/>
          <w:highlight w:val="none"/>
          <w:lang w:eastAsia="zh-CN"/>
        </w:rPr>
        <w:t>风险因素</w:t>
      </w:r>
      <w:r>
        <w:rPr>
          <w:rFonts w:hint="eastAsia" w:ascii="宋体" w:hAnsi="宋体" w:eastAsia="宋体" w:cs="宋体"/>
          <w:szCs w:val="21"/>
          <w:highlight w:val="none"/>
          <w:lang w:eastAsia="zh-CN"/>
        </w:rPr>
        <w:t>，因地制宜实施“秋粮</w:t>
      </w:r>
      <w:r>
        <w:rPr>
          <w:rFonts w:hint="eastAsia" w:ascii="宋体" w:hAnsi="宋体" w:cs="宋体"/>
          <w:szCs w:val="21"/>
          <w:highlight w:val="none"/>
          <w:lang w:eastAsia="zh-CN"/>
        </w:rPr>
        <w:t>抗逆防灾</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力争项目实施区实现大面积稳产增产</w:t>
      </w:r>
      <w:r>
        <w:rPr>
          <w:rFonts w:hint="eastAsia" w:ascii="宋体" w:hAnsi="宋体" w:cs="宋体"/>
          <w:szCs w:val="21"/>
          <w:highlight w:val="none"/>
          <w:lang w:val="en-US" w:eastAsia="zh-CN"/>
        </w:rPr>
        <w:t>，比空白区（非项目区）增产5%以上</w:t>
      </w:r>
      <w:r>
        <w:rPr>
          <w:rFonts w:hint="eastAsia" w:ascii="宋体" w:hAnsi="宋体" w:eastAsia="宋体" w:cs="宋体"/>
          <w:szCs w:val="21"/>
          <w:highlight w:val="none"/>
          <w:lang w:val="en-US" w:eastAsia="zh-CN"/>
        </w:rPr>
        <w:t>。</w:t>
      </w:r>
    </w:p>
    <w:p w14:paraId="00295ECE">
      <w:pPr>
        <w:adjustRightInd w:val="0"/>
        <w:snapToGrid w:val="0"/>
        <w:spacing w:line="360" w:lineRule="auto"/>
        <w:ind w:firstLine="422" w:firstLineChars="200"/>
        <w:rPr>
          <w:rFonts w:hint="default" w:ascii="宋体" w:hAnsi="宋体" w:eastAsia="宋体" w:cs="Times New Roman"/>
          <w:b/>
          <w:highlight w:val="none"/>
          <w:lang w:val="en-US" w:eastAsia="zh-CN"/>
        </w:rPr>
      </w:pPr>
      <w:r>
        <w:rPr>
          <w:rFonts w:hint="eastAsia" w:ascii="宋体" w:hAnsi="宋体" w:eastAsia="宋体" w:cs="Times New Roman"/>
          <w:b/>
          <w:highlight w:val="none"/>
          <w:lang w:val="en-US" w:eastAsia="zh-CN"/>
        </w:rPr>
        <w:t>2、技术路径</w:t>
      </w:r>
    </w:p>
    <w:p w14:paraId="14801697">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2.1</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因灾因苗施策。</w:t>
      </w:r>
    </w:p>
    <w:p w14:paraId="3771F896">
      <w:pPr>
        <w:adjustRightInd w:val="0"/>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高温干旱地区需喷施磷酸二氢钾、等离子物理制剂、中微量元素水溶肥、抗旱抗逆制剂等，增强植株耐热、抗早衰能力。暴雨洪涝渍害地区喷施尿素、磷酸二氢钾、烯磷酸钾、大量元素水溶肥、螯合微量元素等，快速恢复植株长势。同时，预防病害爆发。寒露风威胁大的地区喷施磷酸二氢钾等叶面肥或液体膜，提升花粉活力，可显著降低低温空瘪粒。同时，合理混配芸苔素内酯、噻苯隆、14-羟芸噻苯隆、赤调环酸钙、大丽轮枝孢激活蛋白等植物生长调节剂，提高抗逆能力，预防早衰，增加粒重，促进单产提升。</w:t>
      </w:r>
    </w:p>
    <w:p w14:paraId="1880BFC4">
      <w:pPr>
        <w:adjustRightInd w:val="0"/>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结合今年我县水稻</w:t>
      </w:r>
      <w:r>
        <w:rPr>
          <w:rFonts w:hint="eastAsia" w:ascii="宋体" w:hAnsi="宋体" w:cs="宋体"/>
          <w:szCs w:val="21"/>
          <w:highlight w:val="none"/>
          <w:lang w:val="en-US" w:eastAsia="zh-CN"/>
        </w:rPr>
        <w:t>生长</w:t>
      </w:r>
      <w:r>
        <w:rPr>
          <w:rFonts w:hint="eastAsia" w:ascii="宋体" w:hAnsi="宋体" w:eastAsia="宋体" w:cs="宋体"/>
          <w:szCs w:val="21"/>
          <w:highlight w:val="none"/>
          <w:lang w:val="en-US" w:eastAsia="zh-CN"/>
        </w:rPr>
        <w:t>情况及《湖南省</w:t>
      </w:r>
      <w:r>
        <w:rPr>
          <w:rFonts w:hint="eastAsia" w:ascii="宋体" w:hAnsi="宋体" w:cs="宋体"/>
          <w:szCs w:val="21"/>
          <w:highlight w:val="none"/>
          <w:lang w:val="en-US" w:eastAsia="zh-CN"/>
        </w:rPr>
        <w:t>2026</w:t>
      </w:r>
      <w:r>
        <w:rPr>
          <w:rFonts w:hint="eastAsia" w:ascii="宋体" w:hAnsi="宋体" w:eastAsia="宋体" w:cs="宋体"/>
          <w:szCs w:val="21"/>
          <w:highlight w:val="none"/>
          <w:lang w:val="en-US" w:eastAsia="zh-CN"/>
        </w:rPr>
        <w:t>年“秋粮</w:t>
      </w:r>
      <w:r>
        <w:rPr>
          <w:rFonts w:hint="eastAsia" w:ascii="宋体" w:hAnsi="宋体" w:cs="宋体"/>
          <w:szCs w:val="21"/>
          <w:highlight w:val="none"/>
          <w:lang w:val="en-US" w:eastAsia="zh-CN"/>
        </w:rPr>
        <w:t>抗逆防灾</w:t>
      </w:r>
      <w:r>
        <w:rPr>
          <w:rFonts w:hint="eastAsia" w:ascii="宋体" w:hAnsi="宋体" w:eastAsia="宋体" w:cs="宋体"/>
          <w:szCs w:val="21"/>
          <w:highlight w:val="none"/>
          <w:lang w:val="en-US" w:eastAsia="zh-CN"/>
        </w:rPr>
        <w:t>”实施方案》，推荐使用如下药</w:t>
      </w:r>
      <w:r>
        <w:rPr>
          <w:rFonts w:hint="eastAsia" w:ascii="宋体" w:hAnsi="宋体" w:cs="宋体"/>
          <w:szCs w:val="21"/>
          <w:highlight w:val="none"/>
          <w:lang w:val="en-US" w:eastAsia="zh-CN"/>
        </w:rPr>
        <w:t>肥</w:t>
      </w:r>
      <w:r>
        <w:rPr>
          <w:rFonts w:hint="eastAsia" w:ascii="宋体" w:hAnsi="宋体" w:eastAsia="宋体" w:cs="宋体"/>
          <w:szCs w:val="21"/>
          <w:highlight w:val="none"/>
          <w:lang w:val="en-US" w:eastAsia="zh-CN"/>
        </w:rPr>
        <w:t>：</w:t>
      </w:r>
    </w:p>
    <w:tbl>
      <w:tblPr>
        <w:tblStyle w:val="45"/>
        <w:tblW w:w="8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079"/>
        <w:gridCol w:w="1964"/>
        <w:gridCol w:w="1078"/>
        <w:gridCol w:w="811"/>
        <w:gridCol w:w="1560"/>
        <w:gridCol w:w="1068"/>
      </w:tblGrid>
      <w:tr w14:paraId="6592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55" w:type="dxa"/>
            <w:noWrap w:val="0"/>
            <w:vAlign w:val="center"/>
          </w:tcPr>
          <w:p w14:paraId="23ECAB1E">
            <w:pPr>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1079" w:type="dxa"/>
            <w:noWrap w:val="0"/>
            <w:vAlign w:val="center"/>
          </w:tcPr>
          <w:p w14:paraId="7111FC8A">
            <w:pPr>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类型</w:t>
            </w:r>
          </w:p>
        </w:tc>
        <w:tc>
          <w:tcPr>
            <w:tcW w:w="1964" w:type="dxa"/>
            <w:shd w:val="clear" w:color="auto" w:fill="auto"/>
            <w:noWrap w:val="0"/>
            <w:vAlign w:val="center"/>
          </w:tcPr>
          <w:p w14:paraId="5097ECFF">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olor w:val="000000"/>
                <w:szCs w:val="21"/>
                <w:highlight w:val="none"/>
              </w:rPr>
              <w:t>药</w:t>
            </w:r>
            <w:r>
              <w:rPr>
                <w:rFonts w:hint="eastAsia" w:ascii="宋体" w:hAnsi="宋体"/>
                <w:color w:val="000000"/>
                <w:szCs w:val="21"/>
                <w:highlight w:val="none"/>
                <w:lang w:eastAsia="zh-CN"/>
              </w:rPr>
              <w:t>肥品种</w:t>
            </w:r>
          </w:p>
        </w:tc>
        <w:tc>
          <w:tcPr>
            <w:tcW w:w="1078" w:type="dxa"/>
            <w:noWrap w:val="0"/>
            <w:vAlign w:val="center"/>
          </w:tcPr>
          <w:p w14:paraId="38D26DCB">
            <w:pPr>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剂型</w:t>
            </w:r>
          </w:p>
        </w:tc>
        <w:tc>
          <w:tcPr>
            <w:tcW w:w="811" w:type="dxa"/>
            <w:noWrap w:val="0"/>
            <w:vAlign w:val="center"/>
          </w:tcPr>
          <w:p w14:paraId="7C1BDF7C">
            <w:pPr>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登记</w:t>
            </w:r>
          </w:p>
          <w:p w14:paraId="24898F98">
            <w:pPr>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作物</w:t>
            </w:r>
          </w:p>
        </w:tc>
        <w:tc>
          <w:tcPr>
            <w:tcW w:w="1560" w:type="dxa"/>
            <w:noWrap w:val="0"/>
            <w:vAlign w:val="center"/>
          </w:tcPr>
          <w:p w14:paraId="7F313FA5">
            <w:pPr>
              <w:jc w:val="center"/>
              <w:rPr>
                <w:rFonts w:hint="eastAsia" w:ascii="宋体" w:hAnsi="宋体"/>
                <w:color w:val="000000"/>
                <w:szCs w:val="21"/>
                <w:highlight w:val="none"/>
                <w:lang w:eastAsia="zh-CN"/>
              </w:rPr>
            </w:pPr>
            <w:r>
              <w:rPr>
                <w:rFonts w:hint="eastAsia" w:ascii="宋体" w:hAnsi="宋体"/>
                <w:color w:val="000000"/>
                <w:szCs w:val="21"/>
                <w:highlight w:val="none"/>
                <w:lang w:eastAsia="zh-CN"/>
              </w:rPr>
              <w:t>喷施作用</w:t>
            </w:r>
          </w:p>
        </w:tc>
        <w:tc>
          <w:tcPr>
            <w:tcW w:w="1068" w:type="dxa"/>
            <w:noWrap w:val="0"/>
            <w:vAlign w:val="center"/>
          </w:tcPr>
          <w:p w14:paraId="27121748">
            <w:pPr>
              <w:jc w:val="center"/>
              <w:rPr>
                <w:rFonts w:hint="eastAsia" w:ascii="宋体" w:hAnsi="宋体"/>
                <w:color w:val="000000"/>
                <w:szCs w:val="21"/>
                <w:highlight w:val="none"/>
              </w:rPr>
            </w:pPr>
            <w:r>
              <w:rPr>
                <w:rFonts w:hint="eastAsia" w:ascii="宋体" w:hAnsi="宋体"/>
                <w:color w:val="000000"/>
                <w:szCs w:val="21"/>
                <w:highlight w:val="none"/>
              </w:rPr>
              <w:t>亩用量</w:t>
            </w:r>
          </w:p>
        </w:tc>
      </w:tr>
      <w:tr w14:paraId="3E0A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40EA92DD">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1</w:t>
            </w:r>
          </w:p>
        </w:tc>
        <w:tc>
          <w:tcPr>
            <w:tcW w:w="1079" w:type="dxa"/>
            <w:shd w:val="clear" w:color="auto" w:fill="auto"/>
            <w:noWrap w:val="0"/>
            <w:vAlign w:val="center"/>
          </w:tcPr>
          <w:p w14:paraId="7DD1AD20">
            <w:pPr>
              <w:jc w:val="center"/>
              <w:rPr>
                <w:rFonts w:hint="eastAsia" w:ascii="宋体" w:hAnsi="宋体" w:eastAsia="宋体" w:cs="Times New Roman"/>
                <w:color w:val="000000"/>
                <w:szCs w:val="21"/>
                <w:highlight w:val="none"/>
                <w:lang w:eastAsia="zh-CN"/>
              </w:rPr>
            </w:pPr>
            <w:r>
              <w:rPr>
                <w:rFonts w:hint="eastAsia" w:ascii="宋体" w:hAnsi="宋体" w:cs="Times New Roman"/>
                <w:color w:val="000000"/>
                <w:szCs w:val="21"/>
                <w:highlight w:val="none"/>
                <w:lang w:eastAsia="zh-CN"/>
              </w:rPr>
              <w:t>植物生长调节剂</w:t>
            </w:r>
          </w:p>
        </w:tc>
        <w:tc>
          <w:tcPr>
            <w:tcW w:w="1964" w:type="dxa"/>
            <w:shd w:val="clear" w:color="auto" w:fill="auto"/>
            <w:noWrap w:val="0"/>
            <w:vAlign w:val="center"/>
          </w:tcPr>
          <w:p w14:paraId="4E979267">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0.00</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eastAsia="zh-CN"/>
              </w:rPr>
              <w:t>丙酰</w:t>
            </w:r>
            <w:r>
              <w:rPr>
                <w:rFonts w:hint="eastAsia" w:ascii="宋体" w:hAnsi="宋体" w:eastAsia="宋体" w:cs="Times New Roman"/>
                <w:color w:val="000000"/>
                <w:szCs w:val="21"/>
                <w:highlight w:val="none"/>
              </w:rPr>
              <w:t>芸苔素内酯</w:t>
            </w:r>
          </w:p>
        </w:tc>
        <w:tc>
          <w:tcPr>
            <w:tcW w:w="1078" w:type="dxa"/>
            <w:shd w:val="clear" w:color="auto" w:fill="auto"/>
            <w:noWrap w:val="0"/>
            <w:vAlign w:val="center"/>
          </w:tcPr>
          <w:p w14:paraId="357422EF">
            <w:pPr>
              <w:jc w:val="center"/>
              <w:rPr>
                <w:rFonts w:hint="default"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水剂或可溶液剂</w:t>
            </w:r>
          </w:p>
        </w:tc>
        <w:tc>
          <w:tcPr>
            <w:tcW w:w="811" w:type="dxa"/>
            <w:shd w:val="clear" w:color="auto" w:fill="auto"/>
            <w:noWrap w:val="0"/>
            <w:vAlign w:val="center"/>
          </w:tcPr>
          <w:p w14:paraId="06D1755A">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shd w:val="clear" w:color="auto" w:fill="auto"/>
            <w:noWrap w:val="0"/>
            <w:vAlign w:val="center"/>
          </w:tcPr>
          <w:p w14:paraId="572719CB">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耐逆、缓药害、促灌浆</w:t>
            </w:r>
          </w:p>
        </w:tc>
        <w:tc>
          <w:tcPr>
            <w:tcW w:w="1068" w:type="dxa"/>
            <w:shd w:val="clear" w:color="auto" w:fill="auto"/>
            <w:noWrap w:val="0"/>
            <w:vAlign w:val="center"/>
          </w:tcPr>
          <w:p w14:paraId="6431AF7B">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10ml</w:t>
            </w:r>
          </w:p>
        </w:tc>
      </w:tr>
      <w:tr w14:paraId="0941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074741FE">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2</w:t>
            </w:r>
          </w:p>
        </w:tc>
        <w:tc>
          <w:tcPr>
            <w:tcW w:w="1079" w:type="dxa"/>
            <w:shd w:val="clear" w:color="auto" w:fill="auto"/>
            <w:noWrap w:val="0"/>
            <w:vAlign w:val="center"/>
          </w:tcPr>
          <w:p w14:paraId="479FE742">
            <w:pPr>
              <w:jc w:val="center"/>
              <w:rPr>
                <w:rFonts w:hint="eastAsia" w:ascii="宋体" w:hAnsi="宋体" w:eastAsia="宋体" w:cs="Times New Roman"/>
                <w:color w:val="000000"/>
                <w:szCs w:val="21"/>
                <w:highlight w:val="none"/>
              </w:rPr>
            </w:pPr>
            <w:r>
              <w:rPr>
                <w:rFonts w:hint="eastAsia" w:ascii="宋体" w:hAnsi="宋体" w:cs="Times New Roman"/>
                <w:color w:val="000000"/>
                <w:szCs w:val="21"/>
                <w:highlight w:val="none"/>
                <w:lang w:eastAsia="zh-CN"/>
              </w:rPr>
              <w:t>植物生长调节剂</w:t>
            </w:r>
          </w:p>
        </w:tc>
        <w:tc>
          <w:tcPr>
            <w:tcW w:w="1964" w:type="dxa"/>
            <w:shd w:val="clear" w:color="auto" w:fill="auto"/>
            <w:noWrap w:val="0"/>
            <w:vAlign w:val="center"/>
          </w:tcPr>
          <w:p w14:paraId="13C77933">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0.01% 14‑羟基芸苔素甾醇</w:t>
            </w:r>
          </w:p>
        </w:tc>
        <w:tc>
          <w:tcPr>
            <w:tcW w:w="1078" w:type="dxa"/>
            <w:shd w:val="clear" w:color="auto" w:fill="auto"/>
            <w:noWrap w:val="0"/>
            <w:vAlign w:val="center"/>
          </w:tcPr>
          <w:p w14:paraId="60CF155C">
            <w:pPr>
              <w:jc w:val="center"/>
              <w:rPr>
                <w:rFonts w:hint="eastAsia" w:ascii="宋体" w:hAnsi="宋体" w:cs="Times New Roman"/>
                <w:color w:val="000000"/>
                <w:szCs w:val="21"/>
                <w:highlight w:val="none"/>
                <w:lang w:val="en-US" w:eastAsia="zh-CN"/>
              </w:rPr>
            </w:pPr>
            <w:r>
              <w:rPr>
                <w:rFonts w:hint="eastAsia" w:ascii="宋体" w:hAnsi="宋体" w:cs="Times New Roman"/>
                <w:color w:val="000000"/>
                <w:kern w:val="2"/>
                <w:sz w:val="21"/>
                <w:szCs w:val="21"/>
                <w:highlight w:val="none"/>
                <w:lang w:val="en-US" w:eastAsia="zh-CN" w:bidi="ar-SA"/>
              </w:rPr>
              <w:t>可溶液剂</w:t>
            </w:r>
          </w:p>
        </w:tc>
        <w:tc>
          <w:tcPr>
            <w:tcW w:w="811" w:type="dxa"/>
            <w:shd w:val="clear" w:color="auto" w:fill="auto"/>
            <w:noWrap w:val="0"/>
            <w:vAlign w:val="center"/>
          </w:tcPr>
          <w:p w14:paraId="5714378B">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shd w:val="clear" w:color="auto" w:fill="auto"/>
            <w:noWrap w:val="0"/>
            <w:vAlign w:val="center"/>
          </w:tcPr>
          <w:p w14:paraId="547C54D7">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抗低温冷害，延缓叶片衰老，促灌浆</w:t>
            </w:r>
          </w:p>
        </w:tc>
        <w:tc>
          <w:tcPr>
            <w:tcW w:w="1068" w:type="dxa"/>
            <w:shd w:val="clear" w:color="auto" w:fill="auto"/>
            <w:noWrap w:val="0"/>
            <w:vAlign w:val="center"/>
          </w:tcPr>
          <w:p w14:paraId="6C1850BF">
            <w:pPr>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7.5-10克</w:t>
            </w:r>
          </w:p>
        </w:tc>
      </w:tr>
      <w:tr w14:paraId="6ED5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56FA56CB">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3</w:t>
            </w:r>
          </w:p>
        </w:tc>
        <w:tc>
          <w:tcPr>
            <w:tcW w:w="1079" w:type="dxa"/>
            <w:shd w:val="clear" w:color="auto" w:fill="auto"/>
            <w:noWrap w:val="0"/>
            <w:vAlign w:val="center"/>
          </w:tcPr>
          <w:p w14:paraId="244C2405">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叶面肥</w:t>
            </w:r>
          </w:p>
        </w:tc>
        <w:tc>
          <w:tcPr>
            <w:tcW w:w="1964" w:type="dxa"/>
            <w:shd w:val="clear" w:color="auto" w:fill="auto"/>
            <w:noWrap w:val="0"/>
            <w:vAlign w:val="center"/>
          </w:tcPr>
          <w:p w14:paraId="7EFDE345">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大量元素水溶肥</w:t>
            </w:r>
          </w:p>
        </w:tc>
        <w:tc>
          <w:tcPr>
            <w:tcW w:w="1078" w:type="dxa"/>
            <w:shd w:val="clear" w:color="auto" w:fill="auto"/>
            <w:noWrap w:val="0"/>
            <w:vAlign w:val="center"/>
          </w:tcPr>
          <w:p w14:paraId="081D32F8">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水剂</w:t>
            </w:r>
          </w:p>
        </w:tc>
        <w:tc>
          <w:tcPr>
            <w:tcW w:w="811" w:type="dxa"/>
            <w:shd w:val="clear" w:color="auto" w:fill="auto"/>
            <w:noWrap w:val="0"/>
            <w:vAlign w:val="center"/>
          </w:tcPr>
          <w:p w14:paraId="7765A998">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shd w:val="clear" w:color="auto" w:fill="auto"/>
            <w:noWrap w:val="0"/>
            <w:vAlign w:val="center"/>
          </w:tcPr>
          <w:p w14:paraId="19418F24">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补充营养、增粒重，防早衰</w:t>
            </w:r>
          </w:p>
        </w:tc>
        <w:tc>
          <w:tcPr>
            <w:tcW w:w="1068" w:type="dxa"/>
            <w:shd w:val="clear" w:color="auto" w:fill="auto"/>
            <w:noWrap w:val="0"/>
            <w:vAlign w:val="center"/>
          </w:tcPr>
          <w:p w14:paraId="67AC89AD">
            <w:pPr>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30-33ml</w:t>
            </w:r>
          </w:p>
        </w:tc>
      </w:tr>
      <w:tr w14:paraId="115C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1126F56A">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4</w:t>
            </w:r>
          </w:p>
        </w:tc>
        <w:tc>
          <w:tcPr>
            <w:tcW w:w="1079" w:type="dxa"/>
            <w:shd w:val="clear" w:color="auto" w:fill="auto"/>
            <w:noWrap w:val="0"/>
            <w:vAlign w:val="center"/>
          </w:tcPr>
          <w:p w14:paraId="3FDF4EBE">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叶面肥</w:t>
            </w:r>
          </w:p>
        </w:tc>
        <w:tc>
          <w:tcPr>
            <w:tcW w:w="1964" w:type="dxa"/>
            <w:shd w:val="clear" w:color="auto" w:fill="auto"/>
            <w:noWrap w:val="0"/>
            <w:vAlign w:val="center"/>
          </w:tcPr>
          <w:p w14:paraId="33C1F74F">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含氨基酸水溶肥</w:t>
            </w:r>
          </w:p>
        </w:tc>
        <w:tc>
          <w:tcPr>
            <w:tcW w:w="1078" w:type="dxa"/>
            <w:shd w:val="clear" w:color="auto" w:fill="auto"/>
            <w:noWrap w:val="0"/>
            <w:vAlign w:val="center"/>
          </w:tcPr>
          <w:p w14:paraId="748FDE78">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水剂</w:t>
            </w:r>
          </w:p>
        </w:tc>
        <w:tc>
          <w:tcPr>
            <w:tcW w:w="811" w:type="dxa"/>
            <w:shd w:val="clear" w:color="auto" w:fill="auto"/>
            <w:noWrap w:val="0"/>
            <w:vAlign w:val="center"/>
          </w:tcPr>
          <w:p w14:paraId="5665EF17">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shd w:val="clear" w:color="auto" w:fill="auto"/>
            <w:noWrap w:val="0"/>
            <w:vAlign w:val="center"/>
          </w:tcPr>
          <w:p w14:paraId="2431BB0B">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补充营养、增粒重，防早衰</w:t>
            </w:r>
          </w:p>
        </w:tc>
        <w:tc>
          <w:tcPr>
            <w:tcW w:w="1068" w:type="dxa"/>
            <w:shd w:val="clear" w:color="auto" w:fill="auto"/>
            <w:noWrap w:val="0"/>
            <w:vAlign w:val="center"/>
          </w:tcPr>
          <w:p w14:paraId="20074D13">
            <w:pPr>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12-13ml</w:t>
            </w:r>
          </w:p>
        </w:tc>
      </w:tr>
      <w:tr w14:paraId="116E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38FF81C9">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5</w:t>
            </w:r>
          </w:p>
        </w:tc>
        <w:tc>
          <w:tcPr>
            <w:tcW w:w="1079" w:type="dxa"/>
            <w:shd w:val="clear" w:color="auto" w:fill="auto"/>
            <w:noWrap w:val="0"/>
            <w:vAlign w:val="center"/>
          </w:tcPr>
          <w:p w14:paraId="6AAE68A1">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叶面肥</w:t>
            </w:r>
          </w:p>
        </w:tc>
        <w:tc>
          <w:tcPr>
            <w:tcW w:w="1964" w:type="dxa"/>
            <w:shd w:val="clear" w:color="auto" w:fill="auto"/>
            <w:noWrap w:val="0"/>
            <w:vAlign w:val="center"/>
          </w:tcPr>
          <w:p w14:paraId="20357F78">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99%磷酸二氢钾</w:t>
            </w:r>
          </w:p>
        </w:tc>
        <w:tc>
          <w:tcPr>
            <w:tcW w:w="1078" w:type="dxa"/>
            <w:shd w:val="clear" w:color="auto" w:fill="auto"/>
            <w:noWrap w:val="0"/>
            <w:vAlign w:val="center"/>
          </w:tcPr>
          <w:p w14:paraId="20A1F658">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粉剂</w:t>
            </w:r>
          </w:p>
        </w:tc>
        <w:tc>
          <w:tcPr>
            <w:tcW w:w="811" w:type="dxa"/>
            <w:shd w:val="clear" w:color="auto" w:fill="auto"/>
            <w:noWrap w:val="0"/>
            <w:vAlign w:val="center"/>
          </w:tcPr>
          <w:p w14:paraId="0986AF77">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eastAsia="zh-CN"/>
              </w:rPr>
              <w:t>水稻</w:t>
            </w:r>
          </w:p>
        </w:tc>
        <w:tc>
          <w:tcPr>
            <w:tcW w:w="1560" w:type="dxa"/>
            <w:shd w:val="clear" w:color="auto" w:fill="auto"/>
            <w:noWrap w:val="0"/>
            <w:vAlign w:val="center"/>
          </w:tcPr>
          <w:p w14:paraId="00FD9584">
            <w:pPr>
              <w:jc w:val="center"/>
              <w:rPr>
                <w:rFonts w:hint="eastAsia" w:ascii="宋体" w:hAnsi="宋体" w:cs="Times New Roman"/>
                <w:color w:val="000000"/>
                <w:szCs w:val="21"/>
                <w:highlight w:val="none"/>
                <w:lang w:eastAsia="zh-CN"/>
              </w:rPr>
            </w:pPr>
            <w:r>
              <w:rPr>
                <w:rFonts w:hint="eastAsia" w:ascii="宋体" w:hAnsi="宋体" w:cs="Times New Roman"/>
                <w:color w:val="000000"/>
                <w:szCs w:val="21"/>
                <w:highlight w:val="none"/>
                <w:lang w:val="en-US" w:eastAsia="zh-CN"/>
              </w:rPr>
              <w:t>壮秆抗倒、增粒重，防早衰</w:t>
            </w:r>
          </w:p>
        </w:tc>
        <w:tc>
          <w:tcPr>
            <w:tcW w:w="1068" w:type="dxa"/>
            <w:shd w:val="clear" w:color="auto" w:fill="auto"/>
            <w:noWrap w:val="0"/>
            <w:vAlign w:val="center"/>
          </w:tcPr>
          <w:p w14:paraId="34E9F83D">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50g</w:t>
            </w:r>
          </w:p>
        </w:tc>
      </w:tr>
      <w:tr w14:paraId="63EF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40BD35B4">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rPr>
              <w:t>6</w:t>
            </w:r>
          </w:p>
        </w:tc>
        <w:tc>
          <w:tcPr>
            <w:tcW w:w="1079" w:type="dxa"/>
            <w:noWrap w:val="0"/>
            <w:vAlign w:val="center"/>
          </w:tcPr>
          <w:p w14:paraId="0FB4C6AF">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叶面肥</w:t>
            </w:r>
          </w:p>
        </w:tc>
        <w:tc>
          <w:tcPr>
            <w:tcW w:w="1964" w:type="dxa"/>
            <w:shd w:val="clear" w:color="auto" w:fill="auto"/>
            <w:noWrap w:val="0"/>
            <w:vAlign w:val="center"/>
          </w:tcPr>
          <w:p w14:paraId="4AE5BA75">
            <w:pPr>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等离子物理制剂</w:t>
            </w:r>
          </w:p>
        </w:tc>
        <w:tc>
          <w:tcPr>
            <w:tcW w:w="1078" w:type="dxa"/>
            <w:noWrap w:val="0"/>
            <w:vAlign w:val="center"/>
          </w:tcPr>
          <w:p w14:paraId="3B47656C">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水剂</w:t>
            </w:r>
          </w:p>
        </w:tc>
        <w:tc>
          <w:tcPr>
            <w:tcW w:w="811" w:type="dxa"/>
            <w:noWrap w:val="0"/>
            <w:vAlign w:val="center"/>
          </w:tcPr>
          <w:p w14:paraId="1D720120">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noWrap w:val="0"/>
            <w:vAlign w:val="center"/>
          </w:tcPr>
          <w:p w14:paraId="3872F4F7">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抗耐，促灾后恢复，防早衰</w:t>
            </w:r>
          </w:p>
        </w:tc>
        <w:tc>
          <w:tcPr>
            <w:tcW w:w="1068" w:type="dxa"/>
            <w:noWrap w:val="0"/>
            <w:vAlign w:val="center"/>
          </w:tcPr>
          <w:p w14:paraId="7F628D26">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8-10ml</w:t>
            </w:r>
          </w:p>
        </w:tc>
      </w:tr>
      <w:tr w14:paraId="743D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7222E76A">
            <w:pPr>
              <w:jc w:val="center"/>
              <w:rPr>
                <w:rFonts w:hint="eastAsia"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7</w:t>
            </w:r>
          </w:p>
        </w:tc>
        <w:tc>
          <w:tcPr>
            <w:tcW w:w="1079" w:type="dxa"/>
            <w:noWrap w:val="0"/>
            <w:vAlign w:val="center"/>
          </w:tcPr>
          <w:p w14:paraId="486A5BD3">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叶面肥</w:t>
            </w:r>
          </w:p>
        </w:tc>
        <w:tc>
          <w:tcPr>
            <w:tcW w:w="1964" w:type="dxa"/>
            <w:shd w:val="clear" w:color="auto" w:fill="auto"/>
            <w:noWrap w:val="0"/>
            <w:vAlign w:val="center"/>
          </w:tcPr>
          <w:p w14:paraId="7ADD72C2">
            <w:pPr>
              <w:jc w:val="center"/>
              <w:rPr>
                <w:rFonts w:hint="eastAsia" w:ascii="宋体" w:hAnsi="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微量元素水溶肥</w:t>
            </w:r>
          </w:p>
        </w:tc>
        <w:tc>
          <w:tcPr>
            <w:tcW w:w="1078" w:type="dxa"/>
            <w:noWrap w:val="0"/>
            <w:vAlign w:val="center"/>
          </w:tcPr>
          <w:p w14:paraId="56E249C2">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水剂</w:t>
            </w:r>
          </w:p>
        </w:tc>
        <w:tc>
          <w:tcPr>
            <w:tcW w:w="811" w:type="dxa"/>
            <w:noWrap w:val="0"/>
            <w:vAlign w:val="center"/>
          </w:tcPr>
          <w:p w14:paraId="492BEFDC">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水稻</w:t>
            </w:r>
          </w:p>
        </w:tc>
        <w:tc>
          <w:tcPr>
            <w:tcW w:w="1560" w:type="dxa"/>
            <w:noWrap w:val="0"/>
            <w:vAlign w:val="center"/>
          </w:tcPr>
          <w:p w14:paraId="2AE72321">
            <w:pPr>
              <w:jc w:val="center"/>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保叶增绿，增粒重，防早衰</w:t>
            </w:r>
          </w:p>
        </w:tc>
        <w:tc>
          <w:tcPr>
            <w:tcW w:w="1068" w:type="dxa"/>
            <w:noWrap w:val="0"/>
            <w:vAlign w:val="center"/>
          </w:tcPr>
          <w:p w14:paraId="32E2CE8E">
            <w:pPr>
              <w:jc w:val="center"/>
              <w:rPr>
                <w:rFonts w:hint="default"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20-30ml</w:t>
            </w:r>
          </w:p>
        </w:tc>
      </w:tr>
      <w:tr w14:paraId="2C53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55" w:type="dxa"/>
            <w:shd w:val="clear" w:color="auto" w:fill="auto"/>
            <w:noWrap w:val="0"/>
            <w:vAlign w:val="center"/>
          </w:tcPr>
          <w:p w14:paraId="056BE7F7">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cs="Times New Roman"/>
                <w:color w:val="000000"/>
                <w:szCs w:val="21"/>
                <w:highlight w:val="none"/>
                <w:lang w:val="en-US" w:eastAsia="zh-CN"/>
              </w:rPr>
              <w:t>8</w:t>
            </w:r>
          </w:p>
        </w:tc>
        <w:tc>
          <w:tcPr>
            <w:tcW w:w="1079" w:type="dxa"/>
            <w:noWrap w:val="0"/>
            <w:vAlign w:val="center"/>
          </w:tcPr>
          <w:p w14:paraId="6E006CC0">
            <w:pPr>
              <w:jc w:val="center"/>
              <w:rPr>
                <w:rFonts w:hint="eastAsia" w:ascii="宋体" w:hAnsi="宋体" w:eastAsia="宋体" w:cs="Times New Roman"/>
                <w:color w:val="000000"/>
                <w:szCs w:val="21"/>
                <w:highlight w:val="none"/>
              </w:rPr>
            </w:pPr>
            <w:r>
              <w:rPr>
                <w:rFonts w:hint="eastAsia" w:ascii="宋体" w:hAnsi="宋体" w:cs="Times New Roman"/>
                <w:color w:val="000000"/>
                <w:szCs w:val="21"/>
                <w:highlight w:val="none"/>
                <w:lang w:eastAsia="zh-CN"/>
              </w:rPr>
              <w:t>作业</w:t>
            </w:r>
            <w:r>
              <w:rPr>
                <w:rFonts w:hint="eastAsia" w:ascii="宋体" w:hAnsi="宋体" w:eastAsia="宋体" w:cs="Times New Roman"/>
                <w:color w:val="000000"/>
                <w:szCs w:val="21"/>
                <w:highlight w:val="none"/>
              </w:rPr>
              <w:t>服务</w:t>
            </w:r>
          </w:p>
        </w:tc>
        <w:tc>
          <w:tcPr>
            <w:tcW w:w="1964" w:type="dxa"/>
            <w:shd w:val="clear" w:color="auto" w:fill="auto"/>
            <w:noWrap w:val="0"/>
            <w:vAlign w:val="center"/>
          </w:tcPr>
          <w:p w14:paraId="723B45A9">
            <w:pPr>
              <w:jc w:val="center"/>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无人机喷施服务</w:t>
            </w:r>
          </w:p>
        </w:tc>
        <w:tc>
          <w:tcPr>
            <w:tcW w:w="1078" w:type="dxa"/>
            <w:noWrap w:val="0"/>
            <w:vAlign w:val="center"/>
          </w:tcPr>
          <w:p w14:paraId="512DEE2A">
            <w:pPr>
              <w:jc w:val="center"/>
              <w:rPr>
                <w:rFonts w:hint="eastAsia" w:ascii="宋体" w:hAnsi="宋体" w:eastAsia="宋体" w:cs="Times New Roman"/>
                <w:color w:val="000000"/>
                <w:szCs w:val="21"/>
                <w:highlight w:val="none"/>
              </w:rPr>
            </w:pPr>
          </w:p>
        </w:tc>
        <w:tc>
          <w:tcPr>
            <w:tcW w:w="811" w:type="dxa"/>
            <w:noWrap w:val="0"/>
            <w:vAlign w:val="center"/>
          </w:tcPr>
          <w:p w14:paraId="2159A510">
            <w:pPr>
              <w:jc w:val="center"/>
              <w:rPr>
                <w:rFonts w:hint="eastAsia" w:ascii="宋体" w:hAnsi="宋体" w:eastAsia="宋体" w:cs="Times New Roman"/>
                <w:color w:val="000000"/>
                <w:szCs w:val="21"/>
                <w:highlight w:val="none"/>
              </w:rPr>
            </w:pPr>
          </w:p>
        </w:tc>
        <w:tc>
          <w:tcPr>
            <w:tcW w:w="1560" w:type="dxa"/>
            <w:noWrap w:val="0"/>
            <w:vAlign w:val="center"/>
          </w:tcPr>
          <w:p w14:paraId="459BE7A5">
            <w:pPr>
              <w:jc w:val="center"/>
              <w:rPr>
                <w:rFonts w:hint="eastAsia" w:ascii="宋体" w:hAnsi="宋体" w:eastAsia="宋体" w:cs="Times New Roman"/>
                <w:color w:val="000000"/>
                <w:szCs w:val="21"/>
                <w:highlight w:val="none"/>
              </w:rPr>
            </w:pPr>
          </w:p>
        </w:tc>
        <w:tc>
          <w:tcPr>
            <w:tcW w:w="1068" w:type="dxa"/>
            <w:noWrap w:val="0"/>
            <w:vAlign w:val="center"/>
          </w:tcPr>
          <w:p w14:paraId="7ED86675">
            <w:pPr>
              <w:jc w:val="center"/>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1次</w:t>
            </w:r>
          </w:p>
        </w:tc>
      </w:tr>
    </w:tbl>
    <w:p w14:paraId="30623907">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2.2</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eastAsia="zh-CN"/>
        </w:rPr>
        <w:t>科学安全喷施。</w:t>
      </w:r>
    </w:p>
    <w:p w14:paraId="7DEF8615">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喷施作业时，风速应小于3级风，风力偏大立即停止作业。气温不宜超过30°C，在上午10点前或下午4时后进行，避开正午高温时段，高温季节可开展夜间作业。晚稻抽穗扬花期只在下午4点后喷施，避免伤害花粉造成空壳增多。施药后24小时内如遇到中到大雨，要及时补喷。施药前后田间保持浅水或湿润，干旱丘块先灌水调墒再喷施。植保无人机作业</w:t>
      </w:r>
      <w:r>
        <w:rPr>
          <w:rFonts w:hint="eastAsia" w:ascii="宋体" w:hAnsi="宋体" w:cs="宋体"/>
          <w:szCs w:val="21"/>
          <w:highlight w:val="none"/>
          <w:lang w:eastAsia="zh-CN"/>
        </w:rPr>
        <w:t>时，</w:t>
      </w:r>
      <w:r>
        <w:rPr>
          <w:rFonts w:hint="eastAsia" w:ascii="宋体" w:hAnsi="宋体" w:eastAsia="宋体" w:cs="宋体"/>
          <w:szCs w:val="21"/>
          <w:highlight w:val="none"/>
          <w:lang w:eastAsia="zh-CN"/>
        </w:rPr>
        <w:t>飞行速度控制在4-6m/s，飞行距稻丛冠层高度因机型适当调整，载荷量＜50L的飞行高度2-3m，载荷量≥50L的飞行高度2.5-4m。作业实施过程中，需添加有机硅、植物油类等沉降和渗透助剂。飞防每亩药液量不少于5L，严禁超低容量作业，禁止重喷、漏喷。喷施前提前公告周边农户，避开鱼塘、蜜蜂养殖区和桑园、蔬菜、瓜果种植区，防止药液飘移中毒。作业后5-7天必须下田检查防效，不理想田块立即补防。</w:t>
      </w:r>
    </w:p>
    <w:p w14:paraId="4875357F">
      <w:pPr>
        <w:adjustRightInd w:val="0"/>
        <w:snapToGrid w:val="0"/>
        <w:spacing w:line="360" w:lineRule="auto"/>
        <w:ind w:firstLine="422" w:firstLineChars="200"/>
        <w:rPr>
          <w:rFonts w:hint="default" w:ascii="宋体" w:hAnsi="宋体" w:eastAsia="宋体" w:cs="Times New Roman"/>
          <w:b/>
          <w:highlight w:val="none"/>
          <w:lang w:val="en-US" w:eastAsia="zh-CN"/>
        </w:rPr>
      </w:pPr>
      <w:r>
        <w:rPr>
          <w:rFonts w:hint="eastAsia" w:ascii="宋体" w:hAnsi="宋体" w:eastAsia="宋体" w:cs="Times New Roman"/>
          <w:b/>
          <w:highlight w:val="none"/>
          <w:lang w:val="en-US" w:eastAsia="zh-CN"/>
        </w:rPr>
        <w:t>3、其他要求</w:t>
      </w:r>
    </w:p>
    <w:p w14:paraId="4B993390">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w:t>
      </w:r>
      <w:r>
        <w:rPr>
          <w:rFonts w:hint="eastAsia" w:ascii="宋体" w:hAnsi="宋体" w:eastAsia="宋体" w:cs="宋体"/>
          <w:szCs w:val="21"/>
          <w:highlight w:val="none"/>
          <w:lang w:val="en-US" w:eastAsia="zh-CN"/>
        </w:rPr>
        <w:t>本项目需投入植保无人机不少于3台和无人机操作人员3名，</w:t>
      </w:r>
      <w:r>
        <w:rPr>
          <w:rFonts w:hint="eastAsia" w:ascii="宋体" w:hAnsi="宋体" w:eastAsia="宋体" w:cs="宋体"/>
          <w:szCs w:val="21"/>
          <w:highlight w:val="none"/>
          <w:lang w:eastAsia="zh-CN"/>
        </w:rPr>
        <w:t>无人飞机的操作人员须经过专业培训，并通过考核取得操作手合格证</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作业过程中须穿戴安全装备</w:t>
      </w:r>
      <w:r>
        <w:rPr>
          <w:rFonts w:hint="eastAsia" w:ascii="宋体" w:hAnsi="宋体" w:cs="宋体"/>
          <w:szCs w:val="21"/>
          <w:highlight w:val="none"/>
          <w:lang w:eastAsia="zh-CN"/>
        </w:rPr>
        <w:t>，严禁酒后、疲劳、服药或身体不适时作业</w:t>
      </w:r>
      <w:r>
        <w:rPr>
          <w:rFonts w:hint="eastAsia" w:ascii="宋体" w:hAnsi="宋体" w:eastAsia="宋体" w:cs="宋体"/>
          <w:szCs w:val="21"/>
          <w:highlight w:val="none"/>
          <w:lang w:eastAsia="zh-CN"/>
        </w:rPr>
        <w:t>。</w:t>
      </w:r>
    </w:p>
    <w:p w14:paraId="5467F234">
      <w:pPr>
        <w:adjustRightInd w:val="0"/>
        <w:snapToGrid w:val="0"/>
        <w:spacing w:line="360" w:lineRule="auto"/>
        <w:ind w:firstLine="420" w:firstLineChars="200"/>
        <w:rPr>
          <w:rFonts w:hint="eastAsia" w:ascii="宋体" w:hAnsi="宋体" w:cs="宋体"/>
          <w:szCs w:val="21"/>
          <w:highlight w:val="none"/>
          <w:lang w:eastAsia="zh-CN"/>
        </w:rPr>
      </w:pPr>
      <w:r>
        <w:rPr>
          <w:rFonts w:hint="eastAsia" w:ascii="宋体" w:hAnsi="宋体" w:cs="宋体"/>
          <w:szCs w:val="21"/>
          <w:highlight w:val="none"/>
          <w:lang w:val="en-US" w:eastAsia="zh-CN"/>
        </w:rPr>
        <w:t>2.</w:t>
      </w:r>
      <w:r>
        <w:rPr>
          <w:rFonts w:hint="eastAsia" w:ascii="宋体" w:hAnsi="宋体" w:eastAsia="宋体" w:cs="宋体"/>
          <w:szCs w:val="21"/>
          <w:highlight w:val="none"/>
          <w:lang w:eastAsia="zh-CN"/>
        </w:rPr>
        <w:t>投标供应商</w:t>
      </w:r>
      <w:r>
        <w:rPr>
          <w:rFonts w:hint="eastAsia" w:ascii="宋体" w:hAnsi="宋体" w:cs="宋体"/>
          <w:szCs w:val="21"/>
          <w:highlight w:val="none"/>
          <w:lang w:eastAsia="zh-CN"/>
        </w:rPr>
        <w:t>为农业公司，需提供营业执照（经营范围包含病虫害防治、农业服务或相关内容）、农药经营许可证。</w:t>
      </w:r>
      <w:r>
        <w:rPr>
          <w:rFonts w:hint="eastAsia" w:ascii="宋体" w:hAnsi="宋体" w:eastAsia="宋体" w:cs="宋体"/>
          <w:szCs w:val="21"/>
          <w:highlight w:val="none"/>
          <w:lang w:eastAsia="zh-CN"/>
        </w:rPr>
        <w:t>投标供应商</w:t>
      </w:r>
      <w:r>
        <w:rPr>
          <w:rFonts w:hint="eastAsia" w:ascii="宋体" w:hAnsi="宋体" w:cs="宋体"/>
          <w:szCs w:val="21"/>
          <w:highlight w:val="none"/>
          <w:lang w:eastAsia="zh-CN"/>
        </w:rPr>
        <w:t>为专业化统防统治服务组织，需提供营业执照（或备案登记证明）、湖南省农作物病虫害专业化统防统治服务组织标志使用授权书</w:t>
      </w:r>
      <w:r>
        <w:rPr>
          <w:rFonts w:hint="eastAsia" w:ascii="宋体" w:hAnsi="宋体" w:cs="宋体"/>
          <w:szCs w:val="21"/>
          <w:highlight w:val="none"/>
          <w:lang w:val="en-US" w:eastAsia="zh-CN"/>
        </w:rPr>
        <w:t>(</w:t>
      </w:r>
      <w:r>
        <w:rPr>
          <w:rFonts w:hint="eastAsia" w:ascii="宋体" w:hAnsi="宋体" w:cs="宋体"/>
          <w:szCs w:val="21"/>
          <w:highlight w:val="none"/>
          <w:lang w:eastAsia="zh-CN"/>
        </w:rPr>
        <w:t>或近</w:t>
      </w:r>
      <w:r>
        <w:rPr>
          <w:rFonts w:hint="eastAsia" w:ascii="宋体" w:hAnsi="宋体" w:cs="宋体"/>
          <w:szCs w:val="21"/>
          <w:highlight w:val="none"/>
          <w:lang w:val="en-US" w:eastAsia="zh-CN"/>
        </w:rPr>
        <w:t>年</w:t>
      </w:r>
      <w:r>
        <w:rPr>
          <w:rFonts w:hint="eastAsia" w:ascii="宋体" w:hAnsi="宋体" w:cs="宋体"/>
          <w:szCs w:val="21"/>
          <w:highlight w:val="none"/>
          <w:lang w:eastAsia="zh-CN"/>
        </w:rPr>
        <w:t>在全国植保植检信息管理系统备案的证明材料</w:t>
      </w:r>
      <w:r>
        <w:rPr>
          <w:rFonts w:hint="eastAsia" w:ascii="宋体" w:hAnsi="宋体" w:cs="宋体"/>
          <w:szCs w:val="21"/>
          <w:highlight w:val="none"/>
          <w:lang w:val="en-US" w:eastAsia="zh-CN"/>
        </w:rPr>
        <w:t>)</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投标供应商</w:t>
      </w:r>
      <w:r>
        <w:rPr>
          <w:rFonts w:hint="eastAsia" w:ascii="宋体" w:hAnsi="宋体" w:cs="宋体"/>
          <w:szCs w:val="21"/>
          <w:highlight w:val="none"/>
          <w:lang w:eastAsia="zh-CN"/>
        </w:rPr>
        <w:t>需提供单位的资信证明、无重大违法记录声明。</w:t>
      </w:r>
    </w:p>
    <w:p w14:paraId="60C1EF5A">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3</w:t>
      </w:r>
      <w:r>
        <w:rPr>
          <w:rFonts w:hint="eastAsia" w:ascii="宋体" w:hAnsi="宋体" w:eastAsia="宋体" w:cs="宋体"/>
          <w:szCs w:val="21"/>
          <w:highlight w:val="none"/>
          <w:lang w:eastAsia="zh-CN"/>
        </w:rPr>
        <w:t>.投标供应商须对实施喷洒的区域航线、流量、高度及喷洒面积进行监督追溯；留存每一个区域的现场作业影像、无人机作业轨迹、图片资料以及区域配药肥方案、日作业台帐、物资发放记录等相关佐证材料，作为验收凭证。</w:t>
      </w:r>
    </w:p>
    <w:p w14:paraId="7E87D987">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CN"/>
        </w:rPr>
        <w:t>.供应商</w:t>
      </w:r>
      <w:r>
        <w:rPr>
          <w:rFonts w:hint="eastAsia" w:ascii="宋体" w:hAnsi="宋体" w:eastAsia="宋体" w:cs="宋体"/>
          <w:szCs w:val="21"/>
          <w:highlight w:val="none"/>
          <w:lang w:val="en-US" w:eastAsia="zh-CN"/>
        </w:rPr>
        <w:t>所投产品中</w:t>
      </w:r>
      <w:r>
        <w:rPr>
          <w:rFonts w:hint="eastAsia" w:ascii="宋体" w:hAnsi="宋体" w:cs="宋体"/>
          <w:szCs w:val="21"/>
          <w:highlight w:val="none"/>
          <w:lang w:val="en-US" w:eastAsia="zh-CN"/>
        </w:rPr>
        <w:t>植物生长调节剂、抗</w:t>
      </w:r>
      <w:r>
        <w:rPr>
          <w:rFonts w:hint="eastAsia" w:ascii="宋体" w:hAnsi="宋体" w:eastAsia="宋体" w:cs="宋体"/>
          <w:szCs w:val="21"/>
          <w:highlight w:val="none"/>
          <w:lang w:val="en-US" w:eastAsia="zh-CN"/>
        </w:rPr>
        <w:t>逆</w:t>
      </w:r>
      <w:r>
        <w:rPr>
          <w:rFonts w:hint="eastAsia" w:ascii="宋体" w:hAnsi="宋体" w:cs="宋体"/>
          <w:szCs w:val="21"/>
          <w:highlight w:val="none"/>
          <w:lang w:val="en-US" w:eastAsia="zh-CN"/>
        </w:rPr>
        <w:t>剂</w:t>
      </w:r>
      <w:r>
        <w:rPr>
          <w:rFonts w:hint="eastAsia" w:ascii="宋体" w:hAnsi="宋体" w:eastAsia="宋体" w:cs="宋体"/>
          <w:szCs w:val="21"/>
          <w:highlight w:val="none"/>
          <w:lang w:eastAsia="zh-CN"/>
        </w:rPr>
        <w:t>须</w:t>
      </w:r>
      <w:r>
        <w:rPr>
          <w:rFonts w:hint="eastAsia" w:ascii="宋体" w:hAnsi="宋体" w:eastAsia="宋体" w:cs="宋体"/>
          <w:szCs w:val="21"/>
          <w:highlight w:val="none"/>
          <w:lang w:val="en-US" w:eastAsia="zh-CN"/>
        </w:rPr>
        <w:t>提供</w:t>
      </w:r>
      <w:r>
        <w:rPr>
          <w:rFonts w:hint="eastAsia" w:ascii="宋体" w:hAnsi="宋体" w:eastAsia="宋体" w:cs="宋体"/>
          <w:szCs w:val="21"/>
          <w:highlight w:val="none"/>
          <w:lang w:eastAsia="zh-CN"/>
        </w:rPr>
        <w:t>三证(农药生产许可证、农药标准证和农药登记证)、产品检测报告，叶面肥等需提供</w:t>
      </w:r>
      <w:r>
        <w:rPr>
          <w:rFonts w:hint="eastAsia" w:ascii="宋体" w:hAnsi="宋体" w:cs="宋体"/>
          <w:szCs w:val="21"/>
          <w:highlight w:val="none"/>
          <w:lang w:eastAsia="zh-CN"/>
        </w:rPr>
        <w:t>产品登记证或备案号、</w:t>
      </w:r>
      <w:r>
        <w:rPr>
          <w:rFonts w:hint="eastAsia" w:ascii="宋体" w:hAnsi="宋体" w:eastAsia="宋体" w:cs="宋体"/>
          <w:szCs w:val="21"/>
          <w:highlight w:val="none"/>
          <w:lang w:eastAsia="zh-CN"/>
        </w:rPr>
        <w:t>产品合格证，以上资料均需加盖生产厂家公章。提供</w:t>
      </w:r>
      <w:r>
        <w:rPr>
          <w:rFonts w:hint="eastAsia" w:ascii="宋体" w:hAnsi="宋体" w:eastAsia="宋体" w:cs="宋体"/>
          <w:szCs w:val="21"/>
          <w:highlight w:val="none"/>
          <w:lang w:val="en-US" w:eastAsia="zh-CN"/>
        </w:rPr>
        <w:t>所投</w:t>
      </w:r>
      <w:r>
        <w:rPr>
          <w:rFonts w:hint="eastAsia" w:ascii="宋体" w:hAnsi="宋体" w:eastAsia="宋体" w:cs="宋体"/>
          <w:szCs w:val="21"/>
          <w:highlight w:val="none"/>
          <w:lang w:eastAsia="zh-CN"/>
        </w:rPr>
        <w:t>产品由生产厂家出具的加盖生产厂家公章的售后服务承诺函(</w:t>
      </w:r>
      <w:r>
        <w:rPr>
          <w:rFonts w:hint="eastAsia" w:ascii="宋体" w:hAnsi="宋体" w:eastAsia="宋体" w:cs="宋体"/>
          <w:szCs w:val="21"/>
          <w:highlight w:val="none"/>
          <w:lang w:val="en-US" w:eastAsia="zh-CN"/>
        </w:rPr>
        <w:t>包含</w:t>
      </w:r>
      <w:r>
        <w:rPr>
          <w:rFonts w:hint="eastAsia" w:ascii="宋体" w:hAnsi="宋体" w:eastAsia="宋体" w:cs="宋体"/>
          <w:szCs w:val="21"/>
          <w:highlight w:val="none"/>
          <w:lang w:eastAsia="zh-CN"/>
        </w:rPr>
        <w:t>产品质量、保质期、供货时间等</w:t>
      </w:r>
      <w:r>
        <w:rPr>
          <w:rFonts w:hint="eastAsia" w:ascii="宋体" w:hAnsi="宋体" w:eastAsia="宋体" w:cs="宋体"/>
          <w:szCs w:val="21"/>
          <w:highlight w:val="none"/>
          <w:lang w:val="en-US" w:eastAsia="zh-CN"/>
        </w:rPr>
        <w:t>内容</w:t>
      </w:r>
      <w:r>
        <w:rPr>
          <w:rFonts w:hint="eastAsia" w:ascii="宋体" w:hAnsi="宋体" w:eastAsia="宋体" w:cs="宋体"/>
          <w:szCs w:val="21"/>
          <w:highlight w:val="none"/>
          <w:lang w:eastAsia="zh-CN"/>
        </w:rPr>
        <w:t>)。</w:t>
      </w:r>
    </w:p>
    <w:p w14:paraId="5C889899">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r>
        <w:rPr>
          <w:rFonts w:hint="eastAsia" w:ascii="宋体" w:hAnsi="宋体" w:eastAsia="宋体" w:cs="宋体"/>
          <w:szCs w:val="21"/>
          <w:highlight w:val="none"/>
          <w:lang w:eastAsia="zh-CN"/>
        </w:rPr>
        <w:t>.供应商须</w:t>
      </w:r>
      <w:r>
        <w:rPr>
          <w:rFonts w:hint="eastAsia" w:ascii="宋体" w:hAnsi="宋体" w:cs="宋体"/>
          <w:szCs w:val="21"/>
          <w:highlight w:val="none"/>
          <w:lang w:eastAsia="zh-CN"/>
        </w:rPr>
        <w:t>在作业前，</w:t>
      </w:r>
      <w:r>
        <w:rPr>
          <w:rFonts w:hint="eastAsia" w:ascii="宋体" w:hAnsi="宋体" w:eastAsia="宋体" w:cs="宋体"/>
          <w:szCs w:val="21"/>
          <w:highlight w:val="none"/>
          <w:lang w:eastAsia="zh-CN"/>
        </w:rPr>
        <w:t>自行熟悉了解作业区域的地形、地貌、气候特点、农田林网及空域障碍物等情况</w:t>
      </w:r>
      <w:r>
        <w:rPr>
          <w:rFonts w:hint="eastAsia" w:ascii="宋体" w:hAnsi="宋体" w:cs="宋体"/>
          <w:szCs w:val="21"/>
          <w:highlight w:val="none"/>
          <w:lang w:eastAsia="zh-CN"/>
        </w:rPr>
        <w:t>，整机进行检查维修，现场设置安全警示标示，清退无关人员（尤其老人、儿童）和牲畜。</w:t>
      </w:r>
      <w:r>
        <w:rPr>
          <w:rFonts w:hint="eastAsia" w:ascii="宋体" w:hAnsi="宋体" w:eastAsia="宋体" w:cs="宋体"/>
          <w:szCs w:val="21"/>
          <w:highlight w:val="none"/>
          <w:lang w:eastAsia="zh-CN"/>
        </w:rPr>
        <w:t>如</w:t>
      </w:r>
      <w:r>
        <w:rPr>
          <w:rFonts w:hint="eastAsia" w:ascii="宋体" w:hAnsi="宋体" w:cs="宋体"/>
          <w:szCs w:val="21"/>
          <w:highlight w:val="none"/>
          <w:lang w:eastAsia="zh-CN"/>
        </w:rPr>
        <w:t>因</w:t>
      </w:r>
      <w:r>
        <w:rPr>
          <w:rFonts w:hint="eastAsia" w:ascii="宋体" w:hAnsi="宋体" w:eastAsia="宋体" w:cs="宋体"/>
          <w:szCs w:val="21"/>
          <w:highlight w:val="none"/>
          <w:lang w:eastAsia="zh-CN"/>
        </w:rPr>
        <w:t>成交单位人员在</w:t>
      </w:r>
      <w:r>
        <w:rPr>
          <w:rFonts w:hint="eastAsia" w:ascii="宋体" w:hAnsi="宋体" w:cs="宋体"/>
          <w:szCs w:val="21"/>
          <w:highlight w:val="none"/>
          <w:lang w:eastAsia="zh-CN"/>
        </w:rPr>
        <w:t>操</w:t>
      </w:r>
      <w:r>
        <w:rPr>
          <w:rFonts w:hint="eastAsia" w:ascii="宋体" w:hAnsi="宋体" w:eastAsia="宋体" w:cs="宋体"/>
          <w:szCs w:val="21"/>
          <w:highlight w:val="none"/>
          <w:lang w:eastAsia="zh-CN"/>
        </w:rPr>
        <w:t>作中出现</w:t>
      </w:r>
      <w:r>
        <w:rPr>
          <w:rFonts w:hint="eastAsia" w:ascii="宋体" w:hAnsi="宋体" w:cs="宋体"/>
          <w:szCs w:val="21"/>
          <w:highlight w:val="none"/>
          <w:lang w:eastAsia="zh-CN"/>
        </w:rPr>
        <w:t>飞机掉毁、破损等问题</w:t>
      </w:r>
      <w:r>
        <w:rPr>
          <w:rFonts w:hint="eastAsia" w:ascii="宋体" w:hAnsi="宋体" w:eastAsia="宋体" w:cs="宋体"/>
          <w:szCs w:val="21"/>
          <w:highlight w:val="none"/>
          <w:lang w:eastAsia="zh-CN"/>
        </w:rPr>
        <w:t>，</w:t>
      </w:r>
      <w:r>
        <w:rPr>
          <w:rFonts w:hint="eastAsia" w:ascii="宋体" w:hAnsi="宋体" w:cs="宋体"/>
          <w:szCs w:val="21"/>
          <w:highlight w:val="none"/>
          <w:lang w:eastAsia="zh-CN"/>
        </w:rPr>
        <w:t>及</w:t>
      </w:r>
      <w:r>
        <w:rPr>
          <w:rFonts w:hint="eastAsia" w:ascii="宋体" w:hAnsi="宋体" w:eastAsia="宋体" w:cs="宋体"/>
          <w:szCs w:val="21"/>
          <w:highlight w:val="none"/>
          <w:lang w:eastAsia="zh-CN"/>
        </w:rPr>
        <w:t>造成了第三方的人</w:t>
      </w:r>
      <w:r>
        <w:rPr>
          <w:rFonts w:hint="eastAsia" w:ascii="宋体" w:hAnsi="宋体" w:cs="宋体"/>
          <w:szCs w:val="21"/>
          <w:highlight w:val="none"/>
          <w:lang w:eastAsia="zh-CN"/>
        </w:rPr>
        <w:t>伤亡</w:t>
      </w:r>
      <w:r>
        <w:rPr>
          <w:rFonts w:hint="eastAsia" w:ascii="宋体" w:hAnsi="宋体" w:eastAsia="宋体" w:cs="宋体"/>
          <w:szCs w:val="21"/>
          <w:highlight w:val="none"/>
          <w:lang w:eastAsia="zh-CN"/>
        </w:rPr>
        <w:t>或财产损害的，责任全部由成交单位承担。</w:t>
      </w:r>
    </w:p>
    <w:p w14:paraId="49FAA3FE">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6.供应商在作业时，</w:t>
      </w:r>
      <w:r>
        <w:rPr>
          <w:rFonts w:hint="eastAsia" w:ascii="宋体" w:hAnsi="宋体" w:eastAsia="宋体" w:cs="宋体"/>
          <w:szCs w:val="21"/>
          <w:highlight w:val="none"/>
          <w:lang w:val="en-US" w:eastAsia="zh-CN"/>
        </w:rPr>
        <w:t>如农业生产经营主体要求配套实施稻飞虱等重大生物灾害防控</w:t>
      </w:r>
      <w:r>
        <w:rPr>
          <w:rFonts w:hint="eastAsia" w:ascii="宋体" w:hAnsi="宋体" w:cs="宋体"/>
          <w:szCs w:val="21"/>
          <w:highlight w:val="none"/>
          <w:lang w:val="en-US" w:eastAsia="zh-CN"/>
        </w:rPr>
        <w:t>，添加杀虫剂、杀菌剂等药剂，</w:t>
      </w:r>
      <w:r>
        <w:rPr>
          <w:rFonts w:hint="eastAsia" w:ascii="宋体" w:hAnsi="宋体" w:eastAsia="宋体" w:cs="宋体"/>
          <w:szCs w:val="21"/>
          <w:highlight w:val="none"/>
          <w:lang w:eastAsia="zh-CN"/>
        </w:rPr>
        <w:t>成交单位</w:t>
      </w:r>
      <w:r>
        <w:rPr>
          <w:rFonts w:hint="eastAsia" w:ascii="宋体" w:hAnsi="宋体" w:cs="宋体"/>
          <w:szCs w:val="21"/>
          <w:highlight w:val="none"/>
          <w:lang w:eastAsia="zh-CN"/>
        </w:rPr>
        <w:t>不得拒绝，需配合实施，但因农业生产经营主体主动要求添加的农药引起的安全事件</w:t>
      </w:r>
      <w:r>
        <w:rPr>
          <w:rFonts w:hint="eastAsia" w:ascii="宋体" w:hAnsi="宋体" w:eastAsia="宋体" w:cs="宋体"/>
          <w:szCs w:val="21"/>
          <w:highlight w:val="none"/>
          <w:lang w:eastAsia="zh-CN"/>
        </w:rPr>
        <w:t>，由农业生产经营主体自行承担。</w:t>
      </w:r>
    </w:p>
    <w:p w14:paraId="2644CC0E">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7.</w:t>
      </w:r>
      <w:r>
        <w:rPr>
          <w:rFonts w:hint="eastAsia" w:ascii="宋体" w:hAnsi="宋体" w:eastAsia="宋体" w:cs="宋体"/>
          <w:szCs w:val="21"/>
          <w:highlight w:val="none"/>
          <w:lang w:eastAsia="zh-CN"/>
        </w:rPr>
        <w:t>供应商</w:t>
      </w:r>
      <w:r>
        <w:rPr>
          <w:rFonts w:hint="eastAsia" w:ascii="宋体" w:hAnsi="宋体" w:cs="宋体"/>
          <w:szCs w:val="21"/>
          <w:highlight w:val="none"/>
          <w:lang w:val="en-US" w:eastAsia="zh-CN"/>
        </w:rPr>
        <w:t>要</w:t>
      </w:r>
      <w:r>
        <w:rPr>
          <w:rFonts w:hint="eastAsia" w:ascii="宋体" w:hAnsi="宋体" w:eastAsia="宋体" w:cs="宋体"/>
          <w:szCs w:val="21"/>
          <w:highlight w:val="none"/>
          <w:lang w:val="en-US" w:eastAsia="zh-CN"/>
        </w:rPr>
        <w:t>抓住</w:t>
      </w:r>
      <w:r>
        <w:rPr>
          <w:rFonts w:hint="eastAsia" w:ascii="宋体" w:hAnsi="宋体" w:eastAsia="宋体" w:cs="宋体"/>
          <w:szCs w:val="21"/>
          <w:highlight w:val="none"/>
          <w:lang w:eastAsia="zh-CN"/>
        </w:rPr>
        <w:t>破口抽穗期、齐穗后灌浆前期、寒露风来临前3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5天</w:t>
      </w:r>
      <w:r>
        <w:rPr>
          <w:rFonts w:hint="eastAsia" w:ascii="宋体" w:hAnsi="宋体" w:cs="宋体"/>
          <w:szCs w:val="21"/>
          <w:highlight w:val="none"/>
          <w:lang w:eastAsia="zh-CN"/>
        </w:rPr>
        <w:t>等</w:t>
      </w:r>
      <w:r>
        <w:rPr>
          <w:rFonts w:hint="eastAsia" w:ascii="宋体" w:hAnsi="宋体" w:eastAsia="宋体" w:cs="宋体"/>
          <w:szCs w:val="21"/>
          <w:highlight w:val="none"/>
          <w:lang w:eastAsia="zh-CN"/>
        </w:rPr>
        <w:t>最佳喷施窗口期</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尽快组织喷施作业</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争取</w:t>
      </w:r>
      <w:r>
        <w:rPr>
          <w:rFonts w:hint="eastAsia" w:ascii="宋体" w:hAnsi="宋体" w:cs="宋体"/>
          <w:szCs w:val="21"/>
          <w:highlight w:val="none"/>
          <w:lang w:eastAsia="zh-CN"/>
        </w:rPr>
        <w:t>在</w:t>
      </w:r>
      <w:r>
        <w:rPr>
          <w:rFonts w:hint="eastAsia" w:ascii="宋体" w:hAnsi="宋体" w:eastAsia="宋体" w:cs="宋体"/>
          <w:szCs w:val="21"/>
          <w:highlight w:val="none"/>
          <w:lang w:eastAsia="zh-CN"/>
        </w:rPr>
        <w:t>9月2</w:t>
      </w:r>
      <w:r>
        <w:rPr>
          <w:rFonts w:hint="eastAsia" w:ascii="宋体" w:hAnsi="宋体" w:cs="宋体"/>
          <w:szCs w:val="21"/>
          <w:highlight w:val="none"/>
          <w:lang w:val="en-US" w:eastAsia="zh-CN"/>
        </w:rPr>
        <w:t>5</w:t>
      </w:r>
      <w:r>
        <w:rPr>
          <w:rFonts w:hint="eastAsia" w:ascii="宋体" w:hAnsi="宋体" w:eastAsia="宋体" w:cs="宋体"/>
          <w:szCs w:val="21"/>
          <w:highlight w:val="none"/>
          <w:lang w:eastAsia="zh-CN"/>
        </w:rPr>
        <w:t>日前（乳熟前）全部完成，灌浆后期不再喷施。受灾田块（高温干旱、涝渍、受病虫）优先安排。扬花盛期避开中午，防止影响授粉。</w:t>
      </w:r>
    </w:p>
    <w:p w14:paraId="77766E95">
      <w:pPr>
        <w:adjustRightInd w:val="0"/>
        <w:snapToGrid w:val="0"/>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lang w:eastAsia="zh-CN"/>
        </w:rPr>
        <w:t>供应商</w:t>
      </w:r>
      <w:r>
        <w:rPr>
          <w:rFonts w:hint="eastAsia" w:ascii="宋体" w:hAnsi="宋体" w:cs="宋体"/>
          <w:szCs w:val="21"/>
          <w:highlight w:val="none"/>
          <w:lang w:val="en-US" w:eastAsia="zh-CN"/>
        </w:rPr>
        <w:t>要</w:t>
      </w:r>
      <w:r>
        <w:rPr>
          <w:rFonts w:hint="eastAsia" w:ascii="宋体" w:hAnsi="宋体" w:eastAsia="宋体" w:cs="宋体"/>
          <w:szCs w:val="21"/>
          <w:highlight w:val="none"/>
          <w:lang w:eastAsia="zh-CN"/>
        </w:rPr>
        <w:t>规范混配</w:t>
      </w:r>
      <w:r>
        <w:rPr>
          <w:rFonts w:hint="eastAsia" w:ascii="宋体" w:hAnsi="宋体" w:eastAsia="宋体" w:cs="宋体"/>
          <w:szCs w:val="21"/>
          <w:highlight w:val="none"/>
          <w:lang w:val="en-US" w:eastAsia="zh-CN"/>
        </w:rPr>
        <w:t>药肥</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勾兑药液时必须采用二次稀释法，现配现用，不存放过夜药液。药肥混配前，先小桶试配，观察有无分层、沉淀等现象，无异常再大面积作业使用。严格执行农药安全间隔期，临近收割不喷施化学药剂。</w:t>
      </w:r>
    </w:p>
    <w:p w14:paraId="6892526C">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9</w:t>
      </w:r>
      <w:r>
        <w:rPr>
          <w:rFonts w:hint="eastAsia" w:ascii="宋体" w:hAnsi="宋体" w:eastAsia="宋体" w:cs="宋体"/>
          <w:szCs w:val="21"/>
          <w:highlight w:val="none"/>
          <w:lang w:eastAsia="zh-CN"/>
        </w:rPr>
        <w:t>.供应商</w:t>
      </w:r>
      <w:r>
        <w:rPr>
          <w:rFonts w:hint="eastAsia" w:ascii="宋体" w:hAnsi="宋体" w:cs="宋体"/>
          <w:szCs w:val="21"/>
          <w:highlight w:val="none"/>
          <w:lang w:val="en-US" w:eastAsia="zh-CN"/>
        </w:rPr>
        <w:t>要</w:t>
      </w:r>
      <w:r>
        <w:rPr>
          <w:rFonts w:hint="eastAsia" w:ascii="宋体" w:hAnsi="宋体" w:eastAsia="宋体" w:cs="宋体"/>
          <w:szCs w:val="21"/>
          <w:highlight w:val="none"/>
          <w:lang w:eastAsia="zh-CN"/>
        </w:rPr>
        <w:t>严格防范药液漂移</w:t>
      </w:r>
      <w:r>
        <w:rPr>
          <w:rFonts w:hint="eastAsia" w:ascii="宋体" w:hAnsi="宋体" w:cs="宋体"/>
          <w:szCs w:val="21"/>
          <w:highlight w:val="none"/>
          <w:lang w:eastAsia="zh-CN"/>
        </w:rPr>
        <w:t>。作业前要</w:t>
      </w:r>
      <w:r>
        <w:rPr>
          <w:rFonts w:hint="eastAsia" w:ascii="宋体" w:hAnsi="宋体" w:eastAsia="宋体" w:cs="宋体"/>
          <w:szCs w:val="21"/>
          <w:highlight w:val="none"/>
          <w:lang w:eastAsia="zh-CN"/>
        </w:rPr>
        <w:t>提前公告周边农户</w:t>
      </w:r>
      <w:r>
        <w:rPr>
          <w:rFonts w:hint="eastAsia" w:ascii="宋体" w:hAnsi="宋体" w:cs="宋体"/>
          <w:szCs w:val="21"/>
          <w:highlight w:val="none"/>
          <w:lang w:eastAsia="zh-CN"/>
        </w:rPr>
        <w:t>和村组</w:t>
      </w:r>
      <w:r>
        <w:rPr>
          <w:rFonts w:hint="eastAsia" w:ascii="宋体" w:hAnsi="宋体" w:eastAsia="宋体" w:cs="宋体"/>
          <w:szCs w:val="21"/>
          <w:highlight w:val="none"/>
          <w:lang w:eastAsia="zh-CN"/>
        </w:rPr>
        <w:t>，飞防</w:t>
      </w:r>
      <w:r>
        <w:rPr>
          <w:rFonts w:hint="eastAsia" w:ascii="宋体" w:hAnsi="宋体" w:cs="宋体"/>
          <w:szCs w:val="21"/>
          <w:highlight w:val="none"/>
          <w:lang w:eastAsia="zh-CN"/>
        </w:rPr>
        <w:t>中</w:t>
      </w:r>
      <w:r>
        <w:rPr>
          <w:rFonts w:hint="eastAsia" w:ascii="宋体" w:hAnsi="宋体" w:eastAsia="宋体" w:cs="宋体"/>
          <w:szCs w:val="21"/>
          <w:highlight w:val="none"/>
          <w:lang w:eastAsia="zh-CN"/>
        </w:rPr>
        <w:t>要避开鱼塘、蜜蜂养殖区和桑园、蔬菜、瓜果种植区</w:t>
      </w:r>
      <w:r>
        <w:rPr>
          <w:rFonts w:hint="eastAsia" w:ascii="宋体" w:hAnsi="宋体" w:cs="宋体"/>
          <w:szCs w:val="21"/>
          <w:highlight w:val="none"/>
          <w:lang w:eastAsia="zh-CN"/>
        </w:rPr>
        <w:t>，避免</w:t>
      </w:r>
      <w:r>
        <w:rPr>
          <w:rFonts w:hint="eastAsia" w:ascii="宋体" w:hAnsi="宋体" w:eastAsia="宋体" w:cs="宋体"/>
          <w:szCs w:val="21"/>
          <w:highlight w:val="none"/>
          <w:lang w:eastAsia="zh-CN"/>
        </w:rPr>
        <w:t>药害和人、家畜、家禽、鱼、虾中毒事件发生</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如</w:t>
      </w:r>
      <w:r>
        <w:rPr>
          <w:rFonts w:hint="eastAsia" w:ascii="宋体" w:hAnsi="宋体" w:cs="宋体"/>
          <w:szCs w:val="21"/>
          <w:highlight w:val="none"/>
          <w:lang w:eastAsia="zh-CN"/>
        </w:rPr>
        <w:t>因植物生长调节剂、抗</w:t>
      </w:r>
      <w:r>
        <w:rPr>
          <w:rFonts w:hint="eastAsia" w:ascii="宋体" w:hAnsi="宋体" w:eastAsia="宋体" w:cs="宋体"/>
          <w:szCs w:val="21"/>
          <w:highlight w:val="none"/>
          <w:lang w:val="en-US" w:eastAsia="zh-CN"/>
        </w:rPr>
        <w:t>逆</w:t>
      </w:r>
      <w:r>
        <w:rPr>
          <w:rFonts w:hint="eastAsia" w:ascii="宋体" w:hAnsi="宋体" w:cs="宋体"/>
          <w:szCs w:val="21"/>
          <w:highlight w:val="none"/>
          <w:lang w:val="en-US" w:eastAsia="zh-CN"/>
        </w:rPr>
        <w:t>剂</w:t>
      </w:r>
      <w:r>
        <w:rPr>
          <w:rFonts w:hint="eastAsia" w:ascii="宋体" w:hAnsi="宋体" w:eastAsia="宋体" w:cs="宋体"/>
          <w:szCs w:val="21"/>
          <w:highlight w:val="none"/>
          <w:lang w:eastAsia="zh-CN"/>
        </w:rPr>
        <w:t>出现此类情况，因成交单位人员在工作中造成了第三方的人或财产损害的，责任由成交单位承担。</w:t>
      </w:r>
    </w:p>
    <w:p w14:paraId="1441CB8B">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10.</w:t>
      </w:r>
      <w:r>
        <w:rPr>
          <w:rFonts w:hint="eastAsia" w:ascii="宋体" w:hAnsi="宋体" w:eastAsia="宋体" w:cs="宋体"/>
          <w:szCs w:val="21"/>
          <w:highlight w:val="none"/>
          <w:lang w:eastAsia="zh-CN"/>
        </w:rPr>
        <w:t>喷施作业</w:t>
      </w:r>
      <w:r>
        <w:rPr>
          <w:rFonts w:hint="eastAsia" w:ascii="宋体" w:hAnsi="宋体" w:cs="宋体"/>
          <w:szCs w:val="21"/>
          <w:highlight w:val="none"/>
          <w:lang w:eastAsia="zh-CN"/>
        </w:rPr>
        <w:t>时</w:t>
      </w:r>
      <w:r>
        <w:rPr>
          <w:rFonts w:hint="eastAsia" w:ascii="宋体" w:hAnsi="宋体" w:eastAsia="宋体" w:cs="宋体"/>
          <w:szCs w:val="21"/>
          <w:highlight w:val="none"/>
          <w:lang w:val="en-US" w:eastAsia="zh-CN"/>
        </w:rPr>
        <w:t>注意</w:t>
      </w:r>
      <w:r>
        <w:rPr>
          <w:rFonts w:hint="eastAsia" w:ascii="宋体" w:hAnsi="宋体" w:eastAsia="宋体" w:cs="宋体"/>
          <w:szCs w:val="21"/>
          <w:highlight w:val="none"/>
          <w:lang w:eastAsia="zh-CN"/>
        </w:rPr>
        <w:t>天气与时段，风速应小于</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级风，风力偏大立即停止作业。气温不宜超过30°C，在上午10点前或下午4时后进行，避开正午高温时段。抽穗扬花期只在下午4点后喷施，避免伤害花粉造成空壳增多。药后24小时内如遇到中到大雨，要及时补喷。</w:t>
      </w:r>
    </w:p>
    <w:p w14:paraId="0C5CE38C">
      <w:pPr>
        <w:adjustRightInd w:val="0"/>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11.作业</w:t>
      </w:r>
      <w:r>
        <w:rPr>
          <w:rFonts w:hint="eastAsia" w:ascii="宋体" w:hAnsi="宋体" w:eastAsia="宋体" w:cs="宋体"/>
          <w:szCs w:val="21"/>
          <w:highlight w:val="none"/>
          <w:lang w:eastAsia="zh-CN"/>
        </w:rPr>
        <w:t>实施</w:t>
      </w:r>
      <w:r>
        <w:rPr>
          <w:rFonts w:hint="eastAsia" w:ascii="宋体" w:hAnsi="宋体" w:cs="宋体"/>
          <w:szCs w:val="21"/>
          <w:highlight w:val="none"/>
          <w:lang w:val="en-US" w:eastAsia="zh-CN"/>
        </w:rPr>
        <w:t>时要</w:t>
      </w:r>
      <w:r>
        <w:rPr>
          <w:rFonts w:hint="eastAsia" w:ascii="宋体" w:hAnsi="宋体" w:eastAsia="宋体" w:cs="宋体"/>
          <w:szCs w:val="21"/>
          <w:highlight w:val="none"/>
          <w:lang w:val="en-US" w:eastAsia="zh-CN"/>
        </w:rPr>
        <w:t>调好</w:t>
      </w:r>
      <w:r>
        <w:rPr>
          <w:rFonts w:hint="eastAsia" w:ascii="宋体" w:hAnsi="宋体" w:eastAsia="宋体" w:cs="宋体"/>
          <w:szCs w:val="21"/>
          <w:highlight w:val="none"/>
          <w:lang w:eastAsia="zh-CN"/>
        </w:rPr>
        <w:t>技术参数</w:t>
      </w:r>
      <w:r>
        <w:rPr>
          <w:rFonts w:hint="eastAsia" w:ascii="宋体" w:hAnsi="宋体" w:cs="宋体"/>
          <w:szCs w:val="21"/>
          <w:highlight w:val="none"/>
          <w:lang w:eastAsia="zh-CN"/>
        </w:rPr>
        <w:t>，</w:t>
      </w:r>
      <w:r>
        <w:rPr>
          <w:rFonts w:hint="eastAsia" w:ascii="宋体" w:hAnsi="宋体" w:eastAsia="宋体" w:cs="宋体"/>
          <w:szCs w:val="21"/>
          <w:highlight w:val="none"/>
          <w:lang w:eastAsia="zh-CN"/>
        </w:rPr>
        <w:t>飞行速度控制在</w:t>
      </w:r>
      <w:r>
        <w:rPr>
          <w:rFonts w:hint="eastAsia" w:ascii="宋体" w:hAnsi="宋体" w:eastAsia="宋体" w:cs="宋体"/>
          <w:szCs w:val="21"/>
          <w:highlight w:val="none"/>
          <w:lang w:val="en-US" w:eastAsia="zh-CN"/>
        </w:rPr>
        <w:t>4-6</w:t>
      </w:r>
      <w:r>
        <w:rPr>
          <w:rFonts w:hint="eastAsia" w:ascii="宋体" w:hAnsi="宋体" w:eastAsia="宋体" w:cs="宋体"/>
          <w:szCs w:val="21"/>
          <w:highlight w:val="none"/>
          <w:lang w:eastAsia="zh-CN"/>
        </w:rPr>
        <w:t>m/s，飞行距稻丛冠层高度因机型适当调整，载荷量＜50L的飞行高度2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3m，载荷量≥50L的飞行高度2.5</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4m。飞防每亩药液量不少于</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lang w:eastAsia="zh-CN"/>
        </w:rPr>
        <w:t>L，电动背负式喷雾器</w:t>
      </w:r>
      <w:r>
        <w:rPr>
          <w:rFonts w:hint="eastAsia" w:ascii="宋体" w:hAnsi="宋体" w:cs="宋体"/>
          <w:szCs w:val="21"/>
          <w:highlight w:val="none"/>
          <w:lang w:eastAsia="zh-CN"/>
        </w:rPr>
        <w:t>喷雾</w:t>
      </w:r>
      <w:r>
        <w:rPr>
          <w:rFonts w:hint="eastAsia" w:ascii="宋体" w:hAnsi="宋体" w:eastAsia="宋体" w:cs="宋体"/>
          <w:szCs w:val="21"/>
          <w:highlight w:val="none"/>
          <w:lang w:eastAsia="zh-CN"/>
        </w:rPr>
        <w:t>不少于30kg，严禁超低容量作业，禁止重喷、漏喷。作业后</w:t>
      </w:r>
      <w:r>
        <w:rPr>
          <w:rFonts w:hint="eastAsia" w:ascii="宋体" w:hAnsi="宋体" w:eastAsia="宋体" w:cs="宋体"/>
          <w:szCs w:val="21"/>
          <w:highlight w:val="none"/>
          <w:lang w:val="en-US" w:eastAsia="zh-CN"/>
        </w:rPr>
        <w:t>5-7天必须下田检查防效，不理想田块立即补防。</w:t>
      </w:r>
    </w:p>
    <w:p w14:paraId="023BA958">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12</w:t>
      </w:r>
      <w:r>
        <w:rPr>
          <w:rFonts w:hint="eastAsia" w:ascii="宋体" w:hAnsi="宋体" w:eastAsia="宋体" w:cs="宋体"/>
          <w:szCs w:val="21"/>
          <w:highlight w:val="none"/>
          <w:lang w:val="en-US" w:eastAsia="zh-CN"/>
        </w:rPr>
        <w:t>.服务方在服务期限内，必须为</w:t>
      </w:r>
      <w:r>
        <w:rPr>
          <w:rFonts w:hint="eastAsia" w:ascii="宋体" w:hAnsi="宋体" w:cs="宋体"/>
          <w:szCs w:val="21"/>
          <w:highlight w:val="none"/>
          <w:lang w:val="en-US" w:eastAsia="zh-CN"/>
        </w:rPr>
        <w:t>喷施</w:t>
      </w:r>
      <w:r>
        <w:rPr>
          <w:rFonts w:hint="eastAsia" w:ascii="宋体" w:hAnsi="宋体" w:eastAsia="宋体" w:cs="宋体"/>
          <w:szCs w:val="21"/>
          <w:highlight w:val="none"/>
          <w:lang w:val="en-US" w:eastAsia="zh-CN"/>
        </w:rPr>
        <w:t>人员购买人身意外保险。服务期间发生的一切安全责任事故及造成第三者伤害责任的，均由成交供应商承担相应的责任。</w:t>
      </w:r>
    </w:p>
    <w:p w14:paraId="1F49F5EB">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lang w:val="en-US" w:eastAsia="zh-CN"/>
        </w:rPr>
        <w:t>.响应时间：30分钟响应，2小时内到达现场。</w:t>
      </w:r>
    </w:p>
    <w:p w14:paraId="1D5C73B7">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9</w:t>
      </w:r>
      <w:r>
        <w:rPr>
          <w:rFonts w:hint="eastAsia" w:ascii="宋体" w:hAnsi="宋体" w:eastAsia="宋体" w:cs="宋体"/>
          <w:szCs w:val="21"/>
          <w:highlight w:val="none"/>
          <w:lang w:val="en-US" w:eastAsia="zh-CN"/>
        </w:rPr>
        <w:t>.项目实施完成后，承担实施任务的供应商向县农业农村局提交项目验收资料，包括</w:t>
      </w:r>
      <w:r>
        <w:rPr>
          <w:rFonts w:hint="eastAsia" w:ascii="宋体" w:hAnsi="宋体" w:cs="宋体"/>
          <w:szCs w:val="21"/>
          <w:highlight w:val="none"/>
          <w:lang w:val="en-US" w:eastAsia="zh-CN"/>
        </w:rPr>
        <w:t>喷施</w:t>
      </w:r>
      <w:r>
        <w:rPr>
          <w:rFonts w:hint="eastAsia" w:ascii="宋体" w:hAnsi="宋体" w:eastAsia="宋体" w:cs="宋体"/>
          <w:szCs w:val="21"/>
          <w:highlight w:val="none"/>
          <w:lang w:val="en-US" w:eastAsia="zh-CN"/>
        </w:rPr>
        <w:t>方案、作业确认单、无人机飞行轨迹截图、农户花名册等。其中作业面积须经村、乡镇两级确认，汇总后报县农业农村局。县农业农村局对作业面积和作业质量进行</w:t>
      </w:r>
      <w:r>
        <w:rPr>
          <w:rFonts w:hint="eastAsia" w:ascii="宋体" w:hAnsi="宋体" w:cs="宋体"/>
          <w:szCs w:val="21"/>
          <w:highlight w:val="none"/>
          <w:lang w:val="en-US" w:eastAsia="zh-CN"/>
        </w:rPr>
        <w:t>抽查</w:t>
      </w:r>
      <w:r>
        <w:rPr>
          <w:rFonts w:hint="eastAsia" w:ascii="宋体" w:hAnsi="宋体" w:eastAsia="宋体" w:cs="宋体"/>
          <w:szCs w:val="21"/>
          <w:highlight w:val="none"/>
          <w:lang w:val="en-US" w:eastAsia="zh-CN"/>
        </w:rPr>
        <w:t>核验。</w:t>
      </w:r>
    </w:p>
    <w:p w14:paraId="5A966707">
      <w:pPr>
        <w:adjustRightInd w:val="0"/>
        <w:snapToGrid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10</w:t>
      </w:r>
      <w:r>
        <w:rPr>
          <w:rFonts w:hint="eastAsia" w:ascii="宋体" w:hAnsi="宋体" w:eastAsia="宋体" w:cs="宋体"/>
          <w:szCs w:val="21"/>
          <w:highlight w:val="none"/>
          <w:lang w:val="en-US" w:eastAsia="zh-CN"/>
        </w:rPr>
        <w:t>.本项目采用费用包干方式，供应商应根据项目要求和现场情况，响应报价应包含项目所需服务要求，人工、设备、药品、培训、管理其它相关服务及后续服务等全部费用，如一旦成交，在项目实施中出现任何遗漏，均由成交人免费提供，采购人不再支付任何费用。</w:t>
      </w:r>
    </w:p>
    <w:p w14:paraId="68CF5B88">
      <w:pPr>
        <w:adjustRightInd w:val="0"/>
        <w:snapToGrid w:val="0"/>
        <w:spacing w:line="360" w:lineRule="auto"/>
        <w:ind w:firstLine="422" w:firstLineChars="200"/>
        <w:rPr>
          <w:rFonts w:hint="eastAsia" w:ascii="宋体" w:hAnsi="宋体" w:eastAsia="宋体" w:cs="Times New Roman"/>
          <w:b/>
          <w:highlight w:val="none"/>
        </w:rPr>
      </w:pPr>
      <w:r>
        <w:rPr>
          <w:rFonts w:hint="eastAsia" w:ascii="宋体" w:hAnsi="宋体" w:cs="Times New Roman"/>
          <w:b/>
          <w:highlight w:val="none"/>
          <w:lang w:val="en-US" w:eastAsia="zh-CN"/>
        </w:rPr>
        <w:t>五</w:t>
      </w:r>
      <w:r>
        <w:rPr>
          <w:rFonts w:hint="eastAsia" w:ascii="宋体" w:hAnsi="宋体" w:eastAsia="宋体" w:cs="Times New Roman"/>
          <w:b/>
          <w:highlight w:val="none"/>
        </w:rPr>
        <w:t>、合同履行期限：</w:t>
      </w:r>
      <w:r>
        <w:rPr>
          <w:rFonts w:hint="eastAsia" w:ascii="宋体" w:hAnsi="宋体" w:cs="Times New Roman"/>
          <w:b/>
          <w:highlight w:val="none"/>
          <w:lang w:eastAsia="zh-CN"/>
        </w:rPr>
        <w:t>2026</w:t>
      </w:r>
      <w:r>
        <w:rPr>
          <w:rFonts w:hint="eastAsia" w:ascii="宋体" w:hAnsi="宋体" w:eastAsia="宋体" w:cs="Times New Roman"/>
          <w:b/>
          <w:highlight w:val="none"/>
        </w:rPr>
        <w:t>年9月2</w:t>
      </w:r>
      <w:r>
        <w:rPr>
          <w:rFonts w:hint="eastAsia" w:ascii="宋体" w:hAnsi="宋体" w:cs="Times New Roman"/>
          <w:b/>
          <w:highlight w:val="none"/>
          <w:lang w:val="en-US" w:eastAsia="zh-CN"/>
        </w:rPr>
        <w:t>5</w:t>
      </w:r>
      <w:r>
        <w:rPr>
          <w:rFonts w:hint="eastAsia" w:ascii="宋体" w:hAnsi="宋体" w:eastAsia="宋体" w:cs="Times New Roman"/>
          <w:b/>
          <w:highlight w:val="none"/>
        </w:rPr>
        <w:t>日前完成</w:t>
      </w:r>
    </w:p>
    <w:p w14:paraId="2C097F56">
      <w:pPr>
        <w:adjustRightInd w:val="0"/>
        <w:snapToGrid w:val="0"/>
        <w:spacing w:line="360" w:lineRule="auto"/>
        <w:ind w:firstLine="422" w:firstLineChars="200"/>
        <w:rPr>
          <w:rFonts w:hint="eastAsia" w:ascii="宋体" w:hAnsi="宋体" w:eastAsia="宋体" w:cs="Times New Roman"/>
          <w:b/>
          <w:highlight w:val="none"/>
        </w:rPr>
      </w:pPr>
      <w:r>
        <w:rPr>
          <w:rFonts w:hint="eastAsia" w:ascii="宋体" w:hAnsi="宋体" w:cs="Times New Roman"/>
          <w:b/>
          <w:highlight w:val="none"/>
          <w:lang w:val="en-US" w:eastAsia="zh-CN"/>
        </w:rPr>
        <w:t>六</w:t>
      </w:r>
      <w:r>
        <w:rPr>
          <w:rFonts w:hint="eastAsia" w:ascii="宋体" w:hAnsi="宋体" w:eastAsia="宋体" w:cs="Times New Roman"/>
          <w:b/>
          <w:highlight w:val="none"/>
        </w:rPr>
        <w:t>、付款方式：</w:t>
      </w:r>
      <w:r>
        <w:rPr>
          <w:rFonts w:hint="eastAsia" w:ascii="宋体" w:hAnsi="宋体" w:eastAsia="宋体" w:cs="Times New Roman"/>
          <w:b/>
          <w:highlight w:val="none"/>
          <w:lang w:val="en-US" w:eastAsia="zh-CN"/>
        </w:rPr>
        <w:t>验收合格</w:t>
      </w:r>
      <w:r>
        <w:rPr>
          <w:rFonts w:hint="eastAsia" w:ascii="宋体" w:hAnsi="宋体" w:cs="Times New Roman"/>
          <w:b/>
          <w:highlight w:val="none"/>
          <w:lang w:val="en-US" w:eastAsia="zh-CN"/>
        </w:rPr>
        <w:t>经局财务审批后，向县财政局提出拨付申请，其他采购合同中约定</w:t>
      </w:r>
      <w:r>
        <w:rPr>
          <w:rFonts w:hint="eastAsia" w:ascii="宋体" w:hAnsi="宋体" w:eastAsia="宋体" w:cs="Times New Roman"/>
          <w:b/>
          <w:highlight w:val="none"/>
        </w:rPr>
        <w:t>。</w:t>
      </w:r>
    </w:p>
    <w:p w14:paraId="60B26359">
      <w:pPr>
        <w:adjustRightInd w:val="0"/>
        <w:snapToGrid w:val="0"/>
        <w:spacing w:line="360" w:lineRule="auto"/>
        <w:ind w:firstLine="422" w:firstLineChars="200"/>
        <w:rPr>
          <w:rFonts w:asciiTheme="minorEastAsia" w:hAnsiTheme="minorEastAsia" w:eastAsiaTheme="minorEastAsia"/>
          <w:b/>
          <w:bCs/>
          <w:szCs w:val="21"/>
        </w:rPr>
      </w:pPr>
      <w:r>
        <w:rPr>
          <w:rFonts w:hint="eastAsia" w:ascii="宋体" w:hAnsi="宋体" w:cs="Times New Roman"/>
          <w:b/>
          <w:highlight w:val="none"/>
          <w:lang w:val="en-US" w:eastAsia="zh-CN"/>
        </w:rPr>
        <w:t>七</w:t>
      </w:r>
      <w:r>
        <w:rPr>
          <w:rFonts w:hint="eastAsia" w:ascii="宋体" w:hAnsi="宋体" w:eastAsia="宋体" w:cs="Times New Roman"/>
          <w:b/>
          <w:highlight w:val="none"/>
        </w:rPr>
        <w:t>、其他未尽事宜双方签订合同时约定。</w:t>
      </w:r>
      <w:r>
        <w:rPr>
          <w:rFonts w:asciiTheme="minorEastAsia" w:hAnsiTheme="minorEastAsia" w:eastAsiaTheme="minorEastAsia"/>
          <w:szCs w:val="21"/>
        </w:rPr>
        <w:br w:type="page"/>
      </w:r>
    </w:p>
    <w:p w14:paraId="79DCA8DF">
      <w:pPr>
        <w:keepNext w:val="0"/>
        <w:keepLines w:val="0"/>
        <w:pageBreakBefore w:val="0"/>
        <w:kinsoku/>
        <w:wordWrap/>
        <w:overflowPunct/>
        <w:topLinePunct w:val="0"/>
        <w:autoSpaceDE/>
        <w:autoSpaceDN/>
        <w:bidi w:val="0"/>
        <w:adjustRightInd w:val="0"/>
        <w:snapToGrid w:val="0"/>
        <w:spacing w:line="360" w:lineRule="auto"/>
        <w:ind w:firstLine="2560" w:firstLineChars="800"/>
        <w:rPr>
          <w:rFonts w:ascii="黑体" w:hAnsi="黑体" w:eastAsia="黑体"/>
          <w:color w:val="auto"/>
          <w:sz w:val="32"/>
          <w:szCs w:val="32"/>
          <w:highlight w:val="none"/>
        </w:rPr>
      </w:pPr>
      <w:bookmarkStart w:id="225" w:name="_Toc15234"/>
      <w:bookmarkStart w:id="226" w:name="_Toc32277"/>
      <w:bookmarkStart w:id="227" w:name="_Toc14235"/>
      <w:bookmarkStart w:id="228" w:name="_Toc17159"/>
      <w:bookmarkStart w:id="229" w:name="_Toc209084339"/>
      <w:bookmarkStart w:id="230" w:name="_Toc74694325"/>
      <w:bookmarkStart w:id="231" w:name="_Toc34637777"/>
      <w:bookmarkStart w:id="232" w:name="_Toc18881"/>
      <w:bookmarkStart w:id="233" w:name="_Toc145374009"/>
      <w:bookmarkStart w:id="234" w:name="_Toc14389"/>
      <w:bookmarkStart w:id="235" w:name="_Toc20333"/>
      <w:r>
        <w:rPr>
          <w:rFonts w:hint="eastAsia" w:ascii="黑体" w:hAnsi="黑体" w:eastAsia="黑体"/>
          <w:color w:val="auto"/>
          <w:sz w:val="32"/>
          <w:szCs w:val="32"/>
          <w:highlight w:val="none"/>
        </w:rPr>
        <w:t>第四章  合同草案条款</w:t>
      </w:r>
      <w:bookmarkEnd w:id="225"/>
      <w:bookmarkEnd w:id="226"/>
      <w:bookmarkEnd w:id="227"/>
      <w:bookmarkEnd w:id="228"/>
      <w:bookmarkEnd w:id="229"/>
      <w:bookmarkEnd w:id="230"/>
      <w:bookmarkEnd w:id="231"/>
      <w:bookmarkEnd w:id="232"/>
      <w:bookmarkEnd w:id="233"/>
      <w:bookmarkEnd w:id="234"/>
      <w:bookmarkEnd w:id="235"/>
    </w:p>
    <w:p w14:paraId="6D784D27">
      <w:pPr>
        <w:pStyle w:val="3"/>
        <w:adjustRightInd w:val="0"/>
        <w:snapToGrid w:val="0"/>
        <w:spacing w:beforeLines="50"/>
        <w:jc w:val="center"/>
        <w:rPr>
          <w:rFonts w:ascii="黑体" w:hAnsi="华文中宋" w:eastAsia="黑体"/>
          <w:color w:val="auto"/>
          <w:sz w:val="28"/>
          <w:szCs w:val="28"/>
          <w:highlight w:val="none"/>
        </w:rPr>
      </w:pPr>
      <w:bookmarkStart w:id="236" w:name="_Toc74694326"/>
      <w:bookmarkStart w:id="237" w:name="_Toc9454"/>
      <w:bookmarkStart w:id="238" w:name="_Toc145374010"/>
      <w:bookmarkStart w:id="239" w:name="_Toc209084340"/>
      <w:bookmarkStart w:id="240" w:name="_Toc5755"/>
      <w:bookmarkStart w:id="241" w:name="_Toc12387"/>
      <w:bookmarkStart w:id="242" w:name="_Toc22201110"/>
      <w:bookmarkStart w:id="243" w:name="_Toc646"/>
      <w:bookmarkStart w:id="244" w:name="_Toc34637778"/>
      <w:bookmarkStart w:id="245" w:name="_Toc12268"/>
      <w:bookmarkStart w:id="246" w:name="_Toc10385"/>
      <w:bookmarkStart w:id="247" w:name="_Toc25816"/>
      <w:bookmarkStart w:id="248" w:name="_Toc13636"/>
      <w:r>
        <w:rPr>
          <w:rFonts w:hint="eastAsia" w:ascii="黑体" w:hAnsi="华文中宋" w:eastAsia="黑体"/>
          <w:color w:val="auto"/>
          <w:sz w:val="28"/>
          <w:szCs w:val="28"/>
          <w:highlight w:val="none"/>
        </w:rPr>
        <w:t>第一节 合同协议书</w:t>
      </w:r>
      <w:bookmarkEnd w:id="236"/>
      <w:bookmarkEnd w:id="237"/>
      <w:bookmarkEnd w:id="238"/>
      <w:bookmarkEnd w:id="239"/>
      <w:bookmarkEnd w:id="240"/>
      <w:bookmarkEnd w:id="241"/>
      <w:bookmarkEnd w:id="242"/>
      <w:bookmarkEnd w:id="243"/>
      <w:bookmarkEnd w:id="244"/>
      <w:bookmarkEnd w:id="245"/>
      <w:bookmarkEnd w:id="246"/>
      <w:bookmarkEnd w:id="247"/>
      <w:bookmarkEnd w:id="248"/>
    </w:p>
    <w:p w14:paraId="000DFF24">
      <w:pPr>
        <w:adjustRightInd w:val="0"/>
        <w:snapToGrid w:val="0"/>
        <w:spacing w:beforeLines="50" w:line="360" w:lineRule="auto"/>
        <w:ind w:firstLine="5460" w:firstLineChars="2600"/>
        <w:rPr>
          <w:rFonts w:ascii="宋体" w:hAnsi="宋体"/>
          <w:b/>
          <w:color w:val="auto"/>
          <w:szCs w:val="21"/>
          <w:highlight w:val="none"/>
        </w:rPr>
      </w:pPr>
      <w:r>
        <w:rPr>
          <w:rFonts w:hint="eastAsia" w:ascii="宋体" w:hAnsi="宋体"/>
          <w:color w:val="auto"/>
          <w:szCs w:val="21"/>
          <w:highlight w:val="none"/>
        </w:rPr>
        <w:t>采购合同编号：</w:t>
      </w:r>
    </w:p>
    <w:p w14:paraId="2D96BDB0">
      <w:pPr>
        <w:adjustRightInd w:val="0"/>
        <w:snapToGrid w:val="0"/>
        <w:jc w:val="center"/>
        <w:rPr>
          <w:rFonts w:ascii="宋体" w:hAnsi="宋体"/>
          <w:b/>
          <w:color w:val="auto"/>
          <w:szCs w:val="21"/>
          <w:highlight w:val="none"/>
        </w:rPr>
      </w:pPr>
    </w:p>
    <w:p w14:paraId="45137108">
      <w:pPr>
        <w:adjustRightInd w:val="0"/>
        <w:snapToGrid w:val="0"/>
        <w:spacing w:line="360" w:lineRule="auto"/>
        <w:rPr>
          <w:rFonts w:ascii="宋体"/>
          <w:color w:val="auto"/>
          <w:highlight w:val="none"/>
        </w:rPr>
      </w:pPr>
      <w:r>
        <w:rPr>
          <w:rFonts w:hint="eastAsia" w:ascii="宋体"/>
          <w:color w:val="auto"/>
          <w:highlight w:val="none"/>
        </w:rPr>
        <w:t>采购人（全称）：</w:t>
      </w:r>
      <w:r>
        <w:rPr>
          <w:rFonts w:hint="eastAsia" w:ascii="宋体"/>
          <w:color w:val="auto"/>
          <w:highlight w:val="none"/>
          <w:u w:val="single"/>
          <w:lang w:eastAsia="zh-CN"/>
        </w:rPr>
        <w:t>新化县农业农村局</w:t>
      </w:r>
      <w:r>
        <w:rPr>
          <w:rFonts w:hint="eastAsia" w:ascii="宋体"/>
          <w:color w:val="auto"/>
          <w:highlight w:val="none"/>
        </w:rPr>
        <w:t>（甲方）</w:t>
      </w:r>
    </w:p>
    <w:p w14:paraId="55DEF5CE">
      <w:pPr>
        <w:adjustRightInd w:val="0"/>
        <w:snapToGrid w:val="0"/>
        <w:spacing w:line="360" w:lineRule="auto"/>
        <w:rPr>
          <w:rFonts w:ascii="宋体"/>
          <w:color w:val="auto"/>
          <w:highlight w:val="none"/>
        </w:rPr>
      </w:pPr>
      <w:r>
        <w:rPr>
          <w:rFonts w:hint="eastAsia" w:ascii="宋体"/>
          <w:color w:val="auto"/>
          <w:highlight w:val="none"/>
        </w:rPr>
        <w:t>供应商（全称）：（乙方）</w:t>
      </w:r>
    </w:p>
    <w:p w14:paraId="59A51325">
      <w:pPr>
        <w:pStyle w:val="19"/>
        <w:adjustRightInd w:val="0"/>
        <w:snapToGrid w:val="0"/>
        <w:spacing w:after="0" w:line="360" w:lineRule="auto"/>
        <w:ind w:left="0" w:leftChars="0"/>
        <w:rPr>
          <w:rFonts w:ascii="宋体"/>
          <w:color w:val="auto"/>
          <w:highlight w:val="none"/>
        </w:rPr>
      </w:pPr>
    </w:p>
    <w:p w14:paraId="1D10F5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bookmarkStart w:id="249" w:name="_Toc34637787"/>
      <w:bookmarkStart w:id="250" w:name="_Toc22201111"/>
      <w:r>
        <w:rPr>
          <w:rFonts w:hint="eastAsia" w:ascii="宋体" w:hAnsi="宋体" w:eastAsia="宋体" w:cs="宋体"/>
          <w:color w:val="auto"/>
          <w:szCs w:val="21"/>
          <w:highlight w:val="none"/>
        </w:rPr>
        <w:t>为了保护甲、乙双方合法权益，根据《中华人民共和国民法典》、《中华人民共和国政府采购法》及其他有关法律、法规、规章，双方签订本合同协议书。</w:t>
      </w:r>
    </w:p>
    <w:p w14:paraId="3DAE2835">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1.项目信息</w:t>
      </w:r>
    </w:p>
    <w:p w14:paraId="209C0D08">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（1）采购项目名称：</w:t>
      </w:r>
      <w:r>
        <w:rPr>
          <w:rFonts w:hint="eastAsia" w:ascii="宋体" w:hAnsi="宋体" w:eastAsia="宋体" w:cs="宋体"/>
          <w:color w:val="auto"/>
          <w:szCs w:val="21"/>
          <w:highlight w:val="none"/>
          <w:u w:val="single"/>
        </w:rPr>
        <w:t xml:space="preserve">                                          </w:t>
      </w:r>
    </w:p>
    <w:p w14:paraId="03FA9FEB">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（2）政府采购计划编号：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74295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r>
        <w:rPr>
          <w:rFonts w:hint="eastAsia" w:ascii="宋体" w:hAnsi="宋体" w:eastAsia="宋体" w:cs="宋体"/>
          <w:color w:val="auto"/>
          <w:szCs w:val="21"/>
          <w:highlight w:val="none"/>
          <w:u w:val="single"/>
        </w:rPr>
        <w:t xml:space="preserve">                             </w:t>
      </w:r>
    </w:p>
    <w:p w14:paraId="6C7C40A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（4）是否分包：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200F7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02C05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（6）联系电话：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F50A279">
      <w:pPr>
        <w:keepNext w:val="0"/>
        <w:keepLines w:val="0"/>
        <w:pageBreakBefore w:val="0"/>
        <w:widowControl w:val="0"/>
        <w:kinsoku/>
        <w:wordWrap/>
        <w:overflowPunct/>
        <w:topLinePunct w:val="0"/>
        <w:autoSpaceDE/>
        <w:autoSpaceDN/>
        <w:bidi w:val="0"/>
        <w:adjustRightInd w:val="0"/>
        <w:snapToGrid w:val="0"/>
        <w:spacing w:line="360" w:lineRule="auto"/>
        <w:ind w:firstLine="413" w:firstLineChars="196"/>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2.合同金额</w:t>
      </w:r>
    </w:p>
    <w:p w14:paraId="209C4EC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p>
    <w:p w14:paraId="45CBBCDE">
      <w:pPr>
        <w:keepNext w:val="0"/>
        <w:keepLines w:val="0"/>
        <w:pageBreakBefore w:val="0"/>
        <w:widowControl w:val="0"/>
        <w:kinsoku/>
        <w:wordWrap/>
        <w:overflowPunct/>
        <w:topLinePunct w:val="0"/>
        <w:autoSpaceDE/>
        <w:autoSpaceDN/>
        <w:bidi w:val="0"/>
        <w:adjustRightInd w:val="0"/>
        <w:snapToGrid w:val="0"/>
        <w:spacing w:line="360" w:lineRule="auto"/>
        <w:ind w:firstLine="1260" w:firstLineChars="6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p w14:paraId="432D39C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（2）具体标的见附件。</w:t>
      </w:r>
    </w:p>
    <w:p w14:paraId="7D7D91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（3）合同定价方式：</w:t>
      </w:r>
      <w:r>
        <w:rPr>
          <w:rFonts w:hint="eastAsia" w:ascii="宋体" w:hAnsi="宋体" w:eastAsia="宋体" w:cs="宋体"/>
          <w:iCs/>
          <w:color w:val="auto"/>
          <w:szCs w:val="21"/>
          <w:highlight w:val="none"/>
        </w:rPr>
        <w:sym w:font="Wingdings" w:char="00FE"/>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固定单价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p>
    <w:p w14:paraId="6D35963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（4）付款方式（按项目实际勾选填写）：</w:t>
      </w:r>
    </w:p>
    <w:p w14:paraId="2CF3DD55">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w:t>
      </w:r>
    </w:p>
    <w:p w14:paraId="53A3D67A">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3A80768">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E83B4E2">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1F9C6CD0">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3FC9AEB1">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3.合同履行</w:t>
      </w:r>
    </w:p>
    <w:p w14:paraId="486A689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日。总日历天数：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w:t>
      </w:r>
    </w:p>
    <w:p w14:paraId="5BD0A84C">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（2）地点</w:t>
      </w:r>
      <w:r>
        <w:rPr>
          <w:rFonts w:hint="eastAsia" w:ascii="宋体" w:hAnsi="宋体" w:cs="宋体"/>
          <w:b/>
          <w:szCs w:val="21"/>
        </w:rPr>
        <w:t>：</w:t>
      </w:r>
    </w:p>
    <w:tbl>
      <w:tblPr>
        <w:tblStyle w:val="46"/>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134"/>
        <w:gridCol w:w="2139"/>
        <w:gridCol w:w="1696"/>
        <w:gridCol w:w="976"/>
      </w:tblGrid>
      <w:tr w14:paraId="21C5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71D9E9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乡镇</w:t>
            </w:r>
          </w:p>
        </w:tc>
        <w:tc>
          <w:tcPr>
            <w:tcW w:w="2134" w:type="dxa"/>
            <w:vAlign w:val="center"/>
          </w:tcPr>
          <w:p w14:paraId="28C038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服务面积（亩）</w:t>
            </w:r>
          </w:p>
        </w:tc>
        <w:tc>
          <w:tcPr>
            <w:tcW w:w="2139" w:type="dxa"/>
            <w:vAlign w:val="center"/>
          </w:tcPr>
          <w:p w14:paraId="2B5435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每亩服务费</w:t>
            </w:r>
          </w:p>
        </w:tc>
        <w:tc>
          <w:tcPr>
            <w:tcW w:w="1696" w:type="dxa"/>
            <w:vAlign w:val="center"/>
          </w:tcPr>
          <w:p w14:paraId="66D56A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金额（元）</w:t>
            </w:r>
          </w:p>
        </w:tc>
        <w:tc>
          <w:tcPr>
            <w:tcW w:w="976" w:type="dxa"/>
            <w:vAlign w:val="center"/>
          </w:tcPr>
          <w:p w14:paraId="7D3F4C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备注</w:t>
            </w:r>
          </w:p>
        </w:tc>
      </w:tr>
      <w:tr w14:paraId="7063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789D5E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115826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4061F1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6EE698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5943CA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4A08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2CB41A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6BAB99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7932B4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41660D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67C40C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715E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58424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19974C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61878E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21E522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48FD67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3912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4603B1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7E608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6C5ACE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386FD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044CF0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241D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3CBEBF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578A04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53522B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5E9155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2E8973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60B1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605FC7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23CD8F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0B9701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7BDA4A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5AF0A4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2044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1C31C5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32CD51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7478DC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718ECF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7FCA75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0FA8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3C892A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54B411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144755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37BBCE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4E6F23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25F6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6F1759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4BD57B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4CA4D7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3F7A51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5BE23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2DDB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25AB76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1DF1DE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2F872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770C88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4EE03E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5CFE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648BB5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4" w:type="dxa"/>
            <w:vAlign w:val="center"/>
          </w:tcPr>
          <w:p w14:paraId="618C45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4DBA72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1F9DC0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10B08E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r w14:paraId="470D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0" w:type="dxa"/>
            <w:vAlign w:val="center"/>
          </w:tcPr>
          <w:p w14:paraId="5C42FF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总计</w:t>
            </w:r>
          </w:p>
        </w:tc>
        <w:tc>
          <w:tcPr>
            <w:tcW w:w="2134" w:type="dxa"/>
            <w:vAlign w:val="center"/>
          </w:tcPr>
          <w:p w14:paraId="68B71B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2139" w:type="dxa"/>
            <w:vAlign w:val="center"/>
          </w:tcPr>
          <w:p w14:paraId="4BBAB0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1696" w:type="dxa"/>
            <w:vAlign w:val="center"/>
          </w:tcPr>
          <w:p w14:paraId="1A575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c>
          <w:tcPr>
            <w:tcW w:w="976" w:type="dxa"/>
            <w:vAlign w:val="center"/>
          </w:tcPr>
          <w:p w14:paraId="28706A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vertAlign w:val="baseline"/>
              </w:rPr>
            </w:pPr>
          </w:p>
        </w:tc>
      </w:tr>
    </w:tbl>
    <w:p w14:paraId="17176F74">
      <w:pPr>
        <w:adjustRightInd w:val="0"/>
        <w:snapToGrid w:val="0"/>
        <w:spacing w:line="360" w:lineRule="auto"/>
        <w:ind w:firstLine="420" w:firstLineChars="200"/>
        <w:rPr>
          <w:rFonts w:ascii="宋体" w:hAnsi="宋体" w:cs="宋体"/>
          <w:szCs w:val="21"/>
          <w:u w:val="single"/>
        </w:rPr>
      </w:pPr>
      <w:r>
        <w:rPr>
          <w:rFonts w:hint="eastAsia" w:ascii="宋体" w:hAnsi="宋体" w:cs="宋体"/>
          <w:szCs w:val="21"/>
        </w:rPr>
        <w:t>（3）方式：</w:t>
      </w:r>
    </w:p>
    <w:p w14:paraId="08804676">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（4）履约担保：</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bCs/>
          <w:szCs w:val="21"/>
          <w:lang w:val="en-US" w:eastAsia="zh-CN"/>
        </w:rPr>
        <w:t xml:space="preserve"> </w:t>
      </w:r>
      <w:r>
        <w:rPr>
          <w:rFonts w:hint="eastAsia" w:ascii="宋体" w:hAnsi="宋体" w:cs="宋体"/>
          <w:bCs/>
          <w:szCs w:val="21"/>
        </w:rPr>
        <w:t>。</w:t>
      </w:r>
    </w:p>
    <w:p w14:paraId="2250C3DE">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（5）质量保证金：</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bCs/>
          <w:szCs w:val="21"/>
        </w:rPr>
        <w:t>。</w:t>
      </w:r>
    </w:p>
    <w:p w14:paraId="31CF6879">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w:t>
      </w:r>
      <w:r>
        <w:rPr>
          <w:rFonts w:hint="eastAsia" w:ascii="宋体" w:hAnsi="宋体" w:cs="宋体"/>
          <w:bCs/>
          <w:szCs w:val="21"/>
          <w:lang w:val="en-US" w:eastAsia="zh-CN"/>
        </w:rPr>
        <w:t>6</w:t>
      </w:r>
      <w:r>
        <w:rPr>
          <w:rFonts w:hint="eastAsia" w:ascii="宋体" w:hAnsi="宋体" w:cs="宋体"/>
          <w:bCs/>
          <w:szCs w:val="21"/>
          <w:lang w:eastAsia="zh-CN"/>
        </w:rPr>
        <w:t>）权利与义务:</w:t>
      </w:r>
    </w:p>
    <w:p w14:paraId="0FDD98B2">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6.1 甲方的权利与义务:</w:t>
      </w:r>
    </w:p>
    <w:p w14:paraId="48205156">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6.1.1 划定秋粮作物实施区域和面积以及统筹协调工作。</w:t>
      </w:r>
    </w:p>
    <w:p w14:paraId="110389BF">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6.1.2 明确服务组织作业面积、范围和要求。</w:t>
      </w:r>
    </w:p>
    <w:p w14:paraId="40AEE2C7">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6.1.3 对乙方的实施工作具有管理和监督的权利。</w:t>
      </w:r>
    </w:p>
    <w:p w14:paraId="45404670">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6.1.4 负责乙方实施工作的考核验收、结算付款。</w:t>
      </w:r>
    </w:p>
    <w:p w14:paraId="4A008D79">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6.2 乙方的权利和义务:</w:t>
      </w:r>
    </w:p>
    <w:p w14:paraId="50F47604">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6.2.1 按照甲方要求和《湖南省2026年“秋粮抗逆防灾”实施方案》文件精神，严格按时按量按质完成指定区域内秋粮作物“抗逆防灾”的作业任务。一是安排农学、植保等技术人员在喷施前调查，因地制宜制定喷施方案；二是使用三证齐全的合格产品。三是规范作业，喷施均匀，确保无重喷、漏喷、药害等现象。四是施药后4-6小时内如遇降雨，需及时补治。</w:t>
      </w:r>
    </w:p>
    <w:p w14:paraId="7CB87DDC">
      <w:pPr>
        <w:adjustRightInd w:val="0"/>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lang w:eastAsia="zh-CN"/>
        </w:rPr>
        <w:t>6.2.2 乙方在项目实施过程中应严格遵守《农作物防治条例》、《农药使用技术规程》等法律规程，规范落实各项安全生产措施。在实施过程中所发生的一切安全生产责任、矛盾纠纷等全部由乙方承担（</w:t>
      </w:r>
      <w:r>
        <w:rPr>
          <w:rFonts w:hint="eastAsia" w:ascii="宋体" w:hAnsi="宋体" w:cs="宋体"/>
          <w:szCs w:val="21"/>
          <w:highlight w:val="none"/>
          <w:lang w:eastAsia="zh-CN"/>
        </w:rPr>
        <w:t>农业生产经营主体主动要求添加的农药引起的安全事件除外</w:t>
      </w:r>
      <w:r>
        <w:rPr>
          <w:rFonts w:hint="eastAsia" w:ascii="宋体" w:hAnsi="宋体" w:cs="宋体"/>
          <w:bCs/>
          <w:szCs w:val="21"/>
          <w:lang w:eastAsia="zh-CN"/>
        </w:rPr>
        <w:t>）。</w:t>
      </w:r>
    </w:p>
    <w:p w14:paraId="0643F9DE">
      <w:pPr>
        <w:adjustRightInd w:val="0"/>
        <w:snapToGrid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lang w:eastAsia="zh-CN"/>
        </w:rPr>
        <w:t>6.2.3 在“抗逆防灾”作业时，按要求建立村民农户代表等签字确定的喷施方案、实施资</w:t>
      </w:r>
      <w:r>
        <w:rPr>
          <w:rFonts w:hint="eastAsia" w:ascii="宋体" w:hAnsi="宋体" w:cs="宋体"/>
          <w:bCs/>
          <w:szCs w:val="21"/>
          <w:highlight w:val="none"/>
          <w:lang w:eastAsia="zh-CN"/>
        </w:rPr>
        <w:t>料(见附表1)和实施</w:t>
      </w:r>
      <w:r>
        <w:rPr>
          <w:rFonts w:hint="eastAsia" w:ascii="宋体" w:hAnsi="宋体" w:cs="宋体"/>
          <w:bCs/>
          <w:szCs w:val="21"/>
          <w:lang w:eastAsia="zh-CN"/>
        </w:rPr>
        <w:t>轨迹，并在每一个乡镇确定2-3个点来进行增产情况对比(前后)。</w:t>
      </w:r>
    </w:p>
    <w:p w14:paraId="3C760D6D">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4.合同验收</w:t>
      </w:r>
    </w:p>
    <w:p w14:paraId="374E3FF0">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（1）验收主体：。</w:t>
      </w:r>
    </w:p>
    <w:p w14:paraId="55D33FEF">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（2）验收方式：甲方组织计财、纪检、采购、植保植检及乡镇农业站的技术人员，在“</w:t>
      </w:r>
      <w:r>
        <w:rPr>
          <w:rFonts w:hint="eastAsia" w:ascii="宋体" w:hAnsi="宋体" w:cs="宋体"/>
          <w:bCs/>
          <w:szCs w:val="21"/>
          <w:lang w:eastAsia="zh-CN"/>
        </w:rPr>
        <w:t>抗逆防灾</w:t>
      </w:r>
      <w:r>
        <w:rPr>
          <w:rFonts w:hint="eastAsia" w:ascii="宋体" w:hAnsi="宋体" w:cs="宋体"/>
          <w:bCs/>
          <w:szCs w:val="21"/>
        </w:rPr>
        <w:t>”服务乡镇随机抽取3-5个点进行现场调查验收，与确定的点及前三年我县中晚稻产量平均值进行对比，增产效果5%以上。</w:t>
      </w:r>
    </w:p>
    <w:p w14:paraId="3BB42BE0">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（3）验收标准：。</w:t>
      </w:r>
    </w:p>
    <w:p w14:paraId="73D8A8B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5.组成合同的文件</w:t>
      </w:r>
    </w:p>
    <w:p w14:paraId="79306DC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4E046D1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（1）在采购或合同履行过程中乙方作出的承诺以及双方协商达成的变更或补充协议</w:t>
      </w:r>
    </w:p>
    <w:p w14:paraId="343178C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（2）本合同协议书</w:t>
      </w:r>
    </w:p>
    <w:p w14:paraId="1DA278C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（3）成交通知书</w:t>
      </w:r>
    </w:p>
    <w:p w14:paraId="5EBC02D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w:t>
      </w:r>
    </w:p>
    <w:p w14:paraId="0A8A1A0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（5）政府采购合同专用条款</w:t>
      </w:r>
    </w:p>
    <w:p w14:paraId="0559819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（6）政府采购合同通用条款</w:t>
      </w:r>
    </w:p>
    <w:p w14:paraId="6D542DE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（7）标准、规范及有关技术文件，图纸。</w:t>
      </w:r>
    </w:p>
    <w:p w14:paraId="7189F71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4B609DB2">
      <w:pPr>
        <w:keepNext w:val="0"/>
        <w:keepLines w:val="0"/>
        <w:pageBreakBefore w:val="0"/>
        <w:widowControl w:val="0"/>
        <w:kinsoku/>
        <w:wordWrap/>
        <w:overflowPunct/>
        <w:topLinePunct w:val="0"/>
        <w:autoSpaceDE/>
        <w:autoSpaceDN/>
        <w:bidi w:val="0"/>
        <w:adjustRightInd w:val="0"/>
        <w:snapToGrid w:val="0"/>
        <w:spacing w:line="360" w:lineRule="auto"/>
        <w:ind w:firstLine="310" w:firstLineChars="147"/>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6.合同生效</w:t>
      </w:r>
    </w:p>
    <w:p w14:paraId="5295016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30FAE073">
      <w:pPr>
        <w:keepNext w:val="0"/>
        <w:keepLines w:val="0"/>
        <w:pageBreakBefore w:val="0"/>
        <w:widowControl w:val="0"/>
        <w:kinsoku/>
        <w:wordWrap/>
        <w:overflowPunct/>
        <w:topLinePunct w:val="0"/>
        <w:autoSpaceDE/>
        <w:autoSpaceDN/>
        <w:bidi w:val="0"/>
        <w:adjustRightInd w:val="0"/>
        <w:snapToGrid w:val="0"/>
        <w:spacing w:line="360" w:lineRule="auto"/>
        <w:ind w:firstLine="310" w:firstLineChars="147"/>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7.合同份数</w:t>
      </w:r>
    </w:p>
    <w:p w14:paraId="7BCBCA4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份，采购人执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份，供应商执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52341AC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1"/>
          <w:highlight w:val="none"/>
        </w:rPr>
      </w:pPr>
    </w:p>
    <w:p w14:paraId="07EAF19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D65531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459F8F5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w:t>
      </w:r>
      <w:r>
        <w:rPr>
          <w:rFonts w:hint="eastAsia" w:ascii="宋体" w:hAnsi="宋体" w:eastAsia="宋体" w:cs="宋体"/>
          <w:color w:val="auto"/>
          <w:szCs w:val="21"/>
          <w:highlight w:val="none"/>
          <w:lang w:val="en-US" w:eastAsia="zh-CN"/>
        </w:rPr>
        <w:t>具体标的明细、分包合同等。</w:t>
      </w:r>
    </w:p>
    <w:p w14:paraId="3D5BA2CD">
      <w:pPr>
        <w:adjustRightInd w:val="0"/>
        <w:snapToGrid w:val="0"/>
        <w:spacing w:line="360" w:lineRule="auto"/>
        <w:rPr>
          <w:rFonts w:ascii="宋体" w:hAnsi="宋体"/>
          <w:color w:val="auto"/>
          <w:szCs w:val="21"/>
          <w:highlight w:val="none"/>
        </w:rPr>
      </w:pPr>
    </w:p>
    <w:p w14:paraId="5EFD69AA">
      <w:pPr>
        <w:adjustRightInd w:val="0"/>
        <w:snapToGrid w:val="0"/>
        <w:spacing w:line="360" w:lineRule="auto"/>
        <w:rPr>
          <w:rFonts w:hint="eastAsia" w:ascii="宋体" w:hAnsi="宋体"/>
          <w:color w:val="auto"/>
          <w:szCs w:val="21"/>
          <w:highlight w:val="none"/>
        </w:rPr>
      </w:pPr>
    </w:p>
    <w:p w14:paraId="62E48E9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37DC462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法定代表人：                             法定代表人：</w:t>
      </w:r>
    </w:p>
    <w:p w14:paraId="2A2ED3C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委托代理人：                             委托代理人：</w:t>
      </w:r>
    </w:p>
    <w:p w14:paraId="778E9A3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电      话：                             电      话：</w:t>
      </w:r>
    </w:p>
    <w:p w14:paraId="3DE281E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传      真：                             传      真：</w:t>
      </w:r>
    </w:p>
    <w:p w14:paraId="4C71CE43">
      <w:pPr>
        <w:adjustRightInd w:val="0"/>
        <w:snapToGrid w:val="0"/>
        <w:spacing w:line="360" w:lineRule="auto"/>
        <w:ind w:firstLine="4305" w:firstLineChars="2050"/>
        <w:rPr>
          <w:rFonts w:ascii="宋体" w:hAnsi="宋体"/>
          <w:color w:val="auto"/>
          <w:szCs w:val="21"/>
          <w:highlight w:val="none"/>
        </w:rPr>
      </w:pPr>
      <w:r>
        <w:rPr>
          <w:rFonts w:hint="eastAsia" w:ascii="宋体" w:hAnsi="宋体"/>
          <w:color w:val="auto"/>
          <w:szCs w:val="21"/>
          <w:highlight w:val="none"/>
        </w:rPr>
        <w:t>开 户 银 行：</w:t>
      </w:r>
    </w:p>
    <w:p w14:paraId="137725A7">
      <w:pPr>
        <w:rPr>
          <w:rFonts w:hint="eastAsia" w:ascii="宋体" w:hAnsi="宋体"/>
          <w:color w:val="auto"/>
          <w:szCs w:val="21"/>
          <w:highlight w:val="none"/>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olor w:val="auto"/>
          <w:szCs w:val="21"/>
          <w:highlight w:val="none"/>
        </w:rPr>
        <w:t xml:space="preserve">                                         账      号：</w:t>
      </w:r>
    </w:p>
    <w:p w14:paraId="1E33AFE3">
      <w:pPr>
        <w:rPr>
          <w:rFonts w:hint="eastAsia"/>
          <w:lang w:val="en-US" w:eastAsia="zh-CN"/>
        </w:rPr>
      </w:pPr>
      <w:r>
        <w:rPr>
          <w:rFonts w:hint="eastAsia"/>
          <w:lang w:eastAsia="zh-CN"/>
        </w:rPr>
        <w:t>附表</w:t>
      </w:r>
      <w:r>
        <w:rPr>
          <w:rFonts w:hint="eastAsia"/>
          <w:lang w:val="en-US" w:eastAsia="zh-CN"/>
        </w:rPr>
        <w:t>1：</w:t>
      </w:r>
    </w:p>
    <w:p w14:paraId="14313698">
      <w:pPr>
        <w:jc w:val="center"/>
        <w:rPr>
          <w:rFonts w:hint="eastAsia" w:ascii="方正大标宋简体" w:hAnsi="方正大标宋简体" w:eastAsia="方正大标宋简体" w:cs="方正大标宋简体"/>
          <w:sz w:val="44"/>
          <w:szCs w:val="44"/>
          <w:u w:val="none"/>
          <w:lang w:val="en-US" w:eastAsia="zh-CN"/>
        </w:rPr>
      </w:pPr>
      <w:r>
        <w:rPr>
          <w:rFonts w:hint="eastAsia" w:ascii="方正大标宋简体" w:hAnsi="方正大标宋简体" w:eastAsia="方正大标宋简体" w:cs="方正大标宋简体"/>
          <w:sz w:val="44"/>
          <w:szCs w:val="44"/>
          <w:lang w:val="en-US" w:eastAsia="zh-CN"/>
        </w:rPr>
        <w:t>新化县</w:t>
      </w:r>
      <w:r>
        <w:rPr>
          <w:rFonts w:hint="eastAsia" w:ascii="方正大标宋简体" w:hAnsi="方正大标宋简体" w:eastAsia="方正大标宋简体" w:cs="方正大标宋简体"/>
          <w:sz w:val="44"/>
          <w:szCs w:val="44"/>
          <w:u w:val="single"/>
          <w:lang w:val="en-US" w:eastAsia="zh-CN"/>
        </w:rPr>
        <w:t xml:space="preserve">         </w:t>
      </w:r>
      <w:r>
        <w:rPr>
          <w:rFonts w:hint="eastAsia" w:ascii="方正大标宋简体" w:hAnsi="方正大标宋简体" w:eastAsia="方正大标宋简体" w:cs="方正大标宋简体"/>
          <w:sz w:val="44"/>
          <w:szCs w:val="44"/>
          <w:u w:val="none"/>
          <w:lang w:val="en-US" w:eastAsia="zh-CN"/>
        </w:rPr>
        <w:t>乡镇“一喷多促”作业情况确认表</w:t>
      </w:r>
    </w:p>
    <w:tbl>
      <w:tblPr>
        <w:tblStyle w:val="46"/>
        <w:tblW w:w="14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1013"/>
        <w:gridCol w:w="1175"/>
        <w:gridCol w:w="1288"/>
        <w:gridCol w:w="1377"/>
        <w:gridCol w:w="1323"/>
        <w:gridCol w:w="1182"/>
        <w:gridCol w:w="1013"/>
        <w:gridCol w:w="1014"/>
        <w:gridCol w:w="1014"/>
        <w:gridCol w:w="1520"/>
        <w:gridCol w:w="1014"/>
        <w:gridCol w:w="1424"/>
      </w:tblGrid>
      <w:tr w14:paraId="42D3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599" w:type="dxa"/>
            <w:vAlign w:val="center"/>
          </w:tcPr>
          <w:p w14:paraId="2E92BB2E">
            <w:pPr>
              <w:jc w:val="center"/>
              <w:rPr>
                <w:rFonts w:hint="eastAsia"/>
                <w:u w:val="none"/>
                <w:vertAlign w:val="baseline"/>
                <w:lang w:val="en-US" w:eastAsia="zh-CN"/>
              </w:rPr>
            </w:pPr>
            <w:r>
              <w:rPr>
                <w:rFonts w:hint="eastAsia"/>
                <w:u w:val="none"/>
                <w:vertAlign w:val="baseline"/>
                <w:lang w:val="en-US" w:eastAsia="zh-CN"/>
              </w:rPr>
              <w:t>序号</w:t>
            </w:r>
          </w:p>
        </w:tc>
        <w:tc>
          <w:tcPr>
            <w:tcW w:w="1013" w:type="dxa"/>
            <w:vAlign w:val="center"/>
          </w:tcPr>
          <w:p w14:paraId="2BD1EA84">
            <w:pPr>
              <w:jc w:val="center"/>
              <w:rPr>
                <w:rFonts w:hint="eastAsia"/>
                <w:u w:val="none"/>
                <w:vertAlign w:val="baseline"/>
                <w:lang w:val="en-US" w:eastAsia="zh-CN"/>
              </w:rPr>
            </w:pPr>
            <w:r>
              <w:rPr>
                <w:rFonts w:hint="eastAsia"/>
                <w:u w:val="none"/>
                <w:vertAlign w:val="baseline"/>
                <w:lang w:val="en-US" w:eastAsia="zh-CN"/>
              </w:rPr>
              <w:t>镇（乡）</w:t>
            </w:r>
          </w:p>
        </w:tc>
        <w:tc>
          <w:tcPr>
            <w:tcW w:w="1175" w:type="dxa"/>
            <w:vAlign w:val="center"/>
          </w:tcPr>
          <w:p w14:paraId="726C8093">
            <w:pPr>
              <w:jc w:val="center"/>
              <w:rPr>
                <w:rFonts w:hint="eastAsia"/>
                <w:u w:val="none"/>
                <w:vertAlign w:val="baseline"/>
                <w:lang w:val="en-US" w:eastAsia="zh-CN"/>
              </w:rPr>
            </w:pPr>
            <w:r>
              <w:rPr>
                <w:rFonts w:hint="eastAsia"/>
                <w:u w:val="none"/>
                <w:vertAlign w:val="baseline"/>
                <w:lang w:val="en-US" w:eastAsia="zh-CN"/>
              </w:rPr>
              <w:t>村名</w:t>
            </w:r>
          </w:p>
        </w:tc>
        <w:tc>
          <w:tcPr>
            <w:tcW w:w="1288" w:type="dxa"/>
            <w:vAlign w:val="center"/>
          </w:tcPr>
          <w:p w14:paraId="6C1A037A">
            <w:pPr>
              <w:jc w:val="center"/>
              <w:rPr>
                <w:rFonts w:hint="eastAsia"/>
                <w:u w:val="none"/>
                <w:vertAlign w:val="baseline"/>
                <w:lang w:val="en-US" w:eastAsia="zh-CN"/>
              </w:rPr>
            </w:pPr>
            <w:r>
              <w:rPr>
                <w:rFonts w:hint="eastAsia"/>
                <w:u w:val="none"/>
                <w:vertAlign w:val="baseline"/>
                <w:lang w:val="en-US" w:eastAsia="zh-CN"/>
              </w:rPr>
              <w:t>耕地类型</w:t>
            </w:r>
          </w:p>
        </w:tc>
        <w:tc>
          <w:tcPr>
            <w:tcW w:w="1377" w:type="dxa"/>
            <w:vAlign w:val="center"/>
          </w:tcPr>
          <w:p w14:paraId="3C3F48C2">
            <w:pPr>
              <w:jc w:val="center"/>
              <w:rPr>
                <w:rFonts w:hint="eastAsia"/>
                <w:u w:val="none"/>
                <w:vertAlign w:val="baseline"/>
                <w:lang w:val="en-US" w:eastAsia="zh-CN"/>
              </w:rPr>
            </w:pPr>
            <w:r>
              <w:rPr>
                <w:rFonts w:hint="eastAsia"/>
                <w:u w:val="none"/>
                <w:vertAlign w:val="baseline"/>
                <w:lang w:val="en-US" w:eastAsia="zh-CN"/>
              </w:rPr>
              <w:t>实施方案（药肥品种）</w:t>
            </w:r>
          </w:p>
        </w:tc>
        <w:tc>
          <w:tcPr>
            <w:tcW w:w="1323" w:type="dxa"/>
            <w:vAlign w:val="center"/>
          </w:tcPr>
          <w:p w14:paraId="2B52DD67">
            <w:pPr>
              <w:jc w:val="center"/>
              <w:rPr>
                <w:rFonts w:hint="eastAsia"/>
                <w:u w:val="none"/>
                <w:vertAlign w:val="baseline"/>
                <w:lang w:val="en-US" w:eastAsia="zh-CN"/>
              </w:rPr>
            </w:pPr>
            <w:r>
              <w:rPr>
                <w:rFonts w:hint="eastAsia"/>
                <w:u w:val="none"/>
                <w:vertAlign w:val="baseline"/>
                <w:lang w:val="en-US" w:eastAsia="zh-CN"/>
              </w:rPr>
              <w:t>喷施方式</w:t>
            </w:r>
          </w:p>
        </w:tc>
        <w:tc>
          <w:tcPr>
            <w:tcW w:w="1182" w:type="dxa"/>
            <w:vAlign w:val="center"/>
          </w:tcPr>
          <w:p w14:paraId="29A2DA50">
            <w:pPr>
              <w:jc w:val="center"/>
              <w:rPr>
                <w:rFonts w:hint="eastAsia"/>
                <w:u w:val="none"/>
                <w:vertAlign w:val="baseline"/>
                <w:lang w:val="en-US" w:eastAsia="zh-CN"/>
              </w:rPr>
            </w:pPr>
            <w:r>
              <w:rPr>
                <w:rFonts w:hint="eastAsia"/>
                <w:u w:val="none"/>
                <w:vertAlign w:val="baseline"/>
                <w:lang w:val="en-US" w:eastAsia="zh-CN"/>
              </w:rPr>
              <w:t>喷施时间</w:t>
            </w:r>
          </w:p>
        </w:tc>
        <w:tc>
          <w:tcPr>
            <w:tcW w:w="1013" w:type="dxa"/>
            <w:vAlign w:val="center"/>
          </w:tcPr>
          <w:p w14:paraId="3B0DB9FD">
            <w:pPr>
              <w:jc w:val="center"/>
              <w:rPr>
                <w:rFonts w:hint="eastAsia"/>
                <w:u w:val="none"/>
                <w:vertAlign w:val="baseline"/>
                <w:lang w:val="en-US" w:eastAsia="zh-CN"/>
              </w:rPr>
            </w:pPr>
            <w:r>
              <w:rPr>
                <w:rFonts w:hint="eastAsia"/>
                <w:u w:val="none"/>
                <w:vertAlign w:val="baseline"/>
                <w:lang w:val="en-US" w:eastAsia="zh-CN"/>
              </w:rPr>
              <w:t>喷施面积（亩）</w:t>
            </w:r>
          </w:p>
        </w:tc>
        <w:tc>
          <w:tcPr>
            <w:tcW w:w="1014" w:type="dxa"/>
            <w:vAlign w:val="center"/>
          </w:tcPr>
          <w:p w14:paraId="32967EDA">
            <w:pPr>
              <w:jc w:val="center"/>
              <w:rPr>
                <w:rFonts w:hint="eastAsia"/>
                <w:u w:val="none"/>
                <w:vertAlign w:val="baseline"/>
                <w:lang w:val="en-US" w:eastAsia="zh-CN"/>
              </w:rPr>
            </w:pPr>
            <w:r>
              <w:rPr>
                <w:rFonts w:hint="eastAsia"/>
                <w:u w:val="none"/>
                <w:vertAlign w:val="baseline"/>
                <w:lang w:val="en-US" w:eastAsia="zh-CN"/>
              </w:rPr>
              <w:t>喷施规范程度</w:t>
            </w:r>
          </w:p>
        </w:tc>
        <w:tc>
          <w:tcPr>
            <w:tcW w:w="1014" w:type="dxa"/>
            <w:vAlign w:val="center"/>
          </w:tcPr>
          <w:p w14:paraId="251C0BA3">
            <w:pPr>
              <w:jc w:val="center"/>
              <w:rPr>
                <w:rFonts w:hint="eastAsia"/>
                <w:u w:val="none"/>
                <w:vertAlign w:val="baseline"/>
                <w:lang w:val="en-US" w:eastAsia="zh-CN"/>
              </w:rPr>
            </w:pPr>
            <w:r>
              <w:rPr>
                <w:rFonts w:hint="eastAsia"/>
                <w:u w:val="none"/>
                <w:vertAlign w:val="baseline"/>
                <w:lang w:val="en-US" w:eastAsia="zh-CN"/>
              </w:rPr>
              <w:t>农户确认签字</w:t>
            </w:r>
          </w:p>
        </w:tc>
        <w:tc>
          <w:tcPr>
            <w:tcW w:w="1520" w:type="dxa"/>
            <w:vAlign w:val="center"/>
          </w:tcPr>
          <w:p w14:paraId="25B54B40">
            <w:pPr>
              <w:jc w:val="center"/>
              <w:rPr>
                <w:rFonts w:hint="eastAsia"/>
                <w:u w:val="none"/>
                <w:vertAlign w:val="baseline"/>
                <w:lang w:val="en-US" w:eastAsia="zh-CN"/>
              </w:rPr>
            </w:pPr>
            <w:r>
              <w:rPr>
                <w:rFonts w:hint="eastAsia"/>
                <w:u w:val="none"/>
                <w:vertAlign w:val="baseline"/>
                <w:lang w:val="en-US" w:eastAsia="zh-CN"/>
              </w:rPr>
              <w:t>村级确认签字（盖章）</w:t>
            </w:r>
          </w:p>
        </w:tc>
        <w:tc>
          <w:tcPr>
            <w:tcW w:w="1014" w:type="dxa"/>
            <w:vAlign w:val="center"/>
          </w:tcPr>
          <w:p w14:paraId="1AB43AD6">
            <w:pPr>
              <w:jc w:val="center"/>
              <w:rPr>
                <w:rFonts w:hint="eastAsia"/>
                <w:u w:val="none"/>
                <w:vertAlign w:val="baseline"/>
                <w:lang w:val="en-US" w:eastAsia="zh-CN"/>
              </w:rPr>
            </w:pPr>
            <w:r>
              <w:rPr>
                <w:rFonts w:hint="eastAsia"/>
                <w:u w:val="none"/>
                <w:vertAlign w:val="baseline"/>
                <w:lang w:val="en-US" w:eastAsia="zh-CN"/>
              </w:rPr>
              <w:t>喷施效果</w:t>
            </w:r>
          </w:p>
        </w:tc>
        <w:tc>
          <w:tcPr>
            <w:tcW w:w="1424" w:type="dxa"/>
            <w:vAlign w:val="center"/>
          </w:tcPr>
          <w:p w14:paraId="6F5E948F">
            <w:pPr>
              <w:jc w:val="center"/>
              <w:rPr>
                <w:rFonts w:hint="eastAsia"/>
                <w:u w:val="none"/>
                <w:vertAlign w:val="baseline"/>
                <w:lang w:val="en-US" w:eastAsia="zh-CN"/>
              </w:rPr>
            </w:pPr>
            <w:r>
              <w:rPr>
                <w:rFonts w:hint="eastAsia"/>
                <w:u w:val="none"/>
                <w:vertAlign w:val="baseline"/>
                <w:lang w:val="en-US" w:eastAsia="zh-CN"/>
              </w:rPr>
              <w:t>喷施后有无药害等现象</w:t>
            </w:r>
          </w:p>
        </w:tc>
      </w:tr>
      <w:tr w14:paraId="3533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599" w:type="dxa"/>
            <w:vAlign w:val="center"/>
          </w:tcPr>
          <w:p w14:paraId="00586043">
            <w:pPr>
              <w:jc w:val="center"/>
              <w:rPr>
                <w:rFonts w:hint="default"/>
                <w:u w:val="none"/>
                <w:vertAlign w:val="baseline"/>
                <w:lang w:val="en-US" w:eastAsia="zh-CN"/>
              </w:rPr>
            </w:pPr>
            <w:r>
              <w:rPr>
                <w:rFonts w:hint="eastAsia"/>
                <w:u w:val="none"/>
                <w:vertAlign w:val="baseline"/>
                <w:lang w:val="en-US" w:eastAsia="zh-CN"/>
              </w:rPr>
              <w:t>1</w:t>
            </w:r>
          </w:p>
        </w:tc>
        <w:tc>
          <w:tcPr>
            <w:tcW w:w="1013" w:type="dxa"/>
            <w:vAlign w:val="center"/>
          </w:tcPr>
          <w:p w14:paraId="274D6FC1">
            <w:pPr>
              <w:jc w:val="center"/>
              <w:rPr>
                <w:rFonts w:hint="eastAsia"/>
                <w:u w:val="none"/>
                <w:vertAlign w:val="baseline"/>
                <w:lang w:val="en-US" w:eastAsia="zh-CN"/>
              </w:rPr>
            </w:pPr>
          </w:p>
        </w:tc>
        <w:tc>
          <w:tcPr>
            <w:tcW w:w="1175" w:type="dxa"/>
            <w:vAlign w:val="center"/>
          </w:tcPr>
          <w:p w14:paraId="7228BDE8">
            <w:pPr>
              <w:jc w:val="center"/>
              <w:rPr>
                <w:rFonts w:hint="eastAsia"/>
                <w:u w:val="none"/>
                <w:vertAlign w:val="baseline"/>
                <w:lang w:val="en-US" w:eastAsia="zh-CN"/>
              </w:rPr>
            </w:pPr>
          </w:p>
        </w:tc>
        <w:tc>
          <w:tcPr>
            <w:tcW w:w="1288" w:type="dxa"/>
            <w:vAlign w:val="center"/>
          </w:tcPr>
          <w:p w14:paraId="5AA04E63">
            <w:pPr>
              <w:jc w:val="center"/>
              <w:rPr>
                <w:rFonts w:hint="eastAsia"/>
                <w:u w:val="none"/>
                <w:vertAlign w:val="baseline"/>
                <w:lang w:val="en-US" w:eastAsia="zh-CN"/>
              </w:rPr>
            </w:pPr>
            <w:r>
              <w:rPr>
                <w:rFonts w:hint="eastAsia"/>
                <w:u w:val="none"/>
                <w:vertAlign w:val="baseline"/>
                <w:lang w:val="en-US" w:eastAsia="zh-CN"/>
              </w:rPr>
              <w:t>水田</w:t>
            </w:r>
          </w:p>
        </w:tc>
        <w:tc>
          <w:tcPr>
            <w:tcW w:w="1377" w:type="dxa"/>
            <w:vAlign w:val="center"/>
          </w:tcPr>
          <w:p w14:paraId="6A489C2A">
            <w:pPr>
              <w:jc w:val="center"/>
              <w:rPr>
                <w:rFonts w:hint="eastAsia"/>
                <w:u w:val="none"/>
                <w:vertAlign w:val="baseline"/>
                <w:lang w:val="en-US" w:eastAsia="zh-CN"/>
              </w:rPr>
            </w:pPr>
          </w:p>
        </w:tc>
        <w:tc>
          <w:tcPr>
            <w:tcW w:w="1323" w:type="dxa"/>
            <w:vAlign w:val="center"/>
          </w:tcPr>
          <w:p w14:paraId="750C93F7">
            <w:pPr>
              <w:jc w:val="center"/>
              <w:rPr>
                <w:rFonts w:hint="eastAsia"/>
                <w:u w:val="none"/>
                <w:vertAlign w:val="baseline"/>
                <w:lang w:val="en-US" w:eastAsia="zh-CN"/>
              </w:rPr>
            </w:pPr>
          </w:p>
        </w:tc>
        <w:tc>
          <w:tcPr>
            <w:tcW w:w="1182" w:type="dxa"/>
            <w:vAlign w:val="center"/>
          </w:tcPr>
          <w:p w14:paraId="27C93F9E">
            <w:pPr>
              <w:jc w:val="center"/>
              <w:rPr>
                <w:rFonts w:hint="eastAsia"/>
                <w:u w:val="none"/>
                <w:vertAlign w:val="baseline"/>
                <w:lang w:val="en-US" w:eastAsia="zh-CN"/>
              </w:rPr>
            </w:pPr>
          </w:p>
        </w:tc>
        <w:tc>
          <w:tcPr>
            <w:tcW w:w="1013" w:type="dxa"/>
            <w:vAlign w:val="center"/>
          </w:tcPr>
          <w:p w14:paraId="5D3D1E0D">
            <w:pPr>
              <w:jc w:val="center"/>
              <w:rPr>
                <w:rFonts w:hint="eastAsia"/>
                <w:u w:val="none"/>
                <w:vertAlign w:val="baseline"/>
                <w:lang w:val="en-US" w:eastAsia="zh-CN"/>
              </w:rPr>
            </w:pPr>
          </w:p>
        </w:tc>
        <w:tc>
          <w:tcPr>
            <w:tcW w:w="1014" w:type="dxa"/>
            <w:vAlign w:val="center"/>
          </w:tcPr>
          <w:p w14:paraId="2629C26F">
            <w:pPr>
              <w:jc w:val="center"/>
              <w:rPr>
                <w:rFonts w:hint="eastAsia"/>
                <w:u w:val="none"/>
                <w:vertAlign w:val="baseline"/>
                <w:lang w:val="en-US" w:eastAsia="zh-CN"/>
              </w:rPr>
            </w:pPr>
          </w:p>
        </w:tc>
        <w:tc>
          <w:tcPr>
            <w:tcW w:w="1014" w:type="dxa"/>
            <w:vAlign w:val="center"/>
          </w:tcPr>
          <w:p w14:paraId="60BE47A6">
            <w:pPr>
              <w:jc w:val="center"/>
              <w:rPr>
                <w:rFonts w:hint="eastAsia"/>
                <w:u w:val="none"/>
                <w:vertAlign w:val="baseline"/>
                <w:lang w:val="en-US" w:eastAsia="zh-CN"/>
              </w:rPr>
            </w:pPr>
          </w:p>
        </w:tc>
        <w:tc>
          <w:tcPr>
            <w:tcW w:w="1520" w:type="dxa"/>
            <w:vAlign w:val="center"/>
          </w:tcPr>
          <w:p w14:paraId="61B9F03B">
            <w:pPr>
              <w:jc w:val="center"/>
              <w:rPr>
                <w:rFonts w:hint="eastAsia"/>
                <w:u w:val="none"/>
                <w:vertAlign w:val="baseline"/>
                <w:lang w:val="en-US" w:eastAsia="zh-CN"/>
              </w:rPr>
            </w:pPr>
          </w:p>
        </w:tc>
        <w:tc>
          <w:tcPr>
            <w:tcW w:w="1014" w:type="dxa"/>
            <w:vAlign w:val="center"/>
          </w:tcPr>
          <w:p w14:paraId="3187A198">
            <w:pPr>
              <w:jc w:val="center"/>
              <w:rPr>
                <w:rFonts w:hint="eastAsia"/>
                <w:u w:val="none"/>
                <w:vertAlign w:val="baseline"/>
                <w:lang w:val="en-US" w:eastAsia="zh-CN"/>
              </w:rPr>
            </w:pPr>
          </w:p>
        </w:tc>
        <w:tc>
          <w:tcPr>
            <w:tcW w:w="1424" w:type="dxa"/>
            <w:vAlign w:val="center"/>
          </w:tcPr>
          <w:p w14:paraId="108256FD">
            <w:pPr>
              <w:jc w:val="center"/>
              <w:rPr>
                <w:rFonts w:hint="eastAsia"/>
                <w:u w:val="none"/>
                <w:vertAlign w:val="baseline"/>
                <w:lang w:val="en-US" w:eastAsia="zh-CN"/>
              </w:rPr>
            </w:pPr>
          </w:p>
        </w:tc>
      </w:tr>
      <w:tr w14:paraId="1412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7" w:hRule="atLeast"/>
          <w:jc w:val="center"/>
        </w:trPr>
        <w:tc>
          <w:tcPr>
            <w:tcW w:w="599" w:type="dxa"/>
            <w:vAlign w:val="center"/>
          </w:tcPr>
          <w:p w14:paraId="23D71967">
            <w:pPr>
              <w:jc w:val="center"/>
              <w:rPr>
                <w:rFonts w:hint="eastAsia"/>
                <w:u w:val="none"/>
                <w:vertAlign w:val="baseline"/>
                <w:lang w:val="en-US" w:eastAsia="zh-CN"/>
              </w:rPr>
            </w:pPr>
            <w:r>
              <w:rPr>
                <w:rFonts w:hint="eastAsia"/>
                <w:u w:val="none"/>
                <w:vertAlign w:val="baseline"/>
                <w:lang w:val="en-US" w:eastAsia="zh-CN"/>
              </w:rPr>
              <w:t>汇总</w:t>
            </w:r>
          </w:p>
        </w:tc>
        <w:tc>
          <w:tcPr>
            <w:tcW w:w="1013" w:type="dxa"/>
            <w:vAlign w:val="center"/>
          </w:tcPr>
          <w:p w14:paraId="5101A289">
            <w:pPr>
              <w:jc w:val="center"/>
              <w:rPr>
                <w:rFonts w:hint="eastAsia"/>
                <w:u w:val="none"/>
                <w:vertAlign w:val="baseline"/>
                <w:lang w:val="en-US" w:eastAsia="zh-CN"/>
              </w:rPr>
            </w:pPr>
          </w:p>
        </w:tc>
        <w:tc>
          <w:tcPr>
            <w:tcW w:w="1175" w:type="dxa"/>
            <w:vAlign w:val="center"/>
          </w:tcPr>
          <w:p w14:paraId="5551FC52">
            <w:pPr>
              <w:jc w:val="center"/>
              <w:rPr>
                <w:rFonts w:hint="eastAsia"/>
                <w:u w:val="none"/>
                <w:vertAlign w:val="baseline"/>
                <w:lang w:val="en-US" w:eastAsia="zh-CN"/>
              </w:rPr>
            </w:pPr>
          </w:p>
        </w:tc>
        <w:tc>
          <w:tcPr>
            <w:tcW w:w="1288" w:type="dxa"/>
            <w:vAlign w:val="center"/>
          </w:tcPr>
          <w:p w14:paraId="32B516DC">
            <w:pPr>
              <w:jc w:val="center"/>
              <w:rPr>
                <w:rFonts w:hint="eastAsia"/>
                <w:u w:val="none"/>
                <w:vertAlign w:val="baseline"/>
                <w:lang w:val="en-US" w:eastAsia="zh-CN"/>
              </w:rPr>
            </w:pPr>
          </w:p>
        </w:tc>
        <w:tc>
          <w:tcPr>
            <w:tcW w:w="1377" w:type="dxa"/>
            <w:vAlign w:val="center"/>
          </w:tcPr>
          <w:p w14:paraId="469ACABC">
            <w:pPr>
              <w:jc w:val="center"/>
              <w:rPr>
                <w:rFonts w:hint="eastAsia"/>
                <w:u w:val="none"/>
                <w:vertAlign w:val="baseline"/>
                <w:lang w:val="en-US" w:eastAsia="zh-CN"/>
              </w:rPr>
            </w:pPr>
          </w:p>
        </w:tc>
        <w:tc>
          <w:tcPr>
            <w:tcW w:w="1323" w:type="dxa"/>
            <w:vAlign w:val="center"/>
          </w:tcPr>
          <w:p w14:paraId="23A758ED">
            <w:pPr>
              <w:jc w:val="center"/>
              <w:rPr>
                <w:rFonts w:hint="eastAsia"/>
                <w:u w:val="none"/>
                <w:vertAlign w:val="baseline"/>
                <w:lang w:val="en-US" w:eastAsia="zh-CN"/>
              </w:rPr>
            </w:pPr>
          </w:p>
        </w:tc>
        <w:tc>
          <w:tcPr>
            <w:tcW w:w="1182" w:type="dxa"/>
            <w:vAlign w:val="center"/>
          </w:tcPr>
          <w:p w14:paraId="111D2751">
            <w:pPr>
              <w:jc w:val="center"/>
              <w:rPr>
                <w:rFonts w:hint="eastAsia"/>
                <w:u w:val="none"/>
                <w:vertAlign w:val="baseline"/>
                <w:lang w:val="en-US" w:eastAsia="zh-CN"/>
              </w:rPr>
            </w:pPr>
          </w:p>
        </w:tc>
        <w:tc>
          <w:tcPr>
            <w:tcW w:w="1013" w:type="dxa"/>
            <w:vAlign w:val="center"/>
          </w:tcPr>
          <w:p w14:paraId="62A47ACD">
            <w:pPr>
              <w:jc w:val="center"/>
              <w:rPr>
                <w:rFonts w:hint="eastAsia"/>
                <w:u w:val="none"/>
                <w:vertAlign w:val="baseline"/>
                <w:lang w:val="en-US" w:eastAsia="zh-CN"/>
              </w:rPr>
            </w:pPr>
          </w:p>
        </w:tc>
        <w:tc>
          <w:tcPr>
            <w:tcW w:w="1014" w:type="dxa"/>
            <w:vAlign w:val="center"/>
          </w:tcPr>
          <w:p w14:paraId="099CE61F">
            <w:pPr>
              <w:jc w:val="center"/>
              <w:rPr>
                <w:rFonts w:hint="eastAsia"/>
                <w:u w:val="none"/>
                <w:vertAlign w:val="baseline"/>
                <w:lang w:val="en-US" w:eastAsia="zh-CN"/>
              </w:rPr>
            </w:pPr>
          </w:p>
        </w:tc>
        <w:tc>
          <w:tcPr>
            <w:tcW w:w="1014" w:type="dxa"/>
            <w:vAlign w:val="center"/>
          </w:tcPr>
          <w:p w14:paraId="4435E92D">
            <w:pPr>
              <w:jc w:val="center"/>
              <w:rPr>
                <w:rFonts w:hint="eastAsia"/>
                <w:u w:val="none"/>
                <w:vertAlign w:val="baseline"/>
                <w:lang w:val="en-US" w:eastAsia="zh-CN"/>
              </w:rPr>
            </w:pPr>
          </w:p>
        </w:tc>
        <w:tc>
          <w:tcPr>
            <w:tcW w:w="1520" w:type="dxa"/>
            <w:vAlign w:val="center"/>
          </w:tcPr>
          <w:p w14:paraId="5D7054CA">
            <w:pPr>
              <w:jc w:val="center"/>
              <w:rPr>
                <w:rFonts w:hint="eastAsia"/>
                <w:u w:val="none"/>
                <w:vertAlign w:val="baseline"/>
                <w:lang w:val="en-US" w:eastAsia="zh-CN"/>
              </w:rPr>
            </w:pPr>
          </w:p>
        </w:tc>
        <w:tc>
          <w:tcPr>
            <w:tcW w:w="1014" w:type="dxa"/>
            <w:vAlign w:val="center"/>
          </w:tcPr>
          <w:p w14:paraId="2FE3723E">
            <w:pPr>
              <w:jc w:val="center"/>
              <w:rPr>
                <w:rFonts w:hint="eastAsia"/>
                <w:u w:val="none"/>
                <w:vertAlign w:val="baseline"/>
                <w:lang w:val="en-US" w:eastAsia="zh-CN"/>
              </w:rPr>
            </w:pPr>
          </w:p>
        </w:tc>
        <w:tc>
          <w:tcPr>
            <w:tcW w:w="1424" w:type="dxa"/>
            <w:vAlign w:val="center"/>
          </w:tcPr>
          <w:p w14:paraId="1C9A3458">
            <w:pPr>
              <w:jc w:val="center"/>
              <w:rPr>
                <w:rFonts w:hint="eastAsia"/>
                <w:u w:val="none"/>
                <w:vertAlign w:val="baseline"/>
                <w:lang w:val="en-US" w:eastAsia="zh-CN"/>
              </w:rPr>
            </w:pPr>
          </w:p>
        </w:tc>
      </w:tr>
    </w:tbl>
    <w:p w14:paraId="09E068DE">
      <w:pPr>
        <w:rPr>
          <w:rFonts w:hint="eastAsia"/>
          <w:u w:val="none"/>
          <w:lang w:val="en-US" w:eastAsia="zh-CN"/>
        </w:rPr>
      </w:pPr>
    </w:p>
    <w:p w14:paraId="3A6F8631">
      <w:pPr>
        <w:rPr>
          <w:rFonts w:hint="eastAsia"/>
          <w:u w:val="none"/>
          <w:lang w:val="en-US" w:eastAsia="zh-CN"/>
        </w:rPr>
      </w:pPr>
    </w:p>
    <w:p w14:paraId="7F4728D2">
      <w:pPr>
        <w:rPr>
          <w:rFonts w:hint="eastAsia" w:ascii="宋体" w:hAnsi="宋体"/>
          <w:color w:val="auto"/>
          <w:szCs w:val="21"/>
          <w:highlight w:val="none"/>
        </w:rPr>
        <w:sectPr>
          <w:pgSz w:w="16838" w:h="11906" w:orient="landscape"/>
          <w:pgMar w:top="1800" w:right="1440" w:bottom="1800" w:left="1440" w:header="851" w:footer="992" w:gutter="0"/>
          <w:cols w:space="720" w:num="1"/>
          <w:docGrid w:type="lines" w:linePitch="312" w:charSpace="0"/>
        </w:sectPr>
      </w:pPr>
      <w:r>
        <w:rPr>
          <w:rFonts w:hint="eastAsia"/>
          <w:u w:val="none"/>
          <w:lang w:val="en-US" w:eastAsia="zh-CN"/>
        </w:rPr>
        <w:t xml:space="preserve">实施单位（盖章）：                                                        </w:t>
      </w:r>
      <w:r>
        <w:rPr>
          <w:rFonts w:hint="eastAsia"/>
          <w:u w:val="single"/>
          <w:lang w:val="en-US" w:eastAsia="zh-CN"/>
        </w:rPr>
        <w:t xml:space="preserve">         </w:t>
      </w:r>
      <w:r>
        <w:rPr>
          <w:rFonts w:hint="eastAsia"/>
          <w:u w:val="none"/>
          <w:lang w:val="en-US" w:eastAsia="zh-CN"/>
        </w:rPr>
        <w:t>乡镇确认签字（盖章）：</w:t>
      </w:r>
    </w:p>
    <w:p w14:paraId="24DD1F3E">
      <w:pPr>
        <w:rPr>
          <w:rFonts w:hint="eastAsia" w:ascii="宋体" w:hAnsi="宋体"/>
          <w:color w:val="auto"/>
          <w:szCs w:val="21"/>
          <w:highlight w:val="none"/>
        </w:rPr>
      </w:pPr>
    </w:p>
    <w:bookmarkEnd w:id="249"/>
    <w:bookmarkEnd w:id="250"/>
    <w:p w14:paraId="218B1249">
      <w:pPr>
        <w:pStyle w:val="3"/>
        <w:adjustRightInd w:val="0"/>
        <w:snapToGrid w:val="0"/>
        <w:spacing w:beforeLines="50"/>
        <w:jc w:val="center"/>
        <w:rPr>
          <w:rFonts w:hint="eastAsia" w:ascii="宋体" w:hAnsi="宋体" w:cs="宋体"/>
          <w:b/>
          <w:bCs/>
          <w:szCs w:val="21"/>
          <w:highlight w:val="none"/>
          <w:lang w:eastAsia="zh-CN"/>
        </w:rPr>
      </w:pPr>
      <w:bookmarkStart w:id="251" w:name="_Toc20205"/>
      <w:bookmarkStart w:id="252" w:name="_Toc209084341"/>
      <w:bookmarkStart w:id="253" w:name="_Toc14102"/>
      <w:bookmarkStart w:id="254" w:name="_Toc8006"/>
      <w:r>
        <w:rPr>
          <w:rFonts w:hint="eastAsia" w:ascii="黑体" w:hAnsi="华文中宋" w:eastAsia="黑体"/>
          <w:color w:val="auto"/>
          <w:sz w:val="28"/>
          <w:szCs w:val="28"/>
          <w:highlight w:val="none"/>
          <w:lang w:val="en-US" w:eastAsia="zh-CN"/>
        </w:rPr>
        <w:t xml:space="preserve">第二节  </w:t>
      </w:r>
      <w:bookmarkEnd w:id="251"/>
      <w:bookmarkEnd w:id="252"/>
      <w:bookmarkEnd w:id="253"/>
      <w:r>
        <w:rPr>
          <w:rFonts w:hint="eastAsia" w:ascii="黑体" w:hAnsi="华文中宋" w:eastAsia="黑体"/>
          <w:color w:val="auto"/>
          <w:sz w:val="28"/>
          <w:szCs w:val="28"/>
          <w:highlight w:val="none"/>
          <w:lang w:eastAsia="zh-CN"/>
        </w:rPr>
        <w:t>政府采购合同通用条款</w:t>
      </w:r>
      <w:bookmarkEnd w:id="254"/>
    </w:p>
    <w:p w14:paraId="6214B394">
      <w:pPr>
        <w:adjustRightInd w:val="0"/>
        <w:snapToGrid w:val="0"/>
        <w:spacing w:line="360" w:lineRule="auto"/>
        <w:ind w:firstLine="1890" w:firstLineChars="900"/>
        <w:rPr>
          <w:rFonts w:hint="eastAsia" w:ascii="宋体" w:hAnsi="宋体" w:cs="宋体"/>
          <w:szCs w:val="21"/>
          <w:highlight w:val="none"/>
          <w:lang w:eastAsia="zh-CN"/>
        </w:rPr>
      </w:pPr>
    </w:p>
    <w:p w14:paraId="775F3B21">
      <w:pPr>
        <w:adjustRightInd w:val="0"/>
        <w:snapToGrid w:val="0"/>
        <w:spacing w:line="360" w:lineRule="auto"/>
        <w:ind w:firstLine="2730" w:firstLineChars="13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政府采购合同通用条款(服务类)</w:t>
      </w:r>
    </w:p>
    <w:p w14:paraId="35E1866A">
      <w:pPr>
        <w:adjustRightInd w:val="0"/>
        <w:snapToGrid w:val="0"/>
        <w:spacing w:line="360" w:lineRule="auto"/>
        <w:ind w:firstLine="420" w:firstLineChars="200"/>
        <w:rPr>
          <w:rFonts w:hint="eastAsia" w:ascii="宋体" w:hAnsi="宋体" w:eastAsia="宋体" w:cs="宋体"/>
          <w:szCs w:val="21"/>
          <w:highlight w:val="none"/>
          <w:lang w:eastAsia="zh-CN"/>
        </w:rPr>
      </w:pPr>
    </w:p>
    <w:p w14:paraId="18D45ED5">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服务类政府采购合同格式文本省级以上政府部门或行业组织有标准或示范文本的，应按照其文本确定合同格式。没有文本的，按照《中华人民共和国民法典》及采购项目特点自行拟定特定文本确定合同格式。</w:t>
      </w:r>
    </w:p>
    <w:p w14:paraId="28AFF14E">
      <w:pPr>
        <w:numPr>
          <w:ilvl w:val="0"/>
          <w:numId w:val="0"/>
        </w:numPr>
        <w:spacing w:line="360" w:lineRule="auto"/>
        <w:ind w:left="2800" w:leftChars="0"/>
        <w:rPr>
          <w:rFonts w:hint="eastAsia" w:ascii="黑体" w:hAnsi="黑体" w:eastAsia="黑体"/>
          <w:color w:val="auto"/>
          <w:sz w:val="28"/>
          <w:szCs w:val="28"/>
          <w:highlight w:val="none"/>
        </w:rPr>
      </w:pPr>
    </w:p>
    <w:p w14:paraId="52FBB120">
      <w:pPr>
        <w:numPr>
          <w:ilvl w:val="0"/>
          <w:numId w:val="0"/>
        </w:numPr>
        <w:spacing w:line="360" w:lineRule="auto"/>
        <w:ind w:left="2800" w:leftChars="0"/>
        <w:rPr>
          <w:rFonts w:hint="eastAsia" w:ascii="黑体" w:hAnsi="黑体" w:eastAsia="黑体"/>
          <w:color w:val="auto"/>
          <w:sz w:val="28"/>
          <w:szCs w:val="28"/>
          <w:highlight w:val="none"/>
        </w:rPr>
      </w:pPr>
    </w:p>
    <w:p w14:paraId="163CC6DA">
      <w:pPr>
        <w:numPr>
          <w:ilvl w:val="0"/>
          <w:numId w:val="0"/>
        </w:numPr>
        <w:spacing w:line="360" w:lineRule="auto"/>
        <w:ind w:left="2800" w:leftChars="0"/>
        <w:rPr>
          <w:rFonts w:hint="eastAsia" w:ascii="黑体" w:hAnsi="黑体" w:eastAsia="黑体"/>
          <w:color w:val="auto"/>
          <w:sz w:val="28"/>
          <w:szCs w:val="28"/>
          <w:highlight w:val="none"/>
        </w:rPr>
      </w:pPr>
    </w:p>
    <w:p w14:paraId="278B7F68">
      <w:pPr>
        <w:numPr>
          <w:ilvl w:val="0"/>
          <w:numId w:val="0"/>
        </w:numPr>
        <w:spacing w:line="360" w:lineRule="auto"/>
        <w:ind w:left="2800" w:leftChars="0"/>
        <w:rPr>
          <w:rFonts w:hint="eastAsia" w:ascii="黑体" w:hAnsi="黑体" w:eastAsia="黑体"/>
          <w:color w:val="auto"/>
          <w:sz w:val="28"/>
          <w:szCs w:val="28"/>
          <w:highlight w:val="none"/>
        </w:rPr>
      </w:pPr>
    </w:p>
    <w:p w14:paraId="1882391D">
      <w:pPr>
        <w:numPr>
          <w:ilvl w:val="0"/>
          <w:numId w:val="0"/>
        </w:numPr>
        <w:spacing w:line="360" w:lineRule="auto"/>
        <w:ind w:left="2800" w:leftChars="0"/>
        <w:rPr>
          <w:rFonts w:hint="eastAsia" w:ascii="黑体" w:hAnsi="黑体" w:eastAsia="黑体"/>
          <w:color w:val="auto"/>
          <w:sz w:val="28"/>
          <w:szCs w:val="28"/>
          <w:highlight w:val="none"/>
        </w:rPr>
      </w:pPr>
    </w:p>
    <w:p w14:paraId="1A8DD3E4">
      <w:pPr>
        <w:numPr>
          <w:ilvl w:val="0"/>
          <w:numId w:val="0"/>
        </w:numPr>
        <w:spacing w:line="360" w:lineRule="auto"/>
        <w:ind w:left="2800" w:leftChars="0"/>
        <w:rPr>
          <w:rFonts w:hint="eastAsia" w:ascii="黑体" w:hAnsi="黑体" w:eastAsia="黑体"/>
          <w:color w:val="auto"/>
          <w:sz w:val="28"/>
          <w:szCs w:val="28"/>
          <w:highlight w:val="none"/>
        </w:rPr>
      </w:pPr>
    </w:p>
    <w:p w14:paraId="230AD0A8">
      <w:pPr>
        <w:rPr>
          <w:color w:val="auto"/>
          <w:highlight w:val="none"/>
        </w:rPr>
      </w:pPr>
    </w:p>
    <w:p w14:paraId="07EF9544">
      <w:pPr>
        <w:pStyle w:val="3"/>
        <w:adjustRightInd w:val="0"/>
        <w:snapToGrid w:val="0"/>
        <w:spacing w:beforeLines="50"/>
        <w:jc w:val="center"/>
        <w:rPr>
          <w:rFonts w:hint="eastAsia" w:ascii="宋体" w:hAnsi="宋体" w:cs="宋体"/>
          <w:b/>
          <w:bCs/>
          <w:szCs w:val="21"/>
          <w:highlight w:val="none"/>
          <w:lang w:eastAsia="zh-CN"/>
        </w:rPr>
      </w:pPr>
      <w:bookmarkStart w:id="255" w:name="_Toc7787"/>
      <w:bookmarkStart w:id="256" w:name="_Toc22201136"/>
      <w:r>
        <w:rPr>
          <w:rFonts w:hint="eastAsia" w:ascii="黑体" w:hAnsi="华文中宋" w:eastAsia="黑体"/>
          <w:color w:val="auto"/>
          <w:sz w:val="28"/>
          <w:szCs w:val="28"/>
          <w:highlight w:val="none"/>
          <w:lang w:val="en-US" w:eastAsia="zh-CN"/>
        </w:rPr>
        <w:t xml:space="preserve">第三节  </w:t>
      </w:r>
      <w:r>
        <w:rPr>
          <w:rFonts w:hint="eastAsia" w:ascii="黑体" w:hAnsi="华文中宋" w:eastAsia="黑体"/>
          <w:color w:val="auto"/>
          <w:sz w:val="28"/>
          <w:szCs w:val="28"/>
          <w:highlight w:val="none"/>
          <w:lang w:eastAsia="zh-CN"/>
        </w:rPr>
        <w:t>政府采购合同</w:t>
      </w:r>
      <w:r>
        <w:rPr>
          <w:rFonts w:hint="eastAsia" w:ascii="黑体" w:hAnsi="华文中宋" w:eastAsia="黑体"/>
          <w:color w:val="auto"/>
          <w:sz w:val="28"/>
          <w:szCs w:val="28"/>
          <w:highlight w:val="none"/>
          <w:lang w:val="en-US" w:eastAsia="zh-CN"/>
        </w:rPr>
        <w:t>专用</w:t>
      </w:r>
      <w:r>
        <w:rPr>
          <w:rFonts w:hint="eastAsia" w:ascii="黑体" w:hAnsi="华文中宋" w:eastAsia="黑体"/>
          <w:color w:val="auto"/>
          <w:sz w:val="28"/>
          <w:szCs w:val="28"/>
          <w:highlight w:val="none"/>
          <w:lang w:eastAsia="zh-CN"/>
        </w:rPr>
        <w:t>条款</w:t>
      </w:r>
      <w:bookmarkEnd w:id="255"/>
    </w:p>
    <w:p w14:paraId="25C9C817">
      <w:pPr>
        <w:adjustRightInd w:val="0"/>
        <w:snapToGrid w:val="0"/>
        <w:spacing w:line="360" w:lineRule="auto"/>
        <w:ind w:firstLine="1890" w:firstLineChars="900"/>
        <w:rPr>
          <w:rFonts w:hint="eastAsia" w:ascii="宋体" w:hAnsi="宋体" w:cs="宋体"/>
          <w:szCs w:val="21"/>
          <w:highlight w:val="none"/>
          <w:lang w:eastAsia="zh-CN"/>
        </w:rPr>
      </w:pPr>
    </w:p>
    <w:p w14:paraId="7AF2706C">
      <w:pPr>
        <w:adjustRightInd w:val="0"/>
        <w:snapToGrid w:val="0"/>
        <w:spacing w:line="360" w:lineRule="auto"/>
        <w:ind w:firstLine="2730" w:firstLineChars="13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政府采购合同</w:t>
      </w:r>
      <w:r>
        <w:rPr>
          <w:rFonts w:hint="eastAsia" w:ascii="宋体" w:hAnsi="宋体" w:cs="宋体"/>
          <w:szCs w:val="21"/>
          <w:highlight w:val="none"/>
          <w:lang w:val="en-US" w:eastAsia="zh-CN"/>
        </w:rPr>
        <w:t>专用</w:t>
      </w:r>
      <w:r>
        <w:rPr>
          <w:rFonts w:hint="eastAsia" w:ascii="宋体" w:hAnsi="宋体" w:eastAsia="宋体" w:cs="宋体"/>
          <w:szCs w:val="21"/>
          <w:highlight w:val="none"/>
          <w:lang w:eastAsia="zh-CN"/>
        </w:rPr>
        <w:t>条款(服务类)</w:t>
      </w:r>
    </w:p>
    <w:p w14:paraId="0CE95D25">
      <w:pPr>
        <w:adjustRightInd w:val="0"/>
        <w:snapToGrid w:val="0"/>
        <w:spacing w:line="360" w:lineRule="auto"/>
        <w:ind w:firstLine="420" w:firstLineChars="200"/>
        <w:rPr>
          <w:rFonts w:hint="eastAsia" w:ascii="宋体" w:hAnsi="宋体" w:eastAsia="宋体" w:cs="宋体"/>
          <w:szCs w:val="21"/>
          <w:highlight w:val="none"/>
          <w:lang w:eastAsia="zh-CN"/>
        </w:rPr>
      </w:pPr>
    </w:p>
    <w:p w14:paraId="19DE8444">
      <w:pPr>
        <w:adjustRightInd w:val="0"/>
        <w:snapToGrid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服务类政府采购合同格式文本省级以上政府部门或行业组织有标准或示范文本的，应按照其文本确定合同格式。没有文本的，按照《中华人民共和国民法典》及采购项目特点自行拟定特定文本确定合同格式。</w:t>
      </w:r>
    </w:p>
    <w:p w14:paraId="1E7A8014">
      <w:pPr>
        <w:pStyle w:val="2"/>
        <w:rPr>
          <w:rFonts w:ascii="黑体" w:hAnsi="黑体" w:eastAsia="黑体"/>
          <w:color w:val="auto"/>
          <w:sz w:val="32"/>
          <w:highlight w:val="none"/>
        </w:rPr>
      </w:pPr>
      <w:r>
        <w:rPr>
          <w:color w:val="auto"/>
          <w:highlight w:val="none"/>
        </w:rPr>
        <w:br w:type="page"/>
      </w:r>
      <w:bookmarkEnd w:id="256"/>
      <w:bookmarkStart w:id="257" w:name="_Toc74694330"/>
      <w:bookmarkStart w:id="258" w:name="_Toc7956"/>
      <w:bookmarkStart w:id="259" w:name="_Toc34637788"/>
      <w:bookmarkStart w:id="260" w:name="_Toc145374012"/>
      <w:bookmarkStart w:id="261" w:name="_Toc29295"/>
      <w:bookmarkStart w:id="262" w:name="_Toc18105"/>
      <w:bookmarkStart w:id="263" w:name="_Toc8480"/>
      <w:bookmarkStart w:id="264" w:name="_Toc18654"/>
      <w:bookmarkStart w:id="265" w:name="_Toc19628646"/>
      <w:bookmarkStart w:id="266" w:name="_Toc6466"/>
      <w:bookmarkStart w:id="267" w:name="_Toc24436"/>
      <w:bookmarkStart w:id="268" w:name="_Toc26901"/>
      <w:bookmarkStart w:id="269" w:name="_Toc209084343"/>
      <w:r>
        <w:rPr>
          <w:rFonts w:hint="eastAsia" w:ascii="黑体" w:hAnsi="黑体" w:eastAsia="黑体"/>
          <w:color w:val="auto"/>
          <w:sz w:val="32"/>
          <w:highlight w:val="none"/>
        </w:rPr>
        <w:t>第五章 响应文件组成</w:t>
      </w:r>
      <w:bookmarkEnd w:id="257"/>
      <w:bookmarkEnd w:id="258"/>
      <w:bookmarkEnd w:id="259"/>
      <w:bookmarkEnd w:id="260"/>
      <w:bookmarkEnd w:id="261"/>
      <w:bookmarkEnd w:id="262"/>
      <w:bookmarkEnd w:id="263"/>
      <w:bookmarkEnd w:id="264"/>
      <w:bookmarkEnd w:id="265"/>
      <w:bookmarkEnd w:id="266"/>
      <w:bookmarkEnd w:id="267"/>
      <w:bookmarkEnd w:id="268"/>
      <w:bookmarkEnd w:id="269"/>
    </w:p>
    <w:p w14:paraId="758DE59E">
      <w:pPr>
        <w:widowControl/>
        <w:tabs>
          <w:tab w:val="left" w:pos="753"/>
        </w:tabs>
        <w:adjustRightInd w:val="0"/>
        <w:snapToGrid w:val="0"/>
        <w:spacing w:beforeLines="50" w:line="360" w:lineRule="auto"/>
        <w:ind w:firstLine="480" w:firstLineChars="200"/>
        <w:jc w:val="center"/>
        <w:rPr>
          <w:rFonts w:ascii="宋体" w:hAnsi="宋体"/>
          <w:color w:val="auto"/>
          <w:sz w:val="24"/>
          <w:highlight w:val="none"/>
        </w:rPr>
      </w:pPr>
      <w:r>
        <w:rPr>
          <w:rFonts w:hint="eastAsia" w:ascii="宋体" w:hAnsi="宋体"/>
          <w:color w:val="auto"/>
          <w:sz w:val="24"/>
          <w:highlight w:val="none"/>
        </w:rPr>
        <w:t>目录</w:t>
      </w:r>
    </w:p>
    <w:p w14:paraId="520E9933">
      <w:pPr>
        <w:adjustRightInd w:val="0"/>
        <w:snapToGrid w:val="0"/>
        <w:spacing w:beforeLines="50" w:line="360" w:lineRule="auto"/>
        <w:rPr>
          <w:rFonts w:ascii="宋体"/>
          <w:color w:val="auto"/>
          <w:highlight w:val="none"/>
        </w:rPr>
      </w:pPr>
      <w:r>
        <w:rPr>
          <w:rFonts w:hint="eastAsia" w:ascii="宋体"/>
          <w:color w:val="auto"/>
          <w:highlight w:val="none"/>
        </w:rPr>
        <w:t>供应商的响应文件应包含以下部分：</w:t>
      </w:r>
    </w:p>
    <w:p w14:paraId="14ED5397">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ascii="宋体" w:hAnsi="宋体"/>
          <w:color w:val="auto"/>
          <w:szCs w:val="21"/>
          <w:highlight w:val="none"/>
        </w:rPr>
        <w:t>一</w:t>
      </w:r>
      <w:r>
        <w:rPr>
          <w:rFonts w:hint="eastAsia" w:ascii="宋体" w:hAnsi="宋体"/>
          <w:color w:val="auto"/>
          <w:szCs w:val="21"/>
          <w:highlight w:val="none"/>
        </w:rPr>
        <w:t>、报价表及报价文件(格式)</w:t>
      </w:r>
    </w:p>
    <w:p w14:paraId="55B5533B">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二、谈判响应声明(格式)</w:t>
      </w:r>
    </w:p>
    <w:p w14:paraId="4FD3BE78">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三、授权委托书(格式)</w:t>
      </w:r>
    </w:p>
    <w:p w14:paraId="639E7EA9">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四、采购需求响应</w:t>
      </w:r>
    </w:p>
    <w:p w14:paraId="532CC52E">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五、合同条款偏离表</w:t>
      </w:r>
    </w:p>
    <w:p w14:paraId="7A188C79">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六、采购需求偏离表</w:t>
      </w:r>
    </w:p>
    <w:p w14:paraId="26DCB6DE">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七、享受政府采购政策的证明资料</w:t>
      </w:r>
    </w:p>
    <w:p w14:paraId="4AFCA8F5">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八、</w:t>
      </w:r>
      <w:r>
        <w:rPr>
          <w:rFonts w:hint="eastAsia" w:ascii="宋体" w:hAnsi="宋体"/>
          <w:color w:val="auto"/>
          <w:kern w:val="32"/>
          <w:szCs w:val="21"/>
          <w:highlight w:val="none"/>
        </w:rPr>
        <w:t>供应商提供的资格证明文件</w:t>
      </w:r>
    </w:p>
    <w:p w14:paraId="4053EE66">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kern w:val="32"/>
          <w:szCs w:val="21"/>
          <w:highlight w:val="none"/>
        </w:rPr>
        <w:t>九、</w:t>
      </w:r>
      <w:r>
        <w:rPr>
          <w:rFonts w:hint="eastAsia" w:ascii="宋体" w:hAnsi="宋体"/>
          <w:color w:val="auto"/>
          <w:szCs w:val="21"/>
          <w:highlight w:val="none"/>
        </w:rPr>
        <w:t>响应标的符合谈判文件规定的证明文件</w:t>
      </w:r>
    </w:p>
    <w:p w14:paraId="43C37CDE">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十、供应商认为需提供的其他资料（如有）</w:t>
      </w:r>
    </w:p>
    <w:p w14:paraId="6C1144E1">
      <w:pPr>
        <w:widowControl/>
        <w:tabs>
          <w:tab w:val="left" w:pos="753"/>
        </w:tabs>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十一、最后报价</w:t>
      </w:r>
    </w:p>
    <w:p w14:paraId="6AFCFC0B">
      <w:pPr>
        <w:adjustRightInd w:val="0"/>
        <w:snapToGrid w:val="0"/>
        <w:spacing w:beforeLines="50" w:line="360" w:lineRule="auto"/>
        <w:rPr>
          <w:rFonts w:ascii="宋体"/>
          <w:color w:val="auto"/>
          <w:highlight w:val="none"/>
        </w:rPr>
      </w:pPr>
    </w:p>
    <w:p w14:paraId="56DAF027">
      <w:pPr>
        <w:spacing w:line="360" w:lineRule="exact"/>
        <w:jc w:val="center"/>
        <w:rPr>
          <w:rFonts w:ascii="黑体" w:eastAsia="黑体"/>
          <w:b/>
          <w:color w:val="auto"/>
          <w:sz w:val="32"/>
          <w:szCs w:val="32"/>
          <w:highlight w:val="none"/>
        </w:rPr>
      </w:pPr>
    </w:p>
    <w:p w14:paraId="4E844C72">
      <w:pPr>
        <w:spacing w:line="360" w:lineRule="exact"/>
        <w:jc w:val="center"/>
        <w:rPr>
          <w:rFonts w:ascii="黑体" w:eastAsia="黑体"/>
          <w:b/>
          <w:color w:val="auto"/>
          <w:sz w:val="32"/>
          <w:szCs w:val="32"/>
          <w:highlight w:val="none"/>
        </w:rPr>
      </w:pPr>
    </w:p>
    <w:p w14:paraId="60175736">
      <w:pPr>
        <w:spacing w:line="360" w:lineRule="exact"/>
        <w:jc w:val="center"/>
        <w:rPr>
          <w:rFonts w:ascii="黑体" w:eastAsia="黑体"/>
          <w:b/>
          <w:color w:val="auto"/>
          <w:sz w:val="32"/>
          <w:szCs w:val="32"/>
          <w:highlight w:val="none"/>
        </w:rPr>
      </w:pPr>
    </w:p>
    <w:p w14:paraId="69B93EF8">
      <w:pPr>
        <w:spacing w:line="360" w:lineRule="exact"/>
        <w:jc w:val="center"/>
        <w:rPr>
          <w:rFonts w:ascii="黑体" w:eastAsia="黑体"/>
          <w:b/>
          <w:color w:val="auto"/>
          <w:sz w:val="32"/>
          <w:szCs w:val="32"/>
          <w:highlight w:val="none"/>
        </w:rPr>
      </w:pPr>
    </w:p>
    <w:p w14:paraId="259EF783">
      <w:pPr>
        <w:spacing w:line="360" w:lineRule="exact"/>
        <w:jc w:val="center"/>
        <w:rPr>
          <w:rFonts w:ascii="黑体" w:eastAsia="黑体"/>
          <w:b/>
          <w:color w:val="auto"/>
          <w:sz w:val="32"/>
          <w:szCs w:val="32"/>
          <w:highlight w:val="none"/>
        </w:rPr>
      </w:pPr>
    </w:p>
    <w:p w14:paraId="4CED7B96">
      <w:pPr>
        <w:spacing w:line="360" w:lineRule="exact"/>
        <w:jc w:val="center"/>
        <w:rPr>
          <w:rFonts w:ascii="黑体" w:eastAsia="黑体"/>
          <w:b/>
          <w:color w:val="auto"/>
          <w:sz w:val="32"/>
          <w:szCs w:val="32"/>
          <w:highlight w:val="none"/>
        </w:rPr>
      </w:pPr>
    </w:p>
    <w:p w14:paraId="7E5693EA">
      <w:pPr>
        <w:spacing w:line="360" w:lineRule="exact"/>
        <w:jc w:val="center"/>
        <w:rPr>
          <w:rFonts w:ascii="黑体" w:eastAsia="黑体"/>
          <w:b/>
          <w:color w:val="auto"/>
          <w:sz w:val="32"/>
          <w:szCs w:val="32"/>
          <w:highlight w:val="none"/>
        </w:rPr>
      </w:pPr>
    </w:p>
    <w:p w14:paraId="34CB0FAC">
      <w:pPr>
        <w:spacing w:line="360" w:lineRule="exact"/>
        <w:jc w:val="center"/>
        <w:rPr>
          <w:rFonts w:ascii="黑体" w:eastAsia="黑体"/>
          <w:b/>
          <w:color w:val="auto"/>
          <w:sz w:val="32"/>
          <w:szCs w:val="32"/>
          <w:highlight w:val="none"/>
        </w:rPr>
      </w:pPr>
    </w:p>
    <w:p w14:paraId="604A0168">
      <w:pPr>
        <w:adjustRightInd w:val="0"/>
        <w:snapToGrid w:val="0"/>
        <w:spacing w:line="360" w:lineRule="auto"/>
        <w:jc w:val="center"/>
        <w:rPr>
          <w:rFonts w:ascii="黑体" w:eastAsia="黑体"/>
          <w:color w:val="auto"/>
          <w:sz w:val="32"/>
          <w:szCs w:val="32"/>
          <w:highlight w:val="none"/>
        </w:rPr>
      </w:pPr>
      <w:r>
        <w:rPr>
          <w:color w:val="auto"/>
          <w:highlight w:val="none"/>
        </w:rPr>
        <w:br w:type="page"/>
      </w:r>
    </w:p>
    <w:p w14:paraId="2B9AD4E0">
      <w:pPr>
        <w:adjustRightInd w:val="0"/>
        <w:snapToGrid w:val="0"/>
        <w:spacing w:line="360" w:lineRule="auto"/>
        <w:jc w:val="center"/>
        <w:rPr>
          <w:rFonts w:ascii="黑体" w:eastAsia="黑体"/>
          <w:color w:val="auto"/>
          <w:sz w:val="32"/>
          <w:szCs w:val="32"/>
          <w:highlight w:val="none"/>
        </w:rPr>
      </w:pPr>
    </w:p>
    <w:p w14:paraId="53F1F72F">
      <w:pPr>
        <w:adjustRightInd w:val="0"/>
        <w:snapToGrid w:val="0"/>
        <w:spacing w:line="360" w:lineRule="auto"/>
        <w:jc w:val="center"/>
        <w:rPr>
          <w:rFonts w:ascii="黑体" w:eastAsia="黑体"/>
          <w:color w:val="auto"/>
          <w:sz w:val="32"/>
          <w:szCs w:val="32"/>
          <w:highlight w:val="none"/>
        </w:rPr>
      </w:pPr>
    </w:p>
    <w:p w14:paraId="3AF10527">
      <w:pPr>
        <w:pStyle w:val="24"/>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41CBE90C">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响应文件</w:t>
      </w:r>
    </w:p>
    <w:p w14:paraId="48D19237">
      <w:pPr>
        <w:adjustRightInd w:val="0"/>
        <w:snapToGrid w:val="0"/>
        <w:spacing w:line="360" w:lineRule="auto"/>
        <w:rPr>
          <w:rFonts w:ascii="黑体" w:hAnsi="黑体" w:eastAsia="黑体"/>
          <w:b/>
          <w:color w:val="auto"/>
          <w:sz w:val="32"/>
          <w:szCs w:val="32"/>
          <w:highlight w:val="none"/>
        </w:rPr>
      </w:pPr>
    </w:p>
    <w:p w14:paraId="7E46FD08">
      <w:pPr>
        <w:adjustRightInd w:val="0"/>
        <w:snapToGrid w:val="0"/>
        <w:spacing w:line="360" w:lineRule="auto"/>
        <w:rPr>
          <w:rFonts w:ascii="宋体" w:hAnsi="宋体"/>
          <w:b/>
          <w:color w:val="auto"/>
          <w:sz w:val="30"/>
          <w:szCs w:val="30"/>
          <w:highlight w:val="none"/>
        </w:rPr>
      </w:pPr>
    </w:p>
    <w:p w14:paraId="79CDC545">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7FCD4FA0">
      <w:pPr>
        <w:pStyle w:val="24"/>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1922C587">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002E4EFF">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6BA48B8F">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734370FD">
      <w:pPr>
        <w:adjustRightInd w:val="0"/>
        <w:snapToGrid w:val="0"/>
        <w:spacing w:line="360" w:lineRule="auto"/>
        <w:rPr>
          <w:rFonts w:ascii="黑体" w:hAnsi="黑体" w:eastAsia="黑体"/>
          <w:color w:val="auto"/>
          <w:sz w:val="30"/>
          <w:szCs w:val="30"/>
          <w:highlight w:val="none"/>
        </w:rPr>
      </w:pPr>
    </w:p>
    <w:p w14:paraId="3C925CF6">
      <w:pPr>
        <w:adjustRightInd w:val="0"/>
        <w:snapToGrid w:val="0"/>
        <w:rPr>
          <w:rFonts w:ascii="黑体" w:hAnsi="宋体" w:eastAsia="黑体"/>
          <w:color w:val="auto"/>
          <w:sz w:val="30"/>
          <w:szCs w:val="30"/>
          <w:highlight w:val="none"/>
        </w:rPr>
      </w:pPr>
    </w:p>
    <w:p w14:paraId="3EC9430D">
      <w:pPr>
        <w:adjustRightInd w:val="0"/>
        <w:snapToGrid w:val="0"/>
        <w:spacing w:line="360" w:lineRule="auto"/>
        <w:rPr>
          <w:rFonts w:ascii="黑体" w:hAnsi="宋体" w:eastAsia="黑体"/>
          <w:color w:val="auto"/>
          <w:sz w:val="30"/>
          <w:szCs w:val="30"/>
          <w:highlight w:val="none"/>
        </w:rPr>
      </w:pPr>
    </w:p>
    <w:p w14:paraId="6D94E6B9">
      <w:pPr>
        <w:adjustRightInd w:val="0"/>
        <w:snapToGrid w:val="0"/>
        <w:spacing w:line="360" w:lineRule="auto"/>
        <w:rPr>
          <w:rFonts w:ascii="黑体" w:hAnsi="宋体" w:eastAsia="黑体"/>
          <w:color w:val="auto"/>
          <w:sz w:val="30"/>
          <w:szCs w:val="30"/>
          <w:highlight w:val="none"/>
        </w:rPr>
      </w:pPr>
    </w:p>
    <w:p w14:paraId="2FE56FB5">
      <w:pPr>
        <w:adjustRightInd w:val="0"/>
        <w:snapToGrid w:val="0"/>
        <w:spacing w:line="360" w:lineRule="auto"/>
        <w:rPr>
          <w:rFonts w:ascii="黑体" w:hAnsi="宋体" w:eastAsia="黑体"/>
          <w:color w:val="auto"/>
          <w:sz w:val="30"/>
          <w:szCs w:val="30"/>
          <w:highlight w:val="none"/>
        </w:rPr>
      </w:pPr>
    </w:p>
    <w:p w14:paraId="43DE3227">
      <w:pPr>
        <w:adjustRightInd w:val="0"/>
        <w:snapToGrid w:val="0"/>
        <w:spacing w:line="360" w:lineRule="auto"/>
        <w:ind w:firstLine="1984" w:firstLineChars="620"/>
        <w:rPr>
          <w:rFonts w:ascii="黑体" w:hAnsi="黑体" w:eastAsia="黑体"/>
          <w:color w:val="auto"/>
          <w:sz w:val="32"/>
          <w:szCs w:val="32"/>
          <w:highlight w:val="none"/>
          <w:u w:val="single"/>
        </w:rPr>
      </w:pPr>
      <w:r>
        <w:rPr>
          <w:rFonts w:hint="eastAsia" w:ascii="黑体" w:hAnsi="黑体" w:eastAsia="黑体"/>
          <w:color w:val="auto"/>
          <w:sz w:val="32"/>
          <w:szCs w:val="32"/>
          <w:highlight w:val="none"/>
        </w:rPr>
        <w:t>供应商</w:t>
      </w:r>
    </w:p>
    <w:p w14:paraId="67C941CF">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年  月  日</w:t>
      </w:r>
    </w:p>
    <w:p w14:paraId="5B3161C1">
      <w:pPr>
        <w:pStyle w:val="3"/>
        <w:rPr>
          <w:rFonts w:ascii="宋体" w:hAnsi="宋体"/>
          <w:color w:val="auto"/>
          <w:sz w:val="21"/>
          <w:szCs w:val="21"/>
          <w:highlight w:val="none"/>
        </w:rPr>
      </w:pPr>
      <w:r>
        <w:rPr>
          <w:rFonts w:hAnsi="宋体"/>
          <w:color w:val="auto"/>
          <w:highlight w:val="none"/>
        </w:rPr>
        <w:br w:type="page"/>
      </w:r>
      <w:bookmarkStart w:id="270" w:name="_Toc27508"/>
      <w:bookmarkStart w:id="271" w:name="_Toc34637789"/>
      <w:bookmarkStart w:id="272" w:name="_Toc18916"/>
      <w:bookmarkStart w:id="273" w:name="_Toc2178"/>
      <w:bookmarkStart w:id="274" w:name="_Toc145374013"/>
      <w:bookmarkStart w:id="275" w:name="_Toc23342"/>
      <w:bookmarkStart w:id="276" w:name="_Toc17128"/>
      <w:bookmarkStart w:id="277" w:name="_Toc209084344"/>
      <w:bookmarkStart w:id="278" w:name="_Toc29061"/>
      <w:bookmarkStart w:id="279" w:name="_Toc74694331"/>
      <w:bookmarkStart w:id="280" w:name="_Toc3542"/>
      <w:bookmarkStart w:id="281" w:name="_Toc22908"/>
      <w:bookmarkStart w:id="282" w:name="_Toc22201151"/>
      <w:r>
        <w:rPr>
          <w:rFonts w:hint="eastAsia" w:ascii="宋体" w:hAnsi="宋体"/>
          <w:color w:val="auto"/>
          <w:sz w:val="21"/>
          <w:szCs w:val="21"/>
          <w:highlight w:val="none"/>
        </w:rPr>
        <w:t>索引表 符合性审查索引表</w:t>
      </w:r>
      <w:bookmarkEnd w:id="270"/>
      <w:bookmarkEnd w:id="271"/>
      <w:bookmarkEnd w:id="272"/>
      <w:bookmarkEnd w:id="273"/>
      <w:bookmarkEnd w:id="274"/>
      <w:bookmarkEnd w:id="275"/>
      <w:bookmarkEnd w:id="276"/>
      <w:bookmarkEnd w:id="277"/>
      <w:bookmarkEnd w:id="278"/>
      <w:bookmarkEnd w:id="279"/>
      <w:bookmarkEnd w:id="280"/>
      <w:bookmarkEnd w:id="281"/>
      <w:bookmarkEnd w:id="282"/>
    </w:p>
    <w:p w14:paraId="3B4154EB">
      <w:pPr>
        <w:adjustRightInd w:val="0"/>
        <w:spacing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符合性审查索引表</w:t>
      </w:r>
    </w:p>
    <w:tbl>
      <w:tblPr>
        <w:tblStyle w:val="45"/>
        <w:tblW w:w="89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871"/>
        <w:gridCol w:w="2410"/>
        <w:gridCol w:w="2268"/>
        <w:gridCol w:w="1722"/>
      </w:tblGrid>
      <w:tr w14:paraId="5A4E67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vAlign w:val="center"/>
          </w:tcPr>
          <w:p w14:paraId="2F70DE03">
            <w:pPr>
              <w:adjustRightInd w:val="0"/>
              <w:snapToGrid w:val="0"/>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1871" w:type="dxa"/>
            <w:tcBorders>
              <w:right w:val="single" w:color="auto" w:sz="4" w:space="0"/>
            </w:tcBorders>
            <w:shd w:val="clear" w:color="auto" w:fill="auto"/>
            <w:vAlign w:val="center"/>
          </w:tcPr>
          <w:p w14:paraId="37587E43">
            <w:pPr>
              <w:adjustRightInd w:val="0"/>
              <w:snapToGrid w:val="0"/>
              <w:jc w:val="center"/>
              <w:rPr>
                <w:rFonts w:ascii="宋体" w:hAnsi="宋体"/>
                <w:b/>
                <w:color w:val="auto"/>
                <w:kern w:val="0"/>
                <w:szCs w:val="21"/>
                <w:highlight w:val="none"/>
              </w:rPr>
            </w:pPr>
            <w:r>
              <w:rPr>
                <w:rFonts w:hint="eastAsia" w:ascii="宋体" w:hAnsi="宋体"/>
                <w:b/>
                <w:color w:val="auto"/>
                <w:kern w:val="0"/>
                <w:szCs w:val="21"/>
                <w:highlight w:val="none"/>
              </w:rPr>
              <w:t>谈判文件条款号</w:t>
            </w:r>
          </w:p>
        </w:tc>
        <w:tc>
          <w:tcPr>
            <w:tcW w:w="2410" w:type="dxa"/>
            <w:tcBorders>
              <w:left w:val="single" w:color="auto" w:sz="4" w:space="0"/>
            </w:tcBorders>
            <w:shd w:val="clear" w:color="auto" w:fill="auto"/>
            <w:vAlign w:val="center"/>
          </w:tcPr>
          <w:p w14:paraId="4A4AF2CE">
            <w:pPr>
              <w:adjustRightInd w:val="0"/>
              <w:snapToGrid w:val="0"/>
              <w:jc w:val="center"/>
              <w:rPr>
                <w:rFonts w:ascii="宋体" w:hAnsi="宋体"/>
                <w:b/>
                <w:color w:val="auto"/>
                <w:kern w:val="0"/>
                <w:szCs w:val="21"/>
                <w:highlight w:val="none"/>
              </w:rPr>
            </w:pPr>
            <w:r>
              <w:rPr>
                <w:rFonts w:hint="eastAsia" w:ascii="宋体" w:hAnsi="宋体"/>
                <w:b/>
                <w:color w:val="auto"/>
                <w:kern w:val="0"/>
                <w:szCs w:val="21"/>
                <w:highlight w:val="none"/>
              </w:rPr>
              <w:t>审查内容及标准</w:t>
            </w:r>
          </w:p>
        </w:tc>
        <w:tc>
          <w:tcPr>
            <w:tcW w:w="2268" w:type="dxa"/>
            <w:shd w:val="clear" w:color="auto" w:fill="auto"/>
            <w:vAlign w:val="center"/>
          </w:tcPr>
          <w:p w14:paraId="2BB644E8">
            <w:pPr>
              <w:adjustRightInd w:val="0"/>
              <w:snapToGrid w:val="0"/>
              <w:jc w:val="center"/>
              <w:rPr>
                <w:rFonts w:ascii="宋体" w:hAnsi="宋体"/>
                <w:b/>
                <w:color w:val="auto"/>
                <w:kern w:val="0"/>
                <w:szCs w:val="21"/>
                <w:highlight w:val="none"/>
              </w:rPr>
            </w:pPr>
            <w:r>
              <w:rPr>
                <w:rFonts w:hint="eastAsia" w:ascii="宋体" w:hAnsi="宋体"/>
                <w:b/>
                <w:color w:val="auto"/>
                <w:kern w:val="0"/>
                <w:szCs w:val="21"/>
                <w:highlight w:val="none"/>
              </w:rPr>
              <w:t>响应文件及证明材料</w:t>
            </w:r>
          </w:p>
        </w:tc>
        <w:tc>
          <w:tcPr>
            <w:tcW w:w="1722" w:type="dxa"/>
            <w:shd w:val="clear" w:color="auto" w:fill="auto"/>
            <w:vAlign w:val="center"/>
          </w:tcPr>
          <w:p w14:paraId="70394090">
            <w:pPr>
              <w:adjustRightInd w:val="0"/>
              <w:snapToGrid w:val="0"/>
              <w:jc w:val="center"/>
              <w:rPr>
                <w:rFonts w:ascii="宋体" w:hAnsi="宋体"/>
                <w:b/>
                <w:color w:val="auto"/>
                <w:kern w:val="0"/>
                <w:szCs w:val="21"/>
                <w:highlight w:val="none"/>
              </w:rPr>
            </w:pPr>
            <w:r>
              <w:rPr>
                <w:rFonts w:hint="eastAsia" w:ascii="宋体" w:hAnsi="宋体"/>
                <w:b/>
                <w:color w:val="auto"/>
                <w:kern w:val="0"/>
                <w:szCs w:val="21"/>
                <w:highlight w:val="none"/>
              </w:rPr>
              <w:t>响应文件对应内容的册及页码</w:t>
            </w:r>
          </w:p>
        </w:tc>
      </w:tr>
      <w:tr w14:paraId="4DDB67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4EF97AAF">
            <w:pPr>
              <w:adjustRightInd w:val="0"/>
              <w:snapToGrid w:val="0"/>
              <w:spacing w:beforeLines="50" w:line="360" w:lineRule="auto"/>
              <w:jc w:val="center"/>
              <w:rPr>
                <w:rFonts w:ascii="宋体" w:hAnsi="宋体"/>
                <w:color w:val="auto"/>
                <w:kern w:val="0"/>
                <w:szCs w:val="21"/>
                <w:highlight w:val="none"/>
              </w:rPr>
            </w:pPr>
          </w:p>
        </w:tc>
        <w:tc>
          <w:tcPr>
            <w:tcW w:w="1871" w:type="dxa"/>
            <w:tcBorders>
              <w:right w:val="single" w:color="auto" w:sz="4" w:space="0"/>
            </w:tcBorders>
            <w:shd w:val="clear" w:color="auto" w:fill="auto"/>
          </w:tcPr>
          <w:p w14:paraId="6DD9B127">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4CAABBBD">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739997DE">
            <w:pPr>
              <w:adjustRightInd w:val="0"/>
              <w:snapToGrid w:val="0"/>
              <w:spacing w:beforeLines="50" w:line="360" w:lineRule="auto"/>
              <w:jc w:val="center"/>
              <w:rPr>
                <w:rFonts w:ascii="宋体" w:hAnsi="宋体"/>
                <w:color w:val="auto"/>
                <w:kern w:val="0"/>
                <w:szCs w:val="21"/>
                <w:highlight w:val="none"/>
              </w:rPr>
            </w:pPr>
          </w:p>
        </w:tc>
        <w:tc>
          <w:tcPr>
            <w:tcW w:w="1722" w:type="dxa"/>
            <w:shd w:val="clear" w:color="auto" w:fill="auto"/>
          </w:tcPr>
          <w:p w14:paraId="799219BF">
            <w:pPr>
              <w:adjustRightInd w:val="0"/>
              <w:snapToGrid w:val="0"/>
              <w:spacing w:beforeLines="50" w:line="360" w:lineRule="auto"/>
              <w:jc w:val="center"/>
              <w:rPr>
                <w:rFonts w:ascii="宋体" w:hAnsi="宋体"/>
                <w:color w:val="auto"/>
                <w:kern w:val="0"/>
                <w:sz w:val="20"/>
                <w:szCs w:val="21"/>
                <w:highlight w:val="none"/>
              </w:rPr>
            </w:pPr>
          </w:p>
        </w:tc>
      </w:tr>
      <w:tr w14:paraId="1E0BE6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01855315">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23AB964A">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6E223B13">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2A565F09">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0AB3F3B5">
            <w:pPr>
              <w:adjustRightInd w:val="0"/>
              <w:snapToGrid w:val="0"/>
              <w:spacing w:beforeLines="50" w:line="360" w:lineRule="auto"/>
              <w:jc w:val="center"/>
              <w:rPr>
                <w:rFonts w:ascii="宋体" w:hAnsi="宋体"/>
                <w:color w:val="auto"/>
                <w:kern w:val="0"/>
                <w:sz w:val="20"/>
                <w:szCs w:val="21"/>
                <w:highlight w:val="none"/>
              </w:rPr>
            </w:pPr>
          </w:p>
        </w:tc>
      </w:tr>
      <w:tr w14:paraId="31A43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18491811">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66155C79">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7C23770F">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46AFC4EC">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23D1ECDE">
            <w:pPr>
              <w:adjustRightInd w:val="0"/>
              <w:snapToGrid w:val="0"/>
              <w:spacing w:beforeLines="50" w:line="360" w:lineRule="auto"/>
              <w:jc w:val="center"/>
              <w:rPr>
                <w:rFonts w:ascii="宋体" w:hAnsi="宋体"/>
                <w:color w:val="auto"/>
                <w:kern w:val="0"/>
                <w:sz w:val="20"/>
                <w:szCs w:val="21"/>
                <w:highlight w:val="none"/>
              </w:rPr>
            </w:pPr>
          </w:p>
        </w:tc>
      </w:tr>
      <w:tr w14:paraId="399B3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2FAB4667">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6DC9DE42">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42A66CEA">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00407A37">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547CB97A">
            <w:pPr>
              <w:adjustRightInd w:val="0"/>
              <w:snapToGrid w:val="0"/>
              <w:spacing w:beforeLines="50" w:line="360" w:lineRule="auto"/>
              <w:jc w:val="center"/>
              <w:rPr>
                <w:rFonts w:ascii="宋体" w:hAnsi="宋体"/>
                <w:color w:val="auto"/>
                <w:kern w:val="0"/>
                <w:sz w:val="20"/>
                <w:szCs w:val="21"/>
                <w:highlight w:val="none"/>
              </w:rPr>
            </w:pPr>
          </w:p>
        </w:tc>
      </w:tr>
      <w:tr w14:paraId="59B4B7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0EE8B4F2">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29FA9793">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50A6C1ED">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05A7BC7C">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05E5E8F3">
            <w:pPr>
              <w:adjustRightInd w:val="0"/>
              <w:snapToGrid w:val="0"/>
              <w:spacing w:beforeLines="50" w:line="360" w:lineRule="auto"/>
              <w:jc w:val="center"/>
              <w:rPr>
                <w:rFonts w:ascii="宋体" w:hAnsi="宋体"/>
                <w:color w:val="auto"/>
                <w:kern w:val="0"/>
                <w:sz w:val="20"/>
                <w:szCs w:val="21"/>
                <w:highlight w:val="none"/>
              </w:rPr>
            </w:pPr>
          </w:p>
        </w:tc>
      </w:tr>
      <w:tr w14:paraId="0330D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00AA6627">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510AF532">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592C717E">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09A83064">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72738410">
            <w:pPr>
              <w:adjustRightInd w:val="0"/>
              <w:snapToGrid w:val="0"/>
              <w:spacing w:beforeLines="50" w:line="360" w:lineRule="auto"/>
              <w:jc w:val="center"/>
              <w:rPr>
                <w:rFonts w:ascii="宋体" w:hAnsi="宋体"/>
                <w:color w:val="auto"/>
                <w:kern w:val="0"/>
                <w:sz w:val="20"/>
                <w:szCs w:val="21"/>
                <w:highlight w:val="none"/>
              </w:rPr>
            </w:pPr>
          </w:p>
        </w:tc>
      </w:tr>
      <w:tr w14:paraId="7E0E3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086A8204">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621C2F3C">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2993192A">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05B5B02E">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1B6444C2">
            <w:pPr>
              <w:adjustRightInd w:val="0"/>
              <w:snapToGrid w:val="0"/>
              <w:spacing w:beforeLines="50" w:line="360" w:lineRule="auto"/>
              <w:jc w:val="center"/>
              <w:rPr>
                <w:rFonts w:ascii="宋体" w:hAnsi="宋体"/>
                <w:color w:val="auto"/>
                <w:kern w:val="0"/>
                <w:sz w:val="20"/>
                <w:szCs w:val="21"/>
                <w:highlight w:val="none"/>
              </w:rPr>
            </w:pPr>
          </w:p>
        </w:tc>
      </w:tr>
      <w:tr w14:paraId="5096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7A2A25BF">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244CC851">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46DE32FF">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5CA136DA">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604920B6">
            <w:pPr>
              <w:adjustRightInd w:val="0"/>
              <w:snapToGrid w:val="0"/>
              <w:spacing w:beforeLines="50" w:line="360" w:lineRule="auto"/>
              <w:jc w:val="center"/>
              <w:rPr>
                <w:rFonts w:ascii="宋体" w:hAnsi="宋体"/>
                <w:color w:val="auto"/>
                <w:kern w:val="0"/>
                <w:sz w:val="20"/>
                <w:szCs w:val="21"/>
                <w:highlight w:val="none"/>
              </w:rPr>
            </w:pPr>
          </w:p>
        </w:tc>
      </w:tr>
      <w:tr w14:paraId="19EF9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51D9CE9E">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5953D6E6">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20622C77">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538C3D1D">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7C7F9181">
            <w:pPr>
              <w:adjustRightInd w:val="0"/>
              <w:snapToGrid w:val="0"/>
              <w:spacing w:beforeLines="50" w:line="360" w:lineRule="auto"/>
              <w:jc w:val="center"/>
              <w:rPr>
                <w:rFonts w:ascii="宋体" w:hAnsi="宋体"/>
                <w:color w:val="auto"/>
                <w:kern w:val="0"/>
                <w:sz w:val="20"/>
                <w:szCs w:val="21"/>
                <w:highlight w:val="none"/>
              </w:rPr>
            </w:pPr>
          </w:p>
        </w:tc>
      </w:tr>
      <w:tr w14:paraId="71956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6" w:type="dxa"/>
            <w:shd w:val="clear" w:color="auto" w:fill="auto"/>
          </w:tcPr>
          <w:p w14:paraId="5362DBA1">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678D8D4C">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7E971886">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3C329721">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2B4C05CC">
            <w:pPr>
              <w:adjustRightInd w:val="0"/>
              <w:snapToGrid w:val="0"/>
              <w:spacing w:beforeLines="50" w:line="360" w:lineRule="auto"/>
              <w:jc w:val="center"/>
              <w:rPr>
                <w:rFonts w:ascii="宋体" w:hAnsi="宋体"/>
                <w:color w:val="auto"/>
                <w:kern w:val="0"/>
                <w:sz w:val="20"/>
                <w:szCs w:val="21"/>
                <w:highlight w:val="none"/>
              </w:rPr>
            </w:pPr>
          </w:p>
        </w:tc>
      </w:tr>
      <w:tr w14:paraId="72B4D3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696" w:type="dxa"/>
            <w:shd w:val="clear" w:color="auto" w:fill="auto"/>
          </w:tcPr>
          <w:p w14:paraId="22DB65CD">
            <w:pPr>
              <w:adjustRightInd w:val="0"/>
              <w:snapToGrid w:val="0"/>
              <w:spacing w:beforeLines="50" w:line="360" w:lineRule="auto"/>
              <w:jc w:val="center"/>
              <w:rPr>
                <w:rFonts w:ascii="宋体" w:hAnsi="宋体"/>
                <w:color w:val="auto"/>
                <w:kern w:val="0"/>
                <w:sz w:val="20"/>
                <w:szCs w:val="21"/>
                <w:highlight w:val="none"/>
              </w:rPr>
            </w:pPr>
          </w:p>
        </w:tc>
        <w:tc>
          <w:tcPr>
            <w:tcW w:w="1871" w:type="dxa"/>
            <w:tcBorders>
              <w:right w:val="single" w:color="auto" w:sz="4" w:space="0"/>
            </w:tcBorders>
            <w:shd w:val="clear" w:color="auto" w:fill="auto"/>
          </w:tcPr>
          <w:p w14:paraId="5061E92E">
            <w:pPr>
              <w:adjustRightInd w:val="0"/>
              <w:snapToGrid w:val="0"/>
              <w:spacing w:beforeLines="50" w:line="360" w:lineRule="auto"/>
              <w:jc w:val="center"/>
              <w:rPr>
                <w:rFonts w:ascii="宋体" w:hAnsi="宋体"/>
                <w:color w:val="auto"/>
                <w:kern w:val="0"/>
                <w:sz w:val="20"/>
                <w:szCs w:val="21"/>
                <w:highlight w:val="none"/>
              </w:rPr>
            </w:pPr>
          </w:p>
        </w:tc>
        <w:tc>
          <w:tcPr>
            <w:tcW w:w="2410" w:type="dxa"/>
            <w:tcBorders>
              <w:left w:val="single" w:color="auto" w:sz="4" w:space="0"/>
            </w:tcBorders>
            <w:shd w:val="clear" w:color="auto" w:fill="auto"/>
          </w:tcPr>
          <w:p w14:paraId="0A2CA076">
            <w:pPr>
              <w:adjustRightInd w:val="0"/>
              <w:snapToGrid w:val="0"/>
              <w:spacing w:beforeLines="50" w:line="360" w:lineRule="auto"/>
              <w:jc w:val="center"/>
              <w:rPr>
                <w:rFonts w:ascii="宋体" w:hAnsi="宋体"/>
                <w:color w:val="auto"/>
                <w:kern w:val="0"/>
                <w:sz w:val="20"/>
                <w:szCs w:val="21"/>
                <w:highlight w:val="none"/>
              </w:rPr>
            </w:pPr>
          </w:p>
        </w:tc>
        <w:tc>
          <w:tcPr>
            <w:tcW w:w="2268" w:type="dxa"/>
            <w:shd w:val="clear" w:color="auto" w:fill="auto"/>
          </w:tcPr>
          <w:p w14:paraId="3BBAAC89">
            <w:pPr>
              <w:adjustRightInd w:val="0"/>
              <w:snapToGrid w:val="0"/>
              <w:spacing w:beforeLines="50" w:line="360" w:lineRule="auto"/>
              <w:jc w:val="center"/>
              <w:rPr>
                <w:rFonts w:ascii="宋体" w:hAnsi="宋体"/>
                <w:color w:val="auto"/>
                <w:kern w:val="0"/>
                <w:sz w:val="20"/>
                <w:szCs w:val="21"/>
                <w:highlight w:val="none"/>
              </w:rPr>
            </w:pPr>
          </w:p>
        </w:tc>
        <w:tc>
          <w:tcPr>
            <w:tcW w:w="1722" w:type="dxa"/>
            <w:shd w:val="clear" w:color="auto" w:fill="auto"/>
          </w:tcPr>
          <w:p w14:paraId="4C4CB5EE">
            <w:pPr>
              <w:adjustRightInd w:val="0"/>
              <w:snapToGrid w:val="0"/>
              <w:spacing w:beforeLines="50" w:line="360" w:lineRule="auto"/>
              <w:jc w:val="center"/>
              <w:rPr>
                <w:rFonts w:ascii="宋体" w:hAnsi="宋体"/>
                <w:color w:val="auto"/>
                <w:kern w:val="0"/>
                <w:sz w:val="20"/>
                <w:szCs w:val="21"/>
                <w:highlight w:val="none"/>
              </w:rPr>
            </w:pPr>
          </w:p>
        </w:tc>
      </w:tr>
    </w:tbl>
    <w:p w14:paraId="7734292F">
      <w:pPr>
        <w:rPr>
          <w:color w:val="auto"/>
          <w:highlight w:val="none"/>
        </w:rPr>
      </w:pPr>
    </w:p>
    <w:p w14:paraId="2568093E">
      <w:pPr>
        <w:keepNext/>
        <w:keepLines/>
        <w:spacing w:line="360" w:lineRule="auto"/>
        <w:jc w:val="center"/>
        <w:outlineLvl w:val="1"/>
        <w:rPr>
          <w:rFonts w:ascii="黑体" w:hAnsi="黑体" w:eastAsia="黑体"/>
          <w:b/>
          <w:bCs/>
          <w:color w:val="auto"/>
          <w:sz w:val="28"/>
          <w:szCs w:val="28"/>
          <w:highlight w:val="none"/>
        </w:rPr>
      </w:pPr>
      <w:r>
        <w:rPr>
          <w:rFonts w:ascii="黑体" w:hAnsi="黑体" w:eastAsia="黑体"/>
          <w:color w:val="auto"/>
          <w:sz w:val="28"/>
          <w:szCs w:val="28"/>
          <w:highlight w:val="none"/>
        </w:rPr>
        <w:br w:type="page"/>
      </w:r>
      <w:bookmarkStart w:id="283" w:name="_Toc107998028"/>
      <w:bookmarkStart w:id="284" w:name="_Toc26358"/>
      <w:bookmarkStart w:id="285" w:name="_Toc145374014"/>
      <w:bookmarkStart w:id="286" w:name="_Toc1389"/>
      <w:bookmarkStart w:id="287" w:name="_Toc8103"/>
      <w:bookmarkStart w:id="288" w:name="_Toc8069"/>
      <w:bookmarkStart w:id="289" w:name="_Toc1280"/>
      <w:bookmarkStart w:id="290" w:name="_Toc12177"/>
      <w:bookmarkStart w:id="291" w:name="_Toc7417"/>
      <w:bookmarkStart w:id="292" w:name="_Toc842"/>
      <w:bookmarkStart w:id="293" w:name="_Toc209084345"/>
      <w:r>
        <w:rPr>
          <w:rFonts w:hint="eastAsia" w:ascii="黑体" w:hAnsi="黑体" w:eastAsia="黑体"/>
          <w:b/>
          <w:bCs/>
          <w:color w:val="auto"/>
          <w:sz w:val="28"/>
          <w:szCs w:val="28"/>
          <w:highlight w:val="none"/>
        </w:rPr>
        <w:t>一、报价表及报价文件(格式)</w:t>
      </w:r>
      <w:bookmarkEnd w:id="283"/>
      <w:bookmarkEnd w:id="284"/>
      <w:bookmarkEnd w:id="285"/>
      <w:bookmarkEnd w:id="286"/>
      <w:bookmarkEnd w:id="287"/>
      <w:bookmarkEnd w:id="288"/>
      <w:bookmarkEnd w:id="289"/>
      <w:bookmarkEnd w:id="290"/>
      <w:bookmarkEnd w:id="291"/>
      <w:bookmarkEnd w:id="292"/>
      <w:bookmarkEnd w:id="293"/>
    </w:p>
    <w:p w14:paraId="7524BDEF">
      <w:pPr>
        <w:keepNext/>
        <w:keepLines/>
        <w:spacing w:before="260" w:after="260" w:line="416" w:lineRule="auto"/>
        <w:rPr>
          <w:rFonts w:ascii="宋体" w:hAnsi="宋体"/>
          <w:b/>
          <w:bCs/>
          <w:color w:val="auto"/>
          <w:szCs w:val="21"/>
          <w:highlight w:val="none"/>
        </w:rPr>
      </w:pPr>
      <w:bookmarkStart w:id="294" w:name="_Toc28541"/>
      <w:bookmarkStart w:id="295" w:name="_Toc28086"/>
      <w:bookmarkStart w:id="296" w:name="_Toc107998029"/>
      <w:r>
        <w:rPr>
          <w:rFonts w:hint="eastAsia" w:ascii="宋体" w:hAnsi="宋体"/>
          <w:b/>
          <w:bCs/>
          <w:color w:val="auto"/>
          <w:szCs w:val="21"/>
          <w:highlight w:val="none"/>
        </w:rPr>
        <w:t>附件</w:t>
      </w:r>
      <w:r>
        <w:rPr>
          <w:rFonts w:ascii="宋体" w:hAnsi="宋体"/>
          <w:b/>
          <w:bCs/>
          <w:color w:val="auto"/>
          <w:szCs w:val="21"/>
          <w:highlight w:val="none"/>
        </w:rPr>
        <w:t>1</w:t>
      </w:r>
      <w:r>
        <w:rPr>
          <w:rFonts w:hint="eastAsia" w:ascii="宋体" w:hAnsi="宋体"/>
          <w:b/>
          <w:bCs/>
          <w:color w:val="auto"/>
          <w:szCs w:val="21"/>
          <w:highlight w:val="none"/>
        </w:rPr>
        <w:t>-1 报价表</w:t>
      </w:r>
      <w:bookmarkEnd w:id="294"/>
      <w:bookmarkEnd w:id="295"/>
      <w:bookmarkEnd w:id="296"/>
    </w:p>
    <w:p w14:paraId="271320E6">
      <w:pPr>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报价表</w:t>
      </w:r>
    </w:p>
    <w:p w14:paraId="2AD79749">
      <w:pPr>
        <w:adjustRightInd w:val="0"/>
        <w:snapToGrid w:val="0"/>
        <w:spacing w:line="360" w:lineRule="auto"/>
        <w:ind w:left="-88" w:leftChars="-42"/>
        <w:jc w:val="center"/>
        <w:rPr>
          <w:rFonts w:ascii="仿宋_GB2312" w:hAnsi="宋体" w:eastAsia="仿宋_GB2312"/>
          <w:color w:val="auto"/>
          <w:sz w:val="24"/>
          <w:highlight w:val="none"/>
        </w:rPr>
      </w:pPr>
    </w:p>
    <w:p w14:paraId="79E72893">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1676C38C">
      <w:pPr>
        <w:adjustRightInd w:val="0"/>
        <w:snapToGrid w:val="0"/>
        <w:spacing w:beforeLines="50" w:line="360" w:lineRule="auto"/>
        <w:rPr>
          <w:rFonts w:ascii="宋体" w:hAnsi="宋体"/>
          <w:b/>
          <w:color w:val="auto"/>
          <w:szCs w:val="21"/>
          <w:highlight w:val="none"/>
        </w:rPr>
      </w:pPr>
      <w:r>
        <w:rPr>
          <w:rFonts w:hint="eastAsia" w:ascii="宋体" w:hAnsi="宋体"/>
          <w:color w:val="auto"/>
          <w:szCs w:val="21"/>
          <w:highlight w:val="none"/>
        </w:rPr>
        <w:t>包号：                       包名称：</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CABE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75E2D09C">
            <w:pPr>
              <w:adjustRightInd w:val="0"/>
              <w:snapToGrid w:val="0"/>
              <w:spacing w:before="156" w:beforeLines="50"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报价</w:t>
            </w:r>
          </w:p>
        </w:tc>
        <w:tc>
          <w:tcPr>
            <w:tcW w:w="3119" w:type="dxa"/>
            <w:noWrap w:val="0"/>
            <w:vAlign w:val="center"/>
          </w:tcPr>
          <w:p w14:paraId="5CC9499B">
            <w:pPr>
              <w:adjustRightInd w:val="0"/>
              <w:snapToGrid w:val="0"/>
              <w:spacing w:before="156"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4E572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4FE2FE1">
            <w:pPr>
              <w:adjustRightInd w:val="0"/>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3B589855">
            <w:pPr>
              <w:adjustRightInd w:val="0"/>
              <w:snapToGrid w:val="0"/>
              <w:spacing w:before="156" w:beforeLines="50"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A8E8961">
            <w:pPr>
              <w:adjustRightInd w:val="0"/>
              <w:snapToGrid w:val="0"/>
              <w:spacing w:before="156" w:beforeLines="50" w:line="360" w:lineRule="auto"/>
              <w:jc w:val="center"/>
              <w:rPr>
                <w:rFonts w:ascii="宋体" w:hAnsi="宋体"/>
                <w:color w:val="auto"/>
                <w:kern w:val="0"/>
                <w:sz w:val="2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tc>
        <w:tc>
          <w:tcPr>
            <w:tcW w:w="3119" w:type="dxa"/>
            <w:noWrap w:val="0"/>
            <w:vAlign w:val="center"/>
          </w:tcPr>
          <w:p w14:paraId="08BE442F">
            <w:pPr>
              <w:adjustRightInd w:val="0"/>
              <w:snapToGrid w:val="0"/>
              <w:spacing w:beforeLines="50" w:line="360" w:lineRule="auto"/>
              <w:jc w:val="left"/>
              <w:rPr>
                <w:rFonts w:ascii="宋体" w:hAnsi="宋体"/>
                <w:kern w:val="0"/>
                <w:szCs w:val="21"/>
              </w:rPr>
            </w:pPr>
            <w:r>
              <w:rPr>
                <w:rFonts w:hint="eastAsia" w:ascii="宋体" w:hAnsi="宋体"/>
                <w:kern w:val="0"/>
                <w:szCs w:val="21"/>
              </w:rPr>
              <w:t>服务期：</w:t>
            </w:r>
          </w:p>
          <w:p w14:paraId="23C4D491">
            <w:pPr>
              <w:adjustRightInd w:val="0"/>
              <w:snapToGrid w:val="0"/>
              <w:spacing w:before="156" w:beforeLines="50" w:line="360" w:lineRule="auto"/>
              <w:jc w:val="left"/>
              <w:rPr>
                <w:rFonts w:hint="eastAsia"/>
                <w:color w:val="auto"/>
                <w:highlight w:val="none"/>
                <w:lang w:eastAsia="zh-CN"/>
              </w:rPr>
            </w:pPr>
            <w:r>
              <w:rPr>
                <w:rFonts w:hint="eastAsia" w:ascii="宋体" w:hAnsi="宋体"/>
                <w:kern w:val="0"/>
                <w:szCs w:val="21"/>
              </w:rPr>
              <w:t>项目负责人：</w:t>
            </w:r>
          </w:p>
        </w:tc>
      </w:tr>
    </w:tbl>
    <w:p w14:paraId="5429567D">
      <w:pPr>
        <w:adjustRightInd w:val="0"/>
        <w:snapToGrid w:val="0"/>
        <w:spacing w:beforeLines="50" w:line="360" w:lineRule="auto"/>
        <w:rPr>
          <w:rFonts w:ascii="宋体" w:hAnsi="宋体"/>
          <w:bCs/>
          <w:color w:val="auto"/>
          <w:szCs w:val="21"/>
          <w:highlight w:val="none"/>
        </w:rPr>
      </w:pPr>
      <w:r>
        <w:rPr>
          <w:rFonts w:hint="eastAsia" w:ascii="宋体" w:hAnsi="宋体"/>
          <w:bCs/>
          <w:color w:val="auto"/>
          <w:szCs w:val="21"/>
          <w:highlight w:val="none"/>
        </w:rPr>
        <w:t>注：本表须按包填写，一个“包号”一份。</w:t>
      </w:r>
    </w:p>
    <w:p w14:paraId="64591DA9">
      <w:pPr>
        <w:adjustRightInd w:val="0"/>
        <w:snapToGrid w:val="0"/>
        <w:spacing w:beforeLines="50" w:line="360" w:lineRule="auto"/>
        <w:ind w:firstLine="420" w:firstLineChars="200"/>
        <w:rPr>
          <w:rFonts w:ascii="宋体" w:hAnsi="宋体"/>
          <w:color w:val="auto"/>
          <w:szCs w:val="21"/>
          <w:highlight w:val="none"/>
        </w:rPr>
      </w:pPr>
    </w:p>
    <w:p w14:paraId="174E2EDD">
      <w:pPr>
        <w:adjustRightInd w:val="0"/>
        <w:snapToGrid w:val="0"/>
        <w:spacing w:beforeLines="50" w:line="360" w:lineRule="auto"/>
        <w:ind w:firstLine="420" w:firstLineChars="200"/>
        <w:rPr>
          <w:rFonts w:ascii="宋体" w:hAnsi="宋体"/>
          <w:color w:val="auto"/>
          <w:szCs w:val="21"/>
          <w:highlight w:val="none"/>
        </w:rPr>
      </w:pPr>
    </w:p>
    <w:p w14:paraId="3771121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51DA40C2">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3536332">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日期：年月日</w:t>
      </w:r>
    </w:p>
    <w:p w14:paraId="2C381EA2">
      <w:pPr>
        <w:keepNext/>
        <w:keepLines/>
        <w:adjustRightInd w:val="0"/>
        <w:snapToGrid w:val="0"/>
        <w:spacing w:before="156" w:beforeLines="50" w:line="360" w:lineRule="auto"/>
        <w:outlineLvl w:val="9"/>
        <w:rPr>
          <w:rFonts w:ascii="宋体" w:hAnsi="宋体"/>
          <w:b/>
          <w:bCs/>
          <w:color w:val="auto"/>
          <w:szCs w:val="21"/>
          <w:highlight w:val="none"/>
        </w:rPr>
      </w:pPr>
      <w:r>
        <w:rPr>
          <w:rFonts w:ascii="宋体" w:hAnsi="宋体"/>
          <w:color w:val="auto"/>
          <w:szCs w:val="21"/>
          <w:highlight w:val="none"/>
        </w:rPr>
        <w:br w:type="page"/>
      </w:r>
      <w:bookmarkStart w:id="297" w:name="_Toc107998030"/>
      <w:bookmarkStart w:id="298" w:name="_Toc8671"/>
      <w:bookmarkStart w:id="299" w:name="_Toc24929"/>
      <w:bookmarkStart w:id="300" w:name="_Toc16697"/>
      <w:bookmarkStart w:id="301" w:name="_Toc34637791"/>
      <w:bookmarkStart w:id="302" w:name="_Toc74694333"/>
      <w:r>
        <w:rPr>
          <w:rFonts w:hint="eastAsia" w:ascii="宋体" w:hAnsi="宋体"/>
          <w:b/>
          <w:bCs/>
          <w:color w:val="auto"/>
          <w:szCs w:val="21"/>
          <w:highlight w:val="none"/>
        </w:rPr>
        <w:t>附件</w:t>
      </w:r>
      <w:r>
        <w:rPr>
          <w:rFonts w:ascii="宋体" w:hAnsi="宋体"/>
          <w:b/>
          <w:bCs/>
          <w:color w:val="auto"/>
          <w:szCs w:val="21"/>
          <w:highlight w:val="none"/>
        </w:rPr>
        <w:t>1</w:t>
      </w:r>
      <w:r>
        <w:rPr>
          <w:rFonts w:hint="eastAsia" w:ascii="宋体" w:hAnsi="宋体"/>
          <w:b/>
          <w:bCs/>
          <w:color w:val="auto"/>
          <w:szCs w:val="21"/>
          <w:highlight w:val="none"/>
        </w:rPr>
        <w:t>-2分项报价说明</w:t>
      </w:r>
      <w:bookmarkEnd w:id="297"/>
      <w:bookmarkEnd w:id="298"/>
      <w:bookmarkEnd w:id="299"/>
    </w:p>
    <w:p w14:paraId="73875DBA">
      <w:pPr>
        <w:autoSpaceDE w:val="0"/>
        <w:autoSpaceDN w:val="0"/>
        <w:adjustRightInd w:val="0"/>
        <w:snapToGrid w:val="0"/>
        <w:spacing w:before="156" w:beforeLines="50" w:line="360" w:lineRule="auto"/>
        <w:jc w:val="center"/>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598E2356">
      <w:pPr>
        <w:autoSpaceDE w:val="0"/>
        <w:autoSpaceDN w:val="0"/>
        <w:adjustRightInd w:val="0"/>
        <w:snapToGrid w:val="0"/>
        <w:spacing w:before="156" w:beforeLines="50" w:line="360" w:lineRule="auto"/>
        <w:jc w:val="left"/>
        <w:rPr>
          <w:rFonts w:ascii="宋体" w:hAnsi="宋体" w:cs="微软雅黑"/>
          <w:color w:val="auto"/>
          <w:kern w:val="0"/>
          <w:szCs w:val="21"/>
          <w:highlight w:val="none"/>
        </w:rPr>
      </w:pPr>
    </w:p>
    <w:p w14:paraId="0B6AB533">
      <w:pPr>
        <w:autoSpaceDE w:val="0"/>
        <w:autoSpaceDN w:val="0"/>
        <w:adjustRightInd w:val="0"/>
        <w:snapToGrid w:val="0"/>
        <w:spacing w:before="156" w:beforeLines="50" w:line="360" w:lineRule="auto"/>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注：1</w:t>
      </w:r>
      <w:r>
        <w:rPr>
          <w:rFonts w:hint="eastAsia" w:ascii="宋体" w:hAnsi="宋体" w:cs="微软雅黑"/>
          <w:color w:val="auto"/>
          <w:kern w:val="0"/>
          <w:szCs w:val="21"/>
          <w:highlight w:val="none"/>
          <w:lang w:val="en-US" w:eastAsia="zh-CN"/>
        </w:rPr>
        <w:t>.</w:t>
      </w:r>
      <w:r>
        <w:rPr>
          <w:rFonts w:hint="eastAsia" w:ascii="宋体" w:hAnsi="宋体" w:cs="微软雅黑"/>
          <w:color w:val="auto"/>
          <w:kern w:val="0"/>
          <w:szCs w:val="21"/>
          <w:highlight w:val="none"/>
        </w:rPr>
        <w:t>供应商应按谈判文件第二章相关要求，对本节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3DE982D8">
      <w:pPr>
        <w:autoSpaceDE w:val="0"/>
        <w:autoSpaceDN w:val="0"/>
        <w:adjustRightInd w:val="0"/>
        <w:snapToGrid w:val="0"/>
        <w:spacing w:before="156" w:beforeLines="50" w:line="360" w:lineRule="auto"/>
        <w:jc w:val="left"/>
        <w:rPr>
          <w:rFonts w:ascii="宋体" w:hAnsi="宋体" w:cs="微软雅黑"/>
          <w:color w:val="auto"/>
          <w:kern w:val="0"/>
          <w:szCs w:val="21"/>
          <w:highlight w:val="none"/>
        </w:rPr>
      </w:pPr>
    </w:p>
    <w:p w14:paraId="18383902">
      <w:pPr>
        <w:adjustRightInd w:val="0"/>
        <w:snapToGrid w:val="0"/>
        <w:spacing w:before="156" w:beforeLines="50" w:line="360" w:lineRule="auto"/>
        <w:rPr>
          <w:color w:val="auto"/>
          <w:highlight w:val="none"/>
        </w:rPr>
      </w:pPr>
    </w:p>
    <w:p w14:paraId="2D82749E">
      <w:pPr>
        <w:keepNext/>
        <w:keepLines/>
        <w:adjustRightInd w:val="0"/>
        <w:snapToGrid w:val="0"/>
        <w:spacing w:before="156" w:beforeLines="50" w:line="360" w:lineRule="auto"/>
        <w:outlineLvl w:val="9"/>
        <w:rPr>
          <w:rFonts w:ascii="宋体" w:hAnsi="宋体"/>
          <w:b/>
          <w:bCs/>
          <w:color w:val="auto"/>
          <w:szCs w:val="21"/>
          <w:highlight w:val="none"/>
        </w:rPr>
      </w:pPr>
      <w:bookmarkStart w:id="303" w:name="_Toc13165"/>
      <w:bookmarkStart w:id="304" w:name="_Toc20686"/>
      <w:bookmarkStart w:id="305" w:name="_Toc107998031"/>
      <w:r>
        <w:rPr>
          <w:rFonts w:hint="eastAsia" w:ascii="宋体" w:hAnsi="宋体" w:cs="宋体"/>
          <w:b/>
          <w:bCs/>
          <w:color w:val="auto"/>
          <w:szCs w:val="21"/>
          <w:highlight w:val="none"/>
        </w:rPr>
        <w:t>附件</w:t>
      </w:r>
      <w:r>
        <w:rPr>
          <w:rFonts w:ascii="宋体" w:hAnsi="宋体" w:cs="宋体"/>
          <w:b/>
          <w:bCs/>
          <w:color w:val="auto"/>
          <w:szCs w:val="21"/>
          <w:highlight w:val="none"/>
        </w:rPr>
        <w:t>1</w:t>
      </w:r>
      <w:r>
        <w:rPr>
          <w:rFonts w:hint="eastAsia" w:ascii="宋体" w:hAnsi="宋体" w:cs="宋体"/>
          <w:b/>
          <w:bCs/>
          <w:color w:val="auto"/>
          <w:szCs w:val="21"/>
          <w:highlight w:val="none"/>
        </w:rPr>
        <w:t>-3</w:t>
      </w:r>
      <w:r>
        <w:rPr>
          <w:rFonts w:hint="eastAsia" w:ascii="宋体" w:hAnsi="宋体"/>
          <w:b/>
          <w:bCs/>
          <w:color w:val="auto"/>
          <w:spacing w:val="-2"/>
          <w:position w:val="-3"/>
          <w:szCs w:val="21"/>
          <w:highlight w:val="none"/>
        </w:rPr>
        <w:t>分</w:t>
      </w:r>
      <w:r>
        <w:rPr>
          <w:rFonts w:hint="eastAsia" w:ascii="宋体" w:hAnsi="宋体"/>
          <w:b/>
          <w:bCs/>
          <w:color w:val="auto"/>
          <w:position w:val="-3"/>
          <w:szCs w:val="21"/>
          <w:highlight w:val="none"/>
        </w:rPr>
        <w:t>项</w:t>
      </w:r>
      <w:r>
        <w:rPr>
          <w:rFonts w:hint="eastAsia" w:ascii="宋体" w:hAnsi="宋体"/>
          <w:b/>
          <w:bCs/>
          <w:color w:val="auto"/>
          <w:spacing w:val="-2"/>
          <w:position w:val="-3"/>
          <w:szCs w:val="21"/>
          <w:highlight w:val="none"/>
        </w:rPr>
        <w:t>报</w:t>
      </w:r>
      <w:r>
        <w:rPr>
          <w:rFonts w:hint="eastAsia" w:ascii="宋体" w:hAnsi="宋体"/>
          <w:b/>
          <w:bCs/>
          <w:color w:val="auto"/>
          <w:position w:val="-3"/>
          <w:szCs w:val="21"/>
          <w:highlight w:val="none"/>
        </w:rPr>
        <w:t>价明细表</w:t>
      </w:r>
      <w:bookmarkEnd w:id="303"/>
      <w:bookmarkEnd w:id="304"/>
      <w:bookmarkEnd w:id="305"/>
    </w:p>
    <w:p w14:paraId="17EC9C9A">
      <w:pPr>
        <w:adjustRightInd w:val="0"/>
        <w:snapToGrid w:val="0"/>
        <w:spacing w:before="156" w:beforeLines="50"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33220B38">
      <w:pPr>
        <w:adjustRightInd w:val="0"/>
        <w:snapToGrid w:val="0"/>
        <w:spacing w:line="360" w:lineRule="auto"/>
        <w:ind w:firstLine="2940" w:firstLineChars="1400"/>
        <w:rPr>
          <w:rFonts w:hint="eastAsia" w:asciiTheme="minorEastAsia" w:hAnsiTheme="minorEastAsia" w:eastAsiaTheme="minorEastAsia"/>
          <w:szCs w:val="21"/>
        </w:rPr>
      </w:pPr>
      <w:bookmarkStart w:id="306" w:name="_Toc76503443"/>
      <w:bookmarkStart w:id="307" w:name="_Toc25582"/>
      <w:bookmarkStart w:id="308" w:name="_Toc26015"/>
    </w:p>
    <w:p w14:paraId="0E57CCCD">
      <w:pPr>
        <w:adjustRightInd w:val="0"/>
        <w:snapToGrid w:val="0"/>
        <w:spacing w:line="360" w:lineRule="auto"/>
        <w:ind w:firstLine="2940" w:firstLineChars="1400"/>
        <w:rPr>
          <w:rFonts w:hint="eastAsia" w:asciiTheme="minorEastAsia" w:hAnsiTheme="minorEastAsia" w:eastAsiaTheme="minorEastAsia"/>
          <w:szCs w:val="21"/>
        </w:rPr>
      </w:pPr>
    </w:p>
    <w:p w14:paraId="5A873623">
      <w:pPr>
        <w:adjustRightInd w:val="0"/>
        <w:snapToGrid w:val="0"/>
        <w:spacing w:line="360" w:lineRule="auto"/>
        <w:ind w:firstLine="2940" w:firstLineChars="1400"/>
        <w:rPr>
          <w:rFonts w:hint="eastAsia" w:asciiTheme="minorEastAsia" w:hAnsiTheme="minorEastAsia" w:eastAsiaTheme="minorEastAsia"/>
          <w:szCs w:val="21"/>
        </w:rPr>
      </w:pPr>
    </w:p>
    <w:p w14:paraId="09EB2913">
      <w:pPr>
        <w:adjustRightInd w:val="0"/>
        <w:snapToGrid w:val="0"/>
        <w:spacing w:line="360" w:lineRule="auto"/>
        <w:ind w:firstLine="2940" w:firstLineChars="1400"/>
        <w:rPr>
          <w:rFonts w:hint="eastAsia" w:asciiTheme="minorEastAsia" w:hAnsiTheme="minorEastAsia" w:eastAsiaTheme="minorEastAsia"/>
          <w:szCs w:val="21"/>
        </w:rPr>
      </w:pPr>
    </w:p>
    <w:p w14:paraId="5569A28F">
      <w:pPr>
        <w:adjustRightInd w:val="0"/>
        <w:snapToGrid w:val="0"/>
        <w:spacing w:line="360" w:lineRule="auto"/>
        <w:ind w:firstLine="2940" w:firstLineChars="1400"/>
        <w:rPr>
          <w:rFonts w:ascii="宋体" w:hAnsi="宋体"/>
          <w:b/>
          <w:color w:val="auto"/>
          <w:szCs w:val="21"/>
          <w:highlight w:val="none"/>
        </w:rPr>
      </w:pPr>
      <w:r>
        <w:rPr>
          <w:rFonts w:hint="eastAsia" w:asciiTheme="minorEastAsia" w:hAnsiTheme="minorEastAsia" w:eastAsiaTheme="minorEastAsia"/>
          <w:szCs w:val="21"/>
        </w:rPr>
        <w:t>(格式自拟)</w:t>
      </w:r>
      <w:bookmarkEnd w:id="306"/>
      <w:bookmarkEnd w:id="307"/>
      <w:bookmarkEnd w:id="308"/>
    </w:p>
    <w:p w14:paraId="7142CE33">
      <w:pPr>
        <w:jc w:val="center"/>
        <w:rPr>
          <w:rFonts w:ascii="宋体" w:hAnsi="宋体"/>
          <w:color w:val="auto"/>
          <w:szCs w:val="21"/>
          <w:highlight w:val="none"/>
        </w:rPr>
      </w:pPr>
      <w:r>
        <w:rPr>
          <w:rFonts w:ascii="宋体" w:hAnsi="宋体"/>
          <w:color w:val="auto"/>
          <w:szCs w:val="21"/>
          <w:highlight w:val="none"/>
        </w:rPr>
        <w:br w:type="page"/>
      </w:r>
    </w:p>
    <w:p w14:paraId="42CC06E3">
      <w:pPr>
        <w:keepNext/>
        <w:keepLines/>
        <w:spacing w:line="360" w:lineRule="auto"/>
        <w:jc w:val="center"/>
        <w:outlineLvl w:val="1"/>
        <w:rPr>
          <w:rFonts w:ascii="黑体" w:hAnsi="黑体" w:eastAsia="黑体"/>
          <w:b/>
          <w:bCs/>
          <w:color w:val="auto"/>
          <w:sz w:val="28"/>
          <w:szCs w:val="28"/>
          <w:highlight w:val="none"/>
        </w:rPr>
      </w:pPr>
      <w:bookmarkStart w:id="309" w:name="_Toc14043"/>
      <w:bookmarkStart w:id="310" w:name="_Toc8883"/>
      <w:bookmarkStart w:id="311" w:name="_Toc107998033"/>
      <w:bookmarkStart w:id="312" w:name="_Toc1083"/>
      <w:bookmarkStart w:id="313" w:name="_Toc24988"/>
      <w:bookmarkStart w:id="314" w:name="_Toc20494"/>
      <w:bookmarkStart w:id="315" w:name="_Toc17048"/>
      <w:bookmarkStart w:id="316" w:name="_Toc209084347"/>
      <w:bookmarkStart w:id="317" w:name="_Toc145374016"/>
      <w:bookmarkStart w:id="318" w:name="_Toc20516"/>
      <w:bookmarkStart w:id="319" w:name="_Toc8241"/>
      <w:r>
        <w:rPr>
          <w:rFonts w:hint="eastAsia" w:ascii="黑体" w:hAnsi="黑体" w:eastAsia="黑体"/>
          <w:b/>
          <w:bCs/>
          <w:color w:val="auto"/>
          <w:sz w:val="28"/>
          <w:szCs w:val="28"/>
          <w:highlight w:val="none"/>
        </w:rPr>
        <w:t>二、谈判响应声明(格式)</w:t>
      </w:r>
      <w:bookmarkEnd w:id="309"/>
      <w:bookmarkEnd w:id="310"/>
      <w:bookmarkEnd w:id="311"/>
      <w:bookmarkEnd w:id="312"/>
      <w:bookmarkEnd w:id="313"/>
      <w:bookmarkEnd w:id="314"/>
      <w:bookmarkEnd w:id="315"/>
      <w:bookmarkEnd w:id="316"/>
      <w:bookmarkEnd w:id="317"/>
      <w:bookmarkEnd w:id="318"/>
      <w:bookmarkEnd w:id="319"/>
    </w:p>
    <w:p w14:paraId="22630944">
      <w:pPr>
        <w:adjustRightInd w:val="0"/>
        <w:snapToGrid w:val="0"/>
        <w:spacing w:beforeLines="50" w:line="360" w:lineRule="auto"/>
        <w:rPr>
          <w:rFonts w:ascii="宋体" w:hAnsi="宋体"/>
          <w:color w:val="auto"/>
          <w:szCs w:val="21"/>
          <w:highlight w:val="none"/>
        </w:rPr>
      </w:pPr>
    </w:p>
    <w:p w14:paraId="5F512564">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(采购人、采购代理机构)</w:t>
      </w:r>
      <w:r>
        <w:rPr>
          <w:rFonts w:hint="eastAsia" w:ascii="宋体" w:hAnsi="宋体"/>
          <w:color w:val="auto"/>
          <w:szCs w:val="21"/>
          <w:highlight w:val="none"/>
        </w:rPr>
        <w:t>：</w:t>
      </w:r>
    </w:p>
    <w:p w14:paraId="34615127">
      <w:pPr>
        <w:adjustRightInd w:val="0"/>
        <w:snapToGrid w:val="0"/>
        <w:spacing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w:t>
      </w:r>
      <w:r>
        <w:rPr>
          <w:rFonts w:hint="eastAsia" w:ascii="宋体" w:hAnsi="宋体"/>
          <w:color w:val="auto"/>
          <w:szCs w:val="21"/>
          <w:highlight w:val="none"/>
        </w:rPr>
        <w:t>的谈判邀请（</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olor w:val="auto"/>
          <w:szCs w:val="21"/>
          <w:highlight w:val="none"/>
        </w:rPr>
        <w:t>委托代理编号： ），签字代表</w:t>
      </w:r>
      <w:r>
        <w:rPr>
          <w:rFonts w:hint="eastAsia" w:ascii="宋体" w:hAnsi="宋体"/>
          <w:color w:val="auto"/>
          <w:szCs w:val="21"/>
          <w:highlight w:val="none"/>
          <w:u w:val="single"/>
        </w:rPr>
        <w:t xml:space="preserve"> （姓名、职务）</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提交响应文件电子文档：一份，参加采购项目第包谈判，并在此声明，所递交的响应文件内容完整、真实。</w:t>
      </w:r>
    </w:p>
    <w:p w14:paraId="1DD1CDAE">
      <w:pPr>
        <w:adjustRightInd w:val="0"/>
        <w:snapToGrid w:val="0"/>
        <w:spacing w:beforeLines="50"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一、我方已详细审查谈判文件。我们完全理解并同意放弃对这方面有不明及误解的权力。</w:t>
      </w:r>
    </w:p>
    <w:p w14:paraId="48619996">
      <w:pPr>
        <w:adjustRightInd w:val="0"/>
        <w:snapToGrid w:val="0"/>
        <w:spacing w:beforeLines="50" w:line="360" w:lineRule="auto"/>
        <w:ind w:firstLine="420" w:firstLineChars="200"/>
        <w:rPr>
          <w:rFonts w:ascii="宋体" w:hAnsi="宋体" w:cs="Courier New"/>
          <w:bCs/>
          <w:color w:val="auto"/>
          <w:szCs w:val="21"/>
          <w:highlight w:val="none"/>
        </w:rPr>
      </w:pPr>
      <w:r>
        <w:rPr>
          <w:rFonts w:hint="eastAsia" w:ascii="宋体" w:hAnsi="宋体" w:cs="Courier New"/>
          <w:color w:val="auto"/>
          <w:szCs w:val="21"/>
          <w:highlight w:val="none"/>
        </w:rPr>
        <w:t>二、我方愿意向贵方提供任何与本项采购有关的数据、情况和技术资料。若贵方需要，我方愿意提供我方作出的一切承诺的证明材料。</w:t>
      </w:r>
    </w:p>
    <w:p w14:paraId="4E70952B">
      <w:pPr>
        <w:adjustRightInd w:val="0"/>
        <w:snapToGrid w:val="0"/>
        <w:spacing w:beforeLines="50"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三、我方愿意按谈判文件规定和谈判小组要求重新提交响应文件和最后报价。</w:t>
      </w:r>
    </w:p>
    <w:p w14:paraId="6B3C42F2">
      <w:pPr>
        <w:adjustRightInd w:val="0"/>
        <w:snapToGrid w:val="0"/>
        <w:spacing w:beforeLines="50"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四、我方同意在谈判文件中规定的提交首次响应文件截止时间起</w:t>
      </w:r>
      <w:r>
        <w:rPr>
          <w:rFonts w:hint="eastAsia" w:ascii="宋体" w:hAnsi="宋体" w:cs="Courier New"/>
          <w:color w:val="auto"/>
          <w:szCs w:val="21"/>
          <w:highlight w:val="none"/>
          <w:u w:val="single"/>
        </w:rPr>
        <w:t>60</w:t>
      </w:r>
      <w:r>
        <w:rPr>
          <w:rFonts w:hint="eastAsia" w:ascii="宋体" w:hAnsi="宋体" w:cs="Courier New"/>
          <w:color w:val="auto"/>
          <w:szCs w:val="21"/>
          <w:highlight w:val="none"/>
        </w:rPr>
        <w:t>日内(响应文件有效期)遵守本响应文件中的承诺且在此期限期满之前均具有法律约束力。</w:t>
      </w:r>
    </w:p>
    <w:p w14:paraId="302CE5AA">
      <w:pPr>
        <w:adjustRightInd w:val="0"/>
        <w:snapToGrid w:val="0"/>
        <w:spacing w:beforeLines="50"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A91FCE7">
      <w:pPr>
        <w:adjustRightInd w:val="0"/>
        <w:snapToGrid w:val="0"/>
        <w:spacing w:beforeLines="50"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六、我方承诺在参与竞争性谈判过程中，若出现《政府采购法》第七十七条、《政府采购法实施条例》第七十二条和《政府采购非招标方式管理办法》第五十四条规定之情形，我方同意接受条款规定作出的处罚。</w:t>
      </w:r>
    </w:p>
    <w:p w14:paraId="74845C0A">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七、我方的联系方式：</w:t>
      </w:r>
    </w:p>
    <w:p w14:paraId="69D33F61">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地址：；邮编：；电话：；电子邮箱：。</w:t>
      </w:r>
    </w:p>
    <w:p w14:paraId="6766A6A8">
      <w:pPr>
        <w:adjustRightInd w:val="0"/>
        <w:snapToGrid w:val="0"/>
        <w:spacing w:beforeLines="50" w:line="360" w:lineRule="auto"/>
        <w:rPr>
          <w:rFonts w:ascii="宋体" w:hAnsi="宋体" w:cs="Courier New"/>
          <w:color w:val="auto"/>
          <w:szCs w:val="21"/>
          <w:highlight w:val="none"/>
        </w:rPr>
      </w:pPr>
    </w:p>
    <w:p w14:paraId="2A386FFF">
      <w:pPr>
        <w:adjustRightInd w:val="0"/>
        <w:snapToGrid w:val="0"/>
        <w:spacing w:beforeLines="50" w:line="360" w:lineRule="auto"/>
        <w:rPr>
          <w:rFonts w:ascii="宋体" w:hAnsi="宋体" w:cs="Courier New"/>
          <w:color w:val="auto"/>
          <w:szCs w:val="21"/>
          <w:highlight w:val="none"/>
        </w:rPr>
      </w:pPr>
      <w:r>
        <w:rPr>
          <w:rFonts w:hint="eastAsia" w:ascii="宋体" w:hAnsi="宋体" w:cs="Courier New"/>
          <w:color w:val="auto"/>
          <w:szCs w:val="21"/>
          <w:highlight w:val="none"/>
        </w:rPr>
        <w:t>供应商名称(盖单位公章)：</w:t>
      </w:r>
    </w:p>
    <w:p w14:paraId="110ECB31">
      <w:pPr>
        <w:adjustRightInd w:val="0"/>
        <w:snapToGrid w:val="0"/>
        <w:spacing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07AB4542">
      <w:pPr>
        <w:rPr>
          <w:rFonts w:ascii="黑体" w:hAnsi="黑体" w:eastAsia="黑体"/>
          <w:color w:val="auto"/>
          <w:sz w:val="28"/>
          <w:szCs w:val="28"/>
          <w:highlight w:val="none"/>
        </w:rPr>
      </w:pPr>
      <w:r>
        <w:rPr>
          <w:rFonts w:hint="eastAsia" w:ascii="宋体" w:hAnsi="宋体"/>
          <w:color w:val="auto"/>
          <w:szCs w:val="21"/>
          <w:highlight w:val="none"/>
        </w:rPr>
        <w:t>日期：年月日</w:t>
      </w:r>
      <w:r>
        <w:rPr>
          <w:rFonts w:hint="eastAsia" w:ascii="黑体" w:hAnsi="黑体" w:eastAsia="黑体"/>
          <w:color w:val="auto"/>
          <w:sz w:val="28"/>
          <w:szCs w:val="28"/>
          <w:highlight w:val="none"/>
        </w:rPr>
        <w:br w:type="page"/>
      </w:r>
    </w:p>
    <w:p w14:paraId="5263A396">
      <w:pPr>
        <w:pStyle w:val="3"/>
        <w:jc w:val="center"/>
        <w:rPr>
          <w:rFonts w:ascii="黑体" w:hAnsi="黑体" w:eastAsia="黑体"/>
          <w:color w:val="auto"/>
          <w:sz w:val="28"/>
          <w:szCs w:val="28"/>
          <w:highlight w:val="none"/>
        </w:rPr>
      </w:pPr>
      <w:bookmarkStart w:id="320" w:name="_Toc16804"/>
      <w:bookmarkStart w:id="321" w:name="_Toc17966"/>
      <w:bookmarkStart w:id="322" w:name="_Toc145374017"/>
      <w:bookmarkStart w:id="323" w:name="_Toc15662"/>
      <w:bookmarkStart w:id="324" w:name="_Toc31812"/>
      <w:bookmarkStart w:id="325" w:name="_Toc25619"/>
      <w:bookmarkStart w:id="326" w:name="_Toc7313"/>
      <w:bookmarkStart w:id="327" w:name="_Toc209084348"/>
      <w:bookmarkStart w:id="328" w:name="_Toc251"/>
      <w:r>
        <w:rPr>
          <w:rFonts w:hint="eastAsia" w:ascii="黑体" w:hAnsi="黑体" w:eastAsia="黑体"/>
          <w:color w:val="auto"/>
          <w:sz w:val="28"/>
          <w:szCs w:val="28"/>
          <w:highlight w:val="none"/>
        </w:rPr>
        <w:t>三、</w:t>
      </w:r>
      <w:bookmarkEnd w:id="300"/>
      <w:bookmarkEnd w:id="301"/>
      <w:bookmarkEnd w:id="302"/>
      <w:bookmarkEnd w:id="320"/>
      <w:bookmarkEnd w:id="321"/>
      <w:bookmarkEnd w:id="322"/>
      <w:bookmarkEnd w:id="323"/>
      <w:bookmarkEnd w:id="324"/>
      <w:bookmarkEnd w:id="325"/>
      <w:bookmarkStart w:id="329" w:name="_Toc17340"/>
      <w:bookmarkStart w:id="330" w:name="_Toc1497"/>
      <w:bookmarkStart w:id="331" w:name="_Toc34637792"/>
      <w:bookmarkStart w:id="332" w:name="_Toc28097"/>
      <w:bookmarkStart w:id="333" w:name="_Toc74694334"/>
      <w:bookmarkStart w:id="334" w:name="_Toc145374018"/>
      <w:bookmarkStart w:id="335" w:name="_Toc15160"/>
      <w:bookmarkStart w:id="336" w:name="_Toc1058"/>
      <w:bookmarkStart w:id="337" w:name="_Toc21507"/>
      <w:r>
        <w:rPr>
          <w:rFonts w:hint="eastAsia" w:ascii="黑体" w:hAnsi="黑体" w:eastAsia="黑体"/>
          <w:color w:val="auto"/>
          <w:sz w:val="28"/>
          <w:szCs w:val="28"/>
          <w:highlight w:val="none"/>
        </w:rPr>
        <w:t>授权委托书(格式)</w:t>
      </w:r>
      <w:bookmarkEnd w:id="326"/>
      <w:bookmarkEnd w:id="327"/>
      <w:bookmarkEnd w:id="328"/>
      <w:bookmarkEnd w:id="329"/>
      <w:bookmarkEnd w:id="330"/>
      <w:bookmarkEnd w:id="331"/>
      <w:bookmarkEnd w:id="332"/>
      <w:bookmarkEnd w:id="333"/>
      <w:bookmarkEnd w:id="334"/>
      <w:bookmarkEnd w:id="335"/>
      <w:bookmarkEnd w:id="336"/>
      <w:bookmarkEnd w:id="337"/>
    </w:p>
    <w:p w14:paraId="362C4E96">
      <w:pPr>
        <w:autoSpaceDE w:val="0"/>
        <w:autoSpaceDN w:val="0"/>
        <w:adjustRightInd w:val="0"/>
        <w:snapToGrid w:val="0"/>
        <w:spacing w:beforeLines="50" w:line="360" w:lineRule="auto"/>
        <w:ind w:firstLine="420" w:firstLineChars="200"/>
        <w:jc w:val="left"/>
        <w:rPr>
          <w:rFonts w:ascii="宋体" w:hAnsi="宋体" w:cs="宋体"/>
          <w:color w:val="auto"/>
          <w:kern w:val="0"/>
          <w:szCs w:val="21"/>
          <w:highlight w:val="none"/>
        </w:rPr>
      </w:pPr>
    </w:p>
    <w:p w14:paraId="3DFE5AB2">
      <w:pPr>
        <w:autoSpaceDE w:val="0"/>
        <w:autoSpaceDN w:val="0"/>
        <w:adjustRightInd w:val="0"/>
        <w:snapToGrid w:val="0"/>
        <w:spacing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名称）的法定代表人，现授权（姓名、职务）为我方代理人。代理人根据授权，以我方名义：(1)签署、澄清、补正、修改、撤回、提交（项目名称、</w:t>
      </w:r>
      <w:r>
        <w:rPr>
          <w:rFonts w:hint="eastAsia" w:ascii="宋体" w:hAnsi="宋体"/>
          <w:color w:val="auto"/>
          <w:szCs w:val="21"/>
          <w:highlight w:val="none"/>
        </w:rPr>
        <w:t>政府采购计划编号</w:t>
      </w:r>
      <w:r>
        <w:rPr>
          <w:rFonts w:hint="eastAsia" w:ascii="宋体" w:hAnsi="宋体" w:cs="宋体"/>
          <w:color w:val="auto"/>
          <w:kern w:val="0"/>
          <w:szCs w:val="21"/>
          <w:highlight w:val="none"/>
        </w:rPr>
        <w:t>、委托代理编号）响应文件；(2)签署并重新提交响应文件及最后报价；(3)退出谈判（如可能）；(4)签订合同和处理有关事宜，其法律后果由我方承担。</w:t>
      </w:r>
    </w:p>
    <w:p w14:paraId="1F4709F8">
      <w:pPr>
        <w:autoSpaceDE w:val="0"/>
        <w:autoSpaceDN w:val="0"/>
        <w:adjustRightInd w:val="0"/>
        <w:snapToGrid w:val="0"/>
        <w:spacing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p>
    <w:p w14:paraId="2783C5ED">
      <w:pPr>
        <w:adjustRightInd w:val="0"/>
        <w:snapToGrid w:val="0"/>
        <w:spacing w:beforeLines="50"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E4986CC">
      <w:pPr>
        <w:adjustRightInd w:val="0"/>
        <w:snapToGrid w:val="0"/>
        <w:spacing w:beforeLines="50"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本授权书于年月日签字生效，特此声明。</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21C2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shd w:val="clear" w:color="auto" w:fill="auto"/>
            <w:vAlign w:val="center"/>
          </w:tcPr>
          <w:p w14:paraId="0D17248A">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shd w:val="clear" w:color="auto" w:fill="auto"/>
            <w:vAlign w:val="center"/>
          </w:tcPr>
          <w:p w14:paraId="29D5DB44">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00D12C5E">
      <w:pPr>
        <w:adjustRightInd w:val="0"/>
        <w:snapToGrid w:val="0"/>
        <w:spacing w:beforeLines="50" w:line="360" w:lineRule="auto"/>
        <w:ind w:firstLine="420" w:firstLineChars="200"/>
        <w:rPr>
          <w:rFonts w:ascii="宋体" w:hAnsi="宋体"/>
          <w:color w:val="auto"/>
          <w:szCs w:val="21"/>
          <w:highlight w:val="none"/>
        </w:rPr>
      </w:pPr>
    </w:p>
    <w:p w14:paraId="7D0EEB92">
      <w:pPr>
        <w:adjustRightInd w:val="0"/>
        <w:snapToGrid w:val="0"/>
        <w:spacing w:beforeLines="50" w:line="360" w:lineRule="auto"/>
        <w:ind w:firstLine="420" w:firstLineChars="200"/>
        <w:rPr>
          <w:rFonts w:ascii="宋体" w:hAnsi="宋体"/>
          <w:color w:val="auto"/>
          <w:szCs w:val="21"/>
          <w:highlight w:val="none"/>
        </w:rPr>
      </w:pPr>
    </w:p>
    <w:p w14:paraId="516E8C67">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注：供应商代表不是供应商的法定代表人的提供。供应商为自然人的无需提供。</w:t>
      </w:r>
    </w:p>
    <w:p w14:paraId="7D8E97E4">
      <w:pPr>
        <w:adjustRightInd w:val="0"/>
        <w:snapToGrid w:val="0"/>
        <w:spacing w:beforeLines="50" w:line="360" w:lineRule="auto"/>
        <w:ind w:firstLine="420" w:firstLineChars="200"/>
        <w:rPr>
          <w:rFonts w:ascii="宋体" w:hAnsi="宋体"/>
          <w:color w:val="auto"/>
          <w:szCs w:val="21"/>
          <w:highlight w:val="none"/>
        </w:rPr>
      </w:pPr>
    </w:p>
    <w:p w14:paraId="331C9BA9">
      <w:pPr>
        <w:adjustRightInd w:val="0"/>
        <w:snapToGrid w:val="0"/>
        <w:spacing w:beforeLines="50" w:line="360" w:lineRule="auto"/>
        <w:ind w:firstLine="420" w:firstLineChars="200"/>
        <w:rPr>
          <w:rFonts w:ascii="宋体" w:hAnsi="宋体"/>
          <w:color w:val="auto"/>
          <w:szCs w:val="21"/>
          <w:highlight w:val="none"/>
        </w:rPr>
      </w:pPr>
    </w:p>
    <w:p w14:paraId="77515666">
      <w:pPr>
        <w:pStyle w:val="24"/>
        <w:adjustRightInd w:val="0"/>
        <w:snapToGrid w:val="0"/>
        <w:spacing w:beforeLines="50" w:line="360" w:lineRule="auto"/>
        <w:rPr>
          <w:rFonts w:hAnsi="宋体"/>
          <w:color w:val="auto"/>
          <w:highlight w:val="none"/>
        </w:rPr>
      </w:pPr>
      <w:r>
        <w:rPr>
          <w:rFonts w:hint="eastAsia" w:hAnsi="宋体"/>
          <w:color w:val="auto"/>
          <w:highlight w:val="none"/>
        </w:rPr>
        <w:t>供应商名称(盖单位公章)：</w:t>
      </w:r>
    </w:p>
    <w:p w14:paraId="76FF8CD1">
      <w:pPr>
        <w:adjustRightInd w:val="0"/>
        <w:snapToGrid w:val="0"/>
        <w:spacing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18E94D4F">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日期：年月日</w:t>
      </w:r>
    </w:p>
    <w:p w14:paraId="50891528">
      <w:pPr>
        <w:pStyle w:val="3"/>
        <w:jc w:val="center"/>
        <w:rPr>
          <w:rFonts w:ascii="黑体" w:hAnsi="黑体" w:eastAsia="黑体"/>
          <w:color w:val="auto"/>
          <w:sz w:val="28"/>
          <w:szCs w:val="28"/>
          <w:highlight w:val="none"/>
        </w:rPr>
      </w:pPr>
      <w:r>
        <w:rPr>
          <w:rFonts w:ascii="宋体"/>
          <w:color w:val="auto"/>
          <w:highlight w:val="none"/>
        </w:rPr>
        <w:br w:type="page"/>
      </w:r>
      <w:bookmarkStart w:id="338" w:name="_Toc34637795"/>
      <w:bookmarkStart w:id="339" w:name="_Toc74694336"/>
      <w:bookmarkStart w:id="340" w:name="_Toc17292"/>
    </w:p>
    <w:bookmarkEnd w:id="338"/>
    <w:bookmarkEnd w:id="339"/>
    <w:bookmarkEnd w:id="340"/>
    <w:p w14:paraId="44BAA853">
      <w:pPr>
        <w:pStyle w:val="3"/>
        <w:jc w:val="center"/>
        <w:rPr>
          <w:rFonts w:ascii="黑体" w:hAnsi="黑体" w:eastAsia="黑体"/>
          <w:color w:val="auto"/>
          <w:sz w:val="28"/>
          <w:szCs w:val="28"/>
          <w:highlight w:val="none"/>
        </w:rPr>
      </w:pPr>
      <w:bookmarkStart w:id="341" w:name="_Toc209084349"/>
      <w:bookmarkStart w:id="342" w:name="_Toc74694340"/>
      <w:bookmarkStart w:id="343" w:name="_Toc4222"/>
      <w:bookmarkStart w:id="344" w:name="_Toc22201157"/>
      <w:bookmarkStart w:id="345" w:name="_Toc145374019"/>
      <w:bookmarkStart w:id="346" w:name="_Toc1349"/>
      <w:bookmarkStart w:id="347" w:name="_Toc24677"/>
      <w:bookmarkStart w:id="348" w:name="_Toc11816"/>
      <w:bookmarkStart w:id="349" w:name="_Toc11281"/>
      <w:bookmarkStart w:id="350" w:name="_Toc28927"/>
      <w:bookmarkStart w:id="351" w:name="_Toc13638"/>
      <w:bookmarkStart w:id="352" w:name="_Toc1350"/>
      <w:bookmarkStart w:id="353" w:name="_Toc34637800"/>
      <w:r>
        <w:rPr>
          <w:rFonts w:hint="eastAsia" w:ascii="黑体" w:hAnsi="黑体" w:eastAsia="黑体"/>
          <w:color w:val="auto"/>
          <w:sz w:val="28"/>
          <w:szCs w:val="28"/>
          <w:highlight w:val="none"/>
        </w:rPr>
        <w:t>四、采购需求的响应</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46D6CE4D">
      <w:pPr>
        <w:adjustRightInd w:val="0"/>
        <w:snapToGrid w:val="0"/>
        <w:spacing w:line="360" w:lineRule="auto"/>
        <w:rPr>
          <w:rFonts w:ascii="宋体" w:hAnsi="宋体"/>
          <w:b/>
          <w:color w:val="auto"/>
          <w:szCs w:val="21"/>
          <w:highlight w:val="none"/>
        </w:rPr>
      </w:pPr>
    </w:p>
    <w:p w14:paraId="0349853E">
      <w:pPr>
        <w:adjustRightInd w:val="0"/>
        <w:snapToGrid w:val="0"/>
        <w:spacing w:line="360" w:lineRule="auto"/>
        <w:rPr>
          <w:color w:val="auto"/>
          <w:highlight w:val="none"/>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供应商应按谈判文件第三章采购需求自行编写采购需求响应文件（格式自拟，采购需求响应文件内容不全、明显不合理的响应无效）。</w:t>
      </w:r>
    </w:p>
    <w:p w14:paraId="2E2DA0FF">
      <w:pPr>
        <w:adjustRightInd w:val="0"/>
        <w:snapToGrid w:val="0"/>
        <w:spacing w:line="360" w:lineRule="auto"/>
        <w:rPr>
          <w:rFonts w:hint="eastAsia" w:ascii="宋体" w:hAnsi="宋体"/>
          <w:color w:val="auto"/>
          <w:szCs w:val="21"/>
          <w:highlight w:val="none"/>
        </w:rPr>
      </w:pPr>
    </w:p>
    <w:p w14:paraId="1B76FBBE">
      <w:pPr>
        <w:adjustRightInd w:val="0"/>
        <w:snapToGrid w:val="0"/>
        <w:spacing w:line="360" w:lineRule="auto"/>
        <w:rPr>
          <w:rFonts w:hint="eastAsia" w:ascii="宋体" w:hAnsi="宋体"/>
          <w:color w:val="auto"/>
          <w:szCs w:val="21"/>
          <w:highlight w:val="none"/>
        </w:rPr>
      </w:pPr>
    </w:p>
    <w:p w14:paraId="3F56F199">
      <w:pPr>
        <w:adjustRightInd w:val="0"/>
        <w:snapToGrid w:val="0"/>
        <w:spacing w:line="360" w:lineRule="auto"/>
        <w:rPr>
          <w:rFonts w:hint="eastAsia" w:ascii="宋体" w:hAnsi="宋体"/>
          <w:color w:val="auto"/>
          <w:szCs w:val="21"/>
          <w:highlight w:val="none"/>
        </w:rPr>
      </w:pPr>
    </w:p>
    <w:p w14:paraId="06D1EB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2BB0CAE1">
      <w:pPr>
        <w:adjustRightInd w:val="0"/>
        <w:snapToGrid w:val="0"/>
        <w:spacing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2AA25F18">
      <w:pPr>
        <w:widowControl/>
        <w:jc w:val="left"/>
        <w:rPr>
          <w:rFonts w:ascii="黑体" w:hAnsi="宋体" w:eastAsia="黑体"/>
          <w:color w:val="auto"/>
          <w:sz w:val="28"/>
          <w:szCs w:val="28"/>
          <w:highlight w:val="none"/>
        </w:rPr>
      </w:pPr>
      <w:r>
        <w:rPr>
          <w:rFonts w:hint="eastAsia" w:ascii="宋体" w:hAnsi="宋体"/>
          <w:color w:val="auto"/>
          <w:szCs w:val="21"/>
          <w:highlight w:val="none"/>
        </w:rPr>
        <w:t>日期：年月日</w:t>
      </w:r>
    </w:p>
    <w:p w14:paraId="1374CB06">
      <w:pPr>
        <w:adjustRightInd w:val="0"/>
        <w:snapToGrid w:val="0"/>
        <w:spacing w:line="360" w:lineRule="auto"/>
        <w:rPr>
          <w:rFonts w:ascii="黑体" w:hAnsi="宋体" w:eastAsia="黑体"/>
          <w:color w:val="auto"/>
          <w:sz w:val="28"/>
          <w:szCs w:val="28"/>
          <w:highlight w:val="none"/>
        </w:rPr>
        <w:sectPr>
          <w:pgSz w:w="11906" w:h="16838"/>
          <w:pgMar w:top="1440" w:right="1800" w:bottom="1440" w:left="1800" w:header="851" w:footer="992" w:gutter="0"/>
          <w:cols w:space="720" w:num="1"/>
          <w:docGrid w:type="lines" w:linePitch="312" w:charSpace="0"/>
        </w:sectPr>
      </w:pPr>
    </w:p>
    <w:p w14:paraId="72502042">
      <w:pPr>
        <w:rPr>
          <w:rFonts w:cs="宋体" w:asciiTheme="minorEastAsia" w:hAnsiTheme="minorEastAsia" w:eastAsiaTheme="minorEastAsia"/>
          <w:szCs w:val="21"/>
        </w:rPr>
      </w:pPr>
      <w:bookmarkStart w:id="354" w:name="_Toc209084350"/>
      <w:bookmarkStart w:id="355" w:name="_Toc14240"/>
      <w:bookmarkStart w:id="356" w:name="_Toc34637802"/>
      <w:bookmarkStart w:id="357" w:name="_Toc20162"/>
      <w:bookmarkStart w:id="358" w:name="_Toc22201159"/>
      <w:bookmarkStart w:id="359" w:name="_Toc24821"/>
      <w:bookmarkStart w:id="360" w:name="_Toc6682"/>
      <w:bookmarkStart w:id="361" w:name="_Toc20749"/>
      <w:bookmarkStart w:id="362" w:name="_Toc30374"/>
      <w:bookmarkStart w:id="363" w:name="_Toc145374020"/>
      <w:bookmarkStart w:id="364" w:name="_Toc74694342"/>
      <w:bookmarkStart w:id="365" w:name="_Toc22738"/>
      <w:r>
        <w:rPr>
          <w:rFonts w:hint="eastAsia" w:cs="宋体" w:asciiTheme="minorEastAsia" w:hAnsiTheme="minorEastAsia" w:eastAsiaTheme="minorEastAsia"/>
          <w:szCs w:val="21"/>
        </w:rPr>
        <w:t>附件4-1拟投入的主要人员简历表</w:t>
      </w:r>
    </w:p>
    <w:p w14:paraId="391C62AA">
      <w:pPr>
        <w:spacing w:line="360" w:lineRule="auto"/>
        <w:jc w:val="center"/>
        <w:rPr>
          <w:rFonts w:ascii="宋体" w:hAnsi="宋体"/>
          <w:sz w:val="32"/>
          <w:szCs w:val="32"/>
        </w:rPr>
      </w:pPr>
      <w:bookmarkStart w:id="366" w:name="_Toc30616"/>
      <w:bookmarkStart w:id="367" w:name="_Toc26775"/>
      <w:bookmarkStart w:id="368" w:name="_Toc76503446"/>
      <w:r>
        <w:rPr>
          <w:rFonts w:hint="eastAsia" w:ascii="黑体" w:hAnsi="黑体" w:eastAsia="黑体" w:cs="黑体"/>
          <w:b/>
          <w:bCs/>
          <w:sz w:val="32"/>
          <w:szCs w:val="32"/>
        </w:rPr>
        <w:t>拟投入的主要人员简历表</w:t>
      </w:r>
      <w:bookmarkEnd w:id="366"/>
      <w:bookmarkEnd w:id="367"/>
      <w:bookmarkEnd w:id="368"/>
    </w:p>
    <w:tbl>
      <w:tblPr>
        <w:tblStyle w:val="45"/>
        <w:tblW w:w="85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5"/>
        <w:gridCol w:w="1810"/>
        <w:gridCol w:w="665"/>
        <w:gridCol w:w="1145"/>
        <w:gridCol w:w="786"/>
        <w:gridCol w:w="785"/>
        <w:gridCol w:w="1145"/>
        <w:gridCol w:w="1401"/>
      </w:tblGrid>
      <w:tr w14:paraId="4D03E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835" w:type="dxa"/>
            <w:tcBorders>
              <w:top w:val="single" w:color="auto" w:sz="12" w:space="0"/>
              <w:left w:val="single" w:color="auto" w:sz="12" w:space="0"/>
            </w:tcBorders>
            <w:vAlign w:val="center"/>
          </w:tcPr>
          <w:p w14:paraId="09C85C1E">
            <w:pPr>
              <w:jc w:val="center"/>
              <w:rPr>
                <w:rFonts w:ascii="宋体" w:hAnsi="宋体" w:cs="宋体"/>
                <w:szCs w:val="21"/>
              </w:rPr>
            </w:pPr>
            <w:r>
              <w:rPr>
                <w:rFonts w:hint="eastAsia" w:ascii="宋体" w:hAnsi="宋体" w:cs="宋体"/>
                <w:szCs w:val="21"/>
              </w:rPr>
              <w:t>序号</w:t>
            </w:r>
          </w:p>
        </w:tc>
        <w:tc>
          <w:tcPr>
            <w:tcW w:w="1810" w:type="dxa"/>
            <w:tcBorders>
              <w:top w:val="single" w:color="auto" w:sz="12" w:space="0"/>
            </w:tcBorders>
            <w:vAlign w:val="center"/>
          </w:tcPr>
          <w:p w14:paraId="6929E43E">
            <w:pPr>
              <w:jc w:val="center"/>
              <w:rPr>
                <w:rFonts w:ascii="宋体" w:hAnsi="宋体" w:cs="宋体"/>
                <w:szCs w:val="21"/>
              </w:rPr>
            </w:pPr>
            <w:r>
              <w:rPr>
                <w:rFonts w:hint="eastAsia" w:ascii="宋体" w:hAnsi="宋体" w:cs="宋体"/>
                <w:szCs w:val="21"/>
              </w:rPr>
              <w:t>姓    名</w:t>
            </w:r>
          </w:p>
        </w:tc>
        <w:tc>
          <w:tcPr>
            <w:tcW w:w="665" w:type="dxa"/>
            <w:tcBorders>
              <w:top w:val="single" w:color="auto" w:sz="12" w:space="0"/>
            </w:tcBorders>
            <w:vAlign w:val="center"/>
          </w:tcPr>
          <w:p w14:paraId="3B4EF47A">
            <w:pPr>
              <w:jc w:val="center"/>
              <w:rPr>
                <w:rFonts w:ascii="宋体" w:hAnsi="宋体" w:cs="宋体"/>
                <w:szCs w:val="21"/>
              </w:rPr>
            </w:pPr>
            <w:r>
              <w:rPr>
                <w:rFonts w:hint="eastAsia" w:ascii="宋体" w:hAnsi="宋体" w:cs="宋体"/>
                <w:szCs w:val="21"/>
              </w:rPr>
              <w:t>性别</w:t>
            </w:r>
          </w:p>
        </w:tc>
        <w:tc>
          <w:tcPr>
            <w:tcW w:w="1145" w:type="dxa"/>
            <w:tcBorders>
              <w:top w:val="single" w:color="auto" w:sz="12" w:space="0"/>
            </w:tcBorders>
            <w:vAlign w:val="center"/>
          </w:tcPr>
          <w:p w14:paraId="361A4FF0">
            <w:pPr>
              <w:jc w:val="center"/>
              <w:rPr>
                <w:rFonts w:ascii="宋体" w:hAnsi="宋体" w:cs="宋体"/>
                <w:szCs w:val="21"/>
              </w:rPr>
            </w:pPr>
            <w:r>
              <w:rPr>
                <w:rFonts w:hint="eastAsia" w:ascii="宋体" w:hAnsi="宋体" w:cs="宋体"/>
                <w:szCs w:val="21"/>
              </w:rPr>
              <w:t>出生日期</w:t>
            </w:r>
          </w:p>
        </w:tc>
        <w:tc>
          <w:tcPr>
            <w:tcW w:w="786" w:type="dxa"/>
            <w:tcBorders>
              <w:top w:val="single" w:color="auto" w:sz="12" w:space="0"/>
            </w:tcBorders>
            <w:vAlign w:val="center"/>
          </w:tcPr>
          <w:p w14:paraId="02857EBF">
            <w:pPr>
              <w:jc w:val="center"/>
              <w:rPr>
                <w:rFonts w:ascii="宋体" w:hAnsi="宋体" w:cs="宋体"/>
                <w:szCs w:val="21"/>
              </w:rPr>
            </w:pPr>
            <w:r>
              <w:rPr>
                <w:rFonts w:hint="eastAsia" w:ascii="宋体" w:hAnsi="宋体" w:cs="宋体"/>
                <w:szCs w:val="21"/>
              </w:rPr>
              <w:t>学 历</w:t>
            </w:r>
          </w:p>
        </w:tc>
        <w:tc>
          <w:tcPr>
            <w:tcW w:w="785" w:type="dxa"/>
            <w:tcBorders>
              <w:top w:val="single" w:color="auto" w:sz="12" w:space="0"/>
            </w:tcBorders>
            <w:vAlign w:val="center"/>
          </w:tcPr>
          <w:p w14:paraId="761057E0">
            <w:pPr>
              <w:jc w:val="center"/>
              <w:rPr>
                <w:rFonts w:ascii="宋体" w:hAnsi="宋体" w:cs="宋体"/>
                <w:szCs w:val="21"/>
              </w:rPr>
            </w:pPr>
            <w:r>
              <w:rPr>
                <w:rFonts w:hint="eastAsia" w:ascii="宋体" w:hAnsi="宋体" w:cs="宋体"/>
                <w:szCs w:val="21"/>
              </w:rPr>
              <w:t>专 业</w:t>
            </w:r>
          </w:p>
        </w:tc>
        <w:tc>
          <w:tcPr>
            <w:tcW w:w="1145" w:type="dxa"/>
            <w:tcBorders>
              <w:top w:val="single" w:color="auto" w:sz="12" w:space="0"/>
            </w:tcBorders>
            <w:vAlign w:val="center"/>
          </w:tcPr>
          <w:p w14:paraId="5FDD42BF">
            <w:pPr>
              <w:jc w:val="center"/>
              <w:rPr>
                <w:rFonts w:ascii="宋体" w:hAnsi="宋体" w:cs="宋体"/>
                <w:szCs w:val="21"/>
              </w:rPr>
            </w:pPr>
            <w:r>
              <w:rPr>
                <w:rFonts w:hint="eastAsia" w:ascii="宋体" w:hAnsi="宋体" w:cs="宋体"/>
                <w:szCs w:val="21"/>
              </w:rPr>
              <w:t>技术职称</w:t>
            </w:r>
          </w:p>
        </w:tc>
        <w:tc>
          <w:tcPr>
            <w:tcW w:w="1401" w:type="dxa"/>
            <w:tcBorders>
              <w:top w:val="single" w:color="auto" w:sz="12" w:space="0"/>
              <w:right w:val="single" w:color="auto" w:sz="12" w:space="0"/>
            </w:tcBorders>
            <w:vAlign w:val="center"/>
          </w:tcPr>
          <w:p w14:paraId="2794F4E2">
            <w:pPr>
              <w:jc w:val="center"/>
              <w:rPr>
                <w:rFonts w:ascii="宋体" w:hAnsi="宋体" w:cs="宋体"/>
                <w:szCs w:val="21"/>
              </w:rPr>
            </w:pPr>
            <w:r>
              <w:rPr>
                <w:rFonts w:hint="eastAsia" w:ascii="宋体" w:hAnsi="宋体" w:cs="宋体"/>
                <w:szCs w:val="21"/>
              </w:rPr>
              <w:t>在本项目拟任职务</w:t>
            </w:r>
          </w:p>
        </w:tc>
      </w:tr>
      <w:tr w14:paraId="4D231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1C421FE3">
            <w:pPr>
              <w:jc w:val="center"/>
              <w:rPr>
                <w:rFonts w:ascii="宋体" w:hAnsi="宋体" w:cs="宋体"/>
                <w:szCs w:val="21"/>
              </w:rPr>
            </w:pPr>
          </w:p>
        </w:tc>
        <w:tc>
          <w:tcPr>
            <w:tcW w:w="1810" w:type="dxa"/>
            <w:vAlign w:val="center"/>
          </w:tcPr>
          <w:p w14:paraId="2B5522A0">
            <w:pPr>
              <w:jc w:val="center"/>
              <w:rPr>
                <w:rFonts w:ascii="宋体" w:hAnsi="宋体" w:cs="宋体"/>
                <w:szCs w:val="21"/>
              </w:rPr>
            </w:pPr>
          </w:p>
        </w:tc>
        <w:tc>
          <w:tcPr>
            <w:tcW w:w="665" w:type="dxa"/>
            <w:vAlign w:val="center"/>
          </w:tcPr>
          <w:p w14:paraId="10AA4FBA">
            <w:pPr>
              <w:jc w:val="center"/>
              <w:rPr>
                <w:rFonts w:ascii="宋体" w:hAnsi="宋体" w:cs="宋体"/>
                <w:szCs w:val="21"/>
              </w:rPr>
            </w:pPr>
          </w:p>
        </w:tc>
        <w:tc>
          <w:tcPr>
            <w:tcW w:w="1145" w:type="dxa"/>
            <w:vAlign w:val="center"/>
          </w:tcPr>
          <w:p w14:paraId="7AF8EE69">
            <w:pPr>
              <w:jc w:val="center"/>
              <w:rPr>
                <w:rFonts w:ascii="宋体" w:hAnsi="宋体" w:cs="宋体"/>
                <w:szCs w:val="21"/>
              </w:rPr>
            </w:pPr>
          </w:p>
        </w:tc>
        <w:tc>
          <w:tcPr>
            <w:tcW w:w="786" w:type="dxa"/>
            <w:vAlign w:val="center"/>
          </w:tcPr>
          <w:p w14:paraId="3443D584">
            <w:pPr>
              <w:jc w:val="center"/>
              <w:rPr>
                <w:rFonts w:ascii="宋体" w:hAnsi="宋体" w:cs="宋体"/>
                <w:szCs w:val="21"/>
              </w:rPr>
            </w:pPr>
          </w:p>
        </w:tc>
        <w:tc>
          <w:tcPr>
            <w:tcW w:w="785" w:type="dxa"/>
            <w:vAlign w:val="center"/>
          </w:tcPr>
          <w:p w14:paraId="1C2AC148">
            <w:pPr>
              <w:jc w:val="center"/>
              <w:rPr>
                <w:rFonts w:ascii="宋体" w:hAnsi="宋体" w:cs="宋体"/>
                <w:szCs w:val="21"/>
              </w:rPr>
            </w:pPr>
          </w:p>
        </w:tc>
        <w:tc>
          <w:tcPr>
            <w:tcW w:w="1145" w:type="dxa"/>
            <w:vAlign w:val="center"/>
          </w:tcPr>
          <w:p w14:paraId="0C436CD7">
            <w:pPr>
              <w:jc w:val="center"/>
              <w:rPr>
                <w:rFonts w:ascii="宋体" w:hAnsi="宋体" w:cs="宋体"/>
                <w:szCs w:val="21"/>
              </w:rPr>
            </w:pPr>
          </w:p>
        </w:tc>
        <w:tc>
          <w:tcPr>
            <w:tcW w:w="1401" w:type="dxa"/>
            <w:tcBorders>
              <w:right w:val="single" w:color="auto" w:sz="12" w:space="0"/>
            </w:tcBorders>
            <w:vAlign w:val="center"/>
          </w:tcPr>
          <w:p w14:paraId="521B9179">
            <w:pPr>
              <w:jc w:val="center"/>
              <w:rPr>
                <w:rFonts w:ascii="宋体" w:hAnsi="宋体" w:cs="宋体"/>
                <w:szCs w:val="21"/>
              </w:rPr>
            </w:pPr>
          </w:p>
        </w:tc>
      </w:tr>
      <w:tr w14:paraId="3C61A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6D5EDBF9">
            <w:pPr>
              <w:jc w:val="center"/>
              <w:rPr>
                <w:rFonts w:ascii="宋体" w:hAnsi="宋体" w:cs="宋体"/>
                <w:szCs w:val="21"/>
              </w:rPr>
            </w:pPr>
          </w:p>
        </w:tc>
        <w:tc>
          <w:tcPr>
            <w:tcW w:w="1810" w:type="dxa"/>
            <w:vAlign w:val="center"/>
          </w:tcPr>
          <w:p w14:paraId="700DF8BE">
            <w:pPr>
              <w:jc w:val="center"/>
              <w:rPr>
                <w:rFonts w:ascii="宋体" w:hAnsi="宋体" w:cs="宋体"/>
                <w:szCs w:val="21"/>
              </w:rPr>
            </w:pPr>
          </w:p>
        </w:tc>
        <w:tc>
          <w:tcPr>
            <w:tcW w:w="665" w:type="dxa"/>
            <w:vAlign w:val="center"/>
          </w:tcPr>
          <w:p w14:paraId="5025780F">
            <w:pPr>
              <w:jc w:val="center"/>
              <w:rPr>
                <w:rFonts w:ascii="宋体" w:hAnsi="宋体" w:cs="宋体"/>
                <w:szCs w:val="21"/>
              </w:rPr>
            </w:pPr>
          </w:p>
        </w:tc>
        <w:tc>
          <w:tcPr>
            <w:tcW w:w="1145" w:type="dxa"/>
            <w:vAlign w:val="center"/>
          </w:tcPr>
          <w:p w14:paraId="6DBA98FC">
            <w:pPr>
              <w:jc w:val="center"/>
              <w:rPr>
                <w:rFonts w:ascii="宋体" w:hAnsi="宋体" w:cs="宋体"/>
                <w:szCs w:val="21"/>
              </w:rPr>
            </w:pPr>
          </w:p>
        </w:tc>
        <w:tc>
          <w:tcPr>
            <w:tcW w:w="786" w:type="dxa"/>
            <w:vAlign w:val="center"/>
          </w:tcPr>
          <w:p w14:paraId="332B62CA">
            <w:pPr>
              <w:jc w:val="center"/>
              <w:rPr>
                <w:rFonts w:ascii="宋体" w:hAnsi="宋体" w:cs="宋体"/>
                <w:szCs w:val="21"/>
              </w:rPr>
            </w:pPr>
          </w:p>
        </w:tc>
        <w:tc>
          <w:tcPr>
            <w:tcW w:w="785" w:type="dxa"/>
            <w:vAlign w:val="center"/>
          </w:tcPr>
          <w:p w14:paraId="4D6734AE">
            <w:pPr>
              <w:jc w:val="center"/>
              <w:rPr>
                <w:rFonts w:ascii="宋体" w:hAnsi="宋体" w:cs="宋体"/>
                <w:szCs w:val="21"/>
              </w:rPr>
            </w:pPr>
          </w:p>
        </w:tc>
        <w:tc>
          <w:tcPr>
            <w:tcW w:w="1145" w:type="dxa"/>
            <w:vAlign w:val="center"/>
          </w:tcPr>
          <w:p w14:paraId="15E113FE">
            <w:pPr>
              <w:jc w:val="center"/>
              <w:rPr>
                <w:rFonts w:ascii="宋体" w:hAnsi="宋体" w:cs="宋体"/>
                <w:szCs w:val="21"/>
              </w:rPr>
            </w:pPr>
          </w:p>
        </w:tc>
        <w:tc>
          <w:tcPr>
            <w:tcW w:w="1401" w:type="dxa"/>
            <w:tcBorders>
              <w:right w:val="single" w:color="auto" w:sz="12" w:space="0"/>
            </w:tcBorders>
            <w:vAlign w:val="center"/>
          </w:tcPr>
          <w:p w14:paraId="02439085">
            <w:pPr>
              <w:jc w:val="center"/>
              <w:rPr>
                <w:rFonts w:ascii="宋体" w:hAnsi="宋体" w:cs="宋体"/>
                <w:szCs w:val="21"/>
              </w:rPr>
            </w:pPr>
          </w:p>
        </w:tc>
      </w:tr>
      <w:tr w14:paraId="269C4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2776DFA7">
            <w:pPr>
              <w:jc w:val="center"/>
              <w:rPr>
                <w:rFonts w:ascii="宋体" w:hAnsi="宋体" w:cs="宋体"/>
                <w:szCs w:val="21"/>
              </w:rPr>
            </w:pPr>
          </w:p>
        </w:tc>
        <w:tc>
          <w:tcPr>
            <w:tcW w:w="1810" w:type="dxa"/>
            <w:vAlign w:val="center"/>
          </w:tcPr>
          <w:p w14:paraId="7A9F15F8">
            <w:pPr>
              <w:jc w:val="center"/>
              <w:rPr>
                <w:rFonts w:ascii="宋体" w:hAnsi="宋体" w:cs="宋体"/>
                <w:szCs w:val="21"/>
              </w:rPr>
            </w:pPr>
          </w:p>
        </w:tc>
        <w:tc>
          <w:tcPr>
            <w:tcW w:w="665" w:type="dxa"/>
            <w:vAlign w:val="center"/>
          </w:tcPr>
          <w:p w14:paraId="0B41B277">
            <w:pPr>
              <w:jc w:val="center"/>
              <w:rPr>
                <w:rFonts w:ascii="宋体" w:hAnsi="宋体" w:cs="宋体"/>
                <w:szCs w:val="21"/>
              </w:rPr>
            </w:pPr>
          </w:p>
        </w:tc>
        <w:tc>
          <w:tcPr>
            <w:tcW w:w="1145" w:type="dxa"/>
            <w:vAlign w:val="center"/>
          </w:tcPr>
          <w:p w14:paraId="3AAABE29">
            <w:pPr>
              <w:jc w:val="center"/>
              <w:rPr>
                <w:rFonts w:ascii="宋体" w:hAnsi="宋体" w:cs="宋体"/>
                <w:szCs w:val="21"/>
              </w:rPr>
            </w:pPr>
          </w:p>
        </w:tc>
        <w:tc>
          <w:tcPr>
            <w:tcW w:w="786" w:type="dxa"/>
            <w:vAlign w:val="center"/>
          </w:tcPr>
          <w:p w14:paraId="74F584C2">
            <w:pPr>
              <w:jc w:val="center"/>
              <w:rPr>
                <w:rFonts w:ascii="宋体" w:hAnsi="宋体" w:cs="宋体"/>
                <w:szCs w:val="21"/>
              </w:rPr>
            </w:pPr>
          </w:p>
        </w:tc>
        <w:tc>
          <w:tcPr>
            <w:tcW w:w="785" w:type="dxa"/>
            <w:vAlign w:val="center"/>
          </w:tcPr>
          <w:p w14:paraId="57ED29E2">
            <w:pPr>
              <w:jc w:val="center"/>
              <w:rPr>
                <w:rFonts w:ascii="宋体" w:hAnsi="宋体" w:cs="宋体"/>
                <w:szCs w:val="21"/>
              </w:rPr>
            </w:pPr>
          </w:p>
        </w:tc>
        <w:tc>
          <w:tcPr>
            <w:tcW w:w="1145" w:type="dxa"/>
            <w:vAlign w:val="center"/>
          </w:tcPr>
          <w:p w14:paraId="2B941349">
            <w:pPr>
              <w:jc w:val="center"/>
              <w:rPr>
                <w:rFonts w:ascii="宋体" w:hAnsi="宋体" w:cs="宋体"/>
                <w:szCs w:val="21"/>
              </w:rPr>
            </w:pPr>
          </w:p>
        </w:tc>
        <w:tc>
          <w:tcPr>
            <w:tcW w:w="1401" w:type="dxa"/>
            <w:tcBorders>
              <w:right w:val="single" w:color="auto" w:sz="12" w:space="0"/>
            </w:tcBorders>
            <w:vAlign w:val="center"/>
          </w:tcPr>
          <w:p w14:paraId="79041C59">
            <w:pPr>
              <w:jc w:val="center"/>
              <w:rPr>
                <w:rFonts w:ascii="宋体" w:hAnsi="宋体" w:cs="宋体"/>
                <w:szCs w:val="21"/>
              </w:rPr>
            </w:pPr>
          </w:p>
        </w:tc>
      </w:tr>
      <w:tr w14:paraId="65D4C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77F74465">
            <w:pPr>
              <w:jc w:val="center"/>
              <w:rPr>
                <w:rFonts w:ascii="宋体" w:hAnsi="宋体" w:cs="宋体"/>
                <w:szCs w:val="21"/>
              </w:rPr>
            </w:pPr>
          </w:p>
        </w:tc>
        <w:tc>
          <w:tcPr>
            <w:tcW w:w="1810" w:type="dxa"/>
            <w:vAlign w:val="center"/>
          </w:tcPr>
          <w:p w14:paraId="02E27240">
            <w:pPr>
              <w:jc w:val="center"/>
              <w:rPr>
                <w:rFonts w:ascii="宋体" w:hAnsi="宋体" w:cs="宋体"/>
                <w:szCs w:val="21"/>
              </w:rPr>
            </w:pPr>
          </w:p>
        </w:tc>
        <w:tc>
          <w:tcPr>
            <w:tcW w:w="665" w:type="dxa"/>
            <w:vAlign w:val="center"/>
          </w:tcPr>
          <w:p w14:paraId="7C0A1B20">
            <w:pPr>
              <w:jc w:val="center"/>
              <w:rPr>
                <w:rFonts w:ascii="宋体" w:hAnsi="宋体" w:cs="宋体"/>
                <w:szCs w:val="21"/>
              </w:rPr>
            </w:pPr>
          </w:p>
        </w:tc>
        <w:tc>
          <w:tcPr>
            <w:tcW w:w="1145" w:type="dxa"/>
            <w:vAlign w:val="center"/>
          </w:tcPr>
          <w:p w14:paraId="0704EC24">
            <w:pPr>
              <w:jc w:val="center"/>
              <w:rPr>
                <w:rFonts w:ascii="宋体" w:hAnsi="宋体" w:cs="宋体"/>
                <w:szCs w:val="21"/>
              </w:rPr>
            </w:pPr>
          </w:p>
        </w:tc>
        <w:tc>
          <w:tcPr>
            <w:tcW w:w="786" w:type="dxa"/>
            <w:vAlign w:val="center"/>
          </w:tcPr>
          <w:p w14:paraId="1CC08819">
            <w:pPr>
              <w:jc w:val="center"/>
              <w:rPr>
                <w:rFonts w:ascii="宋体" w:hAnsi="宋体" w:cs="宋体"/>
                <w:szCs w:val="21"/>
              </w:rPr>
            </w:pPr>
          </w:p>
        </w:tc>
        <w:tc>
          <w:tcPr>
            <w:tcW w:w="785" w:type="dxa"/>
            <w:vAlign w:val="center"/>
          </w:tcPr>
          <w:p w14:paraId="0B814E58">
            <w:pPr>
              <w:jc w:val="center"/>
              <w:rPr>
                <w:rFonts w:ascii="宋体" w:hAnsi="宋体" w:cs="宋体"/>
                <w:szCs w:val="21"/>
              </w:rPr>
            </w:pPr>
          </w:p>
        </w:tc>
        <w:tc>
          <w:tcPr>
            <w:tcW w:w="1145" w:type="dxa"/>
            <w:vAlign w:val="center"/>
          </w:tcPr>
          <w:p w14:paraId="007AEDD7">
            <w:pPr>
              <w:jc w:val="center"/>
              <w:rPr>
                <w:rFonts w:ascii="宋体" w:hAnsi="宋体" w:cs="宋体"/>
                <w:szCs w:val="21"/>
              </w:rPr>
            </w:pPr>
          </w:p>
        </w:tc>
        <w:tc>
          <w:tcPr>
            <w:tcW w:w="1401" w:type="dxa"/>
            <w:tcBorders>
              <w:right w:val="single" w:color="auto" w:sz="12" w:space="0"/>
            </w:tcBorders>
            <w:vAlign w:val="center"/>
          </w:tcPr>
          <w:p w14:paraId="5A94C3D8">
            <w:pPr>
              <w:jc w:val="center"/>
              <w:rPr>
                <w:rFonts w:ascii="宋体" w:hAnsi="宋体" w:cs="宋体"/>
                <w:szCs w:val="21"/>
              </w:rPr>
            </w:pPr>
          </w:p>
        </w:tc>
      </w:tr>
      <w:tr w14:paraId="7D2AA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2CF6F0E9">
            <w:pPr>
              <w:jc w:val="center"/>
              <w:rPr>
                <w:rFonts w:ascii="宋体" w:hAnsi="宋体" w:cs="宋体"/>
                <w:szCs w:val="21"/>
              </w:rPr>
            </w:pPr>
          </w:p>
        </w:tc>
        <w:tc>
          <w:tcPr>
            <w:tcW w:w="1810" w:type="dxa"/>
            <w:vAlign w:val="center"/>
          </w:tcPr>
          <w:p w14:paraId="7EA81A43">
            <w:pPr>
              <w:jc w:val="center"/>
              <w:rPr>
                <w:rFonts w:ascii="宋体" w:hAnsi="宋体" w:cs="宋体"/>
                <w:szCs w:val="21"/>
              </w:rPr>
            </w:pPr>
          </w:p>
        </w:tc>
        <w:tc>
          <w:tcPr>
            <w:tcW w:w="665" w:type="dxa"/>
            <w:vAlign w:val="center"/>
          </w:tcPr>
          <w:p w14:paraId="6B1CDAFE">
            <w:pPr>
              <w:jc w:val="center"/>
              <w:rPr>
                <w:rFonts w:ascii="宋体" w:hAnsi="宋体" w:cs="宋体"/>
                <w:szCs w:val="21"/>
              </w:rPr>
            </w:pPr>
          </w:p>
        </w:tc>
        <w:tc>
          <w:tcPr>
            <w:tcW w:w="1145" w:type="dxa"/>
            <w:vAlign w:val="center"/>
          </w:tcPr>
          <w:p w14:paraId="19B2D2C3">
            <w:pPr>
              <w:jc w:val="center"/>
              <w:rPr>
                <w:rFonts w:ascii="宋体" w:hAnsi="宋体" w:cs="宋体"/>
                <w:szCs w:val="21"/>
              </w:rPr>
            </w:pPr>
          </w:p>
        </w:tc>
        <w:tc>
          <w:tcPr>
            <w:tcW w:w="786" w:type="dxa"/>
            <w:vAlign w:val="center"/>
          </w:tcPr>
          <w:p w14:paraId="3FD45403">
            <w:pPr>
              <w:jc w:val="center"/>
              <w:rPr>
                <w:rFonts w:ascii="宋体" w:hAnsi="宋体" w:cs="宋体"/>
                <w:szCs w:val="21"/>
              </w:rPr>
            </w:pPr>
          </w:p>
        </w:tc>
        <w:tc>
          <w:tcPr>
            <w:tcW w:w="785" w:type="dxa"/>
            <w:vAlign w:val="center"/>
          </w:tcPr>
          <w:p w14:paraId="5EE9BDC7">
            <w:pPr>
              <w:jc w:val="center"/>
              <w:rPr>
                <w:rFonts w:ascii="宋体" w:hAnsi="宋体" w:cs="宋体"/>
                <w:szCs w:val="21"/>
              </w:rPr>
            </w:pPr>
          </w:p>
        </w:tc>
        <w:tc>
          <w:tcPr>
            <w:tcW w:w="1145" w:type="dxa"/>
            <w:vAlign w:val="center"/>
          </w:tcPr>
          <w:p w14:paraId="5E3278DC">
            <w:pPr>
              <w:jc w:val="center"/>
              <w:rPr>
                <w:rFonts w:ascii="宋体" w:hAnsi="宋体" w:cs="宋体"/>
                <w:szCs w:val="21"/>
              </w:rPr>
            </w:pPr>
          </w:p>
        </w:tc>
        <w:tc>
          <w:tcPr>
            <w:tcW w:w="1401" w:type="dxa"/>
            <w:tcBorders>
              <w:right w:val="single" w:color="auto" w:sz="12" w:space="0"/>
            </w:tcBorders>
            <w:vAlign w:val="center"/>
          </w:tcPr>
          <w:p w14:paraId="4A5B235A">
            <w:pPr>
              <w:jc w:val="center"/>
              <w:rPr>
                <w:rFonts w:ascii="宋体" w:hAnsi="宋体" w:cs="宋体"/>
                <w:szCs w:val="21"/>
              </w:rPr>
            </w:pPr>
          </w:p>
        </w:tc>
      </w:tr>
      <w:tr w14:paraId="3E2C2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tcBorders>
            <w:vAlign w:val="center"/>
          </w:tcPr>
          <w:p w14:paraId="48B37F68">
            <w:pPr>
              <w:jc w:val="center"/>
              <w:rPr>
                <w:rFonts w:ascii="宋体" w:hAnsi="宋体" w:cs="宋体"/>
                <w:szCs w:val="21"/>
              </w:rPr>
            </w:pPr>
          </w:p>
        </w:tc>
        <w:tc>
          <w:tcPr>
            <w:tcW w:w="1810" w:type="dxa"/>
            <w:vAlign w:val="center"/>
          </w:tcPr>
          <w:p w14:paraId="5B165BCE">
            <w:pPr>
              <w:jc w:val="center"/>
              <w:rPr>
                <w:rFonts w:ascii="宋体" w:hAnsi="宋体" w:cs="宋体"/>
                <w:szCs w:val="21"/>
              </w:rPr>
            </w:pPr>
          </w:p>
        </w:tc>
        <w:tc>
          <w:tcPr>
            <w:tcW w:w="665" w:type="dxa"/>
            <w:vAlign w:val="center"/>
          </w:tcPr>
          <w:p w14:paraId="0F962ADA">
            <w:pPr>
              <w:jc w:val="center"/>
              <w:rPr>
                <w:rFonts w:ascii="宋体" w:hAnsi="宋体" w:cs="宋体"/>
                <w:szCs w:val="21"/>
              </w:rPr>
            </w:pPr>
          </w:p>
        </w:tc>
        <w:tc>
          <w:tcPr>
            <w:tcW w:w="1145" w:type="dxa"/>
            <w:vAlign w:val="center"/>
          </w:tcPr>
          <w:p w14:paraId="16F0C9F4">
            <w:pPr>
              <w:jc w:val="center"/>
              <w:rPr>
                <w:rFonts w:ascii="宋体" w:hAnsi="宋体" w:cs="宋体"/>
                <w:szCs w:val="21"/>
              </w:rPr>
            </w:pPr>
          </w:p>
        </w:tc>
        <w:tc>
          <w:tcPr>
            <w:tcW w:w="786" w:type="dxa"/>
            <w:vAlign w:val="center"/>
          </w:tcPr>
          <w:p w14:paraId="7EF24B69">
            <w:pPr>
              <w:jc w:val="center"/>
              <w:rPr>
                <w:rFonts w:ascii="宋体" w:hAnsi="宋体" w:cs="宋体"/>
                <w:szCs w:val="21"/>
              </w:rPr>
            </w:pPr>
          </w:p>
        </w:tc>
        <w:tc>
          <w:tcPr>
            <w:tcW w:w="785" w:type="dxa"/>
            <w:vAlign w:val="center"/>
          </w:tcPr>
          <w:p w14:paraId="6001A238">
            <w:pPr>
              <w:jc w:val="center"/>
              <w:rPr>
                <w:rFonts w:ascii="宋体" w:hAnsi="宋体" w:cs="宋体"/>
                <w:szCs w:val="21"/>
              </w:rPr>
            </w:pPr>
          </w:p>
        </w:tc>
        <w:tc>
          <w:tcPr>
            <w:tcW w:w="1145" w:type="dxa"/>
            <w:vAlign w:val="center"/>
          </w:tcPr>
          <w:p w14:paraId="4689251D">
            <w:pPr>
              <w:jc w:val="center"/>
              <w:rPr>
                <w:rFonts w:ascii="宋体" w:hAnsi="宋体" w:cs="宋体"/>
                <w:szCs w:val="21"/>
              </w:rPr>
            </w:pPr>
          </w:p>
        </w:tc>
        <w:tc>
          <w:tcPr>
            <w:tcW w:w="1401" w:type="dxa"/>
            <w:tcBorders>
              <w:right w:val="single" w:color="auto" w:sz="12" w:space="0"/>
            </w:tcBorders>
            <w:vAlign w:val="center"/>
          </w:tcPr>
          <w:p w14:paraId="033B7141">
            <w:pPr>
              <w:jc w:val="center"/>
              <w:rPr>
                <w:rFonts w:ascii="宋体" w:hAnsi="宋体" w:cs="宋体"/>
                <w:szCs w:val="21"/>
              </w:rPr>
            </w:pPr>
          </w:p>
        </w:tc>
      </w:tr>
      <w:tr w14:paraId="6FEA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35" w:type="dxa"/>
            <w:tcBorders>
              <w:left w:val="single" w:color="auto" w:sz="12" w:space="0"/>
              <w:bottom w:val="single" w:color="auto" w:sz="12" w:space="0"/>
            </w:tcBorders>
            <w:vAlign w:val="center"/>
          </w:tcPr>
          <w:p w14:paraId="78681037">
            <w:pPr>
              <w:jc w:val="center"/>
              <w:rPr>
                <w:rFonts w:ascii="宋体" w:hAnsi="宋体" w:cs="宋体"/>
                <w:szCs w:val="21"/>
              </w:rPr>
            </w:pPr>
          </w:p>
        </w:tc>
        <w:tc>
          <w:tcPr>
            <w:tcW w:w="1810" w:type="dxa"/>
            <w:tcBorders>
              <w:bottom w:val="single" w:color="auto" w:sz="12" w:space="0"/>
            </w:tcBorders>
            <w:vAlign w:val="center"/>
          </w:tcPr>
          <w:p w14:paraId="191CA5AB">
            <w:pPr>
              <w:jc w:val="center"/>
              <w:rPr>
                <w:rFonts w:ascii="宋体" w:hAnsi="宋体" w:cs="宋体"/>
                <w:szCs w:val="21"/>
              </w:rPr>
            </w:pPr>
          </w:p>
        </w:tc>
        <w:tc>
          <w:tcPr>
            <w:tcW w:w="665" w:type="dxa"/>
            <w:tcBorders>
              <w:bottom w:val="single" w:color="auto" w:sz="12" w:space="0"/>
            </w:tcBorders>
            <w:vAlign w:val="center"/>
          </w:tcPr>
          <w:p w14:paraId="5A22A93B">
            <w:pPr>
              <w:jc w:val="center"/>
              <w:rPr>
                <w:rFonts w:ascii="宋体" w:hAnsi="宋体" w:cs="宋体"/>
                <w:szCs w:val="21"/>
              </w:rPr>
            </w:pPr>
          </w:p>
        </w:tc>
        <w:tc>
          <w:tcPr>
            <w:tcW w:w="1145" w:type="dxa"/>
            <w:tcBorders>
              <w:bottom w:val="single" w:color="auto" w:sz="12" w:space="0"/>
            </w:tcBorders>
            <w:vAlign w:val="center"/>
          </w:tcPr>
          <w:p w14:paraId="46BFC30F">
            <w:pPr>
              <w:jc w:val="center"/>
              <w:rPr>
                <w:rFonts w:ascii="宋体" w:hAnsi="宋体" w:cs="宋体"/>
                <w:szCs w:val="21"/>
              </w:rPr>
            </w:pPr>
          </w:p>
        </w:tc>
        <w:tc>
          <w:tcPr>
            <w:tcW w:w="786" w:type="dxa"/>
            <w:tcBorders>
              <w:bottom w:val="single" w:color="auto" w:sz="12" w:space="0"/>
            </w:tcBorders>
            <w:vAlign w:val="center"/>
          </w:tcPr>
          <w:p w14:paraId="14955F30">
            <w:pPr>
              <w:jc w:val="center"/>
              <w:rPr>
                <w:rFonts w:ascii="宋体" w:hAnsi="宋体" w:cs="宋体"/>
                <w:szCs w:val="21"/>
              </w:rPr>
            </w:pPr>
          </w:p>
        </w:tc>
        <w:tc>
          <w:tcPr>
            <w:tcW w:w="785" w:type="dxa"/>
            <w:tcBorders>
              <w:bottom w:val="single" w:color="auto" w:sz="12" w:space="0"/>
            </w:tcBorders>
            <w:vAlign w:val="center"/>
          </w:tcPr>
          <w:p w14:paraId="358C58C2">
            <w:pPr>
              <w:jc w:val="center"/>
              <w:rPr>
                <w:rFonts w:ascii="宋体" w:hAnsi="宋体" w:cs="宋体"/>
                <w:szCs w:val="21"/>
              </w:rPr>
            </w:pPr>
          </w:p>
        </w:tc>
        <w:tc>
          <w:tcPr>
            <w:tcW w:w="1145" w:type="dxa"/>
            <w:tcBorders>
              <w:bottom w:val="single" w:color="auto" w:sz="12" w:space="0"/>
            </w:tcBorders>
            <w:vAlign w:val="center"/>
          </w:tcPr>
          <w:p w14:paraId="78F2C4EA">
            <w:pPr>
              <w:jc w:val="center"/>
              <w:rPr>
                <w:rFonts w:ascii="宋体" w:hAnsi="宋体" w:cs="宋体"/>
                <w:szCs w:val="21"/>
              </w:rPr>
            </w:pPr>
          </w:p>
        </w:tc>
        <w:tc>
          <w:tcPr>
            <w:tcW w:w="1401" w:type="dxa"/>
            <w:tcBorders>
              <w:bottom w:val="single" w:color="auto" w:sz="12" w:space="0"/>
              <w:right w:val="single" w:color="auto" w:sz="12" w:space="0"/>
            </w:tcBorders>
            <w:vAlign w:val="center"/>
          </w:tcPr>
          <w:p w14:paraId="19D9B1A8">
            <w:pPr>
              <w:jc w:val="center"/>
              <w:rPr>
                <w:rFonts w:ascii="宋体" w:hAnsi="宋体" w:cs="宋体"/>
                <w:szCs w:val="21"/>
              </w:rPr>
            </w:pPr>
          </w:p>
        </w:tc>
      </w:tr>
    </w:tbl>
    <w:p w14:paraId="5DB91EDB">
      <w:pPr>
        <w:adjustRightInd w:val="0"/>
        <w:snapToGrid w:val="0"/>
        <w:ind w:left="-88" w:leftChars="-42" w:firstLine="210" w:firstLineChars="100"/>
        <w:rPr>
          <w:rFonts w:ascii="宋体" w:hAnsi="宋体"/>
        </w:rPr>
      </w:pPr>
    </w:p>
    <w:p w14:paraId="7CF2B242">
      <w:pPr>
        <w:pStyle w:val="26"/>
        <w:adjustRightInd w:val="0"/>
        <w:snapToGrid w:val="0"/>
        <w:spacing w:line="360" w:lineRule="auto"/>
        <w:outlineLvl w:val="0"/>
        <w:rPr>
          <w:sz w:val="21"/>
          <w:szCs w:val="21"/>
        </w:rPr>
      </w:pPr>
    </w:p>
    <w:p w14:paraId="15466C7C"/>
    <w:p w14:paraId="5971BFAE">
      <w:pPr>
        <w:adjustRightInd w:val="0"/>
        <w:snapToGrid w:val="0"/>
        <w:spacing w:before="50" w:line="360" w:lineRule="auto"/>
        <w:rPr>
          <w:rFonts w:ascii="宋体" w:hAnsi="宋体"/>
          <w:szCs w:val="21"/>
        </w:rPr>
      </w:pPr>
      <w:r>
        <w:rPr>
          <w:rFonts w:hint="eastAsia" w:ascii="宋体" w:hAnsi="宋体"/>
          <w:szCs w:val="21"/>
        </w:rPr>
        <w:t>供应商名称（盖单位公章）：</w:t>
      </w:r>
    </w:p>
    <w:p w14:paraId="22687E6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szCs w:val="21"/>
        </w:rPr>
        <w:t>或其授权的代理人（签字或印章）：</w:t>
      </w:r>
    </w:p>
    <w:p w14:paraId="0EB688B3">
      <w:pPr>
        <w:widowControl/>
        <w:jc w:val="left"/>
        <w:rPr>
          <w:rFonts w:ascii="黑体" w:hAnsi="宋体" w:eastAsia="黑体"/>
          <w:sz w:val="28"/>
          <w:szCs w:val="28"/>
        </w:rPr>
      </w:pPr>
      <w:r>
        <w:rPr>
          <w:rFonts w:hint="eastAsia"/>
        </w:rPr>
        <w:t>日期：     年     月     日</w:t>
      </w:r>
    </w:p>
    <w:p w14:paraId="21F8277A">
      <w:pPr>
        <w:adjustRightInd w:val="0"/>
        <w:snapToGrid w:val="0"/>
        <w:spacing w:line="360" w:lineRule="auto"/>
        <w:rPr>
          <w:rFonts w:ascii="黑体" w:hAnsi="宋体" w:eastAsia="黑体"/>
          <w:sz w:val="28"/>
          <w:szCs w:val="28"/>
        </w:rPr>
        <w:sectPr>
          <w:pgSz w:w="11906" w:h="16838"/>
          <w:pgMar w:top="1440" w:right="1800" w:bottom="1440" w:left="1800" w:header="851" w:footer="992" w:gutter="0"/>
          <w:cols w:space="720" w:num="1"/>
          <w:docGrid w:type="lines" w:linePitch="312" w:charSpace="0"/>
        </w:sectPr>
      </w:pPr>
    </w:p>
    <w:p w14:paraId="1C88F2CB">
      <w:pPr>
        <w:pStyle w:val="3"/>
        <w:spacing w:afterLines="50"/>
        <w:jc w:val="center"/>
        <w:rPr>
          <w:rFonts w:ascii="黑体" w:hAnsi="黑体" w:eastAsia="黑体"/>
          <w:color w:val="auto"/>
          <w:sz w:val="28"/>
          <w:szCs w:val="28"/>
          <w:highlight w:val="none"/>
        </w:rPr>
      </w:pPr>
      <w:bookmarkStart w:id="369" w:name="_Toc5779"/>
      <w:r>
        <w:rPr>
          <w:rFonts w:hint="eastAsia" w:ascii="黑体" w:hAnsi="黑体" w:eastAsia="黑体"/>
          <w:color w:val="auto"/>
          <w:sz w:val="28"/>
          <w:szCs w:val="28"/>
          <w:highlight w:val="none"/>
        </w:rPr>
        <w:t>五、合同条款偏离表</w:t>
      </w:r>
      <w:bookmarkEnd w:id="354"/>
      <w:bookmarkEnd w:id="355"/>
      <w:bookmarkEnd w:id="356"/>
      <w:bookmarkEnd w:id="357"/>
      <w:bookmarkEnd w:id="358"/>
      <w:bookmarkEnd w:id="359"/>
      <w:bookmarkEnd w:id="360"/>
      <w:bookmarkEnd w:id="361"/>
      <w:bookmarkEnd w:id="362"/>
      <w:bookmarkEnd w:id="363"/>
      <w:bookmarkEnd w:id="364"/>
      <w:bookmarkEnd w:id="365"/>
      <w:bookmarkEnd w:id="369"/>
    </w:p>
    <w:p w14:paraId="097AE94D">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政府采购计划编号:        项目名称：</w:t>
      </w:r>
    </w:p>
    <w:p w14:paraId="3CE06511">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包           号：        包名称：</w:t>
      </w:r>
    </w:p>
    <w:tbl>
      <w:tblPr>
        <w:tblStyle w:val="45"/>
        <w:tblW w:w="911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32"/>
        <w:gridCol w:w="2410"/>
        <w:gridCol w:w="1985"/>
        <w:gridCol w:w="2082"/>
        <w:gridCol w:w="1504"/>
      </w:tblGrid>
      <w:tr w14:paraId="282C8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1132" w:type="dxa"/>
            <w:vAlign w:val="center"/>
          </w:tcPr>
          <w:p w14:paraId="51DB1477">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23A149BF">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3CCD57DB">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谈判</w:t>
            </w:r>
            <w:r>
              <w:rPr>
                <w:rFonts w:hint="eastAsia"/>
                <w:color w:val="auto"/>
                <w:highlight w:val="none"/>
              </w:rPr>
              <w:t>文件要求</w:t>
            </w:r>
          </w:p>
        </w:tc>
        <w:tc>
          <w:tcPr>
            <w:tcW w:w="2082" w:type="dxa"/>
            <w:tcBorders>
              <w:right w:val="single" w:color="auto" w:sz="4" w:space="0"/>
            </w:tcBorders>
            <w:vAlign w:val="center"/>
          </w:tcPr>
          <w:p w14:paraId="1094B410">
            <w:pPr>
              <w:adjustRightInd w:val="0"/>
              <w:snapToGrid w:val="0"/>
              <w:spacing w:before="50" w:line="360" w:lineRule="auto"/>
              <w:jc w:val="center"/>
              <w:rPr>
                <w:rFonts w:ascii="宋体" w:hAnsi="宋体"/>
                <w:color w:val="auto"/>
                <w:szCs w:val="21"/>
                <w:highlight w:val="none"/>
              </w:rPr>
            </w:pPr>
            <w:r>
              <w:rPr>
                <w:rFonts w:hint="eastAsia"/>
                <w:color w:val="auto"/>
                <w:highlight w:val="none"/>
              </w:rPr>
              <w:t>响应文件的应答</w:t>
            </w:r>
          </w:p>
        </w:tc>
        <w:tc>
          <w:tcPr>
            <w:tcW w:w="1504" w:type="dxa"/>
            <w:tcBorders>
              <w:left w:val="single" w:color="auto" w:sz="4" w:space="0"/>
            </w:tcBorders>
            <w:vAlign w:val="center"/>
          </w:tcPr>
          <w:p w14:paraId="3B621A51">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7D1F5A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530F44EF">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B84048F">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53DD66A4">
            <w:pPr>
              <w:adjustRightInd w:val="0"/>
              <w:snapToGrid w:val="0"/>
              <w:spacing w:before="50" w:line="360" w:lineRule="auto"/>
              <w:rPr>
                <w:color w:val="auto"/>
                <w:highlight w:val="none"/>
              </w:rPr>
            </w:pPr>
          </w:p>
        </w:tc>
        <w:tc>
          <w:tcPr>
            <w:tcW w:w="2082" w:type="dxa"/>
            <w:tcBorders>
              <w:right w:val="single" w:color="auto" w:sz="4" w:space="0"/>
            </w:tcBorders>
          </w:tcPr>
          <w:p w14:paraId="287E7744">
            <w:pPr>
              <w:adjustRightInd w:val="0"/>
              <w:snapToGrid w:val="0"/>
              <w:spacing w:before="50" w:line="360" w:lineRule="auto"/>
              <w:rPr>
                <w:color w:val="auto"/>
                <w:highlight w:val="none"/>
              </w:rPr>
            </w:pPr>
          </w:p>
        </w:tc>
        <w:tc>
          <w:tcPr>
            <w:tcW w:w="1504" w:type="dxa"/>
            <w:tcBorders>
              <w:left w:val="single" w:color="auto" w:sz="4" w:space="0"/>
            </w:tcBorders>
          </w:tcPr>
          <w:p w14:paraId="659E6EA2">
            <w:pPr>
              <w:adjustRightInd w:val="0"/>
              <w:snapToGrid w:val="0"/>
              <w:spacing w:before="50" w:line="360" w:lineRule="auto"/>
              <w:ind w:left="-88" w:leftChars="-42"/>
              <w:jc w:val="center"/>
              <w:rPr>
                <w:rFonts w:ascii="宋体" w:hAnsi="宋体"/>
                <w:color w:val="auto"/>
                <w:szCs w:val="21"/>
                <w:highlight w:val="none"/>
              </w:rPr>
            </w:pPr>
          </w:p>
        </w:tc>
      </w:tr>
      <w:tr w14:paraId="01AAAB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2BF9E58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B065067">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0A2046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0DB75D8B">
            <w:pPr>
              <w:adjustRightInd w:val="0"/>
              <w:snapToGrid w:val="0"/>
              <w:spacing w:before="50" w:line="360" w:lineRule="auto"/>
              <w:ind w:left="-88" w:leftChars="-42"/>
              <w:jc w:val="center"/>
              <w:rPr>
                <w:rFonts w:ascii="宋体" w:hAnsi="宋体"/>
                <w:color w:val="auto"/>
                <w:szCs w:val="21"/>
                <w:highlight w:val="none"/>
              </w:rPr>
            </w:pPr>
          </w:p>
        </w:tc>
        <w:tc>
          <w:tcPr>
            <w:tcW w:w="1504" w:type="dxa"/>
            <w:tcBorders>
              <w:left w:val="single" w:color="auto" w:sz="4" w:space="0"/>
            </w:tcBorders>
            <w:vAlign w:val="center"/>
          </w:tcPr>
          <w:p w14:paraId="362F61BE">
            <w:pPr>
              <w:adjustRightInd w:val="0"/>
              <w:snapToGrid w:val="0"/>
              <w:spacing w:before="50" w:line="360" w:lineRule="auto"/>
              <w:ind w:left="-88" w:leftChars="-42"/>
              <w:jc w:val="center"/>
              <w:rPr>
                <w:rFonts w:ascii="宋体" w:hAnsi="宋体"/>
                <w:color w:val="auto"/>
                <w:szCs w:val="21"/>
                <w:highlight w:val="none"/>
              </w:rPr>
            </w:pPr>
          </w:p>
        </w:tc>
      </w:tr>
      <w:tr w14:paraId="5C75F6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7A4AC70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23B50098">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FD7E008">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5B4F509">
            <w:pPr>
              <w:adjustRightInd w:val="0"/>
              <w:snapToGrid w:val="0"/>
              <w:spacing w:before="50" w:line="360" w:lineRule="auto"/>
              <w:ind w:left="-88" w:leftChars="-42"/>
              <w:jc w:val="center"/>
              <w:rPr>
                <w:rFonts w:ascii="宋体" w:hAnsi="宋体"/>
                <w:color w:val="auto"/>
                <w:szCs w:val="21"/>
                <w:highlight w:val="none"/>
              </w:rPr>
            </w:pPr>
          </w:p>
        </w:tc>
        <w:tc>
          <w:tcPr>
            <w:tcW w:w="1504" w:type="dxa"/>
            <w:tcBorders>
              <w:left w:val="single" w:color="auto" w:sz="4" w:space="0"/>
            </w:tcBorders>
            <w:vAlign w:val="center"/>
          </w:tcPr>
          <w:p w14:paraId="1541B8F4">
            <w:pPr>
              <w:adjustRightInd w:val="0"/>
              <w:snapToGrid w:val="0"/>
              <w:spacing w:before="50" w:line="360" w:lineRule="auto"/>
              <w:ind w:left="-88" w:leftChars="-42"/>
              <w:jc w:val="center"/>
              <w:rPr>
                <w:rFonts w:ascii="宋体" w:hAnsi="宋体"/>
                <w:color w:val="auto"/>
                <w:szCs w:val="21"/>
                <w:highlight w:val="none"/>
              </w:rPr>
            </w:pPr>
          </w:p>
        </w:tc>
      </w:tr>
      <w:tr w14:paraId="4ED482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1D9467D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0E64CA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4AE215DC">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147289D1">
            <w:pPr>
              <w:adjustRightInd w:val="0"/>
              <w:snapToGrid w:val="0"/>
              <w:spacing w:before="50" w:line="360" w:lineRule="auto"/>
              <w:ind w:left="-88" w:leftChars="-42"/>
              <w:jc w:val="center"/>
              <w:rPr>
                <w:rFonts w:ascii="宋体" w:hAnsi="宋体"/>
                <w:color w:val="auto"/>
                <w:szCs w:val="21"/>
                <w:highlight w:val="none"/>
              </w:rPr>
            </w:pPr>
          </w:p>
        </w:tc>
        <w:tc>
          <w:tcPr>
            <w:tcW w:w="1504" w:type="dxa"/>
            <w:tcBorders>
              <w:left w:val="single" w:color="auto" w:sz="4" w:space="0"/>
            </w:tcBorders>
            <w:vAlign w:val="center"/>
          </w:tcPr>
          <w:p w14:paraId="54EA3D8B">
            <w:pPr>
              <w:adjustRightInd w:val="0"/>
              <w:snapToGrid w:val="0"/>
              <w:spacing w:before="50" w:line="360" w:lineRule="auto"/>
              <w:ind w:left="-88" w:leftChars="-42"/>
              <w:jc w:val="center"/>
              <w:rPr>
                <w:rFonts w:ascii="宋体" w:hAnsi="宋体"/>
                <w:color w:val="auto"/>
                <w:szCs w:val="21"/>
                <w:highlight w:val="none"/>
              </w:rPr>
            </w:pPr>
          </w:p>
        </w:tc>
      </w:tr>
      <w:tr w14:paraId="424AF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04884C2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2E5B968E">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8D1854B">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5BB6EADD">
            <w:pPr>
              <w:adjustRightInd w:val="0"/>
              <w:snapToGrid w:val="0"/>
              <w:spacing w:before="50" w:line="360" w:lineRule="auto"/>
              <w:ind w:left="-88" w:leftChars="-42"/>
              <w:jc w:val="center"/>
              <w:rPr>
                <w:rFonts w:ascii="宋体" w:hAnsi="宋体"/>
                <w:color w:val="auto"/>
                <w:szCs w:val="21"/>
                <w:highlight w:val="none"/>
              </w:rPr>
            </w:pPr>
          </w:p>
        </w:tc>
        <w:tc>
          <w:tcPr>
            <w:tcW w:w="1504" w:type="dxa"/>
            <w:tcBorders>
              <w:left w:val="single" w:color="auto" w:sz="4" w:space="0"/>
            </w:tcBorders>
            <w:vAlign w:val="center"/>
          </w:tcPr>
          <w:p w14:paraId="44CC97EF">
            <w:pPr>
              <w:adjustRightInd w:val="0"/>
              <w:snapToGrid w:val="0"/>
              <w:spacing w:before="50" w:line="360" w:lineRule="auto"/>
              <w:ind w:left="-88" w:leftChars="-42"/>
              <w:jc w:val="center"/>
              <w:rPr>
                <w:rFonts w:ascii="宋体" w:hAnsi="宋体"/>
                <w:color w:val="auto"/>
                <w:szCs w:val="21"/>
                <w:highlight w:val="none"/>
              </w:rPr>
            </w:pPr>
          </w:p>
        </w:tc>
      </w:tr>
      <w:tr w14:paraId="55BDC1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612C0403">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6BFE76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781D972F">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75C78E32">
            <w:pPr>
              <w:adjustRightInd w:val="0"/>
              <w:snapToGrid w:val="0"/>
              <w:spacing w:before="50" w:line="360" w:lineRule="auto"/>
              <w:ind w:left="-88" w:leftChars="-42"/>
              <w:jc w:val="center"/>
              <w:rPr>
                <w:rFonts w:ascii="宋体" w:hAnsi="宋体"/>
                <w:color w:val="auto"/>
                <w:szCs w:val="21"/>
                <w:highlight w:val="none"/>
              </w:rPr>
            </w:pPr>
          </w:p>
        </w:tc>
        <w:tc>
          <w:tcPr>
            <w:tcW w:w="1504" w:type="dxa"/>
            <w:tcBorders>
              <w:left w:val="single" w:color="auto" w:sz="4" w:space="0"/>
            </w:tcBorders>
            <w:vAlign w:val="center"/>
          </w:tcPr>
          <w:p w14:paraId="046E3358">
            <w:pPr>
              <w:adjustRightInd w:val="0"/>
              <w:snapToGrid w:val="0"/>
              <w:spacing w:before="50" w:line="360" w:lineRule="auto"/>
              <w:ind w:left="-88" w:leftChars="-42"/>
              <w:jc w:val="center"/>
              <w:rPr>
                <w:rFonts w:ascii="宋体" w:hAnsi="宋体"/>
                <w:color w:val="auto"/>
                <w:szCs w:val="21"/>
                <w:highlight w:val="none"/>
              </w:rPr>
            </w:pPr>
          </w:p>
        </w:tc>
      </w:tr>
      <w:tr w14:paraId="41210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32" w:type="dxa"/>
            <w:vAlign w:val="center"/>
          </w:tcPr>
          <w:p w14:paraId="226547E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2963B51E">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7D6BD31E">
            <w:pPr>
              <w:adjustRightInd w:val="0"/>
              <w:snapToGrid w:val="0"/>
              <w:spacing w:before="50" w:line="360" w:lineRule="auto"/>
              <w:ind w:left="-88" w:leftChars="-42"/>
              <w:jc w:val="center"/>
              <w:rPr>
                <w:rFonts w:ascii="宋体" w:hAnsi="宋体"/>
                <w:color w:val="auto"/>
                <w:szCs w:val="21"/>
                <w:highlight w:val="none"/>
              </w:rPr>
            </w:pPr>
          </w:p>
        </w:tc>
        <w:tc>
          <w:tcPr>
            <w:tcW w:w="3586" w:type="dxa"/>
            <w:gridSpan w:val="2"/>
            <w:vAlign w:val="center"/>
          </w:tcPr>
          <w:p w14:paraId="6418BC3F">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供应商保证：除本合同条款偏离表列出的偏离外，我单位对谈判文件的其他商务、合同条款完全响应，无偏离。</w:t>
            </w:r>
          </w:p>
        </w:tc>
      </w:tr>
    </w:tbl>
    <w:p w14:paraId="5085B838">
      <w:pPr>
        <w:adjustRightInd w:val="0"/>
        <w:snapToGrid w:val="0"/>
        <w:spacing w:before="50" w:line="360" w:lineRule="auto"/>
        <w:ind w:left="-88" w:leftChars="-42"/>
        <w:rPr>
          <w:rFonts w:ascii="宋体" w:hAnsi="宋体"/>
          <w:color w:val="auto"/>
          <w:szCs w:val="21"/>
          <w:highlight w:val="none"/>
        </w:rPr>
      </w:pPr>
      <w:r>
        <w:rPr>
          <w:rFonts w:hint="eastAsia" w:ascii="宋体" w:hAnsi="宋体"/>
          <w:bCs/>
          <w:color w:val="auto"/>
          <w:szCs w:val="21"/>
          <w:highlight w:val="none"/>
        </w:rPr>
        <w:t>注：1.</w:t>
      </w:r>
      <w:r>
        <w:rPr>
          <w:rFonts w:hint="eastAsia" w:ascii="宋体" w:hAnsi="宋体"/>
          <w:color w:val="auto"/>
          <w:szCs w:val="21"/>
          <w:highlight w:val="none"/>
        </w:rPr>
        <w:t>供应商应根据谈判文件第四章</w:t>
      </w:r>
      <w:r>
        <w:rPr>
          <w:rFonts w:hint="eastAsia" w:ascii="华文宋体" w:hAnsi="华文宋体" w:eastAsia="华文宋体"/>
          <w:color w:val="auto"/>
          <w:szCs w:val="21"/>
          <w:highlight w:val="none"/>
        </w:rPr>
        <w:t>“</w:t>
      </w:r>
      <w:r>
        <w:rPr>
          <w:rFonts w:hint="eastAsia" w:ascii="宋体" w:hAnsi="宋体"/>
          <w:color w:val="auto"/>
          <w:szCs w:val="21"/>
          <w:highlight w:val="none"/>
        </w:rPr>
        <w:t>合同草案条款</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0862F8A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供应商如果对谈判文件第四章“合同草案条款”的响应有偏离，应将偏离条款逐条如实应答，并作出说明；</w:t>
      </w:r>
    </w:p>
    <w:p w14:paraId="6BBD6B6B">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3.如不提供此表，则视为供应商不满足谈判文件第四章的所有条款要求，其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44DA0D1F">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成交供应商签订合同时，如成交供应商未在响应文件“合同条款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2EB5B8D8">
      <w:pPr>
        <w:adjustRightInd w:val="0"/>
        <w:snapToGrid w:val="0"/>
        <w:spacing w:before="50" w:line="360" w:lineRule="auto"/>
        <w:rPr>
          <w:rFonts w:ascii="宋体" w:hAnsi="宋体"/>
          <w:color w:val="auto"/>
          <w:szCs w:val="21"/>
          <w:highlight w:val="none"/>
        </w:rPr>
      </w:pPr>
    </w:p>
    <w:p w14:paraId="2D7518CE">
      <w:pPr>
        <w:adjustRightInd w:val="0"/>
        <w:snapToGrid w:val="0"/>
        <w:spacing w:before="50" w:line="360" w:lineRule="auto"/>
        <w:rPr>
          <w:rFonts w:ascii="宋体" w:hAnsi="宋体"/>
          <w:color w:val="auto"/>
          <w:szCs w:val="21"/>
          <w:highlight w:val="none"/>
        </w:rPr>
      </w:pPr>
    </w:p>
    <w:p w14:paraId="07C75804">
      <w:pPr>
        <w:adjustRightInd w:val="0"/>
        <w:snapToGrid w:val="0"/>
        <w:spacing w:before="50" w:line="360" w:lineRule="auto"/>
        <w:rPr>
          <w:rFonts w:ascii="宋体" w:hAnsi="宋体"/>
          <w:color w:val="auto"/>
          <w:szCs w:val="21"/>
          <w:highlight w:val="none"/>
        </w:rPr>
      </w:pPr>
    </w:p>
    <w:p w14:paraId="4BEA0839">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38CE416E">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5AB420A">
      <w:pPr>
        <w:rPr>
          <w:color w:val="auto"/>
          <w:highlight w:val="none"/>
        </w:rPr>
      </w:pPr>
      <w:r>
        <w:rPr>
          <w:rFonts w:hint="eastAsia"/>
          <w:color w:val="auto"/>
          <w:highlight w:val="none"/>
        </w:rPr>
        <w:t>日期：     年    月    日</w:t>
      </w:r>
    </w:p>
    <w:p w14:paraId="25E00297">
      <w:pPr>
        <w:pStyle w:val="3"/>
        <w:spacing w:afterLines="50"/>
        <w:jc w:val="center"/>
        <w:rPr>
          <w:rFonts w:ascii="黑体" w:eastAsia="黑体"/>
          <w:color w:val="auto"/>
          <w:sz w:val="28"/>
          <w:szCs w:val="28"/>
          <w:highlight w:val="none"/>
        </w:rPr>
      </w:pPr>
      <w:r>
        <w:rPr>
          <w:rFonts w:ascii="黑体" w:eastAsia="黑体"/>
          <w:color w:val="auto"/>
          <w:sz w:val="28"/>
          <w:szCs w:val="28"/>
          <w:highlight w:val="none"/>
        </w:rPr>
        <w:br w:type="page"/>
      </w:r>
      <w:bookmarkStart w:id="370" w:name="_Toc9718"/>
      <w:bookmarkStart w:id="371" w:name="_Toc74694343"/>
      <w:bookmarkStart w:id="372" w:name="_Toc27963"/>
      <w:bookmarkStart w:id="373" w:name="_Toc22201160"/>
      <w:bookmarkStart w:id="374" w:name="_Toc16278"/>
      <w:bookmarkStart w:id="375" w:name="_Toc17665"/>
      <w:bookmarkStart w:id="376" w:name="_Toc16319"/>
      <w:bookmarkStart w:id="377" w:name="_Toc34637803"/>
      <w:bookmarkStart w:id="378" w:name="_Toc145374021"/>
      <w:bookmarkStart w:id="379" w:name="_Toc27585"/>
      <w:bookmarkStart w:id="380" w:name="_Toc16961"/>
      <w:bookmarkStart w:id="381" w:name="_Toc18809"/>
      <w:bookmarkStart w:id="382" w:name="_Toc209084351"/>
      <w:r>
        <w:rPr>
          <w:rFonts w:hint="eastAsia" w:ascii="黑体" w:eastAsia="黑体"/>
          <w:color w:val="auto"/>
          <w:sz w:val="28"/>
          <w:szCs w:val="28"/>
          <w:highlight w:val="none"/>
        </w:rPr>
        <w:t>六、采购需求偏离表</w:t>
      </w:r>
      <w:bookmarkEnd w:id="370"/>
      <w:bookmarkEnd w:id="371"/>
      <w:bookmarkEnd w:id="372"/>
      <w:bookmarkEnd w:id="373"/>
      <w:bookmarkEnd w:id="374"/>
      <w:bookmarkEnd w:id="375"/>
      <w:bookmarkEnd w:id="376"/>
      <w:bookmarkEnd w:id="377"/>
      <w:bookmarkEnd w:id="378"/>
      <w:bookmarkEnd w:id="379"/>
      <w:bookmarkEnd w:id="380"/>
      <w:bookmarkEnd w:id="381"/>
      <w:bookmarkEnd w:id="382"/>
    </w:p>
    <w:p w14:paraId="1FB7CBAA">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政府采购计划编号:        项目名称：</w:t>
      </w:r>
    </w:p>
    <w:p w14:paraId="1A7E0847">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包           号：        包名称：</w:t>
      </w:r>
    </w:p>
    <w:tbl>
      <w:tblPr>
        <w:tblStyle w:val="45"/>
        <w:tblW w:w="89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27"/>
        <w:gridCol w:w="2410"/>
        <w:gridCol w:w="1985"/>
        <w:gridCol w:w="2126"/>
        <w:gridCol w:w="1312"/>
      </w:tblGrid>
      <w:tr w14:paraId="50657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1127" w:type="dxa"/>
            <w:vAlign w:val="center"/>
          </w:tcPr>
          <w:p w14:paraId="201A84E6">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5B1CDE17">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659F8F93">
            <w:pPr>
              <w:adjustRightInd w:val="0"/>
              <w:snapToGrid w:val="0"/>
              <w:spacing w:before="50" w:line="360" w:lineRule="auto"/>
              <w:jc w:val="center"/>
              <w:rPr>
                <w:color w:val="auto"/>
                <w:highlight w:val="none"/>
              </w:rPr>
            </w:pPr>
            <w:r>
              <w:rPr>
                <w:rFonts w:hint="eastAsia" w:ascii="宋体" w:hAnsi="宋体"/>
                <w:color w:val="auto"/>
                <w:szCs w:val="21"/>
                <w:highlight w:val="none"/>
              </w:rPr>
              <w:t>谈判</w:t>
            </w:r>
            <w:r>
              <w:rPr>
                <w:rFonts w:hint="eastAsia"/>
                <w:color w:val="auto"/>
                <w:highlight w:val="none"/>
              </w:rPr>
              <w:t>文件要求</w:t>
            </w:r>
          </w:p>
        </w:tc>
        <w:tc>
          <w:tcPr>
            <w:tcW w:w="2126" w:type="dxa"/>
            <w:tcBorders>
              <w:left w:val="single" w:color="auto" w:sz="4" w:space="0"/>
            </w:tcBorders>
          </w:tcPr>
          <w:p w14:paraId="36A08691">
            <w:pPr>
              <w:adjustRightInd w:val="0"/>
              <w:snapToGrid w:val="0"/>
              <w:spacing w:before="50" w:line="360" w:lineRule="auto"/>
              <w:jc w:val="center"/>
              <w:rPr>
                <w:color w:val="auto"/>
                <w:highlight w:val="none"/>
              </w:rPr>
            </w:pPr>
            <w:r>
              <w:rPr>
                <w:rFonts w:hint="eastAsia" w:ascii="宋体" w:hAnsi="宋体"/>
                <w:color w:val="auto"/>
                <w:szCs w:val="21"/>
                <w:highlight w:val="none"/>
              </w:rPr>
              <w:t>响应</w:t>
            </w:r>
            <w:r>
              <w:rPr>
                <w:rFonts w:hint="eastAsia"/>
                <w:color w:val="auto"/>
                <w:highlight w:val="none"/>
              </w:rPr>
              <w:t>文件应答</w:t>
            </w:r>
          </w:p>
        </w:tc>
        <w:tc>
          <w:tcPr>
            <w:tcW w:w="1312" w:type="dxa"/>
            <w:vAlign w:val="center"/>
          </w:tcPr>
          <w:p w14:paraId="332A944D">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22EBB7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1344FCD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E3AFF4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9DE90BA">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7AD26E3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5326F21E">
            <w:pPr>
              <w:adjustRightInd w:val="0"/>
              <w:snapToGrid w:val="0"/>
              <w:spacing w:before="50" w:line="360" w:lineRule="auto"/>
              <w:ind w:left="-88" w:leftChars="-42"/>
              <w:jc w:val="center"/>
              <w:rPr>
                <w:rFonts w:ascii="宋体" w:hAnsi="宋体"/>
                <w:color w:val="auto"/>
                <w:szCs w:val="21"/>
                <w:highlight w:val="none"/>
              </w:rPr>
            </w:pPr>
          </w:p>
        </w:tc>
      </w:tr>
      <w:tr w14:paraId="54361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580692A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C8BAA7A">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45EAA4B">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4FF72435">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732BBE33">
            <w:pPr>
              <w:adjustRightInd w:val="0"/>
              <w:snapToGrid w:val="0"/>
              <w:spacing w:before="50" w:line="360" w:lineRule="auto"/>
              <w:ind w:left="-88" w:leftChars="-42"/>
              <w:jc w:val="center"/>
              <w:rPr>
                <w:rFonts w:ascii="宋体" w:hAnsi="宋体"/>
                <w:color w:val="auto"/>
                <w:szCs w:val="21"/>
                <w:highlight w:val="none"/>
              </w:rPr>
            </w:pPr>
          </w:p>
        </w:tc>
      </w:tr>
      <w:tr w14:paraId="191E9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266D25C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D48F880">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4F5BA02">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7599D502">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30D79708">
            <w:pPr>
              <w:adjustRightInd w:val="0"/>
              <w:snapToGrid w:val="0"/>
              <w:spacing w:before="50" w:line="360" w:lineRule="auto"/>
              <w:ind w:left="-88" w:leftChars="-42"/>
              <w:jc w:val="center"/>
              <w:rPr>
                <w:rFonts w:ascii="宋体" w:hAnsi="宋体"/>
                <w:color w:val="auto"/>
                <w:szCs w:val="21"/>
                <w:highlight w:val="none"/>
              </w:rPr>
            </w:pPr>
          </w:p>
        </w:tc>
      </w:tr>
      <w:tr w14:paraId="6718B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11F5942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3BE3893">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4D002E59">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BC742F4">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2DAD4FDA">
            <w:pPr>
              <w:adjustRightInd w:val="0"/>
              <w:snapToGrid w:val="0"/>
              <w:spacing w:before="50" w:line="360" w:lineRule="auto"/>
              <w:ind w:left="-88" w:leftChars="-42"/>
              <w:jc w:val="center"/>
              <w:rPr>
                <w:rFonts w:ascii="宋体" w:hAnsi="宋体"/>
                <w:color w:val="auto"/>
                <w:szCs w:val="21"/>
                <w:highlight w:val="none"/>
              </w:rPr>
            </w:pPr>
          </w:p>
        </w:tc>
      </w:tr>
      <w:tr w14:paraId="02B629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72372BE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61098E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4D56BDD">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18C70666">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500DEE83">
            <w:pPr>
              <w:adjustRightInd w:val="0"/>
              <w:snapToGrid w:val="0"/>
              <w:spacing w:before="50" w:line="360" w:lineRule="auto"/>
              <w:ind w:left="-88" w:leftChars="-42"/>
              <w:jc w:val="center"/>
              <w:rPr>
                <w:rFonts w:ascii="宋体" w:hAnsi="宋体"/>
                <w:color w:val="auto"/>
                <w:szCs w:val="21"/>
                <w:highlight w:val="none"/>
              </w:rPr>
            </w:pPr>
          </w:p>
        </w:tc>
      </w:tr>
      <w:tr w14:paraId="14A543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27" w:type="dxa"/>
            <w:vAlign w:val="center"/>
          </w:tcPr>
          <w:p w14:paraId="2265D1D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0F58637">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CBF873A">
            <w:pPr>
              <w:adjustRightInd w:val="0"/>
              <w:snapToGrid w:val="0"/>
              <w:spacing w:before="50" w:line="360" w:lineRule="auto"/>
              <w:ind w:left="-88" w:leftChars="-42"/>
              <w:jc w:val="center"/>
              <w:rPr>
                <w:rFonts w:ascii="宋体" w:hAnsi="宋体"/>
                <w:color w:val="auto"/>
                <w:szCs w:val="21"/>
                <w:highlight w:val="none"/>
              </w:rPr>
            </w:pPr>
          </w:p>
        </w:tc>
        <w:tc>
          <w:tcPr>
            <w:tcW w:w="3438" w:type="dxa"/>
            <w:gridSpan w:val="2"/>
            <w:tcBorders>
              <w:left w:val="single" w:color="auto" w:sz="4" w:space="0"/>
            </w:tcBorders>
            <w:vAlign w:val="center"/>
          </w:tcPr>
          <w:p w14:paraId="24ABE801">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供应商保证：除本采购需求偏离表列出的偏离外，我单位对谈判文件的其他采购需求条款完全响应，无偏离。</w:t>
            </w:r>
          </w:p>
        </w:tc>
      </w:tr>
    </w:tbl>
    <w:p w14:paraId="62F373EE">
      <w:pPr>
        <w:adjustRightInd w:val="0"/>
        <w:snapToGrid w:val="0"/>
        <w:spacing w:before="50" w:line="360" w:lineRule="auto"/>
        <w:ind w:left="-88" w:leftChars="-42"/>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：1.供应商应根据谈判文件第三章“采购需求”填写本表；</w:t>
      </w:r>
    </w:p>
    <w:p w14:paraId="370AC3E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供应商如果对谈判文件第三章“采购需求”的响应有偏离，应将偏离条款逐条如实应答，并作出说明；</w:t>
      </w:r>
    </w:p>
    <w:p w14:paraId="62865BDC">
      <w:pPr>
        <w:adjustRightInd w:val="0"/>
        <w:snapToGrid w:val="0"/>
        <w:spacing w:before="50" w:line="360" w:lineRule="auto"/>
        <w:ind w:left="-88" w:leftChars="-42" w:firstLine="422" w:firstLineChars="200"/>
        <w:rPr>
          <w:rFonts w:ascii="宋体" w:hAnsi="宋体"/>
          <w:b/>
          <w:color w:val="auto"/>
          <w:szCs w:val="21"/>
          <w:highlight w:val="none"/>
        </w:rPr>
      </w:pPr>
      <w:r>
        <w:rPr>
          <w:rFonts w:hint="eastAsia" w:ascii="宋体" w:hAnsi="宋体"/>
          <w:b/>
          <w:color w:val="auto"/>
          <w:szCs w:val="21"/>
          <w:highlight w:val="none"/>
        </w:rPr>
        <w:t>3.如不提供此表，则视为供应商不满足谈判文件第三章的所有条款要求，其响应无效。</w:t>
      </w:r>
    </w:p>
    <w:p w14:paraId="7E07F5C5">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3419B0FC">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5.本表偏离表与本章第四节“采购需求响应”不一致时，以“采购需求响应”为准。</w:t>
      </w:r>
    </w:p>
    <w:p w14:paraId="256F735E">
      <w:pPr>
        <w:adjustRightInd w:val="0"/>
        <w:snapToGrid w:val="0"/>
        <w:spacing w:before="50" w:line="360" w:lineRule="auto"/>
        <w:rPr>
          <w:rFonts w:ascii="宋体" w:hAnsi="宋体"/>
          <w:color w:val="auto"/>
          <w:szCs w:val="21"/>
          <w:highlight w:val="none"/>
        </w:rPr>
      </w:pPr>
    </w:p>
    <w:p w14:paraId="37832759">
      <w:pPr>
        <w:adjustRightInd w:val="0"/>
        <w:snapToGrid w:val="0"/>
        <w:spacing w:before="50" w:line="360" w:lineRule="auto"/>
        <w:rPr>
          <w:rFonts w:ascii="宋体" w:hAnsi="宋体"/>
          <w:color w:val="auto"/>
          <w:szCs w:val="21"/>
          <w:highlight w:val="none"/>
        </w:rPr>
      </w:pPr>
    </w:p>
    <w:p w14:paraId="116B5624">
      <w:pPr>
        <w:adjustRightInd w:val="0"/>
        <w:snapToGrid w:val="0"/>
        <w:spacing w:before="50" w:line="360" w:lineRule="auto"/>
        <w:rPr>
          <w:rFonts w:ascii="宋体" w:hAnsi="宋体"/>
          <w:color w:val="auto"/>
          <w:szCs w:val="21"/>
          <w:highlight w:val="none"/>
        </w:rPr>
      </w:pPr>
    </w:p>
    <w:p w14:paraId="57BECBD8">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0B5F2CB4">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1DB78ABE">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期：年月_日</w:t>
      </w:r>
    </w:p>
    <w:p w14:paraId="6382CD9E">
      <w:pPr>
        <w:rPr>
          <w:color w:val="auto"/>
          <w:highlight w:val="none"/>
        </w:rPr>
      </w:pPr>
    </w:p>
    <w:p w14:paraId="2692ABE8">
      <w:pPr>
        <w:rPr>
          <w:color w:val="auto"/>
          <w:highlight w:val="none"/>
        </w:rPr>
      </w:pPr>
    </w:p>
    <w:p w14:paraId="7608C75F">
      <w:pPr>
        <w:pStyle w:val="3"/>
        <w:jc w:val="center"/>
        <w:rPr>
          <w:rFonts w:ascii="黑体" w:hAnsi="黑体" w:eastAsia="黑体"/>
          <w:color w:val="auto"/>
          <w:sz w:val="28"/>
          <w:szCs w:val="28"/>
          <w:highlight w:val="none"/>
        </w:rPr>
      </w:pPr>
      <w:r>
        <w:rPr>
          <w:color w:val="auto"/>
          <w:highlight w:val="none"/>
        </w:rPr>
        <w:br w:type="page"/>
      </w:r>
      <w:bookmarkStart w:id="383" w:name="_Toc22201161"/>
      <w:bookmarkStart w:id="384" w:name="_Toc34637804"/>
      <w:bookmarkStart w:id="385" w:name="_Toc209084352"/>
      <w:bookmarkStart w:id="386" w:name="_Toc5380"/>
      <w:bookmarkStart w:id="387" w:name="_Toc74694344"/>
      <w:bookmarkStart w:id="388" w:name="_Toc20301"/>
      <w:bookmarkStart w:id="389" w:name="_Toc27507"/>
      <w:bookmarkStart w:id="390" w:name="_Toc17178"/>
      <w:bookmarkStart w:id="391" w:name="_Toc16672"/>
      <w:bookmarkStart w:id="392" w:name="_Toc24883"/>
      <w:bookmarkStart w:id="393" w:name="_Toc18102"/>
      <w:bookmarkStart w:id="394" w:name="_Toc145374022"/>
      <w:bookmarkStart w:id="395" w:name="_Toc30177"/>
      <w:r>
        <w:rPr>
          <w:rFonts w:hint="eastAsia" w:ascii="黑体" w:hAnsi="黑体" w:eastAsia="黑体"/>
          <w:color w:val="auto"/>
          <w:sz w:val="28"/>
          <w:szCs w:val="28"/>
          <w:highlight w:val="none"/>
        </w:rPr>
        <w:t>七、享受政府采购政策优惠的证明资料</w:t>
      </w:r>
      <w:bookmarkEnd w:id="383"/>
      <w:bookmarkEnd w:id="384"/>
      <w:bookmarkEnd w:id="385"/>
      <w:bookmarkEnd w:id="386"/>
      <w:bookmarkEnd w:id="387"/>
      <w:bookmarkEnd w:id="388"/>
      <w:bookmarkEnd w:id="389"/>
      <w:bookmarkEnd w:id="390"/>
      <w:bookmarkEnd w:id="391"/>
      <w:bookmarkEnd w:id="392"/>
      <w:bookmarkEnd w:id="393"/>
      <w:bookmarkEnd w:id="394"/>
      <w:bookmarkEnd w:id="395"/>
    </w:p>
    <w:p w14:paraId="50B03CD1">
      <w:pPr>
        <w:adjustRightInd w:val="0"/>
        <w:snapToGrid w:val="0"/>
        <w:spacing w:line="360" w:lineRule="auto"/>
        <w:rPr>
          <w:rFonts w:ascii="黑体" w:hAnsi="华文中宋" w:eastAsia="黑体" w:cs="宋体"/>
          <w:bCs/>
          <w:color w:val="auto"/>
          <w:spacing w:val="6"/>
          <w:kern w:val="0"/>
          <w:szCs w:val="21"/>
          <w:highlight w:val="none"/>
        </w:rPr>
      </w:pPr>
    </w:p>
    <w:p w14:paraId="309E0506">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供应商符合第二章第38条、第39条、第40条、第41条要求的，应提供下列证明资料，并填写相关数据。</w:t>
      </w:r>
    </w:p>
    <w:p w14:paraId="2FF07D72">
      <w:pPr>
        <w:adjustRightInd w:val="0"/>
        <w:snapToGrid w:val="0"/>
        <w:spacing w:line="360" w:lineRule="auto"/>
        <w:rPr>
          <w:rFonts w:ascii="黑体" w:hAnsi="华文中宋" w:eastAsia="黑体" w:cs="宋体"/>
          <w:bCs/>
          <w:color w:val="auto"/>
          <w:spacing w:val="6"/>
          <w:kern w:val="0"/>
          <w:szCs w:val="21"/>
          <w:highlight w:val="none"/>
        </w:rPr>
      </w:pPr>
    </w:p>
    <w:p w14:paraId="54FD1CD2">
      <w:pPr>
        <w:adjustRightInd w:val="0"/>
        <w:snapToGrid w:val="0"/>
        <w:spacing w:line="360" w:lineRule="auto"/>
        <w:rPr>
          <w:rFonts w:ascii="黑体" w:hAnsi="华文中宋" w:eastAsia="黑体" w:cs="宋体"/>
          <w:bCs/>
          <w:color w:val="auto"/>
          <w:spacing w:val="6"/>
          <w:kern w:val="0"/>
          <w:szCs w:val="21"/>
          <w:highlight w:val="none"/>
        </w:rPr>
      </w:pPr>
    </w:p>
    <w:p w14:paraId="385E810B">
      <w:pPr>
        <w:keepNext/>
        <w:keepLines/>
        <w:spacing w:before="140" w:after="140" w:line="416" w:lineRule="auto"/>
        <w:rPr>
          <w:rFonts w:ascii="宋体" w:hAnsi="宋体"/>
          <w:color w:val="auto"/>
          <w:szCs w:val="21"/>
          <w:highlight w:val="none"/>
        </w:rPr>
      </w:pPr>
      <w:bookmarkStart w:id="396" w:name="_Toc25540"/>
      <w:bookmarkStart w:id="397" w:name="_Toc6600"/>
      <w:bookmarkStart w:id="398" w:name="_Toc22201162"/>
      <w:bookmarkStart w:id="399" w:name="_Toc74694345"/>
      <w:bookmarkStart w:id="400" w:name="_Toc34637805"/>
      <w:r>
        <w:rPr>
          <w:rFonts w:hint="eastAsia" w:ascii="宋体" w:hAnsi="宋体"/>
          <w:color w:val="auto"/>
          <w:szCs w:val="21"/>
          <w:highlight w:val="none"/>
        </w:rPr>
        <w:t>附件7-1中小企业声明函</w:t>
      </w:r>
      <w:bookmarkEnd w:id="396"/>
      <w:bookmarkEnd w:id="397"/>
      <w:bookmarkEnd w:id="398"/>
      <w:bookmarkEnd w:id="399"/>
      <w:bookmarkEnd w:id="400"/>
    </w:p>
    <w:p w14:paraId="7BE221B7">
      <w:pPr>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中小企业声明函</w:t>
      </w:r>
    </w:p>
    <w:p w14:paraId="202AC9FF">
      <w:pP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(不符合政策要求的无需提供)</w:t>
      </w:r>
    </w:p>
    <w:p w14:paraId="3DC7F9C0">
      <w:pPr>
        <w:widowControl/>
        <w:spacing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8BA5CF2">
      <w:pPr>
        <w:widowControl/>
        <w:spacing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14:paraId="02B42D48">
      <w:pPr>
        <w:widowControl/>
        <w:spacing w:beforeLines="50" w:line="360" w:lineRule="auto"/>
        <w:ind w:firstLine="420" w:firstLineChars="200"/>
        <w:jc w:val="left"/>
        <w:rPr>
          <w:rFonts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6F325DC8">
      <w:pPr>
        <w:widowControl/>
        <w:spacing w:beforeLines="50" w:line="360" w:lineRule="auto"/>
        <w:ind w:firstLine="420" w:firstLineChars="200"/>
        <w:jc w:val="left"/>
        <w:rPr>
          <w:rFonts w:ascii="宋体" w:hAnsi="宋体" w:cs="宋体"/>
          <w:szCs w:val="21"/>
        </w:rPr>
      </w:pPr>
    </w:p>
    <w:p w14:paraId="1F14D632">
      <w:pPr>
        <w:widowControl/>
        <w:spacing w:beforeLines="50" w:line="360" w:lineRule="auto"/>
        <w:ind w:firstLine="420" w:firstLineChars="200"/>
        <w:jc w:val="left"/>
        <w:rPr>
          <w:rFonts w:ascii="宋体" w:hAnsi="宋体" w:cs="宋体"/>
          <w:szCs w:val="21"/>
        </w:rPr>
      </w:pPr>
      <w:r>
        <w:rPr>
          <w:rFonts w:hint="eastAsia" w:ascii="宋体" w:hAnsi="宋体" w:cs="宋体"/>
          <w:szCs w:val="21"/>
        </w:rPr>
        <w:t>公司(单位)名称(盖章)：</w:t>
      </w:r>
    </w:p>
    <w:p w14:paraId="598C4A4C">
      <w:pPr>
        <w:widowControl/>
        <w:spacing w:beforeLines="50" w:line="360" w:lineRule="auto"/>
        <w:ind w:firstLine="420" w:firstLineChars="200"/>
        <w:jc w:val="left"/>
        <w:rPr>
          <w:rFonts w:ascii="宋体" w:hAnsi="宋体" w:cs="宋体"/>
          <w:szCs w:val="21"/>
        </w:rPr>
      </w:pPr>
      <w:r>
        <w:rPr>
          <w:rFonts w:hint="eastAsia" w:ascii="宋体" w:hAnsi="宋体" w:cs="宋体"/>
          <w:szCs w:val="21"/>
        </w:rPr>
        <w:t>机构代码、注册登记机构、日期、有效期、注册资本、地 址、经济行业、经济性质</w:t>
      </w:r>
    </w:p>
    <w:p w14:paraId="7B242B8F">
      <w:pPr>
        <w:widowControl/>
        <w:spacing w:beforeLines="50" w:line="360" w:lineRule="auto"/>
        <w:ind w:firstLine="420" w:firstLineChars="200"/>
        <w:jc w:val="left"/>
        <w:rPr>
          <w:rFonts w:ascii="宋体" w:hAnsi="宋体" w:cs="宋体"/>
          <w:szCs w:val="21"/>
        </w:rPr>
      </w:pPr>
      <w:r>
        <w:rPr>
          <w:rFonts w:hint="eastAsia" w:ascii="宋体" w:hAnsi="宋体" w:cs="宋体"/>
          <w:szCs w:val="21"/>
        </w:rPr>
        <w:t>法定代表人(负责人)姓名(签字)、身份证号、手机号:</w:t>
      </w:r>
    </w:p>
    <w:p w14:paraId="74EC57D3">
      <w:pPr>
        <w:adjustRightInd w:val="0"/>
        <w:snapToGrid w:val="0"/>
        <w:spacing w:line="360" w:lineRule="auto"/>
        <w:ind w:firstLine="420" w:firstLineChars="200"/>
        <w:rPr>
          <w:rFonts w:ascii="宋体" w:hAnsi="宋体"/>
        </w:rPr>
      </w:pPr>
      <w:r>
        <w:rPr>
          <w:rFonts w:hint="eastAsia" w:ascii="宋体" w:hAnsi="宋体" w:cs="宋体"/>
          <w:szCs w:val="21"/>
        </w:rPr>
        <w:t>授权代表人姓名(签字)、身份证号、手机号:</w:t>
      </w:r>
    </w:p>
    <w:p w14:paraId="2CB93149">
      <w:pPr>
        <w:adjustRightInd w:val="0"/>
        <w:snapToGrid w:val="0"/>
        <w:spacing w:line="360" w:lineRule="auto"/>
        <w:ind w:firstLine="420" w:firstLineChars="200"/>
        <w:rPr>
          <w:rFonts w:ascii="宋体" w:hAnsi="宋体"/>
          <w:color w:val="auto"/>
          <w:highlight w:val="none"/>
        </w:rPr>
      </w:pPr>
    </w:p>
    <w:p w14:paraId="5FE08C2B">
      <w:pPr>
        <w:adjustRightInd w:val="0"/>
        <w:snapToGrid w:val="0"/>
        <w:spacing w:line="360" w:lineRule="auto"/>
        <w:rPr>
          <w:rFonts w:ascii="宋体" w:hAnsi="宋体"/>
          <w:color w:val="auto"/>
          <w:highlight w:val="none"/>
        </w:rPr>
      </w:pPr>
    </w:p>
    <w:p w14:paraId="14BF9862">
      <w:pPr>
        <w:adjustRightInd w:val="0"/>
        <w:snapToGrid w:val="0"/>
        <w:spacing w:line="360" w:lineRule="auto"/>
        <w:rPr>
          <w:rFonts w:hint="eastAsia" w:ascii="宋体" w:hAnsi="宋体"/>
          <w:color w:val="auto"/>
          <w:highlight w:val="none"/>
        </w:rPr>
      </w:pPr>
    </w:p>
    <w:p w14:paraId="43844AAD">
      <w:pPr>
        <w:adjustRightInd w:val="0"/>
        <w:snapToGrid w:val="0"/>
        <w:spacing w:line="360" w:lineRule="auto"/>
        <w:rPr>
          <w:rFonts w:hint="eastAsia" w:ascii="宋体" w:hAnsi="宋体"/>
          <w:color w:val="auto"/>
          <w:highlight w:val="none"/>
        </w:rPr>
      </w:pPr>
    </w:p>
    <w:p w14:paraId="4EFAB397">
      <w:pPr>
        <w:rPr>
          <w:rFonts w:ascii="宋体" w:hAnsi="宋体" w:cs="宋体"/>
          <w:color w:val="auto"/>
          <w:kern w:val="0"/>
          <w:szCs w:val="21"/>
          <w:highlight w:val="none"/>
        </w:rPr>
      </w:pPr>
      <w:bookmarkStart w:id="401" w:name="_Toc22201164"/>
      <w:bookmarkStart w:id="402" w:name="_Toc13816"/>
      <w:bookmarkStart w:id="403" w:name="_Toc34637806"/>
      <w:bookmarkStart w:id="404" w:name="_Toc17890"/>
      <w:bookmarkStart w:id="405" w:name="_Toc74694346"/>
      <w:r>
        <w:rPr>
          <w:rFonts w:hint="eastAsia" w:ascii="宋体" w:hAnsi="宋体" w:cs="宋体"/>
          <w:color w:val="auto"/>
          <w:spacing w:val="6"/>
          <w:kern w:val="0"/>
          <w:highlight w:val="none"/>
        </w:rPr>
        <w:br w:type="page"/>
      </w:r>
      <w:bookmarkEnd w:id="401"/>
      <w:bookmarkEnd w:id="402"/>
      <w:bookmarkEnd w:id="403"/>
      <w:bookmarkEnd w:id="404"/>
      <w:bookmarkEnd w:id="405"/>
    </w:p>
    <w:p w14:paraId="313C1675">
      <w:pPr>
        <w:adjustRightInd w:val="0"/>
        <w:snapToGrid w:val="0"/>
        <w:spacing w:line="360" w:lineRule="auto"/>
        <w:ind w:firstLine="1680" w:firstLineChars="600"/>
        <w:rPr>
          <w:rFonts w:ascii="黑体" w:hAnsi="黑体" w:eastAsia="黑体"/>
          <w:color w:val="auto"/>
          <w:sz w:val="28"/>
          <w:szCs w:val="28"/>
          <w:highlight w:val="none"/>
        </w:rPr>
      </w:pPr>
      <w:bookmarkStart w:id="406" w:name="_Toc1148"/>
      <w:bookmarkStart w:id="407" w:name="_Toc24529"/>
      <w:bookmarkStart w:id="408" w:name="_Toc209084354"/>
      <w:bookmarkStart w:id="409" w:name="_Toc20440"/>
      <w:bookmarkStart w:id="410" w:name="_Toc23394"/>
      <w:bookmarkStart w:id="411" w:name="_Toc24986"/>
      <w:bookmarkStart w:id="412" w:name="_Toc11577"/>
      <w:bookmarkStart w:id="413" w:name="_Toc145374023"/>
      <w:bookmarkStart w:id="414" w:name="_Toc27943"/>
      <w:bookmarkStart w:id="415" w:name="_Toc34637810"/>
      <w:bookmarkStart w:id="416" w:name="_Toc74694350"/>
      <w:r>
        <w:rPr>
          <w:rFonts w:hint="eastAsia" w:ascii="黑体" w:hAnsi="黑体" w:eastAsia="黑体"/>
          <w:color w:val="auto"/>
          <w:sz w:val="28"/>
          <w:szCs w:val="28"/>
          <w:highlight w:val="none"/>
        </w:rPr>
        <w:t>八、</w:t>
      </w:r>
      <w:r>
        <w:rPr>
          <w:rFonts w:hint="eastAsia" w:ascii="黑体" w:hAnsi="宋体" w:eastAsia="黑体"/>
          <w:color w:val="auto"/>
          <w:sz w:val="28"/>
          <w:szCs w:val="28"/>
          <w:highlight w:val="none"/>
        </w:rPr>
        <w:t>供应商提供的资格证明文件</w:t>
      </w:r>
      <w:bookmarkEnd w:id="406"/>
      <w:bookmarkEnd w:id="407"/>
      <w:bookmarkEnd w:id="408"/>
      <w:bookmarkEnd w:id="409"/>
      <w:bookmarkEnd w:id="410"/>
      <w:bookmarkEnd w:id="411"/>
      <w:bookmarkEnd w:id="412"/>
      <w:bookmarkEnd w:id="413"/>
    </w:p>
    <w:p w14:paraId="11A0E9F1">
      <w:pPr>
        <w:adjustRightInd w:val="0"/>
        <w:snapToGrid w:val="0"/>
        <w:spacing w:beforeLines="50" w:line="360" w:lineRule="auto"/>
        <w:rPr>
          <w:rFonts w:ascii="黑体" w:hAnsi="仿宋" w:cs="宋体"/>
          <w:color w:val="auto"/>
          <w:szCs w:val="21"/>
          <w:highlight w:val="none"/>
        </w:rPr>
      </w:pPr>
      <w:bookmarkStart w:id="417" w:name="_Toc75289286"/>
      <w:bookmarkStart w:id="418" w:name="_Toc15888534"/>
      <w:r>
        <w:rPr>
          <w:rFonts w:hint="eastAsia" w:ascii="黑体" w:hAnsi="仿宋" w:cs="宋体"/>
          <w:color w:val="auto"/>
          <w:szCs w:val="21"/>
          <w:highlight w:val="none"/>
        </w:rPr>
        <w:t>附件8-1</w:t>
      </w:r>
      <w:bookmarkEnd w:id="417"/>
      <w:bookmarkEnd w:id="418"/>
      <w:r>
        <w:rPr>
          <w:rFonts w:hint="eastAsia" w:ascii="黑体" w:hAnsi="仿宋" w:cs="宋体"/>
          <w:color w:val="auto"/>
          <w:szCs w:val="21"/>
          <w:highlight w:val="none"/>
        </w:rPr>
        <w:t>法人或者其他组织的营业执照等主体资格证明文件，自然人的身份证明</w:t>
      </w:r>
    </w:p>
    <w:p w14:paraId="734EEDFE">
      <w:pPr>
        <w:pStyle w:val="4"/>
        <w:jc w:val="center"/>
        <w:rPr>
          <w:rFonts w:ascii="黑体" w:hAnsi="黑体" w:eastAsia="黑体" w:cs="宋体"/>
          <w:color w:val="auto"/>
          <w:sz w:val="28"/>
          <w:szCs w:val="28"/>
          <w:highlight w:val="none"/>
        </w:rPr>
      </w:pPr>
      <w:bookmarkStart w:id="419" w:name="_Toc27220"/>
      <w:bookmarkStart w:id="420" w:name="_Toc145374024"/>
      <w:bookmarkStart w:id="421" w:name="_Toc24811"/>
      <w:bookmarkStart w:id="422" w:name="_Toc9125"/>
      <w:bookmarkStart w:id="423" w:name="_Toc111543599"/>
      <w:bookmarkStart w:id="424" w:name="_Toc209084355"/>
      <w:bookmarkStart w:id="425" w:name="_Toc114036767"/>
      <w:bookmarkStart w:id="426" w:name="_Toc24034"/>
      <w:bookmarkStart w:id="427" w:name="_Toc124632200"/>
      <w:bookmarkStart w:id="428" w:name="_Toc26075"/>
      <w:bookmarkStart w:id="429" w:name="_Toc13273"/>
      <w:bookmarkStart w:id="430" w:name="_Toc112704996"/>
      <w:bookmarkStart w:id="431" w:name="_Toc117192503"/>
      <w:bookmarkStart w:id="432" w:name="_Toc11619"/>
      <w:r>
        <w:rPr>
          <w:rFonts w:hint="eastAsia" w:ascii="黑体" w:hAnsi="仿宋" w:eastAsia="黑体" w:cs="宋体"/>
          <w:b w:val="0"/>
          <w:color w:val="auto"/>
          <w:sz w:val="28"/>
          <w:szCs w:val="28"/>
          <w:highlight w:val="none"/>
        </w:rPr>
        <w:t>法人或者其他组织的营业执照等主体资格证明文件，自然人的身份证明</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5957D0BD">
      <w:pPr>
        <w:adjustRightInd w:val="0"/>
        <w:snapToGrid w:val="0"/>
        <w:spacing w:line="360" w:lineRule="auto"/>
        <w:ind w:firstLine="420" w:firstLineChars="200"/>
        <w:rPr>
          <w:rFonts w:ascii="宋体" w:hAnsi="宋体" w:cs="宋体"/>
          <w:color w:val="auto"/>
          <w:szCs w:val="21"/>
          <w:highlight w:val="none"/>
        </w:rPr>
      </w:pPr>
    </w:p>
    <w:p w14:paraId="7451F1CA">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19757979">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02C3AD81">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1DDC36E2">
      <w:pPr>
        <w:spacing w:line="360" w:lineRule="auto"/>
        <w:ind w:firstLine="420" w:firstLineChars="200"/>
        <w:rPr>
          <w:rFonts w:ascii="黑体" w:hAnsi="黑体" w:eastAsia="黑体"/>
          <w:color w:val="auto"/>
          <w:sz w:val="28"/>
          <w:szCs w:val="28"/>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r>
        <w:rPr>
          <w:rFonts w:hint="eastAsia" w:ascii="黑体" w:hAnsi="黑体" w:eastAsia="黑体"/>
          <w:color w:val="auto"/>
          <w:sz w:val="28"/>
          <w:szCs w:val="28"/>
          <w:highlight w:val="none"/>
        </w:rPr>
        <w:br w:type="page"/>
      </w:r>
    </w:p>
    <w:p w14:paraId="3F369497">
      <w:pPr>
        <w:rPr>
          <w:rFonts w:ascii="黑体" w:hAnsi="仿宋" w:cs="宋体"/>
          <w:color w:val="auto"/>
          <w:szCs w:val="21"/>
          <w:highlight w:val="none"/>
        </w:rPr>
      </w:pPr>
      <w:r>
        <w:rPr>
          <w:rFonts w:hint="eastAsia" w:ascii="黑体" w:hAnsi="仿宋" w:cs="宋体"/>
          <w:color w:val="auto"/>
          <w:szCs w:val="21"/>
          <w:highlight w:val="none"/>
        </w:rPr>
        <w:t>附件8-2 湖南省政府采购供应商资格承诺函(格式)</w:t>
      </w:r>
    </w:p>
    <w:p w14:paraId="1E970600">
      <w:pPr>
        <w:pStyle w:val="4"/>
        <w:jc w:val="center"/>
        <w:rPr>
          <w:rFonts w:ascii="宋体" w:hAnsi="宋体" w:cs="宋体"/>
          <w:color w:val="auto"/>
          <w:szCs w:val="21"/>
          <w:highlight w:val="none"/>
        </w:rPr>
      </w:pPr>
      <w:bookmarkStart w:id="433" w:name="_Toc145374025"/>
      <w:bookmarkStart w:id="434" w:name="_Toc17368"/>
      <w:bookmarkStart w:id="435" w:name="_Toc112704997"/>
      <w:bookmarkStart w:id="436" w:name="_Toc12584"/>
      <w:bookmarkStart w:id="437" w:name="_Toc25242"/>
      <w:bookmarkStart w:id="438" w:name="_Toc22009"/>
      <w:bookmarkStart w:id="439" w:name="_Toc111543600"/>
      <w:bookmarkStart w:id="440" w:name="_Toc117192504"/>
      <w:bookmarkStart w:id="441" w:name="_Toc4230"/>
      <w:bookmarkStart w:id="442" w:name="_Toc209084356"/>
      <w:bookmarkStart w:id="443" w:name="_Toc124632201"/>
      <w:bookmarkStart w:id="444" w:name="_Toc6362"/>
      <w:bookmarkStart w:id="445" w:name="_Toc19583"/>
      <w:bookmarkStart w:id="446" w:name="_Toc114036768"/>
      <w:r>
        <w:rPr>
          <w:rFonts w:hint="eastAsia" w:ascii="黑体" w:hAnsi="仿宋" w:eastAsia="黑体" w:cs="宋体"/>
          <w:b w:val="0"/>
          <w:color w:val="auto"/>
          <w:sz w:val="28"/>
          <w:szCs w:val="28"/>
          <w:highlight w:val="none"/>
        </w:rPr>
        <w:t>湖南省政府采购供应商资格承诺函(格式)</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1598BB74">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DC24A73">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3243F57F">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06D7A342">
      <w:pPr>
        <w:widowControl/>
        <w:spacing w:beforeLines="50" w:line="360" w:lineRule="auto"/>
        <w:ind w:firstLine="420" w:firstLineChars="200"/>
        <w:jc w:val="left"/>
        <w:rPr>
          <w:rFonts w:ascii="宋体" w:hAnsi="宋体" w:cs="宋体"/>
          <w:color w:val="auto"/>
          <w:szCs w:val="21"/>
          <w:highlight w:val="none"/>
        </w:rPr>
      </w:pPr>
    </w:p>
    <w:p w14:paraId="54C7EEA4">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67414CD4">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7D8FC24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3ABF9423">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授权代表人姓名(签字)、身份证号、手机号:</w:t>
      </w:r>
    </w:p>
    <w:p w14:paraId="2A0B8BD4">
      <w:pPr>
        <w:rPr>
          <w:rFonts w:ascii="黑体" w:hAnsi="黑体" w:eastAsia="黑体"/>
          <w:color w:val="auto"/>
          <w:sz w:val="28"/>
          <w:szCs w:val="28"/>
          <w:highlight w:val="none"/>
        </w:rPr>
      </w:pPr>
      <w:r>
        <w:rPr>
          <w:rFonts w:hint="eastAsia" w:ascii="黑体" w:hAnsi="黑体" w:eastAsia="黑体"/>
          <w:color w:val="auto"/>
          <w:sz w:val="28"/>
          <w:szCs w:val="28"/>
          <w:highlight w:val="none"/>
        </w:rPr>
        <w:br w:type="page"/>
      </w:r>
    </w:p>
    <w:p w14:paraId="08096FF8">
      <w:pPr>
        <w:rPr>
          <w:rFonts w:ascii="黑体" w:hAnsi="仿宋" w:cs="宋体"/>
          <w:color w:val="auto"/>
          <w:szCs w:val="21"/>
          <w:highlight w:val="none"/>
        </w:rPr>
      </w:pPr>
      <w:bookmarkStart w:id="447" w:name="_Toc13891"/>
      <w:r>
        <w:rPr>
          <w:rFonts w:hint="eastAsia" w:ascii="黑体" w:hAnsi="仿宋" w:cs="宋体"/>
          <w:color w:val="auto"/>
          <w:szCs w:val="21"/>
          <w:highlight w:val="none"/>
        </w:rPr>
        <w:t>附件8-3 符合特定资格条件证明材料复印件或者情况说明</w:t>
      </w:r>
      <w:bookmarkEnd w:id="447"/>
    </w:p>
    <w:p w14:paraId="2989D6EF">
      <w:pPr>
        <w:pStyle w:val="4"/>
        <w:jc w:val="center"/>
        <w:rPr>
          <w:rFonts w:ascii="黑体" w:hAnsi="仿宋" w:eastAsia="黑体" w:cs="宋体"/>
          <w:b w:val="0"/>
          <w:color w:val="auto"/>
          <w:sz w:val="28"/>
          <w:szCs w:val="28"/>
          <w:highlight w:val="none"/>
        </w:rPr>
      </w:pPr>
      <w:bookmarkStart w:id="448" w:name="_Toc114036769"/>
      <w:bookmarkStart w:id="449" w:name="_Toc17907"/>
      <w:bookmarkStart w:id="450" w:name="_Toc11359"/>
      <w:bookmarkStart w:id="451" w:name="_Toc112704998"/>
      <w:bookmarkStart w:id="452" w:name="_Toc15486"/>
      <w:bookmarkStart w:id="453" w:name="_Toc19877"/>
      <w:bookmarkStart w:id="454" w:name="_Toc145374026"/>
      <w:bookmarkStart w:id="455" w:name="_Toc111543601"/>
      <w:bookmarkStart w:id="456" w:name="_Toc25218"/>
      <w:bookmarkStart w:id="457" w:name="_Toc28404"/>
      <w:bookmarkStart w:id="458" w:name="_Toc124632202"/>
      <w:bookmarkStart w:id="459" w:name="_Toc24499"/>
      <w:bookmarkStart w:id="460" w:name="_Toc117192505"/>
      <w:bookmarkStart w:id="461" w:name="_Toc209084357"/>
      <w:r>
        <w:rPr>
          <w:rFonts w:hint="eastAsia" w:ascii="黑体" w:hAnsi="仿宋" w:eastAsia="黑体" w:cs="宋体"/>
          <w:b w:val="0"/>
          <w:color w:val="auto"/>
          <w:sz w:val="28"/>
          <w:szCs w:val="28"/>
          <w:highlight w:val="none"/>
        </w:rPr>
        <w:t>符合特定资格条件证明材料复印件或者情况说明</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45A0D339">
      <w:pPr>
        <w:widowControl/>
        <w:adjustRightInd w:val="0"/>
        <w:snapToGrid w:val="0"/>
        <w:spacing w:line="360" w:lineRule="auto"/>
        <w:ind w:firstLine="420" w:firstLineChars="200"/>
        <w:jc w:val="left"/>
        <w:rPr>
          <w:rFonts w:ascii="宋体" w:hAnsi="宋体" w:cs="宋体"/>
          <w:color w:val="auto"/>
          <w:szCs w:val="21"/>
          <w:highlight w:val="none"/>
        </w:rPr>
      </w:pPr>
    </w:p>
    <w:p w14:paraId="38B670EA">
      <w:pPr>
        <w:rPr>
          <w:rFonts w:ascii="黑体" w:hAnsi="黑体" w:eastAsia="黑体"/>
          <w:color w:val="auto"/>
          <w:sz w:val="28"/>
          <w:szCs w:val="28"/>
          <w:highlight w:val="none"/>
        </w:rPr>
      </w:pPr>
      <w:r>
        <w:rPr>
          <w:rFonts w:hint="eastAsia" w:ascii="宋体" w:hAnsi="宋体" w:cs="宋体"/>
          <w:color w:val="auto"/>
          <w:szCs w:val="21"/>
          <w:highlight w:val="none"/>
        </w:rPr>
        <w:t>注：按第二章第3</w:t>
      </w:r>
      <w:r>
        <w:rPr>
          <w:rFonts w:ascii="宋体" w:hAnsi="宋体" w:cs="宋体"/>
          <w:color w:val="auto"/>
          <w:szCs w:val="21"/>
          <w:highlight w:val="none"/>
        </w:rPr>
        <w:t>.1</w:t>
      </w:r>
      <w:r>
        <w:rPr>
          <w:rFonts w:hint="eastAsia" w:ascii="宋体" w:hAnsi="宋体" w:cs="宋体"/>
          <w:color w:val="auto"/>
          <w:szCs w:val="21"/>
          <w:highlight w:val="none"/>
        </w:rPr>
        <w:t>项要求提供。</w:t>
      </w:r>
      <w:r>
        <w:rPr>
          <w:rFonts w:hint="eastAsia" w:ascii="黑体" w:hAnsi="黑体" w:eastAsia="黑体"/>
          <w:color w:val="auto"/>
          <w:sz w:val="28"/>
          <w:szCs w:val="28"/>
          <w:highlight w:val="none"/>
        </w:rPr>
        <w:br w:type="page"/>
      </w:r>
    </w:p>
    <w:p w14:paraId="3CDC6375">
      <w:pPr>
        <w:rPr>
          <w:rFonts w:ascii="黑体" w:hAnsi="宋体" w:cs="宋体"/>
          <w:color w:val="auto"/>
          <w:szCs w:val="21"/>
          <w:highlight w:val="none"/>
        </w:rPr>
      </w:pPr>
      <w:bookmarkStart w:id="462" w:name="_Toc75289289"/>
      <w:bookmarkStart w:id="463" w:name="_Toc15888537"/>
      <w:r>
        <w:rPr>
          <w:rFonts w:hint="eastAsia" w:ascii="黑体" w:hAnsi="仿宋" w:cs="宋体"/>
          <w:color w:val="auto"/>
          <w:szCs w:val="21"/>
          <w:highlight w:val="none"/>
        </w:rPr>
        <w:t>附件8-4 联合体协议书（格式）</w:t>
      </w:r>
      <w:bookmarkEnd w:id="462"/>
      <w:bookmarkEnd w:id="463"/>
    </w:p>
    <w:p w14:paraId="26487368">
      <w:pPr>
        <w:pStyle w:val="4"/>
        <w:jc w:val="center"/>
        <w:rPr>
          <w:rFonts w:ascii="宋体" w:hAnsi="宋体"/>
          <w:b w:val="0"/>
          <w:color w:val="auto"/>
          <w:szCs w:val="21"/>
          <w:highlight w:val="none"/>
        </w:rPr>
      </w:pPr>
      <w:bookmarkStart w:id="464" w:name="_Toc77676526"/>
      <w:bookmarkStart w:id="465" w:name="_Toc26434"/>
      <w:bookmarkStart w:id="466" w:name="_Toc75289607"/>
      <w:bookmarkStart w:id="467" w:name="_Toc22365"/>
      <w:bookmarkStart w:id="468" w:name="_Toc85972988"/>
      <w:bookmarkStart w:id="469" w:name="_Toc77199461"/>
      <w:bookmarkStart w:id="470" w:name="_Toc4140"/>
      <w:bookmarkStart w:id="471" w:name="_Toc94367938"/>
      <w:bookmarkStart w:id="472" w:name="_Toc16409"/>
      <w:bookmarkStart w:id="473" w:name="_Toc78314322"/>
      <w:bookmarkStart w:id="474" w:name="_Toc78450015"/>
      <w:bookmarkStart w:id="475" w:name="_Toc95601423"/>
      <w:bookmarkStart w:id="476" w:name="_Toc124632203"/>
      <w:bookmarkStart w:id="477" w:name="_Toc2762"/>
      <w:bookmarkStart w:id="478" w:name="_Toc100670482"/>
      <w:bookmarkStart w:id="479" w:name="_Toc145374027"/>
      <w:bookmarkStart w:id="480" w:name="_Toc117192506"/>
      <w:bookmarkStart w:id="481" w:name="_Toc114036770"/>
      <w:bookmarkStart w:id="482" w:name="_Toc30013"/>
      <w:bookmarkStart w:id="483" w:name="_Toc108341997"/>
      <w:bookmarkStart w:id="484" w:name="_Toc613"/>
      <w:bookmarkStart w:id="485" w:name="_Toc100670730"/>
      <w:bookmarkStart w:id="486" w:name="_Toc25195"/>
      <w:bookmarkStart w:id="487" w:name="_Toc209084358"/>
      <w:bookmarkStart w:id="488" w:name="_Toc112704999"/>
      <w:r>
        <w:rPr>
          <w:rFonts w:hint="eastAsia" w:ascii="黑体" w:hAnsi="仿宋" w:eastAsia="黑体" w:cs="宋体"/>
          <w:b w:val="0"/>
          <w:color w:val="auto"/>
          <w:sz w:val="28"/>
          <w:szCs w:val="28"/>
          <w:highlight w:val="none"/>
        </w:rPr>
        <w:t>联合体协议书</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398D12B0">
      <w:pPr>
        <w:adjustRightInd w:val="0"/>
        <w:snapToGrid w:val="0"/>
        <w:spacing w:line="360" w:lineRule="auto"/>
        <w:rPr>
          <w:rFonts w:ascii="宋体" w:hAnsi="宋体"/>
          <w:color w:val="auto"/>
          <w:szCs w:val="21"/>
          <w:highlight w:val="none"/>
        </w:rPr>
      </w:pPr>
    </w:p>
    <w:p w14:paraId="73FBAB0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致（采购人、采购代理机构）：</w:t>
      </w:r>
    </w:p>
    <w:p w14:paraId="58CEF35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经研究，我们决定自愿组成联合体共同参加（项目名称</w:t>
      </w:r>
      <w:r>
        <w:rPr>
          <w:rFonts w:ascii="宋体" w:hAnsi="宋体"/>
          <w:color w:val="auto"/>
          <w:szCs w:val="21"/>
          <w:highlight w:val="none"/>
        </w:rPr>
        <w:t>）</w:t>
      </w:r>
      <w:r>
        <w:rPr>
          <w:rFonts w:hint="eastAsia" w:ascii="宋体" w:hAnsi="宋体"/>
          <w:color w:val="auto"/>
          <w:szCs w:val="21"/>
          <w:highlight w:val="none"/>
        </w:rPr>
        <w:t>（政府采购计划编号： ）项目的投标。现就联合体投标事宜订立如下协议：</w:t>
      </w:r>
    </w:p>
    <w:p w14:paraId="4CA2A5EF">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70BCB1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二、（某成员单位名称）为（联合体名称）牵头人。</w:t>
      </w:r>
    </w:p>
    <w:p w14:paraId="07AACF9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002C9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1B3DF462">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五、联合体各成员单位内部的职责分工如下：。按照本条上述分工，联合体各成员的协议合同金额占联合体协议合同总金额比例如下：。</w:t>
      </w:r>
    </w:p>
    <w:p w14:paraId="3DFD12D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31352E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七、本协议书一式份，联合体成员和采购人各执一份。</w:t>
      </w:r>
    </w:p>
    <w:p w14:paraId="75DBC000">
      <w:pPr>
        <w:adjustRightInd w:val="0"/>
        <w:snapToGrid w:val="0"/>
        <w:spacing w:line="360" w:lineRule="auto"/>
        <w:rPr>
          <w:rFonts w:ascii="宋体" w:hAnsi="宋体"/>
          <w:color w:val="auto"/>
          <w:szCs w:val="21"/>
          <w:highlight w:val="none"/>
        </w:rPr>
      </w:pPr>
    </w:p>
    <w:p w14:paraId="3ABAE40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6DFBE8B8">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p>
    <w:p w14:paraId="47A48BE8">
      <w:pPr>
        <w:adjustRightInd w:val="0"/>
        <w:snapToGrid w:val="0"/>
        <w:spacing w:line="360" w:lineRule="auto"/>
        <w:rPr>
          <w:rFonts w:ascii="宋体" w:hAnsi="宋体"/>
          <w:color w:val="auto"/>
          <w:szCs w:val="21"/>
          <w:highlight w:val="none"/>
        </w:rPr>
      </w:pPr>
    </w:p>
    <w:p w14:paraId="3F5E4F1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16E08F68">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p>
    <w:p w14:paraId="1442A18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3BB2D0E4">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p>
    <w:p w14:paraId="6B670FA4">
      <w:pPr>
        <w:adjustRightInd w:val="0"/>
        <w:snapToGrid w:val="0"/>
        <w:spacing w:line="360" w:lineRule="auto"/>
        <w:rPr>
          <w:rFonts w:ascii="宋体" w:hAnsi="宋体"/>
          <w:color w:val="auto"/>
          <w:szCs w:val="21"/>
          <w:highlight w:val="none"/>
        </w:rPr>
      </w:pPr>
      <w:r>
        <w:rPr>
          <w:rFonts w:ascii="宋体" w:hAnsi="宋体"/>
          <w:color w:val="auto"/>
          <w:szCs w:val="21"/>
          <w:highlight w:val="none"/>
        </w:rPr>
        <w:t>…</w:t>
      </w:r>
    </w:p>
    <w:p w14:paraId="27C7CBC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日期：年月日  </w:t>
      </w:r>
    </w:p>
    <w:p w14:paraId="2C66E521">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注：1.</w:t>
      </w:r>
      <w:r>
        <w:rPr>
          <w:rFonts w:hint="eastAsia" w:ascii="宋体" w:hAnsi="宋体"/>
          <w:color w:val="auto"/>
          <w:szCs w:val="21"/>
          <w:highlight w:val="none"/>
        </w:rPr>
        <w:t>本协议书由委托代理人签字的，应附授权委托书。</w:t>
      </w:r>
    </w:p>
    <w:p w14:paraId="5F4E5871">
      <w:pPr>
        <w:rPr>
          <w:rFonts w:ascii="黑体" w:hAnsi="黑体" w:eastAsia="黑体"/>
          <w:color w:val="auto"/>
          <w:sz w:val="28"/>
          <w:szCs w:val="28"/>
          <w:highlight w:val="none"/>
        </w:rPr>
      </w:pPr>
      <w:r>
        <w:rPr>
          <w:rFonts w:hint="eastAsia" w:ascii="宋体" w:hAnsi="宋体"/>
          <w:color w:val="auto"/>
          <w:szCs w:val="21"/>
          <w:highlight w:val="none"/>
        </w:rPr>
        <w:t>2.投标人在提交投标文件的截止时间前修改“开标一览表”中的投标报价，影响本协议书第五条的，应同时修改本协议书第五条。否则，评审时价格评审优惠不予以考虑。</w:t>
      </w:r>
      <w:r>
        <w:rPr>
          <w:rFonts w:hint="eastAsia" w:ascii="黑体" w:hAnsi="黑体" w:eastAsia="黑体"/>
          <w:color w:val="auto"/>
          <w:sz w:val="28"/>
          <w:szCs w:val="28"/>
          <w:highlight w:val="none"/>
        </w:rPr>
        <w:br w:type="page"/>
      </w:r>
    </w:p>
    <w:p w14:paraId="6A8A8D25">
      <w:pPr>
        <w:pStyle w:val="61"/>
        <w:ind w:firstLine="0" w:firstLineChars="0"/>
        <w:rPr>
          <w:rFonts w:ascii="黑体" w:hAnsi="仿宋" w:eastAsia="黑体" w:cs="宋体"/>
          <w:bCs/>
          <w:color w:val="auto"/>
          <w:szCs w:val="21"/>
          <w:highlight w:val="none"/>
        </w:rPr>
      </w:pPr>
      <w:r>
        <w:rPr>
          <w:rFonts w:hint="eastAsia" w:ascii="黑体" w:hAnsi="仿宋" w:eastAsia="黑体" w:cs="宋体"/>
          <w:bCs/>
          <w:color w:val="auto"/>
          <w:szCs w:val="21"/>
          <w:highlight w:val="none"/>
        </w:rPr>
        <w:t>附件8-5 分包承诺（本项目不适用）</w:t>
      </w:r>
    </w:p>
    <w:p w14:paraId="2BF953DA">
      <w:pPr>
        <w:pStyle w:val="61"/>
        <w:rPr>
          <w:rFonts w:ascii="黑体" w:hAnsi="仿宋" w:cs="宋体"/>
          <w:color w:val="auto"/>
          <w:szCs w:val="21"/>
          <w:highlight w:val="none"/>
        </w:rPr>
      </w:pPr>
    </w:p>
    <w:p w14:paraId="12BB1474">
      <w:pPr>
        <w:spacing w:line="360" w:lineRule="auto"/>
        <w:ind w:firstLine="420" w:firstLineChars="200"/>
        <w:rPr>
          <w:rFonts w:ascii="黑体" w:hAnsi="黑体" w:eastAsia="黑体"/>
          <w:color w:val="auto"/>
          <w:sz w:val="28"/>
          <w:szCs w:val="28"/>
          <w:highlight w:val="none"/>
        </w:rPr>
      </w:pPr>
      <w:r>
        <w:rPr>
          <w:rFonts w:hint="eastAsia"/>
          <w:color w:val="auto"/>
          <w:highlight w:val="none"/>
        </w:rPr>
        <w:t>注：采购项目或者采购包属于“预留采购份额”，且要求合同分包的，投标人应当按照招标文件第一章第四条第2款规定提供《分包承诺》，格式自拟。</w:t>
      </w:r>
      <w:r>
        <w:rPr>
          <w:rFonts w:hint="eastAsia" w:ascii="黑体" w:hAnsi="黑体" w:eastAsia="黑体"/>
          <w:color w:val="auto"/>
          <w:sz w:val="28"/>
          <w:szCs w:val="28"/>
          <w:highlight w:val="none"/>
        </w:rPr>
        <w:br w:type="page"/>
      </w:r>
    </w:p>
    <w:p w14:paraId="29B8D3BA">
      <w:pPr>
        <w:pStyle w:val="3"/>
        <w:spacing w:line="240" w:lineRule="auto"/>
        <w:jc w:val="center"/>
        <w:rPr>
          <w:rFonts w:ascii="黑体" w:hAnsi="黑体" w:eastAsia="黑体"/>
          <w:color w:val="auto"/>
          <w:sz w:val="28"/>
          <w:szCs w:val="28"/>
          <w:highlight w:val="none"/>
        </w:rPr>
      </w:pPr>
      <w:bookmarkStart w:id="489" w:name="_Toc209084359"/>
      <w:bookmarkStart w:id="490" w:name="_Toc145374028"/>
      <w:bookmarkStart w:id="491" w:name="_Toc7644"/>
      <w:bookmarkStart w:id="492" w:name="_Toc12470"/>
      <w:bookmarkStart w:id="493" w:name="_Toc21333"/>
      <w:bookmarkStart w:id="494" w:name="_Toc12011"/>
      <w:bookmarkStart w:id="495" w:name="_Toc32217"/>
      <w:bookmarkStart w:id="496" w:name="_Toc3160"/>
      <w:bookmarkStart w:id="497" w:name="_Toc25888"/>
      <w:r>
        <w:rPr>
          <w:rFonts w:hint="eastAsia" w:ascii="黑体" w:hAnsi="黑体" w:eastAsia="黑体"/>
          <w:color w:val="auto"/>
          <w:sz w:val="28"/>
          <w:szCs w:val="28"/>
          <w:highlight w:val="none"/>
        </w:rPr>
        <w:t>九、响应标的符合谈判文件规定的证明文件</w:t>
      </w:r>
      <w:bookmarkEnd w:id="414"/>
      <w:bookmarkEnd w:id="415"/>
      <w:bookmarkEnd w:id="416"/>
      <w:bookmarkEnd w:id="489"/>
      <w:bookmarkEnd w:id="490"/>
      <w:bookmarkEnd w:id="491"/>
      <w:bookmarkEnd w:id="492"/>
      <w:bookmarkEnd w:id="493"/>
      <w:bookmarkEnd w:id="494"/>
      <w:bookmarkEnd w:id="495"/>
      <w:bookmarkEnd w:id="496"/>
      <w:bookmarkEnd w:id="497"/>
    </w:p>
    <w:p w14:paraId="7C64379A">
      <w:pPr>
        <w:adjustRightInd w:val="0"/>
        <w:snapToGrid w:val="0"/>
        <w:spacing w:line="360" w:lineRule="auto"/>
        <w:rPr>
          <w:rFonts w:ascii="宋体" w:hAnsi="宋体"/>
          <w:color w:val="auto"/>
          <w:szCs w:val="21"/>
          <w:highlight w:val="none"/>
        </w:rPr>
      </w:pPr>
    </w:p>
    <w:p w14:paraId="6AD1599E">
      <w:pPr>
        <w:adjustRightInd w:val="0"/>
        <w:snapToGrid w:val="0"/>
        <w:spacing w:line="360" w:lineRule="auto"/>
        <w:rPr>
          <w:rFonts w:ascii="宋体" w:hAnsi="宋体"/>
          <w:color w:val="auto"/>
          <w:highlight w:val="none"/>
        </w:rPr>
      </w:pPr>
      <w:r>
        <w:rPr>
          <w:rFonts w:hint="eastAsia" w:ascii="宋体" w:hAnsi="宋体"/>
          <w:color w:val="auto"/>
          <w:szCs w:val="21"/>
          <w:highlight w:val="none"/>
        </w:rPr>
        <w:t>备注：提供第三章规定的证明材料复印件。</w:t>
      </w:r>
    </w:p>
    <w:p w14:paraId="7EA30D27">
      <w:pPr>
        <w:widowControl/>
        <w:jc w:val="center"/>
        <w:rPr>
          <w:rFonts w:ascii="黑体" w:hAnsi="黑体" w:eastAsia="黑体"/>
          <w:color w:val="auto"/>
          <w:sz w:val="28"/>
          <w:szCs w:val="28"/>
          <w:highlight w:val="none"/>
        </w:rPr>
      </w:pPr>
      <w:r>
        <w:rPr>
          <w:rFonts w:ascii="黑体" w:eastAsia="黑体"/>
          <w:b/>
          <w:bCs/>
          <w:color w:val="auto"/>
          <w:sz w:val="28"/>
          <w:szCs w:val="28"/>
          <w:highlight w:val="none"/>
        </w:rPr>
        <w:br w:type="page"/>
      </w:r>
      <w:bookmarkStart w:id="498" w:name="_Toc34637811"/>
    </w:p>
    <w:p w14:paraId="58E01375">
      <w:pPr>
        <w:pStyle w:val="3"/>
        <w:jc w:val="center"/>
        <w:rPr>
          <w:rFonts w:ascii="黑体" w:hAnsi="黑体" w:eastAsia="黑体"/>
          <w:color w:val="auto"/>
          <w:sz w:val="28"/>
          <w:szCs w:val="28"/>
          <w:highlight w:val="none"/>
        </w:rPr>
      </w:pPr>
      <w:bookmarkStart w:id="499" w:name="_Toc23073"/>
      <w:bookmarkStart w:id="500" w:name="_Toc74694351"/>
      <w:bookmarkStart w:id="501" w:name="_Toc21847"/>
      <w:bookmarkStart w:id="502" w:name="_Toc9268"/>
      <w:bookmarkStart w:id="503" w:name="_Toc13364"/>
      <w:bookmarkStart w:id="504" w:name="_Toc145374029"/>
      <w:bookmarkStart w:id="505" w:name="_Toc28258"/>
      <w:bookmarkStart w:id="506" w:name="_Toc209084360"/>
      <w:bookmarkStart w:id="507" w:name="_Toc24050"/>
      <w:bookmarkStart w:id="508" w:name="_Toc25088"/>
      <w:bookmarkStart w:id="509" w:name="_Toc8514"/>
      <w:r>
        <w:rPr>
          <w:rFonts w:hint="eastAsia" w:ascii="黑体" w:hAnsi="黑体" w:eastAsia="黑体"/>
          <w:color w:val="auto"/>
          <w:sz w:val="28"/>
          <w:szCs w:val="28"/>
          <w:highlight w:val="none"/>
        </w:rPr>
        <w:t>十、</w:t>
      </w:r>
      <w:bookmarkEnd w:id="498"/>
      <w:bookmarkEnd w:id="499"/>
      <w:bookmarkEnd w:id="500"/>
      <w:r>
        <w:rPr>
          <w:rFonts w:hint="eastAsia" w:ascii="黑体" w:hAnsi="黑体" w:eastAsia="黑体"/>
          <w:color w:val="auto"/>
          <w:sz w:val="28"/>
          <w:szCs w:val="28"/>
          <w:highlight w:val="none"/>
        </w:rPr>
        <w:t>供应商认为需提供的其他资料</w:t>
      </w:r>
      <w:bookmarkEnd w:id="501"/>
      <w:bookmarkEnd w:id="502"/>
      <w:bookmarkEnd w:id="503"/>
      <w:bookmarkEnd w:id="504"/>
      <w:bookmarkEnd w:id="505"/>
      <w:bookmarkEnd w:id="506"/>
      <w:bookmarkEnd w:id="507"/>
      <w:bookmarkEnd w:id="508"/>
      <w:bookmarkEnd w:id="509"/>
    </w:p>
    <w:p w14:paraId="3778D379">
      <w:pPr>
        <w:adjustRightInd w:val="0"/>
        <w:snapToGrid w:val="0"/>
        <w:spacing w:line="360" w:lineRule="auto"/>
        <w:rPr>
          <w:rFonts w:ascii="宋体" w:hAnsi="宋体" w:cs="仿宋_GB2312"/>
          <w:color w:val="auto"/>
          <w:szCs w:val="21"/>
          <w:highlight w:val="none"/>
        </w:rPr>
      </w:pPr>
    </w:p>
    <w:p w14:paraId="37212DFD">
      <w:pPr>
        <w:adjustRightInd w:val="0"/>
        <w:snapToGrid w:val="0"/>
        <w:spacing w:beforeLines="50" w:line="360" w:lineRule="auto"/>
        <w:rPr>
          <w:rFonts w:ascii="宋体" w:hAnsi="宋体"/>
          <w:color w:val="auto"/>
          <w:highlight w:val="none"/>
        </w:rPr>
      </w:pPr>
      <w:r>
        <w:rPr>
          <w:rFonts w:hint="eastAsia" w:ascii="宋体" w:hAnsi="宋体"/>
          <w:color w:val="auto"/>
          <w:highlight w:val="none"/>
        </w:rPr>
        <w:t>注：供应商认为需提供的其他资料包括：</w:t>
      </w:r>
    </w:p>
    <w:p w14:paraId="0F75E337">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1.谈判文件第三章采购需求要求的其他资料；</w:t>
      </w:r>
    </w:p>
    <w:p w14:paraId="0FEDD3D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2.谈判文件要求的其他相关资料。</w:t>
      </w:r>
    </w:p>
    <w:p w14:paraId="6324AC0D">
      <w:pPr>
        <w:spacing w:line="360" w:lineRule="exact"/>
        <w:rPr>
          <w:rFonts w:ascii="宋体"/>
          <w:color w:val="auto"/>
          <w:highlight w:val="none"/>
        </w:rPr>
      </w:pPr>
    </w:p>
    <w:p w14:paraId="35E7108D">
      <w:pPr>
        <w:spacing w:line="360" w:lineRule="exact"/>
        <w:rPr>
          <w:rFonts w:ascii="宋体"/>
          <w:color w:val="auto"/>
          <w:highlight w:val="none"/>
        </w:rPr>
      </w:pPr>
    </w:p>
    <w:p w14:paraId="77DC2393">
      <w:pPr>
        <w:spacing w:line="360" w:lineRule="exact"/>
        <w:rPr>
          <w:rFonts w:ascii="宋体"/>
          <w:color w:val="auto"/>
          <w:highlight w:val="none"/>
        </w:rPr>
      </w:pPr>
    </w:p>
    <w:p w14:paraId="5680C160">
      <w:pPr>
        <w:rPr>
          <w:color w:val="auto"/>
          <w:highlight w:val="none"/>
        </w:rPr>
      </w:pPr>
    </w:p>
    <w:p w14:paraId="5F4D3A5E">
      <w:pPr>
        <w:widowControl/>
        <w:jc w:val="left"/>
        <w:rPr>
          <w:rFonts w:ascii="黑体" w:hAnsi="宋体" w:eastAsia="黑体"/>
          <w:b/>
          <w:color w:val="auto"/>
          <w:sz w:val="24"/>
          <w:highlight w:val="none"/>
        </w:rPr>
      </w:pPr>
      <w:r>
        <w:rPr>
          <w:rFonts w:ascii="黑体" w:hAnsi="宋体" w:eastAsia="黑体"/>
          <w:b/>
          <w:color w:val="auto"/>
          <w:sz w:val="24"/>
          <w:highlight w:val="none"/>
        </w:rPr>
        <w:br w:type="page"/>
      </w:r>
    </w:p>
    <w:p w14:paraId="0691DFDD">
      <w:pPr>
        <w:adjustRightInd w:val="0"/>
        <w:snapToGrid w:val="0"/>
        <w:jc w:val="center"/>
        <w:outlineLvl w:val="1"/>
        <w:rPr>
          <w:rFonts w:ascii="黑体" w:hAnsi="宋体" w:eastAsia="黑体"/>
          <w:b/>
          <w:color w:val="auto"/>
          <w:sz w:val="24"/>
          <w:highlight w:val="none"/>
        </w:rPr>
      </w:pPr>
      <w:bookmarkStart w:id="510" w:name="_Toc145374030"/>
      <w:bookmarkStart w:id="511" w:name="_Toc25454"/>
      <w:bookmarkStart w:id="512" w:name="_Toc8129"/>
      <w:bookmarkStart w:id="513" w:name="_Toc12918"/>
      <w:bookmarkStart w:id="514" w:name="_Toc3520"/>
      <w:bookmarkStart w:id="515" w:name="_Toc7356"/>
      <w:bookmarkStart w:id="516" w:name="_Toc209084361"/>
      <w:bookmarkStart w:id="517" w:name="_Toc4517"/>
      <w:r>
        <w:rPr>
          <w:rFonts w:hint="eastAsia" w:ascii="黑体" w:hAnsi="黑体" w:eastAsia="黑体"/>
          <w:b/>
          <w:bCs/>
          <w:color w:val="auto"/>
          <w:sz w:val="28"/>
          <w:szCs w:val="28"/>
          <w:highlight w:val="none"/>
        </w:rPr>
        <w:t>十一、最终报价</w:t>
      </w:r>
      <w:bookmarkEnd w:id="510"/>
      <w:bookmarkEnd w:id="511"/>
      <w:bookmarkEnd w:id="512"/>
      <w:bookmarkEnd w:id="513"/>
      <w:bookmarkEnd w:id="514"/>
      <w:bookmarkEnd w:id="515"/>
      <w:bookmarkEnd w:id="516"/>
      <w:bookmarkEnd w:id="517"/>
    </w:p>
    <w:p w14:paraId="6A362962">
      <w:pPr>
        <w:pStyle w:val="3"/>
        <w:rPr>
          <w:rFonts w:ascii="黑体" w:hAnsi="黑体" w:eastAsia="黑体"/>
          <w:b w:val="0"/>
          <w:bCs w:val="0"/>
          <w:color w:val="auto"/>
          <w:sz w:val="32"/>
          <w:highlight w:val="none"/>
        </w:rPr>
      </w:pPr>
    </w:p>
    <w:p w14:paraId="3E9A7B29">
      <w:pPr>
        <w:spacing w:line="360" w:lineRule="exact"/>
        <w:jc w:val="both"/>
        <w:rPr>
          <w:rFonts w:ascii="宋体" w:hAnsi="宋体"/>
          <w:b/>
          <w:bCs/>
          <w:color w:val="auto"/>
          <w:szCs w:val="21"/>
          <w:highlight w:val="none"/>
        </w:rPr>
      </w:pPr>
      <w:bookmarkStart w:id="518" w:name="_Toc107998058"/>
      <w:bookmarkStart w:id="519" w:name="_Toc31330"/>
      <w:bookmarkStart w:id="520" w:name="_Toc108015410"/>
      <w:bookmarkStart w:id="521" w:name="_Toc12487"/>
      <w:r>
        <w:rPr>
          <w:rFonts w:hint="eastAsia" w:ascii="宋体" w:hAnsi="宋体"/>
          <w:b/>
          <w:bCs/>
          <w:color w:val="auto"/>
          <w:szCs w:val="21"/>
          <w:highlight w:val="none"/>
        </w:rPr>
        <w:t>附件</w:t>
      </w:r>
      <w:r>
        <w:rPr>
          <w:rFonts w:ascii="宋体" w:hAnsi="宋体"/>
          <w:b/>
          <w:bCs/>
          <w:color w:val="auto"/>
          <w:szCs w:val="21"/>
          <w:highlight w:val="none"/>
        </w:rPr>
        <w:t>1</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-1 报价表</w:t>
      </w:r>
      <w:bookmarkEnd w:id="518"/>
      <w:bookmarkEnd w:id="519"/>
      <w:bookmarkEnd w:id="520"/>
      <w:bookmarkEnd w:id="521"/>
    </w:p>
    <w:p w14:paraId="209ADD26">
      <w:pPr>
        <w:tabs>
          <w:tab w:val="left" w:pos="1680"/>
        </w:tabs>
        <w:adjustRightInd w:val="0"/>
        <w:snapToGrid w:val="0"/>
        <w:spacing w:line="360" w:lineRule="auto"/>
        <w:jc w:val="center"/>
        <w:rPr>
          <w:rFonts w:hint="eastAsia" w:ascii="宋体" w:hAnsi="宋体" w:cs="宋体"/>
          <w:b/>
          <w:color w:val="auto"/>
          <w:sz w:val="30"/>
          <w:szCs w:val="30"/>
          <w:highlight w:val="none"/>
        </w:rPr>
      </w:pPr>
    </w:p>
    <w:p w14:paraId="2914020D">
      <w:pPr>
        <w:tabs>
          <w:tab w:val="left" w:pos="1680"/>
        </w:tabs>
        <w:adjustRightInd w:val="0"/>
        <w:snapToGrid w:val="0"/>
        <w:spacing w:line="360" w:lineRule="auto"/>
        <w:jc w:val="center"/>
        <w:rPr>
          <w:rFonts w:ascii="宋体" w:hAnsi="宋体" w:cs="宋体"/>
          <w:b/>
          <w:color w:val="auto"/>
          <w:sz w:val="30"/>
          <w:szCs w:val="30"/>
          <w:highlight w:val="none"/>
        </w:rPr>
      </w:pPr>
      <w:r>
        <w:rPr>
          <w:rFonts w:hint="eastAsia" w:ascii="宋体" w:hAnsi="宋体" w:cs="宋体"/>
          <w:b/>
          <w:color w:val="auto"/>
          <w:sz w:val="30"/>
          <w:szCs w:val="30"/>
          <w:highlight w:val="none"/>
        </w:rPr>
        <w:t>报价表（最后报价）</w:t>
      </w:r>
    </w:p>
    <w:p w14:paraId="44ADDC3F">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132673B8">
      <w:pPr>
        <w:adjustRightInd w:val="0"/>
        <w:snapToGrid w:val="0"/>
        <w:spacing w:beforeLines="50" w:line="360" w:lineRule="auto"/>
        <w:rPr>
          <w:rFonts w:ascii="宋体" w:hAnsi="宋体"/>
          <w:b/>
          <w:color w:val="auto"/>
          <w:szCs w:val="21"/>
          <w:highlight w:val="none"/>
        </w:rPr>
      </w:pPr>
      <w:r>
        <w:rPr>
          <w:rFonts w:hint="eastAsia" w:ascii="宋体" w:hAnsi="宋体"/>
          <w:color w:val="auto"/>
          <w:szCs w:val="21"/>
          <w:highlight w:val="none"/>
        </w:rPr>
        <w:t>包号：                   包名称：</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6AB7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00A15E4">
            <w:pPr>
              <w:adjustRightInd w:val="0"/>
              <w:snapToGrid w:val="0"/>
              <w:spacing w:before="156" w:beforeLines="50"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报价</w:t>
            </w:r>
          </w:p>
        </w:tc>
        <w:tc>
          <w:tcPr>
            <w:tcW w:w="3119" w:type="dxa"/>
            <w:noWrap w:val="0"/>
            <w:vAlign w:val="center"/>
          </w:tcPr>
          <w:p w14:paraId="181EC697">
            <w:pPr>
              <w:adjustRightInd w:val="0"/>
              <w:snapToGrid w:val="0"/>
              <w:spacing w:before="156"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1FC74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6EF4A24">
            <w:pPr>
              <w:adjustRightInd w:val="0"/>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7F159804">
            <w:pPr>
              <w:adjustRightInd w:val="0"/>
              <w:snapToGrid w:val="0"/>
              <w:spacing w:before="156" w:beforeLines="50"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3E6CA7C4">
            <w:pPr>
              <w:adjustRightInd w:val="0"/>
              <w:snapToGrid w:val="0"/>
              <w:spacing w:before="156" w:beforeLines="50" w:line="360" w:lineRule="auto"/>
              <w:jc w:val="center"/>
              <w:rPr>
                <w:rFonts w:ascii="宋体" w:hAnsi="宋体"/>
                <w:color w:val="auto"/>
                <w:kern w:val="0"/>
                <w:sz w:val="2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tc>
        <w:tc>
          <w:tcPr>
            <w:tcW w:w="3119" w:type="dxa"/>
            <w:noWrap w:val="0"/>
            <w:vAlign w:val="center"/>
          </w:tcPr>
          <w:p w14:paraId="6E78921F">
            <w:pPr>
              <w:adjustRightInd w:val="0"/>
              <w:snapToGrid w:val="0"/>
              <w:spacing w:before="156" w:beforeLines="50" w:line="360" w:lineRule="auto"/>
              <w:jc w:val="center"/>
              <w:rPr>
                <w:rFonts w:ascii="宋体" w:hAnsi="宋体"/>
                <w:color w:val="auto"/>
                <w:kern w:val="0"/>
                <w:szCs w:val="21"/>
                <w:highlight w:val="none"/>
              </w:rPr>
            </w:pPr>
          </w:p>
        </w:tc>
      </w:tr>
    </w:tbl>
    <w:p w14:paraId="37FEF987">
      <w:pPr>
        <w:adjustRightInd w:val="0"/>
        <w:snapToGrid w:val="0"/>
        <w:spacing w:beforeLines="50" w:line="360" w:lineRule="auto"/>
        <w:rPr>
          <w:rFonts w:ascii="宋体" w:hAnsi="宋体"/>
          <w:bCs/>
          <w:color w:val="auto"/>
          <w:szCs w:val="21"/>
          <w:highlight w:val="none"/>
        </w:rPr>
      </w:pPr>
      <w:r>
        <w:rPr>
          <w:rFonts w:hint="eastAsia" w:ascii="宋体" w:hAnsi="宋体"/>
          <w:bCs/>
          <w:color w:val="auto"/>
          <w:szCs w:val="21"/>
          <w:highlight w:val="none"/>
        </w:rPr>
        <w:t>注：本表须按包填写，一个“包号”一份。</w:t>
      </w:r>
    </w:p>
    <w:p w14:paraId="4540C78C">
      <w:pPr>
        <w:adjustRightInd w:val="0"/>
        <w:snapToGrid w:val="0"/>
        <w:spacing w:line="360" w:lineRule="auto"/>
        <w:rPr>
          <w:rFonts w:ascii="宋体" w:hAnsi="宋体"/>
          <w:color w:val="auto"/>
          <w:szCs w:val="21"/>
          <w:highlight w:val="none"/>
        </w:rPr>
      </w:pPr>
    </w:p>
    <w:p w14:paraId="3F31458D">
      <w:pPr>
        <w:pStyle w:val="61"/>
        <w:rPr>
          <w:color w:val="auto"/>
          <w:highlight w:val="none"/>
        </w:rPr>
      </w:pPr>
    </w:p>
    <w:p w14:paraId="27586CA7">
      <w:pPr>
        <w:adjustRightInd w:val="0"/>
        <w:snapToGrid w:val="0"/>
        <w:spacing w:line="360" w:lineRule="auto"/>
        <w:rPr>
          <w:rFonts w:ascii="宋体" w:hAnsi="宋体"/>
          <w:color w:val="auto"/>
          <w:szCs w:val="21"/>
          <w:highlight w:val="none"/>
        </w:rPr>
      </w:pPr>
    </w:p>
    <w:p w14:paraId="58FD9B6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7896B6BD">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52C277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1FEA6D6">
      <w:pPr>
        <w:adjustRightInd w:val="0"/>
        <w:snapToGrid w:val="0"/>
        <w:spacing w:line="360" w:lineRule="auto"/>
        <w:rPr>
          <w:rFonts w:ascii="宋体" w:hAnsi="宋体" w:cs="宋体"/>
          <w:color w:val="auto"/>
          <w:szCs w:val="21"/>
          <w:highlight w:val="none"/>
        </w:rPr>
      </w:pPr>
    </w:p>
    <w:p w14:paraId="6748D87F">
      <w:pPr>
        <w:pStyle w:val="61"/>
        <w:rPr>
          <w:color w:val="auto"/>
          <w:highlight w:val="none"/>
        </w:rPr>
      </w:pPr>
    </w:p>
    <w:p w14:paraId="321439CE">
      <w:pPr>
        <w:adjustRightInd w:val="0"/>
        <w:snapToGrid w:val="0"/>
        <w:spacing w:line="360" w:lineRule="auto"/>
        <w:ind w:left="-88" w:leftChars="-42" w:firstLine="525" w:firstLineChars="250"/>
        <w:rPr>
          <w:rFonts w:ascii="宋体" w:hAnsi="宋体" w:cs="宋体"/>
          <w:color w:val="auto"/>
          <w:kern w:val="0"/>
          <w:szCs w:val="21"/>
          <w:highlight w:val="none"/>
        </w:rPr>
      </w:pPr>
    </w:p>
    <w:p w14:paraId="1A15C751">
      <w:pPr>
        <w:adjustRightInd w:val="0"/>
        <w:snapToGrid w:val="0"/>
        <w:spacing w:line="360" w:lineRule="auto"/>
        <w:ind w:left="-88" w:leftChars="-42" w:firstLine="525" w:firstLineChars="250"/>
        <w:rPr>
          <w:rFonts w:ascii="宋体" w:hAnsi="宋体" w:cs="宋体"/>
          <w:color w:val="auto"/>
          <w:kern w:val="0"/>
          <w:szCs w:val="21"/>
          <w:highlight w:val="none"/>
        </w:rPr>
      </w:pPr>
    </w:p>
    <w:p w14:paraId="519750F3">
      <w:pPr>
        <w:ind w:firstLine="210" w:firstLineChars="100"/>
        <w:rPr>
          <w:color w:val="auto"/>
          <w:highlight w:val="none"/>
        </w:rPr>
      </w:pPr>
      <w:r>
        <w:rPr>
          <w:rFonts w:hint="eastAsia" w:ascii="宋体" w:hAnsi="宋体" w:cs="宋体"/>
          <w:color w:val="auto"/>
          <w:kern w:val="0"/>
          <w:szCs w:val="21"/>
          <w:highlight w:val="none"/>
        </w:rPr>
        <w:t>说明：最后报价相关内容和表格不得装订在响应文件中，供应商需单独准备，谈判时按谈判小组的要求进行最后报价。</w:t>
      </w:r>
    </w:p>
    <w:sectPr>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20B05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宋体"/>
    <w:panose1 w:val="00000000000000000000"/>
    <w:charset w:val="86"/>
    <w:family w:val="moder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Arial Narrow">
    <w:panose1 w:val="020B0606020202030204"/>
    <w:charset w:val="00"/>
    <w:family w:val="swiss"/>
    <w:pitch w:val="default"/>
    <w:sig w:usb0="00000287" w:usb1="00000800" w:usb2="00000000" w:usb3="00000000" w:csb0="2000009F" w:csb1="DFD70000"/>
  </w:font>
  <w:font w:name="TimesNewRomanPSMT">
    <w:altName w:val="Times New Roman"/>
    <w:panose1 w:val="00000000000000000000"/>
    <w:charset w:val="00"/>
    <w:family w:val="auto"/>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B02D">
    <w:pPr>
      <w:pStyle w:val="29"/>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D16D71">
                          <w:pPr>
                            <w:pStyle w:val="29"/>
                            <w:ind w:left="240" w:right="359" w:rightChars="171" w:hanging="240" w:hangingChars="100"/>
                            <w:jc w:val="center"/>
                          </w:pPr>
                          <w:r>
                            <w:rPr>
                              <w:rStyle w:val="49"/>
                              <w:rFonts w:hint="eastAsia" w:ascii="仿宋_GB2312" w:eastAsia="仿宋_GB2312"/>
                              <w:sz w:val="24"/>
                              <w:szCs w:val="24"/>
                            </w:rPr>
                            <w:t>—</w:t>
                          </w:r>
                          <w:r>
                            <w:rPr>
                              <w:rStyle w:val="49"/>
                              <w:rFonts w:hint="eastAsia" w:ascii="仿宋_GB2312" w:eastAsia="仿宋_GB2312"/>
                              <w:sz w:val="24"/>
                              <w:szCs w:val="24"/>
                            </w:rPr>
                            <w:fldChar w:fldCharType="begin"/>
                          </w:r>
                          <w:r>
                            <w:rPr>
                              <w:rStyle w:val="49"/>
                              <w:rFonts w:hint="eastAsia" w:ascii="仿宋_GB2312" w:eastAsia="仿宋_GB2312"/>
                              <w:sz w:val="24"/>
                              <w:szCs w:val="24"/>
                            </w:rPr>
                            <w:instrText xml:space="preserve"> PAGE </w:instrText>
                          </w:r>
                          <w:r>
                            <w:rPr>
                              <w:rStyle w:val="49"/>
                              <w:rFonts w:hint="eastAsia" w:ascii="仿宋_GB2312" w:eastAsia="仿宋_GB2312"/>
                              <w:sz w:val="24"/>
                              <w:szCs w:val="24"/>
                            </w:rPr>
                            <w:fldChar w:fldCharType="separate"/>
                          </w:r>
                          <w:r>
                            <w:rPr>
                              <w:rStyle w:val="49"/>
                              <w:rFonts w:ascii="仿宋_GB2312" w:eastAsia="仿宋_GB2312"/>
                              <w:sz w:val="24"/>
                              <w:szCs w:val="24"/>
                            </w:rPr>
                            <w:t>53</w:t>
                          </w:r>
                          <w:r>
                            <w:rPr>
                              <w:rStyle w:val="49"/>
                              <w:rFonts w:hint="eastAsia" w:ascii="仿宋_GB2312" w:eastAsia="仿宋_GB2312"/>
                              <w:sz w:val="24"/>
                              <w:szCs w:val="24"/>
                            </w:rPr>
                            <w:fldChar w:fldCharType="end"/>
                          </w:r>
                          <w:r>
                            <w:rPr>
                              <w:rStyle w:val="49"/>
                              <w:rFonts w:hint="eastAsia" w:ascii="仿宋_GB2312" w:eastAsia="仿宋_GB2312"/>
                              <w:sz w:val="24"/>
                              <w:szCs w:val="24"/>
                            </w:rPr>
                            <w:t>—</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WAhFc0BAACn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WAhFc0BAACnAwAADgAAAAAAAAABACAAAAAeAQAAZHJzL2Uy&#10;b0RvYy54bWxQSwUGAAAAAAYABgBZAQAAXQUAAAAA&#10;">
              <v:fill on="f" focussize="0,0"/>
              <v:stroke on="f"/>
              <v:imagedata o:title=""/>
              <o:lock v:ext="edit" aspectratio="f"/>
              <v:textbox inset="0mm,0mm,0mm,0mm" style="mso-fit-shape-to-text:t;">
                <w:txbxContent>
                  <w:p w14:paraId="34D16D71">
                    <w:pPr>
                      <w:pStyle w:val="29"/>
                      <w:ind w:left="240" w:right="359" w:rightChars="171" w:hanging="240" w:hangingChars="100"/>
                      <w:jc w:val="center"/>
                    </w:pPr>
                    <w:r>
                      <w:rPr>
                        <w:rStyle w:val="49"/>
                        <w:rFonts w:hint="eastAsia" w:ascii="仿宋_GB2312" w:eastAsia="仿宋_GB2312"/>
                        <w:sz w:val="24"/>
                        <w:szCs w:val="24"/>
                      </w:rPr>
                      <w:t>—</w:t>
                    </w:r>
                    <w:r>
                      <w:rPr>
                        <w:rStyle w:val="49"/>
                        <w:rFonts w:hint="eastAsia" w:ascii="仿宋_GB2312" w:eastAsia="仿宋_GB2312"/>
                        <w:sz w:val="24"/>
                        <w:szCs w:val="24"/>
                      </w:rPr>
                      <w:fldChar w:fldCharType="begin"/>
                    </w:r>
                    <w:r>
                      <w:rPr>
                        <w:rStyle w:val="49"/>
                        <w:rFonts w:hint="eastAsia" w:ascii="仿宋_GB2312" w:eastAsia="仿宋_GB2312"/>
                        <w:sz w:val="24"/>
                        <w:szCs w:val="24"/>
                      </w:rPr>
                      <w:instrText xml:space="preserve"> PAGE </w:instrText>
                    </w:r>
                    <w:r>
                      <w:rPr>
                        <w:rStyle w:val="49"/>
                        <w:rFonts w:hint="eastAsia" w:ascii="仿宋_GB2312" w:eastAsia="仿宋_GB2312"/>
                        <w:sz w:val="24"/>
                        <w:szCs w:val="24"/>
                      </w:rPr>
                      <w:fldChar w:fldCharType="separate"/>
                    </w:r>
                    <w:r>
                      <w:rPr>
                        <w:rStyle w:val="49"/>
                        <w:rFonts w:ascii="仿宋_GB2312" w:eastAsia="仿宋_GB2312"/>
                        <w:sz w:val="24"/>
                        <w:szCs w:val="24"/>
                      </w:rPr>
                      <w:t>53</w:t>
                    </w:r>
                    <w:r>
                      <w:rPr>
                        <w:rStyle w:val="49"/>
                        <w:rFonts w:hint="eastAsia" w:ascii="仿宋_GB2312" w:eastAsia="仿宋_GB2312"/>
                        <w:sz w:val="24"/>
                        <w:szCs w:val="24"/>
                      </w:rPr>
                      <w:fldChar w:fldCharType="end"/>
                    </w:r>
                    <w:r>
                      <w:rPr>
                        <w:rStyle w:val="49"/>
                        <w:rFonts w:hint="eastAsia" w:ascii="仿宋_GB2312" w:eastAsia="仿宋_GB2312"/>
                        <w:sz w:val="24"/>
                        <w:szCs w:val="24"/>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8206B">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1E8125">
                          <w:pPr>
                            <w:pStyle w:val="29"/>
                            <w:jc w:val="center"/>
                            <w:rPr>
                              <w:rStyle w:val="49"/>
                              <w:rFonts w:ascii="宋体" w:hAnsi="宋体"/>
                              <w:sz w:val="21"/>
                              <w:szCs w:val="21"/>
                            </w:rPr>
                          </w:pPr>
                          <w:r>
                            <w:fldChar w:fldCharType="begin"/>
                          </w:r>
                          <w:r>
                            <w:rPr>
                              <w:rStyle w:val="49"/>
                            </w:rPr>
                            <w:instrText xml:space="preserve">PAGE  </w:instrText>
                          </w:r>
                          <w:r>
                            <w:fldChar w:fldCharType="separate"/>
                          </w:r>
                          <w:r>
                            <w:rPr>
                              <w:rStyle w:val="49"/>
                            </w:rPr>
                            <w:t>62</w:t>
                          </w:r>
                          <w:r>
                            <w:rPr>
                              <w:rFonts w:ascii="宋体" w:hAnsi="宋体"/>
                              <w:sz w:val="21"/>
                              <w:szCs w:val="21"/>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L4mhM0BAACnAwAADgAAAAAAAAABACAAAAAeAQAAZHJzL2Uy&#10;b0RvYy54bWxQSwUGAAAAAAYABgBZAQAAXQUAAAAA&#10;">
              <v:fill on="f" focussize="0,0"/>
              <v:stroke on="f"/>
              <v:imagedata o:title=""/>
              <o:lock v:ext="edit" aspectratio="f"/>
              <v:textbox inset="0mm,0mm,0mm,0mm" style="mso-fit-shape-to-text:t;">
                <w:txbxContent>
                  <w:p w14:paraId="381E8125">
                    <w:pPr>
                      <w:pStyle w:val="29"/>
                      <w:jc w:val="center"/>
                      <w:rPr>
                        <w:rStyle w:val="49"/>
                        <w:rFonts w:ascii="宋体" w:hAnsi="宋体"/>
                        <w:sz w:val="21"/>
                        <w:szCs w:val="21"/>
                      </w:rPr>
                    </w:pPr>
                    <w:r>
                      <w:fldChar w:fldCharType="begin"/>
                    </w:r>
                    <w:r>
                      <w:rPr>
                        <w:rStyle w:val="49"/>
                      </w:rPr>
                      <w:instrText xml:space="preserve">PAGE  </w:instrText>
                    </w:r>
                    <w:r>
                      <w:fldChar w:fldCharType="separate"/>
                    </w:r>
                    <w:r>
                      <w:rPr>
                        <w:rStyle w:val="49"/>
                      </w:rPr>
                      <w:t>62</w:t>
                    </w:r>
                    <w:r>
                      <w:rPr>
                        <w:rFonts w:ascii="宋体" w:hAnsi="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96AC0">
    <w:pPr>
      <w:pStyle w:val="29"/>
      <w:framePr w:wrap="around" w:vAnchor="text" w:hAnchor="margin" w:xAlign="right" w:y="1"/>
      <w:rPr>
        <w:rStyle w:val="49"/>
      </w:rPr>
    </w:pPr>
    <w:r>
      <w:fldChar w:fldCharType="begin"/>
    </w:r>
    <w:r>
      <w:rPr>
        <w:rStyle w:val="49"/>
      </w:rPr>
      <w:instrText xml:space="preserve">PAGE  </w:instrText>
    </w:r>
    <w:r>
      <w:fldChar w:fldCharType="end"/>
    </w:r>
  </w:p>
  <w:p w14:paraId="13DC97FC">
    <w:pPr>
      <w:pStyle w:val="2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CF358"/>
    <w:multiLevelType w:val="singleLevel"/>
    <w:tmpl w:val="0BDCF35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0NmZlNjczZmU2MWM0YmE0MzY1OTM4Njc3YWUwMTYifQ=="/>
    <w:docVar w:name="KSO_WPS_MARK_KEY" w:val="c8626d71-89fb-4105-a539-4cd31f40aba1"/>
  </w:docVars>
  <w:rsids>
    <w:rsidRoot w:val="00052125"/>
    <w:rsid w:val="00000C3A"/>
    <w:rsid w:val="00001203"/>
    <w:rsid w:val="000016F7"/>
    <w:rsid w:val="00001FCF"/>
    <w:rsid w:val="00002A8D"/>
    <w:rsid w:val="0000480E"/>
    <w:rsid w:val="00005C52"/>
    <w:rsid w:val="000079BF"/>
    <w:rsid w:val="00007A5F"/>
    <w:rsid w:val="0001333D"/>
    <w:rsid w:val="00013A1C"/>
    <w:rsid w:val="000144FB"/>
    <w:rsid w:val="00014EE3"/>
    <w:rsid w:val="000152FB"/>
    <w:rsid w:val="00015504"/>
    <w:rsid w:val="00015C39"/>
    <w:rsid w:val="00016276"/>
    <w:rsid w:val="00017675"/>
    <w:rsid w:val="0002077F"/>
    <w:rsid w:val="00020C0C"/>
    <w:rsid w:val="00025034"/>
    <w:rsid w:val="00026785"/>
    <w:rsid w:val="00026C20"/>
    <w:rsid w:val="00030FE0"/>
    <w:rsid w:val="0003268F"/>
    <w:rsid w:val="000343C1"/>
    <w:rsid w:val="00035FB7"/>
    <w:rsid w:val="00036BE8"/>
    <w:rsid w:val="00037BBA"/>
    <w:rsid w:val="00042A1B"/>
    <w:rsid w:val="00043887"/>
    <w:rsid w:val="00044375"/>
    <w:rsid w:val="00045114"/>
    <w:rsid w:val="000509DB"/>
    <w:rsid w:val="00052125"/>
    <w:rsid w:val="00052722"/>
    <w:rsid w:val="0005439A"/>
    <w:rsid w:val="00057592"/>
    <w:rsid w:val="00060D72"/>
    <w:rsid w:val="00063983"/>
    <w:rsid w:val="000647D6"/>
    <w:rsid w:val="0006639E"/>
    <w:rsid w:val="000676EF"/>
    <w:rsid w:val="00067744"/>
    <w:rsid w:val="00067BBB"/>
    <w:rsid w:val="0007017E"/>
    <w:rsid w:val="00070A94"/>
    <w:rsid w:val="00071220"/>
    <w:rsid w:val="00074294"/>
    <w:rsid w:val="000744AA"/>
    <w:rsid w:val="00075456"/>
    <w:rsid w:val="0007557A"/>
    <w:rsid w:val="00075FD2"/>
    <w:rsid w:val="000773F1"/>
    <w:rsid w:val="00077901"/>
    <w:rsid w:val="00082976"/>
    <w:rsid w:val="00082BF4"/>
    <w:rsid w:val="00084AF9"/>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A7EAA"/>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05E"/>
    <w:rsid w:val="00131DE0"/>
    <w:rsid w:val="00133387"/>
    <w:rsid w:val="00133F3C"/>
    <w:rsid w:val="00133F5D"/>
    <w:rsid w:val="00134F4B"/>
    <w:rsid w:val="00135583"/>
    <w:rsid w:val="0014016B"/>
    <w:rsid w:val="0014099B"/>
    <w:rsid w:val="001414BF"/>
    <w:rsid w:val="00144BA5"/>
    <w:rsid w:val="001474A2"/>
    <w:rsid w:val="00151BB7"/>
    <w:rsid w:val="00152AAB"/>
    <w:rsid w:val="0015321C"/>
    <w:rsid w:val="001548C2"/>
    <w:rsid w:val="00154AE5"/>
    <w:rsid w:val="0015646E"/>
    <w:rsid w:val="001601A0"/>
    <w:rsid w:val="00160AD1"/>
    <w:rsid w:val="00161101"/>
    <w:rsid w:val="00161962"/>
    <w:rsid w:val="00163D8E"/>
    <w:rsid w:val="00164C7B"/>
    <w:rsid w:val="00165060"/>
    <w:rsid w:val="0016658A"/>
    <w:rsid w:val="00166A8A"/>
    <w:rsid w:val="00167674"/>
    <w:rsid w:val="00170540"/>
    <w:rsid w:val="00170A85"/>
    <w:rsid w:val="0018129E"/>
    <w:rsid w:val="00184775"/>
    <w:rsid w:val="0018656C"/>
    <w:rsid w:val="0018670C"/>
    <w:rsid w:val="00186AFA"/>
    <w:rsid w:val="00192F68"/>
    <w:rsid w:val="00194C92"/>
    <w:rsid w:val="001950EA"/>
    <w:rsid w:val="001965F6"/>
    <w:rsid w:val="0019792C"/>
    <w:rsid w:val="00197CF0"/>
    <w:rsid w:val="001A28E3"/>
    <w:rsid w:val="001A324E"/>
    <w:rsid w:val="001A43F9"/>
    <w:rsid w:val="001A5EEA"/>
    <w:rsid w:val="001A71DE"/>
    <w:rsid w:val="001A7357"/>
    <w:rsid w:val="001A7B2C"/>
    <w:rsid w:val="001B125E"/>
    <w:rsid w:val="001B22A3"/>
    <w:rsid w:val="001B309B"/>
    <w:rsid w:val="001B50B9"/>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0C2C"/>
    <w:rsid w:val="001E1660"/>
    <w:rsid w:val="001E1BEF"/>
    <w:rsid w:val="001E220C"/>
    <w:rsid w:val="001E356E"/>
    <w:rsid w:val="001E5408"/>
    <w:rsid w:val="001E6917"/>
    <w:rsid w:val="001E7C11"/>
    <w:rsid w:val="001F1199"/>
    <w:rsid w:val="001F15D2"/>
    <w:rsid w:val="001F19BB"/>
    <w:rsid w:val="001F7013"/>
    <w:rsid w:val="002001C9"/>
    <w:rsid w:val="0020210F"/>
    <w:rsid w:val="00203AA5"/>
    <w:rsid w:val="00205A11"/>
    <w:rsid w:val="002063F0"/>
    <w:rsid w:val="002073A4"/>
    <w:rsid w:val="00210B32"/>
    <w:rsid w:val="00213011"/>
    <w:rsid w:val="002214CF"/>
    <w:rsid w:val="002216E8"/>
    <w:rsid w:val="00223E50"/>
    <w:rsid w:val="002248AB"/>
    <w:rsid w:val="00225954"/>
    <w:rsid w:val="00231B52"/>
    <w:rsid w:val="00233005"/>
    <w:rsid w:val="00236874"/>
    <w:rsid w:val="00236B66"/>
    <w:rsid w:val="00237EDC"/>
    <w:rsid w:val="00240183"/>
    <w:rsid w:val="0024222C"/>
    <w:rsid w:val="00243517"/>
    <w:rsid w:val="00244B19"/>
    <w:rsid w:val="00244BEE"/>
    <w:rsid w:val="002453DD"/>
    <w:rsid w:val="002510B6"/>
    <w:rsid w:val="0025125D"/>
    <w:rsid w:val="00251A51"/>
    <w:rsid w:val="00252682"/>
    <w:rsid w:val="00254B7F"/>
    <w:rsid w:val="00257133"/>
    <w:rsid w:val="00260612"/>
    <w:rsid w:val="00261E45"/>
    <w:rsid w:val="00266A08"/>
    <w:rsid w:val="00267F43"/>
    <w:rsid w:val="00267FFE"/>
    <w:rsid w:val="002709FB"/>
    <w:rsid w:val="00272A95"/>
    <w:rsid w:val="0027467E"/>
    <w:rsid w:val="00276DDD"/>
    <w:rsid w:val="002771E4"/>
    <w:rsid w:val="002800BE"/>
    <w:rsid w:val="00280941"/>
    <w:rsid w:val="00281883"/>
    <w:rsid w:val="00281A12"/>
    <w:rsid w:val="00284655"/>
    <w:rsid w:val="0028505E"/>
    <w:rsid w:val="0028527D"/>
    <w:rsid w:val="002852CD"/>
    <w:rsid w:val="0029052D"/>
    <w:rsid w:val="002926C7"/>
    <w:rsid w:val="00295DE8"/>
    <w:rsid w:val="00296A39"/>
    <w:rsid w:val="00297EEE"/>
    <w:rsid w:val="002A067A"/>
    <w:rsid w:val="002A0E49"/>
    <w:rsid w:val="002A4DE9"/>
    <w:rsid w:val="002A4E31"/>
    <w:rsid w:val="002A5356"/>
    <w:rsid w:val="002A6037"/>
    <w:rsid w:val="002A6D72"/>
    <w:rsid w:val="002B17F3"/>
    <w:rsid w:val="002B1FD5"/>
    <w:rsid w:val="002B2C91"/>
    <w:rsid w:val="002B2E68"/>
    <w:rsid w:val="002B3287"/>
    <w:rsid w:val="002B5570"/>
    <w:rsid w:val="002B6980"/>
    <w:rsid w:val="002B7B24"/>
    <w:rsid w:val="002C074B"/>
    <w:rsid w:val="002C16C2"/>
    <w:rsid w:val="002C4149"/>
    <w:rsid w:val="002C5B44"/>
    <w:rsid w:val="002C5BA6"/>
    <w:rsid w:val="002D0DAA"/>
    <w:rsid w:val="002D11D3"/>
    <w:rsid w:val="002D2147"/>
    <w:rsid w:val="002D32F7"/>
    <w:rsid w:val="002D36B2"/>
    <w:rsid w:val="002D4D77"/>
    <w:rsid w:val="002D5513"/>
    <w:rsid w:val="002D7BCF"/>
    <w:rsid w:val="002E09AC"/>
    <w:rsid w:val="002E1106"/>
    <w:rsid w:val="002E1466"/>
    <w:rsid w:val="002E24C8"/>
    <w:rsid w:val="002E2842"/>
    <w:rsid w:val="002E3282"/>
    <w:rsid w:val="002E3318"/>
    <w:rsid w:val="002E39EE"/>
    <w:rsid w:val="002E4BB8"/>
    <w:rsid w:val="002F0C12"/>
    <w:rsid w:val="002F1B74"/>
    <w:rsid w:val="002F2FC2"/>
    <w:rsid w:val="002F459C"/>
    <w:rsid w:val="002F4B7C"/>
    <w:rsid w:val="003007F1"/>
    <w:rsid w:val="00300EB8"/>
    <w:rsid w:val="00301C3C"/>
    <w:rsid w:val="00303905"/>
    <w:rsid w:val="003044E6"/>
    <w:rsid w:val="00304998"/>
    <w:rsid w:val="003052E8"/>
    <w:rsid w:val="0030538E"/>
    <w:rsid w:val="003068C2"/>
    <w:rsid w:val="00306B13"/>
    <w:rsid w:val="003076BC"/>
    <w:rsid w:val="00307743"/>
    <w:rsid w:val="00312A15"/>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67F11"/>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B5327"/>
    <w:rsid w:val="003C0751"/>
    <w:rsid w:val="003C223A"/>
    <w:rsid w:val="003C4504"/>
    <w:rsid w:val="003C4FFE"/>
    <w:rsid w:val="003C562D"/>
    <w:rsid w:val="003C71A6"/>
    <w:rsid w:val="003C7B0D"/>
    <w:rsid w:val="003D0A0F"/>
    <w:rsid w:val="003D1AFB"/>
    <w:rsid w:val="003D370A"/>
    <w:rsid w:val="003D412A"/>
    <w:rsid w:val="003D6738"/>
    <w:rsid w:val="003D7751"/>
    <w:rsid w:val="003E0D9A"/>
    <w:rsid w:val="003E66D0"/>
    <w:rsid w:val="003E6EDF"/>
    <w:rsid w:val="003E6F68"/>
    <w:rsid w:val="003F00E4"/>
    <w:rsid w:val="003F1FA4"/>
    <w:rsid w:val="003F2294"/>
    <w:rsid w:val="003F26E0"/>
    <w:rsid w:val="003F2A37"/>
    <w:rsid w:val="003F42A5"/>
    <w:rsid w:val="003F51E9"/>
    <w:rsid w:val="003F52B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66665"/>
    <w:rsid w:val="004675E6"/>
    <w:rsid w:val="00474252"/>
    <w:rsid w:val="0047516E"/>
    <w:rsid w:val="00475BF8"/>
    <w:rsid w:val="00475EC9"/>
    <w:rsid w:val="004817C4"/>
    <w:rsid w:val="00484E3D"/>
    <w:rsid w:val="0048525C"/>
    <w:rsid w:val="004866CF"/>
    <w:rsid w:val="004871A2"/>
    <w:rsid w:val="00490444"/>
    <w:rsid w:val="004912A6"/>
    <w:rsid w:val="00491F32"/>
    <w:rsid w:val="00491FE1"/>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3920"/>
    <w:rsid w:val="005045D0"/>
    <w:rsid w:val="00504E01"/>
    <w:rsid w:val="00504F06"/>
    <w:rsid w:val="00505C57"/>
    <w:rsid w:val="005068B3"/>
    <w:rsid w:val="00507181"/>
    <w:rsid w:val="00507C1B"/>
    <w:rsid w:val="00510B57"/>
    <w:rsid w:val="0051554C"/>
    <w:rsid w:val="00515973"/>
    <w:rsid w:val="00516E73"/>
    <w:rsid w:val="00517A87"/>
    <w:rsid w:val="00520960"/>
    <w:rsid w:val="00520B9D"/>
    <w:rsid w:val="0052153D"/>
    <w:rsid w:val="00521E31"/>
    <w:rsid w:val="00524317"/>
    <w:rsid w:val="0052627E"/>
    <w:rsid w:val="00526B3A"/>
    <w:rsid w:val="00527C36"/>
    <w:rsid w:val="005302A3"/>
    <w:rsid w:val="00530496"/>
    <w:rsid w:val="005307CA"/>
    <w:rsid w:val="0053223B"/>
    <w:rsid w:val="00533D9F"/>
    <w:rsid w:val="00533F6A"/>
    <w:rsid w:val="005341F4"/>
    <w:rsid w:val="005344D5"/>
    <w:rsid w:val="00535EB7"/>
    <w:rsid w:val="0053690B"/>
    <w:rsid w:val="00536D8A"/>
    <w:rsid w:val="00541020"/>
    <w:rsid w:val="00541270"/>
    <w:rsid w:val="005421E5"/>
    <w:rsid w:val="00542609"/>
    <w:rsid w:val="00542CFD"/>
    <w:rsid w:val="00547701"/>
    <w:rsid w:val="00547EC4"/>
    <w:rsid w:val="00553AFE"/>
    <w:rsid w:val="00555619"/>
    <w:rsid w:val="0055599F"/>
    <w:rsid w:val="00560D76"/>
    <w:rsid w:val="00561077"/>
    <w:rsid w:val="00562134"/>
    <w:rsid w:val="005625B5"/>
    <w:rsid w:val="00563585"/>
    <w:rsid w:val="00565D70"/>
    <w:rsid w:val="005660BB"/>
    <w:rsid w:val="005671DB"/>
    <w:rsid w:val="00570C10"/>
    <w:rsid w:val="00574DD8"/>
    <w:rsid w:val="005804CE"/>
    <w:rsid w:val="00580CE7"/>
    <w:rsid w:val="005813FE"/>
    <w:rsid w:val="00581930"/>
    <w:rsid w:val="00581BE7"/>
    <w:rsid w:val="005854A3"/>
    <w:rsid w:val="00585CCE"/>
    <w:rsid w:val="0058665C"/>
    <w:rsid w:val="0058684A"/>
    <w:rsid w:val="00586FE7"/>
    <w:rsid w:val="00587935"/>
    <w:rsid w:val="005930CA"/>
    <w:rsid w:val="00593A16"/>
    <w:rsid w:val="005A06B1"/>
    <w:rsid w:val="005A1912"/>
    <w:rsid w:val="005A32F1"/>
    <w:rsid w:val="005A347F"/>
    <w:rsid w:val="005A3B9F"/>
    <w:rsid w:val="005A45D9"/>
    <w:rsid w:val="005A4650"/>
    <w:rsid w:val="005A4EDD"/>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AB8"/>
    <w:rsid w:val="005C6DA7"/>
    <w:rsid w:val="005C7658"/>
    <w:rsid w:val="005C7AE4"/>
    <w:rsid w:val="005D038A"/>
    <w:rsid w:val="005D084F"/>
    <w:rsid w:val="005D135A"/>
    <w:rsid w:val="005D2671"/>
    <w:rsid w:val="005D39D1"/>
    <w:rsid w:val="005D3B1A"/>
    <w:rsid w:val="005D40D1"/>
    <w:rsid w:val="005D4AED"/>
    <w:rsid w:val="005D7CD9"/>
    <w:rsid w:val="005E0054"/>
    <w:rsid w:val="005E15CA"/>
    <w:rsid w:val="005E15D2"/>
    <w:rsid w:val="005E19E7"/>
    <w:rsid w:val="005E3C99"/>
    <w:rsid w:val="005E4E32"/>
    <w:rsid w:val="005E4F52"/>
    <w:rsid w:val="005E65A1"/>
    <w:rsid w:val="005E73D5"/>
    <w:rsid w:val="005F2A18"/>
    <w:rsid w:val="005F3D22"/>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788"/>
    <w:rsid w:val="00641D08"/>
    <w:rsid w:val="006441CA"/>
    <w:rsid w:val="0064519B"/>
    <w:rsid w:val="00646F0C"/>
    <w:rsid w:val="00651EFF"/>
    <w:rsid w:val="00654154"/>
    <w:rsid w:val="00654B01"/>
    <w:rsid w:val="00654B77"/>
    <w:rsid w:val="00654D99"/>
    <w:rsid w:val="00655C5B"/>
    <w:rsid w:val="006565E5"/>
    <w:rsid w:val="0066275C"/>
    <w:rsid w:val="00664A71"/>
    <w:rsid w:val="00664CBE"/>
    <w:rsid w:val="006655A6"/>
    <w:rsid w:val="00666492"/>
    <w:rsid w:val="006669CC"/>
    <w:rsid w:val="00666BB4"/>
    <w:rsid w:val="00666CC6"/>
    <w:rsid w:val="006679CE"/>
    <w:rsid w:val="00667A28"/>
    <w:rsid w:val="00667F8B"/>
    <w:rsid w:val="00672F78"/>
    <w:rsid w:val="00674D19"/>
    <w:rsid w:val="0067722F"/>
    <w:rsid w:val="00680F90"/>
    <w:rsid w:val="006813C2"/>
    <w:rsid w:val="006819DD"/>
    <w:rsid w:val="00681BEE"/>
    <w:rsid w:val="006830E7"/>
    <w:rsid w:val="00683EFC"/>
    <w:rsid w:val="00686E8E"/>
    <w:rsid w:val="00687B3D"/>
    <w:rsid w:val="00690E34"/>
    <w:rsid w:val="00691316"/>
    <w:rsid w:val="0069134D"/>
    <w:rsid w:val="00692D8E"/>
    <w:rsid w:val="006937D8"/>
    <w:rsid w:val="006963EC"/>
    <w:rsid w:val="006966BD"/>
    <w:rsid w:val="006A1623"/>
    <w:rsid w:val="006A1631"/>
    <w:rsid w:val="006A2EA0"/>
    <w:rsid w:val="006A4020"/>
    <w:rsid w:val="006A6443"/>
    <w:rsid w:val="006B25A1"/>
    <w:rsid w:val="006B313B"/>
    <w:rsid w:val="006B387E"/>
    <w:rsid w:val="006B4CC8"/>
    <w:rsid w:val="006B6344"/>
    <w:rsid w:val="006C184F"/>
    <w:rsid w:val="006C2034"/>
    <w:rsid w:val="006C3B5C"/>
    <w:rsid w:val="006C45E6"/>
    <w:rsid w:val="006C53F7"/>
    <w:rsid w:val="006C6164"/>
    <w:rsid w:val="006C7834"/>
    <w:rsid w:val="006D0DFB"/>
    <w:rsid w:val="006D1305"/>
    <w:rsid w:val="006D2FF8"/>
    <w:rsid w:val="006D3623"/>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17ED4"/>
    <w:rsid w:val="007208A4"/>
    <w:rsid w:val="00720D85"/>
    <w:rsid w:val="007211A9"/>
    <w:rsid w:val="00721DD9"/>
    <w:rsid w:val="007220BE"/>
    <w:rsid w:val="007228F7"/>
    <w:rsid w:val="00723908"/>
    <w:rsid w:val="00723986"/>
    <w:rsid w:val="0072419F"/>
    <w:rsid w:val="007262DF"/>
    <w:rsid w:val="00726EC5"/>
    <w:rsid w:val="007306AE"/>
    <w:rsid w:val="00736DF9"/>
    <w:rsid w:val="00736EE3"/>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2A9"/>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B6968"/>
    <w:rsid w:val="007B6D10"/>
    <w:rsid w:val="007C190C"/>
    <w:rsid w:val="007C1F27"/>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616C"/>
    <w:rsid w:val="007E738E"/>
    <w:rsid w:val="007E79E1"/>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AAB"/>
    <w:rsid w:val="00816B03"/>
    <w:rsid w:val="00817A24"/>
    <w:rsid w:val="00817DE6"/>
    <w:rsid w:val="00820118"/>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4EC5"/>
    <w:rsid w:val="008457F9"/>
    <w:rsid w:val="00847527"/>
    <w:rsid w:val="00851650"/>
    <w:rsid w:val="00852943"/>
    <w:rsid w:val="0085572D"/>
    <w:rsid w:val="008612EB"/>
    <w:rsid w:val="00861A39"/>
    <w:rsid w:val="00863027"/>
    <w:rsid w:val="00863AF1"/>
    <w:rsid w:val="008653CA"/>
    <w:rsid w:val="00867D46"/>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27F9"/>
    <w:rsid w:val="008B3203"/>
    <w:rsid w:val="008B37CF"/>
    <w:rsid w:val="008B383C"/>
    <w:rsid w:val="008B3B26"/>
    <w:rsid w:val="008B4331"/>
    <w:rsid w:val="008B4917"/>
    <w:rsid w:val="008B585B"/>
    <w:rsid w:val="008B6707"/>
    <w:rsid w:val="008B7C6C"/>
    <w:rsid w:val="008B7C83"/>
    <w:rsid w:val="008C0329"/>
    <w:rsid w:val="008C09FA"/>
    <w:rsid w:val="008C0ECB"/>
    <w:rsid w:val="008C2449"/>
    <w:rsid w:val="008C56B1"/>
    <w:rsid w:val="008C6847"/>
    <w:rsid w:val="008D0341"/>
    <w:rsid w:val="008D0DAC"/>
    <w:rsid w:val="008D0E9A"/>
    <w:rsid w:val="008D1263"/>
    <w:rsid w:val="008D171F"/>
    <w:rsid w:val="008D3428"/>
    <w:rsid w:val="008D54F8"/>
    <w:rsid w:val="008D622B"/>
    <w:rsid w:val="008D6543"/>
    <w:rsid w:val="008D66CD"/>
    <w:rsid w:val="008D6931"/>
    <w:rsid w:val="008D6A29"/>
    <w:rsid w:val="008D6D0C"/>
    <w:rsid w:val="008D6D7F"/>
    <w:rsid w:val="008E16C0"/>
    <w:rsid w:val="008E2E8E"/>
    <w:rsid w:val="008E4E64"/>
    <w:rsid w:val="008F0754"/>
    <w:rsid w:val="008F1BB1"/>
    <w:rsid w:val="008F1D07"/>
    <w:rsid w:val="008F25F7"/>
    <w:rsid w:val="008F282C"/>
    <w:rsid w:val="008F2BD1"/>
    <w:rsid w:val="008F542A"/>
    <w:rsid w:val="008F55EE"/>
    <w:rsid w:val="009009EB"/>
    <w:rsid w:val="009012B8"/>
    <w:rsid w:val="0090469F"/>
    <w:rsid w:val="00905AB6"/>
    <w:rsid w:val="00906493"/>
    <w:rsid w:val="0091405C"/>
    <w:rsid w:val="00914132"/>
    <w:rsid w:val="0091647E"/>
    <w:rsid w:val="00917ECA"/>
    <w:rsid w:val="00922A85"/>
    <w:rsid w:val="00923801"/>
    <w:rsid w:val="00924CE0"/>
    <w:rsid w:val="0092599E"/>
    <w:rsid w:val="009301E7"/>
    <w:rsid w:val="00930404"/>
    <w:rsid w:val="00930A91"/>
    <w:rsid w:val="00931733"/>
    <w:rsid w:val="00931E38"/>
    <w:rsid w:val="00932358"/>
    <w:rsid w:val="0093458B"/>
    <w:rsid w:val="00934E5E"/>
    <w:rsid w:val="009350FD"/>
    <w:rsid w:val="009355D2"/>
    <w:rsid w:val="009356F9"/>
    <w:rsid w:val="0093572C"/>
    <w:rsid w:val="0093607F"/>
    <w:rsid w:val="00936B77"/>
    <w:rsid w:val="00937EF9"/>
    <w:rsid w:val="00941DF0"/>
    <w:rsid w:val="00943D4A"/>
    <w:rsid w:val="00945AEF"/>
    <w:rsid w:val="009508B3"/>
    <w:rsid w:val="00952082"/>
    <w:rsid w:val="00955E7A"/>
    <w:rsid w:val="00960886"/>
    <w:rsid w:val="00962726"/>
    <w:rsid w:val="00962CC7"/>
    <w:rsid w:val="00962F46"/>
    <w:rsid w:val="00964F97"/>
    <w:rsid w:val="00965BCE"/>
    <w:rsid w:val="00966E34"/>
    <w:rsid w:val="00967AEC"/>
    <w:rsid w:val="00974056"/>
    <w:rsid w:val="00974E5E"/>
    <w:rsid w:val="0097590F"/>
    <w:rsid w:val="0097658E"/>
    <w:rsid w:val="00976C93"/>
    <w:rsid w:val="00977956"/>
    <w:rsid w:val="009830F7"/>
    <w:rsid w:val="00984876"/>
    <w:rsid w:val="009866EF"/>
    <w:rsid w:val="00986C71"/>
    <w:rsid w:val="00986F69"/>
    <w:rsid w:val="00987BEA"/>
    <w:rsid w:val="00991849"/>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7CA"/>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4680"/>
    <w:rsid w:val="009D508D"/>
    <w:rsid w:val="009D53FD"/>
    <w:rsid w:val="009D66A8"/>
    <w:rsid w:val="009E228C"/>
    <w:rsid w:val="009E281B"/>
    <w:rsid w:val="009E2F0F"/>
    <w:rsid w:val="009E3791"/>
    <w:rsid w:val="009E399E"/>
    <w:rsid w:val="009E4BEB"/>
    <w:rsid w:val="009E5A6B"/>
    <w:rsid w:val="009E7F1E"/>
    <w:rsid w:val="009F1477"/>
    <w:rsid w:val="009F149D"/>
    <w:rsid w:val="009F2719"/>
    <w:rsid w:val="009F3069"/>
    <w:rsid w:val="009F3BE2"/>
    <w:rsid w:val="009F3C63"/>
    <w:rsid w:val="009F59BC"/>
    <w:rsid w:val="009F606B"/>
    <w:rsid w:val="009F7311"/>
    <w:rsid w:val="00A00DF2"/>
    <w:rsid w:val="00A01498"/>
    <w:rsid w:val="00A014F7"/>
    <w:rsid w:val="00A01A96"/>
    <w:rsid w:val="00A027F5"/>
    <w:rsid w:val="00A04171"/>
    <w:rsid w:val="00A05FC7"/>
    <w:rsid w:val="00A07BEA"/>
    <w:rsid w:val="00A07C0B"/>
    <w:rsid w:val="00A16BE5"/>
    <w:rsid w:val="00A228B0"/>
    <w:rsid w:val="00A2373A"/>
    <w:rsid w:val="00A24150"/>
    <w:rsid w:val="00A27212"/>
    <w:rsid w:val="00A305E4"/>
    <w:rsid w:val="00A336E2"/>
    <w:rsid w:val="00A34B2C"/>
    <w:rsid w:val="00A36A6B"/>
    <w:rsid w:val="00A379BE"/>
    <w:rsid w:val="00A40E83"/>
    <w:rsid w:val="00A412FF"/>
    <w:rsid w:val="00A42C27"/>
    <w:rsid w:val="00A450CA"/>
    <w:rsid w:val="00A4642D"/>
    <w:rsid w:val="00A4727A"/>
    <w:rsid w:val="00A47479"/>
    <w:rsid w:val="00A5058F"/>
    <w:rsid w:val="00A50AB1"/>
    <w:rsid w:val="00A51AAE"/>
    <w:rsid w:val="00A530FE"/>
    <w:rsid w:val="00A53486"/>
    <w:rsid w:val="00A5411A"/>
    <w:rsid w:val="00A54609"/>
    <w:rsid w:val="00A547DC"/>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84312"/>
    <w:rsid w:val="00A86B9D"/>
    <w:rsid w:val="00A87B4C"/>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693"/>
    <w:rsid w:val="00AD7EEB"/>
    <w:rsid w:val="00AE050C"/>
    <w:rsid w:val="00AE0C7F"/>
    <w:rsid w:val="00AE28BD"/>
    <w:rsid w:val="00AE29E6"/>
    <w:rsid w:val="00AE30CE"/>
    <w:rsid w:val="00AE3528"/>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507A"/>
    <w:rsid w:val="00B056D6"/>
    <w:rsid w:val="00B061D1"/>
    <w:rsid w:val="00B07C43"/>
    <w:rsid w:val="00B07F3A"/>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37A8F"/>
    <w:rsid w:val="00B409F8"/>
    <w:rsid w:val="00B42B6A"/>
    <w:rsid w:val="00B43C0B"/>
    <w:rsid w:val="00B43D58"/>
    <w:rsid w:val="00B4682E"/>
    <w:rsid w:val="00B51775"/>
    <w:rsid w:val="00B51E56"/>
    <w:rsid w:val="00B5387E"/>
    <w:rsid w:val="00B54937"/>
    <w:rsid w:val="00B553E9"/>
    <w:rsid w:val="00B557A7"/>
    <w:rsid w:val="00B5776E"/>
    <w:rsid w:val="00B609C3"/>
    <w:rsid w:val="00B6128E"/>
    <w:rsid w:val="00B71018"/>
    <w:rsid w:val="00B71741"/>
    <w:rsid w:val="00B73310"/>
    <w:rsid w:val="00B76C31"/>
    <w:rsid w:val="00B811EE"/>
    <w:rsid w:val="00B829E4"/>
    <w:rsid w:val="00B835EB"/>
    <w:rsid w:val="00B83FFA"/>
    <w:rsid w:val="00B842F9"/>
    <w:rsid w:val="00B854F1"/>
    <w:rsid w:val="00B8733F"/>
    <w:rsid w:val="00B9002F"/>
    <w:rsid w:val="00B9052E"/>
    <w:rsid w:val="00B91A9D"/>
    <w:rsid w:val="00B93317"/>
    <w:rsid w:val="00B9367D"/>
    <w:rsid w:val="00B9395E"/>
    <w:rsid w:val="00B9428D"/>
    <w:rsid w:val="00B9533E"/>
    <w:rsid w:val="00B95648"/>
    <w:rsid w:val="00B956B1"/>
    <w:rsid w:val="00B97B5A"/>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C6E96"/>
    <w:rsid w:val="00BD00C0"/>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17F5C"/>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3A55"/>
    <w:rsid w:val="00C742FD"/>
    <w:rsid w:val="00C85464"/>
    <w:rsid w:val="00C86F2D"/>
    <w:rsid w:val="00C90BE0"/>
    <w:rsid w:val="00C91730"/>
    <w:rsid w:val="00C920EE"/>
    <w:rsid w:val="00C92949"/>
    <w:rsid w:val="00C94EC5"/>
    <w:rsid w:val="00C95113"/>
    <w:rsid w:val="00C9548C"/>
    <w:rsid w:val="00C95784"/>
    <w:rsid w:val="00C95BB2"/>
    <w:rsid w:val="00CA04BC"/>
    <w:rsid w:val="00CA3297"/>
    <w:rsid w:val="00CA596C"/>
    <w:rsid w:val="00CA708C"/>
    <w:rsid w:val="00CA7B01"/>
    <w:rsid w:val="00CB3D6C"/>
    <w:rsid w:val="00CB67ED"/>
    <w:rsid w:val="00CB6964"/>
    <w:rsid w:val="00CB6E3F"/>
    <w:rsid w:val="00CB75C6"/>
    <w:rsid w:val="00CB7DB7"/>
    <w:rsid w:val="00CC0A19"/>
    <w:rsid w:val="00CC0CB8"/>
    <w:rsid w:val="00CC0D83"/>
    <w:rsid w:val="00CC1A0A"/>
    <w:rsid w:val="00CC70B9"/>
    <w:rsid w:val="00CC7226"/>
    <w:rsid w:val="00CD0AB7"/>
    <w:rsid w:val="00CD4B16"/>
    <w:rsid w:val="00CD739E"/>
    <w:rsid w:val="00CE01E3"/>
    <w:rsid w:val="00CE06D8"/>
    <w:rsid w:val="00CE3AD2"/>
    <w:rsid w:val="00CE4DE4"/>
    <w:rsid w:val="00CE5C37"/>
    <w:rsid w:val="00CE5D53"/>
    <w:rsid w:val="00CE6032"/>
    <w:rsid w:val="00CE6849"/>
    <w:rsid w:val="00CF0C69"/>
    <w:rsid w:val="00CF1573"/>
    <w:rsid w:val="00CF1A50"/>
    <w:rsid w:val="00CF31B1"/>
    <w:rsid w:val="00CF3CCF"/>
    <w:rsid w:val="00CF5912"/>
    <w:rsid w:val="00CF6A78"/>
    <w:rsid w:val="00CF7615"/>
    <w:rsid w:val="00CF77E7"/>
    <w:rsid w:val="00CF7C0F"/>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2FDE"/>
    <w:rsid w:val="00D2368A"/>
    <w:rsid w:val="00D23F81"/>
    <w:rsid w:val="00D26234"/>
    <w:rsid w:val="00D271D7"/>
    <w:rsid w:val="00D27DC3"/>
    <w:rsid w:val="00D311ED"/>
    <w:rsid w:val="00D33D13"/>
    <w:rsid w:val="00D368AF"/>
    <w:rsid w:val="00D3705C"/>
    <w:rsid w:val="00D37F59"/>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0859"/>
    <w:rsid w:val="00D71F0C"/>
    <w:rsid w:val="00D7264E"/>
    <w:rsid w:val="00D73194"/>
    <w:rsid w:val="00D73A05"/>
    <w:rsid w:val="00D752F2"/>
    <w:rsid w:val="00D75422"/>
    <w:rsid w:val="00D76C42"/>
    <w:rsid w:val="00D803B7"/>
    <w:rsid w:val="00D81C0F"/>
    <w:rsid w:val="00D832C5"/>
    <w:rsid w:val="00D833F2"/>
    <w:rsid w:val="00D839FF"/>
    <w:rsid w:val="00D84A14"/>
    <w:rsid w:val="00D8633C"/>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31DA"/>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6BC"/>
    <w:rsid w:val="00DE6F60"/>
    <w:rsid w:val="00DF1098"/>
    <w:rsid w:val="00DF2239"/>
    <w:rsid w:val="00DF31A1"/>
    <w:rsid w:val="00DF36D7"/>
    <w:rsid w:val="00DF7706"/>
    <w:rsid w:val="00E001AA"/>
    <w:rsid w:val="00E00846"/>
    <w:rsid w:val="00E06133"/>
    <w:rsid w:val="00E073C5"/>
    <w:rsid w:val="00E074E7"/>
    <w:rsid w:val="00E07887"/>
    <w:rsid w:val="00E128DA"/>
    <w:rsid w:val="00E16604"/>
    <w:rsid w:val="00E16EC7"/>
    <w:rsid w:val="00E20C84"/>
    <w:rsid w:val="00E21938"/>
    <w:rsid w:val="00E23863"/>
    <w:rsid w:val="00E24EC6"/>
    <w:rsid w:val="00E266F2"/>
    <w:rsid w:val="00E27C28"/>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35EE"/>
    <w:rsid w:val="00E54627"/>
    <w:rsid w:val="00E56E3E"/>
    <w:rsid w:val="00E60874"/>
    <w:rsid w:val="00E61081"/>
    <w:rsid w:val="00E61AB6"/>
    <w:rsid w:val="00E630BE"/>
    <w:rsid w:val="00E63371"/>
    <w:rsid w:val="00E6584F"/>
    <w:rsid w:val="00E65F4E"/>
    <w:rsid w:val="00E72FE7"/>
    <w:rsid w:val="00E74265"/>
    <w:rsid w:val="00E771DF"/>
    <w:rsid w:val="00E80823"/>
    <w:rsid w:val="00E81983"/>
    <w:rsid w:val="00E823C4"/>
    <w:rsid w:val="00E8275B"/>
    <w:rsid w:val="00E83464"/>
    <w:rsid w:val="00E83833"/>
    <w:rsid w:val="00E83DA2"/>
    <w:rsid w:val="00E84B59"/>
    <w:rsid w:val="00E84E15"/>
    <w:rsid w:val="00E85ED3"/>
    <w:rsid w:val="00E87276"/>
    <w:rsid w:val="00E946A5"/>
    <w:rsid w:val="00E95CB2"/>
    <w:rsid w:val="00E95FDF"/>
    <w:rsid w:val="00E9617F"/>
    <w:rsid w:val="00EA0439"/>
    <w:rsid w:val="00EA2230"/>
    <w:rsid w:val="00EA25ED"/>
    <w:rsid w:val="00EA26DA"/>
    <w:rsid w:val="00EA38DC"/>
    <w:rsid w:val="00EA5DEE"/>
    <w:rsid w:val="00EA6472"/>
    <w:rsid w:val="00EB0851"/>
    <w:rsid w:val="00EB195A"/>
    <w:rsid w:val="00EB3043"/>
    <w:rsid w:val="00EB4B8E"/>
    <w:rsid w:val="00EB51CD"/>
    <w:rsid w:val="00EB693B"/>
    <w:rsid w:val="00EB6DCA"/>
    <w:rsid w:val="00EC05D7"/>
    <w:rsid w:val="00EC0B07"/>
    <w:rsid w:val="00EC181C"/>
    <w:rsid w:val="00EC25BF"/>
    <w:rsid w:val="00EC33B2"/>
    <w:rsid w:val="00EC4692"/>
    <w:rsid w:val="00EC6129"/>
    <w:rsid w:val="00EC61FF"/>
    <w:rsid w:val="00ED091C"/>
    <w:rsid w:val="00ED1F8C"/>
    <w:rsid w:val="00ED2D90"/>
    <w:rsid w:val="00ED4B71"/>
    <w:rsid w:val="00ED5358"/>
    <w:rsid w:val="00ED6043"/>
    <w:rsid w:val="00ED7D21"/>
    <w:rsid w:val="00EE064F"/>
    <w:rsid w:val="00EE118B"/>
    <w:rsid w:val="00EE11C7"/>
    <w:rsid w:val="00EE1BAA"/>
    <w:rsid w:val="00EE48F2"/>
    <w:rsid w:val="00EE6CCE"/>
    <w:rsid w:val="00EE7121"/>
    <w:rsid w:val="00EE7BC9"/>
    <w:rsid w:val="00EE7E0D"/>
    <w:rsid w:val="00EF1B52"/>
    <w:rsid w:val="00EF2B48"/>
    <w:rsid w:val="00EF79BA"/>
    <w:rsid w:val="00F0039D"/>
    <w:rsid w:val="00F01813"/>
    <w:rsid w:val="00F033DD"/>
    <w:rsid w:val="00F050C7"/>
    <w:rsid w:val="00F058AD"/>
    <w:rsid w:val="00F06DC2"/>
    <w:rsid w:val="00F07268"/>
    <w:rsid w:val="00F12368"/>
    <w:rsid w:val="00F125CA"/>
    <w:rsid w:val="00F13661"/>
    <w:rsid w:val="00F1404E"/>
    <w:rsid w:val="00F158E9"/>
    <w:rsid w:val="00F17B53"/>
    <w:rsid w:val="00F2004A"/>
    <w:rsid w:val="00F20F59"/>
    <w:rsid w:val="00F21ABF"/>
    <w:rsid w:val="00F223E0"/>
    <w:rsid w:val="00F23526"/>
    <w:rsid w:val="00F24162"/>
    <w:rsid w:val="00F264AE"/>
    <w:rsid w:val="00F2689E"/>
    <w:rsid w:val="00F270A8"/>
    <w:rsid w:val="00F270D5"/>
    <w:rsid w:val="00F30E07"/>
    <w:rsid w:val="00F31B8F"/>
    <w:rsid w:val="00F31C0C"/>
    <w:rsid w:val="00F31F98"/>
    <w:rsid w:val="00F35DEB"/>
    <w:rsid w:val="00F40799"/>
    <w:rsid w:val="00F41E0D"/>
    <w:rsid w:val="00F42067"/>
    <w:rsid w:val="00F42911"/>
    <w:rsid w:val="00F42C34"/>
    <w:rsid w:val="00F445DA"/>
    <w:rsid w:val="00F46B95"/>
    <w:rsid w:val="00F473CA"/>
    <w:rsid w:val="00F47425"/>
    <w:rsid w:val="00F47C04"/>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643"/>
    <w:rsid w:val="00F967E1"/>
    <w:rsid w:val="00FA1D97"/>
    <w:rsid w:val="00FA1DD6"/>
    <w:rsid w:val="00FA39FD"/>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19677B"/>
    <w:rsid w:val="01204728"/>
    <w:rsid w:val="01565C22"/>
    <w:rsid w:val="017E2A82"/>
    <w:rsid w:val="01B82438"/>
    <w:rsid w:val="02223D56"/>
    <w:rsid w:val="025C7268"/>
    <w:rsid w:val="02EF031A"/>
    <w:rsid w:val="033124A2"/>
    <w:rsid w:val="03667C72"/>
    <w:rsid w:val="042155D4"/>
    <w:rsid w:val="05274E20"/>
    <w:rsid w:val="05685F23"/>
    <w:rsid w:val="05906A0C"/>
    <w:rsid w:val="05A66531"/>
    <w:rsid w:val="05DD06BF"/>
    <w:rsid w:val="063F6C84"/>
    <w:rsid w:val="06D16238"/>
    <w:rsid w:val="06ED6FA7"/>
    <w:rsid w:val="071C5217"/>
    <w:rsid w:val="07CC279A"/>
    <w:rsid w:val="07F41CF0"/>
    <w:rsid w:val="08585DDB"/>
    <w:rsid w:val="08740F2C"/>
    <w:rsid w:val="08955281"/>
    <w:rsid w:val="08B35707"/>
    <w:rsid w:val="08E27D9B"/>
    <w:rsid w:val="09036BB8"/>
    <w:rsid w:val="09D92F4C"/>
    <w:rsid w:val="09FD5B5A"/>
    <w:rsid w:val="0A2E773B"/>
    <w:rsid w:val="0A3665F0"/>
    <w:rsid w:val="0AEE2A27"/>
    <w:rsid w:val="0AF52007"/>
    <w:rsid w:val="0B974E6D"/>
    <w:rsid w:val="0C0051AC"/>
    <w:rsid w:val="0C0B585A"/>
    <w:rsid w:val="0C8805C9"/>
    <w:rsid w:val="0CDB522D"/>
    <w:rsid w:val="0D523741"/>
    <w:rsid w:val="0D7D4536"/>
    <w:rsid w:val="0E240062"/>
    <w:rsid w:val="0E6059EA"/>
    <w:rsid w:val="0E7D2A40"/>
    <w:rsid w:val="0F3824F5"/>
    <w:rsid w:val="0F8751F8"/>
    <w:rsid w:val="100B7BD7"/>
    <w:rsid w:val="103001B5"/>
    <w:rsid w:val="10737E69"/>
    <w:rsid w:val="108B318D"/>
    <w:rsid w:val="10A87B1C"/>
    <w:rsid w:val="10E2302E"/>
    <w:rsid w:val="11C6025A"/>
    <w:rsid w:val="12465466"/>
    <w:rsid w:val="127E28E2"/>
    <w:rsid w:val="12F6691D"/>
    <w:rsid w:val="132336DA"/>
    <w:rsid w:val="132B616F"/>
    <w:rsid w:val="13511DA5"/>
    <w:rsid w:val="135E189E"/>
    <w:rsid w:val="1408767D"/>
    <w:rsid w:val="14F275B8"/>
    <w:rsid w:val="15510BD0"/>
    <w:rsid w:val="15882C29"/>
    <w:rsid w:val="159440C7"/>
    <w:rsid w:val="15BB3E4D"/>
    <w:rsid w:val="15D31197"/>
    <w:rsid w:val="1601376F"/>
    <w:rsid w:val="160F659B"/>
    <w:rsid w:val="16A36DBB"/>
    <w:rsid w:val="17035AAC"/>
    <w:rsid w:val="17654071"/>
    <w:rsid w:val="17A50911"/>
    <w:rsid w:val="17A80401"/>
    <w:rsid w:val="17C42233"/>
    <w:rsid w:val="184664BE"/>
    <w:rsid w:val="185145F5"/>
    <w:rsid w:val="18714C97"/>
    <w:rsid w:val="189E3CDE"/>
    <w:rsid w:val="18B76B4E"/>
    <w:rsid w:val="18BE7793"/>
    <w:rsid w:val="19766A09"/>
    <w:rsid w:val="19BE3F0C"/>
    <w:rsid w:val="1A22449B"/>
    <w:rsid w:val="1A4F6AE1"/>
    <w:rsid w:val="1A654346"/>
    <w:rsid w:val="1AF23E6D"/>
    <w:rsid w:val="1AF53561"/>
    <w:rsid w:val="1B23671D"/>
    <w:rsid w:val="1B356A34"/>
    <w:rsid w:val="1B5508A0"/>
    <w:rsid w:val="1B9A62B3"/>
    <w:rsid w:val="1BCA303C"/>
    <w:rsid w:val="1BCF0653"/>
    <w:rsid w:val="1BD21EF1"/>
    <w:rsid w:val="1BE81323"/>
    <w:rsid w:val="1BEE0D32"/>
    <w:rsid w:val="1C4604A4"/>
    <w:rsid w:val="1C632B49"/>
    <w:rsid w:val="1CB533A4"/>
    <w:rsid w:val="1CD209E0"/>
    <w:rsid w:val="1D2D73DF"/>
    <w:rsid w:val="1D5D57EA"/>
    <w:rsid w:val="1DAF4298"/>
    <w:rsid w:val="1EBE5AFE"/>
    <w:rsid w:val="1EE00481"/>
    <w:rsid w:val="1F042089"/>
    <w:rsid w:val="1F095C2A"/>
    <w:rsid w:val="1F29007A"/>
    <w:rsid w:val="1F5079DA"/>
    <w:rsid w:val="1FAF4A23"/>
    <w:rsid w:val="200F2B7E"/>
    <w:rsid w:val="20A116E5"/>
    <w:rsid w:val="20EA3839"/>
    <w:rsid w:val="20F75857"/>
    <w:rsid w:val="210C1A01"/>
    <w:rsid w:val="21350F58"/>
    <w:rsid w:val="21434389"/>
    <w:rsid w:val="21472A39"/>
    <w:rsid w:val="214B7F29"/>
    <w:rsid w:val="215238B8"/>
    <w:rsid w:val="2164183D"/>
    <w:rsid w:val="21893052"/>
    <w:rsid w:val="21A25E46"/>
    <w:rsid w:val="21CA5B44"/>
    <w:rsid w:val="22082B72"/>
    <w:rsid w:val="2221772E"/>
    <w:rsid w:val="22835CF3"/>
    <w:rsid w:val="229323DA"/>
    <w:rsid w:val="229B303C"/>
    <w:rsid w:val="22C04FD3"/>
    <w:rsid w:val="23056708"/>
    <w:rsid w:val="23334DCD"/>
    <w:rsid w:val="24F268CA"/>
    <w:rsid w:val="25875AFA"/>
    <w:rsid w:val="25CC2E6A"/>
    <w:rsid w:val="26492DAF"/>
    <w:rsid w:val="264932AE"/>
    <w:rsid w:val="266B0F78"/>
    <w:rsid w:val="27075144"/>
    <w:rsid w:val="27234230"/>
    <w:rsid w:val="274C6FFB"/>
    <w:rsid w:val="27743E5C"/>
    <w:rsid w:val="27D90993"/>
    <w:rsid w:val="28667C49"/>
    <w:rsid w:val="286B525F"/>
    <w:rsid w:val="291458F7"/>
    <w:rsid w:val="29451F54"/>
    <w:rsid w:val="29613FB1"/>
    <w:rsid w:val="2A5D0744"/>
    <w:rsid w:val="2A626F7C"/>
    <w:rsid w:val="2A930A9D"/>
    <w:rsid w:val="2AA87AFE"/>
    <w:rsid w:val="2AC26CEB"/>
    <w:rsid w:val="2B033E75"/>
    <w:rsid w:val="2B5B780D"/>
    <w:rsid w:val="2C1874AC"/>
    <w:rsid w:val="2C864D5D"/>
    <w:rsid w:val="2CE76356"/>
    <w:rsid w:val="2D044E58"/>
    <w:rsid w:val="2D4B38B1"/>
    <w:rsid w:val="2D796670"/>
    <w:rsid w:val="2D9C283F"/>
    <w:rsid w:val="2DA76D39"/>
    <w:rsid w:val="2DE47F8D"/>
    <w:rsid w:val="2E2F5AA5"/>
    <w:rsid w:val="2E854B26"/>
    <w:rsid w:val="2EC579CB"/>
    <w:rsid w:val="2F34320D"/>
    <w:rsid w:val="2F8530AA"/>
    <w:rsid w:val="2F8C5C77"/>
    <w:rsid w:val="2FA07EE4"/>
    <w:rsid w:val="3057093D"/>
    <w:rsid w:val="305F38FB"/>
    <w:rsid w:val="3086532C"/>
    <w:rsid w:val="30B22F09"/>
    <w:rsid w:val="31F14A27"/>
    <w:rsid w:val="3234700A"/>
    <w:rsid w:val="32E91CBC"/>
    <w:rsid w:val="32F81DE5"/>
    <w:rsid w:val="33863895"/>
    <w:rsid w:val="35457365"/>
    <w:rsid w:val="356C1825"/>
    <w:rsid w:val="35E36D7D"/>
    <w:rsid w:val="35F5085E"/>
    <w:rsid w:val="35FE7713"/>
    <w:rsid w:val="365A1830"/>
    <w:rsid w:val="36C00E6C"/>
    <w:rsid w:val="36D30B9F"/>
    <w:rsid w:val="36F952B1"/>
    <w:rsid w:val="37505BC8"/>
    <w:rsid w:val="37535C53"/>
    <w:rsid w:val="38190834"/>
    <w:rsid w:val="386F48F8"/>
    <w:rsid w:val="38B93D47"/>
    <w:rsid w:val="38F90665"/>
    <w:rsid w:val="39643D30"/>
    <w:rsid w:val="39C2535E"/>
    <w:rsid w:val="3A255547"/>
    <w:rsid w:val="3A774ADA"/>
    <w:rsid w:val="3B1874C8"/>
    <w:rsid w:val="3B5F6EA5"/>
    <w:rsid w:val="3BF0694D"/>
    <w:rsid w:val="3C033CD5"/>
    <w:rsid w:val="3C3E2F5F"/>
    <w:rsid w:val="3C5F463A"/>
    <w:rsid w:val="3C616C4D"/>
    <w:rsid w:val="3CC03FAE"/>
    <w:rsid w:val="3CC571DC"/>
    <w:rsid w:val="3CE533DA"/>
    <w:rsid w:val="3CFA5AF9"/>
    <w:rsid w:val="3D5834D2"/>
    <w:rsid w:val="3D7006F9"/>
    <w:rsid w:val="3E5720B6"/>
    <w:rsid w:val="3F2D2E17"/>
    <w:rsid w:val="3F4E7B90"/>
    <w:rsid w:val="3FCF2120"/>
    <w:rsid w:val="3FD70FCE"/>
    <w:rsid w:val="40552625"/>
    <w:rsid w:val="409F1AF2"/>
    <w:rsid w:val="40A1586A"/>
    <w:rsid w:val="40E165AE"/>
    <w:rsid w:val="40F235F8"/>
    <w:rsid w:val="40F55BB6"/>
    <w:rsid w:val="41384420"/>
    <w:rsid w:val="41427867"/>
    <w:rsid w:val="425A6618"/>
    <w:rsid w:val="428B1001"/>
    <w:rsid w:val="42A87239"/>
    <w:rsid w:val="42B37AD7"/>
    <w:rsid w:val="42B85710"/>
    <w:rsid w:val="430F2F5F"/>
    <w:rsid w:val="43346E69"/>
    <w:rsid w:val="436F7EA2"/>
    <w:rsid w:val="438374A9"/>
    <w:rsid w:val="43BD0C0D"/>
    <w:rsid w:val="43E5371D"/>
    <w:rsid w:val="442D5F13"/>
    <w:rsid w:val="444E5D09"/>
    <w:rsid w:val="44725942"/>
    <w:rsid w:val="449000D0"/>
    <w:rsid w:val="44B6565C"/>
    <w:rsid w:val="452462CD"/>
    <w:rsid w:val="45617CBE"/>
    <w:rsid w:val="45D77857"/>
    <w:rsid w:val="46113492"/>
    <w:rsid w:val="46492C2C"/>
    <w:rsid w:val="474B4782"/>
    <w:rsid w:val="48276F9D"/>
    <w:rsid w:val="484F02A2"/>
    <w:rsid w:val="486C0E54"/>
    <w:rsid w:val="489C5993"/>
    <w:rsid w:val="48A26623"/>
    <w:rsid w:val="48F8683C"/>
    <w:rsid w:val="49843F7B"/>
    <w:rsid w:val="49B75E5F"/>
    <w:rsid w:val="4A062BE2"/>
    <w:rsid w:val="4A4C1A86"/>
    <w:rsid w:val="4A834233"/>
    <w:rsid w:val="4B284B79"/>
    <w:rsid w:val="4B58746D"/>
    <w:rsid w:val="4B791D9B"/>
    <w:rsid w:val="4C213D03"/>
    <w:rsid w:val="4C4874E2"/>
    <w:rsid w:val="4C6C04EA"/>
    <w:rsid w:val="4C9E7102"/>
    <w:rsid w:val="4CED0003"/>
    <w:rsid w:val="4CF3569F"/>
    <w:rsid w:val="4D7A7B6F"/>
    <w:rsid w:val="4E0539C7"/>
    <w:rsid w:val="4E37780E"/>
    <w:rsid w:val="4E775B81"/>
    <w:rsid w:val="4EB61EE8"/>
    <w:rsid w:val="4EE625F2"/>
    <w:rsid w:val="4F3B3752"/>
    <w:rsid w:val="4F557144"/>
    <w:rsid w:val="4FC6067D"/>
    <w:rsid w:val="500D6A78"/>
    <w:rsid w:val="504D2FC4"/>
    <w:rsid w:val="50932F36"/>
    <w:rsid w:val="50935FBB"/>
    <w:rsid w:val="50CC3654"/>
    <w:rsid w:val="50DE3FE5"/>
    <w:rsid w:val="510A120A"/>
    <w:rsid w:val="510D2AA8"/>
    <w:rsid w:val="518E1E3B"/>
    <w:rsid w:val="51975A63"/>
    <w:rsid w:val="51BF3DA2"/>
    <w:rsid w:val="52B23907"/>
    <w:rsid w:val="52CF270B"/>
    <w:rsid w:val="52FC15DB"/>
    <w:rsid w:val="531719BC"/>
    <w:rsid w:val="53360094"/>
    <w:rsid w:val="536F17F8"/>
    <w:rsid w:val="53867C5C"/>
    <w:rsid w:val="54520EFE"/>
    <w:rsid w:val="55020B76"/>
    <w:rsid w:val="551E7032"/>
    <w:rsid w:val="55DA564E"/>
    <w:rsid w:val="5640122A"/>
    <w:rsid w:val="56D04DA1"/>
    <w:rsid w:val="57542FDD"/>
    <w:rsid w:val="579D0284"/>
    <w:rsid w:val="57B40121"/>
    <w:rsid w:val="57B86FD9"/>
    <w:rsid w:val="588A146B"/>
    <w:rsid w:val="59276352"/>
    <w:rsid w:val="5934151A"/>
    <w:rsid w:val="59706C73"/>
    <w:rsid w:val="59BB7545"/>
    <w:rsid w:val="59BF3A4B"/>
    <w:rsid w:val="59C7413C"/>
    <w:rsid w:val="5A1B1CCA"/>
    <w:rsid w:val="5A296602"/>
    <w:rsid w:val="5A2E0476"/>
    <w:rsid w:val="5AE76118"/>
    <w:rsid w:val="5AF22249"/>
    <w:rsid w:val="5BBA4828"/>
    <w:rsid w:val="5BE82147"/>
    <w:rsid w:val="5C274672"/>
    <w:rsid w:val="5C3B496D"/>
    <w:rsid w:val="5C555F87"/>
    <w:rsid w:val="5C5D0D87"/>
    <w:rsid w:val="5C6E089F"/>
    <w:rsid w:val="5CE92072"/>
    <w:rsid w:val="5D1F428F"/>
    <w:rsid w:val="5D2933F0"/>
    <w:rsid w:val="5DC42740"/>
    <w:rsid w:val="5E1048BB"/>
    <w:rsid w:val="5E5C3D6D"/>
    <w:rsid w:val="5EC724E8"/>
    <w:rsid w:val="5ED115B9"/>
    <w:rsid w:val="5F487ACD"/>
    <w:rsid w:val="5FB127AC"/>
    <w:rsid w:val="5FE86BBA"/>
    <w:rsid w:val="602D0A71"/>
    <w:rsid w:val="604B5FC0"/>
    <w:rsid w:val="60932FCA"/>
    <w:rsid w:val="611A7247"/>
    <w:rsid w:val="6162474A"/>
    <w:rsid w:val="624526B2"/>
    <w:rsid w:val="625366DC"/>
    <w:rsid w:val="62E33669"/>
    <w:rsid w:val="63332842"/>
    <w:rsid w:val="63732C3E"/>
    <w:rsid w:val="644B5969"/>
    <w:rsid w:val="646B1B68"/>
    <w:rsid w:val="6479500E"/>
    <w:rsid w:val="649B41FB"/>
    <w:rsid w:val="64AF7CA6"/>
    <w:rsid w:val="64CD45D0"/>
    <w:rsid w:val="64CD6143"/>
    <w:rsid w:val="64ED73A7"/>
    <w:rsid w:val="65020567"/>
    <w:rsid w:val="65BA2DA7"/>
    <w:rsid w:val="65D7426B"/>
    <w:rsid w:val="66F145A6"/>
    <w:rsid w:val="68D66149"/>
    <w:rsid w:val="695E7EED"/>
    <w:rsid w:val="69A47FF6"/>
    <w:rsid w:val="69DA274F"/>
    <w:rsid w:val="69EC54F9"/>
    <w:rsid w:val="69F06072"/>
    <w:rsid w:val="6A260A0B"/>
    <w:rsid w:val="6A3053E5"/>
    <w:rsid w:val="6A4610AD"/>
    <w:rsid w:val="6A835E5D"/>
    <w:rsid w:val="6AA45232"/>
    <w:rsid w:val="6AC10733"/>
    <w:rsid w:val="6B016D82"/>
    <w:rsid w:val="6BAC13E3"/>
    <w:rsid w:val="6BAE3435"/>
    <w:rsid w:val="6BB107A8"/>
    <w:rsid w:val="6C0A466D"/>
    <w:rsid w:val="6C9C2939"/>
    <w:rsid w:val="6CB22A29"/>
    <w:rsid w:val="6CC369E5"/>
    <w:rsid w:val="6CF52916"/>
    <w:rsid w:val="6D237483"/>
    <w:rsid w:val="6DB90012"/>
    <w:rsid w:val="6DCC43B7"/>
    <w:rsid w:val="6DCF7F43"/>
    <w:rsid w:val="6E0A419F"/>
    <w:rsid w:val="6E453429"/>
    <w:rsid w:val="6E755ABD"/>
    <w:rsid w:val="6EB37B9B"/>
    <w:rsid w:val="6EC40C3A"/>
    <w:rsid w:val="6FA81EC2"/>
    <w:rsid w:val="6FC0720B"/>
    <w:rsid w:val="6FDD7DBD"/>
    <w:rsid w:val="6FE0165C"/>
    <w:rsid w:val="70310109"/>
    <w:rsid w:val="70F33611"/>
    <w:rsid w:val="719E357C"/>
    <w:rsid w:val="725C278B"/>
    <w:rsid w:val="725D3437"/>
    <w:rsid w:val="72783DCD"/>
    <w:rsid w:val="72872262"/>
    <w:rsid w:val="732950C8"/>
    <w:rsid w:val="733712EA"/>
    <w:rsid w:val="735C724B"/>
    <w:rsid w:val="73724CC1"/>
    <w:rsid w:val="73920EBF"/>
    <w:rsid w:val="7395275D"/>
    <w:rsid w:val="73BC4A5D"/>
    <w:rsid w:val="73C51294"/>
    <w:rsid w:val="741C6D50"/>
    <w:rsid w:val="7487479C"/>
    <w:rsid w:val="74883D44"/>
    <w:rsid w:val="74C976B2"/>
    <w:rsid w:val="750A005E"/>
    <w:rsid w:val="753D30AC"/>
    <w:rsid w:val="75502DDF"/>
    <w:rsid w:val="75C42105"/>
    <w:rsid w:val="75D24036"/>
    <w:rsid w:val="75ED4AD2"/>
    <w:rsid w:val="7614205F"/>
    <w:rsid w:val="76171B4F"/>
    <w:rsid w:val="76530DD9"/>
    <w:rsid w:val="769E3921"/>
    <w:rsid w:val="76C45833"/>
    <w:rsid w:val="76C577FD"/>
    <w:rsid w:val="770037CB"/>
    <w:rsid w:val="774C5829"/>
    <w:rsid w:val="777F175A"/>
    <w:rsid w:val="7798281C"/>
    <w:rsid w:val="77DE2925"/>
    <w:rsid w:val="77E15F71"/>
    <w:rsid w:val="78572C05"/>
    <w:rsid w:val="78A27DF6"/>
    <w:rsid w:val="78B95140"/>
    <w:rsid w:val="791D122B"/>
    <w:rsid w:val="7931117A"/>
    <w:rsid w:val="796055BB"/>
    <w:rsid w:val="798404C6"/>
    <w:rsid w:val="79986B03"/>
    <w:rsid w:val="79B3393D"/>
    <w:rsid w:val="7A0B2DDB"/>
    <w:rsid w:val="7A24496E"/>
    <w:rsid w:val="7A8F3F6F"/>
    <w:rsid w:val="7A9C2623"/>
    <w:rsid w:val="7AEB1DD2"/>
    <w:rsid w:val="7B130B37"/>
    <w:rsid w:val="7BDA022F"/>
    <w:rsid w:val="7BDF310F"/>
    <w:rsid w:val="7C1C3A1B"/>
    <w:rsid w:val="7CEC5AE4"/>
    <w:rsid w:val="7D472D1A"/>
    <w:rsid w:val="7D4C752D"/>
    <w:rsid w:val="7DAE0FEB"/>
    <w:rsid w:val="7DC230B4"/>
    <w:rsid w:val="7DC533F2"/>
    <w:rsid w:val="7DCF30DB"/>
    <w:rsid w:val="7E026C41"/>
    <w:rsid w:val="7E933D3D"/>
    <w:rsid w:val="7F076C05"/>
    <w:rsid w:val="7F466CF0"/>
    <w:rsid w:val="7F561A75"/>
    <w:rsid w:val="7F831BB8"/>
    <w:rsid w:val="7FA93CFF"/>
    <w:rsid w:val="7FC34A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iPriority="99"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5"/>
    <w:qFormat/>
    <w:uiPriority w:val="0"/>
    <w:pPr>
      <w:keepNext/>
      <w:jc w:val="center"/>
      <w:outlineLvl w:val="0"/>
    </w:pPr>
    <w:rPr>
      <w:b/>
      <w:bCs/>
      <w:sz w:val="24"/>
      <w:szCs w:val="20"/>
    </w:rPr>
  </w:style>
  <w:style w:type="paragraph" w:styleId="3">
    <w:name w:val="heading 2"/>
    <w:basedOn w:val="1"/>
    <w:next w:val="1"/>
    <w:link w:val="144"/>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3"/>
    <w:qFormat/>
    <w:uiPriority w:val="0"/>
    <w:pPr>
      <w:keepNext/>
      <w:keepLines/>
      <w:spacing w:before="260" w:after="260" w:line="416" w:lineRule="auto"/>
      <w:outlineLvl w:val="2"/>
    </w:pPr>
    <w:rPr>
      <w:b/>
      <w:bCs/>
      <w:sz w:val="32"/>
      <w:szCs w:val="32"/>
    </w:rPr>
  </w:style>
  <w:style w:type="paragraph" w:styleId="5">
    <w:name w:val="heading 4"/>
    <w:basedOn w:val="1"/>
    <w:next w:val="1"/>
    <w:link w:val="7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7"/>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6"/>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6"/>
    <w:semiHidden/>
    <w:qFormat/>
    <w:uiPriority w:val="0"/>
    <w:pPr>
      <w:shd w:val="clear" w:color="auto" w:fill="000080"/>
    </w:pPr>
  </w:style>
  <w:style w:type="paragraph" w:styleId="15">
    <w:name w:val="annotation text"/>
    <w:basedOn w:val="1"/>
    <w:link w:val="147"/>
    <w:semiHidden/>
    <w:qFormat/>
    <w:uiPriority w:val="0"/>
    <w:pPr>
      <w:jc w:val="left"/>
    </w:pPr>
  </w:style>
  <w:style w:type="paragraph" w:styleId="16">
    <w:name w:val="Salutation"/>
    <w:basedOn w:val="1"/>
    <w:next w:val="1"/>
    <w:link w:val="114"/>
    <w:qFormat/>
    <w:uiPriority w:val="0"/>
    <w:rPr>
      <w:rFonts w:ascii="仿宋_GB2312" w:eastAsia="仿宋_GB2312"/>
      <w:sz w:val="24"/>
    </w:rPr>
  </w:style>
  <w:style w:type="paragraph" w:styleId="17">
    <w:name w:val="Body Text 3"/>
    <w:basedOn w:val="1"/>
    <w:link w:val="130"/>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Body Text"/>
    <w:basedOn w:val="1"/>
    <w:next w:val="1"/>
    <w:link w:val="127"/>
    <w:qFormat/>
    <w:uiPriority w:val="0"/>
    <w:pPr>
      <w:spacing w:after="120"/>
    </w:pPr>
  </w:style>
  <w:style w:type="paragraph" w:styleId="19">
    <w:name w:val="Body Text Indent"/>
    <w:basedOn w:val="1"/>
    <w:next w:val="20"/>
    <w:link w:val="112"/>
    <w:qFormat/>
    <w:uiPriority w:val="0"/>
    <w:pPr>
      <w:spacing w:after="120"/>
      <w:ind w:left="420" w:leftChars="200"/>
    </w:pPr>
  </w:style>
  <w:style w:type="paragraph" w:styleId="20">
    <w:name w:val="envelope return"/>
    <w:basedOn w:val="1"/>
    <w:qFormat/>
    <w:uiPriority w:val="0"/>
    <w:pPr>
      <w:snapToGrid w:val="0"/>
    </w:pPr>
    <w:rPr>
      <w:rFonts w:ascii="Arial" w:hAnsi="Arial"/>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39"/>
    <w:pPr>
      <w:ind w:left="1680" w:leftChars="800"/>
    </w:pPr>
    <w:rPr>
      <w:rFonts w:ascii="Calibri" w:hAnsi="Calibri"/>
      <w:szCs w:val="22"/>
    </w:rPr>
  </w:style>
  <w:style w:type="paragraph" w:styleId="23">
    <w:name w:val="toc 3"/>
    <w:basedOn w:val="1"/>
    <w:next w:val="1"/>
    <w:qFormat/>
    <w:uiPriority w:val="39"/>
    <w:pPr>
      <w:adjustRightInd w:val="0"/>
      <w:snapToGrid w:val="0"/>
      <w:spacing w:line="360" w:lineRule="auto"/>
      <w:ind w:left="400" w:leftChars="400"/>
    </w:pPr>
  </w:style>
  <w:style w:type="paragraph" w:styleId="24">
    <w:name w:val="Plain Text"/>
    <w:basedOn w:val="1"/>
    <w:link w:val="160"/>
    <w:qFormat/>
    <w:uiPriority w:val="0"/>
    <w:rPr>
      <w:rFonts w:ascii="宋体" w:hAnsi="Courier New" w:cs="Courier New"/>
      <w:szCs w:val="21"/>
    </w:rPr>
  </w:style>
  <w:style w:type="paragraph" w:styleId="25">
    <w:name w:val="toc 8"/>
    <w:basedOn w:val="1"/>
    <w:next w:val="1"/>
    <w:qFormat/>
    <w:uiPriority w:val="39"/>
    <w:pPr>
      <w:ind w:left="2940" w:leftChars="1400"/>
    </w:pPr>
    <w:rPr>
      <w:rFonts w:ascii="Calibri" w:hAnsi="Calibri"/>
      <w:szCs w:val="22"/>
    </w:rPr>
  </w:style>
  <w:style w:type="paragraph" w:styleId="26">
    <w:name w:val="Date"/>
    <w:basedOn w:val="1"/>
    <w:next w:val="1"/>
    <w:link w:val="91"/>
    <w:qFormat/>
    <w:uiPriority w:val="99"/>
    <w:rPr>
      <w:sz w:val="24"/>
      <w:szCs w:val="20"/>
    </w:rPr>
  </w:style>
  <w:style w:type="paragraph" w:styleId="27">
    <w:name w:val="Body Text Indent 2"/>
    <w:basedOn w:val="1"/>
    <w:link w:val="138"/>
    <w:qFormat/>
    <w:uiPriority w:val="0"/>
    <w:pPr>
      <w:spacing w:after="120" w:line="480" w:lineRule="auto"/>
      <w:ind w:left="420" w:leftChars="200"/>
    </w:pPr>
  </w:style>
  <w:style w:type="paragraph" w:styleId="28">
    <w:name w:val="Balloon Text"/>
    <w:basedOn w:val="1"/>
    <w:link w:val="165"/>
    <w:qFormat/>
    <w:uiPriority w:val="0"/>
    <w:rPr>
      <w:rFonts w:ascii="Calibri" w:hAnsi="Calibri"/>
      <w:sz w:val="18"/>
      <w:szCs w:val="18"/>
    </w:rPr>
  </w:style>
  <w:style w:type="paragraph" w:styleId="29">
    <w:name w:val="footer"/>
    <w:basedOn w:val="1"/>
    <w:link w:val="113"/>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834"/>
      </w:tabs>
      <w:adjustRightInd w:val="0"/>
      <w:snapToGrid w:val="0"/>
      <w:spacing w:line="360" w:lineRule="auto"/>
    </w:pPr>
    <w:rPr>
      <w:rFonts w:asciiTheme="minorEastAsia" w:hAnsiTheme="minorEastAsia" w:eastAsiaTheme="minorEastAsia"/>
      <w:b/>
      <w:sz w:val="24"/>
    </w:rPr>
  </w:style>
  <w:style w:type="paragraph" w:styleId="32">
    <w:name w:val="toc 4"/>
    <w:basedOn w:val="1"/>
    <w:next w:val="1"/>
    <w:qFormat/>
    <w:uiPriority w:val="39"/>
    <w:pPr>
      <w:adjustRightInd w:val="0"/>
      <w:snapToGrid w:val="0"/>
      <w:spacing w:line="360" w:lineRule="auto"/>
      <w:ind w:left="600" w:leftChars="600"/>
    </w:pPr>
    <w:rPr>
      <w:b/>
    </w:rPr>
  </w:style>
  <w:style w:type="paragraph" w:styleId="33">
    <w:name w:val="toc 6"/>
    <w:basedOn w:val="1"/>
    <w:next w:val="1"/>
    <w:qFormat/>
    <w:uiPriority w:val="39"/>
    <w:pPr>
      <w:ind w:left="2100" w:leftChars="1000"/>
    </w:pPr>
    <w:rPr>
      <w:rFonts w:ascii="Calibri" w:hAnsi="Calibri"/>
      <w:szCs w:val="22"/>
    </w:rPr>
  </w:style>
  <w:style w:type="paragraph" w:styleId="34">
    <w:name w:val="Body Text Indent 3"/>
    <w:basedOn w:val="1"/>
    <w:next w:val="1"/>
    <w:link w:val="163"/>
    <w:qFormat/>
    <w:uiPriority w:val="0"/>
    <w:pPr>
      <w:spacing w:after="120"/>
      <w:ind w:left="420" w:leftChars="200"/>
    </w:pPr>
    <w:rPr>
      <w:sz w:val="16"/>
      <w:szCs w:val="16"/>
    </w:rPr>
  </w:style>
  <w:style w:type="paragraph" w:styleId="35">
    <w:name w:val="toc 2"/>
    <w:basedOn w:val="1"/>
    <w:next w:val="1"/>
    <w:qFormat/>
    <w:uiPriority w:val="39"/>
    <w:pPr>
      <w:adjustRightInd w:val="0"/>
      <w:snapToGrid w:val="0"/>
      <w:spacing w:line="360" w:lineRule="auto"/>
      <w:ind w:left="200" w:leftChars="200"/>
    </w:pPr>
  </w:style>
  <w:style w:type="paragraph" w:styleId="36">
    <w:name w:val="toc 9"/>
    <w:basedOn w:val="1"/>
    <w:next w:val="1"/>
    <w:qFormat/>
    <w:uiPriority w:val="39"/>
    <w:pPr>
      <w:ind w:left="3360" w:leftChars="1600"/>
    </w:pPr>
    <w:rPr>
      <w:rFonts w:ascii="Calibri" w:hAnsi="Calibri"/>
      <w:szCs w:val="22"/>
    </w:rPr>
  </w:style>
  <w:style w:type="paragraph" w:styleId="37">
    <w:name w:val="Body Text 2"/>
    <w:basedOn w:val="1"/>
    <w:next w:val="18"/>
    <w:link w:val="93"/>
    <w:qFormat/>
    <w:uiPriority w:val="0"/>
    <w:pPr>
      <w:spacing w:after="120" w:line="480" w:lineRule="auto"/>
    </w:pPr>
  </w:style>
  <w:style w:type="paragraph" w:styleId="38">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pPr>
      <w:spacing w:line="220" w:lineRule="exact"/>
      <w:jc w:val="center"/>
    </w:pPr>
    <w:rPr>
      <w:rFonts w:ascii="仿宋_GB2312" w:eastAsia="仿宋_GB2312"/>
      <w:szCs w:val="20"/>
    </w:rPr>
  </w:style>
  <w:style w:type="paragraph" w:styleId="41">
    <w:name w:val="Title"/>
    <w:basedOn w:val="1"/>
    <w:next w:val="1"/>
    <w:qFormat/>
    <w:uiPriority w:val="0"/>
    <w:pPr>
      <w:spacing w:before="240" w:after="60"/>
      <w:jc w:val="center"/>
      <w:outlineLvl w:val="0"/>
    </w:pPr>
    <w:rPr>
      <w:rFonts w:ascii="Cambria" w:hAnsi="Cambria"/>
      <w:b/>
      <w:sz w:val="32"/>
    </w:rPr>
  </w:style>
  <w:style w:type="paragraph" w:styleId="42">
    <w:name w:val="annotation subject"/>
    <w:basedOn w:val="15"/>
    <w:next w:val="15"/>
    <w:link w:val="115"/>
    <w:qFormat/>
    <w:uiPriority w:val="0"/>
    <w:rPr>
      <w:b/>
      <w:bCs/>
    </w:rPr>
  </w:style>
  <w:style w:type="paragraph" w:styleId="43">
    <w:name w:val="Body Text First Indent"/>
    <w:basedOn w:val="18"/>
    <w:unhideWhenUsed/>
    <w:qFormat/>
    <w:uiPriority w:val="99"/>
    <w:pPr>
      <w:ind w:firstLine="420" w:firstLineChars="100"/>
    </w:pPr>
  </w:style>
  <w:style w:type="paragraph" w:styleId="44">
    <w:name w:val="Body Text First Indent 2"/>
    <w:basedOn w:val="19"/>
    <w:next w:val="12"/>
    <w:semiHidden/>
    <w:unhideWhenUsed/>
    <w:qFormat/>
    <w:uiPriority w:val="99"/>
    <w:pPr>
      <w:ind w:firstLine="420" w:firstLineChars="200"/>
    </w:p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rFonts w:ascii="Times New Roman" w:hAnsi="Times New Roman" w:eastAsia="宋体"/>
    </w:rPr>
  </w:style>
  <w:style w:type="character" w:styleId="52">
    <w:name w:val="HTML Definition"/>
    <w:qFormat/>
    <w:uiPriority w:val="0"/>
    <w:rPr>
      <w:rFonts w:ascii="Times New Roman" w:hAnsi="Times New Roman" w:eastAsia="宋体"/>
    </w:rPr>
  </w:style>
  <w:style w:type="character" w:styleId="53">
    <w:name w:val="HTML Variable"/>
    <w:qFormat/>
    <w:uiPriority w:val="0"/>
    <w:rPr>
      <w:rFonts w:ascii="Times New Roman" w:hAnsi="Times New Roman" w:eastAsia="宋体"/>
    </w:rPr>
  </w:style>
  <w:style w:type="character" w:styleId="54">
    <w:name w:val="Hyperlink"/>
    <w:qFormat/>
    <w:uiPriority w:val="99"/>
    <w:rPr>
      <w:color w:val="136EC2"/>
      <w:u w:val="single"/>
    </w:rPr>
  </w:style>
  <w:style w:type="character" w:styleId="55">
    <w:name w:val="HTML Code"/>
    <w:qFormat/>
    <w:uiPriority w:val="0"/>
    <w:rPr>
      <w:rFonts w:ascii="Courier New" w:hAnsi="Courier New" w:eastAsia="Courier New" w:cs="Courier New"/>
      <w:sz w:val="20"/>
    </w:rPr>
  </w:style>
  <w:style w:type="character" w:styleId="56">
    <w:name w:val="annotation reference"/>
    <w:qFormat/>
    <w:uiPriority w:val="0"/>
    <w:rPr>
      <w:sz w:val="21"/>
      <w:szCs w:val="21"/>
    </w:rPr>
  </w:style>
  <w:style w:type="character" w:styleId="57">
    <w:name w:val="HTML Cite"/>
    <w:qFormat/>
    <w:uiPriority w:val="0"/>
    <w:rPr>
      <w:rFonts w:ascii="Times New Roman" w:hAnsi="Times New Roman" w:eastAsia="宋体"/>
    </w:rPr>
  </w:style>
  <w:style w:type="character" w:styleId="58">
    <w:name w:val="HTML Keyboard"/>
    <w:qFormat/>
    <w:uiPriority w:val="0"/>
    <w:rPr>
      <w:rFonts w:ascii="Courier New" w:hAnsi="Courier New" w:eastAsia="Courier New" w:cs="Courier New"/>
      <w:sz w:val="20"/>
    </w:rPr>
  </w:style>
  <w:style w:type="character" w:styleId="59">
    <w:name w:val="HTML Sample"/>
    <w:qFormat/>
    <w:uiPriority w:val="0"/>
    <w:rPr>
      <w:rFonts w:ascii="Courier New" w:hAnsi="Courier New" w:eastAsia="Courier New" w:cs="Courier New"/>
    </w:rPr>
  </w:style>
  <w:style w:type="character" w:customStyle="1" w:styleId="60">
    <w:name w:val="标题 3 Char"/>
    <w:qFormat/>
    <w:uiPriority w:val="0"/>
    <w:rPr>
      <w:b/>
      <w:bCs/>
      <w:sz w:val="24"/>
      <w:szCs w:val="24"/>
    </w:rPr>
  </w:style>
  <w:style w:type="paragraph" w:customStyle="1" w:styleId="61">
    <w:name w:val="列出段落1"/>
    <w:basedOn w:val="62"/>
    <w:next w:val="1"/>
    <w:qFormat/>
    <w:uiPriority w:val="0"/>
    <w:pPr>
      <w:ind w:firstLine="420" w:firstLineChars="200"/>
    </w:pPr>
    <w:rPr>
      <w:rFonts w:ascii="Calibri" w:hAnsi="Calibri"/>
      <w:szCs w:val="22"/>
    </w:rPr>
  </w:style>
  <w:style w:type="paragraph" w:customStyle="1" w:styleId="62">
    <w:name w:val="正文_4"/>
    <w:next w:val="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正文文本_4"/>
    <w:basedOn w:val="62"/>
    <w:qFormat/>
    <w:uiPriority w:val="0"/>
    <w:pPr>
      <w:spacing w:after="120"/>
    </w:pPr>
  </w:style>
  <w:style w:type="paragraph" w:customStyle="1" w:styleId="64">
    <w:name w:val="font5"/>
    <w:basedOn w:val="1"/>
    <w:qFormat/>
    <w:uiPriority w:val="0"/>
    <w:pPr>
      <w:widowControl/>
      <w:spacing w:before="100" w:beforeAutospacing="1" w:after="100" w:afterAutospacing="1"/>
      <w:jc w:val="left"/>
    </w:pPr>
    <w:rPr>
      <w:rFonts w:ascii="宋体" w:hAnsi="宋体" w:cs="宋体"/>
      <w:kern w:val="0"/>
      <w:sz w:val="20"/>
      <w:szCs w:val="20"/>
    </w:rPr>
  </w:style>
  <w:style w:type="character" w:customStyle="1" w:styleId="65">
    <w:name w:val="sidecatalog-dot"/>
    <w:qFormat/>
    <w:uiPriority w:val="0"/>
    <w:rPr>
      <w:rFonts w:ascii="Times New Roman" w:hAnsi="Times New Roman" w:eastAsia="宋体"/>
    </w:rPr>
  </w:style>
  <w:style w:type="character" w:customStyle="1" w:styleId="66">
    <w:name w:val="标题 Char1"/>
    <w:qFormat/>
    <w:uiPriority w:val="10"/>
    <w:rPr>
      <w:rFonts w:ascii="Cambria" w:hAnsi="Cambria" w:eastAsia="宋体" w:cs="Times New Roman"/>
      <w:b/>
      <w:bCs/>
      <w:sz w:val="32"/>
      <w:szCs w:val="32"/>
    </w:rPr>
  </w:style>
  <w:style w:type="character" w:customStyle="1" w:styleId="67">
    <w:name w:val="标题 2 Char"/>
    <w:qFormat/>
    <w:uiPriority w:val="0"/>
    <w:rPr>
      <w:rFonts w:ascii="Cambria" w:hAnsi="Cambria" w:eastAsia="宋体" w:cs="Times New Roman"/>
      <w:b/>
      <w:bCs/>
      <w:kern w:val="2"/>
      <w:sz w:val="32"/>
      <w:szCs w:val="32"/>
    </w:rPr>
  </w:style>
  <w:style w:type="character" w:customStyle="1" w:styleId="68">
    <w:name w:val="Font Style123"/>
    <w:unhideWhenUsed/>
    <w:qFormat/>
    <w:uiPriority w:val="0"/>
    <w:rPr>
      <w:rFonts w:hint="eastAsia" w:ascii="宋体" w:hAnsi="宋体" w:eastAsia="宋体"/>
      <w:b/>
      <w:sz w:val="32"/>
    </w:rPr>
  </w:style>
  <w:style w:type="character" w:customStyle="1" w:styleId="69">
    <w:name w:val="font11"/>
    <w:qFormat/>
    <w:uiPriority w:val="0"/>
    <w:rPr>
      <w:rFonts w:hint="eastAsia" w:ascii="宋体" w:hAnsi="宋体" w:eastAsia="宋体" w:cs="宋体"/>
      <w:color w:val="000000"/>
      <w:sz w:val="28"/>
      <w:szCs w:val="28"/>
      <w:u w:val="none"/>
    </w:rPr>
  </w:style>
  <w:style w:type="character" w:customStyle="1" w:styleId="70">
    <w:name w:val="sort1"/>
    <w:qFormat/>
    <w:uiPriority w:val="0"/>
    <w:rPr>
      <w:rFonts w:ascii="Times New Roman" w:hAnsi="Times New Roman" w:eastAsia="宋体"/>
    </w:rPr>
  </w:style>
  <w:style w:type="character" w:customStyle="1" w:styleId="71">
    <w:name w:val="页脚 Char"/>
    <w:qFormat/>
    <w:uiPriority w:val="99"/>
    <w:rPr>
      <w:kern w:val="2"/>
      <w:sz w:val="18"/>
      <w:szCs w:val="18"/>
    </w:rPr>
  </w:style>
  <w:style w:type="character" w:customStyle="1" w:styleId="72">
    <w:name w:val="Font Style105"/>
    <w:unhideWhenUsed/>
    <w:qFormat/>
    <w:uiPriority w:val="0"/>
    <w:rPr>
      <w:rFonts w:hint="eastAsia" w:ascii="Times New Roman" w:hAnsi="Times New Roman" w:eastAsia="Times New Roman"/>
      <w:w w:val="60"/>
      <w:sz w:val="26"/>
    </w:rPr>
  </w:style>
  <w:style w:type="character" w:customStyle="1" w:styleId="73">
    <w:name w:val="标题 9 Char"/>
    <w:qFormat/>
    <w:uiPriority w:val="0"/>
    <w:rPr>
      <w:rFonts w:ascii="Arial" w:hAnsi="Arial" w:eastAsia="黑体"/>
      <w:sz w:val="21"/>
      <w:szCs w:val="21"/>
    </w:rPr>
  </w:style>
  <w:style w:type="character" w:customStyle="1" w:styleId="74">
    <w:name w:val="标题 7 Char"/>
    <w:qFormat/>
    <w:uiPriority w:val="0"/>
    <w:rPr>
      <w:b/>
      <w:bCs/>
      <w:sz w:val="24"/>
      <w:szCs w:val="24"/>
    </w:rPr>
  </w:style>
  <w:style w:type="character" w:customStyle="1" w:styleId="75">
    <w:name w:val="标题 1 Char1"/>
    <w:link w:val="2"/>
    <w:qFormat/>
    <w:uiPriority w:val="0"/>
    <w:rPr>
      <w:rFonts w:eastAsia="宋体"/>
      <w:b/>
      <w:bCs/>
      <w:kern w:val="2"/>
      <w:sz w:val="24"/>
      <w:lang w:val="en-US" w:eastAsia="zh-CN" w:bidi="ar-SA"/>
    </w:rPr>
  </w:style>
  <w:style w:type="character" w:customStyle="1" w:styleId="76">
    <w:name w:val="批注文字 Char Char"/>
    <w:qFormat/>
    <w:uiPriority w:val="0"/>
    <w:rPr>
      <w:kern w:val="2"/>
      <w:sz w:val="21"/>
      <w:szCs w:val="24"/>
      <w:lang w:bidi="ar-SA"/>
    </w:rPr>
  </w:style>
  <w:style w:type="character" w:customStyle="1" w:styleId="77">
    <w:name w:val="标题 4 Char1"/>
    <w:link w:val="5"/>
    <w:qFormat/>
    <w:uiPriority w:val="0"/>
    <w:rPr>
      <w:rFonts w:ascii="Arial" w:hAnsi="Arial" w:eastAsia="黑体"/>
      <w:b/>
      <w:bCs/>
      <w:kern w:val="2"/>
      <w:sz w:val="28"/>
      <w:szCs w:val="28"/>
      <w:lang w:val="en-US" w:eastAsia="zh-CN" w:bidi="ar-SA"/>
    </w:rPr>
  </w:style>
  <w:style w:type="character" w:customStyle="1" w:styleId="78">
    <w:name w:val="Font Style104"/>
    <w:unhideWhenUsed/>
    <w:qFormat/>
    <w:uiPriority w:val="0"/>
    <w:rPr>
      <w:rFonts w:hint="eastAsia" w:ascii="宋体" w:hAnsi="宋体" w:eastAsia="宋体"/>
      <w:spacing w:val="30"/>
      <w:sz w:val="18"/>
    </w:rPr>
  </w:style>
  <w:style w:type="character" w:customStyle="1" w:styleId="79">
    <w:name w:val="页眉 Char1"/>
    <w:link w:val="30"/>
    <w:qFormat/>
    <w:uiPriority w:val="0"/>
    <w:rPr>
      <w:rFonts w:eastAsia="宋体"/>
      <w:kern w:val="2"/>
      <w:sz w:val="18"/>
      <w:szCs w:val="18"/>
      <w:lang w:val="en-US" w:eastAsia="zh-CN" w:bidi="ar-SA"/>
    </w:rPr>
  </w:style>
  <w:style w:type="character" w:customStyle="1" w:styleId="80">
    <w:name w:val="Font Style134"/>
    <w:unhideWhenUsed/>
    <w:qFormat/>
    <w:uiPriority w:val="0"/>
    <w:rPr>
      <w:rFonts w:hint="eastAsia" w:ascii="宋体" w:hAnsi="宋体" w:eastAsia="宋体"/>
      <w:spacing w:val="20"/>
      <w:sz w:val="22"/>
    </w:rPr>
  </w:style>
  <w:style w:type="character" w:customStyle="1" w:styleId="81">
    <w:name w:val="标题 4 Char"/>
    <w:qFormat/>
    <w:uiPriority w:val="0"/>
    <w:rPr>
      <w:rFonts w:ascii="Arial" w:hAnsi="Arial" w:eastAsia="宋体" w:cs="Times New Roman"/>
      <w:b/>
      <w:bCs/>
      <w:szCs w:val="28"/>
    </w:rPr>
  </w:style>
  <w:style w:type="character" w:customStyle="1" w:styleId="82">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83">
    <w:name w:val="bds_nopic"/>
    <w:qFormat/>
    <w:uiPriority w:val="0"/>
    <w:rPr>
      <w:rFonts w:ascii="Times New Roman" w:hAnsi="Times New Roman" w:eastAsia="宋体"/>
    </w:rPr>
  </w:style>
  <w:style w:type="character" w:customStyle="1" w:styleId="84">
    <w:name w:val="Font Style126"/>
    <w:unhideWhenUsed/>
    <w:qFormat/>
    <w:uiPriority w:val="0"/>
    <w:rPr>
      <w:rFonts w:hint="eastAsia" w:ascii="宋体" w:hAnsi="宋体" w:eastAsia="宋体"/>
      <w:b/>
      <w:spacing w:val="-30"/>
      <w:sz w:val="28"/>
    </w:rPr>
  </w:style>
  <w:style w:type="character" w:customStyle="1" w:styleId="85">
    <w:name w:val="Font Style125"/>
    <w:unhideWhenUsed/>
    <w:qFormat/>
    <w:uiPriority w:val="0"/>
    <w:rPr>
      <w:rFonts w:hint="eastAsia" w:ascii="宋体" w:hAnsi="宋体" w:eastAsia="宋体"/>
      <w:b/>
      <w:sz w:val="26"/>
    </w:rPr>
  </w:style>
  <w:style w:type="character" w:customStyle="1" w:styleId="86">
    <w:name w:val="sidecatalog-index1"/>
    <w:qFormat/>
    <w:uiPriority w:val="0"/>
    <w:rPr>
      <w:rFonts w:ascii="Arial" w:hAnsi="Arial" w:eastAsia="宋体" w:cs="Arial"/>
      <w:b/>
      <w:color w:val="999999"/>
      <w:sz w:val="21"/>
      <w:szCs w:val="21"/>
    </w:rPr>
  </w:style>
  <w:style w:type="character" w:customStyle="1" w:styleId="87">
    <w:name w:val="HTML 预设格式 Char"/>
    <w:link w:val="38"/>
    <w:qFormat/>
    <w:uiPriority w:val="0"/>
    <w:rPr>
      <w:rFonts w:ascii="Arial" w:hAnsi="Arial" w:cs="Arial"/>
      <w:sz w:val="24"/>
      <w:szCs w:val="24"/>
    </w:rPr>
  </w:style>
  <w:style w:type="character" w:customStyle="1" w:styleId="88">
    <w:name w:val="Font Style117"/>
    <w:unhideWhenUsed/>
    <w:qFormat/>
    <w:uiPriority w:val="0"/>
    <w:rPr>
      <w:rFonts w:hint="eastAsia" w:ascii="宋体" w:hAnsi="宋体" w:eastAsia="宋体"/>
      <w:spacing w:val="20"/>
      <w:sz w:val="24"/>
    </w:rPr>
  </w:style>
  <w:style w:type="character" w:customStyle="1" w:styleId="89">
    <w:name w:val="标题 4 Char Char"/>
    <w:qFormat/>
    <w:uiPriority w:val="0"/>
    <w:rPr>
      <w:rFonts w:ascii="Arial" w:hAnsi="Arial" w:eastAsia="宋体"/>
      <w:b/>
      <w:bCs/>
      <w:kern w:val="2"/>
      <w:sz w:val="21"/>
      <w:szCs w:val="28"/>
      <w:lang w:val="en-US" w:eastAsia="zh-CN" w:bidi="ar-SA"/>
    </w:rPr>
  </w:style>
  <w:style w:type="character" w:customStyle="1" w:styleId="90">
    <w:name w:val="bds_nopic2"/>
    <w:qFormat/>
    <w:uiPriority w:val="0"/>
    <w:rPr>
      <w:rFonts w:ascii="Times New Roman" w:hAnsi="Times New Roman" w:eastAsia="宋体"/>
    </w:rPr>
  </w:style>
  <w:style w:type="character" w:customStyle="1" w:styleId="91">
    <w:name w:val="日期 Char1"/>
    <w:link w:val="26"/>
    <w:qFormat/>
    <w:uiPriority w:val="0"/>
    <w:rPr>
      <w:rFonts w:eastAsia="宋体"/>
      <w:kern w:val="2"/>
      <w:sz w:val="24"/>
      <w:lang w:val="en-US" w:eastAsia="zh-CN" w:bidi="ar-SA"/>
    </w:rPr>
  </w:style>
  <w:style w:type="character" w:customStyle="1" w:styleId="92">
    <w:name w:val="标题 6 Char"/>
    <w:qFormat/>
    <w:uiPriority w:val="0"/>
    <w:rPr>
      <w:rFonts w:ascii="Arial" w:hAnsi="Arial" w:eastAsia="黑体"/>
      <w:b/>
      <w:bCs/>
      <w:sz w:val="24"/>
      <w:szCs w:val="24"/>
    </w:rPr>
  </w:style>
  <w:style w:type="character" w:customStyle="1" w:styleId="93">
    <w:name w:val="正文文本 2 Char"/>
    <w:link w:val="37"/>
    <w:qFormat/>
    <w:uiPriority w:val="0"/>
    <w:rPr>
      <w:kern w:val="2"/>
      <w:sz w:val="21"/>
      <w:szCs w:val="24"/>
    </w:rPr>
  </w:style>
  <w:style w:type="character" w:customStyle="1" w:styleId="94">
    <w:name w:val="bds_more6"/>
    <w:qFormat/>
    <w:uiPriority w:val="0"/>
    <w:rPr>
      <w:rFonts w:hint="eastAsia" w:ascii="宋体" w:hAnsi="宋体" w:eastAsia="宋体" w:cs="宋体"/>
    </w:rPr>
  </w:style>
  <w:style w:type="character" w:customStyle="1" w:styleId="95">
    <w:name w:val="标题 1 Char"/>
    <w:qFormat/>
    <w:uiPriority w:val="0"/>
    <w:rPr>
      <w:rFonts w:ascii="Cambria" w:hAnsi="Cambria"/>
      <w:b/>
      <w:bCs/>
      <w:kern w:val="32"/>
      <w:sz w:val="32"/>
      <w:szCs w:val="32"/>
    </w:rPr>
  </w:style>
  <w:style w:type="character" w:customStyle="1" w:styleId="96">
    <w:name w:val="文档结构图 Char"/>
    <w:link w:val="14"/>
    <w:semiHidden/>
    <w:qFormat/>
    <w:uiPriority w:val="0"/>
    <w:rPr>
      <w:kern w:val="2"/>
      <w:sz w:val="21"/>
      <w:szCs w:val="24"/>
      <w:shd w:val="clear" w:color="auto" w:fill="000080"/>
    </w:rPr>
  </w:style>
  <w:style w:type="character" w:customStyle="1" w:styleId="97">
    <w:name w:val="p0 Char"/>
    <w:link w:val="98"/>
    <w:qFormat/>
    <w:uiPriority w:val="0"/>
    <w:rPr>
      <w:rFonts w:eastAsia="宋体"/>
      <w:sz w:val="21"/>
      <w:szCs w:val="21"/>
      <w:lang w:val="en-US" w:eastAsia="zh-CN" w:bidi="ar-SA"/>
    </w:rPr>
  </w:style>
  <w:style w:type="paragraph" w:customStyle="1" w:styleId="98">
    <w:name w:val="p0"/>
    <w:basedOn w:val="1"/>
    <w:link w:val="97"/>
    <w:qFormat/>
    <w:uiPriority w:val="0"/>
    <w:pPr>
      <w:widowControl/>
    </w:pPr>
    <w:rPr>
      <w:kern w:val="0"/>
      <w:szCs w:val="21"/>
    </w:rPr>
  </w:style>
  <w:style w:type="character" w:customStyle="1" w:styleId="99">
    <w:name w:val="Char Char17"/>
    <w:qFormat/>
    <w:uiPriority w:val="0"/>
    <w:rPr>
      <w:rFonts w:ascii="宋体" w:hAnsi="Times New Roman" w:eastAsia="宋体"/>
      <w:b/>
      <w:sz w:val="28"/>
      <w:lang w:val="en-US" w:eastAsia="zh-CN" w:bidi="ar-SA"/>
    </w:rPr>
  </w:style>
  <w:style w:type="character" w:customStyle="1" w:styleId="100">
    <w:name w:val="标题 5 Char1"/>
    <w:link w:val="6"/>
    <w:qFormat/>
    <w:uiPriority w:val="0"/>
    <w:rPr>
      <w:rFonts w:eastAsia="宋体"/>
      <w:b/>
      <w:bCs/>
      <w:sz w:val="28"/>
      <w:szCs w:val="28"/>
      <w:lang w:val="en-US" w:eastAsia="zh-CN" w:bidi="ar-SA"/>
    </w:rPr>
  </w:style>
  <w:style w:type="character" w:customStyle="1" w:styleId="101">
    <w:name w:val="polysemyexp"/>
    <w:qFormat/>
    <w:uiPriority w:val="0"/>
    <w:rPr>
      <w:rFonts w:ascii="Times New Roman" w:hAnsi="Times New Roman" w:eastAsia="宋体"/>
      <w:color w:val="AAAAAA"/>
      <w:sz w:val="18"/>
      <w:szCs w:val="18"/>
    </w:rPr>
  </w:style>
  <w:style w:type="character" w:customStyle="1" w:styleId="102">
    <w:name w:val="font51"/>
    <w:qFormat/>
    <w:uiPriority w:val="0"/>
    <w:rPr>
      <w:rFonts w:hint="eastAsia" w:ascii="宋体" w:hAnsi="宋体" w:eastAsia="宋体" w:cs="宋体"/>
      <w:b/>
      <w:color w:val="000000"/>
      <w:sz w:val="20"/>
      <w:szCs w:val="20"/>
      <w:u w:val="none"/>
    </w:rPr>
  </w:style>
  <w:style w:type="character" w:customStyle="1" w:styleId="103">
    <w:name w:val="标题 3 Char1"/>
    <w:link w:val="4"/>
    <w:qFormat/>
    <w:uiPriority w:val="0"/>
    <w:rPr>
      <w:rFonts w:eastAsia="宋体"/>
      <w:b/>
      <w:bCs/>
      <w:kern w:val="2"/>
      <w:sz w:val="32"/>
      <w:szCs w:val="32"/>
      <w:lang w:val="en-US" w:eastAsia="zh-CN" w:bidi="ar-SA"/>
    </w:rPr>
  </w:style>
  <w:style w:type="character" w:customStyle="1" w:styleId="104">
    <w:name w:val="bds_more10"/>
    <w:qFormat/>
    <w:uiPriority w:val="0"/>
    <w:rPr>
      <w:rFonts w:ascii="Times New Roman" w:hAnsi="Times New Roman" w:eastAsia="宋体"/>
    </w:rPr>
  </w:style>
  <w:style w:type="character" w:customStyle="1" w:styleId="105">
    <w:name w:val="font91"/>
    <w:qFormat/>
    <w:uiPriority w:val="0"/>
    <w:rPr>
      <w:rFonts w:hint="eastAsia" w:ascii="宋体" w:hAnsi="宋体" w:eastAsia="宋体" w:cs="宋体"/>
      <w:color w:val="000000"/>
      <w:sz w:val="20"/>
      <w:szCs w:val="20"/>
      <w:u w:val="none"/>
      <w:vertAlign w:val="superscript"/>
    </w:rPr>
  </w:style>
  <w:style w:type="character" w:customStyle="1" w:styleId="106">
    <w:name w:val="Char Char15"/>
    <w:qFormat/>
    <w:uiPriority w:val="0"/>
    <w:rPr>
      <w:b/>
      <w:bCs/>
      <w:sz w:val="24"/>
      <w:szCs w:val="24"/>
    </w:rPr>
  </w:style>
  <w:style w:type="character" w:customStyle="1" w:styleId="107">
    <w:name w:val="Char Char12"/>
    <w:qFormat/>
    <w:uiPriority w:val="0"/>
    <w:rPr>
      <w:rFonts w:ascii="Arial" w:hAnsi="Arial" w:eastAsia="黑体"/>
      <w:b/>
      <w:bCs/>
      <w:kern w:val="2"/>
      <w:sz w:val="28"/>
      <w:szCs w:val="28"/>
      <w:lang w:val="en-US" w:eastAsia="zh-CN" w:bidi="ar-SA"/>
    </w:rPr>
  </w:style>
  <w:style w:type="character" w:customStyle="1" w:styleId="108">
    <w:name w:val="Font Style122"/>
    <w:unhideWhenUsed/>
    <w:qFormat/>
    <w:uiPriority w:val="0"/>
    <w:rPr>
      <w:rFonts w:hint="eastAsia" w:ascii="宋体" w:hAnsi="宋体" w:eastAsia="宋体"/>
      <w:spacing w:val="20"/>
      <w:sz w:val="24"/>
    </w:rPr>
  </w:style>
  <w:style w:type="character" w:customStyle="1" w:styleId="109">
    <w:name w:val="Font Style115"/>
    <w:unhideWhenUsed/>
    <w:qFormat/>
    <w:uiPriority w:val="0"/>
    <w:rPr>
      <w:rFonts w:hint="eastAsia" w:ascii="Times New Roman" w:hAnsi="Times New Roman" w:eastAsia="Times New Roman"/>
      <w:sz w:val="16"/>
    </w:rPr>
  </w:style>
  <w:style w:type="character" w:customStyle="1" w:styleId="110">
    <w:name w:val="sidecatalog-dot1"/>
    <w:qFormat/>
    <w:uiPriority w:val="0"/>
    <w:rPr>
      <w:rFonts w:ascii="Times New Roman" w:hAnsi="Times New Roman" w:eastAsia="宋体"/>
    </w:rPr>
  </w:style>
  <w:style w:type="character" w:customStyle="1" w:styleId="111">
    <w:name w:val="font41"/>
    <w:qFormat/>
    <w:uiPriority w:val="0"/>
    <w:rPr>
      <w:rFonts w:hint="eastAsia" w:ascii="宋体" w:hAnsi="宋体" w:eastAsia="宋体" w:cs="宋体"/>
      <w:color w:val="FF0000"/>
      <w:sz w:val="20"/>
      <w:szCs w:val="20"/>
      <w:u w:val="none"/>
    </w:rPr>
  </w:style>
  <w:style w:type="character" w:customStyle="1" w:styleId="112">
    <w:name w:val="正文文本缩进 Char"/>
    <w:link w:val="19"/>
    <w:qFormat/>
    <w:uiPriority w:val="0"/>
    <w:rPr>
      <w:rFonts w:eastAsia="宋体"/>
      <w:kern w:val="2"/>
      <w:sz w:val="21"/>
      <w:szCs w:val="24"/>
      <w:lang w:val="en-US" w:eastAsia="zh-CN" w:bidi="ar-SA"/>
    </w:rPr>
  </w:style>
  <w:style w:type="character" w:customStyle="1" w:styleId="113">
    <w:name w:val="页脚 Char1"/>
    <w:link w:val="29"/>
    <w:qFormat/>
    <w:uiPriority w:val="0"/>
    <w:rPr>
      <w:rFonts w:eastAsia="宋体"/>
      <w:kern w:val="2"/>
      <w:sz w:val="18"/>
      <w:szCs w:val="18"/>
      <w:lang w:val="en-US" w:eastAsia="zh-CN" w:bidi="ar-SA"/>
    </w:rPr>
  </w:style>
  <w:style w:type="character" w:customStyle="1" w:styleId="114">
    <w:name w:val="称呼 Char"/>
    <w:link w:val="16"/>
    <w:qFormat/>
    <w:uiPriority w:val="0"/>
    <w:rPr>
      <w:rFonts w:ascii="仿宋_GB2312" w:eastAsia="仿宋_GB2312"/>
      <w:kern w:val="2"/>
      <w:sz w:val="24"/>
      <w:szCs w:val="24"/>
    </w:rPr>
  </w:style>
  <w:style w:type="character" w:customStyle="1" w:styleId="115">
    <w:name w:val="批注主题 Char1"/>
    <w:link w:val="42"/>
    <w:qFormat/>
    <w:uiPriority w:val="0"/>
    <w:rPr>
      <w:rFonts w:eastAsia="宋体"/>
      <w:b/>
      <w:bCs/>
      <w:kern w:val="2"/>
      <w:sz w:val="21"/>
      <w:szCs w:val="24"/>
      <w:lang w:val="en-US" w:eastAsia="zh-CN" w:bidi="ar-SA"/>
    </w:rPr>
  </w:style>
  <w:style w:type="character" w:customStyle="1" w:styleId="116">
    <w:name w:val="lemmatitleh12"/>
    <w:qFormat/>
    <w:uiPriority w:val="0"/>
    <w:rPr>
      <w:rFonts w:ascii="Times New Roman" w:hAnsi="Times New Roman" w:eastAsia="宋体"/>
    </w:rPr>
  </w:style>
  <w:style w:type="character" w:customStyle="1" w:styleId="117">
    <w:name w:val="正文文本缩进 3 Char"/>
    <w:qFormat/>
    <w:uiPriority w:val="0"/>
    <w:rPr>
      <w:rFonts w:ascii="宋体" w:hAnsi="MS Sans Serif"/>
      <w:color w:val="000000"/>
      <w:sz w:val="24"/>
    </w:rPr>
  </w:style>
  <w:style w:type="character" w:customStyle="1" w:styleId="118">
    <w:name w:val="标题 9 Char1"/>
    <w:link w:val="10"/>
    <w:qFormat/>
    <w:uiPriority w:val="0"/>
    <w:rPr>
      <w:rFonts w:ascii="Arial" w:hAnsi="Arial" w:eastAsia="黑体"/>
      <w:sz w:val="21"/>
      <w:szCs w:val="21"/>
      <w:lang w:val="en-US" w:eastAsia="zh-CN" w:bidi="ar-SA"/>
    </w:rPr>
  </w:style>
  <w:style w:type="character" w:customStyle="1" w:styleId="119">
    <w:name w:val="Font Style127"/>
    <w:unhideWhenUsed/>
    <w:qFormat/>
    <w:uiPriority w:val="0"/>
    <w:rPr>
      <w:rFonts w:hint="eastAsia" w:ascii="Times New Roman" w:hAnsi="Times New Roman" w:eastAsia="Times New Roman"/>
      <w:sz w:val="20"/>
    </w:rPr>
  </w:style>
  <w:style w:type="character" w:customStyle="1" w:styleId="120">
    <w:name w:val="日期 Char"/>
    <w:qFormat/>
    <w:uiPriority w:val="99"/>
    <w:rPr>
      <w:kern w:val="2"/>
      <w:sz w:val="21"/>
      <w:szCs w:val="24"/>
    </w:rPr>
  </w:style>
  <w:style w:type="character" w:customStyle="1" w:styleId="121">
    <w:name w:val="批注框文本 Char"/>
    <w:qFormat/>
    <w:uiPriority w:val="0"/>
    <w:rPr>
      <w:kern w:val="2"/>
      <w:sz w:val="18"/>
      <w:szCs w:val="18"/>
    </w:rPr>
  </w:style>
  <w:style w:type="character" w:customStyle="1" w:styleId="122">
    <w:name w:val="Font Style131"/>
    <w:unhideWhenUsed/>
    <w:qFormat/>
    <w:uiPriority w:val="0"/>
    <w:rPr>
      <w:rFonts w:hint="eastAsia" w:ascii="Times New Roman" w:hAnsi="Times New Roman" w:eastAsia="Times New Roman"/>
      <w:sz w:val="18"/>
    </w:rPr>
  </w:style>
  <w:style w:type="character" w:customStyle="1" w:styleId="123">
    <w:name w:val="批注主题 Char"/>
    <w:qFormat/>
    <w:uiPriority w:val="0"/>
    <w:rPr>
      <w:b/>
      <w:bCs/>
      <w:kern w:val="2"/>
      <w:sz w:val="21"/>
      <w:szCs w:val="24"/>
    </w:rPr>
  </w:style>
  <w:style w:type="character" w:customStyle="1" w:styleId="124">
    <w:name w:val="标题 8 Char"/>
    <w:qFormat/>
    <w:uiPriority w:val="0"/>
    <w:rPr>
      <w:rFonts w:ascii="Arial" w:hAnsi="Arial" w:eastAsia="黑体"/>
      <w:sz w:val="24"/>
      <w:szCs w:val="24"/>
    </w:rPr>
  </w:style>
  <w:style w:type="character" w:customStyle="1" w:styleId="125">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6">
    <w:name w:val="Font Style116"/>
    <w:unhideWhenUsed/>
    <w:qFormat/>
    <w:uiPriority w:val="0"/>
    <w:rPr>
      <w:rFonts w:hint="eastAsia" w:ascii="宋体" w:hAnsi="宋体" w:eastAsia="宋体"/>
      <w:spacing w:val="-20"/>
      <w:sz w:val="24"/>
    </w:rPr>
  </w:style>
  <w:style w:type="character" w:customStyle="1" w:styleId="127">
    <w:name w:val="正文文本 Char"/>
    <w:link w:val="18"/>
    <w:qFormat/>
    <w:uiPriority w:val="0"/>
    <w:rPr>
      <w:kern w:val="2"/>
      <w:sz w:val="21"/>
      <w:szCs w:val="24"/>
    </w:rPr>
  </w:style>
  <w:style w:type="character" w:customStyle="1" w:styleId="128">
    <w:name w:val="sort"/>
    <w:qFormat/>
    <w:uiPriority w:val="0"/>
    <w:rPr>
      <w:rFonts w:ascii="Times New Roman" w:hAnsi="Times New Roman" w:eastAsia="宋体"/>
      <w:color w:val="FFFFFF"/>
      <w:bdr w:val="single" w:color="auto" w:sz="24" w:space="0"/>
    </w:rPr>
  </w:style>
  <w:style w:type="character" w:customStyle="1" w:styleId="129">
    <w:name w:val="标题 Char"/>
    <w:qFormat/>
    <w:uiPriority w:val="0"/>
    <w:rPr>
      <w:rFonts w:ascii="Cambria" w:hAnsi="Cambria"/>
      <w:b/>
      <w:kern w:val="2"/>
      <w:sz w:val="32"/>
      <w:szCs w:val="24"/>
    </w:rPr>
  </w:style>
  <w:style w:type="character" w:customStyle="1" w:styleId="130">
    <w:name w:val="正文文本 3 Char"/>
    <w:link w:val="17"/>
    <w:qFormat/>
    <w:uiPriority w:val="0"/>
    <w:rPr>
      <w:rFonts w:ascii="宋体"/>
      <w:color w:val="000000"/>
      <w:sz w:val="24"/>
    </w:rPr>
  </w:style>
  <w:style w:type="character" w:customStyle="1" w:styleId="131">
    <w:name w:val="Char Char13"/>
    <w:qFormat/>
    <w:uiPriority w:val="0"/>
    <w:rPr>
      <w:rFonts w:eastAsia="宋体"/>
      <w:b/>
      <w:bCs/>
      <w:kern w:val="2"/>
      <w:sz w:val="24"/>
      <w:lang w:val="en-US" w:eastAsia="zh-CN" w:bidi="ar-SA"/>
    </w:rPr>
  </w:style>
  <w:style w:type="character" w:customStyle="1" w:styleId="132">
    <w:name w:val="bds_more7"/>
    <w:qFormat/>
    <w:uiPriority w:val="0"/>
    <w:rPr>
      <w:rFonts w:ascii="Times New Roman" w:hAnsi="Times New Roman" w:eastAsia="宋体"/>
    </w:rPr>
  </w:style>
  <w:style w:type="character" w:customStyle="1" w:styleId="133">
    <w:name w:val="sidecatalog-index2"/>
    <w:qFormat/>
    <w:uiPriority w:val="0"/>
    <w:rPr>
      <w:rFonts w:ascii="Arail" w:hAnsi="Arail" w:eastAsia="Arail" w:cs="Arail"/>
      <w:color w:val="999999"/>
      <w:sz w:val="21"/>
      <w:szCs w:val="21"/>
    </w:rPr>
  </w:style>
  <w:style w:type="character" w:customStyle="1" w:styleId="134">
    <w:name w:val="批注文字 Char"/>
    <w:qFormat/>
    <w:uiPriority w:val="99"/>
    <w:rPr>
      <w:kern w:val="2"/>
      <w:sz w:val="21"/>
      <w:szCs w:val="24"/>
    </w:rPr>
  </w:style>
  <w:style w:type="character" w:customStyle="1" w:styleId="135">
    <w:name w:val="bds_more8"/>
    <w:qFormat/>
    <w:uiPriority w:val="0"/>
    <w:rPr>
      <w:rFonts w:ascii="Times New Roman" w:hAnsi="Times New Roman" w:eastAsia="宋体"/>
    </w:rPr>
  </w:style>
  <w:style w:type="character" w:customStyle="1" w:styleId="136">
    <w:name w:val="font81"/>
    <w:qFormat/>
    <w:uiPriority w:val="0"/>
    <w:rPr>
      <w:rFonts w:ascii="font-weight : 700" w:hAnsi="font-weight : 700" w:eastAsia="font-weight : 700" w:cs="font-weight : 700"/>
      <w:color w:val="000000"/>
      <w:sz w:val="20"/>
      <w:szCs w:val="20"/>
      <w:u w:val="none"/>
    </w:rPr>
  </w:style>
  <w:style w:type="character" w:customStyle="1" w:styleId="137">
    <w:name w:val="标题 7 Char1"/>
    <w:link w:val="8"/>
    <w:qFormat/>
    <w:uiPriority w:val="0"/>
    <w:rPr>
      <w:rFonts w:eastAsia="宋体"/>
      <w:b/>
      <w:bCs/>
      <w:sz w:val="24"/>
      <w:szCs w:val="24"/>
      <w:lang w:val="en-US" w:eastAsia="zh-CN" w:bidi="ar-SA"/>
    </w:rPr>
  </w:style>
  <w:style w:type="character" w:customStyle="1" w:styleId="138">
    <w:name w:val="正文文本缩进 2 Char"/>
    <w:link w:val="27"/>
    <w:qFormat/>
    <w:uiPriority w:val="0"/>
    <w:rPr>
      <w:kern w:val="2"/>
      <w:sz w:val="21"/>
      <w:szCs w:val="24"/>
    </w:rPr>
  </w:style>
  <w:style w:type="character" w:customStyle="1" w:styleId="139">
    <w:name w:val="content_11"/>
    <w:qFormat/>
    <w:uiPriority w:val="0"/>
    <w:rPr>
      <w:sz w:val="20"/>
      <w:szCs w:val="20"/>
    </w:rPr>
  </w:style>
  <w:style w:type="character" w:customStyle="1" w:styleId="140">
    <w:name w:val="font21"/>
    <w:qFormat/>
    <w:uiPriority w:val="0"/>
    <w:rPr>
      <w:rFonts w:ascii="font-weight : 400" w:hAnsi="font-weight : 400" w:eastAsia="font-weight : 400" w:cs="font-weight : 400"/>
      <w:color w:val="000000"/>
      <w:sz w:val="20"/>
      <w:szCs w:val="20"/>
      <w:u w:val="none"/>
    </w:rPr>
  </w:style>
  <w:style w:type="character" w:customStyle="1" w:styleId="141">
    <w:name w:val="desc"/>
    <w:qFormat/>
    <w:uiPriority w:val="0"/>
    <w:rPr>
      <w:rFonts w:ascii="Times New Roman" w:hAnsi="Times New Roman" w:eastAsia="宋体"/>
      <w:color w:val="000000"/>
      <w:sz w:val="18"/>
      <w:szCs w:val="18"/>
    </w:rPr>
  </w:style>
  <w:style w:type="character" w:customStyle="1" w:styleId="142">
    <w:name w:val="bds_more9"/>
    <w:qFormat/>
    <w:uiPriority w:val="0"/>
    <w:rPr>
      <w:rFonts w:ascii="Times New Roman" w:hAnsi="Times New Roman" w:eastAsia="宋体"/>
    </w:rPr>
  </w:style>
  <w:style w:type="character" w:customStyle="1" w:styleId="143">
    <w:name w:val="p0 Char Char"/>
    <w:qFormat/>
    <w:uiPriority w:val="0"/>
    <w:rPr>
      <w:rFonts w:eastAsia="宋体"/>
      <w:kern w:val="2"/>
      <w:sz w:val="21"/>
      <w:szCs w:val="21"/>
      <w:lang w:val="en-US" w:eastAsia="zh-CN" w:bidi="ar-SA"/>
    </w:rPr>
  </w:style>
  <w:style w:type="character" w:customStyle="1" w:styleId="144">
    <w:name w:val="标题 2 Char1"/>
    <w:link w:val="3"/>
    <w:qFormat/>
    <w:uiPriority w:val="0"/>
    <w:rPr>
      <w:rFonts w:ascii="Arial" w:hAnsi="Arial" w:eastAsia="宋体"/>
      <w:b/>
      <w:bCs/>
      <w:kern w:val="2"/>
      <w:sz w:val="24"/>
      <w:szCs w:val="32"/>
      <w:lang w:val="en-US" w:eastAsia="zh-CN" w:bidi="ar-SA"/>
    </w:rPr>
  </w:style>
  <w:style w:type="character" w:customStyle="1" w:styleId="145">
    <w:name w:val="页眉 Char"/>
    <w:qFormat/>
    <w:uiPriority w:val="99"/>
    <w:rPr>
      <w:kern w:val="2"/>
      <w:sz w:val="18"/>
      <w:szCs w:val="18"/>
    </w:rPr>
  </w:style>
  <w:style w:type="character" w:customStyle="1" w:styleId="146">
    <w:name w:val="polysemyred"/>
    <w:qFormat/>
    <w:uiPriority w:val="0"/>
    <w:rPr>
      <w:rFonts w:ascii="Times New Roman" w:hAnsi="Times New Roman" w:eastAsia="宋体"/>
      <w:color w:val="FF6666"/>
      <w:sz w:val="18"/>
      <w:szCs w:val="18"/>
    </w:rPr>
  </w:style>
  <w:style w:type="character" w:customStyle="1" w:styleId="147">
    <w:name w:val="批注文字 Char1"/>
    <w:link w:val="15"/>
    <w:qFormat/>
    <w:uiPriority w:val="0"/>
    <w:rPr>
      <w:rFonts w:eastAsia="宋体"/>
      <w:kern w:val="2"/>
      <w:sz w:val="21"/>
      <w:szCs w:val="24"/>
      <w:lang w:val="en-US" w:eastAsia="zh-CN" w:bidi="ar-SA"/>
    </w:rPr>
  </w:style>
  <w:style w:type="character" w:customStyle="1" w:styleId="148">
    <w:name w:val="Char Char14"/>
    <w:qFormat/>
    <w:uiPriority w:val="0"/>
    <w:rPr>
      <w:rFonts w:ascii="Arial" w:hAnsi="Arial" w:eastAsia="黑体"/>
      <w:b/>
      <w:bCs/>
      <w:sz w:val="28"/>
      <w:szCs w:val="28"/>
      <w:lang w:val="en-US" w:eastAsia="zh-CN" w:bidi="ar-SA"/>
    </w:rPr>
  </w:style>
  <w:style w:type="character" w:customStyle="1" w:styleId="149">
    <w:name w:val="Font Style133"/>
    <w:unhideWhenUsed/>
    <w:qFormat/>
    <w:uiPriority w:val="0"/>
    <w:rPr>
      <w:rFonts w:hint="eastAsia" w:ascii="宋体" w:hAnsi="宋体" w:eastAsia="宋体"/>
      <w:spacing w:val="30"/>
      <w:sz w:val="24"/>
    </w:rPr>
  </w:style>
  <w:style w:type="character" w:customStyle="1" w:styleId="150">
    <w:name w:val="Char Char16"/>
    <w:qFormat/>
    <w:uiPriority w:val="0"/>
    <w:rPr>
      <w:rFonts w:ascii="宋体" w:hAnsi="Times New Roman" w:eastAsia="宋体"/>
      <w:b/>
      <w:sz w:val="24"/>
      <w:lang w:val="en-US" w:eastAsia="zh-CN" w:bidi="ar-SA"/>
    </w:rPr>
  </w:style>
  <w:style w:type="character" w:customStyle="1" w:styleId="151">
    <w:name w:val="Font Style121"/>
    <w:unhideWhenUsed/>
    <w:qFormat/>
    <w:uiPriority w:val="0"/>
    <w:rPr>
      <w:rFonts w:hint="eastAsia" w:ascii="宋体" w:hAnsi="宋体" w:eastAsia="宋体"/>
      <w:spacing w:val="-10"/>
      <w:sz w:val="30"/>
    </w:rPr>
  </w:style>
  <w:style w:type="character" w:customStyle="1" w:styleId="152">
    <w:name w:val="Font Style94"/>
    <w:unhideWhenUsed/>
    <w:qFormat/>
    <w:uiPriority w:val="0"/>
    <w:rPr>
      <w:rFonts w:hint="eastAsia" w:ascii="Times New Roman" w:hAnsi="Times New Roman" w:eastAsia="Times New Roman"/>
      <w:sz w:val="28"/>
    </w:rPr>
  </w:style>
  <w:style w:type="character" w:customStyle="1" w:styleId="153">
    <w:name w:val="Font Style124"/>
    <w:unhideWhenUsed/>
    <w:qFormat/>
    <w:uiPriority w:val="0"/>
    <w:rPr>
      <w:rFonts w:hint="eastAsia" w:ascii="宋体" w:hAnsi="宋体" w:eastAsia="宋体"/>
      <w:spacing w:val="30"/>
      <w:sz w:val="24"/>
    </w:rPr>
  </w:style>
  <w:style w:type="character" w:customStyle="1" w:styleId="154">
    <w:name w:val="bds_nopic1"/>
    <w:qFormat/>
    <w:uiPriority w:val="0"/>
    <w:rPr>
      <w:rFonts w:ascii="Times New Roman" w:hAnsi="Times New Roman" w:eastAsia="宋体"/>
    </w:rPr>
  </w:style>
  <w:style w:type="character" w:customStyle="1" w:styleId="155">
    <w:name w:val="morelink-item"/>
    <w:qFormat/>
    <w:uiPriority w:val="0"/>
    <w:rPr>
      <w:rFonts w:ascii="Times New Roman" w:hAnsi="Times New Roman" w:eastAsia="宋体"/>
    </w:rPr>
  </w:style>
  <w:style w:type="character" w:customStyle="1" w:styleId="156">
    <w:name w:val="Font Style86"/>
    <w:unhideWhenUsed/>
    <w:qFormat/>
    <w:uiPriority w:val="0"/>
    <w:rPr>
      <w:rFonts w:hint="eastAsia" w:ascii="黑体" w:hAnsi="黑体" w:eastAsia="黑体"/>
      <w:spacing w:val="10"/>
      <w:sz w:val="30"/>
    </w:rPr>
  </w:style>
  <w:style w:type="character" w:customStyle="1" w:styleId="157">
    <w:name w:val="Font Style128"/>
    <w:unhideWhenUsed/>
    <w:qFormat/>
    <w:uiPriority w:val="0"/>
    <w:rPr>
      <w:rFonts w:hint="eastAsia" w:ascii="Times New Roman" w:hAnsi="Times New Roman" w:eastAsia="Times New Roman"/>
      <w:sz w:val="16"/>
    </w:rPr>
  </w:style>
  <w:style w:type="character" w:customStyle="1" w:styleId="158">
    <w:name w:val="标题 6 Char1"/>
    <w:link w:val="7"/>
    <w:qFormat/>
    <w:uiPriority w:val="0"/>
    <w:rPr>
      <w:rFonts w:ascii="Arial" w:hAnsi="Arial" w:eastAsia="黑体"/>
      <w:b/>
      <w:bCs/>
      <w:sz w:val="24"/>
      <w:szCs w:val="24"/>
      <w:lang w:val="en-US" w:eastAsia="zh-CN" w:bidi="ar-SA"/>
    </w:rPr>
  </w:style>
  <w:style w:type="character" w:customStyle="1" w:styleId="159">
    <w:name w:val="plus"/>
    <w:qFormat/>
    <w:uiPriority w:val="0"/>
    <w:rPr>
      <w:rFonts w:ascii="Times New Roman" w:hAnsi="Times New Roman" w:eastAsia="宋体"/>
      <w:b/>
      <w:vanish/>
      <w:color w:val="1F8DEF"/>
      <w:sz w:val="24"/>
      <w:szCs w:val="24"/>
    </w:rPr>
  </w:style>
  <w:style w:type="character" w:customStyle="1" w:styleId="160">
    <w:name w:val="纯文本 Char"/>
    <w:link w:val="24"/>
    <w:qFormat/>
    <w:locked/>
    <w:uiPriority w:val="0"/>
    <w:rPr>
      <w:rFonts w:ascii="宋体" w:hAnsi="Courier New" w:eastAsia="宋体" w:cs="Courier New"/>
      <w:kern w:val="2"/>
      <w:sz w:val="21"/>
      <w:szCs w:val="21"/>
      <w:lang w:val="en-US" w:eastAsia="zh-CN" w:bidi="ar-SA"/>
    </w:rPr>
  </w:style>
  <w:style w:type="character" w:customStyle="1" w:styleId="161">
    <w:name w:val="Font Style90"/>
    <w:unhideWhenUsed/>
    <w:qFormat/>
    <w:uiPriority w:val="0"/>
    <w:rPr>
      <w:rFonts w:hint="eastAsia" w:ascii="宋体" w:hAnsi="宋体" w:eastAsia="宋体"/>
      <w:b/>
      <w:spacing w:val="-20"/>
      <w:sz w:val="40"/>
    </w:rPr>
  </w:style>
  <w:style w:type="character" w:customStyle="1" w:styleId="162">
    <w:name w:val="Font Style119"/>
    <w:unhideWhenUsed/>
    <w:qFormat/>
    <w:uiPriority w:val="0"/>
    <w:rPr>
      <w:rFonts w:hint="eastAsia" w:ascii="宋体" w:hAnsi="宋体" w:eastAsia="宋体"/>
      <w:sz w:val="24"/>
    </w:rPr>
  </w:style>
  <w:style w:type="character" w:customStyle="1" w:styleId="163">
    <w:name w:val="正文文本缩进 3 Char1"/>
    <w:link w:val="34"/>
    <w:qFormat/>
    <w:uiPriority w:val="0"/>
    <w:rPr>
      <w:rFonts w:eastAsia="宋体"/>
      <w:kern w:val="2"/>
      <w:sz w:val="16"/>
      <w:szCs w:val="16"/>
      <w:lang w:val="en-US" w:eastAsia="zh-CN" w:bidi="ar-SA"/>
    </w:rPr>
  </w:style>
  <w:style w:type="character" w:customStyle="1" w:styleId="164">
    <w:name w:val="标题 5 Char"/>
    <w:qFormat/>
    <w:uiPriority w:val="0"/>
    <w:rPr>
      <w:b/>
      <w:bCs/>
      <w:kern w:val="2"/>
      <w:sz w:val="28"/>
      <w:szCs w:val="28"/>
    </w:rPr>
  </w:style>
  <w:style w:type="character" w:customStyle="1" w:styleId="165">
    <w:name w:val="批注框文本 Char1"/>
    <w:link w:val="28"/>
    <w:qFormat/>
    <w:locked/>
    <w:uiPriority w:val="0"/>
    <w:rPr>
      <w:rFonts w:ascii="Calibri" w:hAnsi="Calibri" w:eastAsia="宋体"/>
      <w:kern w:val="2"/>
      <w:sz w:val="18"/>
      <w:szCs w:val="18"/>
      <w:lang w:val="en-US" w:eastAsia="zh-CN" w:bidi="ar-SA"/>
    </w:rPr>
  </w:style>
  <w:style w:type="character" w:customStyle="1" w:styleId="166">
    <w:name w:val="标题 8 Char1"/>
    <w:link w:val="9"/>
    <w:qFormat/>
    <w:uiPriority w:val="0"/>
    <w:rPr>
      <w:rFonts w:ascii="Arial" w:hAnsi="Arial" w:eastAsia="黑体"/>
      <w:sz w:val="24"/>
      <w:szCs w:val="24"/>
      <w:lang w:val="en-US" w:eastAsia="zh-CN" w:bidi="ar-SA"/>
    </w:rPr>
  </w:style>
  <w:style w:type="paragraph" w:customStyle="1" w:styleId="167">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8">
    <w:name w:val="Char1 Char Char Char 字元 Char Char 字元 Char 字元 Char1 Char Char Char"/>
    <w:basedOn w:val="1"/>
    <w:qFormat/>
    <w:uiPriority w:val="0"/>
    <w:rPr>
      <w:szCs w:val="20"/>
    </w:rPr>
  </w:style>
  <w:style w:type="paragraph" w:customStyle="1" w:styleId="169">
    <w:name w:val="Style9"/>
    <w:basedOn w:val="1"/>
    <w:unhideWhenUsed/>
    <w:qFormat/>
    <w:uiPriority w:val="0"/>
  </w:style>
  <w:style w:type="paragraph" w:customStyle="1" w:styleId="170">
    <w:name w:val="Style52"/>
    <w:basedOn w:val="1"/>
    <w:unhideWhenUsed/>
    <w:qFormat/>
    <w:uiPriority w:val="0"/>
    <w:pPr>
      <w:spacing w:line="682" w:lineRule="exact"/>
      <w:ind w:firstLine="557"/>
    </w:pPr>
  </w:style>
  <w:style w:type="paragraph" w:customStyle="1" w:styleId="171">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2">
    <w:name w:val="_Style 39"/>
    <w:basedOn w:val="173"/>
    <w:qFormat/>
    <w:uiPriority w:val="0"/>
  </w:style>
  <w:style w:type="paragraph" w:customStyle="1" w:styleId="17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Style76"/>
    <w:basedOn w:val="1"/>
    <w:unhideWhenUsed/>
    <w:qFormat/>
    <w:uiPriority w:val="0"/>
  </w:style>
  <w:style w:type="paragraph" w:customStyle="1" w:styleId="176">
    <w:name w:val="Style36"/>
    <w:basedOn w:val="1"/>
    <w:unhideWhenUsed/>
    <w:qFormat/>
    <w:uiPriority w:val="0"/>
  </w:style>
  <w:style w:type="paragraph" w:customStyle="1" w:styleId="177">
    <w:name w:val="Style15"/>
    <w:basedOn w:val="1"/>
    <w:unhideWhenUsed/>
    <w:qFormat/>
    <w:uiPriority w:val="0"/>
    <w:pPr>
      <w:spacing w:line="557" w:lineRule="exact"/>
      <w:ind w:firstLine="672"/>
    </w:pPr>
  </w:style>
  <w:style w:type="paragraph" w:customStyle="1" w:styleId="178">
    <w:name w:val="Char"/>
    <w:basedOn w:val="1"/>
    <w:qFormat/>
    <w:uiPriority w:val="0"/>
    <w:pPr>
      <w:tabs>
        <w:tab w:val="left" w:pos="360"/>
      </w:tabs>
      <w:ind w:left="360" w:hanging="360" w:hangingChars="200"/>
    </w:pPr>
    <w:rPr>
      <w:sz w:val="24"/>
    </w:rPr>
  </w:style>
  <w:style w:type="paragraph" w:customStyle="1" w:styleId="179">
    <w:name w:val="NO3"/>
    <w:basedOn w:val="1"/>
    <w:qFormat/>
    <w:uiPriority w:val="0"/>
    <w:pPr>
      <w:tabs>
        <w:tab w:val="left" w:pos="907"/>
      </w:tabs>
      <w:spacing w:line="360" w:lineRule="auto"/>
    </w:pPr>
    <w:rPr>
      <w:rFonts w:ascii="宋体" w:hAnsi="宋体"/>
      <w:sz w:val="24"/>
    </w:rPr>
  </w:style>
  <w:style w:type="paragraph" w:customStyle="1" w:styleId="180">
    <w:name w:val="Style62"/>
    <w:basedOn w:val="1"/>
    <w:unhideWhenUsed/>
    <w:qFormat/>
    <w:uiPriority w:val="0"/>
  </w:style>
  <w:style w:type="paragraph" w:customStyle="1" w:styleId="181">
    <w:name w:val="Char Char1 Char Char Char"/>
    <w:basedOn w:val="1"/>
    <w:qFormat/>
    <w:uiPriority w:val="0"/>
    <w:rPr>
      <w:kern w:val="0"/>
      <w:sz w:val="20"/>
      <w:szCs w:val="20"/>
    </w:rPr>
  </w:style>
  <w:style w:type="paragraph" w:customStyle="1" w:styleId="1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3">
    <w:name w:val="Style73"/>
    <w:basedOn w:val="1"/>
    <w:unhideWhenUsed/>
    <w:qFormat/>
    <w:uiPriority w:val="0"/>
    <w:pPr>
      <w:spacing w:line="538" w:lineRule="exact"/>
      <w:ind w:firstLine="533"/>
    </w:pPr>
  </w:style>
  <w:style w:type="paragraph" w:customStyle="1" w:styleId="184">
    <w:name w:val="Style71"/>
    <w:basedOn w:val="1"/>
    <w:unhideWhenUsed/>
    <w:qFormat/>
    <w:uiPriority w:val="0"/>
    <w:pPr>
      <w:spacing w:line="538" w:lineRule="exact"/>
      <w:ind w:firstLine="101"/>
    </w:pPr>
  </w:style>
  <w:style w:type="paragraph" w:customStyle="1" w:styleId="185">
    <w:name w:val="Char1 Char Char Char Char Char Char Char Char Char"/>
    <w:basedOn w:val="1"/>
    <w:qFormat/>
    <w:uiPriority w:val="0"/>
    <w:rPr>
      <w:szCs w:val="20"/>
    </w:rPr>
  </w:style>
  <w:style w:type="paragraph" w:customStyle="1" w:styleId="186">
    <w:name w:val="Style4"/>
    <w:basedOn w:val="1"/>
    <w:unhideWhenUsed/>
    <w:qFormat/>
    <w:uiPriority w:val="0"/>
  </w:style>
  <w:style w:type="paragraph" w:customStyle="1" w:styleId="18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8">
    <w:name w:val="Style78"/>
    <w:basedOn w:val="1"/>
    <w:unhideWhenUsed/>
    <w:qFormat/>
    <w:uiPriority w:val="0"/>
  </w:style>
  <w:style w:type="paragraph" w:customStyle="1" w:styleId="189">
    <w:name w:val="Style60"/>
    <w:basedOn w:val="1"/>
    <w:unhideWhenUsed/>
    <w:qFormat/>
    <w:uiPriority w:val="0"/>
    <w:pPr>
      <w:spacing w:line="566" w:lineRule="exact"/>
    </w:pPr>
  </w:style>
  <w:style w:type="paragraph" w:customStyle="1" w:styleId="190">
    <w:name w:val="1"/>
    <w:basedOn w:val="1"/>
    <w:qFormat/>
    <w:uiPriority w:val="0"/>
    <w:pPr>
      <w:spacing w:afterLines="50" w:line="360" w:lineRule="auto"/>
    </w:pPr>
    <w:rPr>
      <w:rFonts w:ascii="宋体" w:hAnsi="宋体"/>
      <w:b/>
      <w:sz w:val="30"/>
      <w:szCs w:val="21"/>
    </w:rPr>
  </w:style>
  <w:style w:type="paragraph" w:customStyle="1" w:styleId="191">
    <w:name w:val="Style48"/>
    <w:basedOn w:val="1"/>
    <w:unhideWhenUsed/>
    <w:qFormat/>
    <w:uiPriority w:val="0"/>
    <w:pPr>
      <w:spacing w:line="542" w:lineRule="exact"/>
      <w:jc w:val="right"/>
    </w:pPr>
  </w:style>
  <w:style w:type="paragraph" w:customStyle="1" w:styleId="192">
    <w:name w:val="Style41"/>
    <w:basedOn w:val="1"/>
    <w:unhideWhenUsed/>
    <w:qFormat/>
    <w:uiPriority w:val="0"/>
    <w:pPr>
      <w:spacing w:line="542" w:lineRule="exact"/>
      <w:ind w:firstLine="125"/>
    </w:pPr>
  </w:style>
  <w:style w:type="paragraph" w:customStyle="1" w:styleId="193">
    <w:name w:val="Style50"/>
    <w:basedOn w:val="1"/>
    <w:unhideWhenUsed/>
    <w:qFormat/>
    <w:uiPriority w:val="0"/>
  </w:style>
  <w:style w:type="paragraph" w:customStyle="1" w:styleId="194">
    <w:name w:val="Char Char1 Char Char Char Char Char Char Char"/>
    <w:basedOn w:val="1"/>
    <w:qFormat/>
    <w:uiPriority w:val="0"/>
    <w:pPr>
      <w:widowControl/>
      <w:spacing w:after="160" w:line="240" w:lineRule="exact"/>
      <w:jc w:val="left"/>
    </w:pPr>
  </w:style>
  <w:style w:type="paragraph" w:customStyle="1" w:styleId="195">
    <w:name w:val="Style59"/>
    <w:basedOn w:val="1"/>
    <w:unhideWhenUsed/>
    <w:qFormat/>
    <w:uiPriority w:val="0"/>
  </w:style>
  <w:style w:type="paragraph" w:customStyle="1" w:styleId="196">
    <w:name w:val="Style27"/>
    <w:basedOn w:val="1"/>
    <w:unhideWhenUsed/>
    <w:qFormat/>
    <w:uiPriority w:val="0"/>
  </w:style>
  <w:style w:type="paragraph" w:customStyle="1" w:styleId="197">
    <w:name w:val="Style61"/>
    <w:basedOn w:val="1"/>
    <w:unhideWhenUsed/>
    <w:qFormat/>
    <w:uiPriority w:val="0"/>
  </w:style>
  <w:style w:type="paragraph" w:customStyle="1" w:styleId="198">
    <w:name w:val="Style80"/>
    <w:basedOn w:val="1"/>
    <w:unhideWhenUsed/>
    <w:qFormat/>
    <w:uiPriority w:val="0"/>
  </w:style>
  <w:style w:type="paragraph" w:customStyle="1" w:styleId="199">
    <w:name w:val="Style12"/>
    <w:basedOn w:val="1"/>
    <w:unhideWhenUsed/>
    <w:qFormat/>
    <w:uiPriority w:val="0"/>
    <w:pPr>
      <w:spacing w:line="564" w:lineRule="exact"/>
      <w:ind w:hanging="115"/>
    </w:pPr>
  </w:style>
  <w:style w:type="paragraph" w:customStyle="1" w:styleId="20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1">
    <w:name w:val="Style46"/>
    <w:basedOn w:val="1"/>
    <w:unhideWhenUsed/>
    <w:qFormat/>
    <w:uiPriority w:val="0"/>
    <w:pPr>
      <w:spacing w:line="672" w:lineRule="exact"/>
    </w:pPr>
  </w:style>
  <w:style w:type="paragraph" w:customStyle="1" w:styleId="202">
    <w:name w:val="Style53"/>
    <w:basedOn w:val="1"/>
    <w:unhideWhenUsed/>
    <w:qFormat/>
    <w:uiPriority w:val="0"/>
    <w:pPr>
      <w:spacing w:line="533" w:lineRule="exact"/>
      <w:ind w:firstLine="581"/>
    </w:pPr>
  </w:style>
  <w:style w:type="paragraph" w:customStyle="1" w:styleId="203">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5">
    <w:name w:val="修订1"/>
    <w:qFormat/>
    <w:uiPriority w:val="0"/>
    <w:rPr>
      <w:rFonts w:ascii="Times New Roman" w:hAnsi="Times New Roman" w:eastAsia="宋体" w:cs="Times New Roman"/>
      <w:kern w:val="2"/>
      <w:sz w:val="21"/>
      <w:szCs w:val="24"/>
      <w:lang w:val="en-US" w:eastAsia="zh-CN" w:bidi="ar-SA"/>
    </w:rPr>
  </w:style>
  <w:style w:type="paragraph" w:customStyle="1" w:styleId="206">
    <w:name w:val="Style16"/>
    <w:basedOn w:val="1"/>
    <w:unhideWhenUsed/>
    <w:qFormat/>
    <w:uiPriority w:val="0"/>
    <w:pPr>
      <w:jc w:val="right"/>
    </w:pPr>
  </w:style>
  <w:style w:type="paragraph" w:customStyle="1" w:styleId="207">
    <w:name w:val="Table Paragraph"/>
    <w:basedOn w:val="1"/>
    <w:qFormat/>
    <w:uiPriority w:val="0"/>
    <w:pPr>
      <w:autoSpaceDE w:val="0"/>
      <w:autoSpaceDN w:val="0"/>
      <w:adjustRightInd w:val="0"/>
      <w:jc w:val="left"/>
    </w:pPr>
    <w:rPr>
      <w:rFonts w:ascii="Calibri" w:hAnsi="Calibri"/>
      <w:kern w:val="0"/>
      <w:sz w:val="24"/>
    </w:rPr>
  </w:style>
  <w:style w:type="paragraph" w:customStyle="1" w:styleId="208">
    <w:name w:val="Style77"/>
    <w:basedOn w:val="1"/>
    <w:unhideWhenUsed/>
    <w:qFormat/>
    <w:uiPriority w:val="0"/>
  </w:style>
  <w:style w:type="paragraph" w:customStyle="1" w:styleId="209">
    <w:name w:val="Style68"/>
    <w:basedOn w:val="1"/>
    <w:unhideWhenUsed/>
    <w:qFormat/>
    <w:uiPriority w:val="0"/>
    <w:pPr>
      <w:spacing w:line="547" w:lineRule="exact"/>
    </w:pPr>
  </w:style>
  <w:style w:type="paragraph" w:customStyle="1" w:styleId="210">
    <w:name w:val="Style58"/>
    <w:basedOn w:val="1"/>
    <w:unhideWhenUsed/>
    <w:qFormat/>
    <w:uiPriority w:val="0"/>
    <w:pPr>
      <w:spacing w:line="413" w:lineRule="exact"/>
    </w:pPr>
  </w:style>
  <w:style w:type="paragraph" w:customStyle="1" w:styleId="211">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2">
    <w:name w:val="Style42"/>
    <w:basedOn w:val="1"/>
    <w:unhideWhenUsed/>
    <w:qFormat/>
    <w:uiPriority w:val="0"/>
    <w:pPr>
      <w:spacing w:line="542" w:lineRule="exact"/>
      <w:ind w:firstLine="547"/>
    </w:pPr>
  </w:style>
  <w:style w:type="paragraph" w:customStyle="1" w:styleId="213">
    <w:name w:val="Style69"/>
    <w:basedOn w:val="1"/>
    <w:unhideWhenUsed/>
    <w:qFormat/>
    <w:uiPriority w:val="0"/>
    <w:pPr>
      <w:spacing w:line="557" w:lineRule="exact"/>
      <w:ind w:firstLine="1666"/>
    </w:pPr>
  </w:style>
  <w:style w:type="paragraph" w:customStyle="1" w:styleId="214">
    <w:name w:val="标题3"/>
    <w:basedOn w:val="2"/>
    <w:qFormat/>
    <w:uiPriority w:val="0"/>
    <w:pPr>
      <w:spacing w:beforeLines="50" w:afterLines="50" w:line="400" w:lineRule="exact"/>
      <w:jc w:val="both"/>
    </w:pPr>
    <w:rPr>
      <w:rFonts w:ascii="宋体" w:hAnsi="宋体"/>
      <w:kern w:val="32"/>
      <w:szCs w:val="32"/>
    </w:rPr>
  </w:style>
  <w:style w:type="paragraph" w:customStyle="1" w:styleId="215">
    <w:name w:val="Char Char1"/>
    <w:basedOn w:val="1"/>
    <w:qFormat/>
    <w:uiPriority w:val="0"/>
    <w:rPr>
      <w:rFonts w:ascii="Tahoma" w:hAnsi="Tahoma"/>
      <w:sz w:val="24"/>
      <w:szCs w:val="20"/>
    </w:rPr>
  </w:style>
  <w:style w:type="paragraph" w:customStyle="1" w:styleId="21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7">
    <w:name w:val="Style11"/>
    <w:basedOn w:val="1"/>
    <w:unhideWhenUsed/>
    <w:qFormat/>
    <w:uiPriority w:val="0"/>
    <w:pPr>
      <w:spacing w:line="559" w:lineRule="exact"/>
      <w:ind w:firstLine="590"/>
    </w:pPr>
  </w:style>
  <w:style w:type="paragraph" w:customStyle="1" w:styleId="218">
    <w:name w:val="Style23"/>
    <w:basedOn w:val="1"/>
    <w:unhideWhenUsed/>
    <w:qFormat/>
    <w:uiPriority w:val="0"/>
  </w:style>
  <w:style w:type="paragraph" w:customStyle="1" w:styleId="219">
    <w:name w:val="标准正文"/>
    <w:basedOn w:val="1"/>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20">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1">
    <w:name w:val="1 Char Char Char Char"/>
    <w:basedOn w:val="1"/>
    <w:qFormat/>
    <w:uiPriority w:val="0"/>
  </w:style>
  <w:style w:type="paragraph" w:customStyle="1" w:styleId="222">
    <w:name w:val="Style13"/>
    <w:basedOn w:val="1"/>
    <w:unhideWhenUsed/>
    <w:qFormat/>
    <w:uiPriority w:val="0"/>
  </w:style>
  <w:style w:type="paragraph" w:customStyle="1" w:styleId="223">
    <w:name w:val="列出段落2"/>
    <w:basedOn w:val="1"/>
    <w:qFormat/>
    <w:uiPriority w:val="0"/>
    <w:pPr>
      <w:ind w:firstLine="420" w:firstLineChars="200"/>
    </w:pPr>
    <w:rPr>
      <w:rFonts w:ascii="Calibri" w:hAnsi="Calibri" w:cs="Calibri"/>
      <w:szCs w:val="21"/>
    </w:rPr>
  </w:style>
  <w:style w:type="paragraph" w:customStyle="1" w:styleId="224">
    <w:name w:val="Style65"/>
    <w:basedOn w:val="1"/>
    <w:unhideWhenUsed/>
    <w:qFormat/>
    <w:uiPriority w:val="0"/>
  </w:style>
  <w:style w:type="paragraph" w:customStyle="1" w:styleId="225">
    <w:name w:val="Char1 Char Char Char"/>
    <w:basedOn w:val="1"/>
    <w:qFormat/>
    <w:uiPriority w:val="0"/>
    <w:pPr>
      <w:widowControl/>
      <w:spacing w:after="160" w:line="240" w:lineRule="exact"/>
      <w:jc w:val="left"/>
    </w:pPr>
    <w:rPr>
      <w:kern w:val="0"/>
      <w:sz w:val="24"/>
      <w:szCs w:val="20"/>
    </w:rPr>
  </w:style>
  <w:style w:type="paragraph" w:customStyle="1" w:styleId="226">
    <w:name w:val="Style70"/>
    <w:basedOn w:val="1"/>
    <w:unhideWhenUsed/>
    <w:qFormat/>
    <w:uiPriority w:val="0"/>
    <w:pPr>
      <w:spacing w:line="549" w:lineRule="exact"/>
      <w:ind w:firstLine="686"/>
    </w:pPr>
  </w:style>
  <w:style w:type="paragraph" w:customStyle="1" w:styleId="227">
    <w:name w:val="标题2"/>
    <w:basedOn w:val="41"/>
    <w:qFormat/>
    <w:uiPriority w:val="0"/>
    <w:pPr>
      <w:spacing w:after="240"/>
      <w:jc w:val="left"/>
    </w:pPr>
    <w:rPr>
      <w:sz w:val="30"/>
    </w:rPr>
  </w:style>
  <w:style w:type="paragraph" w:customStyle="1" w:styleId="228">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9">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30">
    <w:name w:val="Char Char1 Char Char Char Char Char1 Char Char Char Char"/>
    <w:basedOn w:val="14"/>
    <w:qFormat/>
    <w:uiPriority w:val="0"/>
    <w:rPr>
      <w:rFonts w:ascii="Tahoma" w:hAnsi="Tahoma"/>
    </w:rPr>
  </w:style>
  <w:style w:type="paragraph" w:customStyle="1" w:styleId="231">
    <w:name w:val="标题 1 +"/>
    <w:basedOn w:val="2"/>
    <w:next w:val="1"/>
    <w:qFormat/>
    <w:uiPriority w:val="0"/>
    <w:pPr>
      <w:keepLines/>
      <w:spacing w:line="600" w:lineRule="auto"/>
    </w:pPr>
    <w:rPr>
      <w:rFonts w:eastAsia="黑体"/>
      <w:kern w:val="0"/>
      <w:sz w:val="32"/>
      <w:szCs w:val="32"/>
    </w:rPr>
  </w:style>
  <w:style w:type="paragraph" w:customStyle="1" w:styleId="232">
    <w:name w:val="样式1"/>
    <w:basedOn w:val="1"/>
    <w:link w:val="277"/>
    <w:qFormat/>
    <w:uiPriority w:val="0"/>
    <w:pPr>
      <w:tabs>
        <w:tab w:val="left" w:pos="360"/>
      </w:tabs>
      <w:adjustRightInd w:val="0"/>
      <w:ind w:left="360" w:hanging="360"/>
      <w:textAlignment w:val="baseline"/>
    </w:pPr>
    <w:rPr>
      <w:rFonts w:ascii="宋体" w:hAnsi="宋体"/>
      <w:kern w:val="0"/>
      <w:szCs w:val="21"/>
    </w:rPr>
  </w:style>
  <w:style w:type="paragraph" w:customStyle="1" w:styleId="23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4">
    <w:name w:val="附录标识"/>
    <w:basedOn w:val="228"/>
    <w:qFormat/>
    <w:uiPriority w:val="0"/>
    <w:pPr>
      <w:tabs>
        <w:tab w:val="left" w:pos="6405"/>
        <w:tab w:val="clear" w:pos="360"/>
        <w:tab w:val="clear" w:pos="720"/>
      </w:tabs>
      <w:spacing w:after="200"/>
    </w:pPr>
    <w:rPr>
      <w:sz w:val="21"/>
    </w:rPr>
  </w:style>
  <w:style w:type="paragraph" w:customStyle="1" w:styleId="235">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6">
    <w:name w:val="Style29"/>
    <w:basedOn w:val="1"/>
    <w:unhideWhenUsed/>
    <w:qFormat/>
    <w:uiPriority w:val="0"/>
    <w:pPr>
      <w:spacing w:line="547" w:lineRule="exact"/>
      <w:ind w:firstLine="547"/>
    </w:pPr>
  </w:style>
  <w:style w:type="paragraph" w:customStyle="1" w:styleId="237">
    <w:name w:val="Style34"/>
    <w:basedOn w:val="1"/>
    <w:unhideWhenUsed/>
    <w:qFormat/>
    <w:uiPriority w:val="0"/>
    <w:pPr>
      <w:spacing w:line="375" w:lineRule="exact"/>
    </w:pPr>
  </w:style>
  <w:style w:type="paragraph" w:customStyle="1" w:styleId="238">
    <w:name w:val="默认段落字体 Para Char Char Char Char Char Char Char Char Char Char Char Char Char Char Char Char Char Char Char"/>
    <w:basedOn w:val="1"/>
    <w:qFormat/>
    <w:uiPriority w:val="0"/>
  </w:style>
  <w:style w:type="paragraph" w:customStyle="1" w:styleId="239">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41">
    <w:name w:val="Style74"/>
    <w:basedOn w:val="1"/>
    <w:unhideWhenUsed/>
    <w:qFormat/>
    <w:uiPriority w:val="0"/>
    <w:pPr>
      <w:spacing w:line="437" w:lineRule="exact"/>
    </w:pPr>
  </w:style>
  <w:style w:type="paragraph" w:customStyle="1" w:styleId="242">
    <w:name w:val="Style28"/>
    <w:basedOn w:val="1"/>
    <w:unhideWhenUsed/>
    <w:qFormat/>
    <w:uiPriority w:val="0"/>
    <w:pPr>
      <w:spacing w:line="552" w:lineRule="exact"/>
      <w:ind w:firstLine="547"/>
    </w:pPr>
  </w:style>
  <w:style w:type="paragraph" w:customStyle="1" w:styleId="243">
    <w:name w:val="Style24"/>
    <w:basedOn w:val="1"/>
    <w:unhideWhenUsed/>
    <w:qFormat/>
    <w:uiPriority w:val="0"/>
  </w:style>
  <w:style w:type="paragraph" w:customStyle="1" w:styleId="244">
    <w:name w:val="Style63"/>
    <w:basedOn w:val="1"/>
    <w:unhideWhenUsed/>
    <w:qFormat/>
    <w:uiPriority w:val="0"/>
    <w:pPr>
      <w:spacing w:line="564" w:lineRule="exact"/>
      <w:ind w:firstLine="682"/>
    </w:pPr>
  </w:style>
  <w:style w:type="paragraph" w:customStyle="1" w:styleId="245">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Style45"/>
    <w:basedOn w:val="1"/>
    <w:unhideWhenUsed/>
    <w:qFormat/>
    <w:uiPriority w:val="0"/>
  </w:style>
  <w:style w:type="paragraph" w:customStyle="1" w:styleId="247">
    <w:name w:val="p16"/>
    <w:basedOn w:val="1"/>
    <w:qFormat/>
    <w:uiPriority w:val="0"/>
    <w:pPr>
      <w:widowControl/>
      <w:jc w:val="left"/>
    </w:pPr>
    <w:rPr>
      <w:kern w:val="0"/>
      <w:szCs w:val="21"/>
    </w:rPr>
  </w:style>
  <w:style w:type="paragraph" w:customStyle="1" w:styleId="248">
    <w:name w:val="Style64"/>
    <w:basedOn w:val="1"/>
    <w:unhideWhenUsed/>
    <w:qFormat/>
    <w:uiPriority w:val="0"/>
  </w:style>
  <w:style w:type="paragraph" w:customStyle="1" w:styleId="249">
    <w:name w:val="Style72"/>
    <w:basedOn w:val="1"/>
    <w:unhideWhenUsed/>
    <w:qFormat/>
    <w:uiPriority w:val="0"/>
  </w:style>
  <w:style w:type="paragraph" w:customStyle="1" w:styleId="250">
    <w:name w:val="Char Char Char"/>
    <w:basedOn w:val="1"/>
    <w:qFormat/>
    <w:uiPriority w:val="0"/>
    <w:rPr>
      <w:rFonts w:ascii="宋体" w:hAnsi="宋体"/>
      <w:b/>
      <w:sz w:val="28"/>
      <w:szCs w:val="28"/>
    </w:rPr>
  </w:style>
  <w:style w:type="paragraph" w:customStyle="1" w:styleId="251">
    <w:name w:val="Style21"/>
    <w:basedOn w:val="1"/>
    <w:unhideWhenUsed/>
    <w:qFormat/>
    <w:uiPriority w:val="0"/>
    <w:pPr>
      <w:spacing w:line="566" w:lineRule="exact"/>
      <w:ind w:firstLine="682"/>
    </w:pPr>
  </w:style>
  <w:style w:type="paragraph" w:customStyle="1" w:styleId="252">
    <w:name w:val="Style26"/>
    <w:basedOn w:val="1"/>
    <w:unhideWhenUsed/>
    <w:qFormat/>
    <w:uiPriority w:val="0"/>
  </w:style>
  <w:style w:type="paragraph" w:customStyle="1" w:styleId="253">
    <w:name w:val="表格内容"/>
    <w:basedOn w:val="18"/>
    <w:qFormat/>
    <w:uiPriority w:val="0"/>
    <w:pPr>
      <w:suppressLineNumbers/>
      <w:suppressAutoHyphens/>
      <w:jc w:val="left"/>
    </w:pPr>
    <w:rPr>
      <w:rFonts w:cs="Tahoma"/>
      <w:kern w:val="0"/>
      <w:sz w:val="24"/>
    </w:rPr>
  </w:style>
  <w:style w:type="paragraph" w:customStyle="1" w:styleId="254">
    <w:name w:val="Style47"/>
    <w:basedOn w:val="1"/>
    <w:unhideWhenUsed/>
    <w:qFormat/>
    <w:uiPriority w:val="0"/>
  </w:style>
  <w:style w:type="paragraph" w:customStyle="1" w:styleId="255">
    <w:name w:val="Style44"/>
    <w:basedOn w:val="1"/>
    <w:unhideWhenUsed/>
    <w:qFormat/>
    <w:uiPriority w:val="0"/>
  </w:style>
  <w:style w:type="paragraph" w:customStyle="1" w:styleId="256">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7">
    <w:name w:val="Style10"/>
    <w:basedOn w:val="1"/>
    <w:unhideWhenUsed/>
    <w:qFormat/>
    <w:uiPriority w:val="0"/>
    <w:pPr>
      <w:spacing w:line="538" w:lineRule="exact"/>
    </w:pPr>
  </w:style>
  <w:style w:type="paragraph" w:styleId="258">
    <w:name w:val="List Paragraph"/>
    <w:basedOn w:val="1"/>
    <w:link w:val="276"/>
    <w:qFormat/>
    <w:uiPriority w:val="0"/>
    <w:pPr>
      <w:ind w:firstLine="420" w:firstLineChars="200"/>
    </w:pPr>
    <w:rPr>
      <w:rFonts w:ascii="Calibri" w:hAnsi="Calibri"/>
      <w:szCs w:val="22"/>
    </w:rPr>
  </w:style>
  <w:style w:type="paragraph" w:customStyle="1" w:styleId="259">
    <w:name w:val="Style8"/>
    <w:basedOn w:val="1"/>
    <w:unhideWhenUsed/>
    <w:qFormat/>
    <w:uiPriority w:val="0"/>
    <w:pPr>
      <w:spacing w:line="566" w:lineRule="exact"/>
      <w:jc w:val="center"/>
    </w:pPr>
  </w:style>
  <w:style w:type="paragraph" w:customStyle="1" w:styleId="260">
    <w:name w:val="Style54"/>
    <w:basedOn w:val="1"/>
    <w:unhideWhenUsed/>
    <w:qFormat/>
    <w:uiPriority w:val="0"/>
  </w:style>
  <w:style w:type="paragraph" w:customStyle="1" w:styleId="26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2">
    <w:name w:val="Style81"/>
    <w:basedOn w:val="1"/>
    <w:unhideWhenUsed/>
    <w:qFormat/>
    <w:uiPriority w:val="0"/>
    <w:pPr>
      <w:spacing w:line="547" w:lineRule="exact"/>
    </w:pPr>
  </w:style>
  <w:style w:type="paragraph" w:customStyle="1" w:styleId="263">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Style56"/>
    <w:basedOn w:val="1"/>
    <w:unhideWhenUsed/>
    <w:qFormat/>
    <w:uiPriority w:val="0"/>
  </w:style>
  <w:style w:type="paragraph" w:customStyle="1" w:styleId="265">
    <w:name w:val="Style5"/>
    <w:basedOn w:val="1"/>
    <w:unhideWhenUsed/>
    <w:qFormat/>
    <w:uiPriority w:val="0"/>
  </w:style>
  <w:style w:type="paragraph" w:customStyle="1" w:styleId="266">
    <w:name w:val="Style67"/>
    <w:basedOn w:val="1"/>
    <w:unhideWhenUsed/>
    <w:qFormat/>
    <w:uiPriority w:val="0"/>
    <w:pPr>
      <w:spacing w:line="566" w:lineRule="exact"/>
      <w:ind w:firstLine="552"/>
    </w:pPr>
  </w:style>
  <w:style w:type="paragraph" w:customStyle="1" w:styleId="26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8">
    <w:name w:val="Char Char Char1"/>
    <w:basedOn w:val="1"/>
    <w:qFormat/>
    <w:uiPriority w:val="0"/>
    <w:rPr>
      <w:rFonts w:ascii="宋体" w:hAnsi="宋体"/>
      <w:b/>
      <w:sz w:val="28"/>
      <w:szCs w:val="28"/>
    </w:rPr>
  </w:style>
  <w:style w:type="paragraph" w:customStyle="1" w:styleId="269">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70">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71">
    <w:name w:val="fontstyle01"/>
    <w:qFormat/>
    <w:uiPriority w:val="0"/>
    <w:rPr>
      <w:rFonts w:hint="eastAsia" w:ascii="宋体" w:hAnsi="宋体" w:eastAsia="宋体"/>
      <w:color w:val="000000"/>
      <w:sz w:val="24"/>
      <w:szCs w:val="24"/>
    </w:rPr>
  </w:style>
  <w:style w:type="character" w:customStyle="1" w:styleId="272">
    <w:name w:val="fontstyle11"/>
    <w:qFormat/>
    <w:uiPriority w:val="0"/>
    <w:rPr>
      <w:rFonts w:hint="default" w:ascii="TimesNewRomanPSMT" w:hAnsi="TimesNewRomanPSMT"/>
      <w:color w:val="000000"/>
      <w:sz w:val="24"/>
      <w:szCs w:val="24"/>
    </w:rPr>
  </w:style>
  <w:style w:type="paragraph" w:customStyle="1" w:styleId="273">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4">
    <w:name w:val="fontstyle21"/>
    <w:qFormat/>
    <w:uiPriority w:val="0"/>
    <w:rPr>
      <w:rFonts w:hint="eastAsia" w:ascii="宋体" w:hAnsi="宋体" w:eastAsia="宋体"/>
      <w:color w:val="993300"/>
      <w:sz w:val="24"/>
      <w:szCs w:val="24"/>
    </w:rPr>
  </w:style>
  <w:style w:type="character" w:customStyle="1" w:styleId="275">
    <w:name w:val="fontstyle31"/>
    <w:qFormat/>
    <w:uiPriority w:val="0"/>
    <w:rPr>
      <w:rFonts w:hint="default" w:ascii="Arial" w:hAnsi="Arial" w:cs="Arial"/>
      <w:color w:val="993300"/>
      <w:sz w:val="24"/>
      <w:szCs w:val="24"/>
    </w:rPr>
  </w:style>
  <w:style w:type="character" w:customStyle="1" w:styleId="276">
    <w:name w:val="列出段落 Char"/>
    <w:link w:val="258"/>
    <w:qFormat/>
    <w:uiPriority w:val="0"/>
    <w:rPr>
      <w:rFonts w:ascii="Calibri" w:hAnsi="Calibri"/>
      <w:kern w:val="2"/>
      <w:sz w:val="21"/>
      <w:szCs w:val="22"/>
    </w:rPr>
  </w:style>
  <w:style w:type="character" w:customStyle="1" w:styleId="277">
    <w:name w:val="样式1 Char Char"/>
    <w:link w:val="232"/>
    <w:qFormat/>
    <w:uiPriority w:val="0"/>
    <w:rPr>
      <w:rFonts w:ascii="宋体" w:hAnsi="宋体"/>
      <w:sz w:val="21"/>
      <w:szCs w:val="21"/>
    </w:rPr>
  </w:style>
  <w:style w:type="character" w:customStyle="1" w:styleId="278">
    <w:name w:val="NormalCharacter"/>
    <w:qFormat/>
    <w:uiPriority w:val="0"/>
  </w:style>
  <w:style w:type="paragraph" w:customStyle="1" w:styleId="279">
    <w:name w:val="HtmlNormal"/>
    <w:basedOn w:val="1"/>
    <w:qFormat/>
    <w:uiPriority w:val="0"/>
    <w:pPr>
      <w:widowControl/>
      <w:spacing w:after="150"/>
      <w:jc w:val="left"/>
      <w:textAlignment w:val="baseline"/>
    </w:pPr>
    <w:rPr>
      <w:rFonts w:ascii="宋体" w:hAnsi="宋体"/>
      <w:kern w:val="0"/>
      <w:sz w:val="24"/>
    </w:rPr>
  </w:style>
  <w:style w:type="character" w:customStyle="1" w:styleId="280">
    <w:name w:val="UserStyle_16"/>
    <w:semiHidden/>
    <w:qFormat/>
    <w:uiPriority w:val="0"/>
  </w:style>
  <w:style w:type="paragraph" w:customStyle="1" w:styleId="281">
    <w:name w:val="BodyText1I2"/>
    <w:basedOn w:val="282"/>
    <w:qFormat/>
    <w:uiPriority w:val="0"/>
    <w:pPr>
      <w:widowControl/>
      <w:spacing w:after="120"/>
      <w:ind w:left="420" w:leftChars="200" w:firstLine="482" w:firstLineChars="200"/>
      <w:textAlignment w:val="baseline"/>
    </w:pPr>
    <w:rPr>
      <w:rFonts w:ascii="Calibri" w:hAnsi="Calibri"/>
      <w:b/>
      <w:sz w:val="24"/>
    </w:rPr>
  </w:style>
  <w:style w:type="paragraph" w:customStyle="1" w:styleId="282">
    <w:name w:val="BodyTextIndent"/>
    <w:basedOn w:val="1"/>
    <w:next w:val="1"/>
    <w:qFormat/>
    <w:uiPriority w:val="0"/>
    <w:pPr>
      <w:spacing w:line="320" w:lineRule="exact"/>
      <w:ind w:firstLine="210"/>
    </w:pPr>
    <w:rPr>
      <w:rFonts w:ascii="宋体" w:hAnsi="Times New Roman" w:eastAsia="宋体" w:cs="Times New Roman"/>
      <w:spacing w:val="-2"/>
    </w:rPr>
  </w:style>
  <w:style w:type="paragraph" w:customStyle="1" w:styleId="283">
    <w:name w:val="表格"/>
    <w:basedOn w:val="1"/>
    <w:qFormat/>
    <w:uiPriority w:val="0"/>
    <w:pPr>
      <w:widowControl/>
      <w:spacing w:line="280" w:lineRule="exact"/>
      <w:jc w:val="left"/>
    </w:pPr>
    <w:rPr>
      <w:rFonts w:ascii="仿宋_GB2312" w:hAnsi="宋体" w:eastAsia="仿宋_GB2312"/>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13673</Words>
  <Characters>14609</Characters>
  <Lines>257</Lines>
  <Paragraphs>72</Paragraphs>
  <TotalTime>56</TotalTime>
  <ScaleCrop>false</ScaleCrop>
  <LinksUpToDate>false</LinksUpToDate>
  <CharactersWithSpaces>14778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2025-09-19T01:56:00Z</dcterms:created>
  <dc:creator>微软用户</dc:creator>
  <cp:lastModifiedBy>浅沫</cp:lastModifiedBy>
  <cp:lastPrinted>2026-08-31T00:54:00Z</cp:lastPrinted>
  <dcterms:modified xsi:type="dcterms:W3CDTF">2026-09-07T08:26:49Z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7D64DEFC1F9849E08290629289F37C51_13</vt:lpwstr>
  </property>
  <property fmtid="{D5CDD505-2E9C-101B-9397-08002B2CF9AE}" pid="4" name="KSOTemplateDocerSaveRecord">
    <vt:lpwstr>eyJoZGlkIjoiZDE2YjgwNTAyNWE4YWVkMjg5YmRkOGIyZmVjNWYwZDkiLCJ1c2VySWQiOiIzMjc0Njc4NDkifQ==</vt:lpwstr>
  </property>
</Properties>
</file>