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CB06D8">
      <w:pPr>
        <w:pStyle w:val="23"/>
        <w:shd w:val="clear"/>
        <w:tabs>
          <w:tab w:val="left" w:pos="1950"/>
        </w:tabs>
        <w:rPr>
          <w:rFonts w:hAnsi="宋体"/>
          <w:strike/>
          <w:color w:val="auto"/>
          <w:sz w:val="44"/>
          <w:highlight w:val="none"/>
          <w:vertAlign w:val="subscript"/>
        </w:rPr>
      </w:pPr>
    </w:p>
    <w:p w14:paraId="354ACC31">
      <w:pPr>
        <w:pStyle w:val="23"/>
        <w:shd w:val="clear"/>
        <w:spacing w:line="400" w:lineRule="atLeast"/>
        <w:rPr>
          <w:rFonts w:ascii="华文中宋" w:hAnsi="华文中宋" w:eastAsia="华文中宋"/>
          <w:bCs/>
          <w:color w:val="auto"/>
          <w:sz w:val="72"/>
          <w:szCs w:val="72"/>
          <w:highlight w:val="none"/>
        </w:rPr>
      </w:pPr>
    </w:p>
    <w:p w14:paraId="0BBE58DE">
      <w:pPr>
        <w:pStyle w:val="53"/>
        <w:shd w:val="clear"/>
        <w:rPr>
          <w:color w:val="auto"/>
          <w:highlight w:val="none"/>
        </w:rPr>
      </w:pPr>
    </w:p>
    <w:p w14:paraId="11EA5B77">
      <w:pPr>
        <w:pStyle w:val="23"/>
        <w:shd w:val="clear"/>
        <w:spacing w:line="400" w:lineRule="atLeast"/>
        <w:jc w:val="center"/>
        <w:rPr>
          <w:rFonts w:ascii="华文中宋" w:hAnsi="华文中宋" w:eastAsia="华文中宋"/>
          <w:b/>
          <w:bCs/>
          <w:color w:val="auto"/>
          <w:sz w:val="72"/>
          <w:szCs w:val="72"/>
          <w:highlight w:val="none"/>
        </w:rPr>
      </w:pPr>
      <w:r>
        <w:rPr>
          <w:rFonts w:hint="eastAsia" w:ascii="华文中宋" w:hAnsi="华文中宋" w:eastAsia="华文中宋"/>
          <w:b/>
          <w:bCs/>
          <w:color w:val="auto"/>
          <w:sz w:val="72"/>
          <w:szCs w:val="72"/>
          <w:highlight w:val="none"/>
        </w:rPr>
        <w:t>公开招标</w:t>
      </w:r>
    </w:p>
    <w:p w14:paraId="1D6FD4A5">
      <w:pPr>
        <w:pStyle w:val="23"/>
        <w:shd w:val="clear"/>
        <w:spacing w:line="400" w:lineRule="atLeast"/>
        <w:jc w:val="center"/>
        <w:rPr>
          <w:rFonts w:ascii="华文中宋" w:hAnsi="华文中宋" w:eastAsia="华文中宋"/>
          <w:b/>
          <w:bCs/>
          <w:color w:val="auto"/>
          <w:sz w:val="72"/>
          <w:szCs w:val="72"/>
          <w:highlight w:val="none"/>
        </w:rPr>
      </w:pPr>
      <w:r>
        <w:rPr>
          <w:rFonts w:hint="eastAsia" w:ascii="华文中宋" w:hAnsi="华文中宋" w:eastAsia="华文中宋"/>
          <w:b/>
          <w:bCs/>
          <w:color w:val="auto"/>
          <w:sz w:val="72"/>
          <w:szCs w:val="72"/>
          <w:highlight w:val="none"/>
        </w:rPr>
        <w:t>电子招标文件</w:t>
      </w:r>
    </w:p>
    <w:p w14:paraId="6B78680C">
      <w:pPr>
        <w:pStyle w:val="23"/>
        <w:shd w:val="clear"/>
        <w:adjustRightInd w:val="0"/>
        <w:snapToGrid w:val="0"/>
        <w:spacing w:line="360" w:lineRule="auto"/>
        <w:jc w:val="center"/>
        <w:rPr>
          <w:rFonts w:ascii="华文中宋" w:hAnsi="华文中宋" w:eastAsia="华文中宋"/>
          <w:bCs/>
          <w:color w:val="auto"/>
          <w:highlight w:val="none"/>
        </w:rPr>
      </w:pPr>
    </w:p>
    <w:p w14:paraId="4FB1BF03">
      <w:pPr>
        <w:pStyle w:val="17"/>
        <w:shd w:val="clear"/>
        <w:rPr>
          <w:rFonts w:hint="eastAsia"/>
          <w:color w:val="auto"/>
          <w:highlight w:val="none"/>
          <w:lang w:val="en-US" w:eastAsia="zh-CN"/>
        </w:rPr>
      </w:pPr>
      <w:r>
        <w:rPr>
          <w:rFonts w:hint="eastAsia"/>
          <w:color w:val="auto"/>
          <w:highlight w:val="none"/>
          <w:lang w:val="en-US" w:eastAsia="zh-CN"/>
        </w:rPr>
        <w:t xml:space="preserve">  </w:t>
      </w:r>
    </w:p>
    <w:p w14:paraId="6400E9C4">
      <w:pPr>
        <w:rPr>
          <w:rFonts w:hint="eastAsia"/>
          <w:color w:val="auto"/>
          <w:highlight w:val="none"/>
          <w:lang w:val="en-US" w:eastAsia="zh-CN"/>
        </w:rPr>
      </w:pPr>
    </w:p>
    <w:p w14:paraId="4CE2BE8F">
      <w:pPr>
        <w:rPr>
          <w:rFonts w:hint="default"/>
          <w:color w:val="auto"/>
          <w:highlight w:val="none"/>
          <w:lang w:val="en-US" w:eastAsia="zh-CN"/>
        </w:rPr>
      </w:pPr>
    </w:p>
    <w:p w14:paraId="05F050CB">
      <w:pPr>
        <w:pStyle w:val="53"/>
        <w:shd w:val="clear"/>
        <w:rPr>
          <w:color w:val="auto"/>
          <w:highlight w:val="none"/>
        </w:rPr>
      </w:pPr>
    </w:p>
    <w:p w14:paraId="216F40E9">
      <w:pPr>
        <w:pStyle w:val="53"/>
        <w:shd w:val="clear"/>
        <w:rPr>
          <w:color w:val="auto"/>
          <w:highlight w:val="none"/>
        </w:rPr>
      </w:pPr>
    </w:p>
    <w:p w14:paraId="572FA89C">
      <w:pPr>
        <w:shd w:val="clear"/>
        <w:rPr>
          <w:rFonts w:hAnsi="宋体"/>
          <w:b/>
          <w:color w:val="auto"/>
          <w:sz w:val="32"/>
          <w:szCs w:val="32"/>
          <w:highlight w:val="none"/>
        </w:rPr>
      </w:pPr>
    </w:p>
    <w:p w14:paraId="3D1E69DB">
      <w:pPr>
        <w:shd w:val="clear"/>
        <w:rPr>
          <w:rFonts w:hint="eastAsia" w:hAnsi="宋体" w:eastAsia="宋体"/>
          <w:b/>
          <w:color w:val="auto"/>
          <w:sz w:val="32"/>
          <w:szCs w:val="32"/>
          <w:highlight w:val="none"/>
          <w:u w:val="single"/>
          <w:lang w:eastAsia="zh-CN"/>
        </w:rPr>
      </w:pPr>
      <w:r>
        <w:rPr>
          <w:rFonts w:hint="eastAsia" w:hAnsi="宋体"/>
          <w:b/>
          <w:color w:val="auto"/>
          <w:sz w:val="32"/>
          <w:szCs w:val="32"/>
          <w:highlight w:val="none"/>
        </w:rPr>
        <w:t>项目名称：</w:t>
      </w:r>
      <w:r>
        <w:rPr>
          <w:rFonts w:hint="eastAsia" w:hAnsi="宋体"/>
          <w:b/>
          <w:color w:val="auto"/>
          <w:sz w:val="32"/>
          <w:szCs w:val="32"/>
          <w:highlight w:val="none"/>
          <w:u w:val="single"/>
          <w:lang w:eastAsia="zh-CN"/>
        </w:rPr>
        <w:t>岳阳市君山区人民医院无创呼吸机等设备采购项目</w:t>
      </w:r>
    </w:p>
    <w:p w14:paraId="0D2CA3B1">
      <w:pPr>
        <w:shd w:val="clear"/>
        <w:rPr>
          <w:rFonts w:hint="eastAsia" w:ascii="宋体" w:eastAsia="宋体"/>
          <w:b/>
          <w:color w:val="auto"/>
          <w:sz w:val="32"/>
          <w:szCs w:val="21"/>
          <w:highlight w:val="none"/>
          <w:u w:val="single"/>
          <w:lang w:eastAsia="zh-CN"/>
        </w:rPr>
      </w:pPr>
      <w:r>
        <w:rPr>
          <w:rFonts w:hint="eastAsia" w:hAnsi="宋体"/>
          <w:b/>
          <w:color w:val="auto"/>
          <w:sz w:val="32"/>
          <w:szCs w:val="32"/>
          <w:highlight w:val="none"/>
        </w:rPr>
        <w:t>采购计划编号：(2026)430611000022-1</w:t>
      </w:r>
      <w:r>
        <w:rPr>
          <w:rFonts w:hint="eastAsia" w:hAnsi="宋体"/>
          <w:b/>
          <w:color w:val="auto"/>
          <w:sz w:val="32"/>
          <w:szCs w:val="32"/>
          <w:highlight w:val="none"/>
          <w:lang w:eastAsia="zh-CN"/>
        </w:rPr>
        <w:t>；(2026)430611000022-2</w:t>
      </w:r>
    </w:p>
    <w:p w14:paraId="31A138E9">
      <w:pPr>
        <w:shd w:val="clear"/>
        <w:rPr>
          <w:rFonts w:hAnsi="宋体"/>
          <w:b/>
          <w:color w:val="auto"/>
          <w:sz w:val="32"/>
          <w:szCs w:val="32"/>
          <w:highlight w:val="none"/>
        </w:rPr>
      </w:pPr>
      <w:r>
        <w:rPr>
          <w:rFonts w:hint="eastAsia" w:hAnsi="宋体"/>
          <w:b/>
          <w:color w:val="auto"/>
          <w:sz w:val="32"/>
          <w:szCs w:val="32"/>
          <w:highlight w:val="none"/>
        </w:rPr>
        <w:t>采购代理编号：</w:t>
      </w:r>
      <w:r>
        <w:rPr>
          <w:rFonts w:hint="eastAsia" w:ascii="宋体"/>
          <w:b/>
          <w:color w:val="auto"/>
          <w:sz w:val="32"/>
          <w:szCs w:val="21"/>
          <w:highlight w:val="none"/>
          <w:u w:val="single"/>
          <w:lang w:eastAsia="zh-CN"/>
        </w:rPr>
        <w:t xml:space="preserve">HNHS-2026CG-003 </w:t>
      </w:r>
      <w:r>
        <w:rPr>
          <w:rFonts w:hint="eastAsia" w:ascii="宋体"/>
          <w:b/>
          <w:color w:val="auto"/>
          <w:sz w:val="32"/>
          <w:szCs w:val="21"/>
          <w:highlight w:val="none"/>
          <w:u w:val="single"/>
        </w:rPr>
        <w:t xml:space="preserve"> </w:t>
      </w:r>
    </w:p>
    <w:p w14:paraId="0F8101FA">
      <w:pPr>
        <w:shd w:val="clear"/>
        <w:rPr>
          <w:rFonts w:hint="eastAsia" w:hAnsi="宋体" w:eastAsia="宋体"/>
          <w:b/>
          <w:color w:val="auto"/>
          <w:sz w:val="32"/>
          <w:szCs w:val="32"/>
          <w:highlight w:val="none"/>
          <w:u w:val="single"/>
          <w:lang w:eastAsia="zh-CN"/>
        </w:rPr>
      </w:pPr>
      <w:r>
        <w:rPr>
          <w:rFonts w:hint="eastAsia" w:hAnsi="宋体"/>
          <w:b/>
          <w:color w:val="auto"/>
          <w:sz w:val="32"/>
          <w:szCs w:val="32"/>
          <w:highlight w:val="none"/>
        </w:rPr>
        <w:t>采</w:t>
      </w:r>
      <w:r>
        <w:rPr>
          <w:rFonts w:hint="eastAsia" w:hAnsi="宋体"/>
          <w:b/>
          <w:color w:val="auto"/>
          <w:sz w:val="32"/>
          <w:szCs w:val="32"/>
          <w:highlight w:val="none"/>
          <w:lang w:val="en-US" w:eastAsia="zh-CN"/>
        </w:rPr>
        <w:t xml:space="preserve"> </w:t>
      </w:r>
      <w:r>
        <w:rPr>
          <w:rFonts w:hint="eastAsia" w:hAnsi="宋体"/>
          <w:b/>
          <w:color w:val="auto"/>
          <w:sz w:val="32"/>
          <w:szCs w:val="32"/>
          <w:highlight w:val="none"/>
        </w:rPr>
        <w:t>购</w:t>
      </w:r>
      <w:r>
        <w:rPr>
          <w:rFonts w:hint="eastAsia" w:hAnsi="宋体"/>
          <w:b/>
          <w:color w:val="auto"/>
          <w:sz w:val="32"/>
          <w:szCs w:val="32"/>
          <w:highlight w:val="none"/>
          <w:lang w:val="en-US" w:eastAsia="zh-CN"/>
        </w:rPr>
        <w:t xml:space="preserve"> </w:t>
      </w:r>
      <w:r>
        <w:rPr>
          <w:rFonts w:hint="eastAsia" w:hAnsi="宋体"/>
          <w:b/>
          <w:color w:val="auto"/>
          <w:sz w:val="32"/>
          <w:szCs w:val="32"/>
          <w:highlight w:val="none"/>
        </w:rPr>
        <w:t>人：</w:t>
      </w:r>
      <w:r>
        <w:rPr>
          <w:rFonts w:hint="eastAsia" w:hAnsi="宋体"/>
          <w:b/>
          <w:color w:val="auto"/>
          <w:sz w:val="32"/>
          <w:szCs w:val="32"/>
          <w:highlight w:val="none"/>
          <w:u w:val="single"/>
          <w:lang w:eastAsia="zh-CN"/>
        </w:rPr>
        <w:t>岳阳市君山区人民医院</w:t>
      </w:r>
    </w:p>
    <w:p w14:paraId="4400DF36">
      <w:pPr>
        <w:shd w:val="clear"/>
        <w:rPr>
          <w:rFonts w:ascii="宋体"/>
          <w:b/>
          <w:color w:val="auto"/>
          <w:sz w:val="32"/>
          <w:szCs w:val="21"/>
          <w:highlight w:val="none"/>
        </w:rPr>
      </w:pPr>
      <w:r>
        <w:rPr>
          <w:rFonts w:hint="eastAsia" w:ascii="宋体"/>
          <w:b/>
          <w:color w:val="auto"/>
          <w:sz w:val="32"/>
          <w:szCs w:val="21"/>
          <w:highlight w:val="none"/>
        </w:rPr>
        <w:t>采购代理机构：</w:t>
      </w:r>
      <w:r>
        <w:rPr>
          <w:rFonts w:hint="eastAsia" w:ascii="宋体"/>
          <w:b/>
          <w:color w:val="auto"/>
          <w:sz w:val="32"/>
          <w:szCs w:val="21"/>
          <w:highlight w:val="none"/>
          <w:u w:val="single"/>
        </w:rPr>
        <w:t>湖南泓盛项目管理有限公司</w:t>
      </w:r>
    </w:p>
    <w:p w14:paraId="320C31C7">
      <w:pPr>
        <w:pStyle w:val="23"/>
        <w:shd w:val="clear"/>
        <w:jc w:val="center"/>
        <w:rPr>
          <w:rFonts w:hAnsi="宋体"/>
          <w:bCs/>
          <w:color w:val="auto"/>
          <w:sz w:val="32"/>
          <w:szCs w:val="32"/>
          <w:highlight w:val="none"/>
        </w:rPr>
      </w:pPr>
    </w:p>
    <w:p w14:paraId="545F7D6F">
      <w:pPr>
        <w:pStyle w:val="5"/>
        <w:rPr>
          <w:color w:val="auto"/>
          <w:highlight w:val="none"/>
        </w:rPr>
      </w:pPr>
    </w:p>
    <w:p w14:paraId="41E851D9">
      <w:pPr>
        <w:pStyle w:val="23"/>
        <w:shd w:val="clear"/>
        <w:adjustRightInd w:val="0"/>
        <w:snapToGrid w:val="0"/>
        <w:spacing w:before="312" w:beforeLines="100" w:line="340" w:lineRule="exact"/>
        <w:jc w:val="center"/>
        <w:rPr>
          <w:rFonts w:hint="eastAsia" w:hAnsi="宋体" w:eastAsia="宋体"/>
          <w:b/>
          <w:color w:val="auto"/>
          <w:sz w:val="32"/>
          <w:highlight w:val="none"/>
          <w:lang w:eastAsia="zh-CN"/>
        </w:rPr>
      </w:pPr>
      <w:r>
        <w:rPr>
          <w:rFonts w:hint="eastAsia" w:hAnsi="宋体"/>
          <w:b/>
          <w:color w:val="auto"/>
          <w:sz w:val="32"/>
          <w:highlight w:val="none"/>
          <w:lang w:eastAsia="zh-CN"/>
        </w:rPr>
        <w:t>2026年</w:t>
      </w:r>
      <w:r>
        <w:rPr>
          <w:rFonts w:hint="eastAsia" w:hAnsi="宋体"/>
          <w:b/>
          <w:color w:val="auto"/>
          <w:sz w:val="32"/>
          <w:highlight w:val="none"/>
          <w:lang w:val="en-US" w:eastAsia="zh-CN"/>
        </w:rPr>
        <w:t>9</w:t>
      </w:r>
      <w:r>
        <w:rPr>
          <w:rFonts w:hint="eastAsia" w:hAnsi="宋体"/>
          <w:b/>
          <w:color w:val="auto"/>
          <w:sz w:val="32"/>
          <w:highlight w:val="none"/>
          <w:lang w:eastAsia="zh-CN"/>
        </w:rPr>
        <w:t>月</w:t>
      </w:r>
    </w:p>
    <w:p w14:paraId="30933006">
      <w:pPr>
        <w:shd w:val="clear"/>
        <w:jc w:val="center"/>
        <w:outlineLvl w:val="0"/>
        <w:rPr>
          <w:b/>
          <w:color w:val="auto"/>
          <w:sz w:val="44"/>
          <w:szCs w:val="44"/>
          <w:highlight w:val="none"/>
        </w:rPr>
      </w:pPr>
      <w:r>
        <w:rPr>
          <w:rFonts w:hint="eastAsia"/>
          <w:b/>
          <w:color w:val="auto"/>
          <w:sz w:val="44"/>
          <w:szCs w:val="44"/>
          <w:highlight w:val="none"/>
        </w:rPr>
        <w:br w:type="page"/>
      </w:r>
    </w:p>
    <w:p w14:paraId="520BA5C0">
      <w:pPr>
        <w:shd w:val="clear"/>
        <w:rPr>
          <w:color w:val="auto"/>
          <w:highlight w:val="none"/>
        </w:rPr>
      </w:pPr>
    </w:p>
    <w:p w14:paraId="3B39B605">
      <w:pPr>
        <w:shd w:val="clear"/>
        <w:rPr>
          <w:color w:val="auto"/>
          <w:highlight w:val="none"/>
        </w:rPr>
      </w:pPr>
    </w:p>
    <w:p w14:paraId="2DA96968">
      <w:pPr>
        <w:pStyle w:val="141"/>
        <w:shd w:val="clear"/>
        <w:jc w:val="center"/>
        <w:rPr>
          <w:color w:val="auto"/>
          <w:sz w:val="44"/>
          <w:szCs w:val="44"/>
          <w:highlight w:val="none"/>
          <w:lang w:val="zh-CN"/>
        </w:rPr>
      </w:pPr>
      <w:r>
        <w:rPr>
          <w:color w:val="auto"/>
          <w:sz w:val="44"/>
          <w:szCs w:val="44"/>
          <w:highlight w:val="none"/>
          <w:lang w:val="zh-CN"/>
        </w:rPr>
        <w:t>目录</w:t>
      </w:r>
    </w:p>
    <w:p w14:paraId="5A2CD877">
      <w:pPr>
        <w:shd w:val="clear"/>
        <w:rPr>
          <w:color w:val="auto"/>
          <w:highlight w:val="none"/>
        </w:rPr>
      </w:pPr>
    </w:p>
    <w:p w14:paraId="5A6F541F">
      <w:pPr>
        <w:pStyle w:val="2"/>
        <w:shd w:val="clear"/>
        <w:rPr>
          <w:color w:val="auto"/>
          <w:highlight w:val="none"/>
        </w:rPr>
      </w:pPr>
    </w:p>
    <w:p w14:paraId="08D3D017">
      <w:pPr>
        <w:pStyle w:val="30"/>
        <w:shd w:val="clear"/>
        <w:tabs>
          <w:tab w:val="right" w:leader="dot" w:pos="8834"/>
        </w:tabs>
        <w:rPr>
          <w:rFonts w:ascii="Calibri" w:hAnsi="Calibri"/>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"_Toc78815069" </w:instrText>
      </w:r>
      <w:r>
        <w:rPr>
          <w:color w:val="auto"/>
          <w:highlight w:val="none"/>
        </w:rPr>
        <w:fldChar w:fldCharType="separate"/>
      </w:r>
      <w:r>
        <w:rPr>
          <w:rStyle w:val="50"/>
          <w:rFonts w:hint="eastAsia" w:ascii="黑体" w:hAnsi="黑体" w:eastAsia="黑体"/>
          <w:color w:val="auto"/>
          <w:sz w:val="28"/>
          <w:szCs w:val="28"/>
          <w:highlight w:val="none"/>
        </w:rPr>
        <w:t>第一章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投标邀请</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_Toc78815069 \h </w:instrText>
      </w:r>
      <w:r>
        <w:rPr>
          <w:color w:val="auto"/>
          <w:sz w:val="28"/>
          <w:szCs w:val="28"/>
          <w:highlight w:val="none"/>
        </w:rPr>
        <w:fldChar w:fldCharType="separate"/>
      </w:r>
      <w:r>
        <w:rPr>
          <w:color w:val="auto"/>
          <w:sz w:val="28"/>
          <w:szCs w:val="28"/>
          <w:highlight w:val="none"/>
        </w:rPr>
        <w:t>3</w:t>
      </w:r>
      <w:r>
        <w:rPr>
          <w:color w:val="auto"/>
          <w:sz w:val="28"/>
          <w:szCs w:val="28"/>
          <w:highlight w:val="none"/>
        </w:rPr>
        <w:fldChar w:fldCharType="end"/>
      </w:r>
      <w:r>
        <w:rPr>
          <w:color w:val="auto"/>
          <w:sz w:val="28"/>
          <w:szCs w:val="28"/>
          <w:highlight w:val="none"/>
        </w:rPr>
        <w:fldChar w:fldCharType="end"/>
      </w:r>
    </w:p>
    <w:p w14:paraId="162877EA">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"_Toc78815070" </w:instrText>
      </w:r>
      <w:r>
        <w:rPr>
          <w:color w:val="auto"/>
          <w:highlight w:val="none"/>
        </w:rPr>
        <w:fldChar w:fldCharType="separate"/>
      </w:r>
      <w:r>
        <w:rPr>
          <w:rStyle w:val="50"/>
          <w:rFonts w:hint="eastAsia" w:ascii="黑体" w:hAnsi="黑体" w:eastAsia="黑体"/>
          <w:color w:val="auto"/>
          <w:sz w:val="28"/>
          <w:szCs w:val="28"/>
          <w:highlight w:val="none"/>
        </w:rPr>
        <w:t>第二章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_Toc78815070 \h </w:instrText>
      </w:r>
      <w:r>
        <w:rPr>
          <w:color w:val="auto"/>
          <w:sz w:val="28"/>
          <w:szCs w:val="28"/>
          <w:highlight w:val="none"/>
        </w:rPr>
        <w:fldChar w:fldCharType="separate"/>
      </w:r>
      <w:r>
        <w:rPr>
          <w:color w:val="auto"/>
          <w:sz w:val="28"/>
          <w:szCs w:val="28"/>
          <w:highlight w:val="none"/>
        </w:rPr>
        <w:t>8</w:t>
      </w:r>
      <w:r>
        <w:rPr>
          <w:color w:val="auto"/>
          <w:sz w:val="28"/>
          <w:szCs w:val="28"/>
          <w:highlight w:val="none"/>
        </w:rPr>
        <w:fldChar w:fldCharType="end"/>
      </w:r>
      <w:r>
        <w:rPr>
          <w:color w:val="auto"/>
          <w:sz w:val="28"/>
          <w:szCs w:val="28"/>
          <w:highlight w:val="none"/>
        </w:rPr>
        <w:fldChar w:fldCharType="end"/>
      </w:r>
    </w:p>
    <w:p w14:paraId="3A0CF979">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"_Toc78815071" </w:instrText>
      </w:r>
      <w:r>
        <w:rPr>
          <w:color w:val="auto"/>
          <w:highlight w:val="none"/>
        </w:rPr>
        <w:fldChar w:fldCharType="separate"/>
      </w:r>
      <w:r>
        <w:rPr>
          <w:rStyle w:val="50"/>
          <w:rFonts w:hint="eastAsia" w:ascii="黑体" w:hAnsi="黑体" w:eastAsia="黑体"/>
          <w:color w:val="auto"/>
          <w:sz w:val="28"/>
          <w:szCs w:val="28"/>
          <w:highlight w:val="none"/>
        </w:rPr>
        <w:t>第三章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资格审查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_Toc78815071 \h </w:instrText>
      </w:r>
      <w:r>
        <w:rPr>
          <w:color w:val="auto"/>
          <w:sz w:val="28"/>
          <w:szCs w:val="28"/>
          <w:highlight w:val="none"/>
        </w:rPr>
        <w:fldChar w:fldCharType="separate"/>
      </w:r>
      <w:r>
        <w:rPr>
          <w:color w:val="auto"/>
          <w:sz w:val="28"/>
          <w:szCs w:val="28"/>
          <w:highlight w:val="none"/>
        </w:rPr>
        <w:t>26</w:t>
      </w:r>
      <w:r>
        <w:rPr>
          <w:color w:val="auto"/>
          <w:sz w:val="28"/>
          <w:szCs w:val="28"/>
          <w:highlight w:val="none"/>
        </w:rPr>
        <w:fldChar w:fldCharType="end"/>
      </w:r>
      <w:r>
        <w:rPr>
          <w:color w:val="auto"/>
          <w:sz w:val="28"/>
          <w:szCs w:val="28"/>
          <w:highlight w:val="none"/>
        </w:rPr>
        <w:fldChar w:fldCharType="end"/>
      </w:r>
    </w:p>
    <w:p w14:paraId="7C51D6C1">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"_Toc78815072" </w:instrText>
      </w:r>
      <w:r>
        <w:rPr>
          <w:color w:val="auto"/>
          <w:highlight w:val="none"/>
        </w:rPr>
        <w:fldChar w:fldCharType="separate"/>
      </w:r>
      <w:r>
        <w:rPr>
          <w:rStyle w:val="50"/>
          <w:rFonts w:hint="eastAsia" w:ascii="黑体" w:hAnsi="黑体" w:eastAsia="黑体"/>
          <w:color w:val="auto"/>
          <w:sz w:val="28"/>
          <w:szCs w:val="28"/>
          <w:highlight w:val="none"/>
        </w:rPr>
        <w:t>第四章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评标方法及标准（综合评分法）</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_Toc78815072 \h </w:instrText>
      </w:r>
      <w:r>
        <w:rPr>
          <w:color w:val="auto"/>
          <w:sz w:val="28"/>
          <w:szCs w:val="28"/>
          <w:highlight w:val="none"/>
        </w:rPr>
        <w:fldChar w:fldCharType="separate"/>
      </w:r>
      <w:r>
        <w:rPr>
          <w:color w:val="auto"/>
          <w:sz w:val="28"/>
          <w:szCs w:val="28"/>
          <w:highlight w:val="none"/>
        </w:rPr>
        <w:t>30</w:t>
      </w:r>
      <w:r>
        <w:rPr>
          <w:color w:val="auto"/>
          <w:sz w:val="28"/>
          <w:szCs w:val="28"/>
          <w:highlight w:val="none"/>
        </w:rPr>
        <w:fldChar w:fldCharType="end"/>
      </w:r>
      <w:r>
        <w:rPr>
          <w:color w:val="auto"/>
          <w:sz w:val="28"/>
          <w:szCs w:val="28"/>
          <w:highlight w:val="none"/>
        </w:rPr>
        <w:fldChar w:fldCharType="end"/>
      </w:r>
    </w:p>
    <w:p w14:paraId="367C9F37">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"_Toc78815073" </w:instrText>
      </w:r>
      <w:r>
        <w:rPr>
          <w:color w:val="auto"/>
          <w:highlight w:val="none"/>
        </w:rPr>
        <w:fldChar w:fldCharType="separate"/>
      </w:r>
      <w:r>
        <w:rPr>
          <w:rStyle w:val="50"/>
          <w:rFonts w:hint="eastAsia" w:ascii="黑体" w:hAnsi="黑体" w:eastAsia="黑体"/>
          <w:color w:val="auto"/>
          <w:sz w:val="28"/>
          <w:szCs w:val="28"/>
          <w:highlight w:val="none"/>
        </w:rPr>
        <w:t>第五章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采购需求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_Toc78815073 \h </w:instrText>
      </w:r>
      <w:r>
        <w:rPr>
          <w:color w:val="auto"/>
          <w:sz w:val="28"/>
          <w:szCs w:val="28"/>
          <w:highlight w:val="none"/>
        </w:rPr>
        <w:fldChar w:fldCharType="separate"/>
      </w:r>
      <w:r>
        <w:rPr>
          <w:color w:val="auto"/>
          <w:sz w:val="28"/>
          <w:szCs w:val="28"/>
          <w:highlight w:val="none"/>
        </w:rPr>
        <w:t>41</w:t>
      </w:r>
      <w:r>
        <w:rPr>
          <w:color w:val="auto"/>
          <w:sz w:val="28"/>
          <w:szCs w:val="28"/>
          <w:highlight w:val="none"/>
        </w:rPr>
        <w:fldChar w:fldCharType="end"/>
      </w:r>
      <w:r>
        <w:rPr>
          <w:color w:val="auto"/>
          <w:sz w:val="28"/>
          <w:szCs w:val="28"/>
          <w:highlight w:val="none"/>
        </w:rPr>
        <w:fldChar w:fldCharType="end"/>
      </w:r>
    </w:p>
    <w:p w14:paraId="342860ED">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"_Toc78815074" </w:instrText>
      </w:r>
      <w:r>
        <w:rPr>
          <w:color w:val="auto"/>
          <w:highlight w:val="none"/>
        </w:rPr>
        <w:fldChar w:fldCharType="separate"/>
      </w:r>
      <w:r>
        <w:rPr>
          <w:rStyle w:val="50"/>
          <w:rFonts w:hint="eastAsia" w:ascii="黑体" w:hAnsi="黑体" w:eastAsia="黑体"/>
          <w:color w:val="auto"/>
          <w:sz w:val="28"/>
          <w:szCs w:val="28"/>
          <w:highlight w:val="none"/>
        </w:rPr>
        <w:t>第六章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政府采购合同</w:t>
      </w:r>
      <w:r>
        <w:rPr>
          <w:color w:val="auto"/>
          <w:sz w:val="28"/>
          <w:szCs w:val="28"/>
          <w:highlight w:val="none"/>
        </w:rPr>
        <w:tab/>
      </w:r>
      <w:r>
        <w:rPr>
          <w:rFonts w:hint="eastAsia"/>
          <w:color w:val="auto"/>
          <w:sz w:val="28"/>
          <w:szCs w:val="28"/>
          <w:highlight w:val="none"/>
        </w:rPr>
        <w:t>4</w:t>
      </w:r>
      <w:r>
        <w:rPr>
          <w:rFonts w:hint="eastAsia"/>
          <w:color w:val="auto"/>
          <w:sz w:val="28"/>
          <w:szCs w:val="28"/>
          <w:highlight w:val="none"/>
        </w:rPr>
        <w:fldChar w:fldCharType="end"/>
      </w:r>
      <w:r>
        <w:rPr>
          <w:rFonts w:hint="eastAsia"/>
          <w:color w:val="auto"/>
          <w:sz w:val="28"/>
          <w:szCs w:val="28"/>
          <w:highlight w:val="none"/>
        </w:rPr>
        <w:t>2</w:t>
      </w:r>
    </w:p>
    <w:p w14:paraId="018060FE">
      <w:pPr>
        <w:pStyle w:val="30"/>
        <w:shd w:val="clear"/>
        <w:tabs>
          <w:tab w:val="right" w:leader="dot" w:pos="8834"/>
        </w:tabs>
        <w:rPr>
          <w:rFonts w:ascii="Calibri" w:hAnsi="Calibri"/>
          <w:color w:val="auto"/>
          <w:sz w:val="28"/>
          <w:szCs w:val="28"/>
          <w:highlight w:val="none"/>
        </w:rPr>
      </w:pPr>
      <w:r>
        <w:rPr>
          <w:color w:val="auto"/>
          <w:highlight w:val="none"/>
        </w:rPr>
        <w:fldChar w:fldCharType="begin"/>
      </w:r>
      <w:r>
        <w:rPr>
          <w:color w:val="auto"/>
          <w:highlight w:val="none"/>
        </w:rPr>
        <w:instrText xml:space="preserve"> HYPERLINK \l "_Toc78815075" </w:instrText>
      </w:r>
      <w:r>
        <w:rPr>
          <w:color w:val="auto"/>
          <w:highlight w:val="none"/>
        </w:rPr>
        <w:fldChar w:fldCharType="separate"/>
      </w:r>
      <w:r>
        <w:rPr>
          <w:rStyle w:val="50"/>
          <w:rFonts w:hint="eastAsia" w:ascii="黑体" w:hAnsi="黑体" w:eastAsia="黑体"/>
          <w:color w:val="auto"/>
          <w:sz w:val="28"/>
          <w:szCs w:val="28"/>
          <w:highlight w:val="none"/>
        </w:rPr>
        <w:t>第七章</w:t>
      </w:r>
      <w:r>
        <w:rPr>
          <w:rStyle w:val="50"/>
          <w:rFonts w:hint="eastAsia" w:ascii="黑体" w:hAnsi="黑体" w:eastAsia="黑体"/>
          <w:color w:val="auto"/>
          <w:sz w:val="28"/>
          <w:szCs w:val="28"/>
          <w:highlight w:val="none"/>
          <w:lang w:val="en-US" w:eastAsia="zh-CN"/>
        </w:rPr>
        <w:t xml:space="preserve">  </w:t>
      </w:r>
      <w:r>
        <w:rPr>
          <w:rStyle w:val="50"/>
          <w:rFonts w:hint="eastAsia" w:ascii="黑体" w:hAnsi="黑体" w:eastAsia="黑体"/>
          <w:color w:val="auto"/>
          <w:sz w:val="28"/>
          <w:szCs w:val="28"/>
          <w:highlight w:val="none"/>
        </w:rPr>
        <w:t>投标文件的组成</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_Toc78815075 \h </w:instrText>
      </w:r>
      <w:r>
        <w:rPr>
          <w:color w:val="auto"/>
          <w:sz w:val="28"/>
          <w:szCs w:val="28"/>
          <w:highlight w:val="none"/>
        </w:rPr>
        <w:fldChar w:fldCharType="separate"/>
      </w:r>
      <w:r>
        <w:rPr>
          <w:color w:val="auto"/>
          <w:sz w:val="28"/>
          <w:szCs w:val="28"/>
          <w:highlight w:val="none"/>
        </w:rPr>
        <w:t>69</w:t>
      </w:r>
      <w:r>
        <w:rPr>
          <w:color w:val="auto"/>
          <w:sz w:val="28"/>
          <w:szCs w:val="28"/>
          <w:highlight w:val="none"/>
        </w:rPr>
        <w:fldChar w:fldCharType="end"/>
      </w:r>
      <w:r>
        <w:rPr>
          <w:color w:val="auto"/>
          <w:sz w:val="28"/>
          <w:szCs w:val="28"/>
          <w:highlight w:val="none"/>
        </w:rPr>
        <w:fldChar w:fldCharType="end"/>
      </w:r>
    </w:p>
    <w:p w14:paraId="1C1FE940">
      <w:pPr>
        <w:shd w:val="clear"/>
        <w:tabs>
          <w:tab w:val="left" w:pos="2147"/>
        </w:tabs>
        <w:rPr>
          <w:rFonts w:hint="eastAsia" w:eastAsia="宋体"/>
          <w:color w:val="auto"/>
          <w:highlight w:val="none"/>
          <w:lang w:eastAsia="zh-CN"/>
        </w:rPr>
      </w:pPr>
      <w:r>
        <w:rPr>
          <w:color w:val="auto"/>
          <w:sz w:val="28"/>
          <w:szCs w:val="28"/>
          <w:highlight w:val="none"/>
        </w:rPr>
        <w:fldChar w:fldCharType="end"/>
      </w:r>
      <w:r>
        <w:rPr>
          <w:rFonts w:hint="eastAsia"/>
          <w:color w:val="auto"/>
          <w:sz w:val="28"/>
          <w:szCs w:val="28"/>
          <w:highlight w:val="none"/>
          <w:lang w:eastAsia="zh-CN"/>
        </w:rPr>
        <w:tab/>
      </w:r>
    </w:p>
    <w:p w14:paraId="1D4BE3A0">
      <w:pPr>
        <w:shd w:val="clear"/>
        <w:adjustRightInd w:val="0"/>
        <w:snapToGrid w:val="0"/>
        <w:spacing w:line="360" w:lineRule="auto"/>
        <w:ind w:firstLine="420" w:firstLineChars="200"/>
        <w:jc w:val="center"/>
        <w:rPr>
          <w:rFonts w:ascii="宋体" w:hAnsi="宋体"/>
          <w:bCs/>
          <w:color w:val="auto"/>
          <w:szCs w:val="21"/>
          <w:highlight w:val="none"/>
        </w:rPr>
      </w:pPr>
      <w:bookmarkStart w:id="0" w:name="_Toc20988241"/>
      <w:bookmarkStart w:id="1" w:name="_Toc53472201"/>
      <w:bookmarkStart w:id="2" w:name="_Toc34720698"/>
      <w:bookmarkStart w:id="3" w:name="_Toc35421027"/>
      <w:bookmarkStart w:id="4" w:name="_Toc21000471"/>
      <w:bookmarkStart w:id="5" w:name="_Toc20642243"/>
      <w:bookmarkStart w:id="6" w:name="_Toc20816073"/>
      <w:bookmarkStart w:id="7" w:name="_Toc21001314"/>
      <w:r>
        <w:rPr>
          <w:rFonts w:ascii="宋体" w:hAnsi="宋体"/>
          <w:bCs/>
          <w:color w:val="auto"/>
          <w:szCs w:val="21"/>
          <w:highlight w:val="none"/>
        </w:rPr>
        <w:br w:type="page"/>
      </w:r>
    </w:p>
    <w:p w14:paraId="371F3716">
      <w:pPr>
        <w:pStyle w:val="2"/>
        <w:shd w:val="clear"/>
        <w:rPr>
          <w:rFonts w:ascii="黑体" w:hAnsi="黑体" w:eastAsia="黑体"/>
          <w:color w:val="auto"/>
          <w:sz w:val="32"/>
          <w:szCs w:val="32"/>
          <w:highlight w:val="none"/>
        </w:rPr>
      </w:pPr>
      <w:bookmarkStart w:id="8" w:name="_Toc78815069"/>
      <w:r>
        <w:rPr>
          <w:rFonts w:hint="eastAsia" w:ascii="黑体" w:hAnsi="黑体" w:eastAsia="黑体"/>
          <w:color w:val="auto"/>
          <w:sz w:val="32"/>
          <w:szCs w:val="32"/>
          <w:highlight w:val="none"/>
        </w:rPr>
        <w:t>第一章 投标邀请</w:t>
      </w:r>
      <w:bookmarkEnd w:id="8"/>
    </w:p>
    <w:p w14:paraId="64373953">
      <w:pPr>
        <w:widowControl/>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岳阳市君山区人民医院</w:t>
      </w:r>
      <w:r>
        <w:rPr>
          <w:rFonts w:hint="eastAsia" w:ascii="宋体" w:hAnsi="宋体" w:eastAsia="宋体" w:cs="宋体"/>
          <w:color w:val="auto"/>
          <w:kern w:val="0"/>
          <w:sz w:val="21"/>
          <w:szCs w:val="21"/>
          <w:highlight w:val="none"/>
        </w:rPr>
        <w:t>的</w:t>
      </w:r>
      <w:r>
        <w:rPr>
          <w:rFonts w:hint="eastAsia" w:ascii="宋体" w:hAnsi="宋体" w:eastAsia="宋体" w:cs="宋体"/>
          <w:color w:val="auto"/>
          <w:kern w:val="0"/>
          <w:sz w:val="21"/>
          <w:szCs w:val="21"/>
          <w:highlight w:val="none"/>
          <w:lang w:eastAsia="zh-CN"/>
        </w:rPr>
        <w:t>岳阳市君山区人民医院无创呼吸机等设备采购项目</w:t>
      </w:r>
      <w:r>
        <w:rPr>
          <w:rFonts w:hint="eastAsia" w:ascii="宋体" w:hAnsi="宋体" w:eastAsia="宋体" w:cs="宋体"/>
          <w:color w:val="auto"/>
          <w:kern w:val="0"/>
          <w:sz w:val="21"/>
          <w:szCs w:val="21"/>
          <w:highlight w:val="none"/>
        </w:rPr>
        <w:t>进行公开招标采购，现邀请合格投标人参加投标。</w:t>
      </w:r>
    </w:p>
    <w:p w14:paraId="36A0FD55">
      <w:pPr>
        <w:widowControl/>
        <w:pBdr>
          <w:top w:val="single" w:color="auto" w:sz="4" w:space="1"/>
          <w:left w:val="single" w:color="auto" w:sz="4" w:space="4"/>
          <w:bottom w:val="single" w:color="auto" w:sz="4" w:space="1"/>
          <w:right w:val="single" w:color="auto" w:sz="4" w:space="4"/>
        </w:pBdr>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项目概况</w:t>
      </w:r>
    </w:p>
    <w:p w14:paraId="1BEF86D9">
      <w:pPr>
        <w:widowControl/>
        <w:pBdr>
          <w:top w:val="single" w:color="auto" w:sz="4" w:space="1"/>
          <w:left w:val="single" w:color="auto" w:sz="4" w:space="4"/>
          <w:bottom w:val="single" w:color="auto" w:sz="4" w:space="1"/>
          <w:right w:val="single" w:color="auto" w:sz="4" w:space="4"/>
        </w:pBdr>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 xml:space="preserve"> 岳阳市君山区人民医院无创呼吸机等设备 </w:t>
      </w:r>
      <w:r>
        <w:rPr>
          <w:rFonts w:hint="eastAsia" w:ascii="宋体" w:hAnsi="宋体" w:eastAsia="宋体" w:cs="宋体"/>
          <w:color w:val="auto"/>
          <w:kern w:val="0"/>
          <w:sz w:val="21"/>
          <w:szCs w:val="21"/>
          <w:highlight w:val="none"/>
        </w:rPr>
        <w:t>采购项目的潜在供应商应在</w:t>
      </w:r>
      <w:r>
        <w:rPr>
          <w:rFonts w:hint="eastAsia" w:ascii="宋体" w:hAnsi="宋体" w:eastAsia="宋体" w:cs="宋体"/>
          <w:color w:val="auto"/>
          <w:kern w:val="0"/>
          <w:sz w:val="21"/>
          <w:szCs w:val="21"/>
          <w:highlight w:val="none"/>
          <w:u w:val="none"/>
        </w:rPr>
        <w:t>（</w:t>
      </w:r>
      <w:r>
        <w:rPr>
          <w:rFonts w:hint="eastAsia" w:ascii="宋体" w:hAnsi="宋体" w:eastAsia="宋体" w:cs="宋体"/>
          <w:color w:val="auto"/>
          <w:kern w:val="0"/>
          <w:sz w:val="21"/>
          <w:szCs w:val="21"/>
          <w:highlight w:val="none"/>
          <w:lang w:val="en-US" w:eastAsia="zh-CN"/>
        </w:rPr>
        <w:t>本项目实行电子交易，有意参加投标者，在</w:t>
      </w:r>
      <w:r>
        <w:rPr>
          <w:rFonts w:hint="eastAsia" w:ascii="宋体" w:hAnsi="宋体" w:eastAsia="宋体" w:cs="宋体"/>
          <w:color w:val="auto"/>
          <w:kern w:val="0"/>
          <w:sz w:val="21"/>
          <w:szCs w:val="21"/>
          <w:highlight w:val="none"/>
          <w:lang w:eastAsia="zh-CN"/>
        </w:rPr>
        <w:t>“岳阳市公共资源交易中心电子交易平台”（http://222.242.228.197:8083/TPBidder/memberLogin）</w:t>
      </w:r>
      <w:r>
        <w:rPr>
          <w:rFonts w:hint="eastAsia" w:ascii="宋体" w:hAnsi="宋体" w:eastAsia="宋体" w:cs="宋体"/>
          <w:color w:val="auto"/>
          <w:kern w:val="0"/>
          <w:sz w:val="21"/>
          <w:szCs w:val="21"/>
          <w:highlight w:val="none"/>
          <w:lang w:val="en-US" w:eastAsia="zh-CN"/>
        </w:rPr>
        <w:t>获取电子版招标文件</w:t>
      </w:r>
      <w:r>
        <w:rPr>
          <w:rFonts w:hint="eastAsia" w:ascii="宋体" w:hAnsi="宋体" w:eastAsia="宋体" w:cs="宋体"/>
          <w:color w:val="auto"/>
          <w:kern w:val="0"/>
          <w:sz w:val="21"/>
          <w:szCs w:val="21"/>
          <w:highlight w:val="none"/>
        </w:rPr>
        <w:t>）获取采购文件，并于</w:t>
      </w:r>
      <w:r>
        <w:rPr>
          <w:rFonts w:hint="eastAsia" w:ascii="宋体" w:hAnsi="宋体" w:cs="宋体"/>
          <w:color w:val="auto"/>
          <w:kern w:val="0"/>
          <w:sz w:val="21"/>
          <w:szCs w:val="21"/>
          <w:highlight w:val="none"/>
          <w:lang w:val="en-US" w:eastAsia="zh-CN"/>
        </w:rPr>
        <w:t>2026年9月28日</w:t>
      </w:r>
      <w:r>
        <w:rPr>
          <w:rFonts w:hint="eastAsia" w:ascii="宋体" w:hAnsi="宋体" w:eastAsia="宋体" w:cs="宋体"/>
          <w:color w:val="auto"/>
          <w:kern w:val="0"/>
          <w:sz w:val="21"/>
          <w:szCs w:val="21"/>
          <w:highlight w:val="none"/>
          <w:lang w:val="en-US" w:eastAsia="zh-CN"/>
        </w:rPr>
        <w:t xml:space="preserve"> 09点30分</w:t>
      </w:r>
      <w:r>
        <w:rPr>
          <w:rFonts w:hint="eastAsia" w:ascii="宋体" w:hAnsi="宋体" w:eastAsia="宋体" w:cs="宋体"/>
          <w:bCs/>
          <w:color w:val="auto"/>
          <w:kern w:val="0"/>
          <w:sz w:val="21"/>
          <w:szCs w:val="21"/>
          <w:highlight w:val="none"/>
        </w:rPr>
        <w:t>（北京时间）前提交响应文件</w:t>
      </w:r>
      <w:r>
        <w:rPr>
          <w:rFonts w:hint="eastAsia" w:ascii="宋体" w:hAnsi="宋体" w:eastAsia="宋体" w:cs="宋体"/>
          <w:color w:val="auto"/>
          <w:kern w:val="0"/>
          <w:sz w:val="21"/>
          <w:szCs w:val="21"/>
          <w:highlight w:val="none"/>
        </w:rPr>
        <w:t>。</w:t>
      </w:r>
    </w:p>
    <w:p w14:paraId="318EF21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一、采购项目基本信息</w:t>
      </w:r>
    </w:p>
    <w:p w14:paraId="53EA2FD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1、采购项目编号：CGXM2026430611000028</w:t>
      </w:r>
    </w:p>
    <w:p w14:paraId="5A3998D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rPr>
        <w:t>2、采购项目名称</w:t>
      </w:r>
      <w:r>
        <w:rPr>
          <w:rFonts w:hint="eastAsia" w:ascii="宋体" w:hAnsi="宋体" w:eastAsia="宋体" w:cs="宋体"/>
          <w:color w:val="auto"/>
          <w:kern w:val="0"/>
          <w:sz w:val="21"/>
          <w:szCs w:val="21"/>
          <w:highlight w:val="none"/>
          <w:u w:val="none"/>
        </w:rPr>
        <w:t>：</w:t>
      </w:r>
      <w:r>
        <w:rPr>
          <w:rFonts w:hint="eastAsia" w:ascii="宋体" w:hAnsi="宋体" w:eastAsia="宋体" w:cs="宋体"/>
          <w:color w:val="auto"/>
          <w:kern w:val="0"/>
          <w:sz w:val="21"/>
          <w:szCs w:val="21"/>
          <w:highlight w:val="none"/>
          <w:u w:val="none"/>
          <w:lang w:eastAsia="zh-CN"/>
        </w:rPr>
        <w:t>岳阳市君山区人民医院无创呼吸机等设备采购项目</w:t>
      </w:r>
    </w:p>
    <w:p w14:paraId="13DE6D78">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、政府采购计划编号：(2026)430611000022-1</w:t>
      </w:r>
      <w:r>
        <w:rPr>
          <w:rFonts w:hint="eastAsia" w:ascii="宋体" w:hAnsi="宋体" w:eastAsia="宋体" w:cs="宋体"/>
          <w:color w:val="auto"/>
          <w:kern w:val="0"/>
          <w:sz w:val="21"/>
          <w:szCs w:val="21"/>
          <w:highlight w:val="none"/>
          <w:lang w:eastAsia="zh-CN"/>
        </w:rPr>
        <w:t>；(2026)430611000022-2</w:t>
      </w:r>
    </w:p>
    <w:p w14:paraId="174642CA">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1"/>
          <w:szCs w:val="21"/>
          <w:highlight w:val="none"/>
          <w:u w:val="none"/>
          <w:lang w:eastAsia="zh-CN"/>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、合同履行期限：</w:t>
      </w:r>
      <w:r>
        <w:rPr>
          <w:rFonts w:hint="eastAsia" w:ascii="宋体" w:hAnsi="宋体" w:eastAsia="宋体" w:cs="宋体"/>
          <w:color w:val="auto"/>
          <w:kern w:val="0"/>
          <w:sz w:val="21"/>
          <w:szCs w:val="21"/>
          <w:highlight w:val="none"/>
          <w:u w:val="none"/>
          <w:lang w:eastAsia="zh-CN"/>
        </w:rPr>
        <w:t xml:space="preserve"> </w:t>
      </w:r>
      <w:r>
        <w:rPr>
          <w:rFonts w:hint="eastAsia" w:ascii="宋体" w:hAnsi="宋体" w:eastAsia="宋体" w:cs="宋体"/>
          <w:color w:val="auto"/>
          <w:kern w:val="0"/>
          <w:sz w:val="21"/>
          <w:szCs w:val="21"/>
          <w:highlight w:val="none"/>
          <w:u w:val="none"/>
          <w:lang w:eastAsia="zh-CN"/>
        </w:rPr>
        <w:t>包1： 自签订合同之日起30天内完成供货要求； 包2：自签订合同之日起30天内完成供货要求；</w:t>
      </w:r>
      <w:r>
        <w:rPr>
          <w:rFonts w:hint="eastAsia" w:ascii="宋体" w:hAnsi="宋体" w:eastAsia="宋体" w:cs="宋体"/>
          <w:color w:val="auto"/>
          <w:kern w:val="0"/>
          <w:sz w:val="21"/>
          <w:szCs w:val="21"/>
          <w:highlight w:val="none"/>
          <w:u w:val="none"/>
          <w:lang w:eastAsia="zh-CN"/>
        </w:rPr>
        <w:t xml:space="preserve">  </w:t>
      </w:r>
    </w:p>
    <w:p w14:paraId="5F8C10E4">
      <w:pPr>
        <w:keepNext w:val="0"/>
        <w:keepLines w:val="0"/>
        <w:pageBreakBefore w:val="0"/>
        <w:widowControl/>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bidi="ar"/>
        </w:rPr>
        <w:t>本项目</w:t>
      </w:r>
      <w:r>
        <w:rPr>
          <w:rFonts w:hint="eastAsia" w:ascii="宋体" w:hAnsi="宋体" w:eastAsia="宋体" w:cs="宋体"/>
          <w:color w:val="auto"/>
          <w:kern w:val="0"/>
          <w:sz w:val="21"/>
          <w:szCs w:val="21"/>
          <w:highlight w:val="none"/>
          <w:u w:val="single"/>
          <w:lang w:val="en-US" w:eastAsia="zh-CN" w:bidi="ar"/>
        </w:rPr>
        <w:t xml:space="preserve"> 否 </w:t>
      </w:r>
      <w:r>
        <w:rPr>
          <w:rFonts w:hint="eastAsia" w:ascii="宋体" w:hAnsi="宋体" w:eastAsia="宋体" w:cs="宋体"/>
          <w:color w:val="auto"/>
          <w:kern w:val="0"/>
          <w:sz w:val="21"/>
          <w:szCs w:val="21"/>
          <w:highlight w:val="none"/>
          <w:lang w:val="en-US" w:eastAsia="zh-CN" w:bidi="ar"/>
        </w:rPr>
        <w:t xml:space="preserve">接受联合体投标 </w:t>
      </w:r>
      <w:r>
        <w:rPr>
          <w:rFonts w:hint="eastAsia" w:ascii="宋体" w:hAnsi="宋体" w:eastAsia="宋体" w:cs="宋体"/>
          <w:color w:val="auto"/>
          <w:kern w:val="0"/>
          <w:sz w:val="21"/>
          <w:szCs w:val="21"/>
          <w:highlight w:val="none"/>
        </w:rPr>
        <w:commentReference w:id="0"/>
      </w:r>
    </w:p>
    <w:p w14:paraId="576020AE">
      <w:pPr>
        <w:keepNext w:val="0"/>
        <w:keepLines w:val="0"/>
        <w:pageBreakBefore w:val="0"/>
        <w:widowControl/>
        <w:numPr>
          <w:ilvl w:val="0"/>
          <w:numId w:val="1"/>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0"/>
          <w:sz w:val="21"/>
          <w:szCs w:val="21"/>
          <w:highlight w:val="none"/>
        </w:rPr>
      </w:pPr>
      <w:commentRangeStart w:id="1"/>
      <w:r>
        <w:rPr>
          <w:rFonts w:hint="eastAsia" w:ascii="宋体" w:hAnsi="宋体" w:eastAsia="宋体" w:cs="宋体"/>
          <w:b/>
          <w:bCs/>
          <w:color w:val="auto"/>
          <w:kern w:val="0"/>
          <w:sz w:val="21"/>
          <w:szCs w:val="21"/>
          <w:highlight w:val="none"/>
        </w:rPr>
        <w:t>采购需求</w:t>
      </w:r>
      <w:commentRangeEnd w:id="1"/>
      <w:r>
        <w:rPr>
          <w:rFonts w:hint="eastAsia" w:ascii="宋体" w:hAnsi="宋体" w:eastAsia="宋体" w:cs="宋体"/>
          <w:b/>
          <w:bCs/>
          <w:color w:val="auto"/>
          <w:kern w:val="0"/>
          <w:sz w:val="21"/>
          <w:szCs w:val="21"/>
          <w:highlight w:val="none"/>
        </w:rPr>
        <w:commentReference w:id="1"/>
      </w:r>
    </w:p>
    <w:tbl>
      <w:tblPr>
        <w:tblStyle w:val="44"/>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578"/>
        <w:gridCol w:w="1361"/>
        <w:gridCol w:w="2037"/>
        <w:gridCol w:w="1302"/>
        <w:gridCol w:w="1929"/>
      </w:tblGrid>
      <w:tr w14:paraId="55E3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Align w:val="center"/>
          </w:tcPr>
          <w:p w14:paraId="4FF7DC35">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包名称</w:t>
            </w:r>
          </w:p>
        </w:tc>
        <w:tc>
          <w:tcPr>
            <w:tcW w:w="1578" w:type="dxa"/>
            <w:vAlign w:val="center"/>
          </w:tcPr>
          <w:p w14:paraId="2EA30D08">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最高限价（元）</w:t>
            </w:r>
          </w:p>
        </w:tc>
        <w:tc>
          <w:tcPr>
            <w:tcW w:w="1361" w:type="dxa"/>
            <w:vAlign w:val="center"/>
          </w:tcPr>
          <w:p w14:paraId="4A73107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标的名称</w:t>
            </w:r>
          </w:p>
        </w:tc>
        <w:tc>
          <w:tcPr>
            <w:tcW w:w="2037" w:type="dxa"/>
            <w:vAlign w:val="center"/>
          </w:tcPr>
          <w:p w14:paraId="661D6B7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b w:val="0"/>
                <w:bCs/>
                <w:color w:val="auto"/>
                <w:kern w:val="0"/>
                <w:sz w:val="21"/>
                <w:szCs w:val="21"/>
                <w:highlight w:val="none"/>
              </w:rPr>
              <w:t>简要技术需求或服务要求</w:t>
            </w:r>
          </w:p>
        </w:tc>
        <w:tc>
          <w:tcPr>
            <w:tcW w:w="1302" w:type="dxa"/>
            <w:vAlign w:val="center"/>
          </w:tcPr>
          <w:p w14:paraId="3F4B6D60">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数量</w:t>
            </w:r>
          </w:p>
        </w:tc>
        <w:tc>
          <w:tcPr>
            <w:tcW w:w="1929" w:type="dxa"/>
            <w:vAlign w:val="center"/>
          </w:tcPr>
          <w:p w14:paraId="79085A5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lang w:val="en-US" w:eastAsia="zh-CN"/>
              </w:rPr>
            </w:pPr>
            <w:r>
              <w:rPr>
                <w:rFonts w:hint="eastAsia" w:ascii="宋体" w:hAnsi="宋体" w:eastAsia="宋体" w:cs="宋体"/>
                <w:color w:val="auto"/>
                <w:kern w:val="0"/>
                <w:sz w:val="21"/>
                <w:szCs w:val="21"/>
                <w:highlight w:val="none"/>
                <w:vertAlign w:val="baseline"/>
                <w:lang w:val="en-US" w:eastAsia="zh-CN"/>
              </w:rPr>
              <w:t>预算金额（元）</w:t>
            </w:r>
          </w:p>
        </w:tc>
      </w:tr>
      <w:tr w14:paraId="11DA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1C1A0A76">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kern w:val="0"/>
                <w:sz w:val="21"/>
                <w:szCs w:val="21"/>
                <w:highlight w:val="none"/>
                <w:lang w:bidi="ar"/>
              </w:rPr>
              <w:t>包1</w:t>
            </w:r>
          </w:p>
        </w:tc>
        <w:tc>
          <w:tcPr>
            <w:tcW w:w="1578" w:type="dxa"/>
            <w:vMerge w:val="restart"/>
            <w:vAlign w:val="center"/>
          </w:tcPr>
          <w:p w14:paraId="2F93E52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kern w:val="0"/>
                <w:sz w:val="21"/>
                <w:szCs w:val="21"/>
                <w:highlight w:val="none"/>
                <w:lang w:val="en-US" w:eastAsia="zh-CN" w:bidi="ar"/>
              </w:rPr>
              <w:t>1097200.00</w:t>
            </w:r>
          </w:p>
        </w:tc>
        <w:tc>
          <w:tcPr>
            <w:tcW w:w="1361" w:type="dxa"/>
            <w:vAlign w:val="center"/>
          </w:tcPr>
          <w:p w14:paraId="7507DD0A">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SA"/>
              </w:rPr>
            </w:pPr>
            <w:r>
              <w:rPr>
                <w:rFonts w:hint="eastAsia" w:ascii="宋体" w:hAnsi="宋体" w:eastAsia="宋体" w:cs="宋体"/>
                <w:color w:val="auto"/>
                <w:kern w:val="2"/>
                <w:sz w:val="21"/>
                <w:szCs w:val="21"/>
                <w:highlight w:val="none"/>
                <w:lang w:val="en-US" w:eastAsia="zh-CN" w:bidi="ar-SA"/>
              </w:rPr>
              <w:t>无创呼吸机</w:t>
            </w:r>
          </w:p>
        </w:tc>
        <w:tc>
          <w:tcPr>
            <w:tcW w:w="2037" w:type="dxa"/>
            <w:vAlign w:val="center"/>
          </w:tcPr>
          <w:p w14:paraId="1319E5BE">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0"/>
                <w:sz w:val="21"/>
                <w:szCs w:val="21"/>
                <w:highlight w:val="none"/>
                <w:vertAlign w:val="baseline"/>
                <w:lang w:val="en-US" w:eastAsia="zh-CN" w:bidi="ar-SA"/>
              </w:rPr>
            </w:pPr>
            <w:r>
              <w:rPr>
                <w:rFonts w:hint="eastAsia" w:ascii="宋体" w:hAnsi="宋体" w:eastAsia="宋体" w:cs="宋体"/>
                <w:color w:val="auto"/>
                <w:kern w:val="2"/>
                <w:sz w:val="21"/>
                <w:szCs w:val="21"/>
                <w:highlight w:val="none"/>
                <w:lang w:val="en-US" w:eastAsia="zh-CN" w:bidi="ar-SA"/>
              </w:rPr>
              <w:t>无创呼吸机</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0843ACB3">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sz w:val="21"/>
                <w:szCs w:val="21"/>
                <w:highlight w:val="none"/>
                <w:lang w:val="en-US" w:eastAsia="zh-CN"/>
              </w:rPr>
              <w:t>2</w:t>
            </w:r>
          </w:p>
        </w:tc>
        <w:tc>
          <w:tcPr>
            <w:tcW w:w="1929" w:type="dxa"/>
            <w:vMerge w:val="restart"/>
            <w:vAlign w:val="center"/>
          </w:tcPr>
          <w:p w14:paraId="0058A295">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kern w:val="0"/>
                <w:sz w:val="21"/>
                <w:szCs w:val="21"/>
                <w:highlight w:val="none"/>
                <w:vertAlign w:val="baseline"/>
              </w:rPr>
            </w:pPr>
            <w:r>
              <w:rPr>
                <w:rFonts w:hint="eastAsia" w:ascii="宋体" w:hAnsi="宋体" w:eastAsia="宋体" w:cs="宋体"/>
                <w:color w:val="auto"/>
                <w:kern w:val="0"/>
                <w:sz w:val="21"/>
                <w:szCs w:val="21"/>
                <w:highlight w:val="none"/>
                <w:lang w:val="en-US" w:eastAsia="zh-CN" w:bidi="ar"/>
              </w:rPr>
              <w:t>1097200.00</w:t>
            </w:r>
          </w:p>
        </w:tc>
      </w:tr>
      <w:tr w14:paraId="328D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F3CDCAC">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0A4500A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1D6F7AE1">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无创呼吸机（兼有创）</w:t>
            </w:r>
          </w:p>
        </w:tc>
        <w:tc>
          <w:tcPr>
            <w:tcW w:w="2037" w:type="dxa"/>
            <w:vAlign w:val="center"/>
          </w:tcPr>
          <w:p w14:paraId="69E9A12B">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无创呼吸机（兼有创）</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7EEB9E82">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929" w:type="dxa"/>
            <w:vMerge w:val="continue"/>
            <w:vAlign w:val="center"/>
          </w:tcPr>
          <w:p w14:paraId="66FDC85D">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3146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4FF657E1">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74797C8A">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2AAEAC34">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有创呼吸机</w:t>
            </w:r>
          </w:p>
        </w:tc>
        <w:tc>
          <w:tcPr>
            <w:tcW w:w="2037" w:type="dxa"/>
            <w:vAlign w:val="center"/>
          </w:tcPr>
          <w:p w14:paraId="11607930">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有创呼吸机</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19310CFF">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929" w:type="dxa"/>
            <w:vMerge w:val="continue"/>
            <w:vAlign w:val="center"/>
          </w:tcPr>
          <w:p w14:paraId="3B299604">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1BE7C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1AC6C33D">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43EE2844">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1169DE7E">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除颤仪</w:t>
            </w:r>
          </w:p>
        </w:tc>
        <w:tc>
          <w:tcPr>
            <w:tcW w:w="2037" w:type="dxa"/>
            <w:vAlign w:val="center"/>
          </w:tcPr>
          <w:p w14:paraId="22F1B97C">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除颤仪</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59DF90BF">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1929" w:type="dxa"/>
            <w:vMerge w:val="continue"/>
            <w:vAlign w:val="center"/>
          </w:tcPr>
          <w:p w14:paraId="525FE96C">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6C79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32879E75">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77755D3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59BF9F52">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心肺复苏器</w:t>
            </w:r>
          </w:p>
        </w:tc>
        <w:tc>
          <w:tcPr>
            <w:tcW w:w="2037" w:type="dxa"/>
            <w:vAlign w:val="center"/>
          </w:tcPr>
          <w:p w14:paraId="2C01ACF7">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心肺复苏器</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4BA2BD1B">
            <w:pPr>
              <w:keepNext w:val="0"/>
              <w:keepLines w:val="0"/>
              <w:pageBreakBefore w:val="0"/>
              <w:widowControl/>
              <w:shd w:val="clear"/>
              <w:kinsoku/>
              <w:wordWrap/>
              <w:overflowPunct/>
              <w:topLinePunct w:val="0"/>
              <w:autoSpaceDE/>
              <w:autoSpaceDN/>
              <w:bidi w:val="0"/>
              <w:spacing w:line="240" w:lineRule="auto"/>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929" w:type="dxa"/>
            <w:vMerge w:val="continue"/>
            <w:vAlign w:val="center"/>
          </w:tcPr>
          <w:p w14:paraId="14C268EF">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0F37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restart"/>
            <w:vAlign w:val="center"/>
          </w:tcPr>
          <w:p w14:paraId="02F2FD5D">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包</w:t>
            </w:r>
            <w:r>
              <w:rPr>
                <w:rFonts w:hint="eastAsia" w:ascii="宋体" w:hAnsi="宋体" w:eastAsia="宋体" w:cs="宋体"/>
                <w:color w:val="auto"/>
                <w:kern w:val="0"/>
                <w:sz w:val="21"/>
                <w:szCs w:val="21"/>
                <w:highlight w:val="none"/>
                <w:lang w:val="en-US" w:eastAsia="zh-CN" w:bidi="ar"/>
              </w:rPr>
              <w:t>2</w:t>
            </w:r>
          </w:p>
        </w:tc>
        <w:tc>
          <w:tcPr>
            <w:tcW w:w="1578" w:type="dxa"/>
            <w:vMerge w:val="restart"/>
            <w:vAlign w:val="center"/>
          </w:tcPr>
          <w:p w14:paraId="46586F8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957900.00</w:t>
            </w:r>
          </w:p>
        </w:tc>
        <w:tc>
          <w:tcPr>
            <w:tcW w:w="1361" w:type="dxa"/>
            <w:vAlign w:val="center"/>
          </w:tcPr>
          <w:p w14:paraId="3A18EB23">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转运心电监护仪</w:t>
            </w:r>
          </w:p>
        </w:tc>
        <w:tc>
          <w:tcPr>
            <w:tcW w:w="2037" w:type="dxa"/>
            <w:vAlign w:val="center"/>
          </w:tcPr>
          <w:p w14:paraId="38E49E87">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转运心电监护仪</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69B84B49">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w:t>
            </w:r>
          </w:p>
        </w:tc>
        <w:tc>
          <w:tcPr>
            <w:tcW w:w="1929" w:type="dxa"/>
            <w:vMerge w:val="restart"/>
            <w:vAlign w:val="center"/>
          </w:tcPr>
          <w:p w14:paraId="3F64197B">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957900.00</w:t>
            </w:r>
          </w:p>
        </w:tc>
      </w:tr>
      <w:tr w14:paraId="23E1C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07BA8C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4FB1DF7D">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670EBD0D">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移动心电监护仪</w:t>
            </w:r>
          </w:p>
        </w:tc>
        <w:tc>
          <w:tcPr>
            <w:tcW w:w="2037" w:type="dxa"/>
            <w:vAlign w:val="center"/>
          </w:tcPr>
          <w:p w14:paraId="118DEE4A">
            <w:pPr>
              <w:keepNext w:val="0"/>
              <w:keepLines w:val="0"/>
              <w:pageBreakBefore w:val="0"/>
              <w:widowControl/>
              <w:shd w:val="clear"/>
              <w:kinsoku/>
              <w:wordWrap/>
              <w:overflowPunct/>
              <w:topLinePunct w:val="0"/>
              <w:autoSpaceDE/>
              <w:autoSpaceDN/>
              <w:bidi w:val="0"/>
              <w:spacing w:before="0" w:after="0" w:line="240" w:lineRule="auto"/>
              <w:ind w:left="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移动心电监护仪</w:t>
            </w:r>
            <w:r>
              <w:rPr>
                <w:rFonts w:hint="eastAsia" w:ascii="宋体" w:hAnsi="宋体" w:eastAsia="宋体" w:cs="宋体"/>
                <w:bCs/>
                <w:color w:val="auto"/>
                <w:kern w:val="2"/>
                <w:sz w:val="21"/>
                <w:szCs w:val="21"/>
                <w:highlight w:val="none"/>
                <w:lang w:val="en-US" w:eastAsia="zh-CN" w:bidi="ar-SA"/>
              </w:rPr>
              <w:t>技术参数</w:t>
            </w:r>
          </w:p>
        </w:tc>
        <w:tc>
          <w:tcPr>
            <w:tcW w:w="1302" w:type="dxa"/>
            <w:vAlign w:val="center"/>
          </w:tcPr>
          <w:p w14:paraId="51A90DCA">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17</w:t>
            </w:r>
          </w:p>
        </w:tc>
        <w:tc>
          <w:tcPr>
            <w:tcW w:w="1929" w:type="dxa"/>
            <w:vMerge w:val="continue"/>
            <w:vAlign w:val="center"/>
          </w:tcPr>
          <w:p w14:paraId="5CC24204">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7B8AA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67E52DC7">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5D9A9F1C">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7FCF687B">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心电监护仪</w:t>
            </w:r>
          </w:p>
        </w:tc>
        <w:tc>
          <w:tcPr>
            <w:tcW w:w="2037" w:type="dxa"/>
            <w:vAlign w:val="center"/>
          </w:tcPr>
          <w:p w14:paraId="0D0FEB99">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心电监护仪技术参数</w:t>
            </w:r>
          </w:p>
        </w:tc>
        <w:tc>
          <w:tcPr>
            <w:tcW w:w="1302" w:type="dxa"/>
            <w:vAlign w:val="center"/>
          </w:tcPr>
          <w:p w14:paraId="4B16ECD5">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1929" w:type="dxa"/>
            <w:vMerge w:val="continue"/>
            <w:vAlign w:val="center"/>
          </w:tcPr>
          <w:p w14:paraId="29A440B9">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7491D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66E7400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0A962A60">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4A9E7C78">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有创心电监护</w:t>
            </w:r>
          </w:p>
        </w:tc>
        <w:tc>
          <w:tcPr>
            <w:tcW w:w="2037" w:type="dxa"/>
            <w:vAlign w:val="center"/>
          </w:tcPr>
          <w:p w14:paraId="1580D3D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有创心电监护</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43D1CC0C">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4</w:t>
            </w:r>
          </w:p>
        </w:tc>
        <w:tc>
          <w:tcPr>
            <w:tcW w:w="1929" w:type="dxa"/>
            <w:vMerge w:val="continue"/>
            <w:vAlign w:val="center"/>
          </w:tcPr>
          <w:p w14:paraId="5BE83E79">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56DC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31EE10E2">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3BAA9974">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615A62B1">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遥测心电监护</w:t>
            </w:r>
            <w:r>
              <w:rPr>
                <w:rFonts w:hint="eastAsia" w:ascii="宋体" w:hAnsi="宋体" w:eastAsia="宋体" w:cs="宋体"/>
                <w:bCs/>
                <w:color w:val="auto"/>
                <w:sz w:val="21"/>
                <w:szCs w:val="21"/>
                <w:highlight w:val="none"/>
                <w:lang w:val="en-US" w:eastAsia="zh-CN"/>
              </w:rPr>
              <w:t>仪</w:t>
            </w:r>
          </w:p>
        </w:tc>
        <w:tc>
          <w:tcPr>
            <w:tcW w:w="2037" w:type="dxa"/>
            <w:vAlign w:val="center"/>
          </w:tcPr>
          <w:p w14:paraId="366D517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遥测心电监护</w:t>
            </w:r>
            <w:r>
              <w:rPr>
                <w:rFonts w:hint="eastAsia" w:ascii="宋体" w:hAnsi="宋体" w:eastAsia="宋体" w:cs="宋体"/>
                <w:bCs/>
                <w:color w:val="auto"/>
                <w:sz w:val="21"/>
                <w:szCs w:val="21"/>
                <w:highlight w:val="none"/>
                <w:lang w:val="en-US" w:eastAsia="zh-CN"/>
              </w:rPr>
              <w:t>仪技术参数</w:t>
            </w:r>
          </w:p>
        </w:tc>
        <w:tc>
          <w:tcPr>
            <w:tcW w:w="1302" w:type="dxa"/>
            <w:vAlign w:val="center"/>
          </w:tcPr>
          <w:p w14:paraId="28391D27">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w:t>
            </w:r>
          </w:p>
        </w:tc>
        <w:tc>
          <w:tcPr>
            <w:tcW w:w="1929" w:type="dxa"/>
            <w:vMerge w:val="continue"/>
            <w:vAlign w:val="center"/>
          </w:tcPr>
          <w:p w14:paraId="69D46023">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0593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38963EEF">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69F9D253">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75CFE2D5">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单通道注射泵</w:t>
            </w:r>
          </w:p>
        </w:tc>
        <w:tc>
          <w:tcPr>
            <w:tcW w:w="2037" w:type="dxa"/>
            <w:vAlign w:val="center"/>
          </w:tcPr>
          <w:p w14:paraId="3357B0DF">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单通道注射泵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042C5C21">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14</w:t>
            </w:r>
          </w:p>
        </w:tc>
        <w:tc>
          <w:tcPr>
            <w:tcW w:w="1929" w:type="dxa"/>
            <w:vMerge w:val="continue"/>
            <w:vAlign w:val="center"/>
          </w:tcPr>
          <w:p w14:paraId="33ABDA22">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724D9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3A20497">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6B0C909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4F988E35">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四通道</w:t>
            </w:r>
            <w:r>
              <w:rPr>
                <w:rFonts w:hint="eastAsia" w:ascii="宋体" w:hAnsi="宋体" w:eastAsia="宋体" w:cs="宋体"/>
                <w:bCs/>
                <w:color w:val="auto"/>
                <w:sz w:val="21"/>
                <w:szCs w:val="21"/>
                <w:highlight w:val="none"/>
                <w:lang w:val="en-US"/>
              </w:rPr>
              <w:t>注射泵</w:t>
            </w:r>
          </w:p>
        </w:tc>
        <w:tc>
          <w:tcPr>
            <w:tcW w:w="2037" w:type="dxa"/>
            <w:vAlign w:val="center"/>
          </w:tcPr>
          <w:p w14:paraId="303CB51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四通道</w:t>
            </w:r>
            <w:r>
              <w:rPr>
                <w:rFonts w:hint="eastAsia" w:ascii="宋体" w:hAnsi="宋体" w:eastAsia="宋体" w:cs="宋体"/>
                <w:bCs/>
                <w:color w:val="auto"/>
                <w:sz w:val="21"/>
                <w:szCs w:val="21"/>
                <w:highlight w:val="none"/>
                <w:lang w:val="en-US"/>
              </w:rPr>
              <w:t>注射泵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37FCDCDE">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1929" w:type="dxa"/>
            <w:vMerge w:val="continue"/>
            <w:vAlign w:val="center"/>
          </w:tcPr>
          <w:p w14:paraId="61E49790">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58738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7FA4BD16">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25D617EB">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4A16F22C">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单通道输液泵</w:t>
            </w:r>
          </w:p>
        </w:tc>
        <w:tc>
          <w:tcPr>
            <w:tcW w:w="2037" w:type="dxa"/>
            <w:vAlign w:val="center"/>
          </w:tcPr>
          <w:p w14:paraId="6432D5D6">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单通道输液泵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28B60537">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18</w:t>
            </w:r>
          </w:p>
        </w:tc>
        <w:tc>
          <w:tcPr>
            <w:tcW w:w="1929" w:type="dxa"/>
            <w:vMerge w:val="continue"/>
            <w:vAlign w:val="center"/>
          </w:tcPr>
          <w:p w14:paraId="2B61652C">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457E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675400A9">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081AF15A">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34DBB099">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四通道</w:t>
            </w:r>
            <w:r>
              <w:rPr>
                <w:rFonts w:hint="eastAsia" w:ascii="宋体" w:hAnsi="宋体" w:eastAsia="宋体" w:cs="宋体"/>
                <w:bCs/>
                <w:color w:val="auto"/>
                <w:sz w:val="21"/>
                <w:szCs w:val="21"/>
                <w:highlight w:val="none"/>
                <w:lang w:val="en-US"/>
              </w:rPr>
              <w:t>输液泵</w:t>
            </w:r>
          </w:p>
        </w:tc>
        <w:tc>
          <w:tcPr>
            <w:tcW w:w="2037" w:type="dxa"/>
            <w:vAlign w:val="center"/>
          </w:tcPr>
          <w:p w14:paraId="521602B2">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eastAsia="zh-CN"/>
              </w:rPr>
              <w:t>四通道</w:t>
            </w:r>
            <w:r>
              <w:rPr>
                <w:rFonts w:hint="eastAsia" w:ascii="宋体" w:hAnsi="宋体" w:eastAsia="宋体" w:cs="宋体"/>
                <w:bCs/>
                <w:color w:val="auto"/>
                <w:sz w:val="21"/>
                <w:szCs w:val="21"/>
                <w:highlight w:val="none"/>
                <w:lang w:val="en-US"/>
              </w:rPr>
              <w:t>输液泵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43D6D457">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w:t>
            </w:r>
          </w:p>
        </w:tc>
        <w:tc>
          <w:tcPr>
            <w:tcW w:w="1929" w:type="dxa"/>
            <w:vMerge w:val="continue"/>
            <w:vAlign w:val="center"/>
          </w:tcPr>
          <w:p w14:paraId="09500DAB">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5E9E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5E225A95">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133692F7">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2F659FCF">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胰岛素泵</w:t>
            </w:r>
          </w:p>
        </w:tc>
        <w:tc>
          <w:tcPr>
            <w:tcW w:w="2037" w:type="dxa"/>
            <w:vAlign w:val="center"/>
          </w:tcPr>
          <w:p w14:paraId="0FCC2E34">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胰岛素泵</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6887C96F">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w:t>
            </w:r>
          </w:p>
        </w:tc>
        <w:tc>
          <w:tcPr>
            <w:tcW w:w="1929" w:type="dxa"/>
            <w:vMerge w:val="continue"/>
            <w:vAlign w:val="center"/>
          </w:tcPr>
          <w:p w14:paraId="72E2E7BB">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r w14:paraId="2B41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71" w:type="dxa"/>
            <w:vMerge w:val="continue"/>
            <w:vAlign w:val="center"/>
          </w:tcPr>
          <w:p w14:paraId="10BBCDB2">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bidi="ar"/>
              </w:rPr>
            </w:pPr>
          </w:p>
        </w:tc>
        <w:tc>
          <w:tcPr>
            <w:tcW w:w="1578" w:type="dxa"/>
            <w:vMerge w:val="continue"/>
            <w:vAlign w:val="center"/>
          </w:tcPr>
          <w:p w14:paraId="6ED3ED3A">
            <w:pPr>
              <w:keepNext w:val="0"/>
              <w:keepLines w:val="0"/>
              <w:pageBreakBefore w:val="0"/>
              <w:widowControl/>
              <w:numPr>
                <w:ilvl w:val="0"/>
                <w:numId w:val="0"/>
              </w:numPr>
              <w:suppressLineNumbers w:val="0"/>
              <w:kinsoku/>
              <w:wordWrap/>
              <w:overflowPunct/>
              <w:topLinePunct w:val="0"/>
              <w:autoSpaceDE/>
              <w:autoSpaceDN/>
              <w:bidi w:val="0"/>
              <w:spacing w:beforeAutospacing="0" w:after="0" w:afterAutospacing="0" w:line="240" w:lineRule="auto"/>
              <w:ind w:left="0" w:right="0"/>
              <w:jc w:val="center"/>
              <w:textAlignment w:val="auto"/>
              <w:rPr>
                <w:rFonts w:hint="eastAsia" w:ascii="宋体" w:hAnsi="宋体" w:eastAsia="宋体" w:cs="宋体"/>
                <w:color w:val="auto"/>
                <w:kern w:val="0"/>
                <w:sz w:val="21"/>
                <w:szCs w:val="21"/>
                <w:highlight w:val="none"/>
                <w:lang w:val="en-US" w:eastAsia="zh-CN" w:bidi="ar"/>
              </w:rPr>
            </w:pPr>
          </w:p>
        </w:tc>
        <w:tc>
          <w:tcPr>
            <w:tcW w:w="1361" w:type="dxa"/>
            <w:vAlign w:val="center"/>
          </w:tcPr>
          <w:p w14:paraId="7C46BD25">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高流量湿化仪</w:t>
            </w:r>
          </w:p>
        </w:tc>
        <w:tc>
          <w:tcPr>
            <w:tcW w:w="2037" w:type="dxa"/>
            <w:vAlign w:val="center"/>
          </w:tcPr>
          <w:p w14:paraId="27A252D8">
            <w:pPr>
              <w:keepNext w:val="0"/>
              <w:keepLines w:val="0"/>
              <w:pageBreakBefore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lang w:val="en-US"/>
              </w:rPr>
              <w:t>高流量湿化仪</w:t>
            </w:r>
            <w:r>
              <w:rPr>
                <w:rFonts w:hint="eastAsia" w:ascii="宋体" w:hAnsi="宋体" w:eastAsia="宋体" w:cs="宋体"/>
                <w:bCs/>
                <w:color w:val="auto"/>
                <w:sz w:val="21"/>
                <w:szCs w:val="21"/>
                <w:highlight w:val="none"/>
                <w:lang w:val="en-US" w:eastAsia="zh-CN"/>
              </w:rPr>
              <w:t>技术参数</w:t>
            </w:r>
          </w:p>
        </w:tc>
        <w:tc>
          <w:tcPr>
            <w:tcW w:w="1302" w:type="dxa"/>
            <w:vAlign w:val="center"/>
          </w:tcPr>
          <w:p w14:paraId="1DC07580">
            <w:pPr>
              <w:keepNext w:val="0"/>
              <w:keepLines w:val="0"/>
              <w:pageBreakBefore w:val="0"/>
              <w:widowControl w:val="0"/>
              <w:shd w:val="clear"/>
              <w:kinsoku/>
              <w:wordWrap/>
              <w:overflowPunct/>
              <w:topLinePunct w:val="0"/>
              <w:autoSpaceDE/>
              <w:autoSpaceDN/>
              <w:bidi w:val="0"/>
              <w:adjustRightInd w:val="0"/>
              <w:snapToGrid w:val="0"/>
              <w:spacing w:line="240" w:lineRule="auto"/>
              <w:ind w:lef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7</w:t>
            </w:r>
          </w:p>
        </w:tc>
        <w:tc>
          <w:tcPr>
            <w:tcW w:w="1929" w:type="dxa"/>
            <w:vMerge w:val="continue"/>
            <w:vAlign w:val="center"/>
          </w:tcPr>
          <w:p w14:paraId="6DC2930A">
            <w:pPr>
              <w:keepNext w:val="0"/>
              <w:keepLines w:val="0"/>
              <w:pageBreakBefore w:val="0"/>
              <w:widowControl/>
              <w:shd w:val="clear"/>
              <w:kinsoku/>
              <w:wordWrap/>
              <w:overflowPunct/>
              <w:topLinePunct w:val="0"/>
              <w:autoSpaceDE/>
              <w:autoSpaceDN/>
              <w:bidi w:val="0"/>
              <w:spacing w:line="240" w:lineRule="auto"/>
              <w:ind w:left="0"/>
              <w:jc w:val="center"/>
              <w:textAlignment w:val="auto"/>
              <w:rPr>
                <w:rFonts w:hint="eastAsia" w:ascii="宋体" w:hAnsi="宋体" w:eastAsia="宋体" w:cs="宋体"/>
                <w:color w:val="auto"/>
                <w:sz w:val="21"/>
                <w:szCs w:val="21"/>
                <w:highlight w:val="none"/>
                <w:lang w:val="en-US" w:eastAsia="zh-CN"/>
              </w:rPr>
            </w:pPr>
          </w:p>
        </w:tc>
      </w:tr>
    </w:tbl>
    <w:p w14:paraId="61E1B9A1">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三</w:t>
      </w:r>
      <w:r>
        <w:rPr>
          <w:rFonts w:hint="eastAsia" w:ascii="宋体" w:hAnsi="宋体" w:eastAsia="宋体" w:cs="宋体"/>
          <w:b/>
          <w:bCs/>
          <w:color w:val="auto"/>
          <w:kern w:val="0"/>
          <w:sz w:val="21"/>
          <w:szCs w:val="21"/>
          <w:highlight w:val="none"/>
        </w:rPr>
        <w:t>、投标人的资格要求</w:t>
      </w:r>
    </w:p>
    <w:p w14:paraId="301997D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commentRangeStart w:id="2"/>
      <w:r>
        <w:rPr>
          <w:rFonts w:hint="eastAsia" w:ascii="宋体" w:hAnsi="宋体" w:eastAsia="宋体" w:cs="宋体"/>
          <w:color w:val="auto"/>
          <w:kern w:val="0"/>
          <w:sz w:val="21"/>
          <w:szCs w:val="21"/>
          <w:highlight w:val="none"/>
        </w:rPr>
        <w:t>1、投标人的基本资格条件：</w:t>
      </w:r>
      <w:commentRangeEnd w:id="2"/>
      <w:r>
        <w:rPr>
          <w:rFonts w:hint="eastAsia" w:ascii="宋体" w:hAnsi="宋体" w:eastAsia="宋体" w:cs="宋体"/>
          <w:color w:val="auto"/>
          <w:kern w:val="0"/>
          <w:sz w:val="21"/>
          <w:szCs w:val="21"/>
          <w:highlight w:val="none"/>
        </w:rPr>
        <w:commentReference w:id="2"/>
      </w:r>
    </w:p>
    <w:p w14:paraId="2B9B321A">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投标人必须是在中华人民共和国境内注册登记的法人、其他组织或者自然人，且应当符合《政府采购法》第二十二条第一款的规定。</w:t>
      </w:r>
    </w:p>
    <w:p w14:paraId="57053AC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（2）单位负责人为同一人或者存在直接控股、管理关系的不同投标人，不得参加同一合同项下的政府采购活动。</w:t>
      </w:r>
    </w:p>
    <w:p w14:paraId="3836B572">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ab/>
      </w:r>
      <w:r>
        <w:rPr>
          <w:rFonts w:hint="eastAsia" w:ascii="宋体" w:hAnsi="宋体" w:eastAsia="宋体" w:cs="宋体"/>
          <w:color w:val="auto"/>
          <w:kern w:val="0"/>
          <w:sz w:val="21"/>
          <w:szCs w:val="21"/>
          <w:highlight w:val="none"/>
          <w:lang w:val="en-US" w:eastAsia="zh-CN" w:bidi="ar"/>
        </w:rPr>
        <w:t>（3）为本采购项目提供整体设计、规范编制或者项目管理、监理、检测等服务的，不得再参加此项目的其他采购活动。</w:t>
      </w:r>
    </w:p>
    <w:p w14:paraId="643C2648">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firstLine="420"/>
        <w:jc w:val="left"/>
        <w:textAlignment w:val="auto"/>
        <w:rPr>
          <w:rFonts w:hint="eastAsia" w:ascii="宋体" w:hAnsi="宋体" w:eastAsia="宋体" w:cs="宋体"/>
          <w:color w:val="auto"/>
          <w:kern w:val="0"/>
          <w:sz w:val="21"/>
          <w:szCs w:val="21"/>
          <w:highlight w:val="none"/>
          <w:lang w:val="en-US"/>
        </w:rPr>
      </w:pPr>
      <w:r>
        <w:rPr>
          <w:rFonts w:hint="eastAsia" w:ascii="宋体" w:hAnsi="宋体" w:eastAsia="宋体" w:cs="宋体"/>
          <w:color w:val="auto"/>
          <w:kern w:val="0"/>
          <w:sz w:val="21"/>
          <w:szCs w:val="21"/>
          <w:highlight w:val="none"/>
          <w:lang w:val="en-US" w:eastAsia="zh-CN" w:bidi="ar"/>
        </w:rPr>
        <w:t>（4）列入失信被执行人、重大税收违法失信主体名单、政府采购严重违法失信行为记录名单的，拒绝其参与政府采购活动。</w:t>
      </w:r>
    </w:p>
    <w:p w14:paraId="67A67295">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commentRangeStart w:id="3"/>
      <w:r>
        <w:rPr>
          <w:rFonts w:hint="eastAsia" w:ascii="宋体" w:hAnsi="宋体" w:eastAsia="宋体" w:cs="宋体"/>
          <w:color w:val="auto"/>
          <w:kern w:val="0"/>
          <w:sz w:val="21"/>
          <w:szCs w:val="21"/>
          <w:highlight w:val="none"/>
        </w:rPr>
        <w:t>落实政府采购政策需满足的资格要求</w:t>
      </w:r>
      <w:commentRangeEnd w:id="3"/>
      <w:r>
        <w:rPr>
          <w:rFonts w:hint="eastAsia" w:ascii="宋体" w:hAnsi="宋体" w:eastAsia="宋体" w:cs="宋体"/>
          <w:color w:val="auto"/>
          <w:kern w:val="0"/>
          <w:sz w:val="21"/>
          <w:szCs w:val="21"/>
          <w:highlight w:val="none"/>
        </w:rPr>
        <w:commentReference w:id="3"/>
      </w:r>
      <w:r>
        <w:rPr>
          <w:rFonts w:hint="eastAsia" w:ascii="宋体" w:hAnsi="宋体" w:eastAsia="宋体" w:cs="宋体"/>
          <w:color w:val="auto"/>
          <w:kern w:val="0"/>
          <w:sz w:val="21"/>
          <w:szCs w:val="21"/>
          <w:highlight w:val="none"/>
        </w:rPr>
        <w:t>：</w:t>
      </w:r>
    </w:p>
    <w:p w14:paraId="7E0A0EA9">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包1 </w:t>
      </w:r>
    </w:p>
    <w:p w14:paraId="2410EEE4">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b w:val="0"/>
          <w:bCs/>
          <w:color w:val="auto"/>
          <w:kern w:val="0"/>
          <w:sz w:val="21"/>
          <w:szCs w:val="21"/>
          <w:highlight w:val="none"/>
        </w:rPr>
        <w:t>专门面向</w:t>
      </w:r>
      <w:r>
        <w:rPr>
          <w:rFonts w:hint="eastAsia" w:ascii="宋体" w:hAnsi="宋体" w:eastAsia="宋体" w:cs="宋体"/>
          <w:b w:val="0"/>
          <w:bCs/>
          <w:color w:val="auto"/>
          <w:kern w:val="0"/>
          <w:sz w:val="21"/>
          <w:szCs w:val="21"/>
          <w:highlight w:val="none"/>
          <w:lang w:val="en-US" w:eastAsia="zh-CN"/>
        </w:rPr>
        <w:t>中小企业（含监狱及福利性单位）</w:t>
      </w:r>
    </w:p>
    <w:p w14:paraId="6975136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包2 </w:t>
      </w:r>
    </w:p>
    <w:p w14:paraId="39D7D05F">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b w:val="0"/>
          <w:bCs/>
          <w:color w:val="auto"/>
          <w:kern w:val="0"/>
          <w:sz w:val="21"/>
          <w:szCs w:val="21"/>
          <w:highlight w:val="none"/>
        </w:rPr>
        <w:t>专门面向</w:t>
      </w:r>
      <w:r>
        <w:rPr>
          <w:rFonts w:hint="eastAsia" w:ascii="宋体" w:hAnsi="宋体" w:eastAsia="宋体" w:cs="宋体"/>
          <w:b w:val="0"/>
          <w:bCs/>
          <w:color w:val="auto"/>
          <w:kern w:val="0"/>
          <w:sz w:val="21"/>
          <w:szCs w:val="21"/>
          <w:highlight w:val="none"/>
          <w:lang w:val="en-US" w:eastAsia="zh-CN"/>
        </w:rPr>
        <w:t>中小企业（含监狱及福利性单位）</w:t>
      </w:r>
    </w:p>
    <w:p w14:paraId="2A629F10">
      <w:pPr>
        <w:keepNext w:val="0"/>
        <w:keepLines w:val="0"/>
        <w:pageBreakBefore w:val="0"/>
        <w:widowControl/>
        <w:numPr>
          <w:ilvl w:val="0"/>
          <w:numId w:val="2"/>
        </w:numPr>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commentRangeStart w:id="4"/>
      <w:r>
        <w:rPr>
          <w:rFonts w:hint="eastAsia" w:ascii="宋体" w:hAnsi="宋体" w:eastAsia="宋体" w:cs="宋体"/>
          <w:color w:val="auto"/>
          <w:kern w:val="0"/>
          <w:sz w:val="21"/>
          <w:szCs w:val="21"/>
          <w:highlight w:val="none"/>
        </w:rPr>
        <w:t>供应商特定资格条件：</w:t>
      </w:r>
      <w:commentRangeEnd w:id="4"/>
      <w:r>
        <w:rPr>
          <w:rFonts w:hint="eastAsia" w:ascii="宋体" w:hAnsi="宋体" w:eastAsia="宋体" w:cs="宋体"/>
          <w:color w:val="auto"/>
          <w:kern w:val="0"/>
          <w:sz w:val="21"/>
          <w:szCs w:val="21"/>
          <w:highlight w:val="none"/>
        </w:rPr>
        <w:commentReference w:id="4"/>
      </w:r>
    </w:p>
    <w:p w14:paraId="01CDB13C">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b w:val="0"/>
          <w:bCs/>
          <w:color w:val="auto"/>
          <w:kern w:val="0"/>
          <w:sz w:val="21"/>
          <w:szCs w:val="21"/>
          <w:highlight w:val="none"/>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包1 </w:t>
      </w:r>
    </w:p>
    <w:p w14:paraId="5B2315E8">
      <w:pPr>
        <w:keepNext w:val="0"/>
        <w:keepLines w:val="0"/>
        <w:pageBreakBefore w:val="0"/>
        <w:widowControl/>
        <w:numPr>
          <w:ilvl w:val="0"/>
          <w:numId w:val="0"/>
        </w:numPr>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val="0"/>
          <w:bCs/>
          <w:color w:val="auto"/>
          <w:kern w:val="0"/>
          <w:sz w:val="21"/>
          <w:szCs w:val="21"/>
          <w:highlight w:val="none"/>
        </w:rPr>
        <w:t>特定资格条件：</w:t>
      </w:r>
      <w:r>
        <w:rPr>
          <w:rFonts w:hint="eastAsia" w:ascii="宋体" w:hAnsi="宋体" w:eastAsia="宋体" w:cs="宋体"/>
          <w:b w:val="0"/>
          <w:bCs/>
          <w:color w:val="auto"/>
          <w:kern w:val="0"/>
          <w:sz w:val="21"/>
          <w:szCs w:val="21"/>
          <w:highlight w:val="none"/>
          <w:lang w:val="en-US" w:eastAsia="zh-CN"/>
        </w:rPr>
        <w:t>（1）所投货物纳入医疗器械管理的，须具有相应的医疗器械经营许可证（或备案凭证）、或有效的医疗器械生产许可证（或备案凭证）、且证件在有效期内。（2）所投货物纳入医疗器械管理的，货物须具有有效的医疗器械注册证（或备案凭证）且在证件有效期内生产。</w:t>
      </w:r>
    </w:p>
    <w:p w14:paraId="656F232F">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注：每个投标单位只允许对其中1个包进行投标，如投2个包视为无效投标单位</w:t>
      </w:r>
    </w:p>
    <w:p w14:paraId="54D306FB">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说明：（1）</w:t>
      </w:r>
      <w:r>
        <w:rPr>
          <w:rFonts w:hint="eastAsia" w:ascii="宋体" w:hAnsi="宋体" w:eastAsia="宋体" w:cs="宋体"/>
          <w:color w:val="auto"/>
          <w:sz w:val="21"/>
          <w:szCs w:val="21"/>
          <w:highlight w:val="none"/>
        </w:rPr>
        <w:t>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04AF0BAF">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p w14:paraId="6968E751">
      <w:pPr>
        <w:keepNext w:val="0"/>
        <w:keepLines w:val="0"/>
        <w:pageBreakBefore w:val="0"/>
        <w:widowControl/>
        <w:suppressLineNumbers w:val="0"/>
        <w:kinsoku/>
        <w:wordWrap/>
        <w:overflowPunct/>
        <w:topLinePunct w:val="0"/>
        <w:autoSpaceDE/>
        <w:autoSpaceDN/>
        <w:bidi w:val="0"/>
        <w:spacing w:beforeAutospacing="0" w:after="0" w:afterAutospacing="0" w:line="360" w:lineRule="auto"/>
        <w:ind w:left="0" w:right="0"/>
        <w:jc w:val="left"/>
        <w:textAlignment w:val="auto"/>
        <w:rPr>
          <w:rFonts w:hint="eastAsia" w:ascii="宋体" w:hAnsi="宋体" w:eastAsia="宋体" w:cs="宋体"/>
          <w:color w:val="auto"/>
          <w:kern w:val="0"/>
          <w:sz w:val="21"/>
          <w:szCs w:val="21"/>
          <w:highlight w:val="none"/>
          <w:u w:val="single"/>
          <w:lang w:val="en-US" w:eastAsia="zh-CN" w:bidi="ar"/>
        </w:rPr>
      </w:pPr>
      <w:r>
        <w:rPr>
          <w:rFonts w:hint="eastAsia" w:ascii="宋体" w:hAnsi="宋体" w:eastAsia="宋体" w:cs="宋体"/>
          <w:b w:val="0"/>
          <w:bCs/>
          <w:color w:val="auto"/>
          <w:kern w:val="0"/>
          <w:sz w:val="21"/>
          <w:szCs w:val="21"/>
          <w:highlight w:val="none"/>
        </w:rPr>
        <w:t>包名称：</w:t>
      </w:r>
      <w:r>
        <w:rPr>
          <w:rFonts w:hint="eastAsia" w:ascii="宋体" w:hAnsi="宋体" w:eastAsia="宋体" w:cs="宋体"/>
          <w:color w:val="auto"/>
          <w:kern w:val="0"/>
          <w:sz w:val="21"/>
          <w:szCs w:val="21"/>
          <w:highlight w:val="none"/>
          <w:u w:val="single"/>
          <w:lang w:val="en-US" w:eastAsia="zh-CN" w:bidi="ar"/>
        </w:rPr>
        <w:t xml:space="preserve">包2 </w:t>
      </w:r>
    </w:p>
    <w:p w14:paraId="48DE9FC3">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b w:val="0"/>
          <w:bCs/>
          <w:color w:val="auto"/>
          <w:kern w:val="0"/>
          <w:sz w:val="21"/>
          <w:szCs w:val="21"/>
          <w:highlight w:val="none"/>
        </w:rPr>
        <w:t>特定资格条件：</w:t>
      </w:r>
      <w:r>
        <w:rPr>
          <w:rFonts w:hint="eastAsia" w:ascii="宋体" w:hAnsi="宋体" w:eastAsia="宋体" w:cs="宋体"/>
          <w:b w:val="0"/>
          <w:bCs/>
          <w:color w:val="auto"/>
          <w:kern w:val="0"/>
          <w:sz w:val="21"/>
          <w:szCs w:val="21"/>
          <w:highlight w:val="none"/>
          <w:lang w:val="en-US" w:eastAsia="zh-CN"/>
        </w:rPr>
        <w:t>（1）所投货物纳入医疗器械管理的，须具有相应的医疗器械经营许可证（或备案凭证）、或有效的医疗器械生产许可证（或备案凭证）、且证件在有效期内。（2）所投货物纳入医疗器械管理的，货物须具有有效的医疗器械注册证（或备案凭证）且在证件有效期内生产。</w:t>
      </w:r>
    </w:p>
    <w:p w14:paraId="79BEE92B">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注：每个投标单位只允许对其中1个包进行投标，如投2个包视为无效投标单位</w:t>
      </w:r>
    </w:p>
    <w:p w14:paraId="18DB1127">
      <w:pPr>
        <w:keepNext w:val="0"/>
        <w:keepLines w:val="0"/>
        <w:pageBreakBefore w:val="0"/>
        <w:widowControl/>
        <w:shd w:val="clear" w:color="auto"/>
        <w:kinsoku/>
        <w:wordWrap/>
        <w:overflowPunct/>
        <w:topLinePunct w:val="0"/>
        <w:autoSpaceDE/>
        <w:autoSpaceDN/>
        <w:bidi w:val="0"/>
        <w:spacing w:line="360" w:lineRule="auto"/>
        <w:ind w:firstLine="420"/>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说明：（1）</w:t>
      </w:r>
      <w:r>
        <w:rPr>
          <w:rFonts w:hint="eastAsia" w:ascii="宋体" w:hAnsi="宋体" w:eastAsia="宋体" w:cs="宋体"/>
          <w:color w:val="auto"/>
          <w:sz w:val="21"/>
          <w:szCs w:val="21"/>
          <w:highlight w:val="none"/>
        </w:rPr>
        <w:t>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和税务登记证和社会保险登记证，符合基本资格条件的相关条款，供应商如是“三证合一或五证合一”请自行说明。</w:t>
      </w:r>
    </w:p>
    <w:p w14:paraId="64DBDC1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p w14:paraId="7F4F4DB8">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四</w:t>
      </w:r>
      <w:r>
        <w:rPr>
          <w:rFonts w:hint="eastAsia" w:ascii="宋体" w:hAnsi="宋体" w:eastAsia="宋体" w:cs="宋体"/>
          <w:b/>
          <w:bCs/>
          <w:color w:val="auto"/>
          <w:kern w:val="0"/>
          <w:sz w:val="21"/>
          <w:szCs w:val="21"/>
          <w:highlight w:val="none"/>
        </w:rPr>
        <w:t>、获取招标文件的时间、期限、地点及方式</w:t>
      </w:r>
    </w:p>
    <w:p w14:paraId="12D5C5D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1、时间：</w:t>
      </w:r>
      <w:r>
        <w:rPr>
          <w:rFonts w:hint="eastAsia" w:ascii="宋体" w:hAnsi="宋体" w:eastAsia="宋体" w:cs="宋体"/>
          <w:i w:val="0"/>
          <w:iCs w:val="0"/>
          <w:caps w:val="0"/>
          <w:color w:val="auto"/>
          <w:spacing w:val="0"/>
          <w:kern w:val="0"/>
          <w:sz w:val="21"/>
          <w:szCs w:val="21"/>
          <w:highlight w:val="none"/>
          <w:lang w:val="en-US" w:eastAsia="zh-CN" w:bidi="ar"/>
        </w:rPr>
        <w:t>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4</w:t>
      </w:r>
      <w:r>
        <w:rPr>
          <w:rFonts w:hint="eastAsia" w:ascii="宋体" w:hAnsi="宋体" w:eastAsia="宋体" w:cs="宋体"/>
          <w:i w:val="0"/>
          <w:iCs w:val="0"/>
          <w:caps w:val="0"/>
          <w:color w:val="auto"/>
          <w:spacing w:val="0"/>
          <w:kern w:val="0"/>
          <w:sz w:val="21"/>
          <w:szCs w:val="21"/>
          <w:highlight w:val="none"/>
          <w:lang w:val="en-US" w:eastAsia="zh-CN" w:bidi="ar"/>
        </w:rPr>
        <w:t>日至2026年</w:t>
      </w:r>
      <w:r>
        <w:rPr>
          <w:rFonts w:hint="eastAsia" w:ascii="宋体" w:hAnsi="宋体" w:cs="宋体"/>
          <w:i w:val="0"/>
          <w:iCs w:val="0"/>
          <w:caps w:val="0"/>
          <w:color w:val="auto"/>
          <w:spacing w:val="0"/>
          <w:kern w:val="0"/>
          <w:sz w:val="21"/>
          <w:szCs w:val="21"/>
          <w:highlight w:val="none"/>
          <w:lang w:val="en-US" w:eastAsia="zh-CN" w:bidi="ar"/>
        </w:rPr>
        <w:t>9</w:t>
      </w:r>
      <w:r>
        <w:rPr>
          <w:rFonts w:hint="eastAsia" w:ascii="宋体" w:hAnsi="宋体" w:eastAsia="宋体" w:cs="宋体"/>
          <w:i w:val="0"/>
          <w:iCs w:val="0"/>
          <w:caps w:val="0"/>
          <w:color w:val="auto"/>
          <w:spacing w:val="0"/>
          <w:kern w:val="0"/>
          <w:sz w:val="21"/>
          <w:szCs w:val="21"/>
          <w:highlight w:val="none"/>
          <w:lang w:val="en-US" w:eastAsia="zh-CN" w:bidi="ar"/>
        </w:rPr>
        <w:t>月</w:t>
      </w:r>
      <w:r>
        <w:rPr>
          <w:rFonts w:hint="eastAsia" w:ascii="宋体" w:hAnsi="宋体" w:cs="宋体"/>
          <w:i w:val="0"/>
          <w:iCs w:val="0"/>
          <w:caps w:val="0"/>
          <w:color w:val="auto"/>
          <w:spacing w:val="0"/>
          <w:kern w:val="0"/>
          <w:sz w:val="21"/>
          <w:szCs w:val="21"/>
          <w:highlight w:val="none"/>
          <w:lang w:val="en-US" w:eastAsia="zh-CN" w:bidi="ar"/>
        </w:rPr>
        <w:t>10</w:t>
      </w:r>
      <w:r>
        <w:rPr>
          <w:rFonts w:hint="eastAsia" w:ascii="宋体" w:hAnsi="宋体" w:eastAsia="宋体" w:cs="宋体"/>
          <w:i w:val="0"/>
          <w:iCs w:val="0"/>
          <w:caps w:val="0"/>
          <w:color w:val="auto"/>
          <w:spacing w:val="0"/>
          <w:kern w:val="0"/>
          <w:sz w:val="21"/>
          <w:szCs w:val="21"/>
          <w:highlight w:val="none"/>
          <w:lang w:val="en-US" w:eastAsia="zh-CN" w:bidi="ar"/>
        </w:rPr>
        <w:t>日（提供期限自本公告发布之日起不得少于5个工作日），每天上午9:00:00 至12:00:00，下午14:00至17:00（北京时间，法定节假日除外）</w:t>
      </w:r>
    </w:p>
    <w:p w14:paraId="74050B4E">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2、地点：</w:t>
      </w:r>
      <w:r>
        <w:rPr>
          <w:rFonts w:hint="eastAsia" w:ascii="宋体" w:hAnsi="宋体" w:eastAsia="宋体" w:cs="宋体"/>
          <w:i w:val="0"/>
          <w:iCs w:val="0"/>
          <w:caps w:val="0"/>
          <w:color w:val="auto"/>
          <w:spacing w:val="0"/>
          <w:kern w:val="0"/>
          <w:sz w:val="21"/>
          <w:szCs w:val="21"/>
          <w:highlight w:val="none"/>
          <w:lang w:val="en-US" w:eastAsia="zh-CN" w:bidi="ar"/>
        </w:rPr>
        <w:t xml:space="preserve">岳阳市公共资源交易中心电子交易平台 </w:t>
      </w:r>
      <w:r>
        <w:rPr>
          <w:rFonts w:hint="eastAsia" w:ascii="宋体" w:hAnsi="宋体" w:eastAsia="宋体" w:cs="宋体"/>
          <w:i w:val="0"/>
          <w:iCs w:val="0"/>
          <w:caps w:val="0"/>
          <w:color w:val="auto"/>
          <w:spacing w:val="0"/>
          <w:kern w:val="0"/>
          <w:sz w:val="21"/>
          <w:szCs w:val="21"/>
          <w:highlight w:val="none"/>
          <w:lang w:val="en-US" w:eastAsia="zh-CN" w:bidi="ar"/>
        </w:rPr>
        <w:t>（http://222.242.228.197:8083/TPBidder/memberLogin）</w:t>
      </w:r>
    </w:p>
    <w:p w14:paraId="419293DB">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3、方式：</w:t>
      </w:r>
      <w:r>
        <w:rPr>
          <w:rFonts w:hint="eastAsia" w:ascii="宋体" w:hAnsi="宋体" w:eastAsia="宋体" w:cs="宋体"/>
          <w:i w:val="0"/>
          <w:iCs w:val="0"/>
          <w:caps w:val="0"/>
          <w:color w:val="auto"/>
          <w:spacing w:val="0"/>
          <w:kern w:val="0"/>
          <w:sz w:val="21"/>
          <w:szCs w:val="21"/>
          <w:highlight w:val="none"/>
          <w:lang w:val="en-US" w:eastAsia="zh-CN" w:bidi="ar"/>
        </w:rPr>
        <w:t>线上获取</w:t>
      </w:r>
    </w:p>
    <w:p w14:paraId="1A1E086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commentReference w:id="5"/>
      </w:r>
      <w:r>
        <w:rPr>
          <w:rFonts w:hint="eastAsia" w:ascii="宋体" w:hAnsi="宋体" w:eastAsia="宋体" w:cs="宋体"/>
          <w:color w:val="auto"/>
          <w:kern w:val="0"/>
          <w:sz w:val="21"/>
          <w:szCs w:val="21"/>
          <w:highlight w:val="none"/>
        </w:rPr>
        <w:t>4、售价：</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元</w:t>
      </w:r>
    </w:p>
    <w:p w14:paraId="0D3429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五</w:t>
      </w:r>
      <w:r>
        <w:rPr>
          <w:rFonts w:hint="eastAsia" w:ascii="宋体" w:hAnsi="宋体" w:eastAsia="宋体" w:cs="宋体"/>
          <w:b/>
          <w:bCs/>
          <w:color w:val="auto"/>
          <w:kern w:val="0"/>
          <w:sz w:val="21"/>
          <w:szCs w:val="21"/>
          <w:highlight w:val="none"/>
        </w:rPr>
        <w:t>、提交投标文件截止时间、开标时间和地点</w:t>
      </w:r>
    </w:p>
    <w:p w14:paraId="4C67AF9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1、提交投标文件截止时间：</w:t>
      </w:r>
      <w:r>
        <w:rPr>
          <w:rFonts w:hint="eastAsia" w:ascii="宋体" w:hAnsi="宋体" w:cs="宋体"/>
          <w:i w:val="0"/>
          <w:iCs w:val="0"/>
          <w:caps w:val="0"/>
          <w:color w:val="auto"/>
          <w:spacing w:val="0"/>
          <w:kern w:val="0"/>
          <w:sz w:val="21"/>
          <w:szCs w:val="21"/>
          <w:highlight w:val="none"/>
          <w:lang w:val="en-US" w:eastAsia="zh-CN" w:bidi="ar"/>
        </w:rPr>
        <w:t>2026年9月28日</w:t>
      </w:r>
      <w:r>
        <w:rPr>
          <w:rFonts w:hint="eastAsia" w:ascii="宋体" w:hAnsi="宋体" w:eastAsia="宋体" w:cs="宋体"/>
          <w:i w:val="0"/>
          <w:iCs w:val="0"/>
          <w:caps w:val="0"/>
          <w:color w:val="auto"/>
          <w:spacing w:val="0"/>
          <w:kern w:val="0"/>
          <w:sz w:val="21"/>
          <w:szCs w:val="21"/>
          <w:highlight w:val="none"/>
          <w:lang w:val="en-US" w:eastAsia="zh-CN" w:bidi="ar"/>
        </w:rPr>
        <w:t xml:space="preserve"> 09点30分</w:t>
      </w:r>
      <w:r>
        <w:rPr>
          <w:rFonts w:hint="eastAsia" w:ascii="宋体" w:hAnsi="宋体" w:eastAsia="宋体" w:cs="宋体"/>
          <w:color w:val="auto"/>
          <w:kern w:val="0"/>
          <w:sz w:val="21"/>
          <w:szCs w:val="21"/>
          <w:highlight w:val="none"/>
          <w:lang w:val="en-US" w:eastAsia="zh-CN"/>
        </w:rPr>
        <w:t>（北京时间）</w:t>
      </w:r>
    </w:p>
    <w:p w14:paraId="291AB6F9">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2、提交投标文件地点：</w:t>
      </w:r>
      <w:r>
        <w:rPr>
          <w:rFonts w:hint="eastAsia" w:ascii="宋体" w:hAnsi="宋体" w:eastAsia="宋体" w:cs="宋体"/>
          <w:i w:val="0"/>
          <w:iCs w:val="0"/>
          <w:caps w:val="0"/>
          <w:color w:val="auto"/>
          <w:spacing w:val="0"/>
          <w:kern w:val="0"/>
          <w:sz w:val="21"/>
          <w:szCs w:val="21"/>
          <w:highlight w:val="none"/>
          <w:lang w:val="en-US" w:eastAsia="zh-CN" w:bidi="ar"/>
        </w:rPr>
        <w:t>登录“岳阳市公共资源交易中心电子交易平台”（http://222.242.228.197:8083/TPBidder/memberLogin）上传投标文件</w:t>
      </w:r>
    </w:p>
    <w:p w14:paraId="40702041">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i w:val="0"/>
          <w:iCs w:val="0"/>
          <w:caps w:val="0"/>
          <w:color w:val="auto"/>
          <w:spacing w:val="0"/>
          <w:kern w:val="0"/>
          <w:sz w:val="21"/>
          <w:szCs w:val="21"/>
          <w:highlight w:val="none"/>
          <w:lang w:val="en-US" w:eastAsia="zh-CN" w:bidi="ar"/>
        </w:rPr>
        <w:t xml:space="preserve"> </w:t>
      </w:r>
      <w:r>
        <w:rPr>
          <w:rFonts w:hint="eastAsia" w:ascii="宋体" w:hAnsi="宋体" w:eastAsia="宋体" w:cs="宋体"/>
          <w:color w:val="auto"/>
          <w:kern w:val="0"/>
          <w:sz w:val="21"/>
          <w:szCs w:val="21"/>
          <w:highlight w:val="none"/>
        </w:rPr>
        <w:t>3、开标时间：</w:t>
      </w:r>
      <w:r>
        <w:rPr>
          <w:rFonts w:hint="eastAsia" w:ascii="宋体" w:hAnsi="宋体" w:cs="宋体"/>
          <w:i w:val="0"/>
          <w:iCs w:val="0"/>
          <w:caps w:val="0"/>
          <w:color w:val="auto"/>
          <w:spacing w:val="0"/>
          <w:kern w:val="0"/>
          <w:sz w:val="21"/>
          <w:szCs w:val="21"/>
          <w:highlight w:val="none"/>
          <w:lang w:val="en-US" w:eastAsia="zh-CN" w:bidi="ar"/>
        </w:rPr>
        <w:t>2026年9月28日</w:t>
      </w:r>
      <w:r>
        <w:rPr>
          <w:rFonts w:hint="eastAsia" w:ascii="宋体" w:hAnsi="宋体" w:eastAsia="宋体" w:cs="宋体"/>
          <w:i w:val="0"/>
          <w:iCs w:val="0"/>
          <w:caps w:val="0"/>
          <w:color w:val="auto"/>
          <w:spacing w:val="0"/>
          <w:kern w:val="0"/>
          <w:sz w:val="21"/>
          <w:szCs w:val="21"/>
          <w:highlight w:val="none"/>
          <w:lang w:val="en-US" w:eastAsia="zh-CN" w:bidi="ar"/>
        </w:rPr>
        <w:t xml:space="preserve"> 09点30分</w:t>
      </w:r>
      <w:r>
        <w:rPr>
          <w:rFonts w:hint="eastAsia" w:ascii="宋体" w:hAnsi="宋体" w:eastAsia="宋体" w:cs="宋体"/>
          <w:color w:val="auto"/>
          <w:kern w:val="0"/>
          <w:sz w:val="21"/>
          <w:szCs w:val="21"/>
          <w:highlight w:val="none"/>
          <w:lang w:val="en-US" w:eastAsia="zh-CN"/>
        </w:rPr>
        <w:t>（北京时间）</w:t>
      </w:r>
    </w:p>
    <w:p w14:paraId="0AC281B3">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i w:val="0"/>
          <w:iCs w:val="0"/>
          <w:caps w:val="0"/>
          <w:color w:val="auto"/>
          <w:spacing w:val="0"/>
          <w:kern w:val="0"/>
          <w:sz w:val="21"/>
          <w:szCs w:val="21"/>
          <w:highlight w:val="none"/>
          <w:lang w:val="en-US" w:eastAsia="zh-CN" w:bidi="ar"/>
        </w:rPr>
      </w:pPr>
      <w:r>
        <w:rPr>
          <w:rFonts w:hint="eastAsia" w:ascii="宋体" w:hAnsi="宋体" w:eastAsia="宋体" w:cs="宋体"/>
          <w:color w:val="auto"/>
          <w:kern w:val="0"/>
          <w:sz w:val="21"/>
          <w:szCs w:val="21"/>
          <w:highlight w:val="none"/>
        </w:rPr>
        <w:t>4、开标地点：</w:t>
      </w:r>
      <w:r>
        <w:rPr>
          <w:rFonts w:hint="eastAsia" w:ascii="宋体" w:hAnsi="宋体" w:eastAsia="宋体" w:cs="宋体"/>
          <w:i w:val="0"/>
          <w:iCs w:val="0"/>
          <w:caps w:val="0"/>
          <w:color w:val="auto"/>
          <w:spacing w:val="0"/>
          <w:kern w:val="0"/>
          <w:sz w:val="21"/>
          <w:szCs w:val="21"/>
          <w:highlight w:val="none"/>
          <w:lang w:val="en-US" w:eastAsia="zh-CN" w:bidi="ar"/>
        </w:rPr>
        <w:t xml:space="preserve"> 岳阳市公共资源交易中心(岳阳市公共资源交易中心电子交易平台)  </w:t>
      </w:r>
    </w:p>
    <w:p w14:paraId="12B8658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u w:val="none"/>
        </w:rPr>
      </w:pPr>
      <w:r>
        <w:rPr>
          <w:rFonts w:hint="eastAsia" w:ascii="宋体" w:hAnsi="宋体" w:eastAsia="宋体" w:cs="宋体"/>
          <w:color w:val="auto"/>
          <w:kern w:val="0"/>
          <w:sz w:val="21"/>
          <w:szCs w:val="21"/>
          <w:highlight w:val="none"/>
          <w:u w:val="none"/>
        </w:rPr>
        <w:t>（自招标文件开始发出之日起至投标人提交投标文件截止之日止，不得少于20日）</w:t>
      </w:r>
    </w:p>
    <w:p w14:paraId="62F656EA">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六</w:t>
      </w:r>
      <w:r>
        <w:rPr>
          <w:rFonts w:hint="eastAsia" w:ascii="宋体" w:hAnsi="宋体" w:eastAsia="宋体" w:cs="宋体"/>
          <w:b/>
          <w:bCs/>
          <w:color w:val="auto"/>
          <w:kern w:val="0"/>
          <w:sz w:val="21"/>
          <w:szCs w:val="21"/>
          <w:highlight w:val="none"/>
        </w:rPr>
        <w:t>、公告期限</w:t>
      </w:r>
    </w:p>
    <w:p w14:paraId="1F713344">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1、本招标公告在中国湖南政府采购网（www.ccgp-hunan.gov.cn）发布。公告期限从本招标公告发布之日起5个工作日。</w:t>
      </w:r>
    </w:p>
    <w:p w14:paraId="27F8530F">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2、在其他媒体发布的招标公告，公告内容以本招标公告指定媒体发布的公告为准；公告期限自本招标公告指定媒体最先发布公告之日起算。</w:t>
      </w:r>
    </w:p>
    <w:p w14:paraId="7C971C05">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七</w:t>
      </w:r>
      <w:r>
        <w:rPr>
          <w:rFonts w:hint="eastAsia" w:ascii="宋体" w:hAnsi="宋体" w:eastAsia="宋体" w:cs="宋体"/>
          <w:b/>
          <w:bCs/>
          <w:color w:val="auto"/>
          <w:kern w:val="0"/>
          <w:sz w:val="21"/>
          <w:szCs w:val="21"/>
          <w:highlight w:val="none"/>
        </w:rPr>
        <w:t>、询问及质疑</w:t>
      </w:r>
    </w:p>
    <w:p w14:paraId="4C1AE726">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1、投标人对政府采购活动事项如有疑问的，可以向采购人、采购代理机构提出询问。采购人、采购代理机构将在3个工作日内作出答复。</w:t>
      </w:r>
    </w:p>
    <w:p w14:paraId="3F22760B">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2、投标人对电子交易平台办理CA证书、操作等如有疑问，请咨询电子交易平台服务机构。</w:t>
      </w:r>
    </w:p>
    <w:p w14:paraId="2563364D">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3、潜在投标人</w:t>
      </w:r>
      <w:r>
        <w:rPr>
          <w:rFonts w:hint="eastAsia" w:ascii="宋体" w:hAnsi="宋体" w:eastAsia="宋体" w:cs="宋体"/>
          <w:color w:val="auto"/>
          <w:kern w:val="0"/>
          <w:sz w:val="21"/>
          <w:szCs w:val="21"/>
          <w:highlight w:val="none"/>
        </w:rPr>
        <w:t>认为</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文件或</w:t>
      </w:r>
      <w:r>
        <w:rPr>
          <w:rFonts w:hint="eastAsia" w:ascii="宋体" w:hAnsi="宋体" w:eastAsia="宋体" w:cs="宋体"/>
          <w:color w:val="auto"/>
          <w:kern w:val="0"/>
          <w:sz w:val="21"/>
          <w:szCs w:val="21"/>
          <w:highlight w:val="none"/>
          <w:lang w:val="en-US" w:eastAsia="zh-CN"/>
        </w:rPr>
        <w:t>本</w:t>
      </w:r>
      <w:r>
        <w:rPr>
          <w:rFonts w:hint="eastAsia" w:ascii="宋体" w:hAnsi="宋体" w:eastAsia="宋体" w:cs="宋体"/>
          <w:color w:val="auto"/>
          <w:kern w:val="0"/>
          <w:sz w:val="21"/>
          <w:szCs w:val="21"/>
          <w:highlight w:val="none"/>
        </w:rPr>
        <w:t>公告使自己的合法权益受到损害的，可以在收到</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文件之日或</w:t>
      </w:r>
      <w:r>
        <w:rPr>
          <w:rFonts w:hint="eastAsia" w:ascii="宋体" w:hAnsi="宋体" w:eastAsia="宋体" w:cs="宋体"/>
          <w:color w:val="auto"/>
          <w:kern w:val="0"/>
          <w:sz w:val="21"/>
          <w:szCs w:val="21"/>
          <w:highlight w:val="none"/>
          <w:lang w:val="en-US" w:eastAsia="zh-CN"/>
        </w:rPr>
        <w:t>本</w:t>
      </w:r>
      <w:r>
        <w:rPr>
          <w:rFonts w:hint="eastAsia" w:ascii="宋体" w:hAnsi="宋体" w:eastAsia="宋体" w:cs="宋体"/>
          <w:color w:val="auto"/>
          <w:kern w:val="0"/>
          <w:sz w:val="21"/>
          <w:szCs w:val="21"/>
          <w:highlight w:val="none"/>
        </w:rPr>
        <w:t>公告</w:t>
      </w:r>
      <w:r>
        <w:rPr>
          <w:rFonts w:hint="eastAsia" w:ascii="宋体" w:hAnsi="宋体" w:eastAsia="宋体" w:cs="宋体"/>
          <w:color w:val="auto"/>
          <w:kern w:val="0"/>
          <w:sz w:val="21"/>
          <w:szCs w:val="21"/>
          <w:highlight w:val="none"/>
        </w:rPr>
        <w:t>期限届满之日起7个工作日内，按《湖南省财政厅关于印发＜政府采购质疑答复和投诉处理操作规程＞的通知》(湘财购〔2024〕67号)规定，以纸质书面形式向采购人、采购代理机构提出质疑。</w:t>
      </w:r>
    </w:p>
    <w:p w14:paraId="6A26F333">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八</w:t>
      </w:r>
      <w:r>
        <w:rPr>
          <w:rFonts w:hint="eastAsia" w:ascii="宋体" w:hAnsi="宋体" w:eastAsia="宋体" w:cs="宋体"/>
          <w:b/>
          <w:bCs/>
          <w:color w:val="auto"/>
          <w:kern w:val="0"/>
          <w:sz w:val="21"/>
          <w:szCs w:val="21"/>
          <w:highlight w:val="none"/>
        </w:rPr>
        <w:t>、投标说明</w:t>
      </w:r>
    </w:p>
    <w:p w14:paraId="734CD373">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1、本公告选项：</w:t>
      </w: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color w:val="auto"/>
          <w:kern w:val="0"/>
          <w:sz w:val="21"/>
          <w:szCs w:val="21"/>
          <w:highlight w:val="none"/>
        </w:rPr>
        <w:t>表示选择，</w:t>
      </w:r>
      <w:r>
        <w:rPr>
          <w:rFonts w:hint="eastAsia" w:ascii="宋体" w:hAnsi="宋体" w:eastAsia="宋体" w:cs="宋体"/>
          <w:i w:val="0"/>
          <w:iCs w:val="0"/>
          <w:caps w:val="0"/>
          <w:snapToGrid/>
          <w:color w:val="auto"/>
          <w:spacing w:val="0"/>
          <w:kern w:val="2"/>
          <w:sz w:val="24"/>
          <w:szCs w:val="24"/>
          <w:highlight w:val="none"/>
          <w:shd w:val="clear" w:fill="FFFFFF"/>
          <w:lang w:val="en-US" w:eastAsia="zh-CN" w:bidi="ar"/>
        </w:rPr>
        <w:t>□</w:t>
      </w:r>
      <w:r>
        <w:rPr>
          <w:rFonts w:hint="eastAsia" w:ascii="宋体" w:hAnsi="宋体" w:eastAsia="宋体" w:cs="宋体"/>
          <w:color w:val="auto"/>
          <w:kern w:val="0"/>
          <w:sz w:val="21"/>
          <w:szCs w:val="21"/>
          <w:highlight w:val="none"/>
        </w:rPr>
        <w:t>表示未选择。</w:t>
      </w:r>
    </w:p>
    <w:p w14:paraId="1DA9AD47">
      <w:pPr>
        <w:keepNext w:val="0"/>
        <w:keepLines w:val="0"/>
        <w:pageBreakBefore w:val="0"/>
        <w:widowControl/>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2、投标人参与政府采购活动，无需向采购人、代理机构、交易平台缴纳任何费用。</w:t>
      </w:r>
    </w:p>
    <w:p w14:paraId="11692C4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lang w:val="en-US" w:eastAsia="zh-CN"/>
        </w:rPr>
        <w:t>九</w:t>
      </w:r>
      <w:r>
        <w:rPr>
          <w:rFonts w:hint="eastAsia" w:ascii="宋体" w:hAnsi="宋体" w:eastAsia="宋体" w:cs="宋体"/>
          <w:b/>
          <w:bCs/>
          <w:color w:val="auto"/>
          <w:kern w:val="0"/>
          <w:sz w:val="21"/>
          <w:szCs w:val="21"/>
          <w:highlight w:val="none"/>
        </w:rPr>
        <w:t>、其他补充事宜</w:t>
      </w:r>
    </w:p>
    <w:p w14:paraId="2FBAC760">
      <w:pPr>
        <w:keepNext w:val="0"/>
        <w:keepLines w:val="0"/>
        <w:pageBreakBefore w:val="0"/>
        <w:shd w:val="clea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（一）</w:t>
      </w:r>
      <w:r>
        <w:rPr>
          <w:rFonts w:hint="eastAsia" w:ascii="宋体" w:hAnsi="宋体" w:eastAsia="宋体" w:cs="宋体"/>
          <w:b/>
          <w:bCs/>
          <w:color w:val="auto"/>
          <w:sz w:val="21"/>
          <w:szCs w:val="21"/>
          <w:highlight w:val="none"/>
        </w:rPr>
        <w:t>投标文件的制作</w:t>
      </w:r>
    </w:p>
    <w:p w14:paraId="331A59CA">
      <w:pPr>
        <w:keepNext w:val="0"/>
        <w:keepLines w:val="0"/>
        <w:pageBreakBefore w:val="0"/>
        <w:shd w:val="clear"/>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凡符合投标资格要求并有意参加投标者必须办理数字CA，登录《岳阳市公共资源交易网》（http://ggzy.yueyang.gov.cn/）下载招标文件。投标人在网上注册应对所提供的证件和证明材料的真实性承担法律责任。办理数字CA地址：湖南省数字认证服务中心有限公司（民兴路与狮子山南路交叉口）庙坡碧玉湾（南门）43号门面，电话：0730-8181828。</w:t>
      </w:r>
    </w:p>
    <w:p w14:paraId="62BB660B">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本招标项目采用电子化招标采购，请投标人在“岳阳市公共资源交易网” （http://ggzy.yueyang.gov.cn/）服务指南中及时下载安装最新版本“</w:t>
      </w:r>
      <w:r>
        <w:rPr>
          <w:rFonts w:hint="eastAsia" w:ascii="宋体" w:hAnsi="宋体" w:eastAsia="宋体" w:cs="宋体"/>
          <w:color w:val="auto"/>
          <w:sz w:val="21"/>
          <w:szCs w:val="21"/>
          <w:highlight w:val="none"/>
          <w:lang w:eastAsia="zh-CN"/>
        </w:rPr>
        <w:t>新点投标文件制作软件（湖南版）</w:t>
      </w:r>
      <w:r>
        <w:rPr>
          <w:rFonts w:hint="eastAsia" w:ascii="宋体" w:hAnsi="宋体" w:eastAsia="宋体" w:cs="宋体"/>
          <w:color w:val="auto"/>
          <w:sz w:val="21"/>
          <w:szCs w:val="21"/>
          <w:highlight w:val="none"/>
        </w:rPr>
        <w:t>”。参与投标的投标人需使用电子标书编制软件制作YYGCZF格式投标文件。本项目电子投标文件最大容量为200MB，超过此容量的文件将被拒绝。制作电子投标文件时，投标人须编制投标文件的内容目录和详细页码，其制作软件的下载安装和电子投标文件的</w:t>
      </w:r>
      <w:r>
        <w:rPr>
          <w:rFonts w:hint="eastAsia" w:ascii="宋体" w:hAnsi="宋体" w:eastAsia="宋体" w:cs="宋体"/>
          <w:color w:val="auto"/>
          <w:sz w:val="21"/>
          <w:szCs w:val="21"/>
          <w:highlight w:val="none"/>
          <w:lang w:eastAsia="zh-CN"/>
        </w:rPr>
        <w:t>制作</w:t>
      </w:r>
      <w:r>
        <w:rPr>
          <w:rFonts w:hint="eastAsia" w:ascii="宋体" w:hAnsi="宋体" w:eastAsia="宋体" w:cs="宋体"/>
          <w:color w:val="auto"/>
          <w:sz w:val="21"/>
          <w:szCs w:val="21"/>
          <w:highlight w:val="none"/>
        </w:rPr>
        <w:t>说明（含电子签章的操作流程）可详见“岳阳市公共资源交易网” （http://ggzy.yueyang.gov.cn/）的服务指南《全流程电子化招投标操作手册》。</w:t>
      </w:r>
    </w:p>
    <w:p w14:paraId="570829D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kern w:val="0"/>
          <w:sz w:val="21"/>
          <w:szCs w:val="21"/>
          <w:highlight w:val="none"/>
          <w:u w:val="none"/>
          <w:lang w:eastAsia="zh-CN"/>
        </w:rPr>
        <w:t>（</w:t>
      </w:r>
      <w:r>
        <w:rPr>
          <w:rFonts w:hint="eastAsia" w:ascii="宋体" w:hAnsi="宋体" w:eastAsia="宋体" w:cs="宋体"/>
          <w:color w:val="auto"/>
          <w:kern w:val="0"/>
          <w:sz w:val="21"/>
          <w:szCs w:val="21"/>
          <w:highlight w:val="none"/>
          <w:u w:val="none"/>
          <w:lang w:val="en-US" w:eastAsia="zh-CN"/>
        </w:rPr>
        <w:t>二</w:t>
      </w:r>
      <w:r>
        <w:rPr>
          <w:rFonts w:hint="eastAsia" w:ascii="宋体" w:hAnsi="宋体" w:eastAsia="宋体" w:cs="宋体"/>
          <w:color w:val="auto"/>
          <w:kern w:val="0"/>
          <w:sz w:val="21"/>
          <w:szCs w:val="21"/>
          <w:highlight w:val="none"/>
          <w:u w:val="none"/>
          <w:lang w:eastAsia="zh-CN"/>
        </w:rPr>
        <w:t>）</w:t>
      </w:r>
      <w:r>
        <w:rPr>
          <w:rFonts w:hint="eastAsia" w:ascii="宋体" w:hAnsi="宋体" w:eastAsia="宋体" w:cs="宋体"/>
          <w:b/>
          <w:bCs/>
          <w:color w:val="auto"/>
          <w:sz w:val="21"/>
          <w:szCs w:val="21"/>
          <w:highlight w:val="none"/>
          <w:u w:val="none"/>
        </w:rPr>
        <w:t>、投标文</w:t>
      </w:r>
      <w:r>
        <w:rPr>
          <w:rFonts w:hint="eastAsia" w:ascii="宋体" w:hAnsi="宋体" w:eastAsia="宋体" w:cs="宋体"/>
          <w:b/>
          <w:bCs/>
          <w:color w:val="auto"/>
          <w:sz w:val="21"/>
          <w:szCs w:val="21"/>
          <w:highlight w:val="none"/>
        </w:rPr>
        <w:t>件的解密</w:t>
      </w:r>
    </w:p>
    <w:p w14:paraId="51B2EB74">
      <w:pPr>
        <w:keepNext w:val="0"/>
        <w:keepLines w:val="0"/>
        <w:pageBreakBefore w:val="0"/>
        <w:shd w:val="clea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电子投标文件的解密截止时间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系统设置为开标后30分钟内，投标人可在单位在线解密，如在开标现场解密的请自备解密电脑和网络。投标人安排专人在网上进行开标，并按要求完成电子投标文件的远程解密，逾期未解密的，视为放弃投标资格。</w:t>
      </w:r>
    </w:p>
    <w:p w14:paraId="24E2C586">
      <w:pPr>
        <w:keepNext w:val="0"/>
        <w:keepLines w:val="0"/>
        <w:pageBreakBefore w:val="0"/>
        <w:shd w:val="clear"/>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（三）</w:t>
      </w:r>
      <w:r>
        <w:rPr>
          <w:rFonts w:hint="eastAsia" w:ascii="宋体" w:hAnsi="宋体" w:eastAsia="宋体" w:cs="宋体"/>
          <w:b/>
          <w:bCs/>
          <w:color w:val="auto"/>
          <w:sz w:val="21"/>
          <w:szCs w:val="21"/>
          <w:highlight w:val="none"/>
        </w:rPr>
        <w:t>、投标人澄清、补正和说明</w:t>
      </w:r>
    </w:p>
    <w:p w14:paraId="31F577D8">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评标过程中，如评委专家要求投标人进行必要的澄清、说明和补正的，投标人应在线保持关注，及时登录岳阳市公共资源交易中心电子交易平台（http://222.242.228.197:8083/TPBidder/memberLogin）进行网上回复，并上传提交相关资料，逾期未回复的，视为放弃澄清、说明和补正的权利。</w:t>
      </w:r>
    </w:p>
    <w:p w14:paraId="31037A34">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rPr>
        <w:t>十、对本次招标提出询问，请按以下方式联系</w:t>
      </w:r>
    </w:p>
    <w:p w14:paraId="6D73E378">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1.采购人信息</w:t>
      </w:r>
    </w:p>
    <w:p w14:paraId="11EA76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名称：岳阳市君山区人民医院       </w:t>
      </w:r>
    </w:p>
    <w:p w14:paraId="6ADE06D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地址：岳阳市君山区旅游路      </w:t>
      </w:r>
    </w:p>
    <w:p w14:paraId="62BA810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联系人：刘先生      </w:t>
      </w:r>
    </w:p>
    <w:p w14:paraId="5DA5D9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联系电话：13117500077       </w:t>
      </w:r>
    </w:p>
    <w:p w14:paraId="5BC0C96A">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2.采购代理机构信息</w:t>
      </w:r>
    </w:p>
    <w:p w14:paraId="7E76945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名称：湖南泓盛项目管理有限公司      </w:t>
      </w:r>
    </w:p>
    <w:p w14:paraId="030A5D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地址：湖南省岳阳市岳阳楼区金鹗东路219号万象瑞城4栋1713室      </w:t>
      </w:r>
    </w:p>
    <w:p w14:paraId="3D0FE9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联系人：张燕      </w:t>
      </w:r>
    </w:p>
    <w:p w14:paraId="1D83C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联系电话：0730-8280355      </w:t>
      </w:r>
    </w:p>
    <w:p w14:paraId="3AEE43D3">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3.项目联系方式</w:t>
      </w:r>
    </w:p>
    <w:p w14:paraId="61ACBBC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项目联系人：刘先生</w:t>
      </w:r>
    </w:p>
    <w:p w14:paraId="3AACE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电　话：13117500077        </w:t>
      </w:r>
    </w:p>
    <w:p w14:paraId="165EB390">
      <w:pPr>
        <w:keepNext w:val="0"/>
        <w:keepLines w:val="0"/>
        <w:pageBreakBefore w:val="0"/>
        <w:widowControl/>
        <w:kinsoku/>
        <w:wordWrap/>
        <w:overflowPunct/>
        <w:topLinePunct w:val="0"/>
        <w:autoSpaceDE/>
        <w:autoSpaceDN/>
        <w:bidi w:val="0"/>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4、电子交易平台服务机构信息</w:t>
      </w:r>
    </w:p>
    <w:p w14:paraId="58126F7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名 称：岳阳市公共资源交易中心电子交易平台 </w:t>
      </w:r>
    </w:p>
    <w:p w14:paraId="14819E5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 xml:space="preserve">联系人：岳阳市公共资源交易中心信息技术部 </w:t>
      </w:r>
    </w:p>
    <w:p w14:paraId="37A9A59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电 话：0730-2966692</w:t>
      </w:r>
    </w:p>
    <w:p w14:paraId="1CD04B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line="360" w:lineRule="auto"/>
        <w:ind w:left="0" w:firstLine="420"/>
        <w:jc w:val="left"/>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kern w:val="0"/>
          <w:sz w:val="21"/>
          <w:szCs w:val="21"/>
          <w:highlight w:val="none"/>
          <w:lang w:val="en-US" w:eastAsia="zh-CN" w:bidi="ar"/>
        </w:rPr>
        <w:t>电子邮箱：/</w:t>
      </w:r>
    </w:p>
    <w:p w14:paraId="6F1523A1">
      <w:pPr>
        <w:pStyle w:val="2"/>
        <w:shd w:val="clear"/>
        <w:rPr>
          <w:rFonts w:ascii="黑体" w:hAnsi="黑体" w:eastAsia="黑体"/>
          <w:color w:val="auto"/>
          <w:sz w:val="32"/>
          <w:szCs w:val="32"/>
          <w:highlight w:val="none"/>
        </w:rPr>
      </w:pPr>
      <w:bookmarkStart w:id="9" w:name="_Toc78815070"/>
      <w:r>
        <w:rPr>
          <w:rFonts w:hint="eastAsia" w:ascii="黑体" w:hAnsi="黑体" w:eastAsia="黑体"/>
          <w:color w:val="auto"/>
          <w:sz w:val="32"/>
          <w:szCs w:val="32"/>
          <w:highlight w:val="none"/>
        </w:rPr>
        <w:t>第二章 投标须知</w:t>
      </w:r>
      <w:bookmarkEnd w:id="0"/>
      <w:bookmarkEnd w:id="1"/>
      <w:bookmarkEnd w:id="2"/>
      <w:bookmarkEnd w:id="3"/>
      <w:bookmarkEnd w:id="4"/>
      <w:bookmarkEnd w:id="5"/>
      <w:bookmarkEnd w:id="6"/>
      <w:bookmarkEnd w:id="7"/>
      <w:bookmarkEnd w:id="9"/>
    </w:p>
    <w:p w14:paraId="2708A0EF">
      <w:pPr>
        <w:pStyle w:val="89"/>
        <w:shd w:val="clear"/>
        <w:ind w:firstLine="482"/>
        <w:jc w:val="center"/>
        <w:rPr>
          <w:b/>
          <w:color w:val="auto"/>
          <w:spacing w:val="100"/>
          <w:highlight w:val="none"/>
        </w:rPr>
      </w:pPr>
      <w:r>
        <w:rPr>
          <w:rFonts w:hint="eastAsia"/>
          <w:b/>
          <w:color w:val="auto"/>
          <w:highlight w:val="none"/>
        </w:rPr>
        <w:t>投标须知前附表</w:t>
      </w:r>
    </w:p>
    <w:p w14:paraId="501529D0">
      <w:pPr>
        <w:shd w:val="clear"/>
        <w:adjustRightInd w:val="0"/>
        <w:snapToGrid w:val="0"/>
        <w:spacing w:line="360" w:lineRule="auto"/>
        <w:ind w:right="31" w:rightChars="15"/>
        <w:rPr>
          <w:rFonts w:ascii="仿宋_GB2312" w:eastAsia="仿宋_GB2312"/>
          <w:color w:val="auto"/>
          <w:szCs w:val="21"/>
          <w:highlight w:val="none"/>
        </w:rPr>
      </w:pPr>
      <w:r>
        <w:rPr>
          <w:rFonts w:hint="eastAsia" w:ascii="仿宋_GB2312" w:hAnsi="宋体" w:eastAsia="仿宋_GB2312"/>
          <w:b/>
          <w:color w:val="auto"/>
          <w:szCs w:val="21"/>
          <w:highlight w:val="none"/>
        </w:rPr>
        <w:t>注：本项目启用的条款请在“编列内容规定”栏内以“■”标注。</w:t>
      </w:r>
    </w:p>
    <w:tbl>
      <w:tblPr>
        <w:tblStyle w:val="43"/>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755"/>
        <w:gridCol w:w="6702"/>
      </w:tblGrid>
      <w:tr w14:paraId="3CD818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276" w:type="dxa"/>
            <w:vAlign w:val="center"/>
          </w:tcPr>
          <w:p w14:paraId="2E1548B4">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1755" w:type="dxa"/>
            <w:vAlign w:val="center"/>
          </w:tcPr>
          <w:p w14:paraId="255A7195">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条款名称</w:t>
            </w:r>
          </w:p>
        </w:tc>
        <w:tc>
          <w:tcPr>
            <w:tcW w:w="6702" w:type="dxa"/>
            <w:vAlign w:val="center"/>
          </w:tcPr>
          <w:p w14:paraId="27020204">
            <w:pPr>
              <w:shd w:val="clear"/>
              <w:adjustRightInd w:val="0"/>
              <w:snapToGrid w:val="0"/>
              <w:spacing w:line="360" w:lineRule="auto"/>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78B8E4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733" w:type="dxa"/>
            <w:gridSpan w:val="3"/>
            <w:vAlign w:val="center"/>
          </w:tcPr>
          <w:p w14:paraId="4A76347E">
            <w:pPr>
              <w:shd w:val="clea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一、说明</w:t>
            </w:r>
          </w:p>
        </w:tc>
      </w:tr>
      <w:tr w14:paraId="61C22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vAlign w:val="center"/>
          </w:tcPr>
          <w:p w14:paraId="0BAE0D8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w:t>
            </w:r>
            <w:r>
              <w:rPr>
                <w:rFonts w:hint="eastAsia" w:ascii="宋体" w:hAnsi="宋体" w:cs="宋体"/>
                <w:color w:val="auto"/>
                <w:kern w:val="0"/>
                <w:szCs w:val="21"/>
                <w:highlight w:val="none"/>
                <w:lang w:val="zh-CN"/>
              </w:rPr>
              <w:t>款</w:t>
            </w:r>
          </w:p>
        </w:tc>
        <w:tc>
          <w:tcPr>
            <w:tcW w:w="1755" w:type="dxa"/>
            <w:vAlign w:val="center"/>
          </w:tcPr>
          <w:p w14:paraId="54C091CF">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采购项目</w:t>
            </w:r>
          </w:p>
        </w:tc>
        <w:tc>
          <w:tcPr>
            <w:tcW w:w="6702" w:type="dxa"/>
            <w:vAlign w:val="center"/>
          </w:tcPr>
          <w:p w14:paraId="4DCB20DD">
            <w:pPr>
              <w:shd w:val="clear"/>
              <w:adjustRightInd w:val="0"/>
              <w:snapToGrid w:val="0"/>
              <w:spacing w:before="156" w:beforeLines="50"/>
              <w:rPr>
                <w:rFonts w:hint="eastAsia" w:ascii="宋体" w:hAnsi="宋体" w:eastAsia="宋体"/>
                <w:color w:val="auto"/>
                <w:szCs w:val="21"/>
                <w:highlight w:val="none"/>
                <w:lang w:eastAsia="zh-CN"/>
              </w:rPr>
            </w:pPr>
            <w:r>
              <w:rPr>
                <w:rFonts w:hint="eastAsia"/>
                <w:color w:val="auto"/>
                <w:highlight w:val="none"/>
                <w:lang w:eastAsia="zh-CN"/>
              </w:rPr>
              <w:t>岳阳市君山区人民医院无创呼吸机等设备采购项目</w:t>
            </w:r>
          </w:p>
        </w:tc>
      </w:tr>
      <w:tr w14:paraId="4CE5B9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1D0DB9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第2.1</w:t>
            </w:r>
            <w:r>
              <w:rPr>
                <w:rFonts w:hint="eastAsia" w:ascii="宋体" w:hAnsi="宋体" w:cs="宋体"/>
                <w:color w:val="auto"/>
                <w:kern w:val="0"/>
                <w:szCs w:val="21"/>
                <w:highlight w:val="none"/>
                <w:lang w:val="zh-CN"/>
              </w:rPr>
              <w:t>款</w:t>
            </w:r>
          </w:p>
        </w:tc>
        <w:tc>
          <w:tcPr>
            <w:tcW w:w="1755" w:type="dxa"/>
            <w:vAlign w:val="center"/>
          </w:tcPr>
          <w:p w14:paraId="04EE0D88">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采购人</w:t>
            </w:r>
          </w:p>
        </w:tc>
        <w:tc>
          <w:tcPr>
            <w:tcW w:w="6702" w:type="dxa"/>
            <w:vAlign w:val="center"/>
          </w:tcPr>
          <w:p w14:paraId="38A41984">
            <w:pPr>
              <w:shd w:val="clear"/>
              <w:textAlignment w:val="baseline"/>
              <w:rPr>
                <w:rFonts w:ascii="宋体" w:hAnsi="宋体"/>
                <w:color w:val="auto"/>
                <w:szCs w:val="21"/>
                <w:highlight w:val="none"/>
              </w:rPr>
            </w:pPr>
            <w:r>
              <w:rPr>
                <w:rFonts w:hint="eastAsia" w:ascii="宋体" w:hAnsi="宋体"/>
                <w:color w:val="auto"/>
                <w:szCs w:val="21"/>
                <w:highlight w:val="none"/>
              </w:rPr>
              <w:t>采购人名称：</w:t>
            </w:r>
            <w:r>
              <w:rPr>
                <w:rFonts w:hint="eastAsia" w:ascii="宋体" w:hAnsi="宋体"/>
                <w:color w:val="auto"/>
                <w:szCs w:val="21"/>
                <w:highlight w:val="none"/>
                <w:lang w:eastAsia="zh-CN"/>
              </w:rPr>
              <w:t>岳阳市君山区人民医院</w:t>
            </w:r>
            <w:r>
              <w:rPr>
                <w:rFonts w:hint="eastAsia" w:ascii="宋体" w:hAnsi="宋体"/>
                <w:color w:val="auto"/>
                <w:szCs w:val="21"/>
                <w:highlight w:val="none"/>
              </w:rPr>
              <w:t xml:space="preserve"> </w:t>
            </w:r>
          </w:p>
          <w:p w14:paraId="1C16E72D">
            <w:pPr>
              <w:shd w:val="clear"/>
              <w:textAlignment w:val="baseline"/>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岳阳市君山区旅游路</w:t>
            </w:r>
          </w:p>
          <w:p w14:paraId="333B98D0">
            <w:pPr>
              <w:shd w:val="clear"/>
              <w:textAlignment w:val="baseline"/>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olor w:val="auto"/>
                <w:szCs w:val="21"/>
                <w:highlight w:val="none"/>
                <w:lang w:eastAsia="zh-CN"/>
              </w:rPr>
              <w:t>刘先生</w:t>
            </w:r>
            <w:r>
              <w:rPr>
                <w:rFonts w:hint="eastAsia" w:ascii="宋体" w:hAnsi="宋体"/>
                <w:color w:val="auto"/>
                <w:szCs w:val="21"/>
                <w:highlight w:val="none"/>
              </w:rPr>
              <w:t xml:space="preserve">       </w:t>
            </w:r>
          </w:p>
          <w:p w14:paraId="7F2F3E6B">
            <w:pPr>
              <w:shd w:val="clear"/>
              <w:adjustRightInd w:val="0"/>
              <w:snapToGrid w:val="0"/>
              <w:rPr>
                <w:rFonts w:hint="eastAsia" w:ascii="宋体" w:hAnsi="宋体" w:eastAsia="宋体"/>
                <w:color w:val="auto"/>
                <w:szCs w:val="21"/>
                <w:highlight w:val="none"/>
                <w:lang w:eastAsia="zh-CN"/>
              </w:rPr>
            </w:pPr>
            <w:r>
              <w:rPr>
                <w:rFonts w:hint="eastAsia" w:ascii="宋体" w:hAnsi="宋体"/>
                <w:color w:val="auto"/>
                <w:szCs w:val="21"/>
                <w:highlight w:val="none"/>
              </w:rPr>
              <w:t>联系电话：</w:t>
            </w:r>
            <w:r>
              <w:rPr>
                <w:rFonts w:hint="eastAsia" w:ascii="宋体" w:hAnsi="宋体"/>
                <w:color w:val="auto"/>
                <w:szCs w:val="21"/>
                <w:highlight w:val="none"/>
                <w:lang w:eastAsia="zh-CN"/>
              </w:rPr>
              <w:t>13117500077</w:t>
            </w:r>
          </w:p>
        </w:tc>
      </w:tr>
      <w:tr w14:paraId="4F02C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40DE00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第2.2</w:t>
            </w:r>
            <w:r>
              <w:rPr>
                <w:rFonts w:hint="eastAsia" w:ascii="宋体" w:hAnsi="宋体" w:cs="宋体"/>
                <w:color w:val="auto"/>
                <w:kern w:val="0"/>
                <w:szCs w:val="21"/>
                <w:highlight w:val="none"/>
                <w:lang w:val="zh-CN"/>
              </w:rPr>
              <w:t>款</w:t>
            </w:r>
          </w:p>
        </w:tc>
        <w:tc>
          <w:tcPr>
            <w:tcW w:w="1755" w:type="dxa"/>
            <w:vAlign w:val="center"/>
          </w:tcPr>
          <w:p w14:paraId="165A08D6">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采购代理机构</w:t>
            </w:r>
          </w:p>
        </w:tc>
        <w:tc>
          <w:tcPr>
            <w:tcW w:w="6702" w:type="dxa"/>
            <w:vAlign w:val="center"/>
          </w:tcPr>
          <w:p w14:paraId="60FF2CFD">
            <w:pPr>
              <w:shd w:val="clear"/>
              <w:adjustRightInd w:val="0"/>
              <w:snapToGrid w:val="0"/>
              <w:rPr>
                <w:rFonts w:ascii="宋体" w:hAnsi="宋体"/>
                <w:color w:val="auto"/>
                <w:szCs w:val="21"/>
                <w:highlight w:val="none"/>
              </w:rPr>
            </w:pPr>
            <w:r>
              <w:rPr>
                <w:rFonts w:hint="eastAsia" w:ascii="宋体" w:hAnsi="宋体"/>
                <w:color w:val="auto"/>
                <w:szCs w:val="21"/>
                <w:highlight w:val="none"/>
              </w:rPr>
              <w:t>名称：湖南泓盛项目管理有限公司</w:t>
            </w:r>
          </w:p>
          <w:p w14:paraId="74DF5D40">
            <w:pPr>
              <w:shd w:val="clear"/>
              <w:adjustRightInd w:val="0"/>
              <w:snapToGrid w:val="0"/>
              <w:rPr>
                <w:rFonts w:ascii="宋体" w:hAnsi="宋体"/>
                <w:color w:val="auto"/>
                <w:szCs w:val="21"/>
                <w:highlight w:val="none"/>
              </w:rPr>
            </w:pPr>
            <w:r>
              <w:rPr>
                <w:rFonts w:hint="eastAsia" w:ascii="宋体" w:hAnsi="宋体"/>
                <w:color w:val="auto"/>
                <w:szCs w:val="21"/>
                <w:highlight w:val="none"/>
              </w:rPr>
              <w:t>地址：湖南省岳阳市岳阳楼区金鹗东路219号万象瑞城4栋1713室</w:t>
            </w:r>
          </w:p>
          <w:p w14:paraId="1E5BC268">
            <w:pPr>
              <w:shd w:val="clear"/>
              <w:adjustRightInd w:val="0"/>
              <w:snapToGrid w:val="0"/>
              <w:rPr>
                <w:rFonts w:ascii="宋体" w:hAnsi="宋体"/>
                <w:color w:val="auto"/>
                <w:szCs w:val="21"/>
                <w:highlight w:val="none"/>
              </w:rPr>
            </w:pPr>
            <w:r>
              <w:rPr>
                <w:rFonts w:hint="eastAsia" w:ascii="宋体" w:hAnsi="宋体"/>
                <w:color w:val="auto"/>
                <w:szCs w:val="21"/>
                <w:highlight w:val="none"/>
              </w:rPr>
              <w:t xml:space="preserve">联系人：张燕          </w:t>
            </w:r>
          </w:p>
          <w:p w14:paraId="2F0F9D40">
            <w:pPr>
              <w:shd w:val="clear"/>
              <w:adjustRightInd w:val="0"/>
              <w:snapToGrid w:val="0"/>
              <w:rPr>
                <w:rFonts w:ascii="宋体" w:hAnsi="宋体"/>
                <w:color w:val="auto"/>
                <w:highlight w:val="none"/>
                <w:u w:val="single"/>
              </w:rPr>
            </w:pPr>
            <w:r>
              <w:rPr>
                <w:rFonts w:hint="eastAsia" w:ascii="宋体" w:hAnsi="宋体"/>
                <w:color w:val="auto"/>
                <w:szCs w:val="21"/>
                <w:highlight w:val="none"/>
              </w:rPr>
              <w:t>联系电话： 0730-8280355</w:t>
            </w:r>
          </w:p>
        </w:tc>
      </w:tr>
      <w:tr w14:paraId="60974F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4A2103B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w:t>
            </w:r>
            <w:r>
              <w:rPr>
                <w:rFonts w:ascii="宋体" w:hAnsi="宋体"/>
                <w:color w:val="auto"/>
                <w:szCs w:val="21"/>
                <w:highlight w:val="none"/>
              </w:rPr>
              <w:t>6</w:t>
            </w:r>
            <w:r>
              <w:rPr>
                <w:rFonts w:hint="eastAsia" w:ascii="宋体" w:hAnsi="宋体"/>
                <w:color w:val="auto"/>
                <w:szCs w:val="21"/>
                <w:highlight w:val="none"/>
              </w:rPr>
              <w:t>款</w:t>
            </w:r>
          </w:p>
        </w:tc>
        <w:tc>
          <w:tcPr>
            <w:tcW w:w="1755" w:type="dxa"/>
            <w:vAlign w:val="center"/>
          </w:tcPr>
          <w:p w14:paraId="3A44E541">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采购进口产品</w:t>
            </w:r>
          </w:p>
        </w:tc>
        <w:tc>
          <w:tcPr>
            <w:tcW w:w="6702" w:type="dxa"/>
            <w:vAlign w:val="center"/>
          </w:tcPr>
          <w:p w14:paraId="080E2CDF">
            <w:pPr>
              <w:shd w:val="clear"/>
              <w:adjustRightInd w:val="0"/>
              <w:snapToGrid w:val="0"/>
              <w:spacing w:before="156" w:beforeLines="50" w:after="156" w:afterLines="50" w:line="280" w:lineRule="exact"/>
              <w:rPr>
                <w:rFonts w:ascii="宋体" w:hAnsi="宋体"/>
                <w:color w:val="auto"/>
                <w:szCs w:val="21"/>
                <w:highlight w:val="none"/>
              </w:rPr>
            </w:pPr>
            <w:r>
              <w:rPr>
                <w:rFonts w:hint="eastAsia" w:hAnsi="宋体"/>
                <w:color w:val="auto"/>
                <w:highlight w:val="none"/>
              </w:rPr>
              <w:t>■</w:t>
            </w:r>
            <w:r>
              <w:rPr>
                <w:rFonts w:hint="eastAsia" w:ascii="宋体" w:hAnsi="宋体"/>
                <w:color w:val="auto"/>
                <w:szCs w:val="21"/>
                <w:highlight w:val="none"/>
              </w:rPr>
              <w:t>本采购项目</w:t>
            </w:r>
            <w:r>
              <w:rPr>
                <w:rFonts w:hint="eastAsia" w:ascii="宋体" w:hAnsi="宋体" w:cs="宋体"/>
                <w:color w:val="auto"/>
                <w:kern w:val="0"/>
                <w:szCs w:val="21"/>
                <w:highlight w:val="none"/>
              </w:rPr>
              <w:t>拒绝进口产品参加投标</w:t>
            </w:r>
          </w:p>
          <w:p w14:paraId="6E0ED966">
            <w:pPr>
              <w:shd w:val="clear"/>
              <w:adjustRightInd w:val="0"/>
              <w:snapToGrid w:val="0"/>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本采购项目已经</w:t>
            </w:r>
            <w:r>
              <w:rPr>
                <w:rFonts w:hint="eastAsia" w:ascii="宋体" w:hAnsi="宋体" w:cs="宋体"/>
                <w:color w:val="auto"/>
                <w:kern w:val="0"/>
                <w:szCs w:val="21"/>
                <w:highlight w:val="none"/>
              </w:rPr>
              <w:t>财政部门审核同意购买进口产品</w:t>
            </w:r>
          </w:p>
        </w:tc>
      </w:tr>
      <w:tr w14:paraId="18B73E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D13AAE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第3.1</w:t>
            </w:r>
            <w:r>
              <w:rPr>
                <w:rFonts w:hint="eastAsia" w:ascii="宋体" w:hAnsi="宋体" w:cs="宋体"/>
                <w:color w:val="auto"/>
                <w:kern w:val="0"/>
                <w:szCs w:val="21"/>
                <w:highlight w:val="none"/>
                <w:lang w:val="zh-CN"/>
              </w:rPr>
              <w:t>款</w:t>
            </w:r>
          </w:p>
        </w:tc>
        <w:tc>
          <w:tcPr>
            <w:tcW w:w="1755" w:type="dxa"/>
            <w:vAlign w:val="center"/>
          </w:tcPr>
          <w:p w14:paraId="5ADAB1D3">
            <w:pPr>
              <w:shd w:val="clear"/>
              <w:adjustRightInd w:val="0"/>
              <w:snapToGrid w:val="0"/>
              <w:spacing w:line="360" w:lineRule="auto"/>
              <w:jc w:val="center"/>
              <w:rPr>
                <w:rFonts w:ascii="宋体" w:hAnsi="宋体"/>
                <w:color w:val="auto"/>
                <w:szCs w:val="21"/>
                <w:highlight w:val="none"/>
              </w:rPr>
            </w:pPr>
            <w:r>
              <w:rPr>
                <w:rFonts w:hint="eastAsia" w:ascii="宋体" w:hAnsi="宋体"/>
                <w:bCs/>
                <w:color w:val="auto"/>
                <w:szCs w:val="21"/>
                <w:highlight w:val="none"/>
              </w:rPr>
              <w:t>投标人</w:t>
            </w:r>
            <w:r>
              <w:rPr>
                <w:rFonts w:hint="eastAsia" w:ascii="宋体" w:hAnsi="宋体"/>
                <w:color w:val="auto"/>
                <w:szCs w:val="21"/>
                <w:highlight w:val="none"/>
              </w:rPr>
              <w:t>资格条件</w:t>
            </w:r>
          </w:p>
        </w:tc>
        <w:tc>
          <w:tcPr>
            <w:tcW w:w="6702" w:type="dxa"/>
            <w:vAlign w:val="center"/>
          </w:tcPr>
          <w:p w14:paraId="673C4CB5">
            <w:pPr>
              <w:shd w:val="clear" w:color="auto"/>
              <w:adjustRightInd w:val="0"/>
              <w:snapToGrid w:val="0"/>
              <w:rPr>
                <w:rFonts w:ascii="宋体" w:hAnsi="宋体"/>
                <w:color w:val="auto"/>
                <w:szCs w:val="21"/>
                <w:highlight w:val="none"/>
              </w:rPr>
            </w:pPr>
            <w:r>
              <w:rPr>
                <w:rFonts w:hint="eastAsia" w:ascii="宋体" w:hAnsi="宋体" w:eastAsia="宋体" w:cs="宋体"/>
                <w:color w:val="auto"/>
                <w:szCs w:val="21"/>
                <w:highlight w:val="none"/>
              </w:rPr>
              <w:t>详见第一章【投标邀请】</w:t>
            </w:r>
          </w:p>
        </w:tc>
      </w:tr>
      <w:tr w14:paraId="3B629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5D42D2E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1755" w:type="dxa"/>
            <w:vAlign w:val="center"/>
          </w:tcPr>
          <w:p w14:paraId="488B0B6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6702" w:type="dxa"/>
            <w:vAlign w:val="center"/>
          </w:tcPr>
          <w:p w14:paraId="38E3A74E">
            <w:pPr>
              <w:shd w:val="clear"/>
              <w:adjustRightInd w:val="0"/>
              <w:snapToGrid w:val="0"/>
              <w:spacing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 不组织</w:t>
            </w:r>
          </w:p>
          <w:p w14:paraId="4710BEEC">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组织，时间：地点： 联系人：，或者在招标文件提供期限截止后以书面形式通知所有获取招标文件的潜在投标人。</w:t>
            </w:r>
          </w:p>
        </w:tc>
      </w:tr>
      <w:tr w14:paraId="7523BD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6210E5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第6.2</w:t>
            </w:r>
            <w:r>
              <w:rPr>
                <w:rFonts w:hint="eastAsia" w:ascii="宋体" w:hAnsi="宋体" w:cs="宋体"/>
                <w:color w:val="auto"/>
                <w:kern w:val="0"/>
                <w:szCs w:val="21"/>
                <w:highlight w:val="none"/>
                <w:lang w:val="zh-CN"/>
              </w:rPr>
              <w:t>款</w:t>
            </w:r>
          </w:p>
        </w:tc>
        <w:tc>
          <w:tcPr>
            <w:tcW w:w="1755" w:type="dxa"/>
            <w:vAlign w:val="center"/>
          </w:tcPr>
          <w:p w14:paraId="70A11A2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投标人要求澄清招标文件的时间</w:t>
            </w:r>
          </w:p>
        </w:tc>
        <w:tc>
          <w:tcPr>
            <w:tcW w:w="6702" w:type="dxa"/>
            <w:vAlign w:val="center"/>
          </w:tcPr>
          <w:p w14:paraId="7C4545D9">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u w:val="single"/>
              </w:rPr>
              <w:t>/</w:t>
            </w:r>
          </w:p>
        </w:tc>
      </w:tr>
      <w:tr w14:paraId="75BFE2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475908C4">
            <w:pPr>
              <w:shd w:val="clea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二、招标文件</w:t>
            </w:r>
          </w:p>
        </w:tc>
      </w:tr>
      <w:tr w14:paraId="137440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3FCF980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1755" w:type="dxa"/>
            <w:vAlign w:val="center"/>
          </w:tcPr>
          <w:p w14:paraId="70D1B80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招标文件公告期限</w:t>
            </w:r>
          </w:p>
        </w:tc>
        <w:tc>
          <w:tcPr>
            <w:tcW w:w="6702" w:type="dxa"/>
            <w:vAlign w:val="center"/>
          </w:tcPr>
          <w:p w14:paraId="6B589D8C">
            <w:pPr>
              <w:shd w:val="clear"/>
              <w:adjustRightInd w:val="0"/>
              <w:snapToGrid w:val="0"/>
              <w:spacing w:line="360" w:lineRule="auto"/>
              <w:rPr>
                <w:rFonts w:ascii="宋体" w:hAnsi="宋体"/>
                <w:color w:val="auto"/>
                <w:szCs w:val="21"/>
                <w:highlight w:val="none"/>
              </w:rPr>
            </w:pPr>
            <w:r>
              <w:rPr>
                <w:rFonts w:hint="eastAsia" w:asciiTheme="minorEastAsia" w:hAnsiTheme="minorEastAsia" w:eastAsiaTheme="minorEastAsia" w:cstheme="minorEastAsia"/>
                <w:color w:val="auto"/>
                <w:sz w:val="21"/>
                <w:szCs w:val="21"/>
                <w:highlight w:val="none"/>
              </w:rPr>
              <w:t>从</w:t>
            </w:r>
            <w:r>
              <w:rPr>
                <w:rFonts w:hint="eastAsia" w:asciiTheme="minorEastAsia" w:hAnsiTheme="minorEastAsia" w:eastAsiaTheme="minorEastAsia" w:cstheme="minorEastAsia"/>
                <w:color w:val="auto"/>
                <w:sz w:val="21"/>
                <w:szCs w:val="21"/>
                <w:highlight w:val="none"/>
                <w:lang w:val="en-US" w:eastAsia="zh-CN"/>
              </w:rPr>
              <w:t>2026年9月4日至2026年9月10日</w:t>
            </w:r>
            <w:r>
              <w:rPr>
                <w:rFonts w:hint="eastAsia" w:asciiTheme="minorEastAsia" w:hAnsiTheme="minorEastAsia" w:eastAsiaTheme="minorEastAsia" w:cstheme="minorEastAsia"/>
                <w:color w:val="auto"/>
                <w:sz w:val="21"/>
                <w:szCs w:val="21"/>
                <w:highlight w:val="none"/>
              </w:rPr>
              <w:t>止，每天9：00-17：00(北京时间）</w:t>
            </w:r>
          </w:p>
        </w:tc>
      </w:tr>
      <w:tr w14:paraId="64B3CE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91D34F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第8.2</w:t>
            </w:r>
            <w:r>
              <w:rPr>
                <w:rFonts w:hint="eastAsia" w:ascii="宋体" w:hAnsi="宋体" w:cs="宋体"/>
                <w:color w:val="auto"/>
                <w:kern w:val="0"/>
                <w:szCs w:val="21"/>
                <w:highlight w:val="none"/>
                <w:lang w:val="zh-CN"/>
              </w:rPr>
              <w:t>款</w:t>
            </w:r>
          </w:p>
        </w:tc>
        <w:tc>
          <w:tcPr>
            <w:tcW w:w="1755" w:type="dxa"/>
            <w:vAlign w:val="center"/>
          </w:tcPr>
          <w:p w14:paraId="7D96F97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非实质性要求条款允许偏离的最多项数或范围</w:t>
            </w:r>
          </w:p>
        </w:tc>
        <w:tc>
          <w:tcPr>
            <w:tcW w:w="6702" w:type="dxa"/>
            <w:vAlign w:val="center"/>
          </w:tcPr>
          <w:p w14:paraId="14A01FFF">
            <w:pPr>
              <w:shd w:val="clea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非实质性要求条款允许偏离的最多项数</w:t>
            </w:r>
            <w:r>
              <w:rPr>
                <w:rFonts w:hint="eastAsia" w:ascii="宋体" w:hAnsi="宋体"/>
                <w:color w:val="auto"/>
                <w:szCs w:val="21"/>
                <w:highlight w:val="none"/>
                <w:lang w:val="en-US" w:eastAsia="zh-CN"/>
              </w:rPr>
              <w:t>＞</w:t>
            </w:r>
            <w:r>
              <w:rPr>
                <w:rFonts w:hint="eastAsia" w:ascii="宋体" w:hAnsi="宋体"/>
                <w:color w:val="auto"/>
                <w:szCs w:val="21"/>
                <w:highlight w:val="none"/>
              </w:rPr>
              <w:t xml:space="preserve"> </w:t>
            </w:r>
            <w:r>
              <w:rPr>
                <w:rFonts w:hint="eastAsia" w:ascii="宋体" w:hAnsi="宋体"/>
                <w:color w:val="auto"/>
                <w:szCs w:val="21"/>
                <w:highlight w:val="none"/>
                <w:lang w:val="en-US" w:eastAsia="zh-CN"/>
              </w:rPr>
              <w:t>30</w:t>
            </w:r>
            <w:r>
              <w:rPr>
                <w:rFonts w:hint="eastAsia" w:ascii="宋体" w:hAnsi="宋体"/>
                <w:color w:val="auto"/>
                <w:szCs w:val="21"/>
                <w:highlight w:val="none"/>
              </w:rPr>
              <w:t xml:space="preserve"> 项将导致投标无效。</w:t>
            </w:r>
          </w:p>
        </w:tc>
      </w:tr>
      <w:tr w14:paraId="0A624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1276" w:type="dxa"/>
            <w:vAlign w:val="center"/>
          </w:tcPr>
          <w:p w14:paraId="28E716E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第10.1</w:t>
            </w:r>
            <w:r>
              <w:rPr>
                <w:rFonts w:hint="eastAsia" w:ascii="宋体" w:hAnsi="宋体"/>
                <w:color w:val="auto"/>
                <w:szCs w:val="21"/>
                <w:highlight w:val="none"/>
                <w:lang w:val="zh-CN"/>
              </w:rPr>
              <w:t>款</w:t>
            </w:r>
          </w:p>
        </w:tc>
        <w:tc>
          <w:tcPr>
            <w:tcW w:w="1755" w:type="dxa"/>
            <w:vAlign w:val="center"/>
          </w:tcPr>
          <w:p w14:paraId="7ACE8F5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指定的媒体</w:t>
            </w:r>
          </w:p>
        </w:tc>
        <w:tc>
          <w:tcPr>
            <w:tcW w:w="6702" w:type="dxa"/>
            <w:vAlign w:val="center"/>
          </w:tcPr>
          <w:p w14:paraId="7F7BB8D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lang w:eastAsia="zh-CN"/>
              </w:rPr>
              <w:t>湖南省政府采购网</w:t>
            </w:r>
            <w:r>
              <w:rPr>
                <w:rFonts w:hint="eastAsia" w:ascii="宋体" w:hAnsi="宋体"/>
                <w:color w:val="auto"/>
                <w:szCs w:val="21"/>
                <w:highlight w:val="none"/>
              </w:rPr>
              <w:t>（http://www.ccgp-hunan.gov.cn/）</w:t>
            </w:r>
          </w:p>
          <w:p w14:paraId="096BAEA9">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岳阳市公共资源交易网（http://ggzy.yueyang.gov.cn/）</w:t>
            </w:r>
          </w:p>
        </w:tc>
      </w:tr>
      <w:tr w14:paraId="4E416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733" w:type="dxa"/>
            <w:gridSpan w:val="3"/>
            <w:vAlign w:val="center"/>
          </w:tcPr>
          <w:p w14:paraId="53DD9B6C">
            <w:pPr>
              <w:shd w:val="clea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三、投标文件</w:t>
            </w:r>
          </w:p>
        </w:tc>
      </w:tr>
      <w:tr w14:paraId="13D79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276" w:type="dxa"/>
            <w:vAlign w:val="center"/>
          </w:tcPr>
          <w:p w14:paraId="61D470D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第14.1款</w:t>
            </w:r>
          </w:p>
        </w:tc>
        <w:tc>
          <w:tcPr>
            <w:tcW w:w="1755" w:type="dxa"/>
            <w:vAlign w:val="center"/>
          </w:tcPr>
          <w:p w14:paraId="1933087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投标报价的规定</w:t>
            </w:r>
          </w:p>
        </w:tc>
        <w:tc>
          <w:tcPr>
            <w:tcW w:w="6702" w:type="dxa"/>
            <w:vAlign w:val="center"/>
          </w:tcPr>
          <w:p w14:paraId="4FA3205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投标人的投标报价不得超过采购预算，也不得超过最高限价(招标文件设定最高限价的)，否则其投标无效。</w:t>
            </w:r>
          </w:p>
        </w:tc>
      </w:tr>
      <w:tr w14:paraId="14DF8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935161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w:t>
            </w:r>
            <w:r>
              <w:rPr>
                <w:rFonts w:hint="eastAsia" w:ascii="宋体" w:hAnsi="宋体" w:cs="宋体"/>
                <w:color w:val="auto"/>
                <w:kern w:val="0"/>
                <w:szCs w:val="21"/>
                <w:highlight w:val="none"/>
                <w:lang w:val="zh-CN"/>
              </w:rPr>
              <w:t>款</w:t>
            </w:r>
          </w:p>
        </w:tc>
        <w:tc>
          <w:tcPr>
            <w:tcW w:w="1755" w:type="dxa"/>
            <w:vAlign w:val="center"/>
          </w:tcPr>
          <w:p w14:paraId="4D92D326">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采购预算、最高限价（如果设）</w:t>
            </w:r>
          </w:p>
        </w:tc>
        <w:tc>
          <w:tcPr>
            <w:tcW w:w="6702" w:type="dxa"/>
            <w:vAlign w:val="center"/>
          </w:tcPr>
          <w:p w14:paraId="1BB6C8E1">
            <w:pPr>
              <w:shd w:val="clear"/>
              <w:adjustRightInd w:val="0"/>
              <w:snapToGrid w:val="0"/>
              <w:spacing w:line="360" w:lineRule="auto"/>
              <w:rPr>
                <w:rFonts w:hint="eastAsia" w:eastAsia="宋体"/>
                <w:color w:val="auto"/>
                <w:highlight w:val="none"/>
                <w:lang w:val="en-US" w:eastAsia="zh-CN"/>
              </w:rPr>
            </w:pPr>
            <w:r>
              <w:rPr>
                <w:rFonts w:hint="eastAsia"/>
                <w:color w:val="auto"/>
                <w:highlight w:val="none"/>
              </w:rPr>
              <w:t>采购预算：</w:t>
            </w:r>
            <w:r>
              <w:rPr>
                <w:rFonts w:hint="eastAsia"/>
                <w:color w:val="auto"/>
                <w:highlight w:val="none"/>
                <w:lang w:val="en-US" w:eastAsia="zh-CN"/>
              </w:rPr>
              <w:t>2055100.00</w:t>
            </w:r>
            <w:r>
              <w:rPr>
                <w:rFonts w:hint="eastAsia"/>
                <w:color w:val="auto"/>
                <w:highlight w:val="none"/>
              </w:rPr>
              <w:t>元   最高限价：</w:t>
            </w:r>
            <w:r>
              <w:rPr>
                <w:rFonts w:hint="eastAsia"/>
                <w:color w:val="auto"/>
                <w:highlight w:val="none"/>
                <w:lang w:val="en-US" w:eastAsia="zh-CN"/>
              </w:rPr>
              <w:t>2055100.00</w:t>
            </w:r>
            <w:r>
              <w:rPr>
                <w:rFonts w:hint="eastAsia"/>
                <w:color w:val="auto"/>
                <w:highlight w:val="none"/>
              </w:rPr>
              <w:t>元</w:t>
            </w:r>
            <w:r>
              <w:rPr>
                <w:rFonts w:hint="eastAsia"/>
                <w:color w:val="auto"/>
                <w:highlight w:val="none"/>
                <w:lang w:eastAsia="zh-CN"/>
              </w:rPr>
              <w:t>，</w:t>
            </w:r>
            <w:r>
              <w:rPr>
                <w:rFonts w:hint="eastAsia"/>
                <w:color w:val="auto"/>
                <w:highlight w:val="none"/>
                <w:lang w:val="en-US" w:eastAsia="zh-CN"/>
              </w:rPr>
              <w:t xml:space="preserve">其中包1： </w:t>
            </w:r>
            <w:r>
              <w:rPr>
                <w:rFonts w:hint="eastAsia"/>
                <w:color w:val="auto"/>
                <w:highlight w:val="none"/>
              </w:rPr>
              <w:t>采购预算：</w:t>
            </w:r>
            <w:r>
              <w:rPr>
                <w:rFonts w:hint="eastAsia" w:ascii="宋体" w:hAnsi="宋体" w:cs="宋体"/>
                <w:color w:val="auto"/>
                <w:kern w:val="0"/>
                <w:sz w:val="21"/>
                <w:szCs w:val="21"/>
                <w:highlight w:val="none"/>
                <w:lang w:val="en-US" w:eastAsia="zh-CN" w:bidi="ar"/>
              </w:rPr>
              <w:t>1097200.00</w:t>
            </w:r>
            <w:r>
              <w:rPr>
                <w:rFonts w:hint="eastAsia"/>
                <w:color w:val="auto"/>
                <w:highlight w:val="none"/>
              </w:rPr>
              <w:t>元   最高限价：</w:t>
            </w:r>
            <w:r>
              <w:rPr>
                <w:rFonts w:hint="eastAsia" w:ascii="宋体" w:hAnsi="宋体" w:cs="宋体"/>
                <w:color w:val="auto"/>
                <w:kern w:val="0"/>
                <w:sz w:val="21"/>
                <w:szCs w:val="21"/>
                <w:highlight w:val="none"/>
                <w:lang w:val="en-US" w:eastAsia="zh-CN" w:bidi="ar"/>
              </w:rPr>
              <w:t>1097200.00</w:t>
            </w:r>
            <w:r>
              <w:rPr>
                <w:rFonts w:hint="eastAsia"/>
                <w:color w:val="auto"/>
                <w:highlight w:val="none"/>
              </w:rPr>
              <w:t>元</w:t>
            </w:r>
            <w:r>
              <w:rPr>
                <w:rFonts w:hint="eastAsia"/>
                <w:color w:val="auto"/>
                <w:highlight w:val="none"/>
                <w:lang w:eastAsia="zh-CN"/>
              </w:rPr>
              <w:t>；</w:t>
            </w:r>
            <w:r>
              <w:rPr>
                <w:rFonts w:hint="eastAsia"/>
                <w:color w:val="auto"/>
                <w:highlight w:val="none"/>
                <w:lang w:val="en-US" w:eastAsia="zh-CN"/>
              </w:rPr>
              <w:t xml:space="preserve">包2： </w:t>
            </w:r>
            <w:r>
              <w:rPr>
                <w:rFonts w:hint="eastAsia"/>
                <w:color w:val="auto"/>
                <w:highlight w:val="none"/>
              </w:rPr>
              <w:t>采购预算：</w:t>
            </w:r>
            <w:r>
              <w:rPr>
                <w:rFonts w:hint="eastAsia" w:ascii="宋体" w:hAnsi="宋体" w:eastAsia="宋体" w:cs="宋体"/>
                <w:i w:val="0"/>
                <w:iCs w:val="0"/>
                <w:color w:val="auto"/>
                <w:kern w:val="0"/>
                <w:sz w:val="22"/>
                <w:szCs w:val="22"/>
                <w:highlight w:val="none"/>
                <w:u w:val="none"/>
                <w:lang w:val="en-US" w:eastAsia="zh-CN" w:bidi="ar"/>
              </w:rPr>
              <w:t>957900</w:t>
            </w:r>
            <w:r>
              <w:rPr>
                <w:rFonts w:hint="eastAsia" w:ascii="宋体" w:hAnsi="宋体" w:cs="宋体"/>
                <w:i w:val="0"/>
                <w:iCs w:val="0"/>
                <w:color w:val="auto"/>
                <w:kern w:val="0"/>
                <w:sz w:val="22"/>
                <w:szCs w:val="22"/>
                <w:highlight w:val="none"/>
                <w:u w:val="none"/>
                <w:lang w:val="en-US" w:eastAsia="zh-CN" w:bidi="ar"/>
              </w:rPr>
              <w:t>.00</w:t>
            </w:r>
            <w:r>
              <w:rPr>
                <w:rFonts w:hint="eastAsia"/>
                <w:color w:val="auto"/>
                <w:highlight w:val="none"/>
              </w:rPr>
              <w:t>元   最高限价：</w:t>
            </w:r>
            <w:r>
              <w:rPr>
                <w:rFonts w:hint="eastAsia" w:ascii="宋体" w:hAnsi="宋体" w:eastAsia="宋体" w:cs="宋体"/>
                <w:i w:val="0"/>
                <w:iCs w:val="0"/>
                <w:color w:val="auto"/>
                <w:kern w:val="0"/>
                <w:sz w:val="22"/>
                <w:szCs w:val="22"/>
                <w:highlight w:val="none"/>
                <w:u w:val="none"/>
                <w:lang w:val="en-US" w:eastAsia="zh-CN" w:bidi="ar"/>
              </w:rPr>
              <w:t>957900</w:t>
            </w:r>
            <w:r>
              <w:rPr>
                <w:rFonts w:hint="eastAsia" w:ascii="宋体" w:hAnsi="宋体" w:cs="宋体"/>
                <w:i w:val="0"/>
                <w:iCs w:val="0"/>
                <w:color w:val="auto"/>
                <w:kern w:val="0"/>
                <w:sz w:val="22"/>
                <w:szCs w:val="22"/>
                <w:highlight w:val="none"/>
                <w:u w:val="none"/>
                <w:lang w:val="en-US" w:eastAsia="zh-CN" w:bidi="ar"/>
              </w:rPr>
              <w:t>.00</w:t>
            </w:r>
            <w:r>
              <w:rPr>
                <w:rFonts w:hint="eastAsia"/>
                <w:color w:val="auto"/>
                <w:highlight w:val="none"/>
              </w:rPr>
              <w:t>元</w:t>
            </w:r>
            <w:r>
              <w:rPr>
                <w:rFonts w:hint="eastAsia"/>
                <w:color w:val="auto"/>
                <w:highlight w:val="none"/>
                <w:lang w:eastAsia="zh-CN"/>
              </w:rPr>
              <w:t>。</w:t>
            </w:r>
          </w:p>
        </w:tc>
      </w:tr>
      <w:tr w14:paraId="62B84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73A733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第16.4款</w:t>
            </w:r>
          </w:p>
        </w:tc>
        <w:tc>
          <w:tcPr>
            <w:tcW w:w="1755" w:type="dxa"/>
            <w:vAlign w:val="center"/>
          </w:tcPr>
          <w:p w14:paraId="233AB190">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样品提供的规定</w:t>
            </w:r>
          </w:p>
        </w:tc>
        <w:tc>
          <w:tcPr>
            <w:tcW w:w="6702" w:type="dxa"/>
            <w:vAlign w:val="center"/>
          </w:tcPr>
          <w:p w14:paraId="7AFC4E2D">
            <w:pPr>
              <w:shd w:val="clear"/>
              <w:adjustRightInd w:val="0"/>
              <w:snapToGrid w:val="0"/>
              <w:rPr>
                <w:rFonts w:ascii="宋体" w:hAnsi="宋体"/>
                <w:color w:val="auto"/>
                <w:szCs w:val="21"/>
                <w:highlight w:val="none"/>
              </w:rPr>
            </w:pPr>
            <w:r>
              <w:rPr>
                <w:rFonts w:hint="eastAsia" w:ascii="宋体" w:hAnsi="宋体"/>
                <w:color w:val="auto"/>
                <w:szCs w:val="21"/>
                <w:highlight w:val="none"/>
              </w:rPr>
              <w:t>■不要求提供</w:t>
            </w:r>
          </w:p>
          <w:p w14:paraId="6626033A">
            <w:pPr>
              <w:shd w:val="clear"/>
              <w:adjustRightInd w:val="0"/>
              <w:snapToGrid w:val="0"/>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要求提供，提交的时间：</w:t>
            </w:r>
          </w:p>
        </w:tc>
      </w:tr>
      <w:tr w14:paraId="531B56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2C2CA9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1755" w:type="dxa"/>
            <w:vAlign w:val="center"/>
          </w:tcPr>
          <w:p w14:paraId="653634F0">
            <w:pPr>
              <w:shd w:val="clear"/>
              <w:adjustRightInd w:val="0"/>
              <w:snapToGrid w:val="0"/>
              <w:spacing w:line="360" w:lineRule="auto"/>
              <w:jc w:val="center"/>
              <w:rPr>
                <w:rFonts w:ascii="宋体" w:hAnsi="宋体"/>
                <w:bCs/>
                <w:color w:val="auto"/>
                <w:szCs w:val="21"/>
                <w:highlight w:val="none"/>
              </w:rPr>
            </w:pPr>
            <w:r>
              <w:rPr>
                <w:rFonts w:hint="eastAsia" w:ascii="宋体" w:hAnsi="宋体"/>
                <w:bCs/>
                <w:color w:val="auto"/>
                <w:szCs w:val="21"/>
                <w:highlight w:val="none"/>
              </w:rPr>
              <w:t>投标有效期</w:t>
            </w:r>
          </w:p>
        </w:tc>
        <w:tc>
          <w:tcPr>
            <w:tcW w:w="6702" w:type="dxa"/>
            <w:vAlign w:val="center"/>
          </w:tcPr>
          <w:p w14:paraId="589F1306">
            <w:pPr>
              <w:shd w:val="clear"/>
              <w:adjustRightInd w:val="0"/>
              <w:snapToGrid w:val="0"/>
              <w:spacing w:line="360" w:lineRule="auto"/>
              <w:rPr>
                <w:rFonts w:ascii="宋体" w:hAnsi="宋体"/>
                <w:bCs/>
                <w:color w:val="auto"/>
                <w:szCs w:val="21"/>
                <w:highlight w:val="none"/>
              </w:rPr>
            </w:pPr>
            <w:r>
              <w:rPr>
                <w:rFonts w:hint="eastAsia" w:ascii="宋体" w:hAnsi="宋体"/>
                <w:color w:val="auto"/>
                <w:szCs w:val="21"/>
                <w:highlight w:val="none"/>
                <w:u w:val="single"/>
              </w:rPr>
              <w:t>90</w:t>
            </w:r>
            <w:r>
              <w:rPr>
                <w:rFonts w:hint="eastAsia" w:ascii="宋体" w:hAnsi="宋体"/>
                <w:color w:val="auto"/>
                <w:szCs w:val="21"/>
                <w:highlight w:val="none"/>
              </w:rPr>
              <w:t>日（日历日）</w:t>
            </w:r>
          </w:p>
        </w:tc>
      </w:tr>
      <w:tr w14:paraId="39EF69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F995DC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1755" w:type="dxa"/>
            <w:vAlign w:val="center"/>
          </w:tcPr>
          <w:p w14:paraId="6E262A6A">
            <w:pPr>
              <w:shd w:val="clear"/>
              <w:adjustRightInd w:val="0"/>
              <w:snapToGrid w:val="0"/>
              <w:spacing w:line="360" w:lineRule="auto"/>
              <w:ind w:left="-533" w:leftChars="-254" w:firstLine="533" w:firstLineChars="254"/>
              <w:jc w:val="center"/>
              <w:rPr>
                <w:rFonts w:ascii="宋体" w:hAnsi="宋体"/>
                <w:color w:val="auto"/>
                <w:szCs w:val="21"/>
                <w:highlight w:val="none"/>
              </w:rPr>
            </w:pPr>
            <w:r>
              <w:rPr>
                <w:rFonts w:hint="eastAsia" w:ascii="宋体" w:hAnsi="宋体"/>
                <w:color w:val="auto"/>
                <w:szCs w:val="21"/>
                <w:highlight w:val="none"/>
              </w:rPr>
              <w:t>投标保证金</w:t>
            </w:r>
          </w:p>
        </w:tc>
        <w:tc>
          <w:tcPr>
            <w:tcW w:w="6702" w:type="dxa"/>
            <w:vAlign w:val="center"/>
          </w:tcPr>
          <w:p w14:paraId="6854655A">
            <w:pPr>
              <w:shd w:val="clear"/>
              <w:adjustRightInd w:val="0"/>
              <w:snapToGrid w:val="0"/>
              <w:spacing w:before="156" w:beforeLines="50" w:line="360" w:lineRule="auto"/>
              <w:rPr>
                <w:rFonts w:ascii="宋体" w:hAnsi="宋体"/>
                <w:color w:val="auto"/>
                <w:szCs w:val="21"/>
                <w:highlight w:val="none"/>
              </w:rPr>
            </w:pPr>
            <w:r>
              <w:rPr>
                <w:rFonts w:hint="eastAsia" w:ascii="宋体" w:hAnsi="宋体" w:cs="宋体"/>
                <w:color w:val="auto"/>
                <w:szCs w:val="21"/>
                <w:highlight w:val="none"/>
              </w:rPr>
              <w:t>■</w:t>
            </w:r>
            <w:r>
              <w:rPr>
                <w:rFonts w:hint="eastAsia" w:ascii="Arial" w:hAnsi="Arial" w:cs="Arial"/>
                <w:color w:val="auto"/>
                <w:szCs w:val="21"/>
                <w:highlight w:val="none"/>
              </w:rPr>
              <w:t>本项目</w:t>
            </w:r>
            <w:r>
              <w:rPr>
                <w:rFonts w:hint="eastAsia" w:ascii="宋体" w:hAnsi="宋体"/>
                <w:color w:val="auto"/>
                <w:szCs w:val="21"/>
                <w:highlight w:val="none"/>
              </w:rPr>
              <w:t>不要求提供</w:t>
            </w:r>
          </w:p>
          <w:p w14:paraId="5EC47247">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□要求提供</w:t>
            </w:r>
          </w:p>
        </w:tc>
      </w:tr>
      <w:tr w14:paraId="3DCBF9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7B64C2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第19.1</w:t>
            </w:r>
            <w:r>
              <w:rPr>
                <w:rFonts w:hint="eastAsia" w:ascii="宋体" w:hAnsi="宋体" w:cs="宋体"/>
                <w:color w:val="auto"/>
                <w:kern w:val="0"/>
                <w:szCs w:val="21"/>
                <w:highlight w:val="none"/>
                <w:lang w:val="zh-CN"/>
              </w:rPr>
              <w:t>款</w:t>
            </w:r>
          </w:p>
        </w:tc>
        <w:tc>
          <w:tcPr>
            <w:tcW w:w="1755" w:type="dxa"/>
            <w:vAlign w:val="center"/>
          </w:tcPr>
          <w:p w14:paraId="645D1A5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分包</w:t>
            </w:r>
          </w:p>
        </w:tc>
        <w:tc>
          <w:tcPr>
            <w:tcW w:w="6702" w:type="dxa"/>
            <w:vAlign w:val="center"/>
          </w:tcPr>
          <w:p w14:paraId="45CC0AD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允许分包。分包内容：分包金额和资质要求等。</w:t>
            </w:r>
          </w:p>
          <w:p w14:paraId="6CBA073F">
            <w:pPr>
              <w:shd w:val="clear"/>
              <w:adjustRightInd w:val="0"/>
              <w:snapToGrid w:val="0"/>
              <w:spacing w:line="360" w:lineRule="auto"/>
              <w:rPr>
                <w:rFonts w:ascii="宋体" w:hAnsi="宋体"/>
                <w:b/>
                <w:bCs/>
                <w:color w:val="auto"/>
                <w:szCs w:val="21"/>
                <w:highlight w:val="none"/>
              </w:rPr>
            </w:pPr>
            <w:r>
              <w:rPr>
                <w:rFonts w:hint="eastAsia" w:ascii="宋体" w:hAnsi="宋体" w:cs="宋体"/>
                <w:color w:val="auto"/>
                <w:szCs w:val="21"/>
                <w:highlight w:val="none"/>
              </w:rPr>
              <w:t>■</w:t>
            </w:r>
            <w:r>
              <w:rPr>
                <w:rFonts w:hint="eastAsia" w:ascii="宋体" w:hAnsi="宋体"/>
                <w:bCs/>
                <w:color w:val="auto"/>
                <w:szCs w:val="21"/>
                <w:highlight w:val="none"/>
              </w:rPr>
              <w:t>不允许分包</w:t>
            </w:r>
          </w:p>
        </w:tc>
      </w:tr>
      <w:tr w14:paraId="4BB697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61A843A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第21.1款</w:t>
            </w:r>
          </w:p>
        </w:tc>
        <w:tc>
          <w:tcPr>
            <w:tcW w:w="1755" w:type="dxa"/>
            <w:vAlign w:val="center"/>
          </w:tcPr>
          <w:p w14:paraId="746F5B0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电子投标文件</w:t>
            </w:r>
          </w:p>
          <w:p w14:paraId="5656393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制作要求</w:t>
            </w:r>
          </w:p>
        </w:tc>
        <w:tc>
          <w:tcPr>
            <w:tcW w:w="6702" w:type="dxa"/>
            <w:vAlign w:val="center"/>
          </w:tcPr>
          <w:p w14:paraId="35C16E70">
            <w:pPr>
              <w:shd w:val="clear"/>
              <w:spacing w:line="360" w:lineRule="exact"/>
              <w:rPr>
                <w:rFonts w:hint="eastAsia" w:ascii="宋体" w:hAnsi="宋体"/>
                <w:color w:val="auto"/>
                <w:szCs w:val="21"/>
                <w:highlight w:val="none"/>
              </w:rPr>
            </w:pPr>
            <w:r>
              <w:rPr>
                <w:rFonts w:hint="eastAsia" w:ascii="宋体" w:hAnsi="宋体"/>
                <w:color w:val="auto"/>
                <w:szCs w:val="21"/>
                <w:highlight w:val="none"/>
              </w:rPr>
              <w:t>电子投标文件必须使用岳阳市公共资源交易网发布的“电子投标文件制作工具”编制生成。</w:t>
            </w:r>
          </w:p>
        </w:tc>
      </w:tr>
      <w:tr w14:paraId="3900F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A145C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第20款</w:t>
            </w:r>
          </w:p>
        </w:tc>
        <w:tc>
          <w:tcPr>
            <w:tcW w:w="1755" w:type="dxa"/>
            <w:vAlign w:val="center"/>
          </w:tcPr>
          <w:p w14:paraId="3DD64DAA">
            <w:pPr>
              <w:shd w:val="clear"/>
              <w:spacing w:line="288" w:lineRule="auto"/>
              <w:jc w:val="center"/>
              <w:rPr>
                <w:rFonts w:ascii="宋体" w:hAnsi="宋体"/>
                <w:color w:val="auto"/>
                <w:szCs w:val="21"/>
                <w:highlight w:val="none"/>
              </w:rPr>
            </w:pPr>
            <w:r>
              <w:rPr>
                <w:rFonts w:hint="eastAsia" w:ascii="宋体" w:hAnsi="宋体"/>
                <w:color w:val="auto"/>
                <w:szCs w:val="21"/>
                <w:highlight w:val="none"/>
              </w:rPr>
              <w:t>投标文件份数</w:t>
            </w:r>
          </w:p>
        </w:tc>
        <w:tc>
          <w:tcPr>
            <w:tcW w:w="6702" w:type="dxa"/>
            <w:vAlign w:val="center"/>
          </w:tcPr>
          <w:p w14:paraId="34E8D557">
            <w:pPr>
              <w:shd w:val="clear"/>
              <w:adjustRightInd w:val="0"/>
              <w:snapToGrid w:val="0"/>
              <w:spacing w:before="156" w:beforeLines="50"/>
              <w:rPr>
                <w:rFonts w:ascii="宋体" w:hAnsi="宋体"/>
                <w:color w:val="auto"/>
                <w:highlight w:val="none"/>
              </w:rPr>
            </w:pPr>
            <w:r>
              <w:rPr>
                <w:rFonts w:hint="eastAsia" w:ascii="宋体" w:hAnsi="宋体"/>
                <w:color w:val="auto"/>
                <w:szCs w:val="21"/>
                <w:highlight w:val="none"/>
              </w:rPr>
              <w:t>投标人应在投标截止时间前通过岳阳市公共资源交易平台递交电子投标文件，（中标单位在领取中标通知书之前，需要提供一正两副共三份完整的纸质投标文件用于备案，当提供的纸质文件资料与岳阳市公共资源交易网记录的电子文件资料不一致时，以电子文件资料为准。）</w:t>
            </w:r>
          </w:p>
        </w:tc>
      </w:tr>
      <w:tr w14:paraId="4CDEC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4009DFEA">
            <w:pPr>
              <w:shd w:val="clear"/>
              <w:adjustRightInd w:val="0"/>
              <w:snapToGrid w:val="0"/>
              <w:spacing w:line="360" w:lineRule="auto"/>
              <w:rPr>
                <w:rFonts w:ascii="宋体" w:hAnsi="宋体"/>
                <w:b/>
                <w:bCs/>
                <w:color w:val="auto"/>
                <w:szCs w:val="21"/>
                <w:highlight w:val="none"/>
              </w:rPr>
            </w:pPr>
            <w:r>
              <w:rPr>
                <w:rFonts w:hint="eastAsia" w:ascii="宋体" w:hAnsi="宋体"/>
                <w:b/>
                <w:color w:val="auto"/>
                <w:szCs w:val="21"/>
                <w:highlight w:val="none"/>
              </w:rPr>
              <w:t>四、投标</w:t>
            </w:r>
          </w:p>
        </w:tc>
      </w:tr>
      <w:tr w14:paraId="0D668D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A841883">
            <w:pPr>
              <w:shd w:val="clear"/>
              <w:adjustRightInd w:val="0"/>
              <w:snapToGrid w:val="0"/>
              <w:spacing w:line="360" w:lineRule="auto"/>
              <w:jc w:val="center"/>
              <w:rPr>
                <w:rFonts w:hint="eastAsia" w:ascii="宋体" w:hAnsi="宋体" w:eastAsia="宋体"/>
                <w:color w:val="auto"/>
                <w:szCs w:val="21"/>
                <w:highlight w:val="none"/>
                <w:lang w:val="en-US"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3</w:t>
            </w:r>
          </w:p>
        </w:tc>
        <w:tc>
          <w:tcPr>
            <w:tcW w:w="1755" w:type="dxa"/>
            <w:vAlign w:val="center"/>
          </w:tcPr>
          <w:p w14:paraId="098A54F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投标文件的递交</w:t>
            </w:r>
          </w:p>
        </w:tc>
        <w:tc>
          <w:tcPr>
            <w:tcW w:w="6702" w:type="dxa"/>
            <w:vAlign w:val="center"/>
          </w:tcPr>
          <w:p w14:paraId="5C8D5EDB">
            <w:pPr>
              <w:shd w:val="clear"/>
              <w:adjustRightInd w:val="0"/>
              <w:snapToGrid w:val="0"/>
              <w:spacing w:line="360" w:lineRule="auto"/>
              <w:rPr>
                <w:rFonts w:ascii="宋体" w:hAnsi="宋体"/>
                <w:color w:val="auto"/>
                <w:highlight w:val="none"/>
              </w:rPr>
            </w:pPr>
            <w:r>
              <w:rPr>
                <w:rFonts w:hint="eastAsia" w:ascii="宋体" w:hAnsi="宋体"/>
                <w:color w:val="auto"/>
                <w:highlight w:val="none"/>
              </w:rPr>
              <w:t>实行网上投标，投标人必须在</w:t>
            </w:r>
            <w:r>
              <w:rPr>
                <w:rFonts w:hint="eastAsia" w:ascii="宋体" w:hAnsi="宋体"/>
                <w:color w:val="auto"/>
                <w:highlight w:val="none"/>
                <w:lang w:eastAsia="zh-CN"/>
              </w:rPr>
              <w:t>招标文件</w:t>
            </w:r>
            <w:r>
              <w:rPr>
                <w:rFonts w:hint="eastAsia" w:ascii="宋体" w:hAnsi="宋体"/>
                <w:color w:val="auto"/>
                <w:highlight w:val="none"/>
              </w:rPr>
              <w:t>规定的投标截止时间前用电子密钥登录</w:t>
            </w:r>
            <w:r>
              <w:rPr>
                <w:rFonts w:hint="eastAsia" w:ascii="宋体" w:hAnsi="宋体" w:cs="宋体"/>
                <w:color w:val="auto"/>
                <w:kern w:val="0"/>
                <w:szCs w:val="21"/>
                <w:highlight w:val="none"/>
              </w:rPr>
              <w:t>“岳阳市公共资源交易中心</w:t>
            </w:r>
            <w:r>
              <w:rPr>
                <w:rFonts w:hint="eastAsia" w:ascii="宋体" w:hAnsi="宋体"/>
                <w:color w:val="auto"/>
                <w:szCs w:val="21"/>
                <w:highlight w:val="none"/>
              </w:rPr>
              <w:t>电子交易平台”</w:t>
            </w:r>
            <w:r>
              <w:rPr>
                <w:rFonts w:ascii="宋体" w:hAnsi="宋体" w:cs="宋体"/>
                <w:color w:val="auto"/>
                <w:kern w:val="0"/>
                <w:szCs w:val="21"/>
                <w:highlight w:val="none"/>
              </w:rPr>
              <w:t>（http</w:t>
            </w:r>
            <w:r>
              <w:rPr>
                <w:rFonts w:hint="eastAsia" w:ascii="宋体" w:hAnsi="宋体" w:cs="宋体"/>
                <w:color w:val="auto"/>
                <w:kern w:val="0"/>
                <w:szCs w:val="21"/>
                <w:highlight w:val="none"/>
              </w:rPr>
              <w:t>：</w:t>
            </w:r>
            <w:r>
              <w:rPr>
                <w:rFonts w:ascii="宋体" w:hAnsi="宋体" w:cs="宋体"/>
                <w:color w:val="auto"/>
                <w:kern w:val="0"/>
                <w:szCs w:val="21"/>
                <w:highlight w:val="none"/>
              </w:rPr>
              <w:t>//222.242.228.197</w:t>
            </w:r>
            <w:r>
              <w:rPr>
                <w:rFonts w:hint="eastAsia" w:ascii="宋体" w:hAnsi="宋体" w:cs="宋体"/>
                <w:color w:val="auto"/>
                <w:kern w:val="0"/>
                <w:szCs w:val="21"/>
                <w:highlight w:val="none"/>
              </w:rPr>
              <w:t>：</w:t>
            </w:r>
            <w:r>
              <w:rPr>
                <w:rFonts w:ascii="宋体" w:hAnsi="宋体" w:cs="宋体"/>
                <w:color w:val="auto"/>
                <w:kern w:val="0"/>
                <w:szCs w:val="21"/>
                <w:highlight w:val="none"/>
              </w:rPr>
              <w:t>8083/TPBidder/memberLogin）</w:t>
            </w:r>
            <w:r>
              <w:rPr>
                <w:rFonts w:hint="eastAsia" w:ascii="宋体" w:hAnsi="宋体"/>
                <w:color w:val="auto"/>
                <w:highlight w:val="none"/>
              </w:rPr>
              <w:t>完成文件递交。</w:t>
            </w:r>
          </w:p>
          <w:p w14:paraId="14F49233">
            <w:pPr>
              <w:shd w:val="clear"/>
              <w:adjustRightInd w:val="0"/>
              <w:snapToGrid w:val="0"/>
              <w:spacing w:line="360" w:lineRule="auto"/>
              <w:rPr>
                <w:rFonts w:hint="eastAsia" w:ascii="宋体" w:hAnsi="宋体" w:eastAsia="宋体" w:cs="宋体"/>
                <w:b/>
                <w:bCs/>
                <w:color w:val="auto"/>
                <w:szCs w:val="21"/>
                <w:highlight w:val="none"/>
                <w:u w:val="none"/>
                <w:lang w:val="en-US" w:eastAsia="zh-CN"/>
              </w:rPr>
            </w:pPr>
            <w:r>
              <w:rPr>
                <w:rFonts w:hint="eastAsia" w:ascii="宋体" w:hAnsi="宋体"/>
                <w:color w:val="auto"/>
                <w:szCs w:val="21"/>
                <w:highlight w:val="none"/>
              </w:rPr>
              <w:t>其递交的电子投标文件具备法律效力，逾期递交的电子投标文件，电子交易平台将予以拒收。</w:t>
            </w:r>
          </w:p>
        </w:tc>
      </w:tr>
      <w:tr w14:paraId="62F62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6EDBB2F">
            <w:pPr>
              <w:shd w:val="clear"/>
              <w:adjustRightInd w:val="0"/>
              <w:snapToGrid w:val="0"/>
              <w:spacing w:line="360" w:lineRule="auto"/>
              <w:rPr>
                <w:rFonts w:ascii="宋体" w:hAnsi="宋体"/>
                <w:color w:val="auto"/>
                <w:szCs w:val="21"/>
                <w:highlight w:val="none"/>
              </w:rPr>
            </w:pPr>
            <w:r>
              <w:rPr>
                <w:rFonts w:hint="eastAsia" w:ascii="宋体" w:hAnsi="宋体"/>
                <w:b/>
                <w:bCs/>
                <w:color w:val="auto"/>
                <w:szCs w:val="21"/>
                <w:highlight w:val="none"/>
              </w:rPr>
              <w:t>五、开标、资格审查和评标</w:t>
            </w:r>
          </w:p>
        </w:tc>
      </w:tr>
      <w:tr w14:paraId="5622AF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trPr>
        <w:tc>
          <w:tcPr>
            <w:tcW w:w="1276" w:type="dxa"/>
            <w:vAlign w:val="center"/>
          </w:tcPr>
          <w:p w14:paraId="7B215FF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第26.1</w:t>
            </w:r>
            <w:r>
              <w:rPr>
                <w:rFonts w:hint="eastAsia" w:ascii="宋体" w:hAnsi="宋体" w:cs="宋体"/>
                <w:color w:val="auto"/>
                <w:kern w:val="0"/>
                <w:szCs w:val="21"/>
                <w:highlight w:val="none"/>
                <w:lang w:val="zh-CN"/>
              </w:rPr>
              <w:t>款</w:t>
            </w:r>
          </w:p>
        </w:tc>
        <w:tc>
          <w:tcPr>
            <w:tcW w:w="1755" w:type="dxa"/>
            <w:vAlign w:val="center"/>
          </w:tcPr>
          <w:p w14:paraId="163AF7D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需要宣布的其他内容</w:t>
            </w:r>
          </w:p>
        </w:tc>
        <w:tc>
          <w:tcPr>
            <w:tcW w:w="6702" w:type="dxa"/>
            <w:vAlign w:val="center"/>
          </w:tcPr>
          <w:p w14:paraId="6583750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无</w:t>
            </w:r>
          </w:p>
        </w:tc>
      </w:tr>
      <w:tr w14:paraId="2BDF1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07DB933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第26.2</w:t>
            </w:r>
            <w:r>
              <w:rPr>
                <w:rFonts w:hint="eastAsia" w:ascii="宋体" w:hAnsi="宋体" w:cs="宋体"/>
                <w:color w:val="auto"/>
                <w:kern w:val="0"/>
                <w:szCs w:val="21"/>
                <w:highlight w:val="none"/>
                <w:lang w:val="zh-CN"/>
              </w:rPr>
              <w:t>款</w:t>
            </w:r>
          </w:p>
        </w:tc>
        <w:tc>
          <w:tcPr>
            <w:tcW w:w="1755" w:type="dxa"/>
            <w:vAlign w:val="center"/>
          </w:tcPr>
          <w:p w14:paraId="409C1BD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解密时长</w:t>
            </w:r>
          </w:p>
        </w:tc>
        <w:tc>
          <w:tcPr>
            <w:tcW w:w="6702" w:type="dxa"/>
            <w:vAlign w:val="center"/>
          </w:tcPr>
          <w:p w14:paraId="483286AE">
            <w:pPr>
              <w:shd w:val="clea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u w:val="single"/>
              </w:rPr>
              <w:t xml:space="preserve">   30 分钟</w:t>
            </w:r>
          </w:p>
        </w:tc>
      </w:tr>
      <w:tr w14:paraId="28D4C8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5B17751">
            <w:pPr>
              <w:shd w:val="clear"/>
              <w:adjustRightInd w:val="0"/>
              <w:snapToGrid w:val="0"/>
              <w:spacing w:line="360" w:lineRule="auto"/>
              <w:rPr>
                <w:rFonts w:ascii="宋体" w:hAnsi="宋体"/>
                <w:b/>
                <w:color w:val="auto"/>
                <w:szCs w:val="21"/>
                <w:highlight w:val="none"/>
              </w:rPr>
            </w:pPr>
            <w:r>
              <w:rPr>
                <w:rFonts w:hint="eastAsia" w:ascii="宋体" w:hAnsi="宋体"/>
                <w:b/>
                <w:color w:val="auto"/>
                <w:szCs w:val="21"/>
                <w:highlight w:val="none"/>
              </w:rPr>
              <w:t>六、中标信息公布</w:t>
            </w:r>
          </w:p>
        </w:tc>
      </w:tr>
      <w:tr w14:paraId="327ABE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2111F72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1</w:t>
            </w:r>
            <w:r>
              <w:rPr>
                <w:rFonts w:hint="eastAsia" w:ascii="宋体" w:hAnsi="宋体"/>
                <w:color w:val="auto"/>
                <w:szCs w:val="21"/>
                <w:highlight w:val="none"/>
              </w:rPr>
              <w:t>.2</w:t>
            </w:r>
            <w:r>
              <w:rPr>
                <w:rFonts w:hint="eastAsia" w:ascii="宋体" w:hAnsi="宋体" w:cs="宋体"/>
                <w:color w:val="auto"/>
                <w:kern w:val="0"/>
                <w:szCs w:val="21"/>
                <w:highlight w:val="none"/>
                <w:lang w:val="zh-CN"/>
              </w:rPr>
              <w:t>款</w:t>
            </w:r>
          </w:p>
        </w:tc>
        <w:tc>
          <w:tcPr>
            <w:tcW w:w="1755" w:type="dxa"/>
            <w:vAlign w:val="center"/>
          </w:tcPr>
          <w:p w14:paraId="7694D59C">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确定中标人的方式</w:t>
            </w:r>
          </w:p>
        </w:tc>
        <w:tc>
          <w:tcPr>
            <w:tcW w:w="6702" w:type="dxa"/>
            <w:vAlign w:val="center"/>
          </w:tcPr>
          <w:p w14:paraId="2795D165">
            <w:pPr>
              <w:shd w:val="clear"/>
              <w:adjustRightInd w:val="0"/>
              <w:snapToGrid w:val="0"/>
              <w:spacing w:before="156" w:beforeLines="50" w:line="400" w:lineRule="exact"/>
              <w:rPr>
                <w:rFonts w:ascii="宋体" w:hAnsi="宋体"/>
                <w:color w:val="auto"/>
                <w:szCs w:val="21"/>
                <w:highlight w:val="none"/>
              </w:rPr>
            </w:pPr>
            <w:r>
              <w:rPr>
                <w:rFonts w:hint="eastAsia" w:ascii="宋体" w:hAnsi="宋体" w:cs="宋体"/>
                <w:color w:val="auto"/>
                <w:szCs w:val="21"/>
                <w:highlight w:val="none"/>
              </w:rPr>
              <w:t>■</w:t>
            </w:r>
            <w:r>
              <w:rPr>
                <w:rFonts w:hint="eastAsia" w:ascii="宋体" w:hAnsi="宋体"/>
                <w:color w:val="auto"/>
                <w:szCs w:val="21"/>
                <w:highlight w:val="none"/>
              </w:rPr>
              <w:t xml:space="preserve"> 得分相同的，按投标报价由低到高顺序排列。得分且投标报价相同的并列。投标文件满足招标文件全部实质性要求，且按照评审因素的量化指标评审得分最高的投标人为排名第一的中标候选人。</w:t>
            </w:r>
          </w:p>
          <w:p w14:paraId="3E54947A">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 随机抽取的方式。</w:t>
            </w:r>
          </w:p>
        </w:tc>
      </w:tr>
      <w:tr w14:paraId="74F414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562BCCF4">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七、合同签订</w:t>
            </w:r>
          </w:p>
        </w:tc>
      </w:tr>
      <w:tr w14:paraId="2FB4D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49714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4</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14CF0514">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履约担保</w:t>
            </w:r>
          </w:p>
        </w:tc>
        <w:tc>
          <w:tcPr>
            <w:tcW w:w="6702" w:type="dxa"/>
            <w:vAlign w:val="center"/>
          </w:tcPr>
          <w:p w14:paraId="48D7B6CA">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不要求提供</w:t>
            </w:r>
          </w:p>
          <w:p w14:paraId="630A15AF">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要求提供，履约担保的金额为：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(现金或保函)。</w:t>
            </w:r>
          </w:p>
        </w:tc>
      </w:tr>
      <w:tr w14:paraId="052B61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733" w:type="dxa"/>
            <w:gridSpan w:val="3"/>
            <w:vAlign w:val="center"/>
          </w:tcPr>
          <w:p w14:paraId="2240EC4F">
            <w:pPr>
              <w:shd w:val="clear"/>
              <w:adjustRightInd w:val="0"/>
              <w:snapToGrid w:val="0"/>
              <w:spacing w:before="156" w:beforeLines="50" w:line="400" w:lineRule="exact"/>
              <w:rPr>
                <w:rFonts w:ascii="宋体" w:hAnsi="宋体"/>
                <w:color w:val="auto"/>
                <w:szCs w:val="21"/>
                <w:highlight w:val="none"/>
              </w:rPr>
            </w:pPr>
            <w:r>
              <w:rPr>
                <w:rFonts w:hint="eastAsia" w:ascii="宋体" w:hAnsi="宋体"/>
                <w:color w:val="auto"/>
                <w:szCs w:val="21"/>
                <w:highlight w:val="none"/>
              </w:rPr>
              <w:t>八、其他规定</w:t>
            </w:r>
          </w:p>
        </w:tc>
      </w:tr>
      <w:tr w14:paraId="139685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F64A88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8</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348F65D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招标代理服务费</w:t>
            </w:r>
          </w:p>
        </w:tc>
        <w:tc>
          <w:tcPr>
            <w:tcW w:w="6702" w:type="dxa"/>
            <w:vAlign w:val="center"/>
          </w:tcPr>
          <w:p w14:paraId="4F81CB28">
            <w:pPr>
              <w:shd w:val="clear"/>
              <w:adjustRightInd w:val="0"/>
              <w:snapToGrid w:val="0"/>
              <w:spacing w:line="360" w:lineRule="auto"/>
              <w:rPr>
                <w:rFonts w:ascii="宋体" w:hAnsi="宋体"/>
                <w:color w:val="auto"/>
                <w:szCs w:val="21"/>
                <w:highlight w:val="none"/>
              </w:rPr>
            </w:pPr>
            <w:r>
              <w:rPr>
                <w:rFonts w:hint="eastAsia" w:ascii="宋体" w:hAnsi="宋体" w:cs="宋体"/>
                <w:color w:val="auto"/>
                <w:szCs w:val="21"/>
                <w:highlight w:val="none"/>
              </w:rPr>
              <w:t>招标代理服务费：</w:t>
            </w:r>
            <w:r>
              <w:rPr>
                <w:rFonts w:hint="eastAsia" w:ascii="宋体" w:hAnsi="宋体" w:cs="宋体"/>
                <w:color w:val="auto"/>
                <w:szCs w:val="21"/>
                <w:highlight w:val="none"/>
                <w:lang w:val="en-US" w:eastAsia="zh-CN"/>
              </w:rPr>
              <w:t>24660.00</w:t>
            </w:r>
            <w:r>
              <w:rPr>
                <w:rFonts w:hint="eastAsia" w:ascii="宋体" w:hAnsi="宋体" w:cs="宋体"/>
                <w:color w:val="auto"/>
                <w:szCs w:val="21"/>
                <w:highlight w:val="none"/>
              </w:rPr>
              <w:t>元，由采购人向代理机构支付。</w:t>
            </w:r>
          </w:p>
        </w:tc>
      </w:tr>
      <w:tr w14:paraId="11EE8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276" w:type="dxa"/>
            <w:vAlign w:val="center"/>
          </w:tcPr>
          <w:p w14:paraId="1FF79D7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第3</w:t>
            </w:r>
            <w:r>
              <w:rPr>
                <w:rFonts w:ascii="宋体" w:hAnsi="宋体"/>
                <w:color w:val="auto"/>
                <w:szCs w:val="21"/>
                <w:highlight w:val="none"/>
              </w:rPr>
              <w:t>9</w:t>
            </w:r>
            <w:r>
              <w:rPr>
                <w:rFonts w:hint="eastAsia" w:ascii="宋体" w:hAnsi="宋体"/>
                <w:color w:val="auto"/>
                <w:szCs w:val="21"/>
                <w:highlight w:val="none"/>
              </w:rPr>
              <w:t>.1</w:t>
            </w:r>
            <w:r>
              <w:rPr>
                <w:rFonts w:hint="eastAsia" w:ascii="宋体" w:hAnsi="宋体" w:cs="宋体"/>
                <w:color w:val="auto"/>
                <w:kern w:val="0"/>
                <w:szCs w:val="21"/>
                <w:highlight w:val="none"/>
                <w:lang w:val="zh-CN"/>
              </w:rPr>
              <w:t>款</w:t>
            </w:r>
          </w:p>
        </w:tc>
        <w:tc>
          <w:tcPr>
            <w:tcW w:w="1755" w:type="dxa"/>
            <w:vAlign w:val="center"/>
          </w:tcPr>
          <w:p w14:paraId="121860B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其他规定</w:t>
            </w:r>
          </w:p>
        </w:tc>
        <w:tc>
          <w:tcPr>
            <w:tcW w:w="6702" w:type="dxa"/>
            <w:vAlign w:val="center"/>
          </w:tcPr>
          <w:p w14:paraId="7F6D7624">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对列入失信被执行人、重大税收违法案件当事人名单、政府采购严重违法失信行为记录名单及其他不符合《中华人民共和国政府采购法》第二十二条规定条件的投标人，应当拒绝其参与政府采购活动。</w:t>
            </w:r>
          </w:p>
          <w:p w14:paraId="5EC60235">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p w14:paraId="238C30AB">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信用信息查询的截止时点：至本项目首次响应文件的提交截止时间止。</w:t>
            </w:r>
          </w:p>
          <w:p w14:paraId="1B06C8E7">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信用信息查询记录的具体方式：由采购人或采购代理机构在“信用中国”网站(www. creditchina. gov.cn)、中国政府采购网(www.ccgp.gov.cn)查询相关主体信用记录。</w:t>
            </w:r>
          </w:p>
          <w:p w14:paraId="0BED2450">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信用信息查询记录证据留存的具体方式：查询记录的网上打印件。</w:t>
            </w:r>
          </w:p>
          <w:p w14:paraId="0E7E2F29">
            <w:pPr>
              <w:shd w:val="clear"/>
              <w:adjustRightInd w:val="0"/>
              <w:snapToGrid w:val="0"/>
              <w:spacing w:before="156" w:beforeLines="5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信用信息的使用规则：对列入失信被执行人、重大税收违法案件当事人名单、政府采购严重违法失信行为记录名单的供应商，将拒绝其参与政府采购活动。</w:t>
            </w:r>
          </w:p>
        </w:tc>
      </w:tr>
    </w:tbl>
    <w:p w14:paraId="58210C94">
      <w:pPr>
        <w:shd w:val="clear"/>
        <w:adjustRightInd w:val="0"/>
        <w:snapToGrid w:val="0"/>
        <w:spacing w:line="360" w:lineRule="auto"/>
        <w:rPr>
          <w:rFonts w:ascii="黑体" w:hAnsi="宋体" w:eastAsia="黑体" w:cs="宋体"/>
          <w:color w:val="auto"/>
          <w:kern w:val="0"/>
          <w:szCs w:val="21"/>
          <w:highlight w:val="none"/>
        </w:rPr>
      </w:pPr>
      <w:r>
        <w:rPr>
          <w:rFonts w:ascii="宋体" w:hAnsi="宋体"/>
          <w:b/>
          <w:color w:val="auto"/>
          <w:szCs w:val="21"/>
          <w:highlight w:val="none"/>
        </w:rPr>
        <w:br w:type="page"/>
      </w:r>
      <w:r>
        <w:rPr>
          <w:rFonts w:hint="eastAsia" w:ascii="黑体" w:hAnsi="宋体" w:eastAsia="黑体" w:cs="宋体"/>
          <w:color w:val="auto"/>
          <w:kern w:val="0"/>
          <w:szCs w:val="21"/>
          <w:highlight w:val="none"/>
        </w:rPr>
        <w:t>附页2-1</w:t>
      </w:r>
    </w:p>
    <w:p w14:paraId="2836A3E6">
      <w:pPr>
        <w:shd w:val="clear"/>
        <w:spacing w:line="360" w:lineRule="exact"/>
        <w:ind w:right="-58"/>
        <w:jc w:val="center"/>
        <w:rPr>
          <w:rFonts w:ascii="宋体" w:hAnsi="宋体" w:cs="仿宋_GB2312"/>
          <w:b/>
          <w:color w:val="auto"/>
          <w:sz w:val="32"/>
          <w:szCs w:val="32"/>
          <w:highlight w:val="none"/>
        </w:rPr>
      </w:pPr>
      <w:r>
        <w:rPr>
          <w:rFonts w:hint="eastAsia" w:ascii="宋体" w:hAnsi="宋体" w:cs="宋体"/>
          <w:b/>
          <w:color w:val="auto"/>
          <w:sz w:val="32"/>
          <w:szCs w:val="32"/>
          <w:highlight w:val="none"/>
        </w:rPr>
        <w:t>岳阳市公共资源交易事前信用承诺书</w:t>
      </w:r>
    </w:p>
    <w:p w14:paraId="3750756D">
      <w:pPr>
        <w:shd w:val="clear"/>
        <w:spacing w:line="560" w:lineRule="exact"/>
        <w:ind w:right="-58" w:firstLine="843" w:firstLineChars="300"/>
        <w:rPr>
          <w:rFonts w:ascii="宋体" w:hAnsi="宋体" w:cs="仿宋_GB2312"/>
          <w:color w:val="auto"/>
          <w:kern w:val="0"/>
          <w:sz w:val="32"/>
          <w:szCs w:val="32"/>
          <w:highlight w:val="none"/>
        </w:rPr>
      </w:pPr>
      <w:r>
        <w:rPr>
          <w:rFonts w:hint="eastAsia" w:ascii="宋体" w:hAnsi="宋体" w:cs="宋体"/>
          <w:b/>
          <w:color w:val="auto"/>
          <w:sz w:val="28"/>
          <w:szCs w:val="28"/>
          <w:highlight w:val="none"/>
        </w:rPr>
        <w:t>（投标人、供应商、竞买人、受让人等交易主体适用范本）</w:t>
      </w:r>
    </w:p>
    <w:p w14:paraId="4C405303">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为推进社会信用体系建设，营造诚实守信的公共资源交易环境，树立诚信守法、公平竞争的交易形象，本人作为（单位名称）的法定代表人代表本单位作出以下诚信承诺：</w:t>
      </w:r>
    </w:p>
    <w:p w14:paraId="1783E081">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（一）本单位填报或提交的单位基本信息、单位负责人、项目负责人、技术负责人、从业资质和资格、业绩、财务状况、信誉等所有资料和信息，均合法、真实、准确、有效，无任何伪造、篡改、虚假成份。</w:t>
      </w:r>
    </w:p>
    <w:p w14:paraId="0C5D39FE">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（二）严格依照国家、湖南省和岳阳市关于公共资源交易的法律、法规、规章、规范性文件，参加公共资源交易活动；积极履行社会责任，促进廉政建设。</w:t>
      </w:r>
    </w:p>
    <w:p w14:paraId="61DE9C0D">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（三）严格遵守岳阳市公共资源交易市场主体信息公示规定，及时维护和更新公共资源交易市场主体信息库中信息。</w:t>
      </w:r>
    </w:p>
    <w:p w14:paraId="2E71B4BD">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58F86B0F">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（五）守合同、重信用，加强单位诚信建设。保证无恶意提高造价、违约毁约等行为。自觉维护公共资源交易良好秩序，自觉接受行政监督部门、纪检监察机关、行业组织、社会公众、新闻舆论的监督。</w:t>
      </w:r>
    </w:p>
    <w:p w14:paraId="20D8944C">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4CB897E5">
      <w:pPr>
        <w:widowControl/>
        <w:shd w:val="clear"/>
        <w:spacing w:line="5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（七）本人郑重作出上述承诺。本人和单位员工均已熟悉诚信承诺内容并认真践行承诺。</w:t>
      </w:r>
    </w:p>
    <w:p w14:paraId="5327F710">
      <w:pPr>
        <w:widowControl/>
        <w:shd w:val="clear"/>
        <w:spacing w:line="560" w:lineRule="exact"/>
        <w:ind w:right="-57" w:firstLine="6090" w:firstLineChars="2900"/>
        <w:jc w:val="left"/>
        <w:rPr>
          <w:rFonts w:ascii="宋体" w:hAnsi="宋体" w:cs="宋体"/>
          <w:color w:val="auto"/>
          <w:kern w:val="0"/>
          <w:szCs w:val="21"/>
          <w:highlight w:val="none"/>
        </w:rPr>
      </w:pPr>
      <w:r>
        <w:rPr>
          <w:rFonts w:hint="eastAsia" w:ascii="宋体" w:hAnsi="宋体" w:cs="宋体"/>
          <w:color w:val="auto"/>
          <w:kern w:val="0"/>
          <w:szCs w:val="21"/>
          <w:highlight w:val="none"/>
        </w:rPr>
        <w:t xml:space="preserve">法定代表人签名：                                                </w:t>
      </w:r>
    </w:p>
    <w:p w14:paraId="52C4210A">
      <w:pPr>
        <w:widowControl/>
        <w:shd w:val="clear"/>
        <w:spacing w:line="560" w:lineRule="exact"/>
        <w:ind w:right="-57" w:firstLine="6090" w:firstLineChars="2900"/>
        <w:jc w:val="left"/>
        <w:rPr>
          <w:rFonts w:ascii="宋体" w:hAnsi="宋体" w:cs="宋体"/>
          <w:color w:val="auto"/>
          <w:kern w:val="0"/>
          <w:szCs w:val="21"/>
          <w:highlight w:val="none"/>
        </w:rPr>
      </w:pPr>
      <w:r>
        <w:rPr>
          <w:rFonts w:hint="eastAsia" w:ascii="宋体" w:hAnsi="宋体" w:cs="宋体"/>
          <w:color w:val="auto"/>
          <w:kern w:val="0"/>
          <w:szCs w:val="21"/>
          <w:highlight w:val="none"/>
        </w:rPr>
        <w:t>单位名称（盖章）：</w:t>
      </w:r>
    </w:p>
    <w:p w14:paraId="4B0E59AC">
      <w:pPr>
        <w:shd w:val="clear"/>
        <w:adjustRightInd w:val="0"/>
        <w:snapToGrid w:val="0"/>
        <w:spacing w:line="360" w:lineRule="auto"/>
        <w:jc w:val="left"/>
        <w:rPr>
          <w:b/>
          <w:color w:val="auto"/>
          <w:highlight w:val="none"/>
        </w:rPr>
      </w:pPr>
      <w:r>
        <w:rPr>
          <w:rFonts w:hint="eastAsia" w:ascii="宋体" w:hAnsi="宋体" w:cs="宋体"/>
          <w:color w:val="auto"/>
          <w:kern w:val="0"/>
          <w:szCs w:val="21"/>
          <w:highlight w:val="none"/>
        </w:rPr>
        <w:t xml:space="preserve">                                                               年    月    日</w:t>
      </w:r>
    </w:p>
    <w:p w14:paraId="206EFD41">
      <w:pPr>
        <w:shd w:val="clear"/>
        <w:adjustRightInd w:val="0"/>
        <w:snapToGrid w:val="0"/>
        <w:spacing w:line="360" w:lineRule="auto"/>
        <w:jc w:val="center"/>
        <w:rPr>
          <w:rFonts w:ascii="黑体" w:hAnsi="宋体" w:eastAsia="黑体"/>
          <w:bCs/>
          <w:color w:val="auto"/>
          <w:szCs w:val="21"/>
          <w:highlight w:val="none"/>
        </w:rPr>
      </w:pPr>
      <w:r>
        <w:rPr>
          <w:rFonts w:hint="eastAsia" w:ascii="黑体" w:hAnsi="宋体" w:eastAsia="黑体"/>
          <w:bCs/>
          <w:color w:val="auto"/>
          <w:szCs w:val="21"/>
          <w:highlight w:val="none"/>
        </w:rPr>
        <w:br w:type="page"/>
      </w:r>
    </w:p>
    <w:p w14:paraId="5D2D538C">
      <w:pPr>
        <w:shd w:val="clear"/>
        <w:adjustRightInd w:val="0"/>
        <w:snapToGrid w:val="0"/>
        <w:spacing w:line="360" w:lineRule="auto"/>
        <w:rPr>
          <w:rFonts w:ascii="黑体" w:hAnsi="宋体" w:eastAsia="黑体"/>
          <w:bCs/>
          <w:color w:val="auto"/>
          <w:szCs w:val="21"/>
          <w:highlight w:val="none"/>
        </w:rPr>
      </w:pPr>
      <w:r>
        <w:rPr>
          <w:rFonts w:hint="eastAsia" w:ascii="黑体" w:hAnsi="宋体" w:eastAsia="黑体"/>
          <w:bCs/>
          <w:color w:val="auto"/>
          <w:szCs w:val="21"/>
          <w:highlight w:val="none"/>
        </w:rPr>
        <w:t>附页2-2</w:t>
      </w:r>
    </w:p>
    <w:p w14:paraId="409EE890">
      <w:pPr>
        <w:pStyle w:val="38"/>
        <w:keepNext w:val="0"/>
        <w:keepLines w:val="0"/>
        <w:widowControl/>
        <w:suppressLineNumbers w:val="0"/>
        <w:shd w:val="clear"/>
        <w:spacing w:before="0" w:beforeAutospacing="0" w:after="0" w:afterAutospacing="0"/>
        <w:ind w:left="0" w:right="0"/>
        <w:jc w:val="center"/>
        <w:rPr>
          <w:color w:val="auto"/>
          <w:highlight w:val="none"/>
        </w:rPr>
      </w:pPr>
      <w:r>
        <w:rPr>
          <w:rFonts w:hint="eastAsia" w:ascii="宋体" w:hAnsi="宋体" w:eastAsia="宋体" w:cs="宋体"/>
          <w:b/>
          <w:bCs/>
          <w:i w:val="0"/>
          <w:iCs w:val="0"/>
          <w:color w:val="auto"/>
          <w:spacing w:val="0"/>
          <w:w w:val="100"/>
          <w:sz w:val="28"/>
          <w:szCs w:val="28"/>
          <w:highlight w:val="none"/>
          <w:vertAlign w:val="baseline"/>
        </w:rPr>
        <w:t>岳阳市政府采购合同融资合作银行及联系人名单</w:t>
      </w: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096"/>
        <w:gridCol w:w="756"/>
        <w:gridCol w:w="2586"/>
        <w:gridCol w:w="2084"/>
      </w:tblGrid>
      <w:tr w14:paraId="64E9E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1" w:hRule="atLeast"/>
        </w:trPr>
        <w:tc>
          <w:tcPr>
            <w:tcW w:w="3096" w:type="dxa"/>
            <w:tcBorders>
              <w:top w:val="single" w:color="auto" w:sz="4"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113777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银行名称</w:t>
            </w:r>
          </w:p>
        </w:tc>
        <w:tc>
          <w:tcPr>
            <w:tcW w:w="756"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E2328EC">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联系人</w:t>
            </w:r>
          </w:p>
        </w:tc>
        <w:tc>
          <w:tcPr>
            <w:tcW w:w="2586"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C9BBB7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职 务</w:t>
            </w:r>
          </w:p>
        </w:tc>
        <w:tc>
          <w:tcPr>
            <w:tcW w:w="2084" w:type="dxa"/>
            <w:tcBorders>
              <w:top w:val="single" w:color="auto" w:sz="4"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DF077F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联系电话</w:t>
            </w:r>
          </w:p>
        </w:tc>
      </w:tr>
      <w:tr w14:paraId="151C6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DD5B6F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交通银行岳阳分行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C43D6A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黄 颖</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D7B213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公司、普惠部总经理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83570C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18873011060</w:t>
            </w:r>
          </w:p>
        </w:tc>
      </w:tr>
      <w:tr w14:paraId="69FA6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BA9AF3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交通银行岳阳分行府东支行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E12439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蒋莉华</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8C42F4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支行行长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D90AEA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13973004180</w:t>
            </w:r>
          </w:p>
        </w:tc>
      </w:tr>
      <w:tr w14:paraId="17D49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7194394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湖南岳阳农村商业银行股份有限公司</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72D7E8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徐顶龙</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4EB0C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9CC4AD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18173002929</w:t>
            </w:r>
          </w:p>
        </w:tc>
      </w:tr>
      <w:tr w14:paraId="1C21C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0081E5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湖南岳阳农村商业银行股份有限公司</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75D363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彭靖夫</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1917F9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总行营业部副主任</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615565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18273053888</w:t>
            </w:r>
          </w:p>
        </w:tc>
      </w:tr>
      <w:tr w14:paraId="6C555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78B67E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农业银行岳阳分行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E6A16D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黄立军</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AC4B53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普惠部负责人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CE98DD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18973061212</w:t>
            </w:r>
          </w:p>
        </w:tc>
      </w:tr>
      <w:tr w14:paraId="4C37E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40F06D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农业银行岳阳分行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B83739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周 芊</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FEF093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普惠部经办人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C9B9C9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13975036393</w:t>
            </w:r>
          </w:p>
        </w:tc>
      </w:tr>
      <w:tr w14:paraId="2252D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CDAA2C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7A3530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何昌林</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43E43E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25923B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15707306666</w:t>
            </w:r>
          </w:p>
        </w:tc>
      </w:tr>
      <w:tr w14:paraId="06E0F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54A9922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湖南银行岳阳分行财源支行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05DA94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张 璐</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04B184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C5BF4C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13707308320</w:t>
            </w:r>
          </w:p>
        </w:tc>
      </w:tr>
      <w:tr w14:paraId="6BE7E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F1BEFB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巴陵农村商业银行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29197E2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柳 斌</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33A8B7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总行党委-副行长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A9F53E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13789029698</w:t>
            </w:r>
          </w:p>
        </w:tc>
      </w:tr>
      <w:tr w14:paraId="3582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3833A65">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巴陵农商行德胜路分理处</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45147E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付素洁</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18049A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支行副行长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2C524DB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13907309327</w:t>
            </w:r>
          </w:p>
        </w:tc>
      </w:tr>
      <w:tr w14:paraId="695DB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A90606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5ADF4E8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邹鸿志</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47A923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分行营业部副行长</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95B60F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18711236688</w:t>
            </w:r>
          </w:p>
        </w:tc>
      </w:tr>
      <w:tr w14:paraId="5E27A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9047A38">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910C2F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刘紫薇</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42E44A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分行普惠部客户经理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5DBD90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19967060009</w:t>
            </w:r>
          </w:p>
        </w:tc>
      </w:tr>
      <w:tr w14:paraId="3B66D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3A21813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中国建设银行岳阳市分行营业部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F9C303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李润泽</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03771DAE">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分行营业部客户经理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1664826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13337309009</w:t>
            </w:r>
          </w:p>
        </w:tc>
      </w:tr>
      <w:tr w14:paraId="26291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2FCA0948">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兴业银行岳阳分行营业部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C2339E6">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谭 丽</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5A738C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总经理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81B380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18773081188</w:t>
            </w:r>
          </w:p>
        </w:tc>
      </w:tr>
      <w:tr w14:paraId="5BFB4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073D16D4">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兴业银行岳阳分行营业部</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C0D26D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李江天</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6973B4F0">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0A947C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19573070611</w:t>
            </w:r>
          </w:p>
        </w:tc>
      </w:tr>
      <w:tr w14:paraId="5F76B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71DE0D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中信银行岳阳分行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750B78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李箐笛</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50389E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公司部客户经理</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6DDB1C51">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13117516881</w:t>
            </w:r>
          </w:p>
        </w:tc>
      </w:tr>
      <w:tr w14:paraId="5836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38EA7222">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工商银行岳阳分行</w:t>
            </w:r>
          </w:p>
        </w:tc>
        <w:tc>
          <w:tcPr>
            <w:tcW w:w="75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71394D0B">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杨文韬</w:t>
            </w:r>
          </w:p>
        </w:tc>
        <w:tc>
          <w:tcPr>
            <w:tcW w:w="2586"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37E3B44D">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普惠部负责人</w:t>
            </w:r>
          </w:p>
        </w:tc>
        <w:tc>
          <w:tcPr>
            <w:tcW w:w="2084"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72018DD3">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13789018303</w:t>
            </w:r>
          </w:p>
        </w:tc>
      </w:tr>
      <w:tr w14:paraId="29058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3096" w:type="dxa"/>
            <w:tcBorders>
              <w:top w:val="single" w:color="auto" w:sz="6" w:space="0"/>
              <w:left w:val="single" w:color="auto" w:sz="4" w:space="0"/>
              <w:bottom w:val="single" w:color="auto" w:sz="4" w:space="0"/>
              <w:right w:val="single" w:color="auto" w:sz="6" w:space="0"/>
            </w:tcBorders>
            <w:shd w:val="clear" w:color="auto" w:fill="auto"/>
            <w:tcMar>
              <w:top w:w="0" w:type="dxa"/>
              <w:left w:w="108" w:type="dxa"/>
              <w:bottom w:w="0" w:type="dxa"/>
              <w:right w:w="108" w:type="dxa"/>
            </w:tcMar>
            <w:vAlign w:val="center"/>
          </w:tcPr>
          <w:p w14:paraId="10DC089F">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工商银行岳阳分行</w:t>
            </w:r>
          </w:p>
        </w:tc>
        <w:tc>
          <w:tcPr>
            <w:tcW w:w="756"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5506F27A">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陈 盈</w:t>
            </w:r>
          </w:p>
        </w:tc>
        <w:tc>
          <w:tcPr>
            <w:tcW w:w="2586"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3AFC2D29">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普惠部经办人</w:t>
            </w:r>
          </w:p>
        </w:tc>
        <w:tc>
          <w:tcPr>
            <w:tcW w:w="2084" w:type="dxa"/>
            <w:tcBorders>
              <w:top w:val="single" w:color="auto" w:sz="6" w:space="0"/>
              <w:left w:val="single" w:color="auto" w:sz="6" w:space="0"/>
              <w:bottom w:val="single" w:color="auto" w:sz="4" w:space="0"/>
              <w:right w:val="single" w:color="auto" w:sz="4" w:space="0"/>
            </w:tcBorders>
            <w:shd w:val="clear" w:color="auto" w:fill="auto"/>
            <w:tcMar>
              <w:top w:w="0" w:type="dxa"/>
              <w:left w:w="108" w:type="dxa"/>
              <w:bottom w:w="0" w:type="dxa"/>
              <w:right w:w="108" w:type="dxa"/>
            </w:tcMar>
            <w:vAlign w:val="center"/>
          </w:tcPr>
          <w:p w14:paraId="784C7697">
            <w:pPr>
              <w:pStyle w:val="38"/>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val="0"/>
                <w:bCs w:val="0"/>
                <w:i w:val="0"/>
                <w:iCs w:val="0"/>
                <w:color w:val="auto"/>
                <w:spacing w:val="0"/>
                <w:w w:val="100"/>
                <w:sz w:val="18"/>
                <w:szCs w:val="18"/>
                <w:highlight w:val="none"/>
                <w:vertAlign w:val="baseline"/>
              </w:rPr>
              <w:t>17872007507</w:t>
            </w:r>
          </w:p>
        </w:tc>
      </w:tr>
    </w:tbl>
    <w:p w14:paraId="6207677D">
      <w:pPr>
        <w:pStyle w:val="2"/>
        <w:keepNext w:val="0"/>
        <w:keepLines w:val="0"/>
        <w:widowControl/>
        <w:suppressLineNumbers w:val="0"/>
        <w:shd w:val="clear"/>
        <w:spacing w:before="0" w:beforeAutospacing="0" w:after="0" w:afterAutospacing="0" w:line="23" w:lineRule="atLeast"/>
        <w:ind w:left="0" w:right="0"/>
        <w:jc w:val="center"/>
        <w:rPr>
          <w:color w:val="auto"/>
          <w:highlight w:val="none"/>
        </w:rPr>
      </w:pPr>
      <w:r>
        <w:rPr>
          <w:rFonts w:hint="eastAsia" w:ascii="宋体" w:hAnsi="宋体" w:eastAsia="宋体" w:cs="宋体"/>
          <w:b/>
          <w:bCs/>
          <w:i w:val="0"/>
          <w:iCs w:val="0"/>
          <w:color w:val="auto"/>
          <w:spacing w:val="0"/>
          <w:w w:val="100"/>
          <w:sz w:val="28"/>
          <w:szCs w:val="28"/>
          <w:highlight w:val="none"/>
          <w:vertAlign w:val="baseline"/>
        </w:rPr>
        <w:t>岳阳市政府采购信用担保试点工作的信用担保机构名单</w:t>
      </w:r>
    </w:p>
    <w:tbl>
      <w:tblPr>
        <w:tblStyle w:val="4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357"/>
        <w:gridCol w:w="1088"/>
        <w:gridCol w:w="3191"/>
      </w:tblGrid>
      <w:tr w14:paraId="6C6B0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29" w:hRule="atLeast"/>
        </w:trPr>
        <w:tc>
          <w:tcPr>
            <w:tcW w:w="4357" w:type="dxa"/>
            <w:tcBorders>
              <w:top w:val="single" w:color="auto" w:sz="4"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6D5344B9">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信用担保机构</w:t>
            </w:r>
          </w:p>
        </w:tc>
        <w:tc>
          <w:tcPr>
            <w:tcW w:w="1088" w:type="dxa"/>
            <w:tcBorders>
              <w:top w:val="single" w:color="auto" w:sz="4"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4C50BA2C">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联系人</w:t>
            </w:r>
          </w:p>
        </w:tc>
        <w:tc>
          <w:tcPr>
            <w:tcW w:w="3191" w:type="dxa"/>
            <w:tcBorders>
              <w:top w:val="single" w:color="auto" w:sz="4"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45A196B4">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bCs/>
                <w:i w:val="0"/>
                <w:iCs w:val="0"/>
                <w:color w:val="auto"/>
                <w:spacing w:val="0"/>
                <w:w w:val="100"/>
                <w:sz w:val="22"/>
                <w:szCs w:val="22"/>
                <w:highlight w:val="none"/>
                <w:vertAlign w:val="baseline"/>
              </w:rPr>
              <w:t>联系电话</w:t>
            </w:r>
          </w:p>
        </w:tc>
      </w:tr>
      <w:tr w14:paraId="256A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476E88C9">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岳阳市融资担保有限责任公司</w:t>
            </w:r>
          </w:p>
        </w:tc>
        <w:tc>
          <w:tcPr>
            <w:tcW w:w="1088"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0DAA15EE">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陈会亮</w:t>
            </w:r>
          </w:p>
        </w:tc>
        <w:tc>
          <w:tcPr>
            <w:tcW w:w="3191"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4CE64709">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0730-8717032/18907300076</w:t>
            </w:r>
          </w:p>
        </w:tc>
      </w:tr>
      <w:tr w14:paraId="6DC5F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6" w:space="0"/>
              <w:right w:val="single" w:color="auto" w:sz="6" w:space="0"/>
            </w:tcBorders>
            <w:shd w:val="clear" w:color="auto" w:fill="auto"/>
            <w:tcMar>
              <w:top w:w="0" w:type="dxa"/>
              <w:left w:w="108" w:type="dxa"/>
              <w:bottom w:w="0" w:type="dxa"/>
              <w:right w:w="108" w:type="dxa"/>
            </w:tcMar>
            <w:vAlign w:val="center"/>
          </w:tcPr>
          <w:p w14:paraId="1E5B8B82">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岳阳市融资担保有限责任公司</w:t>
            </w:r>
          </w:p>
        </w:tc>
        <w:tc>
          <w:tcPr>
            <w:tcW w:w="1088" w:type="dxa"/>
            <w:tcBorders>
              <w:top w:val="single" w:color="auto" w:sz="6" w:space="0"/>
              <w:left w:val="single" w:color="auto" w:sz="6" w:space="0"/>
              <w:bottom w:val="single" w:color="auto" w:sz="6" w:space="0"/>
              <w:right w:val="single" w:color="auto" w:sz="6" w:space="0"/>
            </w:tcBorders>
            <w:shd w:val="clear" w:color="auto" w:fill="auto"/>
            <w:tcMar>
              <w:top w:w="0" w:type="dxa"/>
              <w:left w:w="108" w:type="dxa"/>
              <w:bottom w:w="0" w:type="dxa"/>
              <w:right w:w="108" w:type="dxa"/>
            </w:tcMar>
            <w:vAlign w:val="center"/>
          </w:tcPr>
          <w:p w14:paraId="1DB0D443">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黎子龙</w:t>
            </w:r>
          </w:p>
        </w:tc>
        <w:tc>
          <w:tcPr>
            <w:tcW w:w="3191" w:type="dxa"/>
            <w:tcBorders>
              <w:top w:val="single" w:color="auto" w:sz="6" w:space="0"/>
              <w:left w:val="single" w:color="auto" w:sz="6" w:space="0"/>
              <w:bottom w:val="single" w:color="auto" w:sz="6" w:space="0"/>
              <w:right w:val="single" w:color="auto" w:sz="4" w:space="0"/>
            </w:tcBorders>
            <w:shd w:val="clear" w:color="auto" w:fill="auto"/>
            <w:tcMar>
              <w:top w:w="0" w:type="dxa"/>
              <w:left w:w="108" w:type="dxa"/>
              <w:bottom w:w="0" w:type="dxa"/>
              <w:right w:w="108" w:type="dxa"/>
            </w:tcMar>
            <w:vAlign w:val="center"/>
          </w:tcPr>
          <w:p w14:paraId="34C95B27">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0730-8717032/17773021899</w:t>
            </w:r>
          </w:p>
        </w:tc>
      </w:tr>
      <w:tr w14:paraId="57FF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4" w:hRule="atLeast"/>
        </w:trPr>
        <w:tc>
          <w:tcPr>
            <w:tcW w:w="4357" w:type="dxa"/>
            <w:tcBorders>
              <w:top w:val="single" w:color="auto" w:sz="6" w:space="0"/>
              <w:left w:val="single" w:color="auto" w:sz="4" w:space="0"/>
              <w:bottom w:val="single" w:color="auto" w:sz="4" w:space="0"/>
              <w:right w:val="single" w:color="auto" w:sz="6" w:space="0"/>
            </w:tcBorders>
            <w:shd w:val="clear" w:color="auto" w:fill="auto"/>
            <w:tcMar>
              <w:top w:w="0" w:type="dxa"/>
              <w:left w:w="108" w:type="dxa"/>
              <w:bottom w:w="0" w:type="dxa"/>
              <w:right w:w="108" w:type="dxa"/>
            </w:tcMar>
            <w:vAlign w:val="center"/>
          </w:tcPr>
          <w:p w14:paraId="222EAE66">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湖南省农业信用担保有限公司</w:t>
            </w:r>
          </w:p>
          <w:p w14:paraId="1C51ADEF">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岳阳市分公司</w:t>
            </w:r>
          </w:p>
        </w:tc>
        <w:tc>
          <w:tcPr>
            <w:tcW w:w="1088" w:type="dxa"/>
            <w:tcBorders>
              <w:top w:val="single" w:color="auto" w:sz="6" w:space="0"/>
              <w:left w:val="single" w:color="auto" w:sz="6" w:space="0"/>
              <w:bottom w:val="single" w:color="auto" w:sz="4" w:space="0"/>
              <w:right w:val="single" w:color="auto" w:sz="6" w:space="0"/>
            </w:tcBorders>
            <w:shd w:val="clear" w:color="auto" w:fill="auto"/>
            <w:tcMar>
              <w:top w:w="0" w:type="dxa"/>
              <w:left w:w="108" w:type="dxa"/>
              <w:bottom w:w="0" w:type="dxa"/>
              <w:right w:w="108" w:type="dxa"/>
            </w:tcMar>
            <w:vAlign w:val="center"/>
          </w:tcPr>
          <w:p w14:paraId="07EAFE2A">
            <w:pPr>
              <w:pStyle w:val="38"/>
              <w:keepNext w:val="0"/>
              <w:keepLines w:val="0"/>
              <w:widowControl/>
              <w:suppressLineNumbers w:val="0"/>
              <w:shd w:val="clear"/>
              <w:spacing w:before="0" w:beforeAutospacing="0" w:after="0" w:afterAutospacing="0" w:line="320" w:lineRule="exact"/>
              <w:ind w:left="0" w:right="0"/>
              <w:jc w:val="center"/>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张 武</w:t>
            </w:r>
          </w:p>
        </w:tc>
        <w:tc>
          <w:tcPr>
            <w:tcW w:w="3191" w:type="dxa"/>
            <w:tcBorders>
              <w:top w:val="single" w:color="auto" w:sz="6" w:space="0"/>
              <w:left w:val="single" w:color="auto" w:sz="6" w:space="0"/>
              <w:bottom w:val="single" w:color="auto" w:sz="4" w:space="0"/>
              <w:right w:val="single" w:color="auto" w:sz="4" w:space="0"/>
            </w:tcBorders>
            <w:shd w:val="clear" w:color="auto" w:fill="auto"/>
            <w:tcMar>
              <w:top w:w="0" w:type="dxa"/>
              <w:left w:w="108" w:type="dxa"/>
              <w:bottom w:w="0" w:type="dxa"/>
              <w:right w:w="108" w:type="dxa"/>
            </w:tcMar>
            <w:vAlign w:val="center"/>
          </w:tcPr>
          <w:p w14:paraId="6FC806A6">
            <w:pPr>
              <w:pStyle w:val="38"/>
              <w:keepNext w:val="0"/>
              <w:keepLines w:val="0"/>
              <w:widowControl/>
              <w:suppressLineNumbers w:val="0"/>
              <w:shd w:val="clear"/>
              <w:spacing w:before="0" w:beforeAutospacing="0" w:after="0" w:afterAutospacing="0" w:line="320" w:lineRule="exact"/>
              <w:ind w:left="0" w:right="0"/>
              <w:jc w:val="left"/>
              <w:rPr>
                <w:color w:val="auto"/>
                <w:highlight w:val="none"/>
              </w:rPr>
            </w:pPr>
            <w:r>
              <w:rPr>
                <w:rFonts w:hint="eastAsia" w:ascii="宋体" w:hAnsi="宋体" w:eastAsia="宋体" w:cs="宋体"/>
                <w:b w:val="0"/>
                <w:bCs w:val="0"/>
                <w:i w:val="0"/>
                <w:iCs w:val="0"/>
                <w:color w:val="auto"/>
                <w:spacing w:val="0"/>
                <w:w w:val="100"/>
                <w:sz w:val="22"/>
                <w:szCs w:val="22"/>
                <w:highlight w:val="none"/>
                <w:vertAlign w:val="baseline"/>
              </w:rPr>
              <w:t>0730-5220262/18973170258</w:t>
            </w:r>
          </w:p>
        </w:tc>
      </w:tr>
    </w:tbl>
    <w:p w14:paraId="749A60AF">
      <w:pPr>
        <w:widowControl/>
        <w:shd w:val="clear"/>
        <w:jc w:val="center"/>
        <w:rPr>
          <w:rFonts w:ascii="黑体" w:hAnsi="华文中宋" w:eastAsia="黑体"/>
          <w:b/>
          <w:color w:val="auto"/>
          <w:sz w:val="28"/>
          <w:szCs w:val="28"/>
          <w:highlight w:val="none"/>
        </w:rPr>
      </w:pPr>
      <w:r>
        <w:rPr>
          <w:rFonts w:ascii="黑体" w:hAnsi="华文中宋" w:eastAsia="黑体"/>
          <w:b/>
          <w:color w:val="auto"/>
          <w:sz w:val="28"/>
          <w:szCs w:val="28"/>
          <w:highlight w:val="none"/>
        </w:rPr>
        <w:br w:type="page"/>
      </w:r>
      <w:r>
        <w:rPr>
          <w:rFonts w:hint="eastAsia" w:ascii="黑体" w:hAnsi="华文中宋" w:eastAsia="黑体"/>
          <w:b/>
          <w:color w:val="auto"/>
          <w:sz w:val="28"/>
          <w:szCs w:val="28"/>
          <w:highlight w:val="none"/>
        </w:rPr>
        <w:t>正文</w:t>
      </w:r>
    </w:p>
    <w:p w14:paraId="79249943">
      <w:pPr>
        <w:pStyle w:val="89"/>
        <w:shd w:val="clear"/>
        <w:ind w:firstLine="0" w:firstLineChars="0"/>
        <w:jc w:val="left"/>
        <w:rPr>
          <w:b/>
          <w:color w:val="auto"/>
          <w:highlight w:val="none"/>
        </w:rPr>
      </w:pPr>
      <w:r>
        <w:rPr>
          <w:rFonts w:hint="eastAsia"/>
          <w:b/>
          <w:color w:val="auto"/>
          <w:highlight w:val="none"/>
        </w:rPr>
        <w:t>一、总则</w:t>
      </w:r>
    </w:p>
    <w:p w14:paraId="2396802A">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1.适用范围</w:t>
      </w:r>
    </w:p>
    <w:p w14:paraId="3EA0139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1.1本招标文件仅适用于本章“投标须知前附表”（以下简称</w:t>
      </w:r>
      <w:r>
        <w:rPr>
          <w:rFonts w:hint="eastAsia" w:ascii="宋体" w:hAnsi="宋体"/>
          <w:b/>
          <w:color w:val="auto"/>
          <w:szCs w:val="21"/>
          <w:highlight w:val="none"/>
        </w:rPr>
        <w:t>【投标须知前附表】</w:t>
      </w:r>
      <w:r>
        <w:rPr>
          <w:rFonts w:hint="eastAsia" w:ascii="宋体" w:hAnsi="宋体"/>
          <w:color w:val="auto"/>
          <w:szCs w:val="21"/>
          <w:highlight w:val="none"/>
        </w:rPr>
        <w:t>）中所叙述的采购项目。</w:t>
      </w:r>
    </w:p>
    <w:p w14:paraId="749266EE">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规定采购项目专门面向中小企业采购的，如投标人为非中小企业，其</w:t>
      </w:r>
      <w:r>
        <w:rPr>
          <w:rFonts w:hint="eastAsia" w:ascii="宋体" w:hAnsi="宋体"/>
          <w:b/>
          <w:color w:val="auto"/>
          <w:szCs w:val="21"/>
          <w:highlight w:val="none"/>
        </w:rPr>
        <w:t>投标无效</w:t>
      </w:r>
      <w:r>
        <w:rPr>
          <w:rFonts w:hint="eastAsia" w:ascii="宋体" w:hAnsi="宋体"/>
          <w:color w:val="auto"/>
          <w:szCs w:val="21"/>
          <w:highlight w:val="none"/>
        </w:rPr>
        <w:t>。</w:t>
      </w:r>
    </w:p>
    <w:p w14:paraId="5C71A298">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2.定义</w:t>
      </w:r>
    </w:p>
    <w:p w14:paraId="0E0D00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4967DEC1">
      <w:pPr>
        <w:shd w:val="clear"/>
        <w:adjustRightInd w:val="0"/>
        <w:snapToGrid w:val="0"/>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2.2采购代理机构名称、地址、电话、联系人见</w:t>
      </w:r>
      <w:r>
        <w:rPr>
          <w:rFonts w:hint="eastAsia" w:ascii="宋体" w:hAnsi="宋体"/>
          <w:b/>
          <w:color w:val="auto"/>
          <w:szCs w:val="21"/>
          <w:highlight w:val="none"/>
        </w:rPr>
        <w:t>【投标须知前附表】。</w:t>
      </w:r>
    </w:p>
    <w:p w14:paraId="58963DEF">
      <w:pPr>
        <w:shd w:val="clea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2.3投标人系指响应招标、参加投标竞争的法人、其他组织或自然人。</w:t>
      </w:r>
    </w:p>
    <w:p w14:paraId="40011FF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2.4货物是指各种形态和种类的物品，包括原材料、燃料、设备、产品等，详见</w:t>
      </w:r>
      <w:r>
        <w:rPr>
          <w:color w:val="auto"/>
          <w:highlight w:val="none"/>
        </w:rPr>
        <w:t>《政府采购品目分类目录（2022年版）》（财库〔2022〕31号）</w:t>
      </w:r>
      <w:r>
        <w:rPr>
          <w:rFonts w:hint="eastAsia" w:ascii="宋体" w:hAnsi="宋体"/>
          <w:color w:val="auto"/>
          <w:szCs w:val="21"/>
          <w:highlight w:val="none"/>
        </w:rPr>
        <w:t>。</w:t>
      </w:r>
    </w:p>
    <w:p w14:paraId="7DE1C519">
      <w:pPr>
        <w:shd w:val="clear"/>
        <w:adjustRightInd w:val="0"/>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2.5服务是政府自身需要的服务和政府向社会公众提供的服务，，详见</w:t>
      </w:r>
      <w:r>
        <w:rPr>
          <w:color w:val="auto"/>
          <w:highlight w:val="none"/>
        </w:rPr>
        <w:t>《政府采购品目分类目录（2022年版）》（财库〔2022〕31号）</w:t>
      </w:r>
      <w:r>
        <w:rPr>
          <w:rFonts w:hint="eastAsia" w:ascii="宋体" w:hAnsi="宋体"/>
          <w:color w:val="auto"/>
          <w:szCs w:val="21"/>
          <w:highlight w:val="none"/>
        </w:rPr>
        <w:t>。</w:t>
      </w:r>
    </w:p>
    <w:p w14:paraId="7386633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2.6</w:t>
      </w:r>
      <w:r>
        <w:rPr>
          <w:rFonts w:hint="eastAsia" w:ascii="宋体" w:hAnsi="宋体" w:cs="宋体"/>
          <w:color w:val="auto"/>
          <w:kern w:val="0"/>
          <w:szCs w:val="21"/>
          <w:highlight w:val="none"/>
        </w:rPr>
        <w:t>进口产品是指通过中国海关报关验放进入中国境内且产自关境外的产品，详见《关于政府采购进口产品管理有关问题的通知》（财库[2007]119号）。除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另有规定外，采购项目拒绝进口产品参加投标。本款规定同意购买进口产品的，不限制满足招标文件要求的国内产品参与投标竞争。</w:t>
      </w:r>
    </w:p>
    <w:p w14:paraId="3A210FF5">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3.投标人的资格要求</w:t>
      </w:r>
    </w:p>
    <w:p w14:paraId="5104B75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78B9DFF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 xml:space="preserve">规定接受联合体形式投标的，投标人除应符合本章第3.1款规定外，还应遵守以下规定： </w:t>
      </w:r>
    </w:p>
    <w:p w14:paraId="0990348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1</w:t>
      </w:r>
      <w:r>
        <w:rPr>
          <w:rFonts w:hint="eastAsia" w:ascii="宋体" w:hAnsi="宋体"/>
          <w:color w:val="auto"/>
          <w:szCs w:val="21"/>
          <w:highlight w:val="none"/>
        </w:rPr>
        <w:t>）联合体中有同类资质的供应商按照联合体分工承担相同工作的，应当按照资质等级较低的供应商确定资质等级。</w:t>
      </w:r>
    </w:p>
    <w:p w14:paraId="339DFBC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59D07E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（3）联合体各方签订联合体协议书后，不得再单独参加或者与其他投标人组成新的联合体参加同一合同项下的采购活动。</w:t>
      </w:r>
    </w:p>
    <w:p w14:paraId="19F0713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3.3投标人不得存在下列情形之一：</w:t>
      </w:r>
    </w:p>
    <w:p w14:paraId="29E22D8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1</w:t>
      </w:r>
      <w:r>
        <w:rPr>
          <w:rFonts w:hint="eastAsia" w:ascii="宋体" w:hAnsi="宋体"/>
          <w:color w:val="auto"/>
          <w:szCs w:val="21"/>
          <w:highlight w:val="none"/>
        </w:rPr>
        <w:t>）与采购人、采购代理机构存在</w:t>
      </w:r>
      <w:r>
        <w:rPr>
          <w:rFonts w:hint="eastAsia" w:ascii="宋体" w:hAnsi="宋体"/>
          <w:bCs/>
          <w:color w:val="auto"/>
          <w:szCs w:val="21"/>
          <w:highlight w:val="none"/>
        </w:rPr>
        <w:t>隶属关系或者其他利害关系</w:t>
      </w:r>
      <w:r>
        <w:rPr>
          <w:rFonts w:hint="eastAsia" w:ascii="宋体" w:hAnsi="宋体"/>
          <w:color w:val="auto"/>
          <w:szCs w:val="21"/>
          <w:highlight w:val="none"/>
        </w:rPr>
        <w:t>。</w:t>
      </w:r>
    </w:p>
    <w:p w14:paraId="43E4AE6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（2）单位负责人为同一人或者存在直接控股、管理关系的不同投标人，不得参加同一合同项下的采购活动。</w:t>
      </w:r>
    </w:p>
    <w:p w14:paraId="782C505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（3）为采购项目提供整体设计、规范编制或者项目管理、监理、检测等服务的投标人，不得再参加该采购项目的其他采购活动。</w:t>
      </w:r>
    </w:p>
    <w:p w14:paraId="2F17CDD6">
      <w:pPr>
        <w:shd w:val="clear"/>
        <w:adjustRightInd w:val="0"/>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列入失信被执行人、重大税收违法失信主体名单、政府采购严重违法失信行为记录名单及其他不符合《中华人民共和国政府采购法》第二十二条规定条件（联合体形式投标的，联合体成员存在不良信用记录，视同联合体存在不良信用记录）。</w:t>
      </w:r>
    </w:p>
    <w:p w14:paraId="11B8571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 xml:space="preserve">4.投标费用 </w:t>
      </w:r>
    </w:p>
    <w:p w14:paraId="6E1BF97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4.1投标人应自行承担所有参与投标的相关费用，不论投标的结果如何，采购人或者采购代理机构均无义务和责任承担这些费用。</w:t>
      </w:r>
    </w:p>
    <w:p w14:paraId="38086EB9">
      <w:pPr>
        <w:shd w:val="clear"/>
        <w:adjustRightInd w:val="0"/>
        <w:snapToGrid w:val="0"/>
        <w:spacing w:line="360" w:lineRule="auto"/>
        <w:jc w:val="left"/>
        <w:rPr>
          <w:rFonts w:ascii="宋体" w:hAnsi="宋体"/>
          <w:b/>
          <w:color w:val="auto"/>
          <w:highlight w:val="none"/>
        </w:rPr>
      </w:pPr>
      <w:r>
        <w:rPr>
          <w:rFonts w:hint="eastAsia" w:ascii="宋体" w:hAnsi="宋体"/>
          <w:b/>
          <w:bCs/>
          <w:color w:val="auto"/>
          <w:highlight w:val="none"/>
        </w:rPr>
        <w:t>5.</w:t>
      </w:r>
      <w:r>
        <w:rPr>
          <w:rFonts w:hint="eastAsia" w:ascii="宋体" w:hAnsi="宋体"/>
          <w:b/>
          <w:color w:val="auto"/>
          <w:highlight w:val="none"/>
        </w:rPr>
        <w:t>保密</w:t>
      </w:r>
    </w:p>
    <w:p w14:paraId="6440325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5.1参与招标投标活动的各方应对招标文件和投标文件中的商业和技术等秘密保密，违者应对由此造成的后果承担法律责任。</w:t>
      </w:r>
    </w:p>
    <w:p w14:paraId="7ABE64AB">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6．组织现场考察或者召开答疑会</w:t>
      </w:r>
    </w:p>
    <w:p w14:paraId="107E4F81">
      <w:pPr>
        <w:shd w:val="clea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6.</w:t>
      </w:r>
      <w:r>
        <w:rPr>
          <w:rFonts w:hint="eastAsia" w:ascii="宋体" w:hAnsi="宋体"/>
          <w:color w:val="auto"/>
          <w:szCs w:val="21"/>
          <w:highlight w:val="none"/>
        </w:rPr>
        <w:t>1采购人或者采购代理机构组织现场考察或者召开开标前答疑会的，获取招标文件的潜在投标人应按【投标须知前附表】规定参加现场考察或者答疑会；如不参加，其风险由其自行承担。</w:t>
      </w:r>
    </w:p>
    <w:p w14:paraId="5163D9F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6.2采购人或者采购代理机构召开开标前答疑会的，获取招标文件的潜在投标人应按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规定的时间，以书面形式将提出的问题送达采购代理机构，以便采购人或者采购代理机构在会议期间澄清。答疑会后，对投标人所提问题的澄清，采购代理机构将按本章第10.1款或第10.2款相应规定办理。</w:t>
      </w:r>
    </w:p>
    <w:p w14:paraId="5998A0CD">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6.3潜在投标人现场考察或者参加答疑会的费用由自己承担，现场考察期间所发生的人身伤害及财产损失由自己负责。</w:t>
      </w:r>
    </w:p>
    <w:p w14:paraId="214C435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6.4采购人或者采购代理机构不对投标人据此而做出的推论、理解和结论负责。投标人一旦中标，不得以任何借口，提出额外补偿，或延长合同期限的要求。</w:t>
      </w:r>
    </w:p>
    <w:p w14:paraId="00CBFA33">
      <w:pPr>
        <w:shd w:val="clear"/>
        <w:adjustRightInd w:val="0"/>
        <w:snapToGrid w:val="0"/>
        <w:spacing w:line="360" w:lineRule="auto"/>
        <w:jc w:val="left"/>
        <w:rPr>
          <w:rFonts w:ascii="宋体" w:hAnsi="宋体"/>
          <w:color w:val="auto"/>
          <w:highlight w:val="none"/>
        </w:rPr>
      </w:pPr>
      <w:r>
        <w:rPr>
          <w:rFonts w:hint="eastAsia"/>
          <w:b/>
          <w:color w:val="auto"/>
          <w:sz w:val="24"/>
          <w:highlight w:val="none"/>
        </w:rPr>
        <w:t>二、招标文件</w:t>
      </w:r>
    </w:p>
    <w:p w14:paraId="64BE849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7.招标文件的构成</w:t>
      </w:r>
    </w:p>
    <w:p w14:paraId="38825F2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招标文件共六章，各章内容如下：</w:t>
      </w:r>
    </w:p>
    <w:p w14:paraId="486A01E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第一章 投标邀请</w:t>
      </w:r>
    </w:p>
    <w:p w14:paraId="1F111BE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第二章 投标须知</w:t>
      </w:r>
    </w:p>
    <w:p w14:paraId="0BAAE1C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第三章 资格审查</w:t>
      </w:r>
    </w:p>
    <w:p w14:paraId="61CB78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第四章 评标方法及标准</w:t>
      </w:r>
    </w:p>
    <w:p w14:paraId="1F1C722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第五章 采购需求</w:t>
      </w:r>
    </w:p>
    <w:p w14:paraId="442B591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第六章 政府采购合同</w:t>
      </w:r>
    </w:p>
    <w:p w14:paraId="2ADDDD3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第七章 投标文件的组成</w:t>
      </w:r>
    </w:p>
    <w:p w14:paraId="71F1232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56B76008">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8．偏离与实质性响应</w:t>
      </w:r>
    </w:p>
    <w:p w14:paraId="6E37633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8.1投标人应当按照招标文件的要求编制投标文件。投标文件应当对招标文件提出的要求和条件作出明确响应。</w:t>
      </w:r>
    </w:p>
    <w:p w14:paraId="027F1B9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8.2偏离是指投标文件不响应或者不满足招标文件提出的要求和条件，分为实质性偏离和非实质性偏离。</w:t>
      </w:r>
    </w:p>
    <w:p w14:paraId="5505672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8.3除法律、法规和招标文件规定的其他投标无效情形外，招标文件中用“★”符号标明的条款为实质性要求和条件，对其中任何一条的偏离，为实质性偏离，其投标无效。</w:t>
      </w:r>
    </w:p>
    <w:p w14:paraId="150BCB4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8.4投标文件偏离招标文件的非实质性要求和条件，为非实质性偏离。非实质性偏离的范围和幅度应当符合【投标须知前附表】的规定，否则投标无效。</w:t>
      </w:r>
    </w:p>
    <w:p w14:paraId="23E39ED1">
      <w:pPr>
        <w:shd w:val="clear"/>
        <w:adjustRightInd w:val="0"/>
        <w:snapToGrid w:val="0"/>
        <w:spacing w:line="360" w:lineRule="auto"/>
        <w:jc w:val="left"/>
        <w:rPr>
          <w:rFonts w:ascii="宋体" w:hAnsi="宋体"/>
          <w:b/>
          <w:color w:val="auto"/>
          <w:highlight w:val="none"/>
        </w:rPr>
      </w:pPr>
      <w:r>
        <w:rPr>
          <w:rFonts w:hint="eastAsia" w:ascii="宋体" w:hAnsi="宋体"/>
          <w:b/>
          <w:color w:val="auto"/>
          <w:highlight w:val="none"/>
        </w:rPr>
        <w:t>9.询问</w:t>
      </w:r>
    </w:p>
    <w:p w14:paraId="555852A0">
      <w:pPr>
        <w:shd w:val="clear"/>
        <w:spacing w:line="400" w:lineRule="exact"/>
        <w:ind w:firstLine="420" w:firstLineChars="200"/>
        <w:rPr>
          <w:color w:val="auto"/>
          <w:szCs w:val="21"/>
          <w:highlight w:val="none"/>
        </w:rPr>
      </w:pPr>
      <w:r>
        <w:rPr>
          <w:rFonts w:hint="eastAsia" w:ascii="宋体" w:hAnsi="宋体"/>
          <w:color w:val="auto"/>
          <w:szCs w:val="21"/>
          <w:highlight w:val="none"/>
        </w:rPr>
        <w:t>9.1潜在投标人应仔细阅读和检查招标文件的全部内容。如有疑问，可以向采购人或者采购代理机构提出询问。</w:t>
      </w:r>
    </w:p>
    <w:p w14:paraId="1E38631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10.招标文件的澄清或者修改</w:t>
      </w:r>
    </w:p>
    <w:p w14:paraId="540E59D1">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10.1采购人、采购代理机构对已发出的招标文件进行必要澄清或者修改的，将在</w:t>
      </w:r>
      <w:r>
        <w:rPr>
          <w:rFonts w:hint="eastAsia" w:ascii="宋体" w:hAnsi="宋体"/>
          <w:b/>
          <w:color w:val="auto"/>
          <w:highlight w:val="none"/>
        </w:rPr>
        <w:t>【投标须知前附表】</w:t>
      </w:r>
      <w:r>
        <w:rPr>
          <w:rFonts w:hint="eastAsia" w:ascii="宋体" w:hAnsi="宋体"/>
          <w:color w:val="auto"/>
          <w:highlight w:val="none"/>
        </w:rPr>
        <w:t>规定的招标公告指定媒体上发布澄清或者修改公告。</w:t>
      </w:r>
    </w:p>
    <w:p w14:paraId="783F9BDA">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10.2澄清或者修改的内容可能影响投标文件编制的，采购人、采购代理机构将在提交投标文件截止时间15日前，以书面形式通知所有获取招标文件的潜在投标人；不足15日的，将相应延长提交投标文件的截止时间。</w:t>
      </w:r>
    </w:p>
    <w:p w14:paraId="54301D4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10.3招标文件的提供期限届满后，获取招标文件的潜在投标人不足3家的，可以顺延提供期限，并在指定媒体上发布修改公告。</w:t>
      </w:r>
    </w:p>
    <w:p w14:paraId="29359663">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10.4 通过电子招标投标交易平台下载招标文件的，请获取招标文件的潜在投标人及时关注招标公告指定媒体发布的澄清或者修改公告，采购人、采购代理机构不再书面通知。</w:t>
      </w:r>
    </w:p>
    <w:p w14:paraId="247BE9DB">
      <w:pPr>
        <w:shd w:val="clear"/>
        <w:adjustRightInd w:val="0"/>
        <w:snapToGrid w:val="0"/>
        <w:spacing w:line="360" w:lineRule="auto"/>
        <w:jc w:val="left"/>
        <w:rPr>
          <w:b/>
          <w:color w:val="auto"/>
          <w:sz w:val="24"/>
          <w:highlight w:val="none"/>
        </w:rPr>
      </w:pPr>
      <w:r>
        <w:rPr>
          <w:rFonts w:hint="eastAsia"/>
          <w:b/>
          <w:color w:val="auto"/>
          <w:sz w:val="24"/>
          <w:highlight w:val="none"/>
        </w:rPr>
        <w:t>三、投标文件</w:t>
      </w:r>
    </w:p>
    <w:p w14:paraId="310B9EB2">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11.投标语言</w:t>
      </w:r>
    </w:p>
    <w:p w14:paraId="28553BF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11.1除专用术语外，投标人提交的投标文件及投标人与采购代理机构就有关投标的所有来往函电均使用中文。投标人可以提交其它语言的资料，但应附有中文注释，有差异时以中文为准。</w:t>
      </w:r>
    </w:p>
    <w:p w14:paraId="540B82F5">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12.</w:t>
      </w:r>
      <w:r>
        <w:rPr>
          <w:rFonts w:hint="eastAsia" w:ascii="宋体" w:hAnsi="宋体"/>
          <w:b/>
          <w:color w:val="auto"/>
          <w:szCs w:val="21"/>
          <w:highlight w:val="none"/>
        </w:rPr>
        <w:t xml:space="preserve"> 计量单位</w:t>
      </w:r>
    </w:p>
    <w:p w14:paraId="20C640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12.1所有计量均采用中华人民共和国法定计量单位。</w:t>
      </w:r>
    </w:p>
    <w:p w14:paraId="77552459">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szCs w:val="21"/>
          <w:highlight w:val="none"/>
        </w:rPr>
        <w:t>13.</w:t>
      </w:r>
      <w:r>
        <w:rPr>
          <w:rFonts w:hint="eastAsia" w:ascii="宋体" w:hAnsi="宋体"/>
          <w:b/>
          <w:bCs/>
          <w:color w:val="auto"/>
          <w:szCs w:val="21"/>
          <w:highlight w:val="none"/>
        </w:rPr>
        <w:t xml:space="preserve"> 投标文件的组成</w:t>
      </w:r>
    </w:p>
    <w:p w14:paraId="4AAEE65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13.1投标文件由如下内容组成：</w:t>
      </w:r>
    </w:p>
    <w:p w14:paraId="18E30B26">
      <w:pPr>
        <w:shd w:val="clea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797D11F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（1）开标一览表</w:t>
      </w:r>
    </w:p>
    <w:p w14:paraId="3E9BB3E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（2）投标保</w:t>
      </w:r>
      <w:r>
        <w:rPr>
          <w:rFonts w:hint="eastAsia" w:ascii="宋体" w:hAnsi="宋体"/>
          <w:bCs/>
          <w:color w:val="auto"/>
          <w:szCs w:val="21"/>
          <w:highlight w:val="none"/>
        </w:rPr>
        <w:t>证金</w:t>
      </w:r>
    </w:p>
    <w:p w14:paraId="06411C05">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（3）法定代表人（单位负责人）身份证明或授权委托书</w:t>
      </w:r>
    </w:p>
    <w:p w14:paraId="46BB68BF">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（4）投标人提供的资格证明文件</w:t>
      </w:r>
    </w:p>
    <w:p w14:paraId="0C746E08">
      <w:pPr>
        <w:shd w:val="clear"/>
        <w:adjustRightInd w:val="0"/>
        <w:snapToGrid w:val="0"/>
        <w:spacing w:before="156" w:beforeLines="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第二部分 商务和技术文件</w:t>
      </w:r>
    </w:p>
    <w:p w14:paraId="3167510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（5）投标函</w:t>
      </w:r>
    </w:p>
    <w:p w14:paraId="585DAF6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（6）分项报价</w:t>
      </w:r>
    </w:p>
    <w:p w14:paraId="1487C65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（7）采购需求响应</w:t>
      </w:r>
    </w:p>
    <w:p w14:paraId="2DDE668E">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（8）合同条款偏离表</w:t>
      </w:r>
    </w:p>
    <w:p w14:paraId="240A4444">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（9）采购需求偏离表</w:t>
      </w:r>
    </w:p>
    <w:p w14:paraId="0090BA2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（10）享受政府采购政策优惠的证明资料</w:t>
      </w:r>
    </w:p>
    <w:p w14:paraId="064D77A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132C66E1">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（12）投标人认为需提供的其他资料</w:t>
      </w:r>
    </w:p>
    <w:p w14:paraId="7CABC49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13.2投标人可以编制资格审查索引表、符合性审查索引表、评审索引表，以方便采购人、采购代理机构、评标委员会在资格审查及评审时查阅。</w:t>
      </w:r>
    </w:p>
    <w:p w14:paraId="7AACA8D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13.3根据《</w:t>
      </w:r>
      <w:r>
        <w:rPr>
          <w:rFonts w:hint="eastAsia" w:ascii="宋体" w:hAnsi="宋体"/>
          <w:color w:val="auto"/>
          <w:szCs w:val="21"/>
          <w:highlight w:val="none"/>
          <w:lang w:eastAsia="zh-CN"/>
        </w:rPr>
        <w:t>中华人民共和国政府采购法</w:t>
      </w:r>
      <w:r>
        <w:rPr>
          <w:rFonts w:hint="eastAsia" w:ascii="宋体" w:hAnsi="宋体"/>
          <w:color w:val="auto"/>
          <w:szCs w:val="21"/>
          <w:highlight w:val="none"/>
        </w:rPr>
        <w:t>》第四十二条的规定，投标人无论中标与否，其投标文件不予退还。</w:t>
      </w:r>
    </w:p>
    <w:p w14:paraId="15351E92">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14. 投标报价</w:t>
      </w:r>
    </w:p>
    <w:p w14:paraId="3FA7425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734211E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2投标人的投标报价不得超过采购预算，也不得超过最高限价(如果设定)，否则其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5CAC8A99">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szCs w:val="21"/>
          <w:highlight w:val="none"/>
        </w:rPr>
        <w:t>14.3 投标人应在分项报价明细表中对每项内容给予详细分项</w:t>
      </w:r>
      <w:r>
        <w:rPr>
          <w:rFonts w:hint="eastAsia" w:ascii="宋体" w:hAnsi="宋体"/>
          <w:color w:val="auto"/>
          <w:highlight w:val="none"/>
        </w:rPr>
        <w:t>报价。</w:t>
      </w:r>
    </w:p>
    <w:p w14:paraId="3E5103AC">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00F3D159">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5506D3C1">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14.6</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62B3FC9F">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5AB37E26">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14.8投标报价的其他要求见</w:t>
      </w:r>
      <w:r>
        <w:rPr>
          <w:rFonts w:hint="eastAsia" w:ascii="宋体" w:hAnsi="宋体"/>
          <w:b/>
          <w:color w:val="auto"/>
          <w:szCs w:val="21"/>
          <w:highlight w:val="none"/>
        </w:rPr>
        <w:t>【投标须知前附表】</w:t>
      </w:r>
      <w:r>
        <w:rPr>
          <w:rFonts w:hint="eastAsia" w:ascii="宋体" w:hAnsi="宋体"/>
          <w:color w:val="auto"/>
          <w:highlight w:val="none"/>
        </w:rPr>
        <w:t>。</w:t>
      </w:r>
    </w:p>
    <w:p w14:paraId="5D03E8C4">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highlight w:val="none"/>
        </w:rPr>
        <w:t xml:space="preserve">15. </w:t>
      </w:r>
      <w:r>
        <w:rPr>
          <w:rFonts w:hint="eastAsia" w:ascii="宋体" w:hAnsi="宋体"/>
          <w:b/>
          <w:bCs/>
          <w:color w:val="auto"/>
          <w:szCs w:val="21"/>
          <w:highlight w:val="none"/>
        </w:rPr>
        <w:t>投标人的资格证明文件</w:t>
      </w:r>
    </w:p>
    <w:p w14:paraId="5995E39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15.1除【投标须知前附表】另有规定外，投标人应按下列规定提供资格证明文件。</w:t>
      </w:r>
    </w:p>
    <w:p w14:paraId="1E01141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法人或者其他组织的营业执照等主体资格证明文件，自然人的身份证明：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57BF9E9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（2）投标人资格声明(格式)</w:t>
      </w:r>
    </w:p>
    <w:p w14:paraId="742E7B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（3）符合特定资格条件证明材料复印件或者情况说明原件。具体要求见【投标须知前附表】。</w:t>
      </w:r>
    </w:p>
    <w:p w14:paraId="7F30A02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15.2投标人以联合体形式投标的，除应提交联合协议(格式)外，参加联合体的各方均应提交上款资格证明材料。</w:t>
      </w:r>
    </w:p>
    <w:p w14:paraId="55271EA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15.3投标人的资格证明文件均应为有效文件并加盖投标人单位章，并按招标文件规定签署。</w:t>
      </w:r>
    </w:p>
    <w:p w14:paraId="18B050F6">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16. 投标货物符合招标文件规定的证明文件</w:t>
      </w:r>
    </w:p>
    <w:p w14:paraId="6447641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投标人应当提交其拟供的合同项下货物及其服务符合招标文件规定的证明文件,该证明文件作为投标文件的一部分。</w:t>
      </w:r>
    </w:p>
    <w:p w14:paraId="5A99C3C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投标人在货物说明一览表中应当说明货物的品牌型号、规格参数、制造商及原产地等，交货时应出具原产地证明及出厂合格证明。</w:t>
      </w:r>
    </w:p>
    <w:p w14:paraId="36FEC31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上述证明文件可以是文字资料、图纸和数据，并须提供：</w:t>
      </w:r>
    </w:p>
    <w:p w14:paraId="6434C3B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（1）货物主要性能和参数的详细说明； </w:t>
      </w:r>
    </w:p>
    <w:p w14:paraId="394E16C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（2）对照招标文件技术规格，逐条说明所提供货物和服务对招标文件的技术规格条文的响应与偏离。对有具体参数要求的指标，投标人应提供具体参数值。</w:t>
      </w:r>
    </w:p>
    <w:p w14:paraId="5A34178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16.4 采购人、采购代理机构一般不得要求投标人提供样品，仅凭书面方式不能准确描述采购需求或者需要对样品进行主观判断以确认是否满足采购需求等特殊情况除外。</w:t>
      </w:r>
    </w:p>
    <w:p w14:paraId="19856F74">
      <w:pPr>
        <w:shd w:val="clear"/>
        <w:adjustRightInd w:val="0"/>
        <w:snapToGrid w:val="0"/>
        <w:spacing w:before="156" w:beforeLines="50" w:line="360" w:lineRule="auto"/>
        <w:ind w:firstLine="422" w:firstLineChars="200"/>
        <w:jc w:val="left"/>
        <w:rPr>
          <w:rFonts w:ascii="宋体" w:hAnsi="宋体"/>
          <w:color w:val="auto"/>
          <w:szCs w:val="21"/>
          <w:highlight w:val="none"/>
        </w:rPr>
      </w:pPr>
      <w:r>
        <w:rPr>
          <w:rFonts w:hint="eastAsia" w:ascii="宋体" w:hAnsi="宋体"/>
          <w:b/>
          <w:color w:val="auto"/>
          <w:szCs w:val="21"/>
          <w:highlight w:val="none"/>
        </w:rPr>
        <w:t>投标须知前附表</w:t>
      </w:r>
      <w:r>
        <w:rPr>
          <w:rFonts w:hint="eastAsia" w:ascii="宋体" w:hAnsi="宋体"/>
          <w:color w:val="auto"/>
          <w:szCs w:val="21"/>
          <w:highlight w:val="none"/>
        </w:rPr>
        <w:t>规定投标人在投标时提供样品的，投标人</w:t>
      </w:r>
      <w:r>
        <w:rPr>
          <w:color w:val="auto"/>
          <w:szCs w:val="21"/>
          <w:highlight w:val="none"/>
        </w:rPr>
        <w:t>有以下情形之一的</w:t>
      </w:r>
      <w:r>
        <w:rPr>
          <w:rFonts w:hint="eastAsia"/>
          <w:color w:val="auto"/>
          <w:szCs w:val="21"/>
          <w:highlight w:val="none"/>
        </w:rPr>
        <w:t>，</w:t>
      </w:r>
      <w:r>
        <w:rPr>
          <w:rFonts w:hint="eastAsia" w:ascii="宋体" w:hAnsi="宋体"/>
          <w:color w:val="auto"/>
          <w:szCs w:val="21"/>
          <w:highlight w:val="none"/>
        </w:rPr>
        <w:t>在评标时将其视为无效投标。</w:t>
      </w:r>
    </w:p>
    <w:p w14:paraId="1D92B38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（1）未在投标须知前附表规定的提交时间、地点提交</w:t>
      </w:r>
      <w:r>
        <w:rPr>
          <w:rFonts w:ascii="宋体" w:hAnsi="宋体"/>
          <w:color w:val="auto"/>
          <w:szCs w:val="21"/>
          <w:highlight w:val="none"/>
        </w:rPr>
        <w:t>的</w:t>
      </w:r>
      <w:r>
        <w:rPr>
          <w:rFonts w:hint="eastAsia" w:ascii="宋体" w:hAnsi="宋体"/>
          <w:color w:val="auto"/>
          <w:szCs w:val="21"/>
          <w:highlight w:val="none"/>
        </w:rPr>
        <w:t>；</w:t>
      </w:r>
    </w:p>
    <w:p w14:paraId="2C72EB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（2）投标人提供的样品与投标文件提供样品的规格、型号不一致</w:t>
      </w:r>
      <w:r>
        <w:rPr>
          <w:rFonts w:ascii="宋体" w:hAnsi="宋体"/>
          <w:color w:val="auto"/>
          <w:szCs w:val="21"/>
          <w:highlight w:val="none"/>
        </w:rPr>
        <w:t>的</w:t>
      </w:r>
      <w:r>
        <w:rPr>
          <w:rFonts w:hint="eastAsia" w:ascii="宋体" w:hAnsi="宋体"/>
          <w:color w:val="auto"/>
          <w:szCs w:val="21"/>
          <w:highlight w:val="none"/>
        </w:rPr>
        <w:t>。</w:t>
      </w:r>
    </w:p>
    <w:p w14:paraId="70EC8B10">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17. 投标有效期</w:t>
      </w:r>
    </w:p>
    <w:p w14:paraId="5876118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 除</w:t>
      </w:r>
      <w:r>
        <w:rPr>
          <w:rFonts w:hint="eastAsia" w:ascii="宋体" w:hAnsi="宋体"/>
          <w:b/>
          <w:color w:val="auto"/>
          <w:szCs w:val="21"/>
          <w:highlight w:val="none"/>
        </w:rPr>
        <w:t>【投标须知前附表】</w:t>
      </w:r>
      <w:r>
        <w:rPr>
          <w:rFonts w:hint="eastAsia" w:ascii="宋体" w:hAnsi="宋体"/>
          <w:color w:val="auto"/>
          <w:szCs w:val="21"/>
          <w:highlight w:val="none"/>
        </w:rPr>
        <w:t>另有规定外，投标有效期为90日，</w:t>
      </w:r>
      <w:r>
        <w:rPr>
          <w:rFonts w:hint="eastAsia" w:ascii="宋体" w:hAnsi="宋体" w:cs="Arial"/>
          <w:color w:val="auto"/>
          <w:szCs w:val="21"/>
          <w:highlight w:val="none"/>
        </w:rPr>
        <w:t>投标有效期从提交投标文件的截止之日起算。</w:t>
      </w:r>
      <w:r>
        <w:rPr>
          <w:rFonts w:hint="eastAsia" w:ascii="宋体" w:hAnsi="宋体"/>
          <w:color w:val="auto"/>
          <w:szCs w:val="21"/>
          <w:highlight w:val="none"/>
        </w:rPr>
        <w:t>投标有效期不足的投标，在评标时将其视为投标无效。</w:t>
      </w:r>
    </w:p>
    <w:p w14:paraId="5807B4C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 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p>
    <w:p w14:paraId="7B79203D">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18. 投标保证金（本项目不缴纳投标保证金）</w:t>
      </w:r>
    </w:p>
    <w:p w14:paraId="3364B0C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18.1 </w:t>
      </w:r>
      <w:r>
        <w:rPr>
          <w:rFonts w:hint="eastAsia" w:ascii="宋体" w:hAnsi="宋体"/>
          <w:b/>
          <w:color w:val="auto"/>
          <w:szCs w:val="21"/>
          <w:highlight w:val="none"/>
        </w:rPr>
        <w:t>【投标须知前附表】</w:t>
      </w:r>
      <w:r>
        <w:rPr>
          <w:rFonts w:hint="eastAsia" w:ascii="宋体" w:hAnsi="宋体"/>
          <w:color w:val="auto"/>
          <w:szCs w:val="21"/>
          <w:highlight w:val="none"/>
        </w:rPr>
        <w:t>要求投标人提交</w:t>
      </w:r>
      <w:r>
        <w:rPr>
          <w:rFonts w:hint="eastAsia" w:ascii="宋体" w:hAnsi="宋体"/>
          <w:bCs/>
          <w:color w:val="auto"/>
          <w:szCs w:val="21"/>
          <w:highlight w:val="none"/>
        </w:rPr>
        <w:t>投标保证金的</w:t>
      </w:r>
      <w:r>
        <w:rPr>
          <w:rFonts w:hint="eastAsia" w:ascii="宋体" w:hAnsi="宋体"/>
          <w:color w:val="auto"/>
          <w:szCs w:val="21"/>
          <w:highlight w:val="none"/>
        </w:rPr>
        <w:t>，</w:t>
      </w:r>
      <w:r>
        <w:rPr>
          <w:rFonts w:hint="eastAsia" w:ascii="宋体" w:hAnsi="宋体"/>
          <w:bCs/>
          <w:color w:val="auto"/>
          <w:szCs w:val="21"/>
          <w:highlight w:val="none"/>
        </w:rPr>
        <w:t>投标人应</w:t>
      </w:r>
      <w:r>
        <w:rPr>
          <w:rFonts w:hint="eastAsia" w:ascii="宋体" w:hAnsi="宋体"/>
          <w:color w:val="auto"/>
          <w:szCs w:val="21"/>
          <w:highlight w:val="none"/>
        </w:rPr>
        <w:t>以支票、汇票、本票或金融机构、担保机构出具的保函等非现金形式，</w:t>
      </w:r>
      <w:r>
        <w:rPr>
          <w:rFonts w:hint="eastAsia" w:ascii="宋体" w:hAnsi="宋体"/>
          <w:bCs/>
          <w:color w:val="auto"/>
          <w:szCs w:val="21"/>
          <w:highlight w:val="none"/>
        </w:rPr>
        <w:t>在</w:t>
      </w:r>
      <w:r>
        <w:rPr>
          <w:rFonts w:hint="eastAsia" w:ascii="宋体" w:hAnsi="宋体"/>
          <w:color w:val="auto"/>
          <w:szCs w:val="21"/>
          <w:highlight w:val="none"/>
        </w:rPr>
        <w:t>提交投标文件的截止时间</w:t>
      </w:r>
      <w:r>
        <w:rPr>
          <w:rFonts w:hint="eastAsia" w:ascii="宋体" w:hAnsi="宋体"/>
          <w:bCs/>
          <w:color w:val="auto"/>
          <w:szCs w:val="21"/>
          <w:highlight w:val="none"/>
        </w:rPr>
        <w:t>前提交投标保证金</w:t>
      </w:r>
      <w:r>
        <w:rPr>
          <w:rFonts w:hint="eastAsia" w:ascii="宋体" w:hAnsi="宋体"/>
          <w:color w:val="auto"/>
          <w:szCs w:val="21"/>
          <w:highlight w:val="none"/>
        </w:rPr>
        <w:t>。</w:t>
      </w:r>
      <w:r>
        <w:rPr>
          <w:rFonts w:hint="eastAsia" w:ascii="宋体" w:hAnsi="宋体"/>
          <w:bCs/>
          <w:color w:val="auto"/>
          <w:szCs w:val="21"/>
          <w:highlight w:val="none"/>
        </w:rPr>
        <w:t>投标保证金有效期应与投标有效期一致。</w:t>
      </w:r>
    </w:p>
    <w:p w14:paraId="19CD10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投标保证金应以投标人自身名义缴纳，其名称应与投标人名称一致，不得以分支机构等他人名义缴纳。联合体投标的，其投标保证金由牵头方缴纳。</w:t>
      </w:r>
    </w:p>
    <w:p w14:paraId="1C1AD7F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18.3 联合体投标的，可以由联合体中的一方或者共同提交投标保证金。以一方名义提交投标保证金的，对联合体各方均具有约束力。</w:t>
      </w:r>
    </w:p>
    <w:p w14:paraId="5780A4A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18.4投标保证金的退还按以下规定办理：</w:t>
      </w:r>
    </w:p>
    <w:p w14:paraId="4203085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（1）中标投标人的投标保证金，将在政府采购合同签订后5个工作日内退还。</w:t>
      </w:r>
    </w:p>
    <w:p w14:paraId="46E92AF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（2）未中标的投标人的投标保证金，将在中标通知书发出后5个工作日内退还。</w:t>
      </w:r>
    </w:p>
    <w:p w14:paraId="76CDED7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（3）终止招标的。对于已递交投标保证金的，采购代理机构在终止招标公告发布后5个工作日内退还。</w:t>
      </w:r>
    </w:p>
    <w:p w14:paraId="2C8AD70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（4）在投标截止日前撤回投标的，对于已递交投标保证金的，采购代理机构在收到投标人书面撤回投标通知之日起5个工作日内退还。</w:t>
      </w:r>
    </w:p>
    <w:p w14:paraId="2F1748E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18.5 有以下情形之一的，投标保证金将不予退还，上缴国库：</w:t>
      </w:r>
    </w:p>
    <w:p w14:paraId="2C273A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 xml:space="preserve">（1）投标人在投标有效期内撤销投标文件； </w:t>
      </w:r>
    </w:p>
    <w:p w14:paraId="0E0E8DF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（2）提供虚假材料谋取中标的；</w:t>
      </w:r>
    </w:p>
    <w:p w14:paraId="0777FCC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（3）确定为中标人后，中标人放弃中标的；</w:t>
      </w:r>
    </w:p>
    <w:p w14:paraId="0590F0A8">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（4）中标通知书发出后，中标人不签订合同或转让、分包项目以及拒绝履行合同义务的；</w:t>
      </w:r>
    </w:p>
    <w:p w14:paraId="6A40958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（5）投标人有25.1和25.2规定的串通投标行为的</w:t>
      </w:r>
    </w:p>
    <w:p w14:paraId="4EE8694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（6）法律法规或招标文件规定的其他情形。</w:t>
      </w:r>
    </w:p>
    <w:p w14:paraId="46B901CC">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上款第（3）、（4）项对因严重自然灾害和其他不可抗力事件产生的情形除外。</w:t>
      </w:r>
    </w:p>
    <w:p w14:paraId="46807FFE">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19.分包</w:t>
      </w:r>
    </w:p>
    <w:p w14:paraId="753E3E94">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19.1投标人拟在中标后将中</w:t>
      </w:r>
      <w:r>
        <w:rPr>
          <w:rFonts w:hint="eastAsia" w:ascii="宋体" w:hAnsi="宋体"/>
          <w:color w:val="auto"/>
          <w:szCs w:val="21"/>
          <w:highlight w:val="none"/>
        </w:rPr>
        <w:t>标项目的非主体、非关键性工作进行分包的，应符合</w:t>
      </w:r>
      <w:r>
        <w:rPr>
          <w:rFonts w:hint="eastAsia" w:ascii="宋体" w:hAnsi="宋体"/>
          <w:b/>
          <w:color w:val="auto"/>
          <w:szCs w:val="21"/>
          <w:highlight w:val="none"/>
        </w:rPr>
        <w:t>【投标须知前附表】</w:t>
      </w:r>
      <w:r>
        <w:rPr>
          <w:rFonts w:hint="eastAsia" w:ascii="宋体" w:hAnsi="宋体"/>
          <w:color w:val="auto"/>
          <w:szCs w:val="21"/>
          <w:highlight w:val="none"/>
        </w:rPr>
        <w:t>规定的分包内容、分包金</w:t>
      </w:r>
      <w:r>
        <w:rPr>
          <w:rFonts w:hint="eastAsia" w:ascii="宋体" w:hAnsi="宋体"/>
          <w:color w:val="auto"/>
          <w:highlight w:val="none"/>
        </w:rPr>
        <w:t>额和资质要求等限制性条件，并在投标文件中载明分包承担主体，且分包承担主体不得再次分包。</w:t>
      </w:r>
    </w:p>
    <w:p w14:paraId="3625C25F">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19.2中标人应当就分包项目向采购人负责，分包承担主体就分包项目承担连带责任。</w:t>
      </w:r>
    </w:p>
    <w:p w14:paraId="5707FA33">
      <w:pPr>
        <w:shd w:val="clear"/>
        <w:adjustRightInd w:val="0"/>
        <w:snapToGrid w:val="0"/>
        <w:spacing w:before="156" w:beforeLines="50" w:line="360" w:lineRule="auto"/>
        <w:ind w:firstLine="420" w:firstLineChars="200"/>
        <w:jc w:val="left"/>
        <w:rPr>
          <w:rFonts w:ascii="宋体" w:hAnsi="宋体"/>
          <w:color w:val="auto"/>
          <w:highlight w:val="none"/>
        </w:rPr>
      </w:pPr>
      <w:r>
        <w:rPr>
          <w:rFonts w:hint="eastAsia" w:ascii="宋体" w:hAnsi="宋体"/>
          <w:color w:val="auto"/>
          <w:highlight w:val="none"/>
        </w:rPr>
        <w:t>19.3不符合招标文件中有关分包规定的，其</w:t>
      </w:r>
      <w:r>
        <w:rPr>
          <w:rFonts w:hint="eastAsia" w:ascii="宋体" w:hAnsi="宋体"/>
          <w:b/>
          <w:color w:val="auto"/>
          <w:highlight w:val="none"/>
        </w:rPr>
        <w:t>投标无效</w:t>
      </w:r>
      <w:r>
        <w:rPr>
          <w:rFonts w:hint="eastAsia" w:ascii="宋体" w:hAnsi="宋体"/>
          <w:color w:val="auto"/>
          <w:highlight w:val="none"/>
        </w:rPr>
        <w:t>。</w:t>
      </w:r>
    </w:p>
    <w:p w14:paraId="0774379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20. 投标文件的签署</w:t>
      </w:r>
    </w:p>
    <w:p w14:paraId="2D7058BA">
      <w:pPr>
        <w:shd w:val="clear"/>
        <w:spacing w:line="400" w:lineRule="atLeast"/>
        <w:ind w:firstLine="420" w:firstLineChars="200"/>
        <w:rPr>
          <w:rFonts w:ascii="宋体" w:hAnsi="宋体"/>
          <w:color w:val="auto"/>
          <w:szCs w:val="21"/>
          <w:highlight w:val="none"/>
        </w:rPr>
      </w:pPr>
      <w:r>
        <w:rPr>
          <w:rFonts w:hint="eastAsia" w:ascii="宋体" w:hAnsi="宋体"/>
          <w:color w:val="auto"/>
          <w:szCs w:val="21"/>
          <w:highlight w:val="none"/>
        </w:rPr>
        <w:t>20.1电子投标文件：投标人应按照电子招标文件要求制作投标文件，并进行电子签名和盖章。</w:t>
      </w:r>
    </w:p>
    <w:p w14:paraId="6E7D6195">
      <w:pPr>
        <w:shd w:val="clear"/>
        <w:spacing w:line="400" w:lineRule="exact"/>
        <w:ind w:right="31" w:firstLine="420" w:firstLineChars="200"/>
        <w:rPr>
          <w:rFonts w:ascii="宋体" w:hAnsi="宋体"/>
          <w:color w:val="auto"/>
          <w:szCs w:val="21"/>
          <w:highlight w:val="none"/>
        </w:rPr>
      </w:pPr>
      <w:r>
        <w:rPr>
          <w:rFonts w:hint="eastAsia" w:ascii="宋体" w:hAnsi="宋体"/>
          <w:color w:val="auto"/>
          <w:szCs w:val="21"/>
          <w:highlight w:val="none"/>
        </w:rPr>
        <w:t>20.2投标人确认投标后，应从交易平台上下载“政府采购电子招标文件制作工具”，并使用此工具编制电子投标文件，否则将可能影响电子投标文件的上传而导致投标无效。</w:t>
      </w:r>
    </w:p>
    <w:p w14:paraId="2BCA5443">
      <w:pPr>
        <w:shd w:val="clear"/>
        <w:spacing w:line="400" w:lineRule="exact"/>
        <w:ind w:right="31" w:firstLine="420" w:firstLineChars="200"/>
        <w:rPr>
          <w:rFonts w:ascii="宋体" w:hAnsi="宋体"/>
          <w:color w:val="auto"/>
          <w:szCs w:val="21"/>
          <w:highlight w:val="none"/>
        </w:rPr>
      </w:pPr>
      <w:r>
        <w:rPr>
          <w:rFonts w:hint="eastAsia" w:ascii="宋体" w:hAnsi="宋体"/>
          <w:color w:val="auto"/>
          <w:szCs w:val="21"/>
          <w:highlight w:val="none"/>
        </w:rPr>
        <w:t>20.3投标人因自身原因导致电子投标文件无法导入电子评标系统的，该投标文件视为无效投标文件。</w:t>
      </w:r>
    </w:p>
    <w:p w14:paraId="2513902E">
      <w:pPr>
        <w:shd w:val="clear"/>
        <w:spacing w:line="400" w:lineRule="exact"/>
        <w:ind w:right="31" w:firstLine="420" w:firstLineChars="200"/>
        <w:rPr>
          <w:rFonts w:ascii="宋体" w:hAnsi="宋体" w:cs="宋体"/>
          <w:color w:val="auto"/>
          <w:szCs w:val="21"/>
          <w:highlight w:val="none"/>
        </w:rPr>
      </w:pPr>
      <w:r>
        <w:rPr>
          <w:rFonts w:hint="eastAsia" w:ascii="宋体" w:hAnsi="宋体"/>
          <w:color w:val="auto"/>
          <w:szCs w:val="21"/>
          <w:highlight w:val="none"/>
        </w:rPr>
        <w:t>20.4电子招投标文件具有法律效力，若投标文件与招标文件要求不一致，其内容影响中标结果时，责任由投标人自行承担。</w:t>
      </w:r>
    </w:p>
    <w:p w14:paraId="4107F8C4">
      <w:pPr>
        <w:shd w:val="clear"/>
        <w:adjustRightInd w:val="0"/>
        <w:snapToGrid w:val="0"/>
        <w:spacing w:line="360" w:lineRule="auto"/>
        <w:jc w:val="left"/>
        <w:rPr>
          <w:b/>
          <w:color w:val="auto"/>
          <w:sz w:val="24"/>
          <w:highlight w:val="none"/>
        </w:rPr>
      </w:pPr>
      <w:r>
        <w:rPr>
          <w:rFonts w:hint="eastAsia"/>
          <w:b/>
          <w:color w:val="auto"/>
          <w:sz w:val="24"/>
          <w:highlight w:val="none"/>
        </w:rPr>
        <w:t>四、投标</w:t>
      </w:r>
    </w:p>
    <w:p w14:paraId="0BE6DC1F">
      <w:pPr>
        <w:shd w:val="clear"/>
        <w:spacing w:line="360" w:lineRule="atLeast"/>
        <w:ind w:firstLine="315" w:firstLineChars="150"/>
        <w:rPr>
          <w:color w:val="auto"/>
          <w:highlight w:val="none"/>
        </w:rPr>
      </w:pPr>
      <w:r>
        <w:rPr>
          <w:rFonts w:hint="eastAsia" w:ascii="宋体" w:hAnsi="宋体"/>
          <w:color w:val="auto"/>
          <w:highlight w:val="none"/>
        </w:rPr>
        <w:t>21．投标人应准备所投项目的电子投标文件一份，此投标文件须根据招标人提供的后缀名为YYZY</w:t>
      </w:r>
      <w:r>
        <w:rPr>
          <w:rFonts w:hint="eastAsia" w:ascii="宋体" w:hAnsi="宋体"/>
          <w:color w:val="auto"/>
          <w:szCs w:val="21"/>
          <w:highlight w:val="none"/>
        </w:rPr>
        <w:t>格式</w:t>
      </w:r>
      <w:r>
        <w:rPr>
          <w:rFonts w:hint="eastAsia" w:ascii="宋体" w:hAnsi="宋体"/>
          <w:color w:val="auto"/>
          <w:highlight w:val="none"/>
        </w:rPr>
        <w:t>的电子招标文件进行制作，电子投标文件制作工具可登录</w:t>
      </w:r>
      <w:r>
        <w:rPr>
          <w:rFonts w:hint="eastAsia" w:ascii="宋体" w:hAnsi="宋体" w:cs="宋体"/>
          <w:color w:val="auto"/>
          <w:kern w:val="0"/>
          <w:szCs w:val="21"/>
          <w:highlight w:val="none"/>
        </w:rPr>
        <w:t>“</w:t>
      </w:r>
      <w:r>
        <w:rPr>
          <w:rFonts w:hint="eastAsia" w:ascii="宋体" w:hAnsi="宋体"/>
          <w:color w:val="auto"/>
          <w:szCs w:val="21"/>
          <w:highlight w:val="none"/>
        </w:rPr>
        <w:t>岳阳市公共资源交易</w:t>
      </w:r>
      <w:r>
        <w:rPr>
          <w:rFonts w:hint="eastAsia" w:ascii="宋体" w:hAnsi="宋体" w:cs="宋体"/>
          <w:color w:val="auto"/>
          <w:szCs w:val="21"/>
          <w:highlight w:val="none"/>
        </w:rPr>
        <w:t>网</w:t>
      </w:r>
      <w:r>
        <w:rPr>
          <w:rFonts w:hint="eastAsia" w:ascii="宋体" w:hAnsi="宋体" w:cs="宋体"/>
          <w:color w:val="auto"/>
          <w:kern w:val="0"/>
          <w:szCs w:val="21"/>
          <w:highlight w:val="none"/>
        </w:rPr>
        <w:t>”</w:t>
      </w:r>
      <w:r>
        <w:rPr>
          <w:rFonts w:hint="eastAsia" w:ascii="宋体" w:hAnsi="宋体"/>
          <w:color w:val="auto"/>
          <w:szCs w:val="21"/>
          <w:highlight w:val="none"/>
        </w:rPr>
        <w:t xml:space="preserve"> （</w:t>
      </w:r>
      <w:r>
        <w:rPr>
          <w:rFonts w:ascii="宋体" w:hAnsi="宋体"/>
          <w:color w:val="auto"/>
          <w:szCs w:val="21"/>
          <w:highlight w:val="none"/>
        </w:rPr>
        <w:t>http</w:t>
      </w:r>
      <w:r>
        <w:rPr>
          <w:rFonts w:hint="eastAsia" w:ascii="宋体" w:hAnsi="宋体"/>
          <w:color w:val="auto"/>
          <w:szCs w:val="21"/>
          <w:highlight w:val="none"/>
        </w:rPr>
        <w:t>：</w:t>
      </w:r>
      <w:r>
        <w:rPr>
          <w:rFonts w:ascii="宋体" w:hAnsi="宋体"/>
          <w:color w:val="auto"/>
          <w:szCs w:val="21"/>
          <w:highlight w:val="none"/>
        </w:rPr>
        <w:t>//ggzy.yueyang.gov.cn/）</w:t>
      </w:r>
      <w:r>
        <w:rPr>
          <w:rFonts w:hint="eastAsia" w:hAnsi="宋体"/>
          <w:color w:val="auto"/>
          <w:highlight w:val="none"/>
        </w:rPr>
        <w:t>服务指南中及时下载安装最新版本“</w:t>
      </w:r>
      <w:r>
        <w:rPr>
          <w:rFonts w:hint="eastAsia" w:hAnsi="宋体"/>
          <w:color w:val="auto"/>
          <w:highlight w:val="none"/>
          <w:lang w:eastAsia="zh-CN"/>
        </w:rPr>
        <w:t>新点投标文件制作软件（湖南版）</w:t>
      </w:r>
      <w:r>
        <w:rPr>
          <w:rFonts w:hint="eastAsia" w:hAnsi="宋体"/>
          <w:color w:val="auto"/>
          <w:highlight w:val="none"/>
        </w:rPr>
        <w:t>”。</w:t>
      </w:r>
      <w:r>
        <w:rPr>
          <w:rFonts w:hint="eastAsia" w:ascii="宋体" w:hAnsi="宋体"/>
          <w:color w:val="auto"/>
          <w:highlight w:val="none"/>
        </w:rPr>
        <w:t>在安装此软件之前，须先安装</w:t>
      </w:r>
      <w:r>
        <w:rPr>
          <w:rFonts w:hint="eastAsia" w:ascii="宋体" w:hAnsi="宋体"/>
          <w:color w:val="auto"/>
          <w:highlight w:val="none"/>
          <w:lang w:eastAsia="zh-CN"/>
        </w:rPr>
        <w:t>Office 2010</w:t>
      </w:r>
      <w:r>
        <w:rPr>
          <w:rFonts w:hint="eastAsia" w:ascii="宋体" w:hAnsi="宋体"/>
          <w:color w:val="auto"/>
          <w:highlight w:val="none"/>
        </w:rPr>
        <w:t>及以上版本。）</w:t>
      </w:r>
    </w:p>
    <w:p w14:paraId="37DBE779">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22．投标文件的编制</w:t>
      </w:r>
    </w:p>
    <w:p w14:paraId="4690CD68">
      <w:pPr>
        <w:shd w:val="clear"/>
        <w:adjustRightInd w:val="0"/>
        <w:snapToGrid w:val="0"/>
        <w:spacing w:line="360" w:lineRule="auto"/>
        <w:ind w:firstLine="422" w:firstLineChars="200"/>
        <w:jc w:val="left"/>
        <w:rPr>
          <w:rFonts w:ascii="宋体" w:hAnsi="宋体"/>
          <w:b/>
          <w:color w:val="auto"/>
          <w:szCs w:val="21"/>
          <w:highlight w:val="none"/>
        </w:rPr>
      </w:pPr>
      <w:bookmarkStart w:id="10" w:name="_Hlt226715444"/>
      <w:bookmarkEnd w:id="10"/>
      <w:bookmarkStart w:id="11" w:name="_Hlt193622730"/>
      <w:bookmarkEnd w:id="11"/>
      <w:bookmarkStart w:id="12" w:name="_Hlk499715941"/>
      <w:r>
        <w:rPr>
          <w:rFonts w:hint="eastAsia" w:ascii="宋体" w:hAnsi="宋体"/>
          <w:b/>
          <w:color w:val="auto"/>
          <w:szCs w:val="21"/>
          <w:highlight w:val="none"/>
        </w:rPr>
        <w:t>22.1 电子投标文件的编制</w:t>
      </w:r>
    </w:p>
    <w:p w14:paraId="75CB172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22.1．1投标人应当使用岳阳市公共资源交易中心电子交易平台认可的“</w:t>
      </w:r>
      <w:r>
        <w:rPr>
          <w:rFonts w:hint="eastAsia" w:ascii="宋体" w:hAnsi="宋体"/>
          <w:color w:val="auto"/>
          <w:szCs w:val="21"/>
          <w:highlight w:val="none"/>
          <w:lang w:eastAsia="zh-CN"/>
        </w:rPr>
        <w:t>新点投标文件制作软件（湖南版）</w:t>
      </w:r>
      <w:r>
        <w:rPr>
          <w:rFonts w:hint="eastAsia" w:ascii="宋体" w:hAnsi="宋体"/>
          <w:color w:val="auto"/>
          <w:szCs w:val="21"/>
          <w:highlight w:val="none"/>
        </w:rPr>
        <w:t>”制作投标文件（ 含澄清、说明文件）并进行固化、加密；</w:t>
      </w:r>
    </w:p>
    <w:p w14:paraId="73F5B22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22.1．2“电子标书软件加密锁” 具有唯一性，仅限于本单位在电子化招标投标活动中使用，不得转让和出借；</w:t>
      </w:r>
    </w:p>
    <w:p w14:paraId="27BBB10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22.1.3投标人在编制电子投标文件时应当建立分级目录，并按照标签提示导入相关内容，请投标人注意压缩文件；</w:t>
      </w:r>
    </w:p>
    <w:p w14:paraId="3E332C8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w:t>
      </w:r>
      <w:r>
        <w:rPr>
          <w:rFonts w:ascii="宋体" w:hAnsi="宋体"/>
          <w:color w:val="auto"/>
          <w:szCs w:val="21"/>
          <w:highlight w:val="none"/>
        </w:rPr>
        <w:t>4</w:t>
      </w:r>
      <w:r>
        <w:rPr>
          <w:rFonts w:hint="eastAsia" w:ascii="宋体" w:hAnsi="宋体"/>
          <w:color w:val="auto"/>
          <w:szCs w:val="21"/>
          <w:highlight w:val="none"/>
        </w:rPr>
        <w:t>电子投标文件盖章及签字</w:t>
      </w:r>
    </w:p>
    <w:p w14:paraId="750E7F1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投标文件的指定盖章处应采用电子平台认可的CA数字证书（含电子印章）</w:t>
      </w:r>
    </w:p>
    <w:bookmarkEnd w:id="12"/>
    <w:p w14:paraId="1A7728C0">
      <w:pPr>
        <w:shd w:val="clear"/>
        <w:spacing w:line="360" w:lineRule="exact"/>
        <w:ind w:firstLine="411" w:firstLineChars="196"/>
        <w:rPr>
          <w:rFonts w:ascii="宋体" w:hAnsi="宋体"/>
          <w:b/>
          <w:color w:val="auto"/>
          <w:highlight w:val="none"/>
        </w:rPr>
      </w:pPr>
      <w:r>
        <w:rPr>
          <w:rFonts w:hint="eastAsia" w:ascii="宋体" w:hAnsi="宋体"/>
          <w:color w:val="auto"/>
          <w:highlight w:val="none"/>
        </w:rPr>
        <w:t>22.1.</w:t>
      </w:r>
      <w:r>
        <w:rPr>
          <w:rFonts w:ascii="宋体" w:hAnsi="宋体"/>
          <w:color w:val="auto"/>
          <w:highlight w:val="none"/>
        </w:rPr>
        <w:t>5</w:t>
      </w:r>
      <w:r>
        <w:rPr>
          <w:rFonts w:hint="eastAsia" w:ascii="宋体" w:hAnsi="宋体"/>
          <w:color w:val="auto"/>
          <w:highlight w:val="none"/>
        </w:rPr>
        <w:t>投标人在编辑投标文件时，</w:t>
      </w:r>
      <w:r>
        <w:rPr>
          <w:rFonts w:hint="eastAsia" w:ascii="宋体" w:hAnsi="宋体"/>
          <w:b/>
          <w:color w:val="auto"/>
          <w:highlight w:val="none"/>
        </w:rPr>
        <w:t>在投标文件目录中属于本节点内容的必须上传或填写在本节点的对应位置，未按要求填写或上传的，相应责任由投标人自行承担。</w:t>
      </w:r>
    </w:p>
    <w:p w14:paraId="7E85B57D">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6</w:t>
      </w:r>
      <w:r>
        <w:rPr>
          <w:rFonts w:hint="eastAsia" w:ascii="宋体" w:hAnsi="宋体"/>
          <w:color w:val="auto"/>
          <w:highlight w:val="none"/>
        </w:rPr>
        <w:t>投标书编写完成后，</w:t>
      </w:r>
      <w:r>
        <w:rPr>
          <w:rFonts w:hint="eastAsia" w:ascii="宋体" w:hAnsi="宋体"/>
          <w:b/>
          <w:color w:val="auto"/>
          <w:highlight w:val="none"/>
        </w:rPr>
        <w:t>必须用本系统自带的电子密钥进行加密，如果误选了非本项目的规则文件导致不能在开标时解密投标文件，该投标文件将被电子开标系统拒绝，将导致投标文件无效。</w:t>
      </w:r>
    </w:p>
    <w:p w14:paraId="07299D57">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7岳阳市</w:t>
      </w:r>
      <w:r>
        <w:rPr>
          <w:rFonts w:hint="eastAsia" w:ascii="宋体" w:hAnsi="宋体"/>
          <w:color w:val="auto"/>
          <w:highlight w:val="none"/>
        </w:rPr>
        <w:t>公共资源交易中心不接受投标截止时间后递交的纸质、电子、传真等所有形式的投标文件。由于对网上招投标操作不熟悉或自身电脑、个人网络等原因导致不能在投标截止时间之前上传投标文件的，相</w:t>
      </w:r>
      <w:r>
        <w:rPr>
          <w:rFonts w:hint="eastAsia" w:ascii="宋体" w:hAnsi="宋体"/>
          <w:b/>
          <w:color w:val="auto"/>
          <w:highlight w:val="none"/>
        </w:rPr>
        <w:t>应责任由投标人自行承担</w:t>
      </w:r>
      <w:r>
        <w:rPr>
          <w:rFonts w:hint="eastAsia" w:ascii="宋体" w:hAnsi="宋体"/>
          <w:color w:val="auto"/>
          <w:highlight w:val="none"/>
        </w:rPr>
        <w:t>。建议于开标前一个工作日完成投标文件的制作与上传，如果上传有困难，请及时咨询。</w:t>
      </w:r>
    </w:p>
    <w:p w14:paraId="66CBEB49">
      <w:pPr>
        <w:shd w:val="clear"/>
        <w:spacing w:line="360" w:lineRule="exact"/>
        <w:ind w:firstLine="411" w:firstLineChars="196"/>
        <w:rPr>
          <w:rFonts w:ascii="宋体" w:hAnsi="宋体"/>
          <w:color w:val="auto"/>
          <w:highlight w:val="none"/>
        </w:rPr>
      </w:pPr>
      <w:r>
        <w:rPr>
          <w:rFonts w:hint="eastAsia" w:ascii="宋体" w:hAnsi="宋体"/>
          <w:color w:val="auto"/>
          <w:highlight w:val="none"/>
        </w:rPr>
        <w:t>22.1.</w:t>
      </w:r>
      <w:r>
        <w:rPr>
          <w:rFonts w:ascii="宋体" w:hAnsi="宋体"/>
          <w:color w:val="auto"/>
          <w:highlight w:val="none"/>
        </w:rPr>
        <w:t>8</w:t>
      </w:r>
      <w:r>
        <w:rPr>
          <w:rFonts w:hint="eastAsia" w:ascii="宋体" w:hAnsi="宋体"/>
          <w:color w:val="auto"/>
          <w:highlight w:val="none"/>
        </w:rPr>
        <w:t>如果开标时出现网络故障、技术故障，影响了招投标活动，采购人可采取措施如延期、延长上传的投标书和解密时间等，以保障招投标活动的公开、公平和公正，投标人不得对此持有异议。</w:t>
      </w:r>
    </w:p>
    <w:p w14:paraId="1D2D2ED8">
      <w:pPr>
        <w:shd w:val="clear"/>
        <w:adjustRightInd w:val="0"/>
        <w:snapToGrid w:val="0"/>
        <w:spacing w:line="360" w:lineRule="auto"/>
        <w:jc w:val="left"/>
        <w:rPr>
          <w:rFonts w:ascii="宋体" w:hAnsi="宋体"/>
          <w:color w:val="auto"/>
          <w:szCs w:val="21"/>
          <w:highlight w:val="none"/>
        </w:rPr>
      </w:pPr>
    </w:p>
    <w:p w14:paraId="05E07AE3">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23. 投标文件的递交</w:t>
      </w:r>
    </w:p>
    <w:p w14:paraId="3B71F3A4">
      <w:pPr>
        <w:shd w:val="clear"/>
        <w:spacing w:line="360" w:lineRule="exact"/>
        <w:ind w:firstLine="411" w:firstLineChars="196"/>
        <w:rPr>
          <w:rFonts w:ascii="宋体" w:hAnsi="宋体"/>
          <w:color w:val="auto"/>
          <w:highlight w:val="none"/>
          <w:u w:val="single"/>
        </w:rPr>
      </w:pPr>
      <w:r>
        <w:rPr>
          <w:rFonts w:hint="eastAsia" w:ascii="宋体" w:hAnsi="宋体"/>
          <w:color w:val="auto"/>
          <w:highlight w:val="none"/>
        </w:rPr>
        <w:t>23</w:t>
      </w:r>
      <w:r>
        <w:rPr>
          <w:rFonts w:ascii="宋体" w:hAnsi="宋体"/>
          <w:color w:val="auto"/>
          <w:highlight w:val="none"/>
        </w:rPr>
        <w:t>.</w:t>
      </w:r>
      <w:r>
        <w:rPr>
          <w:rFonts w:hint="eastAsia" w:ascii="宋体" w:hAnsi="宋体"/>
          <w:color w:val="auto"/>
          <w:highlight w:val="none"/>
        </w:rPr>
        <w:t>1电子标实行网上投标，</w:t>
      </w:r>
      <w:r>
        <w:rPr>
          <w:rFonts w:ascii="宋体" w:hAnsi="宋体"/>
          <w:color w:val="auto"/>
          <w:highlight w:val="none"/>
        </w:rPr>
        <w:t>投标人必须</w:t>
      </w:r>
      <w:r>
        <w:rPr>
          <w:rFonts w:hint="eastAsia" w:ascii="宋体" w:hAnsi="宋体"/>
          <w:color w:val="auto"/>
          <w:highlight w:val="none"/>
        </w:rPr>
        <w:t>在</w:t>
      </w:r>
      <w:r>
        <w:rPr>
          <w:rFonts w:hint="eastAsia" w:ascii="宋体" w:hAnsi="宋体"/>
          <w:color w:val="auto"/>
          <w:highlight w:val="none"/>
          <w:lang w:eastAsia="zh-CN"/>
        </w:rPr>
        <w:t>招标文件</w:t>
      </w:r>
      <w:r>
        <w:rPr>
          <w:rFonts w:ascii="宋体" w:hAnsi="宋体"/>
          <w:color w:val="auto"/>
          <w:highlight w:val="none"/>
        </w:rPr>
        <w:t>规定的投标截止时间前</w:t>
      </w:r>
      <w:r>
        <w:rPr>
          <w:rFonts w:hint="eastAsia" w:ascii="宋体" w:hAnsi="宋体"/>
          <w:color w:val="auto"/>
          <w:highlight w:val="none"/>
        </w:rPr>
        <w:t>用电子密钥在“岳阳市公共资源交易网</w:t>
      </w:r>
      <w:r>
        <w:rPr>
          <w:rFonts w:hint="eastAsia" w:ascii="宋体" w:hAnsi="宋体"/>
          <w:color w:val="auto"/>
          <w:szCs w:val="21"/>
          <w:highlight w:val="none"/>
        </w:rPr>
        <w:t xml:space="preserve"> ”</w:t>
      </w:r>
      <w:r>
        <w:rPr>
          <w:rFonts w:hint="eastAsia" w:ascii="宋体" w:hAnsi="宋体"/>
          <w:color w:val="auto"/>
          <w:highlight w:val="none"/>
        </w:rPr>
        <w:t>（</w:t>
      </w:r>
      <w:r>
        <w:rPr>
          <w:color w:val="auto"/>
          <w:szCs w:val="21"/>
          <w:highlight w:val="none"/>
        </w:rPr>
        <w:t>http</w:t>
      </w:r>
      <w:r>
        <w:rPr>
          <w:rFonts w:hint="eastAsia"/>
          <w:color w:val="auto"/>
          <w:szCs w:val="21"/>
          <w:highlight w:val="none"/>
        </w:rPr>
        <w:t>：</w:t>
      </w:r>
      <w:r>
        <w:rPr>
          <w:color w:val="auto"/>
          <w:szCs w:val="21"/>
          <w:highlight w:val="none"/>
        </w:rPr>
        <w:t>//ggzy.yueyang.gov.cn/</w:t>
      </w:r>
      <w:r>
        <w:rPr>
          <w:rFonts w:hint="eastAsia"/>
          <w:color w:val="auto"/>
          <w:highlight w:val="none"/>
        </w:rPr>
        <w:t>）中</w:t>
      </w:r>
      <w:r>
        <w:rPr>
          <w:rFonts w:hint="eastAsia" w:ascii="宋体" w:hAnsi="宋体" w:cs="宋体"/>
          <w:color w:val="auto"/>
          <w:kern w:val="0"/>
          <w:szCs w:val="21"/>
          <w:highlight w:val="none"/>
        </w:rPr>
        <w:t>登录“岳阳市公共资源交易中心</w:t>
      </w:r>
      <w:r>
        <w:rPr>
          <w:rFonts w:hint="eastAsia" w:ascii="宋体" w:hAnsi="宋体"/>
          <w:color w:val="auto"/>
          <w:szCs w:val="21"/>
          <w:highlight w:val="none"/>
        </w:rPr>
        <w:t>电子交易平台</w:t>
      </w:r>
      <w:r>
        <w:rPr>
          <w:rFonts w:hint="eastAsia" w:ascii="宋体" w:hAnsi="宋体" w:cs="宋体"/>
          <w:color w:val="auto"/>
          <w:kern w:val="0"/>
          <w:szCs w:val="21"/>
          <w:highlight w:val="none"/>
        </w:rPr>
        <w:t>”上传投标文件</w:t>
      </w:r>
      <w:r>
        <w:rPr>
          <w:rFonts w:hint="eastAsia" w:ascii="宋体" w:hAnsi="宋体"/>
          <w:color w:val="auto"/>
          <w:highlight w:val="none"/>
        </w:rPr>
        <w:t>。本项目电子投标文件最大容量为200MB，超过此容量的文件将被拒绝。如果多次上传均告失败，请拨打咨询电话（</w:t>
      </w:r>
      <w:r>
        <w:rPr>
          <w:rFonts w:hint="eastAsia" w:ascii="宋体" w:hAnsi="宋体"/>
          <w:color w:val="auto"/>
          <w:highlight w:val="none"/>
          <w:u w:val="single"/>
        </w:rPr>
        <w:t>0730-2966692 信息技术科</w:t>
      </w:r>
      <w:r>
        <w:rPr>
          <w:rFonts w:hint="eastAsia" w:ascii="宋体" w:hAnsi="宋体"/>
          <w:color w:val="auto"/>
          <w:highlight w:val="none"/>
        </w:rPr>
        <w:t>）。</w:t>
      </w:r>
    </w:p>
    <w:p w14:paraId="7A511218">
      <w:pPr>
        <w:shd w:val="clear"/>
        <w:spacing w:line="360" w:lineRule="exact"/>
        <w:ind w:firstLine="411" w:firstLineChars="196"/>
        <w:rPr>
          <w:rFonts w:ascii="宋体" w:hAnsi="宋体"/>
          <w:color w:val="auto"/>
          <w:highlight w:val="none"/>
        </w:rPr>
      </w:pPr>
      <w:r>
        <w:rPr>
          <w:rFonts w:hint="eastAsia" w:ascii="宋体" w:hAnsi="宋体"/>
          <w:color w:val="auto"/>
          <w:highlight w:val="none"/>
        </w:rPr>
        <w:t>23.1.1按本通用条款第10条规定，招标文件发生实质性修改后，投标人须撤回原电子投标文件，根据最新招标文件重新制作投标文件并再次上传。</w:t>
      </w:r>
    </w:p>
    <w:p w14:paraId="56F3AF8F">
      <w:pPr>
        <w:shd w:val="clear"/>
        <w:spacing w:line="360" w:lineRule="exact"/>
        <w:ind w:firstLine="411" w:firstLineChars="196"/>
        <w:rPr>
          <w:rFonts w:ascii="宋体" w:hAnsi="宋体"/>
          <w:color w:val="auto"/>
          <w:highlight w:val="none"/>
        </w:rPr>
      </w:pPr>
      <w:r>
        <w:rPr>
          <w:rFonts w:hint="eastAsia" w:ascii="宋体" w:hAnsi="宋体"/>
          <w:color w:val="auto"/>
          <w:highlight w:val="none"/>
        </w:rPr>
        <w:t>23</w:t>
      </w:r>
      <w:r>
        <w:rPr>
          <w:rFonts w:ascii="宋体" w:hAnsi="宋体"/>
          <w:color w:val="auto"/>
          <w:highlight w:val="none"/>
        </w:rPr>
        <w:t>.</w:t>
      </w:r>
      <w:r>
        <w:rPr>
          <w:rFonts w:hint="eastAsia" w:ascii="宋体" w:hAnsi="宋体"/>
          <w:color w:val="auto"/>
          <w:highlight w:val="none"/>
        </w:rPr>
        <w:t>1.2投标截止时间到达以后不再接收投标文件。</w:t>
      </w:r>
    </w:p>
    <w:p w14:paraId="07B73BFC">
      <w:pPr>
        <w:shd w:val="clear"/>
        <w:tabs>
          <w:tab w:val="left" w:pos="6195"/>
        </w:tabs>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24. 投标文件的修改和撤回</w:t>
      </w:r>
      <w:r>
        <w:rPr>
          <w:rFonts w:ascii="宋体" w:hAnsi="宋体"/>
          <w:b/>
          <w:bCs/>
          <w:color w:val="auto"/>
          <w:szCs w:val="21"/>
          <w:highlight w:val="none"/>
        </w:rPr>
        <w:tab/>
      </w:r>
    </w:p>
    <w:p w14:paraId="162E7D07">
      <w:pPr>
        <w:shd w:val="clear"/>
        <w:spacing w:line="360" w:lineRule="auto"/>
        <w:ind w:firstLine="411" w:firstLineChars="196"/>
        <w:rPr>
          <w:rFonts w:ascii="宋体" w:hAnsi="宋体"/>
          <w:color w:val="auto"/>
          <w:highlight w:val="none"/>
        </w:rPr>
      </w:pPr>
      <w:r>
        <w:rPr>
          <w:rFonts w:hint="eastAsia" w:ascii="宋体" w:hAnsi="宋体"/>
          <w:color w:val="auto"/>
          <w:szCs w:val="21"/>
          <w:highlight w:val="none"/>
        </w:rPr>
        <w:t>24.1</w:t>
      </w:r>
      <w:r>
        <w:rPr>
          <w:rFonts w:ascii="宋体" w:hAnsi="宋体"/>
          <w:color w:val="auto"/>
          <w:highlight w:val="none"/>
        </w:rPr>
        <w:t>投标方在提交</w:t>
      </w:r>
      <w:r>
        <w:rPr>
          <w:rFonts w:hint="eastAsia" w:ascii="宋体" w:hAnsi="宋体"/>
          <w:color w:val="auto"/>
          <w:szCs w:val="21"/>
          <w:highlight w:val="none"/>
        </w:rPr>
        <w:t>电子</w:t>
      </w:r>
      <w:r>
        <w:rPr>
          <w:rFonts w:ascii="宋体" w:hAnsi="宋体"/>
          <w:color w:val="auto"/>
          <w:highlight w:val="none"/>
        </w:rPr>
        <w:t>投标文件后可对其投标文件进行修改</w:t>
      </w:r>
      <w:r>
        <w:rPr>
          <w:rFonts w:hint="eastAsia" w:ascii="宋体" w:hAnsi="宋体"/>
          <w:color w:val="auto"/>
          <w:highlight w:val="none"/>
        </w:rPr>
        <w:t>并重新上传投标文件</w:t>
      </w:r>
      <w:r>
        <w:rPr>
          <w:rFonts w:ascii="宋体" w:hAnsi="宋体"/>
          <w:color w:val="auto"/>
          <w:highlight w:val="none"/>
        </w:rPr>
        <w:t>或</w:t>
      </w:r>
      <w:r>
        <w:rPr>
          <w:rFonts w:hint="eastAsia" w:ascii="宋体" w:hAnsi="宋体"/>
          <w:color w:val="auto"/>
          <w:highlight w:val="none"/>
        </w:rPr>
        <w:t>在网上进行</w:t>
      </w:r>
      <w:r>
        <w:rPr>
          <w:rFonts w:ascii="宋体" w:hAnsi="宋体"/>
          <w:color w:val="auto"/>
          <w:highlight w:val="none"/>
        </w:rPr>
        <w:t>撤销</w:t>
      </w:r>
      <w:r>
        <w:rPr>
          <w:rFonts w:hint="eastAsia" w:ascii="宋体" w:hAnsi="宋体"/>
          <w:color w:val="auto"/>
          <w:highlight w:val="none"/>
        </w:rPr>
        <w:t>投标的操作</w:t>
      </w:r>
      <w:r>
        <w:rPr>
          <w:rFonts w:ascii="宋体" w:hAnsi="宋体"/>
          <w:color w:val="auto"/>
          <w:highlight w:val="none"/>
        </w:rPr>
        <w:t>。</w:t>
      </w:r>
    </w:p>
    <w:p w14:paraId="06167D32">
      <w:pPr>
        <w:shd w:val="clear"/>
        <w:spacing w:line="360" w:lineRule="auto"/>
        <w:ind w:firstLine="411" w:firstLineChars="196"/>
        <w:rPr>
          <w:rFonts w:ascii="宋体" w:hAnsi="宋体"/>
          <w:color w:val="auto"/>
          <w:highlight w:val="none"/>
        </w:rPr>
      </w:pPr>
      <w:r>
        <w:rPr>
          <w:rFonts w:ascii="宋体" w:hAnsi="宋体"/>
          <w:color w:val="auto"/>
          <w:highlight w:val="none"/>
        </w:rPr>
        <w:t>2</w:t>
      </w:r>
      <w:r>
        <w:rPr>
          <w:rFonts w:hint="eastAsia" w:ascii="宋体" w:hAnsi="宋体"/>
          <w:color w:val="auto"/>
          <w:highlight w:val="none"/>
        </w:rPr>
        <w:t>4</w:t>
      </w:r>
      <w:r>
        <w:rPr>
          <w:rFonts w:ascii="宋体" w:hAnsi="宋体"/>
          <w:color w:val="auto"/>
          <w:highlight w:val="none"/>
        </w:rPr>
        <w:t>.</w:t>
      </w:r>
      <w:r>
        <w:rPr>
          <w:rFonts w:hint="eastAsia" w:ascii="宋体" w:hAnsi="宋体"/>
          <w:color w:val="auto"/>
          <w:highlight w:val="none"/>
        </w:rPr>
        <w:t>2</w:t>
      </w:r>
      <w:r>
        <w:rPr>
          <w:rFonts w:ascii="宋体" w:hAnsi="宋体"/>
          <w:color w:val="auto"/>
          <w:highlight w:val="none"/>
        </w:rPr>
        <w:t>投标截止时间以后不得修改投标文件。</w:t>
      </w:r>
    </w:p>
    <w:p w14:paraId="1B33AFD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24.3投标人在提交投标文件的截止时间前撤回已提交的投标文件的，采购代理机构应当自收到投标人撤回通知之日起５个工作日内，退还已收取的投标保证金，但因投标人自身原因导致无法及时退还的除外。</w:t>
      </w:r>
    </w:p>
    <w:p w14:paraId="4FC026D8">
      <w:pPr>
        <w:shd w:val="clear"/>
        <w:adjustRightInd w:val="0"/>
        <w:snapToGrid w:val="0"/>
        <w:spacing w:line="360" w:lineRule="auto"/>
        <w:jc w:val="left"/>
        <w:rPr>
          <w:rFonts w:ascii="宋体" w:hAnsi="宋体" w:cs="Arial"/>
          <w:b/>
          <w:color w:val="auto"/>
          <w:highlight w:val="none"/>
        </w:rPr>
      </w:pPr>
      <w:r>
        <w:rPr>
          <w:rFonts w:hint="eastAsia" w:ascii="宋体" w:hAnsi="宋体"/>
          <w:b/>
          <w:bCs/>
          <w:color w:val="auto"/>
          <w:highlight w:val="none"/>
        </w:rPr>
        <w:t>25.</w:t>
      </w:r>
      <w:r>
        <w:rPr>
          <w:rFonts w:hint="eastAsia" w:ascii="宋体" w:hAnsi="宋体" w:cs="Arial"/>
          <w:b/>
          <w:color w:val="auto"/>
          <w:highlight w:val="none"/>
        </w:rPr>
        <w:t xml:space="preserve"> 串通</w:t>
      </w:r>
      <w:r>
        <w:rPr>
          <w:rFonts w:hint="eastAsia" w:ascii="宋体" w:hAnsi="宋体"/>
          <w:b/>
          <w:color w:val="auto"/>
          <w:highlight w:val="none"/>
        </w:rPr>
        <w:t>投标行为</w:t>
      </w:r>
    </w:p>
    <w:p w14:paraId="0D73032B">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25.1有下列情形之一的，属于恶意串通，对投标人依照政府采购法第七十七条第一款的规定追究法律责任：</w:t>
      </w:r>
    </w:p>
    <w:p w14:paraId="73D7D2A4">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7D04BE8E">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1DA34997">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7E4E21BD">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6D293325">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5221FBDD">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1113C045">
      <w:pPr>
        <w:shd w:val="clear"/>
        <w:adjustRightInd w:val="0"/>
        <w:snapToGrid w:val="0"/>
        <w:spacing w:line="360" w:lineRule="auto"/>
        <w:ind w:firstLine="396" w:firstLineChars="200"/>
        <w:jc w:val="left"/>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5DDCCA6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25.2有下列情形之一的，视为投标人串通投标，其投标无效：</w:t>
      </w:r>
    </w:p>
    <w:p w14:paraId="5E1CABC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5F50397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70794F4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13137CB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31FE8B8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（5）不同投标人的投标文件相互混装；</w:t>
      </w:r>
    </w:p>
    <w:p w14:paraId="70E4A15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（6）不同投标人的投标保证金从同一单位或者个人的账户转出。</w:t>
      </w:r>
    </w:p>
    <w:p w14:paraId="73C3A7AE">
      <w:pPr>
        <w:shd w:val="clear"/>
        <w:adjustRightInd w:val="0"/>
        <w:snapToGrid w:val="0"/>
        <w:spacing w:line="360" w:lineRule="auto"/>
        <w:jc w:val="left"/>
        <w:rPr>
          <w:b/>
          <w:color w:val="auto"/>
          <w:sz w:val="24"/>
          <w:highlight w:val="none"/>
        </w:rPr>
      </w:pPr>
      <w:r>
        <w:rPr>
          <w:rFonts w:hint="eastAsia"/>
          <w:b/>
          <w:color w:val="auto"/>
          <w:sz w:val="24"/>
          <w:highlight w:val="none"/>
        </w:rPr>
        <w:t>五、开标，资格审查和评标</w:t>
      </w:r>
    </w:p>
    <w:p w14:paraId="10626EA6">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26. 开标</w:t>
      </w:r>
    </w:p>
    <w:p w14:paraId="05B5A683">
      <w:pPr>
        <w:shd w:val="clea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26.1采购代理机构在规定时间组织网上开标。投标人在岳阳市公共资源交易电子服务平台中</w:t>
      </w:r>
      <w:r>
        <w:rPr>
          <w:rFonts w:hint="eastAsia" w:ascii="宋体" w:hAnsi="宋体"/>
          <w:color w:val="auto"/>
          <w:szCs w:val="21"/>
          <w:highlight w:val="none"/>
          <w:lang w:eastAsia="zh-CN"/>
        </w:rPr>
        <w:t>登录</w:t>
      </w:r>
      <w:r>
        <w:rPr>
          <w:rFonts w:hint="eastAsia" w:ascii="宋体" w:hAnsi="宋体"/>
          <w:color w:val="auto"/>
          <w:szCs w:val="21"/>
          <w:highlight w:val="none"/>
        </w:rPr>
        <w:t>“岳阳政府采购不见面开标大厅”，参与项目网上开标会。</w:t>
      </w:r>
    </w:p>
    <w:p w14:paraId="4138DA14">
      <w:pPr>
        <w:shd w:val="clear"/>
        <w:spacing w:line="360" w:lineRule="auto"/>
        <w:ind w:firstLine="315" w:firstLineChars="150"/>
        <w:rPr>
          <w:rFonts w:ascii="宋体" w:hAnsi="宋体"/>
          <w:color w:val="auto"/>
          <w:szCs w:val="21"/>
          <w:highlight w:val="none"/>
        </w:rPr>
      </w:pPr>
      <w:r>
        <w:rPr>
          <w:rFonts w:hint="eastAsia" w:ascii="宋体" w:hAnsi="宋体"/>
          <w:color w:val="auto"/>
          <w:szCs w:val="21"/>
          <w:highlight w:val="none"/>
        </w:rPr>
        <w:t>26.2投标截止时间到达以后，投标人在规定时限内对电子投标文件进行解密并在网上进行开标、唱标，同步在网上公布开标结果。</w:t>
      </w:r>
    </w:p>
    <w:p w14:paraId="65B1D8A0">
      <w:pPr>
        <w:shd w:val="clear"/>
        <w:spacing w:line="360" w:lineRule="exact"/>
        <w:ind w:firstLine="315" w:firstLineChars="150"/>
        <w:rPr>
          <w:rFonts w:ascii="仿宋" w:hAnsi="仿宋" w:eastAsia="仿宋"/>
          <w:color w:val="auto"/>
          <w:sz w:val="32"/>
          <w:szCs w:val="32"/>
          <w:highlight w:val="none"/>
        </w:rPr>
      </w:pPr>
      <w:r>
        <w:rPr>
          <w:rFonts w:hint="eastAsia" w:ascii="宋体" w:hAnsi="宋体"/>
          <w:color w:val="auto"/>
          <w:szCs w:val="21"/>
          <w:highlight w:val="none"/>
        </w:rPr>
        <w:t>26.3开标注意事项：因投标人原因未按时限解密或无法解密的投标文件视为无效投标文件，相应责任由投标人自行承担。</w:t>
      </w:r>
    </w:p>
    <w:p w14:paraId="55FE9555">
      <w:pPr>
        <w:shd w:val="clear"/>
        <w:adjustRightInd w:val="0"/>
        <w:snapToGrid w:val="0"/>
        <w:spacing w:line="360" w:lineRule="auto"/>
        <w:jc w:val="left"/>
        <w:rPr>
          <w:rFonts w:ascii="宋体" w:hAnsi="宋体"/>
          <w:b/>
          <w:color w:val="auto"/>
          <w:szCs w:val="21"/>
          <w:highlight w:val="none"/>
        </w:rPr>
      </w:pPr>
      <w:r>
        <w:rPr>
          <w:rStyle w:val="46"/>
          <w:rFonts w:hint="eastAsia" w:ascii="宋体" w:hAnsi="宋体" w:cs="Arial"/>
          <w:color w:val="auto"/>
          <w:szCs w:val="21"/>
          <w:highlight w:val="none"/>
        </w:rPr>
        <w:t>27.</w:t>
      </w:r>
      <w:r>
        <w:rPr>
          <w:rFonts w:hint="eastAsia" w:ascii="宋体" w:hAnsi="宋体"/>
          <w:b/>
          <w:bCs/>
          <w:color w:val="auto"/>
          <w:szCs w:val="21"/>
          <w:highlight w:val="none"/>
        </w:rPr>
        <w:t>资格审查</w:t>
      </w:r>
    </w:p>
    <w:p w14:paraId="09479F8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27.1开标结束后，采购人及采购代理机构将依法对投标人的资格进行审查。</w:t>
      </w:r>
    </w:p>
    <w:p w14:paraId="4BC7443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2</w:t>
      </w:r>
      <w:r>
        <w:rPr>
          <w:rFonts w:hint="eastAsia" w:ascii="宋体" w:hAnsi="宋体"/>
          <w:color w:val="auto"/>
          <w:szCs w:val="21"/>
          <w:highlight w:val="none"/>
        </w:rPr>
        <w:t>投标文件属下列情况之一的，投标无效：</w:t>
      </w:r>
    </w:p>
    <w:p w14:paraId="69EAB88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（1）不符合本章第3条投标人的资格要求的；</w:t>
      </w:r>
    </w:p>
    <w:p w14:paraId="45B98A6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（2）联合体没有提交联合体协议书，或未提交联合体各方资格证明文件的；</w:t>
      </w:r>
    </w:p>
    <w:p w14:paraId="0C1582E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未按招标文件要求提交资格证明文件或</w:t>
      </w:r>
      <w:r>
        <w:rPr>
          <w:rFonts w:hint="eastAsia" w:ascii="宋体" w:hAnsi="宋体"/>
          <w:color w:val="auto"/>
          <w:szCs w:val="21"/>
          <w:highlight w:val="none"/>
        </w:rPr>
        <w:t>投标文件中资格证明文件未按照招标文件要求签署、盖章的；</w:t>
      </w:r>
    </w:p>
    <w:p w14:paraId="00F3234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（4）应缴未缴投标保证金或金额不足、投标保证金缴纳形式不符合招标文件要求的。</w:t>
      </w:r>
    </w:p>
    <w:p w14:paraId="741B80E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（5）不符合法律、法规和招标文件规定的其他投标无效情形的。</w:t>
      </w:r>
    </w:p>
    <w:p w14:paraId="0D5724A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3</w:t>
      </w:r>
      <w:r>
        <w:rPr>
          <w:rFonts w:hint="eastAsia" w:ascii="宋体" w:hAnsi="宋体"/>
          <w:color w:val="auto"/>
          <w:szCs w:val="21"/>
          <w:highlight w:val="none"/>
        </w:rPr>
        <w:t>对未通过资格审查的投标人，采购人及采购代理机构应当告知其未通过的原因。</w:t>
      </w:r>
    </w:p>
    <w:p w14:paraId="7B4D948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4</w:t>
      </w:r>
      <w:r>
        <w:rPr>
          <w:rFonts w:hint="eastAsia" w:ascii="宋体" w:hAnsi="宋体"/>
          <w:color w:val="auto"/>
          <w:szCs w:val="21"/>
          <w:highlight w:val="none"/>
        </w:rPr>
        <w:t>合格投标人不足3家的，不得进入评标环节。</w:t>
      </w:r>
    </w:p>
    <w:p w14:paraId="3EE5DC6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27.</w:t>
      </w:r>
      <w:r>
        <w:rPr>
          <w:rFonts w:hint="eastAsia" w:ascii="宋体" w:hAnsi="宋体"/>
          <w:color w:val="auto"/>
          <w:szCs w:val="21"/>
          <w:highlight w:val="none"/>
          <w:lang w:val="en-US" w:eastAsia="zh-CN"/>
        </w:rPr>
        <w:t>5</w:t>
      </w:r>
      <w:r>
        <w:rPr>
          <w:rFonts w:hint="eastAsia" w:ascii="宋体" w:hAnsi="宋体"/>
          <w:color w:val="auto"/>
          <w:szCs w:val="21"/>
          <w:highlight w:val="none"/>
        </w:rPr>
        <w:t>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0F97246B">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28.</w:t>
      </w:r>
      <w:r>
        <w:rPr>
          <w:rFonts w:hint="eastAsia" w:ascii="宋体" w:hAnsi="宋体"/>
          <w:b/>
          <w:color w:val="auto"/>
          <w:szCs w:val="21"/>
          <w:highlight w:val="none"/>
        </w:rPr>
        <w:t xml:space="preserve"> 评标委员会</w:t>
      </w:r>
    </w:p>
    <w:p w14:paraId="38C0B9D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28.1评标由依法组建的评标委员会负责，评标委员会由采购人代表和评审专家组成。</w:t>
      </w:r>
    </w:p>
    <w:p w14:paraId="0340966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28.2评标委员会成员有下列情形之一的，应当回避：</w:t>
      </w:r>
    </w:p>
    <w:p w14:paraId="23098D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（1）参加采购活动前3年内与投标人存在劳动关系；</w:t>
      </w:r>
    </w:p>
    <w:p w14:paraId="31B50B22">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（2）参加采购活动前3年内担任投标人的董事、监事；</w:t>
      </w:r>
    </w:p>
    <w:p w14:paraId="00B9360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（3）参加采购活动前3年内是投标人的控股股东或者实际控制人；</w:t>
      </w:r>
    </w:p>
    <w:p w14:paraId="6C4958F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（4）与投标人的法定代表人或者负责人有夫妻、直系血亲、三代以内旁系血亲或者近姻亲关系；</w:t>
      </w:r>
    </w:p>
    <w:p w14:paraId="476337C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（5）与投标人有其他可能影响采购活动公平、公正进行的关系。</w:t>
      </w:r>
    </w:p>
    <w:p w14:paraId="2268DC9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28.3评标委员会负责具体评标事务，并独立履行下列职责：</w:t>
      </w:r>
    </w:p>
    <w:p w14:paraId="6E0D310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7F9DF59A">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26D46967">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（3）对投标文件进行比较和评价；</w:t>
      </w:r>
    </w:p>
    <w:p w14:paraId="5BAA1DF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0390F6BF">
      <w:pPr>
        <w:shd w:val="clear"/>
        <w:adjustRightInd w:val="0"/>
        <w:snapToGrid w:val="0"/>
        <w:spacing w:line="360" w:lineRule="auto"/>
        <w:jc w:val="left"/>
        <w:rPr>
          <w:rFonts w:ascii="宋体" w:hAnsi="宋体"/>
          <w:b/>
          <w:bCs/>
          <w:color w:val="auto"/>
          <w:highlight w:val="none"/>
        </w:rPr>
      </w:pPr>
      <w:r>
        <w:rPr>
          <w:rFonts w:hint="eastAsia" w:ascii="宋体" w:hAnsi="宋体"/>
          <w:b/>
          <w:color w:val="auto"/>
          <w:szCs w:val="21"/>
          <w:highlight w:val="none"/>
        </w:rPr>
        <w:t>29.</w:t>
      </w:r>
      <w:r>
        <w:rPr>
          <w:rFonts w:hint="eastAsia" w:ascii="宋体" w:hAnsi="宋体"/>
          <w:b/>
          <w:bCs/>
          <w:color w:val="auto"/>
          <w:highlight w:val="none"/>
        </w:rPr>
        <w:t xml:space="preserve"> 评标</w:t>
      </w:r>
    </w:p>
    <w:p w14:paraId="5E7DE92C">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29.1 评标委员会按照</w:t>
      </w:r>
      <w:r>
        <w:rPr>
          <w:rFonts w:hint="eastAsia" w:ascii="宋体" w:hAnsi="宋体"/>
          <w:bCs/>
          <w:color w:val="auto"/>
          <w:highlight w:val="none"/>
        </w:rPr>
        <w:t>第三章评标方法及标准</w:t>
      </w:r>
      <w:r>
        <w:rPr>
          <w:rFonts w:hint="eastAsia" w:ascii="宋体" w:hAnsi="宋体"/>
          <w:color w:val="auto"/>
          <w:highlight w:val="none"/>
        </w:rPr>
        <w:t>规定的评标方法、评审因素、标准和程序以及有关法律、法规及规章对投标文件进行评审。</w:t>
      </w:r>
    </w:p>
    <w:p w14:paraId="0864F01B">
      <w:pPr>
        <w:shd w:val="clear"/>
        <w:spacing w:line="360" w:lineRule="auto"/>
        <w:rPr>
          <w:rFonts w:ascii="宋体" w:hAnsi="宋体" w:cs="宋体"/>
          <w:b/>
          <w:bCs/>
          <w:color w:val="auto"/>
          <w:szCs w:val="21"/>
          <w:highlight w:val="none"/>
        </w:rPr>
      </w:pPr>
      <w:r>
        <w:rPr>
          <w:rFonts w:hint="eastAsia" w:ascii="宋体" w:hAnsi="宋体" w:cs="宋体"/>
          <w:b/>
          <w:bCs/>
          <w:color w:val="auto"/>
          <w:szCs w:val="21"/>
          <w:highlight w:val="none"/>
        </w:rPr>
        <w:t>30.电子招投标的应急措施</w:t>
      </w:r>
    </w:p>
    <w:p w14:paraId="0D3254A4">
      <w:pPr>
        <w:shd w:val="clear"/>
        <w:adjustRightInd w:val="0"/>
        <w:snapToGrid w:val="0"/>
        <w:spacing w:line="360" w:lineRule="auto"/>
        <w:ind w:firstLine="420" w:firstLineChars="200"/>
        <w:jc w:val="left"/>
        <w:rPr>
          <w:rFonts w:ascii="宋体" w:hAnsi="宋体"/>
          <w:color w:val="auto"/>
          <w:sz w:val="28"/>
          <w:szCs w:val="28"/>
          <w:highlight w:val="none"/>
        </w:rPr>
      </w:pPr>
      <w:r>
        <w:rPr>
          <w:rFonts w:hint="eastAsia" w:ascii="宋体" w:hAnsi="宋体"/>
          <w:bCs/>
          <w:color w:val="auto"/>
          <w:highlight w:val="none"/>
        </w:rPr>
        <w:t>在电子化政府采购交易过程中，如遇不可抗力及停电、系统故障等情况短时内无法恢复正常的，采购人应暂停开、评标等交易活动，并如实记录相关情况。待故障和问题解除后，恢复交易活动。</w:t>
      </w:r>
    </w:p>
    <w:p w14:paraId="52345F40">
      <w:pPr>
        <w:shd w:val="clear"/>
        <w:adjustRightInd w:val="0"/>
        <w:snapToGrid w:val="0"/>
        <w:spacing w:line="360" w:lineRule="auto"/>
        <w:jc w:val="left"/>
        <w:rPr>
          <w:b/>
          <w:color w:val="auto"/>
          <w:sz w:val="24"/>
          <w:highlight w:val="none"/>
        </w:rPr>
      </w:pPr>
      <w:r>
        <w:rPr>
          <w:rFonts w:hint="eastAsia"/>
          <w:b/>
          <w:color w:val="auto"/>
          <w:sz w:val="24"/>
          <w:highlight w:val="none"/>
        </w:rPr>
        <w:t>六、中标信息公布</w:t>
      </w:r>
    </w:p>
    <w:p w14:paraId="5FFFFB40">
      <w:pPr>
        <w:shd w:val="clear"/>
        <w:adjustRightInd w:val="0"/>
        <w:snapToGrid w:val="0"/>
        <w:spacing w:line="360" w:lineRule="auto"/>
        <w:jc w:val="left"/>
        <w:rPr>
          <w:rFonts w:ascii="宋体" w:hAnsi="宋体"/>
          <w:b/>
          <w:bCs/>
          <w:color w:val="auto"/>
          <w:szCs w:val="21"/>
          <w:highlight w:val="none"/>
        </w:rPr>
      </w:pPr>
      <w:r>
        <w:rPr>
          <w:rFonts w:hint="eastAsia" w:ascii="宋体" w:hAnsi="宋体"/>
          <w:b/>
          <w:color w:val="auto"/>
          <w:szCs w:val="21"/>
          <w:highlight w:val="none"/>
        </w:rPr>
        <w:t>31.</w:t>
      </w:r>
      <w:r>
        <w:rPr>
          <w:rFonts w:hint="eastAsia" w:ascii="宋体" w:hAnsi="宋体"/>
          <w:b/>
          <w:bCs/>
          <w:color w:val="auto"/>
          <w:szCs w:val="21"/>
          <w:highlight w:val="none"/>
        </w:rPr>
        <w:t>中标通知书与中标信息公布</w:t>
      </w:r>
    </w:p>
    <w:p w14:paraId="0A659158">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color w:val="auto"/>
          <w:szCs w:val="21"/>
          <w:highlight w:val="none"/>
        </w:rPr>
        <w:t>31.1采购代理机构应当在评标结束后2个工作日内将</w:t>
      </w:r>
      <w:r>
        <w:rPr>
          <w:rFonts w:hint="eastAsia" w:ascii="宋体" w:hAnsi="宋体"/>
          <w:bCs/>
          <w:color w:val="auto"/>
          <w:highlight w:val="none"/>
        </w:rPr>
        <w:t>资格审查报告和评标报告送采购人。</w:t>
      </w:r>
    </w:p>
    <w:p w14:paraId="0FD7164F">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31.2采购人应当自收到资格审查报告和评标报告之日起５个工作日内，在评标报告确定的中标候选人名单中按顺序确定中标人。中标候选人并列的，由采购人或者采购人委托评标委员会按照【</w:t>
      </w:r>
      <w:r>
        <w:rPr>
          <w:rFonts w:hint="eastAsia" w:ascii="宋体" w:hAnsi="宋体"/>
          <w:b/>
          <w:bCs/>
          <w:color w:val="auto"/>
          <w:highlight w:val="none"/>
        </w:rPr>
        <w:t>投标须知前附表</w:t>
      </w:r>
      <w:r>
        <w:rPr>
          <w:rFonts w:hint="eastAsia" w:ascii="宋体" w:hAnsi="宋体"/>
          <w:bCs/>
          <w:color w:val="auto"/>
          <w:highlight w:val="none"/>
        </w:rPr>
        <w:t>】规定的方式确定中标人；招标文件未规定的，采取随机抽取的方式确定。</w:t>
      </w:r>
    </w:p>
    <w:p w14:paraId="46FCC930">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31.3采购代理机构应当自采购人确定中标投标人之日起2个工作日内，发出中标通知书，并在招标文件指定的媒体公告中标结果，招标文件随中标结果同时公告，中标结果公告期限为１个工作日。</w:t>
      </w:r>
    </w:p>
    <w:p w14:paraId="49AD6469">
      <w:pPr>
        <w:shd w:val="clear"/>
        <w:adjustRightInd w:val="0"/>
        <w:snapToGrid w:val="0"/>
        <w:spacing w:line="360" w:lineRule="auto"/>
        <w:ind w:firstLine="420" w:firstLineChars="200"/>
        <w:jc w:val="left"/>
        <w:rPr>
          <w:rFonts w:ascii="宋体" w:hAnsi="宋体"/>
          <w:bCs/>
          <w:color w:val="auto"/>
          <w:highlight w:val="none"/>
        </w:rPr>
      </w:pPr>
      <w:r>
        <w:rPr>
          <w:rFonts w:hint="eastAsia" w:ascii="宋体" w:hAnsi="宋体"/>
          <w:bCs/>
          <w:color w:val="auto"/>
          <w:highlight w:val="none"/>
        </w:rPr>
        <w:t>31.4采用综合评分法评审的，还应当告知未中标人本人的评审得分与排序。</w:t>
      </w:r>
    </w:p>
    <w:p w14:paraId="3E5CD2F7">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highlight w:val="none"/>
        </w:rPr>
        <w:t>32.</w:t>
      </w:r>
      <w:r>
        <w:rPr>
          <w:rFonts w:hint="eastAsia" w:ascii="宋体" w:hAnsi="宋体"/>
          <w:b/>
          <w:color w:val="auto"/>
          <w:szCs w:val="21"/>
          <w:highlight w:val="none"/>
        </w:rPr>
        <w:t xml:space="preserve"> 投标人询问及</w:t>
      </w:r>
      <w:r>
        <w:rPr>
          <w:rFonts w:hint="eastAsia" w:ascii="宋体" w:hAnsi="宋体"/>
          <w:b/>
          <w:bCs/>
          <w:color w:val="auto"/>
          <w:szCs w:val="21"/>
          <w:highlight w:val="none"/>
        </w:rPr>
        <w:t>质疑</w:t>
      </w:r>
    </w:p>
    <w:p w14:paraId="579EFB6F">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32.1投标人对采购活动事项有疑问的，可以向采购人或采购代理机构提出询问。采购人或采购代理机构将在3个工作日内作出答复。</w:t>
      </w:r>
    </w:p>
    <w:p w14:paraId="0A9C40D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32.2投标人认为招标文件、采购过程和中标结果使自己的权益受到损害的，可以在知道或者应知其权益受到损害之日起7个工作日内，以书面形式向采购人提出质疑。</w:t>
      </w:r>
    </w:p>
    <w:p w14:paraId="44C42E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32.3本章第3</w:t>
      </w:r>
      <w:r>
        <w:rPr>
          <w:rFonts w:ascii="宋体" w:hAnsi="宋体"/>
          <w:color w:val="auto"/>
          <w:szCs w:val="21"/>
          <w:highlight w:val="none"/>
        </w:rPr>
        <w:t>2</w:t>
      </w:r>
      <w:r>
        <w:rPr>
          <w:rFonts w:hint="eastAsia" w:ascii="宋体" w:hAnsi="宋体"/>
          <w:color w:val="auto"/>
          <w:szCs w:val="21"/>
          <w:highlight w:val="none"/>
        </w:rPr>
        <w:t>.2款所称投标人应知其权益受到损害之日，是指：</w:t>
      </w:r>
    </w:p>
    <w:p w14:paraId="369CEF66">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（1）对可以质疑的招标文件提出质疑的，为收到招标文件之日或者招标公告期限届满之日；</w:t>
      </w:r>
    </w:p>
    <w:p w14:paraId="782D7CB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（2）对采购过程提出质疑的，为各采购程序环节结束之日；</w:t>
      </w:r>
    </w:p>
    <w:p w14:paraId="522E679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（3）对中标结果提出质疑的，为中标结果公告期限届满之日。</w:t>
      </w:r>
    </w:p>
    <w:p w14:paraId="772DF7C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32.4投标人提出质疑的，应提供质疑书原件。采购人或采购代理机构应当向质疑投标人签收回执。</w:t>
      </w:r>
    </w:p>
    <w:p w14:paraId="3606358F">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32.5质疑书应当包括下列内容：</w:t>
      </w:r>
    </w:p>
    <w:p w14:paraId="71F0FB4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（1）质疑投标人的名称、地址及有效联系方式；</w:t>
      </w:r>
    </w:p>
    <w:p w14:paraId="2F3BA24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（2）质疑事项；</w:t>
      </w:r>
    </w:p>
    <w:p w14:paraId="6445A22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（3）事实依据及相关证明材料；</w:t>
      </w:r>
    </w:p>
    <w:p w14:paraId="596FF1B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（4）相关请求及主张。</w:t>
      </w:r>
    </w:p>
    <w:p w14:paraId="048AFA05">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szCs w:val="21"/>
          <w:highlight w:val="none"/>
        </w:rPr>
        <w:t>32.6</w:t>
      </w:r>
      <w:r>
        <w:rPr>
          <w:rFonts w:hint="eastAsia" w:ascii="宋体" w:hAnsi="宋体"/>
          <w:color w:val="auto"/>
          <w:highlight w:val="none"/>
        </w:rPr>
        <w:t>质疑书应当由投标人法定代表人或其授权的代理人签字并加盖投标人单位章。质疑书由授权代理人签字的应附投标人法定代表人委托授权书。</w:t>
      </w:r>
    </w:p>
    <w:p w14:paraId="2FA495C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32.7采购人或采购代理机构将在签收回执之日起7个工作日内作出书面答复，并以书面形式通知质疑投标人和其他有关的投标人。</w:t>
      </w:r>
    </w:p>
    <w:p w14:paraId="2DE0BAC3">
      <w:pPr>
        <w:shd w:val="clear"/>
        <w:adjustRightInd w:val="0"/>
        <w:snapToGrid w:val="0"/>
        <w:spacing w:line="360" w:lineRule="auto"/>
        <w:ind w:firstLine="420" w:firstLineChars="200"/>
        <w:jc w:val="left"/>
        <w:rPr>
          <w:rFonts w:ascii="宋体" w:hAnsi="宋体"/>
          <w:color w:val="auto"/>
          <w:szCs w:val="21"/>
          <w:highlight w:val="none"/>
        </w:rPr>
      </w:pPr>
      <w:r>
        <w:rPr>
          <w:rFonts w:ascii="宋体" w:hAnsi="宋体"/>
          <w:color w:val="auto"/>
          <w:szCs w:val="21"/>
          <w:highlight w:val="none"/>
        </w:rPr>
        <w:t>3</w:t>
      </w: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olor w:val="auto"/>
          <w:szCs w:val="21"/>
          <w:highlight w:val="none"/>
        </w:rPr>
        <w:t>8投标人对采购人或采购代理机构的答复不满意，或采购人或采购代理机构未在规定的期限作出答复的，可在答复期满后15个工作日内，按政府采购相关法律法规规章的规定及程序，向同级财政部门提出投诉。</w:t>
      </w:r>
    </w:p>
    <w:p w14:paraId="6DAEBF0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32.9投标人提出质疑的，应提供质疑函原件，并应以直接送达（专人送达）或邮寄送达。接收质疑函的联系部门、联系电话和通讯地址见【投标须知前附表】。采购人或采购代理机构不接受电子送达（传真、电子邮件、微信等）。采购人或采购代理机构应当向质疑供应商签收回执。</w:t>
      </w:r>
    </w:p>
    <w:p w14:paraId="55D1BEF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32.10以联合体形式参加采购活动的，联合体组成后提出的质疑事项应当由组成联合体的所有供应商共同提出。</w:t>
      </w:r>
    </w:p>
    <w:p w14:paraId="77E9A563">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32.11质疑函按中国政府采购网（www.ccgp.gov.cn）“下载专区”的“政府采购供应质疑函范本”和“质疑函制作说明”制作。</w:t>
      </w:r>
    </w:p>
    <w:p w14:paraId="59BB42ED">
      <w:pPr>
        <w:shd w:val="clear"/>
        <w:adjustRightInd w:val="0"/>
        <w:snapToGrid w:val="0"/>
        <w:spacing w:line="360" w:lineRule="auto"/>
        <w:jc w:val="left"/>
        <w:rPr>
          <w:b/>
          <w:color w:val="auto"/>
          <w:sz w:val="24"/>
          <w:highlight w:val="none"/>
        </w:rPr>
      </w:pPr>
      <w:r>
        <w:rPr>
          <w:rFonts w:hint="eastAsia"/>
          <w:b/>
          <w:color w:val="auto"/>
          <w:sz w:val="24"/>
          <w:highlight w:val="none"/>
        </w:rPr>
        <w:t>七、合同签订</w:t>
      </w:r>
    </w:p>
    <w:p w14:paraId="7261A110">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highlight w:val="none"/>
        </w:rPr>
        <w:t>33.</w:t>
      </w:r>
      <w:r>
        <w:rPr>
          <w:rFonts w:hint="eastAsia" w:ascii="宋体" w:hAnsi="宋体"/>
          <w:b/>
          <w:bCs/>
          <w:color w:val="auto"/>
          <w:szCs w:val="21"/>
          <w:highlight w:val="none"/>
        </w:rPr>
        <w:t xml:space="preserve"> 签订合同</w:t>
      </w:r>
    </w:p>
    <w:p w14:paraId="32ADC964">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33.1 采购人应自中标通知书发出之日起30日内，按中标通知书指定的时间、地点与中标人签订采购合同。所签订的合同不得对招标文件确定的事项和中标人投标文件作实质性修改。</w:t>
      </w:r>
    </w:p>
    <w:p w14:paraId="36EFEB4D">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33.2 招标文件、中标人的投标文件均为签订合同的依据。</w:t>
      </w:r>
    </w:p>
    <w:p w14:paraId="6EA13F1B">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s="微软雅黑"/>
          <w:color w:val="auto"/>
          <w:kern w:val="0"/>
          <w:szCs w:val="21"/>
          <w:highlight w:val="none"/>
        </w:rPr>
        <w:t xml:space="preserve">33.3 </w:t>
      </w:r>
      <w:r>
        <w:rPr>
          <w:rFonts w:hint="eastAsia" w:ascii="宋体" w:hAnsi="宋体"/>
          <w:color w:val="auto"/>
          <w:highlight w:val="none"/>
        </w:rPr>
        <w:t>联合体中标的，联合体各方应当共同与采购人签订合同，就中标项目向采购人承担连带责任。</w:t>
      </w:r>
    </w:p>
    <w:p w14:paraId="4BDBD3F9">
      <w:pPr>
        <w:shd w:val="clear"/>
        <w:adjustRightInd w:val="0"/>
        <w:snapToGrid w:val="0"/>
        <w:spacing w:line="360" w:lineRule="auto"/>
        <w:ind w:firstLine="420" w:firstLineChars="200"/>
        <w:jc w:val="left"/>
        <w:rPr>
          <w:rFonts w:ascii="宋体" w:hAnsi="宋体"/>
          <w:color w:val="auto"/>
          <w:highlight w:val="none"/>
        </w:rPr>
      </w:pPr>
      <w:r>
        <w:rPr>
          <w:rFonts w:ascii="宋体" w:hAnsi="宋体"/>
          <w:color w:val="auto"/>
          <w:highlight w:val="none"/>
        </w:rPr>
        <w:t>3</w:t>
      </w:r>
      <w:r>
        <w:rPr>
          <w:rFonts w:hint="eastAsia" w:ascii="宋体" w:hAnsi="宋体"/>
          <w:color w:val="auto"/>
          <w:highlight w:val="none"/>
        </w:rPr>
        <w:t>3</w:t>
      </w:r>
      <w:r>
        <w:rPr>
          <w:rFonts w:ascii="宋体" w:hAnsi="宋体"/>
          <w:color w:val="auto"/>
          <w:highlight w:val="none"/>
        </w:rPr>
        <w:t>.4</w:t>
      </w:r>
      <w:r>
        <w:rPr>
          <w:rFonts w:hint="eastAsia" w:ascii="宋体" w:hAnsi="宋体"/>
          <w:color w:val="auto"/>
          <w:highlight w:val="none"/>
        </w:rPr>
        <w:t>中标合同将在招标文件指定的媒体上公告，但合同中涉及国家秘密、商业秘密的内容除外。</w:t>
      </w:r>
    </w:p>
    <w:p w14:paraId="26AD4F6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33.5 中标人应当按照合同约定依法履行合同义务。采购合同的履行、违约责任和解决争议的方法等适用《中华人民共和国民法典》。</w:t>
      </w:r>
    </w:p>
    <w:p w14:paraId="39829F5C">
      <w:pPr>
        <w:shd w:val="clear"/>
        <w:adjustRightInd w:val="0"/>
        <w:snapToGrid w:val="0"/>
        <w:spacing w:line="360" w:lineRule="auto"/>
        <w:jc w:val="left"/>
        <w:rPr>
          <w:rFonts w:ascii="宋体" w:hAnsi="宋体" w:cs="宋体"/>
          <w:b/>
          <w:color w:val="auto"/>
          <w:kern w:val="0"/>
          <w:szCs w:val="21"/>
          <w:highlight w:val="none"/>
        </w:rPr>
      </w:pPr>
      <w:r>
        <w:rPr>
          <w:rFonts w:hint="eastAsia" w:ascii="宋体" w:hAnsi="宋体"/>
          <w:b/>
          <w:bCs/>
          <w:color w:val="auto"/>
          <w:szCs w:val="21"/>
          <w:highlight w:val="none"/>
        </w:rPr>
        <w:t>34.</w:t>
      </w:r>
      <w:r>
        <w:rPr>
          <w:rFonts w:hint="eastAsia" w:ascii="宋体" w:hAnsi="宋体" w:cs="宋体"/>
          <w:b/>
          <w:color w:val="auto"/>
          <w:kern w:val="0"/>
          <w:szCs w:val="21"/>
          <w:highlight w:val="none"/>
        </w:rPr>
        <w:t xml:space="preserve"> 履约担保</w:t>
      </w:r>
    </w:p>
    <w:p w14:paraId="7DD30F8B">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s="宋体"/>
          <w:color w:val="auto"/>
          <w:kern w:val="0"/>
          <w:szCs w:val="21"/>
          <w:highlight w:val="none"/>
        </w:rPr>
        <w:t>34.1</w:t>
      </w:r>
      <w:r>
        <w:rPr>
          <w:rFonts w:hint="eastAsia" w:ascii="宋体" w:hAnsi="宋体"/>
          <w:color w:val="auto"/>
          <w:szCs w:val="21"/>
          <w:highlight w:val="none"/>
        </w:rPr>
        <w:t>中标人在收到采购代理机构的《中标通知书》后10日内，需向采购人提交履约担保的，应按照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的规定提交。联合体中标的，履约担保由联合体各方或联合体中牵头人的名义提交。</w:t>
      </w:r>
    </w:p>
    <w:p w14:paraId="1B0935B0">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34.2 中标人</w:t>
      </w:r>
      <w:r>
        <w:rPr>
          <w:rFonts w:hint="eastAsia" w:ascii="宋体" w:hAnsi="宋体"/>
          <w:color w:val="auto"/>
          <w:spacing w:val="4"/>
          <w:szCs w:val="21"/>
          <w:highlight w:val="none"/>
        </w:rPr>
        <w:t>没有按照本章第3</w:t>
      </w:r>
      <w:r>
        <w:rPr>
          <w:rFonts w:ascii="宋体" w:hAnsi="宋体"/>
          <w:color w:val="auto"/>
          <w:spacing w:val="4"/>
          <w:szCs w:val="21"/>
          <w:highlight w:val="none"/>
        </w:rPr>
        <w:t>4</w:t>
      </w:r>
      <w:r>
        <w:rPr>
          <w:rFonts w:hint="eastAsia" w:ascii="宋体" w:hAnsi="宋体"/>
          <w:color w:val="auto"/>
          <w:spacing w:val="4"/>
          <w:szCs w:val="21"/>
          <w:highlight w:val="none"/>
        </w:rPr>
        <w:t>.1</w:t>
      </w:r>
      <w:r>
        <w:rPr>
          <w:rFonts w:hint="eastAsia" w:ascii="宋体" w:hAnsi="宋体" w:cs="宋体"/>
          <w:color w:val="auto"/>
          <w:kern w:val="0"/>
          <w:szCs w:val="21"/>
          <w:highlight w:val="none"/>
          <w:lang w:val="zh-CN"/>
        </w:rPr>
        <w:t>款</w:t>
      </w:r>
      <w:r>
        <w:rPr>
          <w:rFonts w:hint="eastAsia" w:ascii="宋体" w:hAnsi="宋体"/>
          <w:color w:val="auto"/>
          <w:spacing w:val="4"/>
          <w:szCs w:val="21"/>
          <w:highlight w:val="none"/>
        </w:rPr>
        <w:t>规定</w:t>
      </w:r>
      <w:r>
        <w:rPr>
          <w:rFonts w:hint="eastAsia" w:ascii="宋体" w:hAnsi="宋体"/>
          <w:color w:val="auto"/>
          <w:szCs w:val="21"/>
          <w:highlight w:val="none"/>
        </w:rPr>
        <w:t>提交履约担保的</w:t>
      </w:r>
      <w:r>
        <w:rPr>
          <w:rFonts w:hint="eastAsia" w:ascii="宋体" w:hAnsi="宋体"/>
          <w:color w:val="auto"/>
          <w:spacing w:val="4"/>
          <w:szCs w:val="21"/>
          <w:highlight w:val="none"/>
        </w:rPr>
        <w:t>，视为放弃中标，</w:t>
      </w:r>
      <w:r>
        <w:rPr>
          <w:rFonts w:hint="eastAsia" w:ascii="宋体" w:hAnsi="宋体"/>
          <w:color w:val="auto"/>
          <w:spacing w:val="2"/>
          <w:szCs w:val="21"/>
          <w:highlight w:val="none"/>
        </w:rPr>
        <w:t>其投标保证金不予退还。</w:t>
      </w:r>
    </w:p>
    <w:p w14:paraId="4FB81E25">
      <w:pPr>
        <w:shd w:val="clear"/>
        <w:adjustRightInd w:val="0"/>
        <w:snapToGrid w:val="0"/>
        <w:spacing w:line="360" w:lineRule="auto"/>
        <w:jc w:val="left"/>
        <w:rPr>
          <w:rFonts w:ascii="宋体" w:hAnsi="宋体"/>
          <w:b/>
          <w:bCs/>
          <w:color w:val="auto"/>
          <w:szCs w:val="21"/>
          <w:highlight w:val="none"/>
        </w:rPr>
      </w:pPr>
      <w:r>
        <w:rPr>
          <w:rFonts w:hint="eastAsia" w:ascii="宋体" w:hAnsi="宋体"/>
          <w:b/>
          <w:bCs/>
          <w:color w:val="auto"/>
          <w:szCs w:val="21"/>
          <w:highlight w:val="none"/>
        </w:rPr>
        <w:t>35.</w:t>
      </w:r>
      <w:r>
        <w:rPr>
          <w:rFonts w:hint="eastAsia" w:ascii="宋体" w:hAnsi="宋体"/>
          <w:b/>
          <w:color w:val="auto"/>
          <w:szCs w:val="21"/>
          <w:highlight w:val="none"/>
        </w:rPr>
        <w:t xml:space="preserve"> 采购合同履行中</w:t>
      </w:r>
      <w:r>
        <w:rPr>
          <w:rFonts w:hint="eastAsia" w:ascii="宋体" w:hAnsi="宋体"/>
          <w:b/>
          <w:bCs/>
          <w:color w:val="auto"/>
          <w:szCs w:val="21"/>
          <w:highlight w:val="none"/>
        </w:rPr>
        <w:t>数量的变更</w:t>
      </w:r>
    </w:p>
    <w:p w14:paraId="08098C8F">
      <w:pPr>
        <w:shd w:val="clear"/>
        <w:adjustRightInd w:val="0"/>
        <w:snapToGrid w:val="0"/>
        <w:spacing w:line="360" w:lineRule="auto"/>
        <w:ind w:firstLine="420" w:firstLineChars="200"/>
        <w:jc w:val="left"/>
        <w:rPr>
          <w:rFonts w:ascii="宋体" w:hAnsi="宋体"/>
          <w:color w:val="auto"/>
          <w:sz w:val="28"/>
          <w:szCs w:val="28"/>
          <w:highlight w:val="none"/>
        </w:rPr>
      </w:pPr>
      <w:r>
        <w:rPr>
          <w:rFonts w:hint="eastAsia" w:ascii="宋体" w:hAnsi="宋体"/>
          <w:color w:val="auto"/>
          <w:highlight w:val="none"/>
        </w:rPr>
        <w:t>35.1采购合同履行中，采购人需追加与合同标的相同的货物服务的，在不改变合同其他条款的前提下，可以与中标人协商签订补充合同，但所有补充合同的采购金额不得超过原合同采购金额的百分之十。</w:t>
      </w:r>
    </w:p>
    <w:p w14:paraId="07143B76">
      <w:pPr>
        <w:shd w:val="clear"/>
        <w:adjustRightInd w:val="0"/>
        <w:snapToGrid w:val="0"/>
        <w:spacing w:line="360" w:lineRule="auto"/>
        <w:jc w:val="left"/>
        <w:rPr>
          <w:b/>
          <w:color w:val="auto"/>
          <w:sz w:val="24"/>
          <w:highlight w:val="none"/>
        </w:rPr>
      </w:pPr>
      <w:r>
        <w:rPr>
          <w:rFonts w:hint="eastAsia"/>
          <w:b/>
          <w:color w:val="auto"/>
          <w:sz w:val="24"/>
          <w:highlight w:val="none"/>
        </w:rPr>
        <w:t>八、其他规定</w:t>
      </w:r>
    </w:p>
    <w:p w14:paraId="2FBDC65C">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36.</w:t>
      </w:r>
      <w:r>
        <w:rPr>
          <w:rFonts w:hint="eastAsia" w:ascii="宋体" w:hAnsi="宋体"/>
          <w:b/>
          <w:color w:val="auto"/>
          <w:szCs w:val="21"/>
          <w:highlight w:val="none"/>
        </w:rPr>
        <w:t>政府采购政策</w:t>
      </w:r>
    </w:p>
    <w:p w14:paraId="2DC811EF">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36.1强制采购：对列入财政部、国家发展改革委发布</w:t>
      </w:r>
      <w:r>
        <w:rPr>
          <w:rFonts w:hint="eastAsia" w:ascii="宋体" w:hAnsi="宋体"/>
          <w:color w:val="auto"/>
          <w:szCs w:val="21"/>
          <w:highlight w:val="none"/>
        </w:rPr>
        <w:t>《节能产品政府采购品目清单》</w:t>
      </w:r>
      <w:r>
        <w:rPr>
          <w:rFonts w:hint="eastAsia" w:ascii="宋体" w:hAnsi="宋体"/>
          <w:color w:val="auto"/>
          <w:highlight w:val="none"/>
        </w:rPr>
        <w:t>且属于应当强制采购的节能产品，按其规定实行强制采购。</w:t>
      </w:r>
    </w:p>
    <w:p w14:paraId="445EE02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36.2优先采购：对列入财政部、国家发展改革委发布的</w:t>
      </w:r>
      <w:r>
        <w:rPr>
          <w:rFonts w:hint="eastAsia" w:ascii="宋体" w:hAnsi="宋体"/>
          <w:color w:val="auto"/>
          <w:szCs w:val="21"/>
          <w:highlight w:val="none"/>
        </w:rPr>
        <w:t>《节能产品政府采购品目清单》</w:t>
      </w:r>
      <w:r>
        <w:rPr>
          <w:rFonts w:hint="eastAsia" w:ascii="宋体" w:hAnsi="宋体"/>
          <w:color w:val="auto"/>
          <w:highlight w:val="none"/>
        </w:rPr>
        <w:t>》的非强制采购节能产品，财政部、环境保护部发布的</w:t>
      </w:r>
      <w:r>
        <w:rPr>
          <w:rFonts w:hint="eastAsia" w:ascii="宋体" w:hAnsi="宋体"/>
          <w:color w:val="auto"/>
          <w:szCs w:val="21"/>
          <w:highlight w:val="none"/>
        </w:rPr>
        <w:t>《环境标志产品政府采购品目清单》</w:t>
      </w:r>
      <w:r>
        <w:rPr>
          <w:rFonts w:hint="eastAsia" w:ascii="宋体" w:hAnsi="宋体"/>
          <w:color w:val="auto"/>
          <w:highlight w:val="none"/>
        </w:rPr>
        <w:t>的环境标志产品，实行优先采购，评审时按相应评标方法给予价格折扣或者加分。</w:t>
      </w:r>
    </w:p>
    <w:p w14:paraId="0E71A16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36.3价格评审优惠：支持中小企业，对小型和微型企业产品给予价格折扣，用扣除后的价格参与评审。监狱企业、残疾人福利性单位视同小型、微型企业。</w:t>
      </w:r>
    </w:p>
    <w:p w14:paraId="40D6B41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36.4优先采购产品同时属于“非强制采购节能产品”、“环境标志产品”的，评审时只有其中一项能享受优先待遇（投标人自行选择，并在投标文件中填报相关信息及数据）；中小企业可以与同时属于“非强制采购节能产品”、“环境标志产品”中的一项重复计算；监狱企业、残疾人福利性单位属于小型、微型企业的，不重复享受政策。</w:t>
      </w:r>
    </w:p>
    <w:p w14:paraId="04A75AB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36.5同一项目中部分产品属于优先采购政策的，评审时只对该部分产品的报价实行价格扣除及加分。</w:t>
      </w:r>
    </w:p>
    <w:p w14:paraId="79721459">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36.6符合本章第3</w:t>
      </w:r>
      <w:r>
        <w:rPr>
          <w:rFonts w:ascii="宋体" w:hAnsi="宋体"/>
          <w:color w:val="auto"/>
          <w:highlight w:val="none"/>
        </w:rPr>
        <w:t>6</w:t>
      </w:r>
      <w:r>
        <w:rPr>
          <w:rFonts w:hint="eastAsia" w:ascii="宋体" w:hAnsi="宋体"/>
          <w:color w:val="auto"/>
          <w:highlight w:val="none"/>
        </w:rPr>
        <w:t>.1款、第3</w:t>
      </w:r>
      <w:r>
        <w:rPr>
          <w:rFonts w:ascii="宋体" w:hAnsi="宋体"/>
          <w:color w:val="auto"/>
          <w:highlight w:val="none"/>
        </w:rPr>
        <w:t>6</w:t>
      </w:r>
      <w:r>
        <w:rPr>
          <w:rFonts w:hint="eastAsia" w:ascii="宋体" w:hAnsi="宋体"/>
          <w:color w:val="auto"/>
          <w:highlight w:val="none"/>
        </w:rPr>
        <w:t>.2款、第3</w:t>
      </w:r>
      <w:r>
        <w:rPr>
          <w:rFonts w:ascii="宋体" w:hAnsi="宋体"/>
          <w:color w:val="auto"/>
          <w:highlight w:val="none"/>
        </w:rPr>
        <w:t>6</w:t>
      </w:r>
      <w:r>
        <w:rPr>
          <w:rFonts w:hint="eastAsia" w:ascii="宋体" w:hAnsi="宋体"/>
          <w:color w:val="auto"/>
          <w:highlight w:val="none"/>
        </w:rPr>
        <w:t>.3款规定的，应提供相关证明资料。</w:t>
      </w:r>
    </w:p>
    <w:p w14:paraId="7C7F90B0">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（1）非强制采购节能产品：提供</w:t>
      </w:r>
      <w:r>
        <w:rPr>
          <w:rFonts w:hint="eastAsia" w:ascii="宋体" w:hAnsi="宋体"/>
          <w:color w:val="auto"/>
          <w:szCs w:val="21"/>
          <w:highlight w:val="none"/>
        </w:rPr>
        <w:t>《节能产品政府采购品目清单》</w:t>
      </w:r>
      <w:r>
        <w:rPr>
          <w:rFonts w:hint="eastAsia" w:ascii="宋体" w:hAnsi="宋体"/>
          <w:color w:val="auto"/>
          <w:highlight w:val="none"/>
        </w:rPr>
        <w:t>所在页（截图）或证书（复印件）。</w:t>
      </w:r>
    </w:p>
    <w:p w14:paraId="5AD08B2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（2）环境标志产品：提供</w:t>
      </w:r>
      <w:r>
        <w:rPr>
          <w:rFonts w:hint="eastAsia" w:ascii="宋体" w:hAnsi="宋体"/>
          <w:color w:val="auto"/>
          <w:szCs w:val="21"/>
          <w:highlight w:val="none"/>
        </w:rPr>
        <w:t>《环境标志产品政府采购品目清单》</w:t>
      </w:r>
      <w:r>
        <w:rPr>
          <w:rFonts w:hint="eastAsia" w:ascii="宋体" w:hAnsi="宋体"/>
          <w:color w:val="auto"/>
          <w:highlight w:val="none"/>
        </w:rPr>
        <w:t>所在页（截图）或证书（复印件）。</w:t>
      </w:r>
    </w:p>
    <w:p w14:paraId="09E54128">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（3）中小企业：按《政府采购促进中小企业发展管理办法》（财库〔2020〕46号）规定提供《中小企业声明》（格式）。</w:t>
      </w:r>
    </w:p>
    <w:p w14:paraId="44CD7C3E">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4</w:t>
      </w:r>
      <w:r>
        <w:rPr>
          <w:rFonts w:hint="eastAsia" w:ascii="宋体" w:hAnsi="宋体"/>
          <w:color w:val="auto"/>
          <w:highlight w:val="none"/>
        </w:rPr>
        <w:t>）监狱企业：按《财政部 司法部关于政府采购支持监狱企业发展有关问题的通知》(财库〔2014〕68号)文件规定提供证明文件（复印件）。</w:t>
      </w:r>
    </w:p>
    <w:p w14:paraId="528D2FDD">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w:t>
      </w:r>
      <w:r>
        <w:rPr>
          <w:rFonts w:hint="eastAsia" w:ascii="宋体" w:hAnsi="宋体"/>
          <w:color w:val="auto"/>
          <w:highlight w:val="none"/>
          <w:lang w:val="en-US" w:eastAsia="zh-CN"/>
        </w:rPr>
        <w:t>5</w:t>
      </w:r>
      <w:r>
        <w:rPr>
          <w:rFonts w:hint="eastAsia" w:ascii="宋体" w:hAnsi="宋体"/>
          <w:color w:val="auto"/>
          <w:highlight w:val="none"/>
        </w:rPr>
        <w:t>）残疾人福利性单位：按《三部门联合发布关于促进残疾人就业政府采购政策的通知》(财库〔2017〕141号)文件规定提供《残疾人福利性单位声明函》（格式）。</w:t>
      </w:r>
    </w:p>
    <w:p w14:paraId="201A548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36.7投标人有融资、担保需求的，</w:t>
      </w:r>
      <w:r>
        <w:rPr>
          <w:rFonts w:hint="eastAsia" w:ascii="宋体" w:hAnsi="宋体"/>
          <w:color w:val="auto"/>
          <w:szCs w:val="21"/>
          <w:highlight w:val="none"/>
        </w:rPr>
        <w:t>具体办理流程可向</w:t>
      </w:r>
      <w:r>
        <w:rPr>
          <w:rFonts w:hint="eastAsia" w:ascii="宋体" w:hAnsi="宋体"/>
          <w:b/>
          <w:color w:val="auto"/>
          <w:szCs w:val="21"/>
          <w:highlight w:val="none"/>
        </w:rPr>
        <w:t>【投标须知前附表】</w:t>
      </w:r>
      <w:r>
        <w:rPr>
          <w:rFonts w:hint="eastAsia" w:ascii="宋体" w:hAnsi="宋体"/>
          <w:color w:val="auto"/>
          <w:szCs w:val="21"/>
          <w:highlight w:val="none"/>
        </w:rPr>
        <w:t>附页2-2所列金融机构和担保机构询问。</w:t>
      </w:r>
    </w:p>
    <w:p w14:paraId="7D6E18C3">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37.</w:t>
      </w:r>
      <w:r>
        <w:rPr>
          <w:rFonts w:hint="eastAsia" w:ascii="宋体" w:hAnsi="宋体"/>
          <w:b/>
          <w:color w:val="auto"/>
          <w:szCs w:val="21"/>
          <w:highlight w:val="none"/>
        </w:rPr>
        <w:t>招标不足三家处理</w:t>
      </w:r>
    </w:p>
    <w:p w14:paraId="13A168DE">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37.1公开招标数额标准以上的采购项目，投标截止后投标人不足3家或者通过资格审查或符合性审查的投标人不足3家的，除采购任务取消情形外，按照以下方式处理：</w:t>
      </w:r>
    </w:p>
    <w:p w14:paraId="20616685">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5C119479">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42CA50A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37.2属上款第（2）项情形的，评标委员会应出具的招标文件没有不合理条款的论证意见。</w:t>
      </w:r>
    </w:p>
    <w:p w14:paraId="76C8E249">
      <w:pPr>
        <w:shd w:val="clear"/>
        <w:adjustRightInd w:val="0"/>
        <w:snapToGrid w:val="0"/>
        <w:spacing w:line="360" w:lineRule="auto"/>
        <w:jc w:val="left"/>
        <w:rPr>
          <w:rFonts w:ascii="宋体" w:hAnsi="宋体"/>
          <w:b/>
          <w:color w:val="auto"/>
          <w:szCs w:val="21"/>
          <w:highlight w:val="none"/>
        </w:rPr>
      </w:pPr>
      <w:r>
        <w:rPr>
          <w:rFonts w:hint="eastAsia" w:ascii="宋体" w:hAnsi="宋体"/>
          <w:b/>
          <w:bCs/>
          <w:color w:val="auto"/>
          <w:szCs w:val="21"/>
          <w:highlight w:val="none"/>
        </w:rPr>
        <w:t>38.</w:t>
      </w:r>
      <w:r>
        <w:rPr>
          <w:rFonts w:hint="eastAsia" w:ascii="宋体" w:hAnsi="宋体"/>
          <w:b/>
          <w:color w:val="auto"/>
          <w:szCs w:val="21"/>
          <w:highlight w:val="none"/>
        </w:rPr>
        <w:t xml:space="preserve"> 招标代理委托内容及服务费</w:t>
      </w:r>
    </w:p>
    <w:p w14:paraId="7E8220DF">
      <w:pPr>
        <w:shd w:val="clear"/>
        <w:adjustRightInd w:val="0"/>
        <w:snapToGrid w:val="0"/>
        <w:spacing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38.1招标代理委托内容</w:t>
      </w:r>
      <w:r>
        <w:rPr>
          <w:rFonts w:hint="eastAsia" w:ascii="宋体" w:hAnsi="宋体"/>
          <w:b/>
          <w:color w:val="auto"/>
          <w:szCs w:val="21"/>
          <w:highlight w:val="none"/>
        </w:rPr>
        <w:t>：</w:t>
      </w:r>
    </w:p>
    <w:p w14:paraId="1FEC8867">
      <w:pPr>
        <w:shd w:val="clear"/>
        <w:adjustRightInd w:val="0"/>
        <w:snapToGrid w:val="0"/>
        <w:spacing w:line="360" w:lineRule="auto"/>
        <w:ind w:firstLine="420" w:firstLineChars="200"/>
        <w:jc w:val="left"/>
        <w:rPr>
          <w:rFonts w:ascii="宋体" w:hAnsi="宋体"/>
          <w:color w:val="auto"/>
          <w:szCs w:val="21"/>
          <w:highlight w:val="none"/>
        </w:rPr>
      </w:pPr>
      <w:bookmarkStart w:id="13" w:name="EBa066981c45bc4eb891064d1d7b78dbc7"/>
      <w:r>
        <w:rPr>
          <w:rFonts w:hint="eastAsia" w:ascii="宋体" w:hAnsi="宋体"/>
          <w:color w:val="auto"/>
          <w:szCs w:val="21"/>
          <w:highlight w:val="none"/>
        </w:rPr>
        <w:t>（一）、起草、编制</w:t>
      </w:r>
      <w:r>
        <w:rPr>
          <w:rFonts w:hint="eastAsia" w:ascii="宋体" w:hAnsi="宋体"/>
          <w:color w:val="auto"/>
          <w:szCs w:val="21"/>
          <w:highlight w:val="none"/>
          <w:lang w:eastAsia="zh-CN"/>
        </w:rPr>
        <w:t>招标文件</w:t>
      </w:r>
      <w:r>
        <w:rPr>
          <w:rFonts w:hint="eastAsia" w:ascii="宋体" w:hAnsi="宋体"/>
          <w:color w:val="auto"/>
          <w:szCs w:val="21"/>
          <w:highlight w:val="none"/>
        </w:rPr>
        <w:t>；（二）、组织专家对</w:t>
      </w:r>
      <w:r>
        <w:rPr>
          <w:rFonts w:hint="eastAsia" w:ascii="宋体" w:hAnsi="宋体"/>
          <w:color w:val="auto"/>
          <w:szCs w:val="21"/>
          <w:highlight w:val="none"/>
          <w:lang w:eastAsia="zh-CN"/>
        </w:rPr>
        <w:t>招标文件</w:t>
      </w:r>
      <w:r>
        <w:rPr>
          <w:rFonts w:hint="eastAsia" w:ascii="宋体" w:hAnsi="宋体"/>
          <w:color w:val="auto"/>
          <w:szCs w:val="21"/>
          <w:highlight w:val="none"/>
        </w:rPr>
        <w:t>进行论证；（三）、组织采购答疑会；（四）、制作、发布采购信息公告；（五）、组织开展供应商资格预审；（六）、依法组建评审委员会；（七）、邀请财政部门及有关部门现场监督； （八）、组织评审活动，记录、整理评审委员会的评审意见，协助评审委员会编写评审报告；（九）、制作、发布中标（成交）信息公告； （十）、发送供应商中标（成交）通知书； （十一）、答复供应商的询问和质疑，配合财政部门的投诉处理；（十二）、整理移交采购活动的</w:t>
      </w:r>
      <w:r>
        <w:rPr>
          <w:rFonts w:hint="eastAsia" w:ascii="宋体" w:hAnsi="宋体"/>
          <w:color w:val="auto"/>
          <w:szCs w:val="21"/>
          <w:highlight w:val="none"/>
          <w:lang w:eastAsia="zh-CN"/>
        </w:rPr>
        <w:t>招标文件</w:t>
      </w:r>
      <w:r>
        <w:rPr>
          <w:rFonts w:hint="eastAsia" w:ascii="宋体" w:hAnsi="宋体"/>
          <w:color w:val="auto"/>
          <w:szCs w:val="21"/>
          <w:highlight w:val="none"/>
        </w:rPr>
        <w:t>档案； (十三)、法律法规规定的其他事项。</w:t>
      </w:r>
      <w:bookmarkEnd w:id="13"/>
    </w:p>
    <w:p w14:paraId="589DEC6C">
      <w:pPr>
        <w:shd w:val="clear"/>
        <w:adjustRightInd w:val="0"/>
        <w:snapToGrid w:val="0"/>
        <w:spacing w:line="360" w:lineRule="auto"/>
        <w:jc w:val="left"/>
        <w:rPr>
          <w:rFonts w:ascii="宋体" w:hAnsi="宋体"/>
          <w:b/>
          <w:color w:val="auto"/>
          <w:szCs w:val="21"/>
          <w:highlight w:val="none"/>
        </w:rPr>
      </w:pPr>
      <w:r>
        <w:rPr>
          <w:rFonts w:hint="eastAsia" w:ascii="宋体" w:hAnsi="宋体" w:cs="宋体"/>
          <w:b/>
          <w:color w:val="auto"/>
          <w:kern w:val="0"/>
          <w:szCs w:val="21"/>
          <w:highlight w:val="none"/>
        </w:rPr>
        <w:t>39.</w:t>
      </w:r>
      <w:r>
        <w:rPr>
          <w:rFonts w:hint="eastAsia" w:ascii="宋体" w:hAnsi="宋体"/>
          <w:b/>
          <w:color w:val="auto"/>
          <w:szCs w:val="21"/>
          <w:highlight w:val="none"/>
        </w:rPr>
        <w:t xml:space="preserve"> 需要补充的其他内容</w:t>
      </w:r>
    </w:p>
    <w:p w14:paraId="0B2C66B4">
      <w:pPr>
        <w:shd w:val="clear"/>
        <w:adjustRightInd w:val="0"/>
        <w:snapToGrid w:val="0"/>
        <w:spacing w:line="360" w:lineRule="auto"/>
        <w:ind w:firstLine="420" w:firstLineChars="200"/>
        <w:jc w:val="left"/>
        <w:rPr>
          <w:rFonts w:ascii="宋体" w:hAnsi="宋体"/>
          <w:color w:val="auto"/>
          <w:highlight w:val="none"/>
        </w:rPr>
      </w:pPr>
      <w:r>
        <w:rPr>
          <w:rFonts w:hint="eastAsia" w:ascii="宋体" w:hAnsi="宋体"/>
          <w:color w:val="auto"/>
          <w:highlight w:val="none"/>
        </w:rPr>
        <w:t>39.1招标文件需要补充的其他内容见</w:t>
      </w:r>
      <w:r>
        <w:rPr>
          <w:rFonts w:hint="eastAsia" w:ascii="宋体" w:hAnsi="宋体"/>
          <w:b/>
          <w:color w:val="auto"/>
          <w:highlight w:val="none"/>
        </w:rPr>
        <w:t>【投标须知前附表】</w:t>
      </w:r>
      <w:r>
        <w:rPr>
          <w:rFonts w:hint="eastAsia" w:ascii="宋体" w:hAnsi="宋体"/>
          <w:color w:val="auto"/>
          <w:highlight w:val="none"/>
        </w:rPr>
        <w:t>。</w:t>
      </w:r>
    </w:p>
    <w:p w14:paraId="2BACFAED">
      <w:pPr>
        <w:pStyle w:val="23"/>
        <w:shd w:val="clear"/>
        <w:adjustRightInd w:val="0"/>
        <w:snapToGrid w:val="0"/>
        <w:spacing w:before="156" w:beforeLines="50" w:line="360" w:lineRule="auto"/>
        <w:jc w:val="center"/>
        <w:outlineLvl w:val="0"/>
        <w:rPr>
          <w:rFonts w:hAnsi="宋体"/>
          <w:color w:val="auto"/>
          <w:highlight w:val="none"/>
        </w:rPr>
      </w:pPr>
    </w:p>
    <w:p w14:paraId="7BA7B102">
      <w:pPr>
        <w:shd w:val="clear"/>
        <w:rPr>
          <w:rFonts w:hint="eastAsia" w:ascii="黑体" w:hAnsi="黑体" w:eastAsia="黑体"/>
          <w:color w:val="auto"/>
          <w:sz w:val="32"/>
          <w:szCs w:val="32"/>
          <w:highlight w:val="none"/>
        </w:rPr>
      </w:pPr>
      <w:bookmarkStart w:id="14" w:name="_Toc78815071"/>
      <w:bookmarkStart w:id="15" w:name="_Toc23519980"/>
      <w:r>
        <w:rPr>
          <w:rFonts w:hint="eastAsia" w:ascii="黑体" w:hAnsi="黑体" w:eastAsia="黑体"/>
          <w:color w:val="auto"/>
          <w:sz w:val="32"/>
          <w:szCs w:val="32"/>
          <w:highlight w:val="none"/>
        </w:rPr>
        <w:br w:type="page"/>
      </w:r>
    </w:p>
    <w:p w14:paraId="39D6E64E">
      <w:pPr>
        <w:pStyle w:val="2"/>
        <w:shd w:val="clear"/>
        <w:rPr>
          <w:rFonts w:ascii="黑体" w:hAnsi="黑体" w:eastAsia="黑体"/>
          <w:color w:val="auto"/>
          <w:sz w:val="32"/>
          <w:szCs w:val="32"/>
          <w:highlight w:val="none"/>
        </w:rPr>
      </w:pPr>
      <w:r>
        <w:rPr>
          <w:rFonts w:hint="eastAsia" w:ascii="黑体" w:hAnsi="黑体" w:eastAsia="黑体"/>
          <w:color w:val="auto"/>
          <w:sz w:val="32"/>
          <w:szCs w:val="32"/>
          <w:highlight w:val="none"/>
        </w:rPr>
        <w:t>第三章 资格审查</w:t>
      </w:r>
      <w:bookmarkEnd w:id="14"/>
      <w:bookmarkEnd w:id="15"/>
    </w:p>
    <w:p w14:paraId="14AE767C">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16" w:name="_Toc5161"/>
      <w:bookmarkStart w:id="17" w:name="_Toc15709"/>
      <w:bookmarkStart w:id="18" w:name="_Toc20651206"/>
      <w:bookmarkStart w:id="19" w:name="_Toc12055"/>
      <w:bookmarkStart w:id="20" w:name="_Toc23519985"/>
      <w:r>
        <w:rPr>
          <w:rFonts w:hint="eastAsia" w:ascii="黑体" w:hAnsi="黑体" w:eastAsia="黑体"/>
          <w:color w:val="auto"/>
          <w:sz w:val="24"/>
          <w:szCs w:val="24"/>
          <w:highlight w:val="none"/>
        </w:rPr>
        <w:t>1．资格审查主体</w:t>
      </w:r>
      <w:bookmarkEnd w:id="16"/>
      <w:bookmarkEnd w:id="17"/>
      <w:bookmarkEnd w:id="18"/>
      <w:bookmarkEnd w:id="19"/>
    </w:p>
    <w:p w14:paraId="5075AA1A">
      <w:pPr>
        <w:shd w:val="clear" w:color="auto"/>
        <w:adjustRightInd w:val="0"/>
        <w:snapToGrid w:val="0"/>
        <w:spacing w:before="156" w:beforeLines="50" w:line="360" w:lineRule="auto"/>
        <w:ind w:firstLine="417" w:firstLineChars="199"/>
        <w:jc w:val="left"/>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72BEF674">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21" w:name="_Toc20651207"/>
      <w:bookmarkStart w:id="22" w:name="_Toc17454"/>
      <w:bookmarkStart w:id="23" w:name="_Toc32287"/>
      <w:bookmarkStart w:id="24" w:name="_Toc27531"/>
      <w:r>
        <w:rPr>
          <w:rFonts w:hint="eastAsia" w:ascii="黑体" w:hAnsi="黑体" w:eastAsia="黑体"/>
          <w:color w:val="auto"/>
          <w:sz w:val="24"/>
          <w:szCs w:val="24"/>
          <w:highlight w:val="none"/>
        </w:rPr>
        <w:t>2．资格审查</w:t>
      </w:r>
      <w:bookmarkEnd w:id="21"/>
      <w:bookmarkEnd w:id="22"/>
      <w:bookmarkEnd w:id="23"/>
      <w:bookmarkEnd w:id="24"/>
    </w:p>
    <w:p w14:paraId="61A64AD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2.1资格审查依据法律法规和招标文件的规定，对投标文件中的资格证明文件、投标保证金、投标报价等进行审查，以确定投标供应商是否具备投标资格。</w:t>
      </w:r>
    </w:p>
    <w:p w14:paraId="412D21BF">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18A8B56C">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409D2B25">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0C8D93FA">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3F4BD9DB">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（3）投标文件的资格证明文件未按照招标文件要求签署、盖章的；</w:t>
      </w:r>
    </w:p>
    <w:p w14:paraId="3F24E968">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（4）未按照招标文件的规定提交投标保证金的；</w:t>
      </w:r>
      <w:r>
        <w:rPr>
          <w:rFonts w:hint="eastAsia" w:ascii="宋体" w:hAnsi="宋体"/>
          <w:b/>
          <w:bCs/>
          <w:color w:val="auto"/>
          <w:szCs w:val="21"/>
          <w:highlight w:val="none"/>
        </w:rPr>
        <w:t>（本项目不交纳投标保证金）</w:t>
      </w:r>
    </w:p>
    <w:p w14:paraId="3DE4F80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（5）投标报价超过招标文件中规定的预算金额或者最高限价的；</w:t>
      </w:r>
    </w:p>
    <w:p w14:paraId="1C689D2B">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5B7A5DCF">
      <w:pPr>
        <w:shd w:val="clear" w:color="auto"/>
        <w:adjustRightInd w:val="0"/>
        <w:snapToGrid w:val="0"/>
        <w:spacing w:before="156" w:beforeLines="50" w:line="360" w:lineRule="auto"/>
        <w:ind w:firstLine="420" w:firstLineChars="200"/>
        <w:jc w:val="left"/>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0E4B6999">
      <w:pPr>
        <w:shd w:val="clear" w:color="auto"/>
        <w:adjustRightInd w:val="0"/>
        <w:snapToGrid w:val="0"/>
        <w:spacing w:line="420" w:lineRule="exact"/>
        <w:ind w:firstLine="420" w:firstLineChars="200"/>
        <w:rPr>
          <w:rFonts w:hint="eastAsia" w:ascii="宋体" w:hAnsi="宋体" w:cs="宋体"/>
          <w:color w:val="auto"/>
          <w:szCs w:val="21"/>
          <w:highlight w:val="none"/>
        </w:rPr>
      </w:pPr>
      <w:r>
        <w:rPr>
          <w:rFonts w:hint="eastAsia" w:ascii="宋体" w:hAnsi="宋体"/>
          <w:color w:val="auto"/>
          <w:szCs w:val="21"/>
          <w:highlight w:val="none"/>
        </w:rPr>
        <w:t>（1）信用信息查询的查询渠道：</w:t>
      </w:r>
      <w:r>
        <w:rPr>
          <w:rFonts w:hint="eastAsia" w:ascii="宋体" w:hAnsi="宋体" w:eastAsia="宋体" w:cs="宋体"/>
          <w:color w:val="auto"/>
          <w:szCs w:val="21"/>
          <w:highlight w:val="none"/>
        </w:rPr>
        <w:t>“信用中国”网站（www.creditchina.gov.cn）、“中国政府采购网”（www.ccgp.gov.cn）</w:t>
      </w:r>
      <w:r>
        <w:rPr>
          <w:rFonts w:hint="eastAsia" w:ascii="宋体" w:hAnsi="宋体"/>
          <w:color w:val="auto"/>
          <w:szCs w:val="21"/>
          <w:highlight w:val="none"/>
        </w:rPr>
        <w:t>；</w:t>
      </w:r>
    </w:p>
    <w:p w14:paraId="76CC15B4">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288B9797">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46FD7D53">
      <w:pPr>
        <w:shd w:val="clear" w:color="auto"/>
        <w:adjustRightInd w:val="0"/>
        <w:snapToGrid w:val="0"/>
        <w:spacing w:line="360" w:lineRule="auto"/>
        <w:ind w:firstLine="420" w:firstLineChars="200"/>
        <w:jc w:val="left"/>
        <w:rPr>
          <w:rFonts w:ascii="宋体" w:hAnsi="宋体"/>
          <w:color w:val="auto"/>
          <w:szCs w:val="21"/>
          <w:highlight w:val="none"/>
        </w:rPr>
      </w:pPr>
      <w:bookmarkStart w:id="25" w:name="_Toc20651208"/>
      <w:r>
        <w:rPr>
          <w:rFonts w:hint="eastAsia" w:ascii="宋体" w:hAnsi="宋体"/>
          <w:color w:val="auto"/>
          <w:szCs w:val="21"/>
          <w:highlight w:val="none"/>
        </w:rPr>
        <w:t>（4）信用信息的使用原则：被列入失信被执行人、重大税收违法失信主体名单、政府采购严重违法失信行为记录名单及其他不符合《中华人民共和国政府采购法》第二十二条规定条件的投标人，将拒绝其参与采购活动。</w:t>
      </w:r>
    </w:p>
    <w:p w14:paraId="033466DD">
      <w:pPr>
        <w:shd w:val="clear" w:color="auto"/>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（5）信用信息查询记录和证据留存具体方式：查询结果网页截图作为查询记录和证据，与其他</w:t>
      </w:r>
      <w:r>
        <w:rPr>
          <w:rFonts w:hint="eastAsia" w:ascii="宋体" w:hAnsi="宋体"/>
          <w:color w:val="auto"/>
          <w:szCs w:val="21"/>
          <w:highlight w:val="none"/>
          <w:lang w:eastAsia="zh-CN"/>
        </w:rPr>
        <w:t>招标文件</w:t>
      </w:r>
      <w:r>
        <w:rPr>
          <w:rFonts w:hint="eastAsia" w:ascii="宋体" w:hAnsi="宋体"/>
          <w:color w:val="auto"/>
          <w:szCs w:val="21"/>
          <w:highlight w:val="none"/>
        </w:rPr>
        <w:t>一并保存。</w:t>
      </w:r>
    </w:p>
    <w:p w14:paraId="3EFA79B2">
      <w:pPr>
        <w:pStyle w:val="4"/>
        <w:shd w:val="clear" w:color="auto"/>
        <w:adjustRightInd w:val="0"/>
        <w:snapToGrid w:val="0"/>
        <w:spacing w:before="156" w:beforeLines="50" w:after="0" w:line="360" w:lineRule="auto"/>
        <w:rPr>
          <w:rFonts w:ascii="黑体" w:hAnsi="黑体" w:eastAsia="黑体"/>
          <w:color w:val="auto"/>
          <w:sz w:val="24"/>
          <w:szCs w:val="24"/>
          <w:highlight w:val="none"/>
        </w:rPr>
      </w:pPr>
      <w:bookmarkStart w:id="26" w:name="_Toc18252"/>
      <w:bookmarkStart w:id="27" w:name="_Toc20376"/>
      <w:bookmarkStart w:id="28" w:name="_Toc27073"/>
      <w:r>
        <w:rPr>
          <w:rFonts w:hint="eastAsia" w:ascii="黑体" w:hAnsi="黑体" w:eastAsia="黑体"/>
          <w:color w:val="auto"/>
          <w:sz w:val="24"/>
          <w:szCs w:val="24"/>
          <w:highlight w:val="none"/>
        </w:rPr>
        <w:t>3．资格审查结果</w:t>
      </w:r>
      <w:bookmarkEnd w:id="25"/>
      <w:bookmarkEnd w:id="26"/>
      <w:bookmarkEnd w:id="27"/>
      <w:bookmarkEnd w:id="28"/>
    </w:p>
    <w:p w14:paraId="12FADF2C">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15366328">
      <w:pPr>
        <w:shd w:val="clear" w:color="auto"/>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252290C7">
      <w:pPr>
        <w:pStyle w:val="4"/>
        <w:shd w:val="clear" w:color="auto"/>
        <w:adjustRightInd w:val="0"/>
        <w:snapToGrid w:val="0"/>
        <w:spacing w:before="50" w:after="0" w:line="360" w:lineRule="auto"/>
        <w:rPr>
          <w:rFonts w:ascii="黑体" w:hAnsi="黑体" w:eastAsia="黑体"/>
          <w:color w:val="auto"/>
          <w:sz w:val="24"/>
          <w:szCs w:val="24"/>
          <w:highlight w:val="none"/>
        </w:rPr>
      </w:pPr>
      <w:bookmarkStart w:id="29" w:name="_Toc30334"/>
      <w:bookmarkStart w:id="30" w:name="_Toc7835"/>
      <w:bookmarkStart w:id="31" w:name="_Toc12734"/>
      <w:bookmarkStart w:id="32" w:name="_Toc20651209"/>
      <w:r>
        <w:rPr>
          <w:rFonts w:hint="eastAsia" w:ascii="黑体" w:hAnsi="黑体" w:eastAsia="黑体"/>
          <w:color w:val="auto"/>
          <w:sz w:val="24"/>
          <w:szCs w:val="24"/>
          <w:highlight w:val="none"/>
        </w:rPr>
        <w:t>4．其他</w:t>
      </w:r>
      <w:bookmarkEnd w:id="29"/>
      <w:bookmarkEnd w:id="30"/>
      <w:bookmarkEnd w:id="31"/>
      <w:bookmarkEnd w:id="32"/>
    </w:p>
    <w:p w14:paraId="06F438E9">
      <w:pPr>
        <w:shd w:val="clear"/>
        <w:adjustRightInd w:val="0"/>
        <w:snapToGrid w:val="0"/>
        <w:spacing w:before="156" w:beforeLines="50" w:line="360" w:lineRule="auto"/>
        <w:ind w:firstLine="420" w:firstLineChars="200"/>
        <w:jc w:val="left"/>
        <w:rPr>
          <w:rFonts w:ascii="黑体" w:hAnsi="黑体"/>
          <w:b/>
          <w:color w:val="auto"/>
          <w:szCs w:val="21"/>
          <w:highlight w:val="none"/>
        </w:rPr>
      </w:pPr>
      <w:r>
        <w:rPr>
          <w:rFonts w:hint="eastAsia" w:ascii="宋体" w:hAnsi="宋体"/>
          <w:color w:val="auto"/>
          <w:szCs w:val="21"/>
          <w:highlight w:val="none"/>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r>
        <w:rPr>
          <w:rFonts w:hint="eastAsia" w:ascii="宋体" w:hAnsi="宋体"/>
          <w:color w:val="auto"/>
          <w:szCs w:val="21"/>
          <w:highlight w:val="none"/>
        </w:rPr>
        <w:br w:type="page"/>
      </w:r>
    </w:p>
    <w:p w14:paraId="736F8905">
      <w:pPr>
        <w:shd w:val="clear"/>
        <w:adjustRightInd w:val="0"/>
        <w:snapToGrid w:val="0"/>
        <w:spacing w:before="156" w:beforeLines="50" w:line="360" w:lineRule="auto"/>
        <w:ind w:firstLine="422" w:firstLineChars="200"/>
        <w:jc w:val="left"/>
        <w:rPr>
          <w:rFonts w:ascii="黑体" w:hAnsi="黑体"/>
          <w:b/>
          <w:color w:val="auto"/>
          <w:szCs w:val="21"/>
          <w:highlight w:val="none"/>
        </w:rPr>
      </w:pPr>
      <w:r>
        <w:rPr>
          <w:rFonts w:hint="eastAsia" w:ascii="黑体" w:hAnsi="黑体"/>
          <w:b/>
          <w:color w:val="auto"/>
          <w:szCs w:val="21"/>
          <w:highlight w:val="none"/>
        </w:rPr>
        <w:t xml:space="preserve">附表1 </w:t>
      </w:r>
      <w:r>
        <w:rPr>
          <w:rFonts w:ascii="黑体" w:hAnsi="黑体"/>
          <w:b/>
          <w:color w:val="auto"/>
          <w:szCs w:val="21"/>
          <w:highlight w:val="none"/>
        </w:rPr>
        <w:t>投标人资格审查表</w:t>
      </w:r>
      <w:bookmarkEnd w:id="20"/>
    </w:p>
    <w:p w14:paraId="48697EB7">
      <w:pPr>
        <w:shd w:val="clear"/>
        <w:adjustRightInd w:val="0"/>
        <w:snapToGrid w:val="0"/>
        <w:spacing w:line="360" w:lineRule="auto"/>
        <w:jc w:val="center"/>
        <w:rPr>
          <w:rFonts w:hint="eastAsia" w:ascii="黑体" w:hAnsi="黑体" w:eastAsia="黑体"/>
          <w:b/>
          <w:color w:val="auto"/>
          <w:sz w:val="28"/>
          <w:szCs w:val="28"/>
          <w:highlight w:val="none"/>
          <w:lang w:eastAsia="zh-CN"/>
        </w:rPr>
      </w:pPr>
      <w:r>
        <w:rPr>
          <w:rFonts w:ascii="黑体" w:hAnsi="黑体" w:eastAsia="黑体"/>
          <w:b/>
          <w:color w:val="auto"/>
          <w:sz w:val="28"/>
          <w:szCs w:val="28"/>
          <w:highlight w:val="none"/>
        </w:rPr>
        <w:t>资格审查表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p w14:paraId="52CBC945">
      <w:pPr>
        <w:shd w:val="clear"/>
        <w:adjustRightInd w:val="0"/>
        <w:snapToGrid w:val="0"/>
        <w:spacing w:line="360" w:lineRule="auto"/>
        <w:rPr>
          <w:rFonts w:ascii="黑体" w:hAnsi="黑体" w:eastAsia="黑体"/>
          <w:color w:val="auto"/>
          <w:sz w:val="28"/>
          <w:szCs w:val="28"/>
          <w:highlight w:val="none"/>
        </w:rPr>
      </w:pPr>
      <w:r>
        <w:rPr>
          <w:rFonts w:hint="eastAsia" w:ascii="宋体" w:hAnsi="宋体"/>
          <w:color w:val="auto"/>
          <w:szCs w:val="21"/>
          <w:highlight w:val="none"/>
        </w:rPr>
        <w:t>项目名称：                                          采购代理编号：</w:t>
      </w:r>
    </w:p>
    <w:tbl>
      <w:tblPr>
        <w:tblStyle w:val="43"/>
        <w:tblW w:w="99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
        <w:gridCol w:w="6248"/>
        <w:gridCol w:w="1640"/>
        <w:gridCol w:w="404"/>
        <w:gridCol w:w="397"/>
        <w:gridCol w:w="409"/>
        <w:gridCol w:w="430"/>
      </w:tblGrid>
      <w:tr w14:paraId="7C7352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409" w:type="dxa"/>
            <w:vMerge w:val="restart"/>
            <w:vAlign w:val="center"/>
          </w:tcPr>
          <w:p w14:paraId="5B9259DD">
            <w:pPr>
              <w:shd w:val="clea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6248" w:type="dxa"/>
            <w:vMerge w:val="restart"/>
            <w:vAlign w:val="center"/>
          </w:tcPr>
          <w:p w14:paraId="6C000AB6">
            <w:pPr>
              <w:shd w:val="clear"/>
              <w:jc w:val="center"/>
              <w:rPr>
                <w:rFonts w:ascii="宋体" w:hAnsi="宋体" w:cs="宋体"/>
                <w:color w:val="auto"/>
                <w:szCs w:val="21"/>
                <w:highlight w:val="none"/>
              </w:rPr>
            </w:pPr>
            <w:r>
              <w:rPr>
                <w:rFonts w:hint="eastAsia" w:ascii="宋体" w:hAnsi="宋体" w:cs="宋体"/>
                <w:color w:val="auto"/>
                <w:szCs w:val="21"/>
                <w:highlight w:val="none"/>
              </w:rPr>
              <w:t>检查项目</w:t>
            </w:r>
          </w:p>
        </w:tc>
        <w:tc>
          <w:tcPr>
            <w:tcW w:w="1640" w:type="dxa"/>
            <w:vMerge w:val="restart"/>
            <w:vAlign w:val="center"/>
          </w:tcPr>
          <w:p w14:paraId="049F982B">
            <w:pPr>
              <w:shd w:val="clear"/>
              <w:jc w:val="center"/>
              <w:rPr>
                <w:rFonts w:ascii="宋体" w:hAnsi="宋体" w:cs="宋体"/>
                <w:color w:val="auto"/>
                <w:szCs w:val="21"/>
                <w:highlight w:val="none"/>
              </w:rPr>
            </w:pPr>
            <w:r>
              <w:rPr>
                <w:rFonts w:hint="eastAsia" w:ascii="宋体" w:hAnsi="宋体" w:cs="宋体"/>
                <w:color w:val="auto"/>
                <w:szCs w:val="21"/>
                <w:highlight w:val="none"/>
              </w:rPr>
              <w:t>评审标准</w:t>
            </w:r>
          </w:p>
        </w:tc>
        <w:tc>
          <w:tcPr>
            <w:tcW w:w="1640" w:type="dxa"/>
            <w:gridSpan w:val="4"/>
            <w:vAlign w:val="center"/>
          </w:tcPr>
          <w:p w14:paraId="25D3B57F">
            <w:pPr>
              <w:shd w:val="clear"/>
              <w:jc w:val="center"/>
              <w:rPr>
                <w:rFonts w:ascii="宋体" w:hAnsi="宋体" w:cs="宋体"/>
                <w:color w:val="auto"/>
                <w:szCs w:val="21"/>
                <w:highlight w:val="none"/>
              </w:rPr>
            </w:pPr>
            <w:r>
              <w:rPr>
                <w:rFonts w:hint="eastAsia" w:ascii="宋体" w:hAnsi="宋体" w:cs="宋体"/>
                <w:color w:val="auto"/>
                <w:szCs w:val="21"/>
                <w:highlight w:val="none"/>
              </w:rPr>
              <w:t>投标人</w:t>
            </w:r>
          </w:p>
        </w:tc>
      </w:tr>
      <w:tr w14:paraId="214B59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409" w:type="dxa"/>
            <w:vMerge w:val="continue"/>
            <w:vAlign w:val="center"/>
          </w:tcPr>
          <w:p w14:paraId="02FD0E7B">
            <w:pPr>
              <w:shd w:val="clear"/>
              <w:rPr>
                <w:rFonts w:ascii="宋体" w:hAnsi="宋体" w:cs="宋体"/>
                <w:color w:val="auto"/>
                <w:highlight w:val="none"/>
              </w:rPr>
            </w:pPr>
          </w:p>
        </w:tc>
        <w:tc>
          <w:tcPr>
            <w:tcW w:w="6248" w:type="dxa"/>
            <w:vMerge w:val="continue"/>
            <w:vAlign w:val="center"/>
          </w:tcPr>
          <w:p w14:paraId="0A475B4F">
            <w:pPr>
              <w:shd w:val="clear"/>
              <w:rPr>
                <w:rFonts w:ascii="宋体" w:hAnsi="宋体" w:cs="宋体"/>
                <w:color w:val="auto"/>
                <w:highlight w:val="none"/>
              </w:rPr>
            </w:pPr>
          </w:p>
        </w:tc>
        <w:tc>
          <w:tcPr>
            <w:tcW w:w="1640" w:type="dxa"/>
            <w:vMerge w:val="continue"/>
            <w:vAlign w:val="center"/>
          </w:tcPr>
          <w:p w14:paraId="39C5BA48">
            <w:pPr>
              <w:shd w:val="clear"/>
              <w:rPr>
                <w:rFonts w:ascii="宋体" w:hAnsi="宋体" w:cs="宋体"/>
                <w:color w:val="auto"/>
                <w:highlight w:val="none"/>
              </w:rPr>
            </w:pPr>
          </w:p>
        </w:tc>
        <w:tc>
          <w:tcPr>
            <w:tcW w:w="404" w:type="dxa"/>
            <w:vAlign w:val="center"/>
          </w:tcPr>
          <w:p w14:paraId="5B0FB38F">
            <w:pPr>
              <w:shd w:val="clear"/>
              <w:jc w:val="center"/>
              <w:rPr>
                <w:rFonts w:ascii="宋体" w:hAnsi="宋体" w:cs="宋体"/>
                <w:color w:val="auto"/>
                <w:szCs w:val="21"/>
                <w:highlight w:val="none"/>
              </w:rPr>
            </w:pPr>
            <w:r>
              <w:rPr>
                <w:rFonts w:hint="eastAsia" w:ascii="宋体" w:hAnsi="宋体" w:cs="宋体"/>
                <w:color w:val="auto"/>
                <w:szCs w:val="21"/>
                <w:highlight w:val="none"/>
              </w:rPr>
              <w:t>1</w:t>
            </w:r>
          </w:p>
        </w:tc>
        <w:tc>
          <w:tcPr>
            <w:tcW w:w="397" w:type="dxa"/>
            <w:vAlign w:val="center"/>
          </w:tcPr>
          <w:p w14:paraId="2B07B79F">
            <w:pPr>
              <w:shd w:val="clear"/>
              <w:jc w:val="center"/>
              <w:rPr>
                <w:rFonts w:ascii="宋体" w:hAnsi="宋体" w:cs="宋体"/>
                <w:color w:val="auto"/>
                <w:szCs w:val="21"/>
                <w:highlight w:val="none"/>
              </w:rPr>
            </w:pPr>
            <w:r>
              <w:rPr>
                <w:rFonts w:hint="eastAsia" w:ascii="宋体" w:hAnsi="宋体" w:cs="宋体"/>
                <w:color w:val="auto"/>
                <w:szCs w:val="21"/>
                <w:highlight w:val="none"/>
              </w:rPr>
              <w:t>2</w:t>
            </w:r>
          </w:p>
        </w:tc>
        <w:tc>
          <w:tcPr>
            <w:tcW w:w="409" w:type="dxa"/>
            <w:vAlign w:val="center"/>
          </w:tcPr>
          <w:p w14:paraId="4559734D">
            <w:pPr>
              <w:shd w:val="clear"/>
              <w:jc w:val="center"/>
              <w:rPr>
                <w:rFonts w:ascii="宋体" w:hAnsi="宋体" w:cs="宋体"/>
                <w:color w:val="auto"/>
                <w:szCs w:val="21"/>
                <w:highlight w:val="none"/>
              </w:rPr>
            </w:pPr>
            <w:r>
              <w:rPr>
                <w:rFonts w:hint="eastAsia" w:ascii="宋体" w:hAnsi="宋体" w:cs="宋体"/>
                <w:color w:val="auto"/>
                <w:szCs w:val="21"/>
                <w:highlight w:val="none"/>
              </w:rPr>
              <w:t>3</w:t>
            </w:r>
          </w:p>
        </w:tc>
        <w:tc>
          <w:tcPr>
            <w:tcW w:w="430" w:type="dxa"/>
            <w:vAlign w:val="center"/>
          </w:tcPr>
          <w:p w14:paraId="5CDD62ED">
            <w:pPr>
              <w:shd w:val="clear"/>
              <w:jc w:val="center"/>
              <w:rPr>
                <w:rFonts w:ascii="宋体" w:hAnsi="宋体" w:cs="宋体"/>
                <w:color w:val="auto"/>
                <w:szCs w:val="21"/>
                <w:highlight w:val="none"/>
              </w:rPr>
            </w:pPr>
            <w:r>
              <w:rPr>
                <w:rFonts w:hint="eastAsia" w:ascii="宋体" w:hAnsi="宋体" w:cs="宋体"/>
                <w:color w:val="auto"/>
                <w:szCs w:val="21"/>
                <w:highlight w:val="none"/>
              </w:rPr>
              <w:t>4</w:t>
            </w:r>
          </w:p>
        </w:tc>
      </w:tr>
      <w:tr w14:paraId="3120546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09" w:type="dxa"/>
            <w:vAlign w:val="center"/>
          </w:tcPr>
          <w:p w14:paraId="0D444B09">
            <w:pPr>
              <w:shd w:val="clear"/>
              <w:jc w:val="center"/>
              <w:rPr>
                <w:rFonts w:ascii="宋体" w:hAnsi="宋体" w:cs="宋体"/>
                <w:color w:val="auto"/>
                <w:szCs w:val="21"/>
                <w:highlight w:val="none"/>
              </w:rPr>
            </w:pPr>
            <w:r>
              <w:rPr>
                <w:rFonts w:hint="eastAsia" w:ascii="宋体" w:hAnsi="宋体" w:cs="宋体"/>
                <w:color w:val="auto"/>
                <w:szCs w:val="21"/>
                <w:highlight w:val="none"/>
              </w:rPr>
              <w:t>1</w:t>
            </w:r>
          </w:p>
        </w:tc>
        <w:tc>
          <w:tcPr>
            <w:tcW w:w="6248" w:type="dxa"/>
            <w:vAlign w:val="center"/>
          </w:tcPr>
          <w:p w14:paraId="050AA8BF">
            <w:pPr>
              <w:shd w:val="clear"/>
              <w:spacing w:line="240" w:lineRule="exact"/>
              <w:jc w:val="left"/>
              <w:rPr>
                <w:rFonts w:ascii="宋体" w:hAnsi="宋体" w:cs="宋体"/>
                <w:color w:val="auto"/>
                <w:szCs w:val="21"/>
                <w:highlight w:val="none"/>
              </w:rPr>
            </w:pPr>
            <w:r>
              <w:rPr>
                <w:rFonts w:hint="eastAsia" w:ascii="宋体" w:hAnsi="宋体" w:cs="宋体"/>
                <w:color w:val="auto"/>
                <w:szCs w:val="21"/>
                <w:highlight w:val="none"/>
              </w:rPr>
              <w:t>营业执照、税务登记证及组织机构代码证</w:t>
            </w:r>
          </w:p>
        </w:tc>
        <w:tc>
          <w:tcPr>
            <w:tcW w:w="1640" w:type="dxa"/>
            <w:vAlign w:val="center"/>
          </w:tcPr>
          <w:p w14:paraId="37C67B82">
            <w:pPr>
              <w:shd w:val="clear"/>
              <w:spacing w:line="24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三证合一或五证合一的只提供营业执照副本复印件加盖公章</w:t>
            </w:r>
            <w:r>
              <w:rPr>
                <w:rFonts w:hint="eastAsia" w:ascii="宋体" w:hAnsi="宋体" w:cs="宋体"/>
                <w:color w:val="auto"/>
                <w:szCs w:val="21"/>
                <w:highlight w:val="none"/>
                <w:lang w:eastAsia="zh-CN"/>
              </w:rPr>
              <w:t>；</w:t>
            </w:r>
            <w:r>
              <w:rPr>
                <w:rFonts w:hint="eastAsia" w:ascii="宋体" w:hAnsi="宋体" w:cs="宋体"/>
                <w:color w:val="auto"/>
                <w:szCs w:val="21"/>
                <w:highlight w:val="none"/>
              </w:rPr>
              <w:t>真实有效</w:t>
            </w:r>
          </w:p>
        </w:tc>
        <w:tc>
          <w:tcPr>
            <w:tcW w:w="404" w:type="dxa"/>
            <w:vAlign w:val="center"/>
          </w:tcPr>
          <w:p w14:paraId="446DD487">
            <w:pPr>
              <w:widowControl/>
              <w:shd w:val="clear"/>
              <w:spacing w:after="31" w:afterLines="10"/>
              <w:jc w:val="center"/>
              <w:rPr>
                <w:rFonts w:ascii="宋体" w:hAnsi="宋体" w:cs="宋体"/>
                <w:color w:val="auto"/>
                <w:szCs w:val="21"/>
                <w:highlight w:val="none"/>
              </w:rPr>
            </w:pPr>
          </w:p>
        </w:tc>
        <w:tc>
          <w:tcPr>
            <w:tcW w:w="397" w:type="dxa"/>
            <w:vAlign w:val="center"/>
          </w:tcPr>
          <w:p w14:paraId="4F545A6C">
            <w:pPr>
              <w:widowControl/>
              <w:shd w:val="clear"/>
              <w:spacing w:after="31" w:afterLines="10"/>
              <w:jc w:val="center"/>
              <w:rPr>
                <w:rFonts w:ascii="宋体" w:hAnsi="宋体" w:cs="宋体"/>
                <w:color w:val="auto"/>
                <w:szCs w:val="21"/>
                <w:highlight w:val="none"/>
              </w:rPr>
            </w:pPr>
          </w:p>
        </w:tc>
        <w:tc>
          <w:tcPr>
            <w:tcW w:w="409" w:type="dxa"/>
            <w:vAlign w:val="center"/>
          </w:tcPr>
          <w:p w14:paraId="3E00069C">
            <w:pPr>
              <w:widowControl/>
              <w:shd w:val="clear"/>
              <w:spacing w:after="31" w:afterLines="10"/>
              <w:jc w:val="center"/>
              <w:rPr>
                <w:rFonts w:ascii="宋体" w:hAnsi="宋体" w:cs="宋体"/>
                <w:color w:val="auto"/>
                <w:szCs w:val="21"/>
                <w:highlight w:val="none"/>
              </w:rPr>
            </w:pPr>
          </w:p>
        </w:tc>
        <w:tc>
          <w:tcPr>
            <w:tcW w:w="430" w:type="dxa"/>
            <w:vAlign w:val="center"/>
          </w:tcPr>
          <w:p w14:paraId="7577434F">
            <w:pPr>
              <w:widowControl/>
              <w:shd w:val="clear"/>
              <w:spacing w:after="31" w:afterLines="10"/>
              <w:jc w:val="center"/>
              <w:rPr>
                <w:rFonts w:ascii="宋体" w:hAnsi="宋体" w:cs="宋体"/>
                <w:color w:val="auto"/>
                <w:szCs w:val="21"/>
                <w:highlight w:val="none"/>
              </w:rPr>
            </w:pPr>
          </w:p>
        </w:tc>
      </w:tr>
      <w:tr w14:paraId="505107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409" w:type="dxa"/>
            <w:vAlign w:val="center"/>
          </w:tcPr>
          <w:p w14:paraId="08CC9748">
            <w:pPr>
              <w:shd w:val="clear"/>
              <w:jc w:val="center"/>
              <w:rPr>
                <w:rFonts w:ascii="宋体" w:hAnsi="宋体" w:cs="宋体"/>
                <w:color w:val="auto"/>
                <w:szCs w:val="21"/>
                <w:highlight w:val="none"/>
              </w:rPr>
            </w:pPr>
            <w:r>
              <w:rPr>
                <w:rFonts w:hint="eastAsia" w:ascii="宋体" w:hAnsi="宋体" w:cs="宋体"/>
                <w:color w:val="auto"/>
                <w:szCs w:val="21"/>
                <w:highlight w:val="none"/>
              </w:rPr>
              <w:t>2</w:t>
            </w:r>
          </w:p>
        </w:tc>
        <w:tc>
          <w:tcPr>
            <w:tcW w:w="6248" w:type="dxa"/>
            <w:vAlign w:val="center"/>
          </w:tcPr>
          <w:p w14:paraId="089C15A5">
            <w:pPr>
              <w:shd w:val="clear"/>
              <w:spacing w:line="240" w:lineRule="exact"/>
              <w:jc w:val="left"/>
              <w:rPr>
                <w:rFonts w:ascii="宋体" w:hAnsi="宋体" w:cs="宋体"/>
                <w:color w:val="auto"/>
                <w:szCs w:val="21"/>
                <w:highlight w:val="none"/>
              </w:rPr>
            </w:pPr>
            <w:r>
              <w:rPr>
                <w:rFonts w:hint="eastAsia" w:ascii="宋体" w:hAnsi="宋体" w:cs="宋体"/>
                <w:color w:val="auto"/>
                <w:szCs w:val="21"/>
                <w:highlight w:val="none"/>
              </w:rPr>
              <w:t>法定代表人身份证或法人授权委托书、委托代理人身份证</w:t>
            </w:r>
          </w:p>
        </w:tc>
        <w:tc>
          <w:tcPr>
            <w:tcW w:w="1640" w:type="dxa"/>
            <w:vAlign w:val="center"/>
          </w:tcPr>
          <w:p w14:paraId="51730DC2">
            <w:pPr>
              <w:shd w:val="clear"/>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4BEFBD1E">
            <w:pPr>
              <w:widowControl/>
              <w:shd w:val="clear"/>
              <w:spacing w:after="31" w:afterLines="10"/>
              <w:jc w:val="center"/>
              <w:rPr>
                <w:rFonts w:ascii="宋体" w:hAnsi="宋体" w:cs="宋体"/>
                <w:color w:val="auto"/>
                <w:szCs w:val="21"/>
                <w:highlight w:val="none"/>
              </w:rPr>
            </w:pPr>
          </w:p>
        </w:tc>
        <w:tc>
          <w:tcPr>
            <w:tcW w:w="397" w:type="dxa"/>
            <w:vAlign w:val="center"/>
          </w:tcPr>
          <w:p w14:paraId="4CA85C6A">
            <w:pPr>
              <w:widowControl/>
              <w:shd w:val="clear"/>
              <w:spacing w:after="31" w:afterLines="10"/>
              <w:jc w:val="center"/>
              <w:rPr>
                <w:rFonts w:ascii="宋体" w:hAnsi="宋体" w:cs="宋体"/>
                <w:color w:val="auto"/>
                <w:szCs w:val="21"/>
                <w:highlight w:val="none"/>
              </w:rPr>
            </w:pPr>
          </w:p>
        </w:tc>
        <w:tc>
          <w:tcPr>
            <w:tcW w:w="409" w:type="dxa"/>
            <w:vAlign w:val="center"/>
          </w:tcPr>
          <w:p w14:paraId="7FFBCE36">
            <w:pPr>
              <w:widowControl/>
              <w:shd w:val="clear"/>
              <w:spacing w:after="31" w:afterLines="10"/>
              <w:jc w:val="center"/>
              <w:rPr>
                <w:rFonts w:ascii="宋体" w:hAnsi="宋体" w:cs="宋体"/>
                <w:color w:val="auto"/>
                <w:szCs w:val="21"/>
                <w:highlight w:val="none"/>
              </w:rPr>
            </w:pPr>
          </w:p>
        </w:tc>
        <w:tc>
          <w:tcPr>
            <w:tcW w:w="430" w:type="dxa"/>
            <w:vAlign w:val="center"/>
          </w:tcPr>
          <w:p w14:paraId="06CEAF45">
            <w:pPr>
              <w:widowControl/>
              <w:shd w:val="clear"/>
              <w:spacing w:after="31" w:afterLines="10"/>
              <w:jc w:val="center"/>
              <w:rPr>
                <w:rFonts w:ascii="宋体" w:hAnsi="宋体" w:cs="宋体"/>
                <w:color w:val="auto"/>
                <w:szCs w:val="21"/>
                <w:highlight w:val="none"/>
              </w:rPr>
            </w:pPr>
          </w:p>
        </w:tc>
      </w:tr>
      <w:tr w14:paraId="785B19C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409" w:type="dxa"/>
            <w:vAlign w:val="center"/>
          </w:tcPr>
          <w:p w14:paraId="17C637A2">
            <w:pPr>
              <w:shd w:val="clear"/>
              <w:jc w:val="center"/>
              <w:rPr>
                <w:rFonts w:ascii="宋体" w:hAnsi="宋体" w:cs="宋体"/>
                <w:color w:val="auto"/>
                <w:szCs w:val="21"/>
                <w:highlight w:val="none"/>
              </w:rPr>
            </w:pPr>
            <w:r>
              <w:rPr>
                <w:rFonts w:hint="eastAsia" w:ascii="宋体" w:hAnsi="宋体" w:cs="宋体"/>
                <w:color w:val="auto"/>
                <w:szCs w:val="21"/>
                <w:highlight w:val="none"/>
              </w:rPr>
              <w:t>3</w:t>
            </w:r>
          </w:p>
        </w:tc>
        <w:tc>
          <w:tcPr>
            <w:tcW w:w="6248" w:type="dxa"/>
            <w:vAlign w:val="center"/>
          </w:tcPr>
          <w:p w14:paraId="250994E7">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符合法定条件的供应商凭《湖南省政府采购供应商资格承诺函》（格式详见（湘财购【2022】17号文）参与政府采购活动，也可通过在金融机构办理电子增信取得对应信用星级参与政府采购活动和电子卖场交易，无需提供财政状况、缴纳税收和社会保障资金等资格证明材料。</w:t>
            </w:r>
          </w:p>
        </w:tc>
        <w:tc>
          <w:tcPr>
            <w:tcW w:w="1640" w:type="dxa"/>
            <w:vAlign w:val="center"/>
          </w:tcPr>
          <w:p w14:paraId="621D9F5C">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0F9BE29E">
            <w:pPr>
              <w:widowControl/>
              <w:shd w:val="clear"/>
              <w:spacing w:after="31" w:afterLines="10"/>
              <w:jc w:val="center"/>
              <w:rPr>
                <w:rFonts w:ascii="宋体" w:hAnsi="宋体" w:cs="宋体"/>
                <w:color w:val="auto"/>
                <w:szCs w:val="21"/>
                <w:highlight w:val="none"/>
              </w:rPr>
            </w:pPr>
          </w:p>
        </w:tc>
        <w:tc>
          <w:tcPr>
            <w:tcW w:w="397" w:type="dxa"/>
            <w:vAlign w:val="center"/>
          </w:tcPr>
          <w:p w14:paraId="084FD5EF">
            <w:pPr>
              <w:widowControl/>
              <w:shd w:val="clear"/>
              <w:spacing w:after="31" w:afterLines="10"/>
              <w:jc w:val="center"/>
              <w:rPr>
                <w:rFonts w:ascii="宋体" w:hAnsi="宋体" w:cs="宋体"/>
                <w:color w:val="auto"/>
                <w:szCs w:val="21"/>
                <w:highlight w:val="none"/>
              </w:rPr>
            </w:pPr>
          </w:p>
        </w:tc>
        <w:tc>
          <w:tcPr>
            <w:tcW w:w="409" w:type="dxa"/>
            <w:vAlign w:val="center"/>
          </w:tcPr>
          <w:p w14:paraId="608564FD">
            <w:pPr>
              <w:widowControl/>
              <w:shd w:val="clear"/>
              <w:spacing w:after="31" w:afterLines="10"/>
              <w:jc w:val="center"/>
              <w:rPr>
                <w:rFonts w:ascii="宋体" w:hAnsi="宋体" w:cs="宋体"/>
                <w:color w:val="auto"/>
                <w:szCs w:val="21"/>
                <w:highlight w:val="none"/>
              </w:rPr>
            </w:pPr>
          </w:p>
        </w:tc>
        <w:tc>
          <w:tcPr>
            <w:tcW w:w="430" w:type="dxa"/>
            <w:vAlign w:val="center"/>
          </w:tcPr>
          <w:p w14:paraId="2458B34F">
            <w:pPr>
              <w:widowControl/>
              <w:shd w:val="clear"/>
              <w:spacing w:after="31" w:afterLines="10"/>
              <w:jc w:val="center"/>
              <w:rPr>
                <w:rFonts w:ascii="宋体" w:hAnsi="宋体" w:cs="宋体"/>
                <w:color w:val="auto"/>
                <w:szCs w:val="21"/>
                <w:highlight w:val="none"/>
              </w:rPr>
            </w:pPr>
          </w:p>
        </w:tc>
      </w:tr>
      <w:tr w14:paraId="00111D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409" w:type="dxa"/>
            <w:vAlign w:val="center"/>
          </w:tcPr>
          <w:p w14:paraId="5899DC89">
            <w:pPr>
              <w:shd w:val="clea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4</w:t>
            </w:r>
          </w:p>
        </w:tc>
        <w:tc>
          <w:tcPr>
            <w:tcW w:w="6248" w:type="dxa"/>
            <w:vAlign w:val="center"/>
          </w:tcPr>
          <w:p w14:paraId="4ED0C5BB">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1640" w:type="dxa"/>
            <w:vAlign w:val="center"/>
          </w:tcPr>
          <w:p w14:paraId="3501B5A9">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12B3147C">
            <w:pPr>
              <w:widowControl/>
              <w:shd w:val="clear"/>
              <w:spacing w:after="31" w:afterLines="10"/>
              <w:jc w:val="center"/>
              <w:rPr>
                <w:rFonts w:ascii="宋体" w:hAnsi="宋体" w:cs="宋体"/>
                <w:color w:val="auto"/>
                <w:szCs w:val="21"/>
                <w:highlight w:val="none"/>
              </w:rPr>
            </w:pPr>
          </w:p>
        </w:tc>
        <w:tc>
          <w:tcPr>
            <w:tcW w:w="397" w:type="dxa"/>
            <w:vAlign w:val="center"/>
          </w:tcPr>
          <w:p w14:paraId="23187377">
            <w:pPr>
              <w:widowControl/>
              <w:shd w:val="clear"/>
              <w:spacing w:after="31" w:afterLines="10"/>
              <w:jc w:val="center"/>
              <w:rPr>
                <w:rFonts w:ascii="宋体" w:hAnsi="宋体" w:cs="宋体"/>
                <w:color w:val="auto"/>
                <w:szCs w:val="21"/>
                <w:highlight w:val="none"/>
              </w:rPr>
            </w:pPr>
          </w:p>
        </w:tc>
        <w:tc>
          <w:tcPr>
            <w:tcW w:w="409" w:type="dxa"/>
            <w:vAlign w:val="center"/>
          </w:tcPr>
          <w:p w14:paraId="7279C513">
            <w:pPr>
              <w:widowControl/>
              <w:shd w:val="clear"/>
              <w:spacing w:after="31" w:afterLines="10"/>
              <w:jc w:val="center"/>
              <w:rPr>
                <w:rFonts w:ascii="宋体" w:hAnsi="宋体" w:cs="宋体"/>
                <w:color w:val="auto"/>
                <w:szCs w:val="21"/>
                <w:highlight w:val="none"/>
              </w:rPr>
            </w:pPr>
          </w:p>
        </w:tc>
        <w:tc>
          <w:tcPr>
            <w:tcW w:w="430" w:type="dxa"/>
            <w:vAlign w:val="center"/>
          </w:tcPr>
          <w:p w14:paraId="23A7DCF1">
            <w:pPr>
              <w:widowControl/>
              <w:shd w:val="clear"/>
              <w:spacing w:after="31" w:afterLines="10"/>
              <w:jc w:val="center"/>
              <w:rPr>
                <w:rFonts w:ascii="宋体" w:hAnsi="宋体" w:cs="宋体"/>
                <w:color w:val="auto"/>
                <w:szCs w:val="21"/>
                <w:highlight w:val="none"/>
              </w:rPr>
            </w:pPr>
          </w:p>
        </w:tc>
      </w:tr>
      <w:tr w14:paraId="1F903C8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09" w:type="dxa"/>
            <w:vAlign w:val="center"/>
          </w:tcPr>
          <w:p w14:paraId="45252376">
            <w:pPr>
              <w:shd w:val="clear"/>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6248" w:type="dxa"/>
            <w:vAlign w:val="center"/>
          </w:tcPr>
          <w:p w14:paraId="0990102B">
            <w:pPr>
              <w:shd w:val="clear"/>
              <w:spacing w:line="24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参加政府采购活动前三年内在经营活动中没有重大违法记录的书面声明。</w:t>
            </w:r>
          </w:p>
        </w:tc>
        <w:tc>
          <w:tcPr>
            <w:tcW w:w="1640" w:type="dxa"/>
            <w:vAlign w:val="center"/>
          </w:tcPr>
          <w:p w14:paraId="423BE703">
            <w:pPr>
              <w:shd w:val="clear"/>
              <w:spacing w:line="240" w:lineRule="exact"/>
              <w:jc w:val="center"/>
              <w:rPr>
                <w:rFonts w:hint="eastAsia" w:ascii="宋体" w:hAnsi="宋体" w:eastAsia="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67A452C9">
            <w:pPr>
              <w:widowControl/>
              <w:shd w:val="clear"/>
              <w:spacing w:after="31" w:afterLines="10"/>
              <w:jc w:val="center"/>
              <w:rPr>
                <w:rFonts w:ascii="宋体" w:hAnsi="宋体" w:cs="宋体"/>
                <w:color w:val="auto"/>
                <w:szCs w:val="21"/>
                <w:highlight w:val="none"/>
              </w:rPr>
            </w:pPr>
          </w:p>
        </w:tc>
        <w:tc>
          <w:tcPr>
            <w:tcW w:w="397" w:type="dxa"/>
            <w:vAlign w:val="center"/>
          </w:tcPr>
          <w:p w14:paraId="3953932F">
            <w:pPr>
              <w:widowControl/>
              <w:shd w:val="clear"/>
              <w:spacing w:after="31" w:afterLines="10"/>
              <w:jc w:val="center"/>
              <w:rPr>
                <w:rFonts w:ascii="宋体" w:hAnsi="宋体" w:cs="宋体"/>
                <w:color w:val="auto"/>
                <w:szCs w:val="21"/>
                <w:highlight w:val="none"/>
              </w:rPr>
            </w:pPr>
          </w:p>
        </w:tc>
        <w:tc>
          <w:tcPr>
            <w:tcW w:w="409" w:type="dxa"/>
            <w:vAlign w:val="center"/>
          </w:tcPr>
          <w:p w14:paraId="5D4C5CE2">
            <w:pPr>
              <w:widowControl/>
              <w:shd w:val="clear"/>
              <w:spacing w:after="31" w:afterLines="10"/>
              <w:jc w:val="center"/>
              <w:rPr>
                <w:rFonts w:ascii="宋体" w:hAnsi="宋体" w:cs="宋体"/>
                <w:color w:val="auto"/>
                <w:szCs w:val="21"/>
                <w:highlight w:val="none"/>
              </w:rPr>
            </w:pPr>
          </w:p>
        </w:tc>
        <w:tc>
          <w:tcPr>
            <w:tcW w:w="430" w:type="dxa"/>
            <w:vAlign w:val="center"/>
          </w:tcPr>
          <w:p w14:paraId="34196F4B">
            <w:pPr>
              <w:widowControl/>
              <w:shd w:val="clear"/>
              <w:spacing w:after="31" w:afterLines="10"/>
              <w:jc w:val="center"/>
              <w:rPr>
                <w:rFonts w:ascii="宋体" w:hAnsi="宋体" w:cs="宋体"/>
                <w:color w:val="auto"/>
                <w:szCs w:val="21"/>
                <w:highlight w:val="none"/>
              </w:rPr>
            </w:pPr>
          </w:p>
        </w:tc>
      </w:tr>
      <w:tr w14:paraId="09AAF51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409" w:type="dxa"/>
            <w:vAlign w:val="center"/>
          </w:tcPr>
          <w:p w14:paraId="37C2EC23">
            <w:pPr>
              <w:shd w:val="clear"/>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6248" w:type="dxa"/>
            <w:vAlign w:val="center"/>
          </w:tcPr>
          <w:p w14:paraId="665781C5">
            <w:pPr>
              <w:shd w:val="clear"/>
              <w:spacing w:line="240" w:lineRule="exact"/>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kern w:val="0"/>
                <w:sz w:val="21"/>
                <w:szCs w:val="21"/>
                <w:highlight w:val="none"/>
                <w:lang w:bidi="ar"/>
              </w:rPr>
              <w:t>供应商特定资格条件</w:t>
            </w:r>
          </w:p>
        </w:tc>
        <w:tc>
          <w:tcPr>
            <w:tcW w:w="1640" w:type="dxa"/>
            <w:vAlign w:val="center"/>
          </w:tcPr>
          <w:p w14:paraId="1356CC3E">
            <w:pPr>
              <w:shd w:val="clear"/>
              <w:spacing w:line="240" w:lineRule="exact"/>
              <w:jc w:val="center"/>
              <w:rPr>
                <w:rFonts w:hint="eastAsia" w:ascii="宋体" w:hAnsi="宋体" w:cs="宋体"/>
                <w:color w:val="auto"/>
                <w:szCs w:val="21"/>
                <w:highlight w:val="none"/>
              </w:rPr>
            </w:pPr>
            <w:r>
              <w:rPr>
                <w:rFonts w:hint="eastAsia" w:ascii="宋体" w:hAnsi="宋体" w:cs="宋体"/>
                <w:color w:val="auto"/>
                <w:szCs w:val="21"/>
                <w:highlight w:val="none"/>
              </w:rPr>
              <w:t>真实有效</w:t>
            </w:r>
          </w:p>
        </w:tc>
        <w:tc>
          <w:tcPr>
            <w:tcW w:w="404" w:type="dxa"/>
            <w:vAlign w:val="center"/>
          </w:tcPr>
          <w:p w14:paraId="5B6D6886">
            <w:pPr>
              <w:widowControl/>
              <w:shd w:val="clear"/>
              <w:spacing w:after="31" w:afterLines="10"/>
              <w:jc w:val="center"/>
              <w:rPr>
                <w:rFonts w:ascii="宋体" w:hAnsi="宋体" w:cs="宋体"/>
                <w:color w:val="auto"/>
                <w:szCs w:val="21"/>
                <w:highlight w:val="none"/>
              </w:rPr>
            </w:pPr>
          </w:p>
        </w:tc>
        <w:tc>
          <w:tcPr>
            <w:tcW w:w="397" w:type="dxa"/>
            <w:vAlign w:val="center"/>
          </w:tcPr>
          <w:p w14:paraId="75D872DA">
            <w:pPr>
              <w:widowControl/>
              <w:shd w:val="clear"/>
              <w:spacing w:after="31" w:afterLines="10"/>
              <w:jc w:val="center"/>
              <w:rPr>
                <w:rFonts w:ascii="宋体" w:hAnsi="宋体" w:cs="宋体"/>
                <w:color w:val="auto"/>
                <w:szCs w:val="21"/>
                <w:highlight w:val="none"/>
              </w:rPr>
            </w:pPr>
          </w:p>
        </w:tc>
        <w:tc>
          <w:tcPr>
            <w:tcW w:w="409" w:type="dxa"/>
            <w:vAlign w:val="center"/>
          </w:tcPr>
          <w:p w14:paraId="45259A91">
            <w:pPr>
              <w:widowControl/>
              <w:shd w:val="clear"/>
              <w:spacing w:after="31" w:afterLines="10"/>
              <w:jc w:val="center"/>
              <w:rPr>
                <w:rFonts w:ascii="宋体" w:hAnsi="宋体" w:cs="宋体"/>
                <w:color w:val="auto"/>
                <w:szCs w:val="21"/>
                <w:highlight w:val="none"/>
              </w:rPr>
            </w:pPr>
          </w:p>
        </w:tc>
        <w:tc>
          <w:tcPr>
            <w:tcW w:w="430" w:type="dxa"/>
            <w:vAlign w:val="center"/>
          </w:tcPr>
          <w:p w14:paraId="7DED635F">
            <w:pPr>
              <w:widowControl/>
              <w:shd w:val="clear"/>
              <w:spacing w:after="31" w:afterLines="10"/>
              <w:jc w:val="center"/>
              <w:rPr>
                <w:rFonts w:ascii="宋体" w:hAnsi="宋体" w:cs="宋体"/>
                <w:color w:val="auto"/>
                <w:szCs w:val="21"/>
                <w:highlight w:val="none"/>
              </w:rPr>
            </w:pPr>
          </w:p>
        </w:tc>
      </w:tr>
      <w:tr w14:paraId="0F4A1A4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657" w:type="dxa"/>
            <w:gridSpan w:val="2"/>
            <w:vAlign w:val="center"/>
          </w:tcPr>
          <w:p w14:paraId="44636300">
            <w:pPr>
              <w:shd w:val="clear"/>
              <w:spacing w:line="240" w:lineRule="exact"/>
              <w:jc w:val="center"/>
              <w:rPr>
                <w:rFonts w:ascii="宋体" w:hAnsi="宋体" w:cs="宋体"/>
                <w:color w:val="auto"/>
                <w:szCs w:val="21"/>
                <w:highlight w:val="none"/>
              </w:rPr>
            </w:pPr>
            <w:r>
              <w:rPr>
                <w:rFonts w:hint="eastAsia" w:ascii="宋体" w:hAnsi="宋体" w:cs="宋体"/>
                <w:color w:val="auto"/>
                <w:szCs w:val="21"/>
                <w:highlight w:val="none"/>
              </w:rPr>
              <w:t>结论</w:t>
            </w:r>
          </w:p>
        </w:tc>
        <w:tc>
          <w:tcPr>
            <w:tcW w:w="1640" w:type="dxa"/>
            <w:vAlign w:val="center"/>
          </w:tcPr>
          <w:p w14:paraId="40D19D88">
            <w:pPr>
              <w:shd w:val="clear"/>
              <w:spacing w:line="240" w:lineRule="exact"/>
              <w:jc w:val="center"/>
              <w:rPr>
                <w:rFonts w:ascii="宋体" w:hAnsi="宋体" w:cs="宋体"/>
                <w:color w:val="auto"/>
                <w:szCs w:val="21"/>
                <w:highlight w:val="none"/>
              </w:rPr>
            </w:pPr>
          </w:p>
        </w:tc>
        <w:tc>
          <w:tcPr>
            <w:tcW w:w="404" w:type="dxa"/>
            <w:vAlign w:val="center"/>
          </w:tcPr>
          <w:p w14:paraId="15839A6D">
            <w:pPr>
              <w:widowControl/>
              <w:shd w:val="clear"/>
              <w:spacing w:after="31" w:afterLines="10"/>
              <w:jc w:val="center"/>
              <w:rPr>
                <w:rFonts w:ascii="宋体" w:hAnsi="宋体" w:cs="宋体"/>
                <w:color w:val="auto"/>
                <w:szCs w:val="21"/>
                <w:highlight w:val="none"/>
              </w:rPr>
            </w:pPr>
          </w:p>
        </w:tc>
        <w:tc>
          <w:tcPr>
            <w:tcW w:w="397" w:type="dxa"/>
            <w:vAlign w:val="center"/>
          </w:tcPr>
          <w:p w14:paraId="2072452E">
            <w:pPr>
              <w:widowControl/>
              <w:shd w:val="clear"/>
              <w:spacing w:after="31" w:afterLines="10"/>
              <w:jc w:val="center"/>
              <w:rPr>
                <w:rFonts w:ascii="宋体" w:hAnsi="宋体" w:cs="宋体"/>
                <w:color w:val="auto"/>
                <w:szCs w:val="21"/>
                <w:highlight w:val="none"/>
              </w:rPr>
            </w:pPr>
          </w:p>
        </w:tc>
        <w:tc>
          <w:tcPr>
            <w:tcW w:w="409" w:type="dxa"/>
            <w:vAlign w:val="center"/>
          </w:tcPr>
          <w:p w14:paraId="5BB0C09B">
            <w:pPr>
              <w:widowControl/>
              <w:shd w:val="clear"/>
              <w:spacing w:after="31" w:afterLines="10"/>
              <w:jc w:val="center"/>
              <w:rPr>
                <w:rFonts w:ascii="宋体" w:hAnsi="宋体" w:cs="宋体"/>
                <w:color w:val="auto"/>
                <w:szCs w:val="21"/>
                <w:highlight w:val="none"/>
              </w:rPr>
            </w:pPr>
          </w:p>
        </w:tc>
        <w:tc>
          <w:tcPr>
            <w:tcW w:w="430" w:type="dxa"/>
            <w:vAlign w:val="center"/>
          </w:tcPr>
          <w:p w14:paraId="6E8A1A22">
            <w:pPr>
              <w:widowControl/>
              <w:shd w:val="clear"/>
              <w:spacing w:after="31" w:afterLines="10"/>
              <w:jc w:val="center"/>
              <w:rPr>
                <w:rFonts w:ascii="宋体" w:hAnsi="宋体" w:cs="宋体"/>
                <w:color w:val="auto"/>
                <w:szCs w:val="21"/>
                <w:highlight w:val="none"/>
              </w:rPr>
            </w:pPr>
          </w:p>
        </w:tc>
      </w:tr>
    </w:tbl>
    <w:p w14:paraId="703B867A">
      <w:pPr>
        <w:shd w:val="clear"/>
        <w:spacing w:line="240" w:lineRule="exact"/>
        <w:jc w:val="left"/>
        <w:rPr>
          <w:rFonts w:ascii="宋体" w:hAnsi="宋体" w:cs="宋体"/>
          <w:bCs/>
          <w:color w:val="auto"/>
          <w:szCs w:val="21"/>
          <w:highlight w:val="none"/>
        </w:rPr>
      </w:pPr>
    </w:p>
    <w:p w14:paraId="22821910">
      <w:pPr>
        <w:shd w:val="clear"/>
        <w:spacing w:line="240" w:lineRule="exact"/>
        <w:jc w:val="left"/>
        <w:rPr>
          <w:rFonts w:ascii="宋体" w:hAnsi="宋体" w:cs="宋体"/>
          <w:bCs/>
          <w:color w:val="auto"/>
          <w:szCs w:val="21"/>
          <w:highlight w:val="none"/>
        </w:rPr>
      </w:pPr>
      <w:r>
        <w:rPr>
          <w:rFonts w:hint="eastAsia" w:ascii="宋体" w:hAnsi="宋体" w:cs="宋体"/>
          <w:bCs/>
          <w:color w:val="auto"/>
          <w:szCs w:val="21"/>
          <w:highlight w:val="none"/>
        </w:rPr>
        <w:t>注：1、评审意见，合格的“√”，不合格的“×”，有一项不合格即为不合格供应商。</w:t>
      </w:r>
    </w:p>
    <w:p w14:paraId="0993D1C0">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2、此表中所说“原件”是指投标文件中装入复印件，检查时供应商交验原件。</w:t>
      </w:r>
    </w:p>
    <w:p w14:paraId="46B35E73">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3、未通过资格性审查的，不能进入评标阶段。</w:t>
      </w:r>
    </w:p>
    <w:p w14:paraId="7B0715B1">
      <w:pPr>
        <w:shd w:val="clear"/>
        <w:spacing w:line="24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4、通过资格性审查的投标人不足3家的，评标评标工作停止。</w:t>
      </w:r>
    </w:p>
    <w:p w14:paraId="013F3394">
      <w:pPr>
        <w:shd w:val="clear"/>
        <w:spacing w:line="240" w:lineRule="exact"/>
        <w:ind w:firstLine="420" w:firstLineChars="200"/>
        <w:jc w:val="left"/>
        <w:rPr>
          <w:rFonts w:hint="eastAsia" w:ascii="宋体" w:hAnsi="宋体" w:cs="宋体"/>
          <w:bCs/>
          <w:color w:val="auto"/>
          <w:szCs w:val="21"/>
          <w:highlight w:val="none"/>
        </w:rPr>
      </w:pPr>
    </w:p>
    <w:p w14:paraId="04AA4C4F">
      <w:pPr>
        <w:shd w:val="clear"/>
        <w:spacing w:line="240" w:lineRule="exact"/>
        <w:ind w:firstLine="420" w:firstLineChars="200"/>
        <w:jc w:val="left"/>
        <w:rPr>
          <w:rFonts w:hint="eastAsia" w:ascii="宋体" w:hAnsi="宋体" w:cs="宋体"/>
          <w:bCs/>
          <w:color w:val="auto"/>
          <w:szCs w:val="21"/>
          <w:highlight w:val="none"/>
        </w:rPr>
      </w:pPr>
    </w:p>
    <w:p w14:paraId="109BD344">
      <w:pPr>
        <w:shd w:val="clear"/>
        <w:spacing w:line="240" w:lineRule="exact"/>
        <w:ind w:firstLine="420" w:firstLineChars="200"/>
        <w:jc w:val="left"/>
        <w:rPr>
          <w:rFonts w:hint="eastAsia" w:ascii="宋体" w:hAnsi="宋体" w:cs="宋体"/>
          <w:bCs/>
          <w:color w:val="auto"/>
          <w:szCs w:val="21"/>
          <w:highlight w:val="none"/>
        </w:rPr>
      </w:pPr>
      <w:r>
        <w:rPr>
          <w:rFonts w:hint="eastAsia" w:ascii="宋体" w:hAnsi="宋体" w:cs="宋体"/>
          <w:bCs/>
          <w:color w:val="auto"/>
          <w:szCs w:val="21"/>
          <w:highlight w:val="none"/>
        </w:rPr>
        <w:t>采购人或者采购代理机构检查</w:t>
      </w:r>
      <w:r>
        <w:rPr>
          <w:rFonts w:hint="eastAsia" w:ascii="宋体" w:hAnsi="宋体" w:cs="宋体"/>
          <w:bCs/>
          <w:color w:val="auto"/>
          <w:szCs w:val="21"/>
          <w:highlight w:val="none"/>
          <w:lang w:eastAsia="zh-CN"/>
        </w:rPr>
        <w:t>人员</w:t>
      </w:r>
      <w:r>
        <w:rPr>
          <w:rFonts w:hint="eastAsia" w:ascii="宋体" w:hAnsi="宋体" w:cs="宋体"/>
          <w:bCs/>
          <w:color w:val="auto"/>
          <w:szCs w:val="21"/>
          <w:highlight w:val="none"/>
        </w:rPr>
        <w:t>签名：</w:t>
      </w:r>
    </w:p>
    <w:p w14:paraId="624EEC44">
      <w:pPr>
        <w:shd w:val="clear"/>
        <w:spacing w:before="156" w:beforeLines="50" w:line="360" w:lineRule="auto"/>
        <w:ind w:firstLine="480" w:firstLineChars="200"/>
        <w:jc w:val="right"/>
        <w:rPr>
          <w:rFonts w:ascii="宋体" w:hAnsi="宋体" w:cs="宋体"/>
          <w:b/>
          <w:bCs/>
          <w:color w:val="auto"/>
          <w:sz w:val="24"/>
          <w:highlight w:val="none"/>
        </w:rPr>
      </w:pPr>
      <w:r>
        <w:rPr>
          <w:rFonts w:hint="eastAsia" w:ascii="宋体" w:hAnsi="宋体" w:cs="宋体"/>
          <w:bCs/>
          <w:color w:val="auto"/>
          <w:sz w:val="24"/>
          <w:highlight w:val="none"/>
        </w:rPr>
        <w:t>年   月    日</w:t>
      </w:r>
    </w:p>
    <w:p w14:paraId="1E479925">
      <w:pPr>
        <w:shd w:val="clear"/>
        <w:adjustRightInd w:val="0"/>
        <w:snapToGrid w:val="0"/>
        <w:spacing w:line="360" w:lineRule="auto"/>
        <w:ind w:right="420"/>
        <w:jc w:val="center"/>
        <w:rPr>
          <w:rFonts w:ascii="宋体" w:hAnsi="宋体"/>
          <w:b/>
          <w:bCs/>
          <w:color w:val="auto"/>
          <w:sz w:val="28"/>
          <w:szCs w:val="28"/>
          <w:highlight w:val="none"/>
        </w:rPr>
      </w:pPr>
    </w:p>
    <w:p w14:paraId="01043F18">
      <w:pPr>
        <w:shd w:val="clear"/>
        <w:adjustRightInd w:val="0"/>
        <w:snapToGrid w:val="0"/>
        <w:spacing w:line="360" w:lineRule="auto"/>
        <w:ind w:right="420"/>
        <w:jc w:val="center"/>
        <w:rPr>
          <w:rFonts w:ascii="宋体" w:hAnsi="宋体"/>
          <w:b/>
          <w:bCs/>
          <w:color w:val="auto"/>
          <w:sz w:val="28"/>
          <w:szCs w:val="28"/>
          <w:highlight w:val="none"/>
        </w:rPr>
      </w:pPr>
    </w:p>
    <w:p w14:paraId="6CA56BE1">
      <w:pPr>
        <w:shd w:val="clear"/>
        <w:adjustRightInd w:val="0"/>
        <w:snapToGrid w:val="0"/>
        <w:spacing w:line="360" w:lineRule="auto"/>
        <w:ind w:right="420"/>
        <w:jc w:val="center"/>
        <w:rPr>
          <w:rFonts w:ascii="宋体" w:hAnsi="宋体"/>
          <w:b/>
          <w:bCs/>
          <w:color w:val="auto"/>
          <w:sz w:val="28"/>
          <w:szCs w:val="28"/>
          <w:highlight w:val="none"/>
        </w:rPr>
      </w:pPr>
    </w:p>
    <w:p w14:paraId="048D2EE8">
      <w:pPr>
        <w:shd w:val="clear"/>
        <w:adjustRightInd w:val="0"/>
        <w:snapToGrid w:val="0"/>
        <w:spacing w:line="360" w:lineRule="auto"/>
        <w:ind w:right="420"/>
        <w:jc w:val="center"/>
        <w:rPr>
          <w:rFonts w:ascii="宋体" w:hAnsi="宋体"/>
          <w:b/>
          <w:bCs/>
          <w:color w:val="auto"/>
          <w:sz w:val="28"/>
          <w:szCs w:val="28"/>
          <w:highlight w:val="none"/>
        </w:rPr>
      </w:pPr>
    </w:p>
    <w:p w14:paraId="264130B9">
      <w:pPr>
        <w:shd w:val="clear"/>
        <w:adjustRightInd w:val="0"/>
        <w:snapToGrid w:val="0"/>
        <w:spacing w:line="360" w:lineRule="auto"/>
        <w:ind w:right="420"/>
        <w:jc w:val="both"/>
        <w:rPr>
          <w:rFonts w:hint="eastAsia" w:ascii="宋体" w:hAnsi="宋体"/>
          <w:b/>
          <w:bCs/>
          <w:color w:val="auto"/>
          <w:sz w:val="28"/>
          <w:szCs w:val="28"/>
          <w:highlight w:val="none"/>
        </w:rPr>
      </w:pPr>
      <w:r>
        <w:rPr>
          <w:rFonts w:hint="eastAsia" w:ascii="黑体" w:hAnsi="黑体"/>
          <w:b/>
          <w:color w:val="auto"/>
          <w:szCs w:val="21"/>
          <w:highlight w:val="none"/>
        </w:rPr>
        <w:t>附表</w:t>
      </w:r>
      <w:r>
        <w:rPr>
          <w:rFonts w:hint="eastAsia" w:ascii="黑体" w:hAnsi="黑体"/>
          <w:b/>
          <w:color w:val="auto"/>
          <w:szCs w:val="21"/>
          <w:highlight w:val="none"/>
          <w:lang w:val="en-US" w:eastAsia="zh-CN"/>
        </w:rPr>
        <w:t>2</w:t>
      </w:r>
      <w:r>
        <w:rPr>
          <w:rFonts w:hint="eastAsia" w:ascii="黑体" w:hAnsi="黑体"/>
          <w:b/>
          <w:color w:val="auto"/>
          <w:szCs w:val="21"/>
          <w:highlight w:val="none"/>
        </w:rPr>
        <w:t xml:space="preserve"> </w:t>
      </w:r>
      <w:r>
        <w:rPr>
          <w:rFonts w:ascii="黑体" w:hAnsi="黑体"/>
          <w:b/>
          <w:color w:val="auto"/>
          <w:szCs w:val="21"/>
          <w:highlight w:val="none"/>
        </w:rPr>
        <w:t>投标人</w:t>
      </w:r>
      <w:r>
        <w:rPr>
          <w:rFonts w:hint="eastAsia" w:ascii="黑体" w:hAnsi="黑体"/>
          <w:b/>
          <w:color w:val="auto"/>
          <w:szCs w:val="21"/>
          <w:highlight w:val="none"/>
        </w:rPr>
        <w:t>符合性审查表</w:t>
      </w:r>
    </w:p>
    <w:p w14:paraId="5553C6CC">
      <w:pPr>
        <w:shd w:val="clear"/>
        <w:adjustRightInd w:val="0"/>
        <w:snapToGrid w:val="0"/>
        <w:spacing w:line="360" w:lineRule="auto"/>
        <w:ind w:right="420"/>
        <w:jc w:val="center"/>
        <w:rPr>
          <w:rFonts w:hint="eastAsia" w:ascii="宋体" w:hAnsi="宋体"/>
          <w:b/>
          <w:bCs/>
          <w:color w:val="auto"/>
          <w:sz w:val="28"/>
          <w:szCs w:val="28"/>
          <w:highlight w:val="none"/>
        </w:rPr>
      </w:pPr>
      <w:r>
        <w:rPr>
          <w:rFonts w:hint="eastAsia" w:ascii="宋体" w:hAnsi="宋体"/>
          <w:b/>
          <w:bCs/>
          <w:color w:val="auto"/>
          <w:sz w:val="28"/>
          <w:szCs w:val="28"/>
          <w:highlight w:val="none"/>
        </w:rPr>
        <w:t>符合性审查表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tbl>
      <w:tblPr>
        <w:tblStyle w:val="43"/>
        <w:tblW w:w="9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2975"/>
        <w:gridCol w:w="3138"/>
        <w:gridCol w:w="793"/>
        <w:gridCol w:w="793"/>
        <w:gridCol w:w="794"/>
      </w:tblGrid>
      <w:tr w14:paraId="25DF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850" w:type="dxa"/>
            <w:vMerge w:val="restart"/>
            <w:vAlign w:val="center"/>
          </w:tcPr>
          <w:p w14:paraId="70888B51">
            <w:pPr>
              <w:shd w:val="clear"/>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2975" w:type="dxa"/>
            <w:vMerge w:val="restart"/>
            <w:vAlign w:val="center"/>
          </w:tcPr>
          <w:p w14:paraId="7BB48174">
            <w:pPr>
              <w:shd w:val="clear"/>
              <w:jc w:val="center"/>
              <w:rPr>
                <w:rFonts w:ascii="宋体" w:hAnsi="宋体" w:cs="宋体"/>
                <w:b/>
                <w:color w:val="auto"/>
                <w:sz w:val="24"/>
                <w:highlight w:val="none"/>
              </w:rPr>
            </w:pPr>
            <w:r>
              <w:rPr>
                <w:rFonts w:hint="eastAsia" w:ascii="宋体" w:hAnsi="宋体" w:cs="宋体"/>
                <w:b/>
                <w:color w:val="auto"/>
                <w:sz w:val="24"/>
                <w:highlight w:val="none"/>
              </w:rPr>
              <w:t>符合性审查内容</w:t>
            </w:r>
          </w:p>
        </w:tc>
        <w:tc>
          <w:tcPr>
            <w:tcW w:w="3138" w:type="dxa"/>
            <w:vMerge w:val="restart"/>
            <w:vAlign w:val="center"/>
          </w:tcPr>
          <w:p w14:paraId="2ED6A3E0">
            <w:pPr>
              <w:shd w:val="clear"/>
              <w:jc w:val="center"/>
              <w:rPr>
                <w:rFonts w:ascii="宋体" w:hAnsi="宋体" w:cs="宋体"/>
                <w:b/>
                <w:color w:val="auto"/>
                <w:sz w:val="24"/>
                <w:highlight w:val="none"/>
              </w:rPr>
            </w:pPr>
            <w:r>
              <w:rPr>
                <w:rFonts w:hint="eastAsia" w:ascii="宋体" w:hAnsi="宋体" w:cs="宋体"/>
                <w:b/>
                <w:color w:val="auto"/>
                <w:sz w:val="24"/>
                <w:highlight w:val="none"/>
              </w:rPr>
              <w:t>评审标准</w:t>
            </w:r>
          </w:p>
        </w:tc>
        <w:tc>
          <w:tcPr>
            <w:tcW w:w="2380" w:type="dxa"/>
            <w:gridSpan w:val="3"/>
            <w:vAlign w:val="center"/>
          </w:tcPr>
          <w:p w14:paraId="5C9F06F3">
            <w:pPr>
              <w:shd w:val="clear"/>
              <w:jc w:val="center"/>
              <w:rPr>
                <w:rFonts w:ascii="宋体" w:hAnsi="宋体" w:cs="宋体"/>
                <w:b/>
                <w:color w:val="auto"/>
                <w:sz w:val="24"/>
                <w:highlight w:val="none"/>
              </w:rPr>
            </w:pPr>
            <w:r>
              <w:rPr>
                <w:rFonts w:hint="eastAsia" w:ascii="宋体" w:hAnsi="宋体" w:cs="宋体"/>
                <w:b/>
                <w:color w:val="auto"/>
                <w:sz w:val="24"/>
                <w:highlight w:val="none"/>
              </w:rPr>
              <w:t>投标人</w:t>
            </w:r>
          </w:p>
        </w:tc>
      </w:tr>
      <w:tr w14:paraId="0F20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50" w:type="dxa"/>
            <w:vMerge w:val="continue"/>
            <w:vAlign w:val="center"/>
          </w:tcPr>
          <w:p w14:paraId="421941C5">
            <w:pPr>
              <w:shd w:val="clear"/>
              <w:jc w:val="center"/>
              <w:rPr>
                <w:rFonts w:ascii="宋体" w:hAnsi="宋体" w:cs="宋体"/>
                <w:b/>
                <w:color w:val="auto"/>
                <w:sz w:val="24"/>
                <w:highlight w:val="none"/>
              </w:rPr>
            </w:pPr>
          </w:p>
        </w:tc>
        <w:tc>
          <w:tcPr>
            <w:tcW w:w="2975" w:type="dxa"/>
            <w:vMerge w:val="continue"/>
            <w:vAlign w:val="center"/>
          </w:tcPr>
          <w:p w14:paraId="1AC97253">
            <w:pPr>
              <w:shd w:val="clear"/>
              <w:jc w:val="center"/>
              <w:rPr>
                <w:rFonts w:ascii="宋体" w:hAnsi="宋体" w:cs="宋体"/>
                <w:b/>
                <w:color w:val="auto"/>
                <w:highlight w:val="none"/>
              </w:rPr>
            </w:pPr>
          </w:p>
        </w:tc>
        <w:tc>
          <w:tcPr>
            <w:tcW w:w="3138" w:type="dxa"/>
            <w:vMerge w:val="continue"/>
            <w:vAlign w:val="center"/>
          </w:tcPr>
          <w:p w14:paraId="4AD4FDF1">
            <w:pPr>
              <w:shd w:val="clear"/>
              <w:jc w:val="center"/>
              <w:rPr>
                <w:rFonts w:ascii="宋体" w:hAnsi="宋体" w:cs="宋体"/>
                <w:b/>
                <w:color w:val="auto"/>
                <w:sz w:val="24"/>
                <w:highlight w:val="none"/>
              </w:rPr>
            </w:pPr>
          </w:p>
        </w:tc>
        <w:tc>
          <w:tcPr>
            <w:tcW w:w="793" w:type="dxa"/>
            <w:vAlign w:val="center"/>
          </w:tcPr>
          <w:p w14:paraId="02C3795A">
            <w:pPr>
              <w:shd w:val="clear"/>
              <w:jc w:val="center"/>
              <w:rPr>
                <w:rFonts w:ascii="宋体" w:hAnsi="宋体" w:cs="宋体"/>
                <w:b/>
                <w:color w:val="auto"/>
                <w:sz w:val="24"/>
                <w:highlight w:val="none"/>
              </w:rPr>
            </w:pPr>
          </w:p>
        </w:tc>
        <w:tc>
          <w:tcPr>
            <w:tcW w:w="793" w:type="dxa"/>
            <w:vAlign w:val="center"/>
          </w:tcPr>
          <w:p w14:paraId="6DB51E7A">
            <w:pPr>
              <w:shd w:val="clear"/>
              <w:jc w:val="center"/>
              <w:rPr>
                <w:rFonts w:ascii="宋体" w:hAnsi="宋体" w:cs="宋体"/>
                <w:b/>
                <w:color w:val="auto"/>
                <w:sz w:val="24"/>
                <w:highlight w:val="none"/>
              </w:rPr>
            </w:pPr>
          </w:p>
        </w:tc>
        <w:tc>
          <w:tcPr>
            <w:tcW w:w="794" w:type="dxa"/>
            <w:vAlign w:val="center"/>
          </w:tcPr>
          <w:p w14:paraId="4E82121F">
            <w:pPr>
              <w:shd w:val="clear"/>
              <w:jc w:val="center"/>
              <w:rPr>
                <w:rFonts w:ascii="宋体" w:hAnsi="宋体" w:cs="宋体"/>
                <w:b/>
                <w:color w:val="auto"/>
                <w:highlight w:val="none"/>
              </w:rPr>
            </w:pPr>
          </w:p>
        </w:tc>
      </w:tr>
      <w:tr w14:paraId="7897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50" w:type="dxa"/>
            <w:vAlign w:val="center"/>
          </w:tcPr>
          <w:p w14:paraId="749E0BF0">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1</w:t>
            </w:r>
          </w:p>
        </w:tc>
        <w:tc>
          <w:tcPr>
            <w:tcW w:w="2975" w:type="dxa"/>
            <w:vAlign w:val="center"/>
          </w:tcPr>
          <w:p w14:paraId="2D3C2C33">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投标有效期</w:t>
            </w:r>
          </w:p>
        </w:tc>
        <w:tc>
          <w:tcPr>
            <w:tcW w:w="3138" w:type="dxa"/>
            <w:vAlign w:val="center"/>
          </w:tcPr>
          <w:p w14:paraId="5B3E0A47">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2346F811">
            <w:pPr>
              <w:shd w:val="clear"/>
              <w:spacing w:line="300" w:lineRule="exact"/>
              <w:jc w:val="center"/>
              <w:rPr>
                <w:rFonts w:ascii="宋体" w:hAnsi="宋体" w:cs="宋体"/>
                <w:bCs/>
                <w:color w:val="auto"/>
                <w:sz w:val="24"/>
                <w:highlight w:val="none"/>
              </w:rPr>
            </w:pPr>
          </w:p>
        </w:tc>
        <w:tc>
          <w:tcPr>
            <w:tcW w:w="793" w:type="dxa"/>
            <w:vAlign w:val="center"/>
          </w:tcPr>
          <w:p w14:paraId="0155A454">
            <w:pPr>
              <w:shd w:val="clear"/>
              <w:spacing w:line="300" w:lineRule="exact"/>
              <w:jc w:val="center"/>
              <w:rPr>
                <w:rFonts w:ascii="宋体" w:hAnsi="宋体" w:cs="宋体"/>
                <w:bCs/>
                <w:color w:val="auto"/>
                <w:sz w:val="24"/>
                <w:highlight w:val="none"/>
              </w:rPr>
            </w:pPr>
          </w:p>
        </w:tc>
        <w:tc>
          <w:tcPr>
            <w:tcW w:w="794" w:type="dxa"/>
            <w:vAlign w:val="center"/>
          </w:tcPr>
          <w:p w14:paraId="5959CBDC">
            <w:pPr>
              <w:shd w:val="clear"/>
              <w:spacing w:line="300" w:lineRule="exact"/>
              <w:jc w:val="center"/>
              <w:rPr>
                <w:rFonts w:ascii="宋体" w:hAnsi="宋体" w:cs="宋体"/>
                <w:bCs/>
                <w:color w:val="auto"/>
                <w:highlight w:val="none"/>
              </w:rPr>
            </w:pPr>
          </w:p>
        </w:tc>
      </w:tr>
      <w:tr w14:paraId="092A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850" w:type="dxa"/>
            <w:vAlign w:val="center"/>
          </w:tcPr>
          <w:p w14:paraId="51D5E0FE">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2</w:t>
            </w:r>
          </w:p>
        </w:tc>
        <w:tc>
          <w:tcPr>
            <w:tcW w:w="2975" w:type="dxa"/>
            <w:vAlign w:val="center"/>
          </w:tcPr>
          <w:p w14:paraId="39800D95">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投标文件的签署与盖章</w:t>
            </w:r>
          </w:p>
        </w:tc>
        <w:tc>
          <w:tcPr>
            <w:tcW w:w="3138" w:type="dxa"/>
            <w:vAlign w:val="center"/>
          </w:tcPr>
          <w:p w14:paraId="27C0844E">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必须按照招标文件的规定盖章与签署</w:t>
            </w:r>
          </w:p>
        </w:tc>
        <w:tc>
          <w:tcPr>
            <w:tcW w:w="793" w:type="dxa"/>
            <w:vAlign w:val="center"/>
          </w:tcPr>
          <w:p w14:paraId="00EC06B9">
            <w:pPr>
              <w:shd w:val="clear"/>
              <w:spacing w:line="300" w:lineRule="exact"/>
              <w:jc w:val="center"/>
              <w:rPr>
                <w:rFonts w:ascii="宋体" w:hAnsi="宋体" w:cs="宋体"/>
                <w:bCs/>
                <w:color w:val="auto"/>
                <w:sz w:val="24"/>
                <w:highlight w:val="none"/>
              </w:rPr>
            </w:pPr>
          </w:p>
        </w:tc>
        <w:tc>
          <w:tcPr>
            <w:tcW w:w="793" w:type="dxa"/>
            <w:vAlign w:val="center"/>
          </w:tcPr>
          <w:p w14:paraId="2D6DEBA9">
            <w:pPr>
              <w:shd w:val="clear"/>
              <w:spacing w:line="300" w:lineRule="exact"/>
              <w:jc w:val="center"/>
              <w:rPr>
                <w:rFonts w:ascii="宋体" w:hAnsi="宋体" w:cs="宋体"/>
                <w:bCs/>
                <w:color w:val="auto"/>
                <w:sz w:val="24"/>
                <w:highlight w:val="none"/>
              </w:rPr>
            </w:pPr>
          </w:p>
        </w:tc>
        <w:tc>
          <w:tcPr>
            <w:tcW w:w="794" w:type="dxa"/>
            <w:vAlign w:val="center"/>
          </w:tcPr>
          <w:p w14:paraId="65DF7B39">
            <w:pPr>
              <w:shd w:val="clear"/>
              <w:spacing w:line="300" w:lineRule="exact"/>
              <w:jc w:val="center"/>
              <w:rPr>
                <w:rFonts w:ascii="宋体" w:hAnsi="宋体" w:cs="宋体"/>
                <w:bCs/>
                <w:color w:val="auto"/>
                <w:highlight w:val="none"/>
              </w:rPr>
            </w:pPr>
          </w:p>
        </w:tc>
      </w:tr>
      <w:tr w14:paraId="0446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50" w:type="dxa"/>
            <w:vAlign w:val="center"/>
          </w:tcPr>
          <w:p w14:paraId="6D024F33">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3</w:t>
            </w:r>
          </w:p>
        </w:tc>
        <w:tc>
          <w:tcPr>
            <w:tcW w:w="2975" w:type="dxa"/>
            <w:vAlign w:val="center"/>
          </w:tcPr>
          <w:p w14:paraId="4FACF708">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投标报价</w:t>
            </w:r>
          </w:p>
        </w:tc>
        <w:tc>
          <w:tcPr>
            <w:tcW w:w="3138" w:type="dxa"/>
            <w:vAlign w:val="center"/>
          </w:tcPr>
          <w:p w14:paraId="1B5D79FE">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eastAsia="宋体" w:cs="宋体"/>
                <w:color w:val="auto"/>
                <w:szCs w:val="21"/>
                <w:highlight w:val="none"/>
              </w:rPr>
              <w:t>不能超过招标文件中规定的预算金额或者最高限价的</w:t>
            </w:r>
          </w:p>
        </w:tc>
        <w:tc>
          <w:tcPr>
            <w:tcW w:w="793" w:type="dxa"/>
            <w:vAlign w:val="center"/>
          </w:tcPr>
          <w:p w14:paraId="3CB9EF39">
            <w:pPr>
              <w:shd w:val="clear"/>
              <w:spacing w:line="300" w:lineRule="exact"/>
              <w:jc w:val="center"/>
              <w:rPr>
                <w:rFonts w:ascii="宋体" w:hAnsi="宋体" w:cs="宋体"/>
                <w:bCs/>
                <w:color w:val="auto"/>
                <w:sz w:val="24"/>
                <w:highlight w:val="none"/>
              </w:rPr>
            </w:pPr>
          </w:p>
        </w:tc>
        <w:tc>
          <w:tcPr>
            <w:tcW w:w="793" w:type="dxa"/>
            <w:vAlign w:val="center"/>
          </w:tcPr>
          <w:p w14:paraId="1ED1D447">
            <w:pPr>
              <w:shd w:val="clear"/>
              <w:spacing w:line="300" w:lineRule="exact"/>
              <w:jc w:val="center"/>
              <w:rPr>
                <w:rFonts w:ascii="宋体" w:hAnsi="宋体" w:cs="宋体"/>
                <w:bCs/>
                <w:color w:val="auto"/>
                <w:sz w:val="24"/>
                <w:highlight w:val="none"/>
              </w:rPr>
            </w:pPr>
          </w:p>
        </w:tc>
        <w:tc>
          <w:tcPr>
            <w:tcW w:w="794" w:type="dxa"/>
            <w:vAlign w:val="center"/>
          </w:tcPr>
          <w:p w14:paraId="708F97D2">
            <w:pPr>
              <w:shd w:val="clear"/>
              <w:spacing w:line="300" w:lineRule="exact"/>
              <w:jc w:val="center"/>
              <w:rPr>
                <w:rFonts w:ascii="宋体" w:hAnsi="宋体" w:cs="宋体"/>
                <w:bCs/>
                <w:color w:val="auto"/>
                <w:highlight w:val="none"/>
              </w:rPr>
            </w:pPr>
          </w:p>
        </w:tc>
      </w:tr>
      <w:tr w14:paraId="56A0B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50" w:type="dxa"/>
            <w:vAlign w:val="center"/>
          </w:tcPr>
          <w:p w14:paraId="0405742F">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4</w:t>
            </w:r>
          </w:p>
        </w:tc>
        <w:tc>
          <w:tcPr>
            <w:tcW w:w="2975" w:type="dxa"/>
            <w:vAlign w:val="center"/>
          </w:tcPr>
          <w:p w14:paraId="52AA2F8C">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是否有招标人不能接受的条件</w:t>
            </w:r>
          </w:p>
        </w:tc>
        <w:tc>
          <w:tcPr>
            <w:tcW w:w="3138" w:type="dxa"/>
            <w:vAlign w:val="center"/>
          </w:tcPr>
          <w:p w14:paraId="224F2F3A">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绝不能有</w:t>
            </w:r>
          </w:p>
        </w:tc>
        <w:tc>
          <w:tcPr>
            <w:tcW w:w="793" w:type="dxa"/>
            <w:vAlign w:val="center"/>
          </w:tcPr>
          <w:p w14:paraId="010F9320">
            <w:pPr>
              <w:shd w:val="clear"/>
              <w:spacing w:line="300" w:lineRule="exact"/>
              <w:jc w:val="center"/>
              <w:rPr>
                <w:rFonts w:ascii="宋体" w:hAnsi="宋体" w:cs="宋体"/>
                <w:bCs/>
                <w:color w:val="auto"/>
                <w:sz w:val="24"/>
                <w:highlight w:val="none"/>
              </w:rPr>
            </w:pPr>
          </w:p>
        </w:tc>
        <w:tc>
          <w:tcPr>
            <w:tcW w:w="793" w:type="dxa"/>
            <w:vAlign w:val="center"/>
          </w:tcPr>
          <w:p w14:paraId="711FC133">
            <w:pPr>
              <w:shd w:val="clear"/>
              <w:spacing w:line="300" w:lineRule="exact"/>
              <w:jc w:val="center"/>
              <w:rPr>
                <w:rFonts w:ascii="宋体" w:hAnsi="宋体" w:cs="宋体"/>
                <w:bCs/>
                <w:color w:val="auto"/>
                <w:sz w:val="24"/>
                <w:highlight w:val="none"/>
              </w:rPr>
            </w:pPr>
          </w:p>
        </w:tc>
        <w:tc>
          <w:tcPr>
            <w:tcW w:w="794" w:type="dxa"/>
            <w:vAlign w:val="center"/>
          </w:tcPr>
          <w:p w14:paraId="4E755AF0">
            <w:pPr>
              <w:shd w:val="clear"/>
              <w:spacing w:line="300" w:lineRule="exact"/>
              <w:jc w:val="center"/>
              <w:rPr>
                <w:rFonts w:ascii="宋体" w:hAnsi="宋体" w:cs="宋体"/>
                <w:bCs/>
                <w:color w:val="auto"/>
                <w:highlight w:val="none"/>
              </w:rPr>
            </w:pPr>
          </w:p>
        </w:tc>
      </w:tr>
      <w:tr w14:paraId="6E2C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50" w:type="dxa"/>
            <w:vAlign w:val="center"/>
          </w:tcPr>
          <w:p w14:paraId="0D60479C">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5</w:t>
            </w:r>
          </w:p>
        </w:tc>
        <w:tc>
          <w:tcPr>
            <w:tcW w:w="2975" w:type="dxa"/>
            <w:vAlign w:val="center"/>
          </w:tcPr>
          <w:p w14:paraId="050EB1E4">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bCs/>
                <w:color w:val="auto"/>
                <w:szCs w:val="21"/>
                <w:highlight w:val="none"/>
              </w:rPr>
              <w:t>招标文件中</w:t>
            </w:r>
            <w:r>
              <w:rPr>
                <w:rFonts w:hint="eastAsia" w:ascii="宋体" w:hAnsi="宋体" w:eastAsia="宋体" w:cs="宋体"/>
                <w:color w:val="auto"/>
                <w:szCs w:val="21"/>
                <w:highlight w:val="none"/>
              </w:rPr>
              <w:t>标有“★”记号或者</w:t>
            </w:r>
            <w:r>
              <w:rPr>
                <w:rFonts w:hint="eastAsia" w:ascii="宋体" w:hAnsi="宋体" w:eastAsia="宋体" w:cs="宋体"/>
                <w:bCs/>
                <w:color w:val="auto"/>
                <w:szCs w:val="21"/>
                <w:highlight w:val="none"/>
              </w:rPr>
              <w:t>其他特别标明的实质性商务条款</w:t>
            </w:r>
          </w:p>
        </w:tc>
        <w:tc>
          <w:tcPr>
            <w:tcW w:w="3138" w:type="dxa"/>
            <w:vAlign w:val="center"/>
          </w:tcPr>
          <w:p w14:paraId="05FDF363">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371BAF0B">
            <w:pPr>
              <w:shd w:val="clear"/>
              <w:spacing w:line="300" w:lineRule="exact"/>
              <w:jc w:val="center"/>
              <w:rPr>
                <w:rFonts w:ascii="宋体" w:hAnsi="宋体" w:cs="宋体"/>
                <w:bCs/>
                <w:color w:val="auto"/>
                <w:sz w:val="24"/>
                <w:highlight w:val="none"/>
              </w:rPr>
            </w:pPr>
          </w:p>
        </w:tc>
        <w:tc>
          <w:tcPr>
            <w:tcW w:w="793" w:type="dxa"/>
            <w:vAlign w:val="center"/>
          </w:tcPr>
          <w:p w14:paraId="63698546">
            <w:pPr>
              <w:shd w:val="clear"/>
              <w:spacing w:line="300" w:lineRule="exact"/>
              <w:jc w:val="center"/>
              <w:rPr>
                <w:rFonts w:ascii="宋体" w:hAnsi="宋体" w:cs="宋体"/>
                <w:bCs/>
                <w:color w:val="auto"/>
                <w:sz w:val="24"/>
                <w:highlight w:val="none"/>
              </w:rPr>
            </w:pPr>
          </w:p>
        </w:tc>
        <w:tc>
          <w:tcPr>
            <w:tcW w:w="794" w:type="dxa"/>
            <w:vAlign w:val="center"/>
          </w:tcPr>
          <w:p w14:paraId="09708D48">
            <w:pPr>
              <w:shd w:val="clear"/>
              <w:spacing w:line="300" w:lineRule="exact"/>
              <w:jc w:val="center"/>
              <w:rPr>
                <w:rFonts w:ascii="宋体" w:hAnsi="宋体" w:cs="宋体"/>
                <w:bCs/>
                <w:color w:val="auto"/>
                <w:highlight w:val="none"/>
              </w:rPr>
            </w:pPr>
          </w:p>
        </w:tc>
      </w:tr>
      <w:tr w14:paraId="52E7C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50" w:type="dxa"/>
            <w:vAlign w:val="center"/>
          </w:tcPr>
          <w:p w14:paraId="072854C9">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6</w:t>
            </w:r>
          </w:p>
        </w:tc>
        <w:tc>
          <w:tcPr>
            <w:tcW w:w="2975" w:type="dxa"/>
            <w:vAlign w:val="center"/>
          </w:tcPr>
          <w:p w14:paraId="2741F26A">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color w:val="auto"/>
                <w:szCs w:val="21"/>
                <w:highlight w:val="none"/>
              </w:rPr>
              <w:t>《采购需求》中标有“★”记号或者其他特别标明的实质性技术条款</w:t>
            </w:r>
          </w:p>
        </w:tc>
        <w:tc>
          <w:tcPr>
            <w:tcW w:w="3138" w:type="dxa"/>
            <w:vAlign w:val="center"/>
          </w:tcPr>
          <w:p w14:paraId="272F7807">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72E34CAB">
            <w:pPr>
              <w:shd w:val="clear"/>
              <w:spacing w:line="300" w:lineRule="exact"/>
              <w:jc w:val="center"/>
              <w:rPr>
                <w:rFonts w:ascii="宋体" w:hAnsi="宋体" w:cs="宋体"/>
                <w:bCs/>
                <w:color w:val="auto"/>
                <w:sz w:val="24"/>
                <w:highlight w:val="none"/>
              </w:rPr>
            </w:pPr>
          </w:p>
        </w:tc>
        <w:tc>
          <w:tcPr>
            <w:tcW w:w="793" w:type="dxa"/>
            <w:vAlign w:val="center"/>
          </w:tcPr>
          <w:p w14:paraId="4D93B555">
            <w:pPr>
              <w:shd w:val="clear"/>
              <w:spacing w:line="300" w:lineRule="exact"/>
              <w:jc w:val="center"/>
              <w:rPr>
                <w:rFonts w:ascii="宋体" w:hAnsi="宋体" w:cs="宋体"/>
                <w:bCs/>
                <w:color w:val="auto"/>
                <w:sz w:val="24"/>
                <w:highlight w:val="none"/>
              </w:rPr>
            </w:pPr>
          </w:p>
        </w:tc>
        <w:tc>
          <w:tcPr>
            <w:tcW w:w="794" w:type="dxa"/>
            <w:vAlign w:val="center"/>
          </w:tcPr>
          <w:p w14:paraId="46C616FD">
            <w:pPr>
              <w:shd w:val="clear"/>
              <w:spacing w:line="300" w:lineRule="exact"/>
              <w:jc w:val="center"/>
              <w:rPr>
                <w:rFonts w:ascii="宋体" w:hAnsi="宋体" w:cs="宋体"/>
                <w:bCs/>
                <w:color w:val="auto"/>
                <w:highlight w:val="none"/>
              </w:rPr>
            </w:pPr>
          </w:p>
        </w:tc>
      </w:tr>
      <w:tr w14:paraId="7B3F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50" w:type="dxa"/>
            <w:vAlign w:val="center"/>
          </w:tcPr>
          <w:p w14:paraId="44ABB53C">
            <w:pPr>
              <w:shd w:val="clear"/>
              <w:spacing w:line="300" w:lineRule="exact"/>
              <w:jc w:val="center"/>
              <w:rPr>
                <w:rFonts w:ascii="宋体" w:hAnsi="宋体" w:cs="宋体"/>
                <w:bCs/>
                <w:color w:val="auto"/>
                <w:szCs w:val="21"/>
                <w:highlight w:val="none"/>
              </w:rPr>
            </w:pPr>
            <w:r>
              <w:rPr>
                <w:rFonts w:hint="eastAsia" w:ascii="宋体" w:hAnsi="宋体" w:cs="宋体"/>
                <w:bCs/>
                <w:color w:val="auto"/>
                <w:szCs w:val="21"/>
                <w:highlight w:val="none"/>
              </w:rPr>
              <w:t>7</w:t>
            </w:r>
          </w:p>
        </w:tc>
        <w:tc>
          <w:tcPr>
            <w:tcW w:w="2975" w:type="dxa"/>
            <w:vAlign w:val="center"/>
          </w:tcPr>
          <w:p w14:paraId="2341B2B9">
            <w:pPr>
              <w:shd w:val="clear" w:color="auto" w:fill="auto"/>
              <w:spacing w:line="300" w:lineRule="exact"/>
              <w:ind w:left="-53" w:leftChars="-25" w:right="-53" w:rightChars="-25"/>
              <w:jc w:val="left"/>
              <w:rPr>
                <w:rFonts w:ascii="宋体" w:hAnsi="宋体" w:cs="宋体"/>
                <w:bCs/>
                <w:color w:val="auto"/>
                <w:szCs w:val="21"/>
                <w:highlight w:val="none"/>
              </w:rPr>
            </w:pPr>
            <w:r>
              <w:rPr>
                <w:rFonts w:hint="eastAsia" w:ascii="宋体" w:hAnsi="宋体" w:eastAsia="宋体" w:cs="宋体"/>
                <w:color w:val="auto"/>
                <w:szCs w:val="21"/>
                <w:highlight w:val="none"/>
              </w:rPr>
              <w:t>是否有不符合法律、法规情况（达到要求的标记√，未达到的标记×并注明理由）</w:t>
            </w:r>
          </w:p>
        </w:tc>
        <w:tc>
          <w:tcPr>
            <w:tcW w:w="3138" w:type="dxa"/>
            <w:vAlign w:val="center"/>
          </w:tcPr>
          <w:p w14:paraId="49FB4066">
            <w:pPr>
              <w:shd w:val="clear" w:color="auto" w:fill="auto"/>
              <w:spacing w:line="300" w:lineRule="exact"/>
              <w:ind w:left="-53" w:leftChars="-25" w:right="-53" w:rightChars="-25"/>
              <w:jc w:val="left"/>
              <w:rPr>
                <w:rFonts w:ascii="宋体" w:hAnsi="宋体" w:cs="宋体"/>
                <w:color w:val="auto"/>
                <w:szCs w:val="21"/>
                <w:highlight w:val="none"/>
              </w:rPr>
            </w:pPr>
            <w:r>
              <w:rPr>
                <w:rFonts w:hint="eastAsia" w:ascii="宋体" w:hAnsi="宋体" w:cs="宋体"/>
                <w:color w:val="auto"/>
                <w:szCs w:val="21"/>
                <w:highlight w:val="none"/>
              </w:rPr>
              <w:t>必须响应招标文件的规定</w:t>
            </w:r>
          </w:p>
        </w:tc>
        <w:tc>
          <w:tcPr>
            <w:tcW w:w="793" w:type="dxa"/>
            <w:vAlign w:val="center"/>
          </w:tcPr>
          <w:p w14:paraId="77156873">
            <w:pPr>
              <w:shd w:val="clear"/>
              <w:spacing w:line="300" w:lineRule="exact"/>
              <w:jc w:val="center"/>
              <w:rPr>
                <w:rFonts w:ascii="宋体" w:hAnsi="宋体" w:cs="宋体"/>
                <w:bCs/>
                <w:color w:val="auto"/>
                <w:sz w:val="24"/>
                <w:highlight w:val="none"/>
              </w:rPr>
            </w:pPr>
          </w:p>
        </w:tc>
        <w:tc>
          <w:tcPr>
            <w:tcW w:w="793" w:type="dxa"/>
            <w:vAlign w:val="center"/>
          </w:tcPr>
          <w:p w14:paraId="01A14D1F">
            <w:pPr>
              <w:shd w:val="clear"/>
              <w:spacing w:line="300" w:lineRule="exact"/>
              <w:jc w:val="center"/>
              <w:rPr>
                <w:rFonts w:ascii="宋体" w:hAnsi="宋体" w:cs="宋体"/>
                <w:bCs/>
                <w:color w:val="auto"/>
                <w:sz w:val="24"/>
                <w:highlight w:val="none"/>
              </w:rPr>
            </w:pPr>
          </w:p>
        </w:tc>
        <w:tc>
          <w:tcPr>
            <w:tcW w:w="794" w:type="dxa"/>
            <w:vAlign w:val="center"/>
          </w:tcPr>
          <w:p w14:paraId="7F440650">
            <w:pPr>
              <w:shd w:val="clear"/>
              <w:spacing w:line="300" w:lineRule="exact"/>
              <w:jc w:val="center"/>
              <w:rPr>
                <w:rFonts w:ascii="宋体" w:hAnsi="宋体" w:cs="宋体"/>
                <w:bCs/>
                <w:color w:val="auto"/>
                <w:highlight w:val="none"/>
              </w:rPr>
            </w:pPr>
          </w:p>
        </w:tc>
      </w:tr>
      <w:tr w14:paraId="220CC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exact"/>
          <w:jc w:val="center"/>
        </w:trPr>
        <w:tc>
          <w:tcPr>
            <w:tcW w:w="6963" w:type="dxa"/>
            <w:gridSpan w:val="3"/>
            <w:vAlign w:val="center"/>
          </w:tcPr>
          <w:p w14:paraId="22388758">
            <w:pPr>
              <w:shd w:val="clear"/>
              <w:spacing w:line="300" w:lineRule="exact"/>
              <w:jc w:val="center"/>
              <w:rPr>
                <w:rFonts w:ascii="宋体" w:hAnsi="宋体" w:cs="宋体"/>
                <w:bCs/>
                <w:color w:val="auto"/>
                <w:sz w:val="24"/>
                <w:highlight w:val="none"/>
              </w:rPr>
            </w:pPr>
            <w:r>
              <w:rPr>
                <w:rFonts w:hint="eastAsia" w:ascii="宋体" w:hAnsi="宋体" w:cs="宋体"/>
                <w:b/>
                <w:color w:val="auto"/>
                <w:sz w:val="24"/>
                <w:highlight w:val="none"/>
              </w:rPr>
              <w:t>结论</w:t>
            </w:r>
          </w:p>
        </w:tc>
        <w:tc>
          <w:tcPr>
            <w:tcW w:w="793" w:type="dxa"/>
            <w:vAlign w:val="center"/>
          </w:tcPr>
          <w:p w14:paraId="464838BA">
            <w:pPr>
              <w:shd w:val="clear"/>
              <w:spacing w:line="300" w:lineRule="exact"/>
              <w:jc w:val="center"/>
              <w:rPr>
                <w:rFonts w:ascii="宋体" w:hAnsi="宋体" w:cs="宋体"/>
                <w:bCs/>
                <w:color w:val="auto"/>
                <w:sz w:val="24"/>
                <w:highlight w:val="none"/>
              </w:rPr>
            </w:pPr>
          </w:p>
        </w:tc>
        <w:tc>
          <w:tcPr>
            <w:tcW w:w="793" w:type="dxa"/>
            <w:vAlign w:val="center"/>
          </w:tcPr>
          <w:p w14:paraId="21E42E99">
            <w:pPr>
              <w:shd w:val="clear"/>
              <w:spacing w:line="300" w:lineRule="exact"/>
              <w:jc w:val="center"/>
              <w:rPr>
                <w:rFonts w:ascii="宋体" w:hAnsi="宋体" w:cs="宋体"/>
                <w:bCs/>
                <w:color w:val="auto"/>
                <w:sz w:val="24"/>
                <w:highlight w:val="none"/>
              </w:rPr>
            </w:pPr>
          </w:p>
        </w:tc>
        <w:tc>
          <w:tcPr>
            <w:tcW w:w="794" w:type="dxa"/>
            <w:vAlign w:val="center"/>
          </w:tcPr>
          <w:p w14:paraId="055BEE8E">
            <w:pPr>
              <w:shd w:val="clear"/>
              <w:spacing w:line="300" w:lineRule="exact"/>
              <w:jc w:val="center"/>
              <w:rPr>
                <w:rFonts w:ascii="宋体" w:hAnsi="宋体" w:cs="宋体"/>
                <w:bCs/>
                <w:color w:val="auto"/>
                <w:highlight w:val="none"/>
              </w:rPr>
            </w:pPr>
          </w:p>
        </w:tc>
      </w:tr>
    </w:tbl>
    <w:p w14:paraId="0D9DFB74">
      <w:pPr>
        <w:shd w:val="clear"/>
        <w:snapToGrid w:val="0"/>
        <w:spacing w:before="156" w:beforeLines="50" w:line="320" w:lineRule="exact"/>
        <w:rPr>
          <w:rFonts w:ascii="宋体" w:hAnsi="宋体" w:cs="宋体"/>
          <w:color w:val="auto"/>
          <w:sz w:val="24"/>
          <w:highlight w:val="none"/>
        </w:rPr>
      </w:pPr>
    </w:p>
    <w:p w14:paraId="14D31587">
      <w:pPr>
        <w:shd w:val="clear"/>
        <w:snapToGrid w:val="0"/>
        <w:spacing w:before="156" w:beforeLines="50" w:line="320" w:lineRule="exact"/>
        <w:rPr>
          <w:rFonts w:ascii="宋体" w:hAnsi="宋体" w:cs="宋体"/>
          <w:bCs/>
          <w:color w:val="auto"/>
          <w:sz w:val="24"/>
          <w:highlight w:val="none"/>
          <w:u w:val="wave"/>
        </w:rPr>
      </w:pPr>
      <w:r>
        <w:rPr>
          <w:rFonts w:hint="eastAsia" w:ascii="宋体" w:hAnsi="宋体" w:cs="宋体"/>
          <w:color w:val="auto"/>
          <w:sz w:val="24"/>
          <w:highlight w:val="none"/>
        </w:rPr>
        <w:t>结论分为“合格”和“不合格”两种</w:t>
      </w:r>
      <w:r>
        <w:rPr>
          <w:rFonts w:hint="eastAsia" w:ascii="宋体" w:hAnsi="宋体" w:cs="宋体"/>
          <w:bCs/>
          <w:color w:val="auto"/>
          <w:sz w:val="24"/>
          <w:highlight w:val="none"/>
          <w:u w:val="wave"/>
        </w:rPr>
        <w:t>，有一项不合格的</w:t>
      </w:r>
      <w:r>
        <w:rPr>
          <w:rFonts w:hint="eastAsia" w:ascii="宋体" w:hAnsi="宋体" w:cs="宋体"/>
          <w:color w:val="auto"/>
          <w:sz w:val="24"/>
          <w:highlight w:val="none"/>
        </w:rPr>
        <w:t>为不合格投标人，不得进入下一轮评审</w:t>
      </w:r>
    </w:p>
    <w:p w14:paraId="31A28C87">
      <w:pPr>
        <w:widowControl/>
        <w:shd w:val="clear"/>
        <w:jc w:val="left"/>
        <w:rPr>
          <w:rFonts w:ascii="黑体" w:hAnsi="黑体" w:eastAsia="黑体"/>
          <w:bCs/>
          <w:color w:val="auto"/>
          <w:szCs w:val="21"/>
          <w:highlight w:val="none"/>
        </w:rPr>
      </w:pPr>
    </w:p>
    <w:p w14:paraId="40064ADE">
      <w:pPr>
        <w:shd w:val="clear"/>
        <w:jc w:val="left"/>
        <w:rPr>
          <w:rFonts w:hAnsi="宋体"/>
          <w:color w:val="auto"/>
          <w:highlight w:val="none"/>
        </w:rPr>
      </w:pPr>
    </w:p>
    <w:p w14:paraId="1F677F7C">
      <w:pPr>
        <w:shd w:val="clear"/>
        <w:jc w:val="left"/>
        <w:rPr>
          <w:rFonts w:hAnsi="宋体"/>
          <w:color w:val="auto"/>
          <w:highlight w:val="none"/>
        </w:rPr>
      </w:pPr>
    </w:p>
    <w:p w14:paraId="3B542B83">
      <w:pPr>
        <w:shd w:val="clear"/>
        <w:jc w:val="left"/>
        <w:rPr>
          <w:rFonts w:hAnsi="宋体"/>
          <w:color w:val="auto"/>
          <w:highlight w:val="none"/>
        </w:rPr>
      </w:pPr>
      <w:r>
        <w:rPr>
          <w:rFonts w:hAnsi="宋体"/>
          <w:color w:val="auto"/>
          <w:highlight w:val="none"/>
        </w:rPr>
        <w:br w:type="page"/>
      </w:r>
    </w:p>
    <w:p w14:paraId="2CFDF56C">
      <w:pPr>
        <w:pStyle w:val="2"/>
        <w:shd w:val="clear"/>
        <w:rPr>
          <w:rFonts w:ascii="黑体" w:hAnsi="黑体" w:eastAsia="黑体"/>
          <w:color w:val="auto"/>
          <w:sz w:val="32"/>
          <w:szCs w:val="32"/>
          <w:highlight w:val="none"/>
        </w:rPr>
      </w:pPr>
      <w:bookmarkStart w:id="33" w:name="_Toc78815072"/>
      <w:r>
        <w:rPr>
          <w:rFonts w:hint="eastAsia" w:ascii="黑体" w:hAnsi="黑体" w:eastAsia="黑体"/>
          <w:color w:val="auto"/>
          <w:sz w:val="32"/>
          <w:szCs w:val="32"/>
          <w:highlight w:val="none"/>
        </w:rPr>
        <w:t>第四章 评标方法及标准（综合评分法）</w:t>
      </w:r>
      <w:bookmarkEnd w:id="33"/>
    </w:p>
    <w:p w14:paraId="2F50363C">
      <w:pPr>
        <w:shd w:val="clear"/>
        <w:adjustRightInd w:val="0"/>
        <w:snapToGrid w:val="0"/>
        <w:spacing w:line="360" w:lineRule="auto"/>
        <w:ind w:right="420"/>
        <w:jc w:val="center"/>
        <w:rPr>
          <w:color w:val="auto"/>
          <w:highlight w:val="none"/>
        </w:rPr>
      </w:pPr>
      <w:r>
        <w:rPr>
          <w:rFonts w:hint="eastAsia" w:ascii="宋体" w:hAnsi="宋体"/>
          <w:b/>
          <w:bCs/>
          <w:color w:val="auto"/>
          <w:sz w:val="28"/>
          <w:szCs w:val="28"/>
          <w:highlight w:val="none"/>
        </w:rPr>
        <w:t>第一节  评标方法及标准前附表</w:t>
      </w:r>
    </w:p>
    <w:p w14:paraId="192F7BD1">
      <w:pPr>
        <w:shd w:val="clear"/>
        <w:adjustRightInd w:val="0"/>
        <w:snapToGrid w:val="0"/>
        <w:spacing w:line="360" w:lineRule="auto"/>
        <w:ind w:right="420"/>
        <w:rPr>
          <w:rFonts w:ascii="宋体" w:hAnsi="宋体"/>
          <w:bCs/>
          <w:color w:val="auto"/>
          <w:szCs w:val="21"/>
          <w:highlight w:val="none"/>
        </w:rPr>
      </w:pPr>
      <w:r>
        <w:rPr>
          <w:rFonts w:hint="eastAsia" w:ascii="宋体" w:hAnsi="宋体"/>
          <w:bCs/>
          <w:color w:val="auto"/>
          <w:szCs w:val="21"/>
          <w:highlight w:val="none"/>
        </w:rPr>
        <w:t>本项目启用的条款请在“编列内容规定”栏内以“■”标注。</w:t>
      </w:r>
    </w:p>
    <w:tbl>
      <w:tblPr>
        <w:tblStyle w:val="43"/>
        <w:tblW w:w="960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84"/>
        <w:gridCol w:w="2126"/>
        <w:gridCol w:w="6096"/>
      </w:tblGrid>
      <w:tr w14:paraId="21AD47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tcPr>
          <w:p w14:paraId="367C54FD">
            <w:pPr>
              <w:shd w:val="clear"/>
              <w:adjustRightInd w:val="0"/>
              <w:snapToGrid w:val="0"/>
              <w:spacing w:line="360" w:lineRule="auto"/>
              <w:jc w:val="center"/>
              <w:rPr>
                <w:b/>
                <w:color w:val="auto"/>
                <w:highlight w:val="none"/>
              </w:rPr>
            </w:pPr>
            <w:r>
              <w:rPr>
                <w:rFonts w:hint="eastAsia"/>
                <w:b/>
                <w:color w:val="auto"/>
                <w:highlight w:val="none"/>
              </w:rPr>
              <w:t>条款号</w:t>
            </w:r>
          </w:p>
        </w:tc>
        <w:tc>
          <w:tcPr>
            <w:tcW w:w="2126" w:type="dxa"/>
          </w:tcPr>
          <w:p w14:paraId="0B897F4F">
            <w:pPr>
              <w:shd w:val="clear"/>
              <w:adjustRightInd w:val="0"/>
              <w:snapToGrid w:val="0"/>
              <w:spacing w:line="360" w:lineRule="auto"/>
              <w:jc w:val="center"/>
              <w:rPr>
                <w:b/>
                <w:color w:val="auto"/>
                <w:highlight w:val="none"/>
              </w:rPr>
            </w:pPr>
            <w:r>
              <w:rPr>
                <w:rFonts w:hint="eastAsia"/>
                <w:b/>
                <w:color w:val="auto"/>
                <w:highlight w:val="none"/>
              </w:rPr>
              <w:t>条款名称</w:t>
            </w:r>
          </w:p>
        </w:tc>
        <w:tc>
          <w:tcPr>
            <w:tcW w:w="6096" w:type="dxa"/>
          </w:tcPr>
          <w:p w14:paraId="449A69F9">
            <w:pPr>
              <w:shd w:val="clear"/>
              <w:adjustRightInd w:val="0"/>
              <w:snapToGrid w:val="0"/>
              <w:spacing w:line="360" w:lineRule="auto"/>
              <w:jc w:val="center"/>
              <w:rPr>
                <w:b/>
                <w:color w:val="auto"/>
                <w:highlight w:val="none"/>
              </w:rPr>
            </w:pPr>
            <w:r>
              <w:rPr>
                <w:rFonts w:hint="eastAsia"/>
                <w:b/>
                <w:color w:val="auto"/>
                <w:highlight w:val="none"/>
              </w:rPr>
              <w:t>编列内容规定</w:t>
            </w:r>
          </w:p>
        </w:tc>
      </w:tr>
      <w:tr w14:paraId="1977A1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21B58B3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w:t>
            </w:r>
            <w:r>
              <w:rPr>
                <w:rFonts w:hint="eastAsia" w:ascii="宋体" w:hAnsi="宋体" w:cs="宋体"/>
                <w:color w:val="auto"/>
                <w:kern w:val="0"/>
                <w:szCs w:val="21"/>
                <w:highlight w:val="none"/>
                <w:lang w:val="zh-CN"/>
              </w:rPr>
              <w:t>款</w:t>
            </w:r>
          </w:p>
        </w:tc>
        <w:tc>
          <w:tcPr>
            <w:tcW w:w="2126" w:type="dxa"/>
            <w:vAlign w:val="center"/>
          </w:tcPr>
          <w:p w14:paraId="53DCECE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评标因素和标准</w:t>
            </w:r>
          </w:p>
        </w:tc>
        <w:tc>
          <w:tcPr>
            <w:tcW w:w="6096" w:type="dxa"/>
            <w:vAlign w:val="center"/>
          </w:tcPr>
          <w:p w14:paraId="5729A4CE">
            <w:pPr>
              <w:shd w:val="clear"/>
              <w:adjustRightInd w:val="0"/>
              <w:snapToGrid w:val="0"/>
              <w:spacing w:line="360" w:lineRule="auto"/>
              <w:rPr>
                <w:rFonts w:ascii="仿宋_GB2312" w:hAnsi="宋体" w:eastAsia="仿宋_GB2312"/>
                <w:color w:val="auto"/>
                <w:szCs w:val="21"/>
                <w:highlight w:val="none"/>
              </w:rPr>
            </w:pPr>
            <w:r>
              <w:rPr>
                <w:rFonts w:hint="eastAsia" w:ascii="宋体" w:hAnsi="宋体"/>
                <w:color w:val="auto"/>
                <w:szCs w:val="21"/>
                <w:highlight w:val="none"/>
              </w:rPr>
              <w:t>见附页1 评标方法及标准</w:t>
            </w:r>
          </w:p>
        </w:tc>
      </w:tr>
      <w:tr w14:paraId="46F7A8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7B198F5">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126" w:type="dxa"/>
            <w:vAlign w:val="center"/>
          </w:tcPr>
          <w:p w14:paraId="0A0A3371">
            <w:pPr>
              <w:shd w:val="clear"/>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6096" w:type="dxa"/>
            <w:vAlign w:val="center"/>
          </w:tcPr>
          <w:p w14:paraId="50253DD3">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按</w:t>
            </w:r>
            <w:r>
              <w:rPr>
                <w:rFonts w:ascii="宋体" w:hAnsi="宋体"/>
                <w:color w:val="auto"/>
                <w:szCs w:val="21"/>
                <w:highlight w:val="none"/>
              </w:rPr>
              <w:t>本章</w:t>
            </w:r>
            <w:r>
              <w:rPr>
                <w:rFonts w:hint="eastAsia" w:ascii="宋体" w:hAnsi="宋体"/>
                <w:color w:val="auto"/>
                <w:szCs w:val="21"/>
                <w:highlight w:val="none"/>
              </w:rPr>
              <w:t>正文</w:t>
            </w:r>
            <w:r>
              <w:rPr>
                <w:rFonts w:ascii="宋体" w:hAnsi="宋体"/>
                <w:color w:val="auto"/>
                <w:szCs w:val="21"/>
                <w:highlight w:val="none"/>
              </w:rPr>
              <w:t>规定修正</w:t>
            </w:r>
          </w:p>
        </w:tc>
      </w:tr>
      <w:tr w14:paraId="5D1F7A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07094C98">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126" w:type="dxa"/>
            <w:vAlign w:val="center"/>
          </w:tcPr>
          <w:p w14:paraId="4C34D088">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价格评审优惠</w:t>
            </w:r>
          </w:p>
        </w:tc>
        <w:tc>
          <w:tcPr>
            <w:tcW w:w="6096" w:type="dxa"/>
            <w:vAlign w:val="center"/>
          </w:tcPr>
          <w:p w14:paraId="1477C968">
            <w:pPr>
              <w:shd w:val="clear"/>
              <w:rPr>
                <w:rFonts w:ascii="宋体" w:hAnsi="宋体" w:cs="宋体"/>
                <w:color w:val="auto"/>
                <w:szCs w:val="21"/>
                <w:highlight w:val="none"/>
              </w:rPr>
            </w:pPr>
            <w:r>
              <w:rPr>
                <w:rFonts w:hint="eastAsia" w:ascii="宋体" w:hAnsi="宋体" w:cs="宋体"/>
                <w:color w:val="auto"/>
                <w:szCs w:val="21"/>
                <w:highlight w:val="none"/>
              </w:rPr>
              <w:t>非专门面向中小企业采购，且符合政府采购促进中小企业发展相关规定的：</w:t>
            </w:r>
          </w:p>
          <w:p w14:paraId="0DD6A6F7">
            <w:pPr>
              <w:shd w:val="clear"/>
              <w:rPr>
                <w:rFonts w:hint="eastAsia" w:ascii="宋体" w:hAnsi="宋体" w:cs="宋体"/>
                <w:color w:val="auto"/>
                <w:szCs w:val="21"/>
                <w:highlight w:val="none"/>
              </w:rPr>
            </w:pPr>
            <w:r>
              <w:rPr>
                <w:rFonts w:hint="eastAsia" w:ascii="宋体" w:hAnsi="宋体" w:cs="宋体"/>
                <w:color w:val="auto"/>
                <w:szCs w:val="21"/>
                <w:highlight w:val="none"/>
              </w:rPr>
              <w:t>1、给予小型和微型企业产品的价格给予10%-20%的扣除，用扣除后的价格参与评审，本项目具体扣除比例为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10</w:t>
            </w:r>
            <w:r>
              <w:rPr>
                <w:rFonts w:hint="eastAsia" w:ascii="宋体" w:hAnsi="宋体" w:cs="宋体"/>
                <w:b/>
                <w:bCs/>
                <w:color w:val="auto"/>
                <w:szCs w:val="21"/>
                <w:highlight w:val="none"/>
                <w:u w:val="single"/>
              </w:rPr>
              <w:t xml:space="preserve"> ％</w:t>
            </w:r>
            <w:r>
              <w:rPr>
                <w:rFonts w:hint="eastAsia" w:ascii="宋体" w:hAnsi="宋体" w:cs="宋体"/>
                <w:color w:val="auto"/>
                <w:szCs w:val="21"/>
                <w:highlight w:val="none"/>
              </w:rPr>
              <w:t>。</w:t>
            </w:r>
          </w:p>
          <w:p w14:paraId="52449EF7">
            <w:pPr>
              <w:shd w:val="clear"/>
              <w:rPr>
                <w:rFonts w:hint="eastAsia" w:ascii="宋体" w:hAnsi="宋体" w:cs="宋体"/>
                <w:color w:val="auto"/>
                <w:szCs w:val="21"/>
                <w:highlight w:val="none"/>
              </w:rPr>
            </w:pPr>
            <w:r>
              <w:rPr>
                <w:rFonts w:hint="eastAsia" w:ascii="宋体" w:hAnsi="宋体" w:cs="宋体"/>
                <w:color w:val="auto"/>
                <w:szCs w:val="21"/>
                <w:highlight w:val="none"/>
              </w:rPr>
              <w:t>2、给予联合体2%-3%的价格扣除，用扣除后的价格参与评审，本项目具体扣除比例为  / ％。</w:t>
            </w:r>
          </w:p>
          <w:p w14:paraId="71641AEB">
            <w:pPr>
              <w:shd w:val="clear"/>
              <w:rPr>
                <w:rFonts w:hint="eastAsia" w:ascii="宋体" w:hAnsi="宋体" w:cs="宋体"/>
                <w:color w:val="auto"/>
                <w:szCs w:val="21"/>
                <w:highlight w:val="none"/>
              </w:rPr>
            </w:pPr>
            <w:r>
              <w:rPr>
                <w:rFonts w:hint="eastAsia" w:ascii="宋体" w:hAnsi="宋体" w:cs="宋体"/>
                <w:color w:val="auto"/>
                <w:szCs w:val="21"/>
                <w:highlight w:val="none"/>
              </w:rPr>
              <w:t>3、监狱企业视同为小型、微型企业，本项目中给予监狱企业产品的价格给予</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%的扣除，用扣除后的价格参与评审。监狱企业属于小型、微型企业的，不重复享受政策。</w:t>
            </w:r>
          </w:p>
          <w:p w14:paraId="38964093">
            <w:pPr>
              <w:shd w:val="clear"/>
              <w:rPr>
                <w:rFonts w:hint="eastAsia" w:eastAsia="宋体"/>
                <w:bCs/>
                <w:color w:val="auto"/>
                <w:sz w:val="21"/>
                <w:szCs w:val="21"/>
                <w:highlight w:val="none"/>
                <w:lang w:val="en-US" w:eastAsia="zh-CN"/>
              </w:rPr>
            </w:pPr>
            <w:r>
              <w:rPr>
                <w:rFonts w:hint="eastAsia" w:ascii="宋体" w:hAnsi="宋体" w:cs="宋体"/>
                <w:color w:val="auto"/>
                <w:szCs w:val="21"/>
                <w:highlight w:val="none"/>
              </w:rPr>
              <w:t xml:space="preserve">4、残疾人福利性单位视同小型、微型企业，本项目中给予监狱企业产品的价格给予 </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 xml:space="preserve"> %的扣除，用扣除后的价格参与评审。残疾人福利性单位属于小型、微型企业的，不重复享受政策。</w:t>
            </w:r>
          </w:p>
        </w:tc>
      </w:tr>
      <w:tr w14:paraId="03FD0A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7EADECB8">
            <w:pPr>
              <w:shd w:val="clear"/>
              <w:adjustRightInd w:val="0"/>
              <w:snapToGrid w:val="0"/>
              <w:spacing w:before="156" w:beforeLines="50" w:line="360" w:lineRule="auto"/>
              <w:jc w:val="center"/>
              <w:rPr>
                <w:rFonts w:ascii="宋体" w:hAnsi="宋体"/>
                <w:color w:val="auto"/>
                <w:szCs w:val="21"/>
                <w:highlight w:val="none"/>
              </w:rPr>
            </w:pPr>
          </w:p>
        </w:tc>
        <w:tc>
          <w:tcPr>
            <w:tcW w:w="2126" w:type="dxa"/>
            <w:vAlign w:val="center"/>
          </w:tcPr>
          <w:p w14:paraId="69921F4E">
            <w:pPr>
              <w:widowControl/>
              <w:shd w:val="clear"/>
              <w:adjustRightInd w:val="0"/>
              <w:snapToGrid w:val="0"/>
              <w:spacing w:before="156" w:beforeLines="50" w:line="360" w:lineRule="auto"/>
              <w:jc w:val="left"/>
              <w:rPr>
                <w:rFonts w:ascii="宋体" w:hAnsi="宋体"/>
                <w:color w:val="auto"/>
                <w:szCs w:val="21"/>
                <w:highlight w:val="none"/>
              </w:rPr>
            </w:pPr>
            <w:r>
              <w:rPr>
                <w:rFonts w:ascii="Arial Unicode MS" w:hAnsi="Arial Unicode MS" w:eastAsia="Arial Unicode MS" w:cs="Arial Unicode MS"/>
                <w:color w:val="auto"/>
                <w:kern w:val="0"/>
                <w:szCs w:val="21"/>
                <w:highlight w:val="none"/>
                <w:lang w:bidi="ar"/>
              </w:rPr>
              <w:t xml:space="preserve">扶持中小企业 </w:t>
            </w:r>
          </w:p>
        </w:tc>
        <w:tc>
          <w:tcPr>
            <w:tcW w:w="6096" w:type="dxa"/>
            <w:vAlign w:val="center"/>
          </w:tcPr>
          <w:p w14:paraId="432DB92D">
            <w:pPr>
              <w:widowControl/>
              <w:shd w:val="clear"/>
              <w:jc w:val="left"/>
              <w:rPr>
                <w:color w:val="auto"/>
                <w:highlight w:val="none"/>
              </w:rPr>
            </w:pPr>
            <w:r>
              <w:rPr>
                <w:rFonts w:hint="eastAsia" w:ascii="宋体" w:hAnsi="宋体" w:cs="宋体"/>
                <w:color w:val="auto"/>
                <w:kern w:val="0"/>
                <w:szCs w:val="21"/>
                <w:highlight w:val="none"/>
                <w:lang w:bidi="ar"/>
              </w:rPr>
              <w:t>本项目中小企业划分标准所属行业</w:t>
            </w:r>
            <w:r>
              <w:rPr>
                <w:rFonts w:hint="eastAsia" w:ascii="宋体" w:hAnsi="宋体" w:cs="宋体"/>
                <w:color w:val="auto"/>
                <w:kern w:val="0"/>
                <w:szCs w:val="21"/>
                <w:highlight w:val="none"/>
                <w:u w:val="single"/>
                <w:lang w:bidi="ar"/>
              </w:rPr>
              <w:t xml:space="preserve">（二）工业 </w:t>
            </w:r>
          </w:p>
          <w:p w14:paraId="57206F09">
            <w:pPr>
              <w:widowControl/>
              <w:shd w:val="clear"/>
              <w:jc w:val="left"/>
              <w:rPr>
                <w:color w:val="auto"/>
                <w:highlight w:val="none"/>
              </w:rPr>
            </w:pPr>
            <w:r>
              <w:rPr>
                <w:rFonts w:hint="eastAsia" w:ascii="宋体" w:hAnsi="宋体" w:cs="宋体"/>
                <w:color w:val="auto"/>
                <w:kern w:val="0"/>
                <w:szCs w:val="21"/>
                <w:highlight w:val="none"/>
                <w:lang w:bidi="ar"/>
              </w:rPr>
              <w:t xml:space="preserve">（一）农、林、牧、渔业 </w:t>
            </w:r>
          </w:p>
          <w:p w14:paraId="713F409A">
            <w:pPr>
              <w:widowControl/>
              <w:shd w:val="clear"/>
              <w:jc w:val="left"/>
              <w:rPr>
                <w:color w:val="auto"/>
                <w:highlight w:val="none"/>
              </w:rPr>
            </w:pPr>
            <w:r>
              <w:rPr>
                <w:rFonts w:hint="eastAsia" w:ascii="宋体" w:hAnsi="宋体" w:cs="宋体"/>
                <w:color w:val="auto"/>
                <w:kern w:val="0"/>
                <w:szCs w:val="21"/>
                <w:highlight w:val="none"/>
                <w:lang w:bidi="ar"/>
              </w:rPr>
              <w:t xml:space="preserve">（二）工业 </w:t>
            </w:r>
          </w:p>
          <w:p w14:paraId="712FAFFE">
            <w:pPr>
              <w:widowControl/>
              <w:shd w:val="clear"/>
              <w:jc w:val="left"/>
              <w:rPr>
                <w:color w:val="auto"/>
                <w:highlight w:val="none"/>
              </w:rPr>
            </w:pPr>
            <w:r>
              <w:rPr>
                <w:rFonts w:hint="eastAsia" w:ascii="宋体" w:hAnsi="宋体" w:cs="宋体"/>
                <w:color w:val="auto"/>
                <w:kern w:val="0"/>
                <w:szCs w:val="21"/>
                <w:highlight w:val="none"/>
                <w:lang w:bidi="ar"/>
              </w:rPr>
              <w:t xml:space="preserve">（三）建筑业 </w:t>
            </w:r>
          </w:p>
          <w:p w14:paraId="3C982412">
            <w:pPr>
              <w:widowControl/>
              <w:shd w:val="clear"/>
              <w:jc w:val="left"/>
              <w:rPr>
                <w:color w:val="auto"/>
                <w:highlight w:val="none"/>
              </w:rPr>
            </w:pPr>
            <w:r>
              <w:rPr>
                <w:rFonts w:hint="eastAsia" w:ascii="宋体" w:hAnsi="宋体" w:cs="宋体"/>
                <w:color w:val="auto"/>
                <w:kern w:val="0"/>
                <w:szCs w:val="21"/>
                <w:highlight w:val="none"/>
                <w:lang w:bidi="ar"/>
              </w:rPr>
              <w:t xml:space="preserve">（四）批发业 </w:t>
            </w:r>
          </w:p>
          <w:p w14:paraId="387AFF0B">
            <w:pPr>
              <w:widowControl/>
              <w:shd w:val="clear"/>
              <w:jc w:val="left"/>
              <w:rPr>
                <w:color w:val="auto"/>
                <w:highlight w:val="none"/>
              </w:rPr>
            </w:pPr>
            <w:r>
              <w:rPr>
                <w:rFonts w:hint="eastAsia" w:ascii="宋体" w:hAnsi="宋体" w:cs="宋体"/>
                <w:color w:val="auto"/>
                <w:kern w:val="0"/>
                <w:szCs w:val="21"/>
                <w:highlight w:val="none"/>
                <w:lang w:bidi="ar"/>
              </w:rPr>
              <w:t xml:space="preserve">（五）零售业 </w:t>
            </w:r>
          </w:p>
          <w:p w14:paraId="19B5E6BD">
            <w:pPr>
              <w:widowControl/>
              <w:shd w:val="clear"/>
              <w:jc w:val="left"/>
              <w:rPr>
                <w:color w:val="auto"/>
                <w:highlight w:val="none"/>
              </w:rPr>
            </w:pPr>
            <w:r>
              <w:rPr>
                <w:rFonts w:hint="eastAsia" w:ascii="宋体" w:hAnsi="宋体" w:cs="宋体"/>
                <w:color w:val="auto"/>
                <w:kern w:val="0"/>
                <w:szCs w:val="21"/>
                <w:highlight w:val="none"/>
                <w:lang w:bidi="ar"/>
              </w:rPr>
              <w:t xml:space="preserve">（六）交通运输业 </w:t>
            </w:r>
          </w:p>
          <w:p w14:paraId="3AB94D16">
            <w:pPr>
              <w:widowControl/>
              <w:shd w:val="clear"/>
              <w:jc w:val="left"/>
              <w:rPr>
                <w:color w:val="auto"/>
                <w:highlight w:val="none"/>
              </w:rPr>
            </w:pPr>
            <w:r>
              <w:rPr>
                <w:rFonts w:hint="eastAsia" w:ascii="宋体" w:hAnsi="宋体" w:cs="宋体"/>
                <w:color w:val="auto"/>
                <w:kern w:val="0"/>
                <w:szCs w:val="21"/>
                <w:highlight w:val="none"/>
                <w:lang w:bidi="ar"/>
              </w:rPr>
              <w:t xml:space="preserve">（七）仓储业 </w:t>
            </w:r>
          </w:p>
          <w:p w14:paraId="36B0C9DB">
            <w:pPr>
              <w:widowControl/>
              <w:shd w:val="clear"/>
              <w:jc w:val="left"/>
              <w:rPr>
                <w:color w:val="auto"/>
                <w:highlight w:val="none"/>
              </w:rPr>
            </w:pPr>
            <w:r>
              <w:rPr>
                <w:rFonts w:hint="eastAsia" w:ascii="宋体" w:hAnsi="宋体" w:cs="宋体"/>
                <w:color w:val="auto"/>
                <w:kern w:val="0"/>
                <w:szCs w:val="21"/>
                <w:highlight w:val="none"/>
                <w:lang w:bidi="ar"/>
              </w:rPr>
              <w:t xml:space="preserve">（八）邮政业 </w:t>
            </w:r>
          </w:p>
          <w:p w14:paraId="782EC13D">
            <w:pPr>
              <w:widowControl/>
              <w:shd w:val="clear"/>
              <w:jc w:val="left"/>
              <w:rPr>
                <w:color w:val="auto"/>
                <w:highlight w:val="none"/>
              </w:rPr>
            </w:pPr>
            <w:r>
              <w:rPr>
                <w:rFonts w:hint="eastAsia" w:ascii="宋体" w:hAnsi="宋体" w:cs="宋体"/>
                <w:color w:val="auto"/>
                <w:kern w:val="0"/>
                <w:szCs w:val="21"/>
                <w:highlight w:val="none"/>
                <w:lang w:bidi="ar"/>
              </w:rPr>
              <w:t xml:space="preserve">（九）住宿业 </w:t>
            </w:r>
          </w:p>
          <w:p w14:paraId="78F7815E">
            <w:pPr>
              <w:widowControl/>
              <w:shd w:val="clear"/>
              <w:jc w:val="left"/>
              <w:rPr>
                <w:color w:val="auto"/>
                <w:highlight w:val="none"/>
              </w:rPr>
            </w:pPr>
            <w:r>
              <w:rPr>
                <w:rFonts w:hint="eastAsia" w:ascii="宋体" w:hAnsi="宋体" w:cs="宋体"/>
                <w:color w:val="auto"/>
                <w:kern w:val="0"/>
                <w:szCs w:val="21"/>
                <w:highlight w:val="none"/>
                <w:lang w:bidi="ar"/>
              </w:rPr>
              <w:t xml:space="preserve">（十）餐饮业 </w:t>
            </w:r>
          </w:p>
          <w:p w14:paraId="05F72437">
            <w:pPr>
              <w:widowControl/>
              <w:shd w:val="clear"/>
              <w:jc w:val="left"/>
              <w:rPr>
                <w:color w:val="auto"/>
                <w:highlight w:val="none"/>
              </w:rPr>
            </w:pPr>
            <w:r>
              <w:rPr>
                <w:rFonts w:hint="eastAsia" w:ascii="宋体" w:hAnsi="宋体" w:cs="宋体"/>
                <w:color w:val="auto"/>
                <w:kern w:val="0"/>
                <w:szCs w:val="21"/>
                <w:highlight w:val="none"/>
                <w:lang w:bidi="ar"/>
              </w:rPr>
              <w:t xml:space="preserve">（十一）信息传输业 </w:t>
            </w:r>
          </w:p>
          <w:p w14:paraId="5D05F7CB">
            <w:pPr>
              <w:widowControl/>
              <w:shd w:val="clear"/>
              <w:jc w:val="left"/>
              <w:rPr>
                <w:color w:val="auto"/>
                <w:highlight w:val="none"/>
              </w:rPr>
            </w:pPr>
            <w:r>
              <w:rPr>
                <w:rFonts w:hint="eastAsia" w:ascii="宋体" w:hAnsi="宋体" w:cs="宋体"/>
                <w:color w:val="auto"/>
                <w:kern w:val="0"/>
                <w:szCs w:val="21"/>
                <w:highlight w:val="none"/>
                <w:lang w:bidi="ar"/>
              </w:rPr>
              <w:t xml:space="preserve">（十二）软件和信息技术服务业 </w:t>
            </w:r>
          </w:p>
          <w:p w14:paraId="66278E2E">
            <w:pPr>
              <w:widowControl/>
              <w:shd w:val="clear"/>
              <w:jc w:val="left"/>
              <w:rPr>
                <w:color w:val="auto"/>
                <w:highlight w:val="none"/>
              </w:rPr>
            </w:pPr>
            <w:r>
              <w:rPr>
                <w:rFonts w:hint="eastAsia" w:ascii="宋体" w:hAnsi="宋体" w:cs="宋体"/>
                <w:color w:val="auto"/>
                <w:kern w:val="0"/>
                <w:szCs w:val="21"/>
                <w:highlight w:val="none"/>
                <w:lang w:bidi="ar"/>
              </w:rPr>
              <w:t xml:space="preserve">（十三）房地产开发经营 </w:t>
            </w:r>
          </w:p>
          <w:p w14:paraId="3D891FA7">
            <w:pPr>
              <w:widowControl/>
              <w:shd w:val="clear"/>
              <w:jc w:val="left"/>
              <w:rPr>
                <w:color w:val="auto"/>
                <w:highlight w:val="none"/>
              </w:rPr>
            </w:pPr>
            <w:r>
              <w:rPr>
                <w:rFonts w:hint="eastAsia" w:ascii="宋体" w:hAnsi="宋体" w:cs="宋体"/>
                <w:color w:val="auto"/>
                <w:kern w:val="0"/>
                <w:szCs w:val="21"/>
                <w:highlight w:val="none"/>
                <w:lang w:bidi="ar"/>
              </w:rPr>
              <w:t xml:space="preserve">（十四）物业管理 </w:t>
            </w:r>
          </w:p>
          <w:p w14:paraId="11CDEEB1">
            <w:pPr>
              <w:widowControl/>
              <w:shd w:val="clear"/>
              <w:jc w:val="left"/>
              <w:rPr>
                <w:color w:val="auto"/>
                <w:highlight w:val="none"/>
              </w:rPr>
            </w:pPr>
            <w:r>
              <w:rPr>
                <w:rFonts w:hint="eastAsia" w:ascii="宋体" w:hAnsi="宋体" w:cs="宋体"/>
                <w:color w:val="auto"/>
                <w:kern w:val="0"/>
                <w:szCs w:val="21"/>
                <w:highlight w:val="none"/>
                <w:lang w:bidi="ar"/>
              </w:rPr>
              <w:t xml:space="preserve">（十五）租赁和商务服务业 </w:t>
            </w:r>
          </w:p>
          <w:p w14:paraId="6AFA9F0C">
            <w:pPr>
              <w:widowControl/>
              <w:shd w:val="clear"/>
              <w:jc w:val="left"/>
              <w:rPr>
                <w:color w:val="auto"/>
                <w:szCs w:val="21"/>
                <w:highlight w:val="none"/>
              </w:rPr>
            </w:pPr>
            <w:r>
              <w:rPr>
                <w:rFonts w:hint="eastAsia" w:ascii="宋体" w:hAnsi="宋体" w:cs="宋体"/>
                <w:color w:val="auto"/>
                <w:kern w:val="0"/>
                <w:szCs w:val="21"/>
                <w:highlight w:val="none"/>
                <w:lang w:bidi="ar"/>
              </w:rPr>
              <w:t>（十六）其他未列明行业</w:t>
            </w:r>
          </w:p>
        </w:tc>
      </w:tr>
      <w:tr w14:paraId="796420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4ACADC42">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第5.4（2）项</w:t>
            </w:r>
          </w:p>
        </w:tc>
        <w:tc>
          <w:tcPr>
            <w:tcW w:w="2126" w:type="dxa"/>
            <w:vAlign w:val="center"/>
          </w:tcPr>
          <w:p w14:paraId="54623E13">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优先采购</w:t>
            </w:r>
          </w:p>
        </w:tc>
        <w:tc>
          <w:tcPr>
            <w:tcW w:w="6096" w:type="dxa"/>
            <w:vAlign w:val="center"/>
          </w:tcPr>
          <w:p w14:paraId="3D68E294">
            <w:pPr>
              <w:shd w:val="clear"/>
              <w:adjustRightInd w:val="0"/>
              <w:snapToGrid w:val="0"/>
              <w:spacing w:before="156" w:beforeLines="50" w:line="360" w:lineRule="auto"/>
              <w:rPr>
                <w:rFonts w:ascii="宋体" w:hAnsi="宋体"/>
                <w:color w:val="auto"/>
                <w:szCs w:val="21"/>
                <w:highlight w:val="none"/>
              </w:rPr>
            </w:pPr>
            <w:r>
              <w:rPr>
                <w:rFonts w:hint="eastAsia" w:ascii="宋体" w:hAnsi="宋体"/>
                <w:color w:val="auto"/>
                <w:szCs w:val="21"/>
                <w:highlight w:val="none"/>
              </w:rPr>
              <w:t>纳入财政部会同国务院有关部门发布的节能产品、环境标志产品政府采购品目清单，实施政府优先采购的，评审时按相应评标方法给予价格折扣或者加分；</w:t>
            </w:r>
          </w:p>
          <w:p w14:paraId="4D5E5BEA">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b/>
                <w:color w:val="auto"/>
                <w:szCs w:val="21"/>
                <w:highlight w:val="none"/>
              </w:rPr>
              <w:t>1、</w:t>
            </w:r>
            <w:r>
              <w:rPr>
                <w:rFonts w:hint="eastAsia" w:ascii="宋体" w:hAnsi="宋体" w:cs="宋体"/>
                <w:color w:val="auto"/>
                <w:szCs w:val="21"/>
                <w:highlight w:val="none"/>
              </w:rPr>
              <w:t>政府采购优先采购非标记★符号的节能产品</w:t>
            </w:r>
          </w:p>
          <w:p w14:paraId="3E6987AC">
            <w:pPr>
              <w:shd w:val="clear"/>
              <w:rPr>
                <w:rFonts w:ascii="宋体" w:hAnsi="宋体" w:cs="宋体"/>
                <w:color w:val="auto"/>
                <w:szCs w:val="21"/>
                <w:highlight w:val="none"/>
              </w:rPr>
            </w:pPr>
            <w:r>
              <w:rPr>
                <w:rFonts w:hint="eastAsia" w:ascii="宋体" w:hAnsi="宋体" w:cs="宋体"/>
                <w:color w:val="auto"/>
                <w:szCs w:val="21"/>
                <w:highlight w:val="none"/>
              </w:rPr>
              <w:t xml:space="preserve">(1)采用最低评标价法时，应给予5%-10%的价格扣除。本项目具体扣除比例为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7B52F016">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(2)采用综合评分法时，对于技术和价格分，应分别给予总分值4%-8%的加分。本项目具体加分比例分别为 ：技术</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%、价格</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w:t>
            </w:r>
          </w:p>
          <w:p w14:paraId="700165D9">
            <w:pPr>
              <w:shd w:val="clear"/>
              <w:adjustRightInd w:val="0"/>
              <w:snapToGrid w:val="0"/>
              <w:spacing w:before="156" w:beforeLines="50" w:line="360" w:lineRule="auto"/>
              <w:rPr>
                <w:rFonts w:ascii="宋体" w:hAnsi="宋体" w:cs="宋体"/>
                <w:color w:val="auto"/>
                <w:szCs w:val="21"/>
                <w:highlight w:val="none"/>
              </w:rPr>
            </w:pPr>
            <w:r>
              <w:rPr>
                <w:rFonts w:hint="eastAsia" w:ascii="宋体" w:hAnsi="宋体" w:cs="宋体"/>
                <w:color w:val="auto"/>
                <w:szCs w:val="21"/>
                <w:highlight w:val="none"/>
              </w:rPr>
              <w:t>2、政府采购优先采购环境标志产品</w:t>
            </w:r>
          </w:p>
          <w:p w14:paraId="21229745">
            <w:pPr>
              <w:shd w:val="clear"/>
              <w:rPr>
                <w:rFonts w:ascii="宋体" w:hAnsi="宋体" w:cs="宋体"/>
                <w:color w:val="auto"/>
                <w:szCs w:val="21"/>
                <w:highlight w:val="none"/>
              </w:rPr>
            </w:pPr>
            <w:r>
              <w:rPr>
                <w:rFonts w:hint="eastAsia" w:ascii="宋体" w:hAnsi="宋体" w:cs="宋体"/>
                <w:color w:val="auto"/>
                <w:szCs w:val="21"/>
                <w:highlight w:val="none"/>
              </w:rPr>
              <w:t xml:space="preserve">(1)采用最低评标价法时，应给予5%-10%的价格扣除。本项目具体扣除比例为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w:t>
            </w:r>
          </w:p>
          <w:p w14:paraId="414A5EEC">
            <w:pPr>
              <w:shd w:val="clear"/>
              <w:adjustRightInd w:val="0"/>
              <w:snapToGrid w:val="0"/>
              <w:spacing w:before="156" w:beforeLines="50" w:line="360" w:lineRule="auto"/>
              <w:rPr>
                <w:rFonts w:ascii="宋体" w:hAnsi="宋体"/>
                <w:b/>
                <w:color w:val="auto"/>
                <w:szCs w:val="21"/>
                <w:highlight w:val="none"/>
              </w:rPr>
            </w:pPr>
            <w:r>
              <w:rPr>
                <w:rFonts w:hint="eastAsia" w:ascii="宋体" w:hAnsi="宋体" w:cs="宋体"/>
                <w:color w:val="auto"/>
                <w:szCs w:val="21"/>
                <w:highlight w:val="none"/>
              </w:rPr>
              <w:t>(2)采用综合评分法时，对于技术和价格分，应分别给予总分值4%-8%的加分。本项目具体加分比例分别为 ：技术</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%、价格</w:t>
            </w:r>
            <w:r>
              <w:rPr>
                <w:rFonts w:hint="eastAsia" w:ascii="宋体" w:hAnsi="宋体" w:cs="宋体"/>
                <w:color w:val="auto"/>
                <w:szCs w:val="21"/>
                <w:highlight w:val="none"/>
                <w:u w:val="single"/>
              </w:rPr>
              <w:t xml:space="preserve"> 4 </w:t>
            </w:r>
            <w:r>
              <w:rPr>
                <w:rFonts w:hint="eastAsia" w:ascii="宋体" w:hAnsi="宋体" w:cs="宋体"/>
                <w:color w:val="auto"/>
                <w:szCs w:val="21"/>
                <w:highlight w:val="none"/>
              </w:rPr>
              <w:t>%。</w:t>
            </w:r>
          </w:p>
        </w:tc>
      </w:tr>
      <w:tr w14:paraId="2233F6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9" w:hRule="atLeast"/>
        </w:trPr>
        <w:tc>
          <w:tcPr>
            <w:tcW w:w="1384" w:type="dxa"/>
            <w:vAlign w:val="center"/>
          </w:tcPr>
          <w:p w14:paraId="1F4B5B91">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第5.8（2）</w:t>
            </w:r>
            <w:r>
              <w:rPr>
                <w:rFonts w:hint="eastAsia" w:ascii="宋体" w:hAnsi="宋体" w:cs="宋体"/>
                <w:color w:val="auto"/>
                <w:kern w:val="0"/>
                <w:szCs w:val="21"/>
                <w:highlight w:val="none"/>
                <w:lang w:val="zh-CN"/>
              </w:rPr>
              <w:t>项</w:t>
            </w:r>
          </w:p>
        </w:tc>
        <w:tc>
          <w:tcPr>
            <w:tcW w:w="2126" w:type="dxa"/>
            <w:vAlign w:val="center"/>
          </w:tcPr>
          <w:p w14:paraId="1A7C8203">
            <w:pPr>
              <w:shd w:val="clear"/>
              <w:adjustRightInd w:val="0"/>
              <w:snapToGrid w:val="0"/>
              <w:spacing w:before="156" w:beforeLines="50" w:line="360" w:lineRule="auto"/>
              <w:jc w:val="center"/>
              <w:rPr>
                <w:rFonts w:ascii="宋体" w:hAnsi="宋体"/>
                <w:bCs/>
                <w:color w:val="auto"/>
                <w:szCs w:val="21"/>
                <w:highlight w:val="none"/>
              </w:rPr>
            </w:pPr>
            <w:r>
              <w:rPr>
                <w:rFonts w:hint="eastAsia" w:ascii="宋体" w:hAnsi="宋体"/>
                <w:bCs/>
                <w:color w:val="auto"/>
                <w:szCs w:val="21"/>
                <w:highlight w:val="none"/>
              </w:rPr>
              <w:t>相同品牌产品评审</w:t>
            </w:r>
          </w:p>
          <w:p w14:paraId="01EC023F">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bCs/>
                <w:color w:val="auto"/>
                <w:szCs w:val="21"/>
                <w:highlight w:val="none"/>
              </w:rPr>
              <w:t>得分相同的规定</w:t>
            </w:r>
          </w:p>
        </w:tc>
        <w:tc>
          <w:tcPr>
            <w:tcW w:w="6096" w:type="dxa"/>
            <w:vAlign w:val="center"/>
          </w:tcPr>
          <w:p w14:paraId="2DDD7663">
            <w:pPr>
              <w:shd w:val="clear"/>
              <w:rPr>
                <w:rFonts w:hint="eastAsia" w:ascii="宋体" w:hAnsi="宋体" w:cs="宋体"/>
                <w:color w:val="auto"/>
                <w:highlight w:val="none"/>
              </w:rPr>
            </w:pPr>
            <w:r>
              <w:rPr>
                <w:rFonts w:hint="eastAsia" w:ascii="宋体" w:hAnsi="宋体" w:cs="宋体"/>
                <w:color w:val="auto"/>
                <w:highlight w:val="none"/>
              </w:rPr>
              <w:t>单一产品采购项目中，多家代理商参加同一品牌产品投标的，在统计投标人数量时，作为一个投标人计算；</w:t>
            </w:r>
          </w:p>
          <w:p w14:paraId="5E33B45D">
            <w:pPr>
              <w:shd w:val="clear"/>
              <w:adjustRightInd w:val="0"/>
              <w:snapToGrid w:val="0"/>
              <w:spacing w:before="156" w:beforeLines="50" w:line="360" w:lineRule="auto"/>
              <w:rPr>
                <w:color w:val="auto"/>
                <w:highlight w:val="none"/>
              </w:rPr>
            </w:pPr>
            <w:r>
              <w:rPr>
                <w:rFonts w:hint="eastAsia" w:ascii="宋体" w:hAnsi="宋体" w:cs="宋体"/>
                <w:b/>
                <w:bCs/>
                <w:color w:val="auto"/>
                <w:szCs w:val="21"/>
                <w:highlight w:val="none"/>
              </w:rPr>
              <w:t>相同品牌产品且通过资格审查、符合性审查的不同投标人参加投标的，按一家有效投标人计算，评审后得分最高的同品牌投标人获得中标人推荐资格；评审得分相同的，投标报价低的投标人获得中标人推荐资格。</w:t>
            </w:r>
          </w:p>
        </w:tc>
      </w:tr>
      <w:tr w14:paraId="12AD14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CEFFA9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第5.9</w:t>
            </w:r>
            <w:r>
              <w:rPr>
                <w:rFonts w:hint="eastAsia" w:ascii="宋体" w:hAnsi="宋体" w:cs="宋体"/>
                <w:color w:val="auto"/>
                <w:kern w:val="0"/>
                <w:szCs w:val="21"/>
                <w:highlight w:val="none"/>
                <w:lang w:val="zh-CN"/>
              </w:rPr>
              <w:t>款</w:t>
            </w:r>
          </w:p>
        </w:tc>
        <w:tc>
          <w:tcPr>
            <w:tcW w:w="2126" w:type="dxa"/>
            <w:vAlign w:val="center"/>
          </w:tcPr>
          <w:p w14:paraId="0F855918">
            <w:pPr>
              <w:shd w:val="clear"/>
              <w:adjustRightInd w:val="0"/>
              <w:snapToGrid w:val="0"/>
              <w:spacing w:line="360" w:lineRule="auto"/>
              <w:jc w:val="left"/>
              <w:rPr>
                <w:rFonts w:ascii="宋体" w:hAnsi="宋体"/>
                <w:color w:val="auto"/>
                <w:highlight w:val="none"/>
              </w:rPr>
            </w:pPr>
            <w:r>
              <w:rPr>
                <w:rFonts w:hint="eastAsia" w:ascii="宋体" w:hAnsi="宋体"/>
                <w:color w:val="auto"/>
                <w:highlight w:val="none"/>
              </w:rPr>
              <w:t>非单一产品采购项目的核心产品</w:t>
            </w:r>
          </w:p>
        </w:tc>
        <w:tc>
          <w:tcPr>
            <w:tcW w:w="6096" w:type="dxa"/>
            <w:vAlign w:val="center"/>
          </w:tcPr>
          <w:p w14:paraId="18702D05">
            <w:pPr>
              <w:shd w:val="clear"/>
              <w:adjustRightInd w:val="0"/>
              <w:snapToGrid w:val="0"/>
              <w:spacing w:line="360" w:lineRule="auto"/>
              <w:rPr>
                <w:rFonts w:ascii="宋体" w:hAnsi="宋体"/>
                <w:color w:val="auto"/>
                <w:highlight w:val="none"/>
              </w:rPr>
            </w:pPr>
            <w:r>
              <w:rPr>
                <w:rFonts w:hint="eastAsia" w:ascii="宋体" w:hAnsi="宋体"/>
                <w:color w:val="auto"/>
                <w:highlight w:val="none"/>
              </w:rPr>
              <w:sym w:font="Wingdings 2" w:char="0052"/>
            </w:r>
            <w:r>
              <w:rPr>
                <w:rFonts w:hint="eastAsia" w:ascii="宋体" w:hAnsi="宋体"/>
                <w:color w:val="auto"/>
                <w:highlight w:val="none"/>
              </w:rPr>
              <w:t xml:space="preserve"> </w:t>
            </w:r>
            <w:r>
              <w:rPr>
                <w:rFonts w:hint="eastAsia" w:ascii="宋体" w:hAnsi="宋体"/>
                <w:color w:val="auto"/>
                <w:highlight w:val="none"/>
              </w:rPr>
              <w:t>核心产品为：</w:t>
            </w:r>
            <w:r>
              <w:rPr>
                <w:rFonts w:hint="eastAsia" w:ascii="宋体" w:hAnsi="宋体"/>
                <w:b/>
                <w:bCs/>
                <w:color w:val="auto"/>
                <w:highlight w:val="none"/>
                <w:u w:val="single"/>
              </w:rPr>
              <w:t xml:space="preserve"> </w:t>
            </w:r>
            <w:r>
              <w:rPr>
                <w:rFonts w:hint="eastAsia" w:ascii="宋体" w:hAnsi="宋体"/>
                <w:b/>
                <w:bCs/>
                <w:color w:val="auto"/>
                <w:highlight w:val="none"/>
                <w:u w:val="single"/>
                <w:lang w:val="en-US" w:eastAsia="zh-CN"/>
              </w:rPr>
              <w:t xml:space="preserve"> 包1：无创呼吸机(兼有创)，  包2： 四通道输注泵 </w:t>
            </w:r>
            <w:r>
              <w:rPr>
                <w:rFonts w:hint="eastAsia" w:ascii="宋体" w:hAnsi="宋体"/>
                <w:color w:val="auto"/>
                <w:highlight w:val="none"/>
              </w:rPr>
              <w:t>（提示：根据采购项目技术构成、产品价格比重等合理确定具体产品为核心产品）</w:t>
            </w:r>
          </w:p>
          <w:p w14:paraId="70218869">
            <w:pPr>
              <w:shd w:val="clear"/>
              <w:adjustRightInd w:val="0"/>
              <w:snapToGrid w:val="0"/>
              <w:spacing w:line="360" w:lineRule="auto"/>
              <w:rPr>
                <w:rFonts w:ascii="宋体" w:hAnsi="宋体"/>
                <w:color w:val="auto"/>
                <w:highlight w:val="none"/>
              </w:rPr>
            </w:pPr>
            <w:r>
              <w:rPr>
                <w:rFonts w:hint="eastAsia" w:ascii="宋体" w:hAnsi="宋体"/>
                <w:color w:val="auto"/>
                <w:highlight w:val="none"/>
              </w:rPr>
              <w:t>□两家及以上投标人提供相同产品的价格总和均超过该项目包各自投标总价</w:t>
            </w:r>
            <w:r>
              <w:rPr>
                <w:rFonts w:hint="eastAsia" w:ascii="宋体" w:hAnsi="宋体"/>
                <w:color w:val="auto"/>
                <w:highlight w:val="none"/>
                <w:u w:val="single"/>
              </w:rPr>
              <w:t xml:space="preserve"> / </w:t>
            </w:r>
            <w:r>
              <w:rPr>
                <w:rFonts w:hint="eastAsia" w:ascii="宋体" w:hAnsi="宋体"/>
                <w:color w:val="auto"/>
                <w:highlight w:val="none"/>
              </w:rPr>
              <w:t>%的，为核心产品。（提示：也可另行规定）</w:t>
            </w:r>
          </w:p>
        </w:tc>
      </w:tr>
      <w:tr w14:paraId="000245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125298FF">
            <w:pPr>
              <w:shd w:val="clear"/>
              <w:adjustRightInd w:val="0"/>
              <w:snapToGrid w:val="0"/>
              <w:spacing w:line="360" w:lineRule="auto"/>
              <w:jc w:val="center"/>
              <w:rPr>
                <w:rFonts w:ascii="宋体" w:hAnsi="宋体"/>
                <w:color w:val="auto"/>
                <w:szCs w:val="21"/>
                <w:highlight w:val="none"/>
              </w:rPr>
            </w:pPr>
          </w:p>
        </w:tc>
        <w:tc>
          <w:tcPr>
            <w:tcW w:w="2126" w:type="dxa"/>
            <w:vAlign w:val="center"/>
          </w:tcPr>
          <w:p w14:paraId="2B802657">
            <w:pPr>
              <w:shd w:val="clear"/>
              <w:spacing w:line="360" w:lineRule="auto"/>
              <w:jc w:val="center"/>
              <w:rPr>
                <w:rFonts w:ascii="宋体" w:hAnsi="宋体" w:cs="宋体"/>
                <w:color w:val="auto"/>
                <w:szCs w:val="21"/>
                <w:highlight w:val="none"/>
              </w:rPr>
            </w:pPr>
            <w:r>
              <w:rPr>
                <w:rFonts w:hint="eastAsia" w:ascii="宋体" w:hAnsi="宋体" w:cs="宋体"/>
                <w:color w:val="auto"/>
                <w:kern w:val="0"/>
                <w:szCs w:val="21"/>
                <w:highlight w:val="none"/>
              </w:rPr>
              <w:t>投标报价</w:t>
            </w:r>
            <w:r>
              <w:rPr>
                <w:rFonts w:hint="eastAsia" w:ascii="宋体" w:hAnsi="宋体" w:cs="宋体"/>
                <w:color w:val="auto"/>
                <w:szCs w:val="21"/>
                <w:highlight w:val="none"/>
              </w:rPr>
              <w:t>调整</w:t>
            </w:r>
          </w:p>
        </w:tc>
        <w:tc>
          <w:tcPr>
            <w:tcW w:w="6096" w:type="dxa"/>
            <w:vAlign w:val="center"/>
          </w:tcPr>
          <w:p w14:paraId="2672CACC">
            <w:pPr>
              <w:pStyle w:val="2"/>
              <w:shd w:val="clear"/>
              <w:jc w:val="left"/>
              <w:rPr>
                <w:color w:val="auto"/>
                <w:highlight w:val="none"/>
              </w:rPr>
            </w:pPr>
            <w:r>
              <w:rPr>
                <w:rFonts w:hint="eastAsia" w:ascii="宋体" w:hAnsi="宋体" w:cs="宋体"/>
                <w:bCs/>
                <w:color w:val="auto"/>
                <w:kern w:val="0"/>
                <w:szCs w:val="21"/>
                <w:highlight w:val="none"/>
              </w:rPr>
              <w:t>政府采购支持中小企业发展：</w:t>
            </w:r>
            <w:r>
              <w:rPr>
                <w:rFonts w:hint="eastAsia" w:ascii="宋体" w:hAnsi="宋体" w:cs="宋体"/>
                <w:color w:val="auto"/>
                <w:szCs w:val="21"/>
                <w:highlight w:val="none"/>
              </w:rPr>
              <w:t>小型或微型企业，</w:t>
            </w:r>
            <w:r>
              <w:rPr>
                <w:rFonts w:hint="eastAsia" w:ascii="宋体" w:hAnsi="宋体" w:cs="宋体"/>
                <w:color w:val="auto"/>
                <w:kern w:val="0"/>
                <w:szCs w:val="21"/>
                <w:highlight w:val="none"/>
              </w:rPr>
              <w:t>价格</w:t>
            </w:r>
            <w:r>
              <w:rPr>
                <w:rFonts w:hint="eastAsia" w:ascii="宋体" w:hAnsi="宋体" w:cs="宋体"/>
                <w:color w:val="auto"/>
                <w:szCs w:val="21"/>
                <w:highlight w:val="none"/>
              </w:rPr>
              <w:t xml:space="preserve">扣除比例为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rPr>
              <w:t>％；联合体投标的，价格扣除比例为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%。评审时，用扣除后的最后报价计算价格分。</w:t>
            </w:r>
          </w:p>
        </w:tc>
      </w:tr>
      <w:tr w14:paraId="7F45F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384" w:type="dxa"/>
            <w:vAlign w:val="center"/>
          </w:tcPr>
          <w:p w14:paraId="6E06B30D">
            <w:pPr>
              <w:shd w:val="clear"/>
              <w:adjustRightInd w:val="0"/>
              <w:jc w:val="center"/>
              <w:rPr>
                <w:rFonts w:ascii="宋体" w:hAnsi="宋体"/>
                <w:color w:val="auto"/>
                <w:szCs w:val="21"/>
                <w:highlight w:val="none"/>
              </w:rPr>
            </w:pPr>
          </w:p>
        </w:tc>
        <w:tc>
          <w:tcPr>
            <w:tcW w:w="2126" w:type="dxa"/>
            <w:vAlign w:val="center"/>
          </w:tcPr>
          <w:p w14:paraId="23DDCAE2">
            <w:pPr>
              <w:shd w:val="clear"/>
              <w:adjustRightInd w:val="0"/>
              <w:jc w:val="center"/>
              <w:rPr>
                <w:rFonts w:ascii="宋体" w:hAnsi="宋体"/>
                <w:color w:val="auto"/>
                <w:highlight w:val="none"/>
              </w:rPr>
            </w:pPr>
            <w:r>
              <w:rPr>
                <w:rFonts w:hint="eastAsia" w:ascii="宋体" w:hAnsi="宋体"/>
                <w:color w:val="auto"/>
                <w:highlight w:val="none"/>
              </w:rPr>
              <w:t>技术、价格得分或总得分调整</w:t>
            </w:r>
          </w:p>
        </w:tc>
        <w:tc>
          <w:tcPr>
            <w:tcW w:w="6096" w:type="dxa"/>
            <w:vAlign w:val="center"/>
          </w:tcPr>
          <w:p w14:paraId="0BC84D51">
            <w:pPr>
              <w:shd w:val="clear"/>
              <w:adjustRightInd w:val="0"/>
              <w:ind w:left="8" w:leftChars="4" w:firstLine="287" w:firstLineChars="137"/>
              <w:jc w:val="left"/>
              <w:rPr>
                <w:rFonts w:ascii="宋体" w:hAnsi="宋体"/>
                <w:color w:val="auto"/>
                <w:highlight w:val="none"/>
              </w:rPr>
            </w:pPr>
            <w:r>
              <w:rPr>
                <w:rFonts w:hint="eastAsia" w:ascii="宋体" w:hAnsi="宋体"/>
                <w:color w:val="auto"/>
                <w:highlight w:val="none"/>
              </w:rPr>
              <w:t>1、节能产品：</w:t>
            </w:r>
          </w:p>
          <w:p w14:paraId="2418F35C">
            <w:pPr>
              <w:shd w:val="clear"/>
              <w:adjustRightInd w:val="0"/>
              <w:ind w:firstLine="105" w:firstLineChars="50"/>
              <w:rPr>
                <w:rFonts w:ascii="宋体" w:hAnsi="宋体"/>
                <w:color w:val="auto"/>
                <w:highlight w:val="none"/>
              </w:rPr>
            </w:pPr>
            <w:r>
              <w:rPr>
                <w:rFonts w:hint="eastAsia" w:ascii="宋体" w:hAnsi="宋体"/>
                <w:color w:val="auto"/>
                <w:highlight w:val="none"/>
              </w:rPr>
              <w:t>技术加分＝技术分值× 加分比例×（节能产品报价÷总报价）；</w:t>
            </w:r>
          </w:p>
          <w:p w14:paraId="6B79FB88">
            <w:pPr>
              <w:shd w:val="clear"/>
              <w:adjustRightInd w:val="0"/>
              <w:ind w:left="315" w:leftChars="50" w:hanging="210" w:hangingChars="100"/>
              <w:rPr>
                <w:rFonts w:ascii="宋体" w:hAnsi="宋体"/>
                <w:color w:val="auto"/>
                <w:highlight w:val="none"/>
              </w:rPr>
            </w:pPr>
            <w:r>
              <w:rPr>
                <w:rFonts w:hint="eastAsia" w:ascii="宋体" w:hAnsi="宋体"/>
                <w:color w:val="auto"/>
                <w:highlight w:val="none"/>
              </w:rPr>
              <w:t>价格加分＝价格分值×加分比例×（节能产品报价÷总报价）。</w:t>
            </w:r>
          </w:p>
          <w:p w14:paraId="292257BA">
            <w:pPr>
              <w:shd w:val="clear"/>
              <w:adjustRightInd w:val="0"/>
              <w:ind w:left="8" w:leftChars="4" w:firstLine="287" w:firstLineChars="137"/>
              <w:jc w:val="left"/>
              <w:rPr>
                <w:rFonts w:ascii="宋体" w:hAnsi="宋体"/>
                <w:color w:val="auto"/>
                <w:highlight w:val="none"/>
              </w:rPr>
            </w:pPr>
            <w:r>
              <w:rPr>
                <w:rFonts w:hint="eastAsia" w:ascii="宋体" w:hAnsi="宋体"/>
                <w:color w:val="auto"/>
                <w:highlight w:val="none"/>
              </w:rPr>
              <w:t>2、环境标志产品：</w:t>
            </w:r>
          </w:p>
          <w:p w14:paraId="412FFA25">
            <w:pPr>
              <w:shd w:val="clear"/>
              <w:adjustRightInd w:val="0"/>
              <w:rPr>
                <w:rFonts w:ascii="宋体" w:hAnsi="宋体"/>
                <w:color w:val="auto"/>
                <w:highlight w:val="none"/>
              </w:rPr>
            </w:pPr>
            <w:r>
              <w:rPr>
                <w:rFonts w:hint="eastAsia" w:ascii="宋体" w:hAnsi="宋体"/>
                <w:color w:val="auto"/>
                <w:highlight w:val="none"/>
              </w:rPr>
              <w:t>技术加分＝技术分值×加分比例×（环境标志产品报价÷总报价）；</w:t>
            </w:r>
          </w:p>
          <w:p w14:paraId="72A17149">
            <w:pPr>
              <w:shd w:val="clear"/>
              <w:adjustRightInd w:val="0"/>
              <w:ind w:left="315" w:leftChars="50" w:hanging="210" w:hangingChars="100"/>
              <w:rPr>
                <w:rFonts w:ascii="宋体" w:hAnsi="宋体"/>
                <w:color w:val="auto"/>
                <w:highlight w:val="none"/>
              </w:rPr>
            </w:pPr>
            <w:r>
              <w:rPr>
                <w:rFonts w:hint="eastAsia" w:ascii="宋体" w:hAnsi="宋体"/>
                <w:color w:val="auto"/>
                <w:highlight w:val="none"/>
              </w:rPr>
              <w:t>价格加分＝价格分值×加分比例×（环境标志产品报价÷总报价）。</w:t>
            </w:r>
          </w:p>
        </w:tc>
      </w:tr>
    </w:tbl>
    <w:p w14:paraId="1AC95796">
      <w:pPr>
        <w:shd w:val="clear"/>
        <w:adjustRightInd w:val="0"/>
        <w:snapToGrid w:val="0"/>
        <w:ind w:right="26"/>
        <w:rPr>
          <w:rFonts w:ascii="黑体" w:hAnsi="宋体" w:eastAsia="黑体"/>
          <w:color w:val="auto"/>
          <w:szCs w:val="21"/>
          <w:highlight w:val="none"/>
        </w:rPr>
      </w:pPr>
      <w:r>
        <w:rPr>
          <w:rFonts w:hint="eastAsia" w:ascii="宋体" w:hAnsi="宋体"/>
          <w:color w:val="auto"/>
          <w:szCs w:val="21"/>
          <w:highlight w:val="none"/>
        </w:rPr>
        <w:t>注：优先采购加分的详细计算规则见第二章第</w:t>
      </w:r>
      <w:r>
        <w:rPr>
          <w:rFonts w:ascii="宋体" w:hAnsi="宋体"/>
          <w:color w:val="auto"/>
          <w:szCs w:val="21"/>
          <w:highlight w:val="none"/>
        </w:rPr>
        <w:t>3</w:t>
      </w:r>
      <w:r>
        <w:rPr>
          <w:rFonts w:hint="eastAsia" w:ascii="宋体" w:hAnsi="宋体"/>
          <w:color w:val="auto"/>
          <w:szCs w:val="21"/>
          <w:highlight w:val="none"/>
        </w:rPr>
        <w:t>4</w:t>
      </w:r>
      <w:r>
        <w:rPr>
          <w:rFonts w:ascii="宋体" w:hAnsi="宋体"/>
          <w:color w:val="auto"/>
          <w:szCs w:val="21"/>
          <w:highlight w:val="none"/>
        </w:rPr>
        <w:t>.</w:t>
      </w:r>
      <w:r>
        <w:rPr>
          <w:rFonts w:hint="eastAsia" w:ascii="宋体" w:hAnsi="宋体"/>
          <w:color w:val="auto"/>
          <w:szCs w:val="21"/>
          <w:highlight w:val="none"/>
        </w:rPr>
        <w:t>5款、第34.6款规定。</w:t>
      </w:r>
      <w:r>
        <w:rPr>
          <w:rFonts w:ascii="黑体" w:hAnsi="宋体" w:eastAsia="黑体"/>
          <w:color w:val="auto"/>
          <w:szCs w:val="21"/>
          <w:highlight w:val="none"/>
        </w:rPr>
        <w:br w:type="page"/>
      </w:r>
    </w:p>
    <w:p w14:paraId="4C6926CB">
      <w:pPr>
        <w:shd w:val="clear"/>
        <w:adjustRightInd w:val="0"/>
        <w:snapToGrid w:val="0"/>
        <w:spacing w:before="156" w:beforeLines="50" w:line="360" w:lineRule="auto"/>
        <w:ind w:firstLine="422" w:firstLineChars="200"/>
        <w:jc w:val="left"/>
        <w:rPr>
          <w:rFonts w:ascii="黑体" w:hAnsi="黑体"/>
          <w:b/>
          <w:color w:val="auto"/>
          <w:highlight w:val="none"/>
        </w:rPr>
      </w:pPr>
      <w:r>
        <w:rPr>
          <w:rFonts w:hint="eastAsia" w:ascii="黑体" w:hAnsi="黑体"/>
          <w:b/>
          <w:color w:val="auto"/>
          <w:highlight w:val="none"/>
        </w:rPr>
        <w:t>附页1 评标方法及标准</w:t>
      </w:r>
    </w:p>
    <w:p w14:paraId="2F8E579F">
      <w:pPr>
        <w:shd w:val="clear" w:color="auto"/>
        <w:adjustRightInd w:val="0"/>
        <w:snapToGrid w:val="0"/>
        <w:spacing w:before="156" w:beforeLines="50"/>
        <w:jc w:val="center"/>
        <w:rPr>
          <w:rFonts w:hint="eastAsia" w:ascii="黑体" w:hAnsi="黑体" w:eastAsia="黑体"/>
          <w:b/>
          <w:color w:val="auto"/>
          <w:sz w:val="28"/>
          <w:szCs w:val="28"/>
          <w:highlight w:val="none"/>
          <w:lang w:eastAsia="zh-CN"/>
        </w:rPr>
      </w:pPr>
      <w:r>
        <w:rPr>
          <w:rFonts w:hint="eastAsia" w:ascii="黑体" w:hAnsi="黑体" w:eastAsia="黑体"/>
          <w:b/>
          <w:color w:val="auto"/>
          <w:sz w:val="28"/>
          <w:szCs w:val="28"/>
          <w:highlight w:val="none"/>
        </w:rPr>
        <w:t>评标方法及标准表</w:t>
      </w:r>
      <w:r>
        <w:rPr>
          <w:rFonts w:hint="eastAsia" w:ascii="黑体" w:hAnsi="黑体" w:eastAsia="黑体"/>
          <w:b/>
          <w:color w:val="auto"/>
          <w:sz w:val="28"/>
          <w:szCs w:val="28"/>
          <w:highlight w:val="none"/>
          <w:lang w:eastAsia="zh-CN"/>
        </w:rPr>
        <w:t>（</w:t>
      </w:r>
      <w:r>
        <w:rPr>
          <w:rFonts w:hint="eastAsia" w:ascii="黑体" w:hAnsi="黑体" w:eastAsia="黑体"/>
          <w:b/>
          <w:color w:val="auto"/>
          <w:sz w:val="28"/>
          <w:szCs w:val="28"/>
          <w:highlight w:val="none"/>
          <w:lang w:val="en-US" w:eastAsia="zh-CN"/>
        </w:rPr>
        <w:t>包1，包2</w:t>
      </w:r>
      <w:r>
        <w:rPr>
          <w:rFonts w:hint="eastAsia" w:ascii="黑体" w:hAnsi="黑体" w:eastAsia="黑体"/>
          <w:b/>
          <w:color w:val="auto"/>
          <w:sz w:val="28"/>
          <w:szCs w:val="28"/>
          <w:highlight w:val="none"/>
          <w:lang w:eastAsia="zh-CN"/>
        </w:rPr>
        <w:t>）</w:t>
      </w:r>
    </w:p>
    <w:tbl>
      <w:tblPr>
        <w:tblStyle w:val="43"/>
        <w:tblW w:w="9400" w:type="dxa"/>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2"/>
        <w:gridCol w:w="296"/>
        <w:gridCol w:w="821"/>
        <w:gridCol w:w="683"/>
        <w:gridCol w:w="6188"/>
      </w:tblGrid>
      <w:tr w14:paraId="4EA33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2E80DF8A">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评审因素及</w:t>
            </w:r>
            <w:r>
              <w:rPr>
                <w:rFonts w:hint="eastAsia"/>
                <w:color w:val="auto"/>
                <w:highlight w:val="none"/>
              </w:rPr>
              <w:t>分值</w:t>
            </w:r>
            <w:r>
              <w:rPr>
                <w:color w:val="auto"/>
                <w:highlight w:val="none"/>
              </w:rPr>
              <w:t>范围</w:t>
            </w:r>
          </w:p>
        </w:tc>
      </w:tr>
      <w:tr w14:paraId="36A32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183E03CF">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评审因素</w:t>
            </w:r>
          </w:p>
        </w:tc>
        <w:tc>
          <w:tcPr>
            <w:tcW w:w="7692" w:type="dxa"/>
            <w:gridSpan w:val="3"/>
            <w:noWrap w:val="0"/>
            <w:vAlign w:val="top"/>
          </w:tcPr>
          <w:p w14:paraId="4D5CFD2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权</w:t>
            </w:r>
            <w:r>
              <w:rPr>
                <w:rFonts w:hint="eastAsia" w:ascii="宋体" w:hAnsi="宋体" w:cs="宋体"/>
                <w:color w:val="auto"/>
                <w:szCs w:val="21"/>
                <w:highlight w:val="none"/>
              </w:rPr>
              <w:t>值范围</w:t>
            </w:r>
          </w:p>
        </w:tc>
      </w:tr>
      <w:tr w14:paraId="19217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0366AA1B">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szCs w:val="21"/>
                <w:highlight w:val="none"/>
              </w:rPr>
            </w:pPr>
            <w:r>
              <w:rPr>
                <w:rFonts w:hint="eastAsia" w:ascii="宋体" w:hAnsi="宋体" w:cs="宋体"/>
                <w:color w:val="auto"/>
                <w:szCs w:val="21"/>
                <w:highlight w:val="none"/>
              </w:rPr>
              <w:t>价格部分</w:t>
            </w:r>
          </w:p>
        </w:tc>
        <w:tc>
          <w:tcPr>
            <w:tcW w:w="7692" w:type="dxa"/>
            <w:gridSpan w:val="3"/>
            <w:noWrap w:val="0"/>
            <w:vAlign w:val="top"/>
          </w:tcPr>
          <w:p w14:paraId="5369C4AA">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30%</w:t>
            </w:r>
          </w:p>
        </w:tc>
      </w:tr>
      <w:tr w14:paraId="7A4A5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3F3BCC22">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技术部分</w:t>
            </w:r>
          </w:p>
        </w:tc>
        <w:tc>
          <w:tcPr>
            <w:tcW w:w="7692" w:type="dxa"/>
            <w:gridSpan w:val="3"/>
            <w:noWrap w:val="0"/>
            <w:vAlign w:val="top"/>
          </w:tcPr>
          <w:p w14:paraId="29ABE913">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50</w:t>
            </w:r>
            <w:r>
              <w:rPr>
                <w:rFonts w:hint="eastAsia" w:ascii="宋体" w:hAnsi="宋体" w:eastAsia="宋体" w:cs="宋体"/>
                <w:color w:val="auto"/>
                <w:szCs w:val="21"/>
                <w:highlight w:val="none"/>
                <w:lang w:val="en-US" w:eastAsia="zh-CN"/>
              </w:rPr>
              <w:t>%</w:t>
            </w:r>
          </w:p>
        </w:tc>
      </w:tr>
      <w:tr w14:paraId="2B18D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708" w:type="dxa"/>
            <w:gridSpan w:val="2"/>
            <w:noWrap w:val="0"/>
            <w:vAlign w:val="top"/>
          </w:tcPr>
          <w:p w14:paraId="0BF5E37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商务部分</w:t>
            </w:r>
          </w:p>
        </w:tc>
        <w:tc>
          <w:tcPr>
            <w:tcW w:w="7692" w:type="dxa"/>
            <w:gridSpan w:val="3"/>
            <w:noWrap w:val="0"/>
            <w:vAlign w:val="top"/>
          </w:tcPr>
          <w:p w14:paraId="29726A49">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lang w:val="en-US" w:eastAsia="zh-CN"/>
              </w:rPr>
              <w:t>%</w:t>
            </w:r>
          </w:p>
        </w:tc>
      </w:tr>
      <w:tr w14:paraId="21B4A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037EC691">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评委评分=F1×A1+F2×A2+……+Fn×An</w:t>
            </w:r>
          </w:p>
        </w:tc>
      </w:tr>
      <w:tr w14:paraId="4175E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38E931A6">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A1、A2......分别为各项评分因素所占的权值(A1+A2+......+An=1)</w:t>
            </w:r>
          </w:p>
        </w:tc>
      </w:tr>
      <w:tr w14:paraId="06564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9400" w:type="dxa"/>
            <w:gridSpan w:val="5"/>
            <w:noWrap w:val="0"/>
            <w:vAlign w:val="top"/>
          </w:tcPr>
          <w:p w14:paraId="678A8C07">
            <w:pPr>
              <w:keepNext w:val="0"/>
              <w:keepLines w:val="0"/>
              <w:pageBreakBefore w:val="0"/>
              <w:shd w:val="clear" w:color="auto"/>
              <w:kinsoku/>
              <w:wordWrap/>
              <w:overflowPunct/>
              <w:topLinePunct w:val="0"/>
              <w:autoSpaceDE/>
              <w:autoSpaceDN/>
              <w:bidi w:val="0"/>
              <w:adjustRightInd/>
              <w:snapToGrid/>
              <w:spacing w:line="240" w:lineRule="auto"/>
              <w:ind w:right="0" w:rightChars="0"/>
              <w:jc w:val="center"/>
              <w:rPr>
                <w:rFonts w:hint="eastAsia" w:ascii="宋体" w:hAnsi="宋体" w:eastAsia="宋体" w:cs="宋体"/>
                <w:color w:val="auto"/>
                <w:szCs w:val="21"/>
                <w:highlight w:val="none"/>
                <w:lang w:val="en-US" w:eastAsia="zh-CN"/>
              </w:rPr>
            </w:pPr>
            <w:r>
              <w:rPr>
                <w:rFonts w:hint="eastAsia" w:ascii="宋体" w:hAnsi="宋体" w:eastAsia="宋体" w:cs="宋体"/>
                <w:b/>
                <w:bCs/>
                <w:color w:val="auto"/>
                <w:sz w:val="28"/>
                <w:szCs w:val="28"/>
                <w:highlight w:val="none"/>
                <w:lang w:val="en-US" w:eastAsia="zh-CN"/>
              </w:rPr>
              <w:t>综合评分表</w:t>
            </w:r>
          </w:p>
        </w:tc>
      </w:tr>
      <w:tr w14:paraId="7ACFB7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tcBorders>
              <w:right w:val="single" w:color="auto" w:sz="4" w:space="0"/>
            </w:tcBorders>
            <w:noWrap w:val="0"/>
            <w:vAlign w:val="center"/>
          </w:tcPr>
          <w:p w14:paraId="183EAE6C">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rPr>
              <w:t>评审因素</w:t>
            </w:r>
          </w:p>
        </w:tc>
        <w:tc>
          <w:tcPr>
            <w:tcW w:w="1117" w:type="dxa"/>
            <w:gridSpan w:val="2"/>
            <w:tcBorders>
              <w:left w:val="single" w:color="auto" w:sz="4" w:space="0"/>
            </w:tcBorders>
            <w:noWrap w:val="0"/>
            <w:vAlign w:val="center"/>
          </w:tcPr>
          <w:p w14:paraId="70EA0DAE">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计分</w:t>
            </w:r>
          </w:p>
          <w:p w14:paraId="1228A5A1">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b/>
                <w:color w:val="auto"/>
                <w:sz w:val="21"/>
                <w:szCs w:val="21"/>
                <w:highlight w:val="none"/>
              </w:rPr>
            </w:pPr>
            <w:r>
              <w:rPr>
                <w:rFonts w:hint="eastAsia" w:ascii="宋体" w:hAnsi="宋体" w:cs="宋体"/>
                <w:b/>
                <w:color w:val="auto"/>
                <w:sz w:val="21"/>
                <w:szCs w:val="21"/>
                <w:highlight w:val="none"/>
              </w:rPr>
              <w:t>因素</w:t>
            </w:r>
          </w:p>
        </w:tc>
        <w:tc>
          <w:tcPr>
            <w:tcW w:w="683" w:type="dxa"/>
            <w:noWrap w:val="0"/>
            <w:vAlign w:val="center"/>
          </w:tcPr>
          <w:p w14:paraId="0E5093C3">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rPr>
              <w:t>分值</w:t>
            </w:r>
          </w:p>
        </w:tc>
        <w:tc>
          <w:tcPr>
            <w:tcW w:w="6188" w:type="dxa"/>
            <w:noWrap w:val="0"/>
            <w:vAlign w:val="center"/>
          </w:tcPr>
          <w:p w14:paraId="16B752CB">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b/>
                <w:color w:val="auto"/>
                <w:sz w:val="21"/>
                <w:szCs w:val="21"/>
                <w:highlight w:val="none"/>
                <w:lang w:val="en-US" w:eastAsia="zh-CN"/>
              </w:rPr>
              <w:t>计</w:t>
            </w:r>
            <w:r>
              <w:rPr>
                <w:rFonts w:hint="eastAsia" w:ascii="宋体" w:hAnsi="宋体" w:cs="宋体"/>
                <w:b/>
                <w:color w:val="auto"/>
                <w:sz w:val="21"/>
                <w:szCs w:val="21"/>
                <w:highlight w:val="none"/>
              </w:rPr>
              <w:t>分标准</w:t>
            </w:r>
          </w:p>
        </w:tc>
      </w:tr>
      <w:tr w14:paraId="24696E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noWrap w:val="0"/>
            <w:vAlign w:val="center"/>
          </w:tcPr>
          <w:p w14:paraId="6FA00244">
            <w:pPr>
              <w:keepNext w:val="0"/>
              <w:keepLines w:val="0"/>
              <w:pageBreakBefore w:val="0"/>
              <w:widowControl/>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价格</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、满分为 100 分)</w:t>
            </w:r>
          </w:p>
        </w:tc>
        <w:tc>
          <w:tcPr>
            <w:tcW w:w="1117" w:type="dxa"/>
            <w:gridSpan w:val="2"/>
            <w:noWrap w:val="0"/>
            <w:vAlign w:val="center"/>
          </w:tcPr>
          <w:p w14:paraId="581BD36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ascii="宋体" w:hAnsi="宋体" w:cs="宋体"/>
                <w:color w:val="auto"/>
                <w:sz w:val="21"/>
                <w:szCs w:val="21"/>
                <w:highlight w:val="none"/>
              </w:rPr>
            </w:pPr>
            <w:r>
              <w:rPr>
                <w:rFonts w:hint="eastAsia" w:ascii="Times New Roman" w:hAnsi="Times New Roman" w:eastAsia="宋体" w:cs="宋体"/>
                <w:snapToGrid w:val="0"/>
                <w:color w:val="auto"/>
                <w:kern w:val="2"/>
                <w:sz w:val="21"/>
                <w:szCs w:val="21"/>
                <w:highlight w:val="none"/>
                <w:lang w:val="en-US" w:eastAsia="zh-CN" w:bidi="ar"/>
              </w:rPr>
              <w:t>投标报价</w:t>
            </w:r>
          </w:p>
        </w:tc>
        <w:tc>
          <w:tcPr>
            <w:tcW w:w="683" w:type="dxa"/>
            <w:noWrap w:val="0"/>
            <w:vAlign w:val="center"/>
          </w:tcPr>
          <w:p w14:paraId="38C1551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center"/>
              <w:rPr>
                <w:rFonts w:hint="default" w:ascii="宋体" w:hAnsi="宋体" w:cs="宋体"/>
                <w:color w:val="auto"/>
                <w:sz w:val="21"/>
                <w:szCs w:val="21"/>
                <w:highlight w:val="none"/>
                <w:lang w:val="en-US"/>
              </w:rPr>
            </w:pPr>
            <w:r>
              <w:rPr>
                <w:rFonts w:hint="eastAsia" w:ascii="Times New Roman" w:hAnsi="Times New Roman" w:eastAsia="宋体" w:cs="Times New Roman"/>
                <w:snapToGrid w:val="0"/>
                <w:color w:val="auto"/>
                <w:kern w:val="2"/>
                <w:sz w:val="21"/>
                <w:szCs w:val="21"/>
                <w:highlight w:val="none"/>
                <w:lang w:val="en-US" w:eastAsia="zh-CN" w:bidi="ar"/>
              </w:rPr>
              <w:t>100</w:t>
            </w:r>
          </w:p>
        </w:tc>
        <w:tc>
          <w:tcPr>
            <w:tcW w:w="6188" w:type="dxa"/>
            <w:noWrap w:val="0"/>
            <w:vAlign w:val="center"/>
          </w:tcPr>
          <w:p w14:paraId="4DB90F3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default"/>
                <w:color w:val="auto"/>
                <w:sz w:val="21"/>
                <w:szCs w:val="21"/>
                <w:highlight w:val="none"/>
                <w:lang w:val="en-US"/>
              </w:rPr>
            </w:pPr>
            <w:r>
              <w:rPr>
                <w:rFonts w:hint="eastAsia" w:ascii="Times New Roman" w:hAnsi="Times New Roman" w:eastAsia="宋体" w:cs="宋体"/>
                <w:snapToGrid w:val="0"/>
                <w:color w:val="auto"/>
                <w:kern w:val="2"/>
                <w:sz w:val="21"/>
                <w:szCs w:val="21"/>
                <w:highlight w:val="none"/>
                <w:lang w:val="en-US" w:eastAsia="zh-CN" w:bidi="ar"/>
              </w:rPr>
              <w:t>价格分采用低价优先法计算，即满足招标文件要求且投标价格最低的投标报价为评标基准价，其价格分为满分，其他有效投标人的价格分按照下列公式计算：投标报价得分</w:t>
            </w:r>
            <w:r>
              <w:rPr>
                <w:rFonts w:hint="default" w:ascii="Times New Roman" w:hAnsi="Times New Roman" w:eastAsia="宋体" w:cs="Times New Roman"/>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评标基准价／投标报价</w:t>
            </w:r>
            <w:r>
              <w:rPr>
                <w:rFonts w:hint="default" w:ascii="Times New Roman" w:hAnsi="Times New Roman" w:eastAsia="宋体" w:cs="Times New Roman"/>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×价格权值</w:t>
            </w:r>
          </w:p>
          <w:p w14:paraId="222630C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leftChars="0" w:right="0" w:rightChars="0"/>
              <w:jc w:val="left"/>
              <w:rPr>
                <w:rFonts w:ascii="宋体" w:hAnsi="宋体"/>
                <w:b/>
                <w:color w:val="auto"/>
                <w:sz w:val="21"/>
                <w:szCs w:val="21"/>
                <w:highlight w:val="none"/>
              </w:rPr>
            </w:pPr>
            <w:r>
              <w:rPr>
                <w:rFonts w:hint="eastAsia" w:ascii="Times New Roman" w:hAnsi="Times New Roman" w:eastAsia="宋体" w:cs="宋体"/>
                <w:snapToGrid w:val="0"/>
                <w:color w:val="auto"/>
                <w:kern w:val="2"/>
                <w:sz w:val="21"/>
                <w:szCs w:val="21"/>
                <w:highlight w:val="none"/>
                <w:lang w:val="en-US" w:eastAsia="zh-CN" w:bidi="ar"/>
              </w:rPr>
              <w:t>说明：关于评审委员会启动异常低价投标（响应）审查规定（附后）。</w:t>
            </w:r>
          </w:p>
        </w:tc>
      </w:tr>
      <w:tr w14:paraId="16BEFFA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65" w:hRule="atLeast"/>
        </w:trPr>
        <w:tc>
          <w:tcPr>
            <w:tcW w:w="1412" w:type="dxa"/>
            <w:vMerge w:val="restart"/>
            <w:noWrap w:val="0"/>
            <w:vAlign w:val="center"/>
          </w:tcPr>
          <w:p w14:paraId="340C0E1D">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技术</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、满分为 100 分)</w:t>
            </w:r>
          </w:p>
        </w:tc>
        <w:tc>
          <w:tcPr>
            <w:tcW w:w="1117" w:type="dxa"/>
            <w:gridSpan w:val="2"/>
            <w:noWrap w:val="0"/>
            <w:vAlign w:val="center"/>
          </w:tcPr>
          <w:p w14:paraId="2682D37A">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Times New Roman" w:hAnsi="Times New Roman" w:eastAsia="宋体" w:cs="宋体"/>
                <w:snapToGrid w:val="0"/>
                <w:color w:val="auto"/>
                <w:kern w:val="2"/>
                <w:sz w:val="21"/>
                <w:szCs w:val="21"/>
                <w:highlight w:val="none"/>
                <w:lang w:val="zh-CN" w:eastAsia="zh-CN" w:bidi="ar"/>
              </w:rPr>
            </w:pPr>
            <w:r>
              <w:rPr>
                <w:rFonts w:hint="eastAsia" w:asciiTheme="minorEastAsia" w:hAnsiTheme="minorEastAsia" w:eastAsiaTheme="minorEastAsia" w:cstheme="minorEastAsia"/>
                <w:color w:val="auto"/>
                <w:szCs w:val="21"/>
                <w:highlight w:val="none"/>
              </w:rPr>
              <w:t>产品配置及技术参数</w:t>
            </w:r>
          </w:p>
        </w:tc>
        <w:tc>
          <w:tcPr>
            <w:tcW w:w="683" w:type="dxa"/>
            <w:noWrap w:val="0"/>
            <w:vAlign w:val="center"/>
          </w:tcPr>
          <w:p w14:paraId="18611A24">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default" w:ascii="宋体" w:hAnsi="宋体"/>
                <w:bCs/>
                <w:color w:val="auto"/>
                <w:sz w:val="21"/>
                <w:szCs w:val="21"/>
                <w:highlight w:val="none"/>
                <w:lang w:val="en-US" w:eastAsia="zh-CN"/>
              </w:rPr>
            </w:pPr>
            <w:r>
              <w:rPr>
                <w:rFonts w:hint="eastAsia" w:asciiTheme="minorEastAsia" w:hAnsiTheme="minorEastAsia" w:eastAsiaTheme="minorEastAsia" w:cstheme="minorEastAsia"/>
                <w:color w:val="auto"/>
                <w:szCs w:val="21"/>
                <w:highlight w:val="none"/>
                <w:lang w:val="en-US" w:eastAsia="zh-CN"/>
              </w:rPr>
              <w:t>75</w:t>
            </w:r>
          </w:p>
        </w:tc>
        <w:tc>
          <w:tcPr>
            <w:tcW w:w="6188" w:type="dxa"/>
            <w:noWrap w:val="0"/>
            <w:vAlign w:val="center"/>
          </w:tcPr>
          <w:p w14:paraId="58649C3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投标人所投产品的技术指标、性能参数完全满足或优于招标文件技术要求的，计</w:t>
            </w:r>
            <w:r>
              <w:rPr>
                <w:rFonts w:hint="eastAsia" w:cs="宋体"/>
                <w:snapToGrid w:val="0"/>
                <w:color w:val="auto"/>
                <w:kern w:val="2"/>
                <w:sz w:val="21"/>
                <w:szCs w:val="21"/>
                <w:highlight w:val="none"/>
                <w:lang w:val="en-US" w:eastAsia="zh-CN" w:bidi="ar"/>
              </w:rPr>
              <w:t>75</w:t>
            </w:r>
            <w:r>
              <w:rPr>
                <w:rFonts w:hint="eastAsia" w:ascii="Times New Roman" w:hAnsi="Times New Roman" w:eastAsia="宋体" w:cs="宋体"/>
                <w:snapToGrid w:val="0"/>
                <w:color w:val="auto"/>
                <w:kern w:val="2"/>
                <w:sz w:val="21"/>
                <w:szCs w:val="21"/>
                <w:highlight w:val="none"/>
                <w:lang w:val="en-US" w:eastAsia="zh-CN" w:bidi="ar"/>
              </w:rPr>
              <w:t>分。</w:t>
            </w:r>
          </w:p>
          <w:p w14:paraId="622E898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1.技术要求中一般技术条款每偏离一项扣2</w:t>
            </w:r>
            <w:r>
              <w:rPr>
                <w:rFonts w:hint="eastAsia" w:cs="宋体"/>
                <w:snapToGrid w:val="0"/>
                <w:color w:val="auto"/>
                <w:kern w:val="2"/>
                <w:sz w:val="21"/>
                <w:szCs w:val="21"/>
                <w:highlight w:val="none"/>
                <w:lang w:val="en-US" w:eastAsia="zh-CN" w:bidi="ar"/>
              </w:rPr>
              <w:t>.5</w:t>
            </w:r>
            <w:r>
              <w:rPr>
                <w:rFonts w:hint="eastAsia" w:ascii="Times New Roman" w:hAnsi="Times New Roman" w:eastAsia="宋体" w:cs="宋体"/>
                <w:snapToGrid w:val="0"/>
                <w:color w:val="auto"/>
                <w:kern w:val="2"/>
                <w:sz w:val="21"/>
                <w:szCs w:val="21"/>
                <w:highlight w:val="none"/>
                <w:lang w:val="en-US" w:eastAsia="zh-CN" w:bidi="ar"/>
              </w:rPr>
              <w:t>分,扣完为止。</w:t>
            </w:r>
          </w:p>
          <w:p w14:paraId="5953817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2.技术要求中标注“▲”号的条款为重要指标，每偏离一项扣5分。</w:t>
            </w:r>
          </w:p>
          <w:p w14:paraId="18858B45">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注：</w:t>
            </w:r>
          </w:p>
          <w:p w14:paraId="109ECBB8">
            <w:pPr>
              <w:keepNext w:val="0"/>
              <w:keepLines w:val="0"/>
              <w:pageBreakBefore w:val="0"/>
              <w:widowControl w:val="0"/>
              <w:numPr>
                <w:ilvl w:val="0"/>
                <w:numId w:val="3"/>
              </w:numPr>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标注“▲”的技术参数为重要技术参数，</w:t>
            </w:r>
            <w:r>
              <w:rPr>
                <w:rFonts w:hint="eastAsia" w:ascii="Times New Roman" w:hAnsi="Times New Roman" w:eastAsia="宋体" w:cs="宋体"/>
                <w:snapToGrid w:val="0"/>
                <w:color w:val="auto"/>
                <w:kern w:val="2"/>
                <w:sz w:val="21"/>
                <w:szCs w:val="21"/>
                <w:highlight w:val="none"/>
                <w:lang w:val="en-US" w:eastAsia="zh-CN" w:bidi="ar"/>
              </w:rPr>
              <w:t>除按招标文件要求填写技术规格偏离表外，还须提供技术支持证明材料，未按要求提供证明文件的或提供的证明文件不能够明确佐证的视为不满足该项技术参数，不得分。</w:t>
            </w:r>
          </w:p>
          <w:p w14:paraId="725A32F5">
            <w:pPr>
              <w:keepNext w:val="0"/>
              <w:keepLines w:val="0"/>
              <w:pageBreakBefore w:val="0"/>
              <w:widowControl w:val="0"/>
              <w:numPr>
                <w:ilvl w:val="0"/>
                <w:numId w:val="0"/>
              </w:numPr>
              <w:suppressLineNumbers w:val="0"/>
              <w:shd w:val="clear"/>
              <w:kinsoku/>
              <w:wordWrap/>
              <w:overflowPunct/>
              <w:topLinePunct w:val="0"/>
              <w:autoSpaceDE/>
              <w:autoSpaceDN/>
              <w:bidi w:val="0"/>
              <w:adjustRightInd/>
              <w:snapToGrid/>
              <w:spacing w:before="0" w:beforeAutospacing="0" w:after="0" w:afterAutospacing="0" w:line="240" w:lineRule="auto"/>
              <w:ind w:right="0" w:rightChars="0"/>
              <w:jc w:val="left"/>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技术支持证明材料包括：(1)招标文件技术参数内明确要求提供的证明材料。(2)招标文件未明确要求的，投标人可提供以下任一形式的证明材料，包括但不限于技术白皮书、彩页、说明书、检验报告等（如有不一致内容，以检验报告为准）；如技术支持资料内容模糊、无法辨认导致无法评判的或提供的技术支持资料不能反映该参数要求的或未按要求提供技术支持资料的，视为不响应该条技术参数。出现技术支持资料内容与技术规格偏离表应答不一致，以技术支持资料显示内容为准。。</w:t>
            </w:r>
          </w:p>
          <w:p w14:paraId="4F6B5AD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2、</w:t>
            </w:r>
            <w:r>
              <w:rPr>
                <w:rFonts w:hint="eastAsia" w:ascii="Times New Roman" w:hAnsi="Times New Roman" w:eastAsia="宋体" w:cs="宋体"/>
                <w:snapToGrid w:val="0"/>
                <w:color w:val="auto"/>
                <w:kern w:val="2"/>
                <w:sz w:val="21"/>
                <w:szCs w:val="21"/>
                <w:highlight w:val="none"/>
                <w:lang w:val="en-US" w:eastAsia="zh-CN" w:bidi="ar"/>
              </w:rPr>
              <w:t>未标注“▲”或“★”的技术参数</w:t>
            </w:r>
            <w:r>
              <w:rPr>
                <w:rFonts w:hint="eastAsia" w:cs="宋体"/>
                <w:snapToGrid w:val="0"/>
                <w:color w:val="auto"/>
                <w:kern w:val="2"/>
                <w:sz w:val="21"/>
                <w:szCs w:val="21"/>
                <w:highlight w:val="none"/>
                <w:lang w:val="en-US" w:eastAsia="zh-CN" w:bidi="ar"/>
              </w:rPr>
              <w:t>为</w:t>
            </w:r>
            <w:r>
              <w:rPr>
                <w:rFonts w:hint="eastAsia" w:ascii="Times New Roman" w:hAnsi="Times New Roman" w:eastAsia="宋体" w:cs="宋体"/>
                <w:snapToGrid w:val="0"/>
                <w:color w:val="auto"/>
                <w:kern w:val="2"/>
                <w:sz w:val="21"/>
                <w:szCs w:val="21"/>
                <w:highlight w:val="none"/>
                <w:lang w:val="en-US" w:eastAsia="zh-CN" w:bidi="ar"/>
              </w:rPr>
              <w:t>一般技术条款：</w:t>
            </w:r>
            <w:r>
              <w:rPr>
                <w:rFonts w:hint="eastAsia" w:ascii="Times New Roman" w:hAnsi="Times New Roman" w:eastAsia="宋体" w:cs="宋体"/>
                <w:snapToGrid w:val="0"/>
                <w:color w:val="auto"/>
                <w:kern w:val="2"/>
                <w:sz w:val="21"/>
                <w:szCs w:val="21"/>
                <w:highlight w:val="none"/>
                <w:lang w:val="en-US" w:eastAsia="zh-CN" w:bidi="ar"/>
              </w:rPr>
              <w:t>（1）招标文件技术参数中明确要求提供技术支持资料的还须按要求提供，出现技术支持资料内容与技术规格偏离表应答不一致，以技术支持资料显示内容为准。如技术支持资料内容模糊、无法辨认导致无法评判的或提供的技术支持资料不能反映该参数要求的或未按要求提供技术支持资料的，视为不响应该条技术参数。</w:t>
            </w:r>
          </w:p>
          <w:p w14:paraId="3BB1DB6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2）招标文件技术参数中未明确要求提供技术支持资料的，投标人自行提供技术支持资料，出现技术支持资料内容与技术规格偏离表应答不一致，以技术支持资料显示内容为准；出现技术支持资料内容模糊、无法辨认导致无法评判的或提供的技术支持资料不能反映该参数要求的，</w:t>
            </w:r>
            <w:r>
              <w:rPr>
                <w:rFonts w:hint="eastAsia" w:ascii="Times New Roman" w:hAnsi="Times New Roman" w:eastAsia="宋体" w:cs="宋体"/>
                <w:b/>
                <w:bCs/>
                <w:snapToGrid w:val="0"/>
                <w:color w:val="auto"/>
                <w:kern w:val="2"/>
                <w:sz w:val="21"/>
                <w:szCs w:val="21"/>
                <w:highlight w:val="none"/>
                <w:lang w:val="en-US" w:eastAsia="zh-CN" w:bidi="ar"/>
              </w:rPr>
              <w:t>以技术规格偏离表为准</w:t>
            </w:r>
            <w:r>
              <w:rPr>
                <w:rFonts w:hint="eastAsia" w:ascii="Times New Roman" w:hAnsi="Times New Roman" w:eastAsia="宋体" w:cs="宋体"/>
                <w:snapToGrid w:val="0"/>
                <w:color w:val="auto"/>
                <w:kern w:val="2"/>
                <w:sz w:val="21"/>
                <w:szCs w:val="21"/>
                <w:highlight w:val="none"/>
                <w:lang w:val="en-US" w:eastAsia="zh-CN" w:bidi="ar"/>
              </w:rPr>
              <w:t>。</w:t>
            </w:r>
          </w:p>
          <w:p w14:paraId="1444550F">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3、投标文件中无“采购需求偏离表”，本项不计分。</w:t>
            </w:r>
          </w:p>
          <w:p w14:paraId="6F685C6D">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4、如配置不详、技术参数不清、缺漏项、要求提供相关证明材料未提供或提供的证明材料不清楚的均视同负偏离</w:t>
            </w:r>
          </w:p>
          <w:p w14:paraId="64EA476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5、偏离项扣分单位为每项，凡标有最低一级序号的条款即为一项（标注“▲”符号的条款若非最低一级序号项，则其下属所有序号项均视为标“▲”条款）</w:t>
            </w:r>
          </w:p>
        </w:tc>
      </w:tr>
      <w:tr w14:paraId="22AB8E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4A15CEC5">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15B5794F">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Times New Roman" w:hAnsi="Times New Roman" w:eastAsia="宋体" w:cs="宋体"/>
                <w:snapToGrid w:val="0"/>
                <w:color w:val="auto"/>
                <w:kern w:val="2"/>
                <w:sz w:val="21"/>
                <w:szCs w:val="21"/>
                <w:highlight w:val="none"/>
                <w:lang w:val="en-US" w:eastAsia="zh-CN" w:bidi="ar"/>
              </w:rPr>
            </w:pPr>
            <w:r>
              <w:rPr>
                <w:rFonts w:hint="eastAsia" w:asciiTheme="minorEastAsia" w:hAnsiTheme="minorEastAsia" w:eastAsiaTheme="minorEastAsia" w:cstheme="minorEastAsia"/>
                <w:color w:val="auto"/>
                <w:szCs w:val="21"/>
                <w:highlight w:val="none"/>
              </w:rPr>
              <w:t>实施方案</w:t>
            </w:r>
          </w:p>
        </w:tc>
        <w:tc>
          <w:tcPr>
            <w:tcW w:w="683" w:type="dxa"/>
            <w:noWrap w:val="0"/>
            <w:vAlign w:val="center"/>
          </w:tcPr>
          <w:p w14:paraId="64E237F2">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default" w:ascii="宋体" w:hAnsi="宋体" w:eastAsia="宋体" w:cs="Times New Roman"/>
                <w:color w:val="auto"/>
                <w:highlight w:val="none"/>
                <w:lang w:val="en-US" w:eastAsia="zh-CN"/>
              </w:rPr>
            </w:pPr>
            <w:r>
              <w:rPr>
                <w:rFonts w:hint="eastAsia" w:ascii="宋体" w:hAnsi="宋体" w:cs="Times New Roman"/>
                <w:color w:val="auto"/>
                <w:highlight w:val="none"/>
                <w:lang w:val="en-US" w:eastAsia="zh-CN"/>
              </w:rPr>
              <w:t>15</w:t>
            </w:r>
          </w:p>
        </w:tc>
        <w:tc>
          <w:tcPr>
            <w:tcW w:w="6188" w:type="dxa"/>
            <w:noWrap w:val="0"/>
            <w:vAlign w:val="center"/>
          </w:tcPr>
          <w:p w14:paraId="32A08374">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投标人根据采购需求提供针对本项目的项目实施方案，方案包括但不限于：①项目管理制度及供货方案，②设备安装调试与测试方法，③项目人员配备，④项目实施进度计划，⑤质量保证措施等。</w:t>
            </w:r>
          </w:p>
          <w:p w14:paraId="2A593365">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rPr>
            </w:pPr>
            <w:r>
              <w:rPr>
                <w:rFonts w:hint="eastAsia" w:ascii="Times New Roman" w:hAnsi="Times New Roman" w:eastAsia="宋体" w:cs="宋体"/>
                <w:color w:val="auto"/>
                <w:kern w:val="2"/>
                <w:sz w:val="21"/>
                <w:szCs w:val="21"/>
                <w:highlight w:val="none"/>
                <w:lang w:val="en-US" w:eastAsia="zh-CN" w:bidi="ar-SA"/>
              </w:rPr>
              <w:t>评审依据：</w:t>
            </w:r>
            <w:r>
              <w:rPr>
                <w:rFonts w:hint="eastAsia" w:ascii="Times New Roman" w:hAnsi="Times New Roman" w:eastAsia="宋体" w:cs="宋体"/>
                <w:color w:val="auto"/>
                <w:szCs w:val="21"/>
                <w:highlight w:val="none"/>
              </w:rPr>
              <w:t>方案详细且完全满足采购要求的计</w:t>
            </w:r>
            <w:r>
              <w:rPr>
                <w:rFonts w:hint="eastAsia" w:cs="宋体"/>
                <w:color w:val="auto"/>
                <w:szCs w:val="21"/>
                <w:highlight w:val="none"/>
                <w:lang w:val="en-US" w:eastAsia="zh-CN"/>
              </w:rPr>
              <w:t>15</w:t>
            </w:r>
            <w:r>
              <w:rPr>
                <w:rFonts w:hint="eastAsia" w:ascii="Times New Roman" w:hAnsi="Times New Roman" w:eastAsia="宋体" w:cs="宋体"/>
                <w:color w:val="auto"/>
                <w:szCs w:val="21"/>
                <w:highlight w:val="none"/>
              </w:rPr>
              <w:t>分</w:t>
            </w: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有缺漏项，每处扣</w:t>
            </w:r>
            <w:r>
              <w:rPr>
                <w:rFonts w:hint="eastAsia" w:cs="宋体"/>
                <w:color w:val="auto"/>
                <w:szCs w:val="21"/>
                <w:highlight w:val="none"/>
                <w:lang w:val="en-US" w:eastAsia="zh-CN"/>
              </w:rPr>
              <w:t>3</w:t>
            </w:r>
            <w:r>
              <w:rPr>
                <w:rFonts w:hint="eastAsia" w:ascii="Times New Roman" w:hAnsi="Times New Roman" w:eastAsia="宋体" w:cs="宋体"/>
                <w:color w:val="auto"/>
                <w:szCs w:val="21"/>
                <w:highlight w:val="none"/>
              </w:rPr>
              <w:t>分，有欠完善或不合理或不满足要求的，每处扣</w:t>
            </w:r>
            <w:r>
              <w:rPr>
                <w:rFonts w:hint="eastAsia" w:cs="宋体"/>
                <w:color w:val="auto"/>
                <w:szCs w:val="21"/>
                <w:highlight w:val="none"/>
                <w:lang w:val="en-US" w:eastAsia="zh-CN"/>
              </w:rPr>
              <w:t>1.5</w:t>
            </w:r>
            <w:r>
              <w:rPr>
                <w:rFonts w:hint="eastAsia" w:ascii="Times New Roman" w:hAnsi="Times New Roman" w:eastAsia="宋体" w:cs="宋体"/>
                <w:color w:val="auto"/>
                <w:szCs w:val="21"/>
                <w:highlight w:val="none"/>
              </w:rPr>
              <w:t>分，扣完为止。未提供方案的不计分。</w:t>
            </w:r>
          </w:p>
          <w:p w14:paraId="2B6B6ABF">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hint="eastAsia" w:ascii="Times New Roman" w:hAnsi="Times New Roman" w:eastAsia="宋体" w:cs="宋体"/>
                <w:color w:val="auto"/>
                <w:szCs w:val="21"/>
                <w:highlight w:val="none"/>
                <w:lang w:val="zh-CN" w:eastAsia="zh-CN"/>
              </w:rPr>
            </w:pPr>
            <w:r>
              <w:rPr>
                <w:rFonts w:hint="eastAsia" w:ascii="Times New Roman" w:hAnsi="Times New Roman" w:eastAsia="宋体" w:cs="宋体"/>
                <w:color w:val="auto"/>
                <w:szCs w:val="21"/>
                <w:highlight w:val="none"/>
              </w:rPr>
              <w:t>（欠完善、不合理是指具有明显缺陷，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r w14:paraId="2A6DBC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45CD815E">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3CD02FD4">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eastAsia" w:ascii="宋体" w:hAnsi="宋体" w:eastAsia="宋体"/>
                <w:color w:val="auto"/>
                <w:highlight w:val="none"/>
              </w:rPr>
            </w:pPr>
            <w:r>
              <w:rPr>
                <w:rFonts w:hint="eastAsia" w:ascii="宋体" w:hAnsi="宋体" w:eastAsia="宋体"/>
                <w:color w:val="auto"/>
                <w:highlight w:val="none"/>
              </w:rPr>
              <w:t>培训方案</w:t>
            </w:r>
          </w:p>
          <w:p w14:paraId="0C6A516E">
            <w:pPr>
              <w:pStyle w:val="189"/>
              <w:keepNext w:val="0"/>
              <w:keepLines w:val="0"/>
              <w:pageBreakBefore w:val="0"/>
              <w:shd w:val="clear"/>
              <w:kinsoku/>
              <w:wordWrap/>
              <w:overflowPunct/>
              <w:topLinePunct w:val="0"/>
              <w:autoSpaceDE/>
              <w:autoSpaceDN/>
              <w:bidi w:val="0"/>
              <w:adjustRightInd/>
              <w:snapToGrid/>
              <w:spacing w:line="240" w:lineRule="auto"/>
              <w:ind w:right="0" w:rightChars="0"/>
              <w:jc w:val="left"/>
              <w:rPr>
                <w:rFonts w:hint="eastAsia" w:ascii="Times New Roman" w:hAnsi="Times New Roman" w:eastAsia="宋体" w:cs="宋体"/>
                <w:snapToGrid w:val="0"/>
                <w:color w:val="auto"/>
                <w:kern w:val="2"/>
                <w:sz w:val="21"/>
                <w:szCs w:val="21"/>
                <w:highlight w:val="none"/>
                <w:lang w:val="en-US" w:eastAsia="zh-CN" w:bidi="ar"/>
              </w:rPr>
            </w:pPr>
          </w:p>
        </w:tc>
        <w:tc>
          <w:tcPr>
            <w:tcW w:w="683" w:type="dxa"/>
            <w:noWrap w:val="0"/>
            <w:vAlign w:val="center"/>
          </w:tcPr>
          <w:p w14:paraId="0D9824DD">
            <w:pPr>
              <w:keepNext w:val="0"/>
              <w:keepLines w:val="0"/>
              <w:pageBreakBefore w:val="0"/>
              <w:shd w:val="clear"/>
              <w:kinsoku/>
              <w:wordWrap/>
              <w:overflowPunct/>
              <w:topLinePunct w:val="0"/>
              <w:autoSpaceDE/>
              <w:autoSpaceDN/>
              <w:bidi w:val="0"/>
              <w:adjustRightInd/>
              <w:snapToGrid/>
              <w:spacing w:after="0" w:line="240" w:lineRule="auto"/>
              <w:ind w:right="0" w:rightChars="0"/>
              <w:jc w:val="center"/>
              <w:rPr>
                <w:rFonts w:hint="default" w:ascii="宋体" w:hAnsi="宋体"/>
                <w:bCs/>
                <w:color w:val="auto"/>
                <w:sz w:val="21"/>
                <w:szCs w:val="21"/>
                <w:highlight w:val="none"/>
                <w:lang w:val="en-US" w:eastAsia="zh-CN"/>
              </w:rPr>
            </w:pPr>
            <w:r>
              <w:rPr>
                <w:rFonts w:hint="eastAsia" w:ascii="宋体" w:hAnsi="宋体"/>
                <w:color w:val="auto"/>
                <w:highlight w:val="none"/>
                <w:lang w:val="en-US" w:eastAsia="zh-CN"/>
              </w:rPr>
              <w:t>10</w:t>
            </w:r>
          </w:p>
        </w:tc>
        <w:tc>
          <w:tcPr>
            <w:tcW w:w="6188" w:type="dxa"/>
            <w:noWrap w:val="0"/>
            <w:vAlign w:val="center"/>
          </w:tcPr>
          <w:p w14:paraId="654B5A3A">
            <w:pPr>
              <w:keepNext w:val="0"/>
              <w:keepLines w:val="0"/>
              <w:pageBreakBefore w:val="0"/>
              <w:widowControl/>
              <w:shd w:val="clear"/>
              <w:kinsoku/>
              <w:wordWrap/>
              <w:overflowPunct/>
              <w:topLinePunct w:val="0"/>
              <w:autoSpaceDE/>
              <w:autoSpaceDN/>
              <w:bidi w:val="0"/>
              <w:adjustRightInd/>
              <w:snapToGrid/>
              <w:spacing w:line="240" w:lineRule="auto"/>
              <w:ind w:right="0" w:rightChars="0"/>
              <w:textAlignment w:val="center"/>
              <w:rPr>
                <w:rFonts w:ascii="Times New Roman" w:hAnsi="Times New Roman" w:eastAsia="宋体" w:cs="宋体"/>
                <w:color w:val="auto"/>
                <w:szCs w:val="21"/>
                <w:highlight w:val="none"/>
              </w:rPr>
            </w:pPr>
            <w:r>
              <w:rPr>
                <w:rFonts w:hint="eastAsia" w:ascii="Times New Roman" w:hAnsi="Times New Roman" w:eastAsia="宋体" w:cs="宋体"/>
                <w:color w:val="auto"/>
                <w:szCs w:val="21"/>
                <w:highlight w:val="none"/>
              </w:rPr>
              <w:t>投标人根据采购需求提供培训方案，方案内容包括但不限于：①培训人员配备</w:t>
            </w:r>
            <w:r>
              <w:rPr>
                <w:rFonts w:hint="eastAsia" w:ascii="Times New Roman" w:hAnsi="Times New Roman" w:eastAsia="宋体" w:cs="宋体"/>
                <w:color w:val="auto"/>
                <w:szCs w:val="21"/>
                <w:highlight w:val="none"/>
                <w:lang w:val="en-US" w:eastAsia="zh-CN"/>
              </w:rPr>
              <w:t>及</w:t>
            </w:r>
            <w:r>
              <w:rPr>
                <w:rFonts w:hint="eastAsia" w:ascii="Times New Roman" w:hAnsi="Times New Roman" w:eastAsia="宋体" w:cs="宋体"/>
                <w:color w:val="auto"/>
                <w:szCs w:val="21"/>
                <w:highlight w:val="none"/>
              </w:rPr>
              <w:t>培训师资</w:t>
            </w:r>
            <w:r>
              <w:rPr>
                <w:rFonts w:hint="eastAsia" w:ascii="Times New Roman" w:hAnsi="Times New Roman" w:eastAsia="宋体" w:cs="宋体"/>
                <w:color w:val="auto"/>
                <w:szCs w:val="21"/>
                <w:highlight w:val="none"/>
                <w:lang w:val="en-US" w:eastAsia="zh-CN"/>
              </w:rPr>
              <w:t>情况</w:t>
            </w:r>
            <w:r>
              <w:rPr>
                <w:rFonts w:hint="eastAsia" w:ascii="Times New Roman" w:hAnsi="Times New Roman" w:eastAsia="宋体" w:cs="宋体"/>
                <w:color w:val="auto"/>
                <w:szCs w:val="21"/>
                <w:highlight w:val="none"/>
              </w:rPr>
              <w:t>；②培训项目方案；③培训具体课程安排</w:t>
            </w:r>
            <w:r>
              <w:rPr>
                <w:rFonts w:hint="eastAsia" w:ascii="Times New Roman" w:hAnsi="Times New Roman" w:eastAsia="宋体" w:cs="宋体"/>
                <w:color w:val="auto"/>
                <w:szCs w:val="21"/>
                <w:highlight w:val="none"/>
                <w:lang w:eastAsia="zh-CN"/>
              </w:rPr>
              <w:t>；</w:t>
            </w:r>
            <w:r>
              <w:rPr>
                <w:rFonts w:hint="eastAsia" w:ascii="Times New Roman" w:hAnsi="Times New Roman" w:eastAsia="宋体" w:cs="宋体"/>
                <w:color w:val="auto"/>
                <w:szCs w:val="21"/>
                <w:highlight w:val="none"/>
                <w:lang w:val="en-US" w:eastAsia="zh-CN"/>
              </w:rPr>
              <w:fldChar w:fldCharType="begin"/>
            </w:r>
            <w:r>
              <w:rPr>
                <w:rFonts w:hint="eastAsia" w:ascii="Times New Roman" w:hAnsi="Times New Roman" w:eastAsia="宋体" w:cs="宋体"/>
                <w:color w:val="auto"/>
                <w:szCs w:val="21"/>
                <w:highlight w:val="none"/>
                <w:lang w:val="en-US" w:eastAsia="zh-CN"/>
              </w:rPr>
              <w:instrText xml:space="preserve"> = 4 \* GB3 \* MERGEFORMAT </w:instrText>
            </w:r>
            <w:r>
              <w:rPr>
                <w:rFonts w:hint="eastAsia" w:ascii="Times New Roman" w:hAnsi="Times New Roman" w:eastAsia="宋体" w:cs="宋体"/>
                <w:color w:val="auto"/>
                <w:szCs w:val="21"/>
                <w:highlight w:val="none"/>
                <w:lang w:val="en-US" w:eastAsia="zh-CN"/>
              </w:rPr>
              <w:fldChar w:fldCharType="separate"/>
            </w:r>
            <w:r>
              <w:rPr>
                <w:color w:val="auto"/>
                <w:highlight w:val="none"/>
              </w:rPr>
              <w:t>④</w:t>
            </w:r>
            <w:r>
              <w:rPr>
                <w:rFonts w:hint="eastAsia" w:ascii="Times New Roman" w:hAnsi="Times New Roman" w:eastAsia="宋体" w:cs="宋体"/>
                <w:color w:val="auto"/>
                <w:szCs w:val="21"/>
                <w:highlight w:val="none"/>
                <w:lang w:val="en-US" w:eastAsia="zh-CN"/>
              </w:rPr>
              <w:fldChar w:fldCharType="end"/>
            </w:r>
            <w:r>
              <w:rPr>
                <w:rFonts w:hint="eastAsia" w:ascii="Times New Roman" w:hAnsi="Times New Roman" w:eastAsia="宋体" w:cs="宋体"/>
                <w:color w:val="auto"/>
                <w:szCs w:val="21"/>
                <w:highlight w:val="none"/>
              </w:rPr>
              <w:t>培训质量保证措施；</w:t>
            </w:r>
            <w:r>
              <w:rPr>
                <w:rFonts w:hint="eastAsia" w:ascii="Times New Roman" w:hAnsi="Times New Roman" w:eastAsia="宋体" w:cs="宋体"/>
                <w:color w:val="auto"/>
                <w:szCs w:val="21"/>
                <w:highlight w:val="none"/>
                <w:lang w:val="en-US" w:eastAsia="zh-CN"/>
              </w:rPr>
              <w:fldChar w:fldCharType="begin"/>
            </w:r>
            <w:r>
              <w:rPr>
                <w:rFonts w:hint="eastAsia" w:ascii="Times New Roman" w:hAnsi="Times New Roman" w:eastAsia="宋体" w:cs="宋体"/>
                <w:color w:val="auto"/>
                <w:szCs w:val="21"/>
                <w:highlight w:val="none"/>
                <w:lang w:val="en-US" w:eastAsia="zh-CN"/>
              </w:rPr>
              <w:instrText xml:space="preserve"> = 5 \* GB3 \* MERGEFORMAT </w:instrText>
            </w:r>
            <w:r>
              <w:rPr>
                <w:rFonts w:hint="eastAsia" w:ascii="Times New Roman" w:hAnsi="Times New Roman" w:eastAsia="宋体" w:cs="宋体"/>
                <w:color w:val="auto"/>
                <w:szCs w:val="21"/>
                <w:highlight w:val="none"/>
                <w:lang w:val="en-US" w:eastAsia="zh-CN"/>
              </w:rPr>
              <w:fldChar w:fldCharType="separate"/>
            </w:r>
            <w:r>
              <w:rPr>
                <w:color w:val="auto"/>
                <w:highlight w:val="none"/>
              </w:rPr>
              <w:t>⑤</w:t>
            </w:r>
            <w:r>
              <w:rPr>
                <w:rFonts w:hint="eastAsia" w:ascii="Times New Roman" w:hAnsi="Times New Roman" w:eastAsia="宋体" w:cs="宋体"/>
                <w:color w:val="auto"/>
                <w:szCs w:val="21"/>
                <w:highlight w:val="none"/>
                <w:lang w:val="en-US" w:eastAsia="zh-CN"/>
              </w:rPr>
              <w:fldChar w:fldCharType="end"/>
            </w:r>
            <w:r>
              <w:rPr>
                <w:rFonts w:hint="eastAsia" w:ascii="Times New Roman" w:hAnsi="Times New Roman" w:eastAsia="宋体" w:cs="宋体"/>
                <w:color w:val="auto"/>
                <w:szCs w:val="21"/>
                <w:highlight w:val="none"/>
              </w:rPr>
              <w:t>培训安全保障措施；</w:t>
            </w:r>
          </w:p>
          <w:p w14:paraId="6BB8677B">
            <w:pPr>
              <w:keepNext w:val="0"/>
              <w:keepLines w:val="0"/>
              <w:pageBreakBefore w:val="0"/>
              <w:shd w:val="clear"/>
              <w:kinsoku/>
              <w:wordWrap/>
              <w:overflowPunct/>
              <w:topLinePunct w:val="0"/>
              <w:autoSpaceDE/>
              <w:autoSpaceDN/>
              <w:bidi w:val="0"/>
              <w:adjustRightInd/>
              <w:snapToGrid/>
              <w:spacing w:after="0" w:line="240" w:lineRule="auto"/>
              <w:ind w:right="0" w:rightChars="0"/>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color w:val="auto"/>
                <w:szCs w:val="21"/>
                <w:highlight w:val="none"/>
              </w:rPr>
              <w:t>评审依据</w:t>
            </w:r>
            <w:r>
              <w:rPr>
                <w:rFonts w:hint="eastAsia" w:cs="宋体"/>
                <w:color w:val="auto"/>
                <w:szCs w:val="21"/>
                <w:highlight w:val="none"/>
                <w:lang w:eastAsia="zh-CN"/>
              </w:rPr>
              <w:t>：</w:t>
            </w:r>
            <w:r>
              <w:rPr>
                <w:rFonts w:hint="eastAsia" w:ascii="Times New Roman" w:hAnsi="Times New Roman" w:eastAsia="宋体" w:cs="宋体"/>
                <w:color w:val="auto"/>
                <w:szCs w:val="21"/>
                <w:highlight w:val="none"/>
              </w:rPr>
              <w:t>根据培训课程计划的合理性和培训方案的详尽程度进行评审，与项目需求吻合，培训方案层次细化，有具体详细的阐述且符合项目采购需求的</w:t>
            </w:r>
            <w:r>
              <w:rPr>
                <w:rFonts w:hint="eastAsia" w:ascii="Times New Roman" w:hAnsi="Times New Roman" w:eastAsia="宋体" w:cs="宋体"/>
                <w:color w:val="auto"/>
                <w:szCs w:val="21"/>
                <w:highlight w:val="none"/>
                <w:lang w:val="en-US" w:eastAsia="zh-CN"/>
              </w:rPr>
              <w:t>计</w:t>
            </w:r>
            <w:r>
              <w:rPr>
                <w:rFonts w:hint="eastAsia" w:cs="宋体"/>
                <w:color w:val="auto"/>
                <w:szCs w:val="21"/>
                <w:highlight w:val="none"/>
                <w:lang w:val="en-US" w:eastAsia="zh-CN"/>
              </w:rPr>
              <w:t>10</w:t>
            </w:r>
            <w:r>
              <w:rPr>
                <w:rFonts w:hint="eastAsia" w:ascii="Times New Roman" w:hAnsi="Times New Roman" w:eastAsia="宋体" w:cs="宋体"/>
                <w:color w:val="auto"/>
                <w:szCs w:val="21"/>
                <w:highlight w:val="none"/>
              </w:rPr>
              <w:t>分，每缺少一项内容扣</w:t>
            </w:r>
            <w:r>
              <w:rPr>
                <w:rFonts w:hint="eastAsia" w:cs="宋体"/>
                <w:color w:val="auto"/>
                <w:szCs w:val="21"/>
                <w:highlight w:val="none"/>
                <w:lang w:val="en-US" w:eastAsia="zh-CN"/>
              </w:rPr>
              <w:t>2</w:t>
            </w:r>
            <w:r>
              <w:rPr>
                <w:rFonts w:hint="eastAsia" w:ascii="Times New Roman" w:hAnsi="Times New Roman" w:eastAsia="宋体" w:cs="宋体"/>
                <w:color w:val="auto"/>
                <w:szCs w:val="21"/>
                <w:highlight w:val="none"/>
              </w:rPr>
              <w:t>分；方案无缺漏项但有欠缺或不符合要求的每处扣</w:t>
            </w:r>
            <w:r>
              <w:rPr>
                <w:rFonts w:hint="eastAsia" w:cs="宋体"/>
                <w:color w:val="auto"/>
                <w:szCs w:val="21"/>
                <w:highlight w:val="none"/>
                <w:lang w:val="en-US" w:eastAsia="zh-CN"/>
              </w:rPr>
              <w:t>1</w:t>
            </w:r>
            <w:r>
              <w:rPr>
                <w:rFonts w:hint="eastAsia" w:ascii="Times New Roman" w:hAnsi="Times New Roman" w:eastAsia="宋体" w:cs="宋体"/>
                <w:color w:val="auto"/>
                <w:szCs w:val="21"/>
                <w:highlight w:val="none"/>
              </w:rPr>
              <w:t>分，扣完为止。未提供方案的不计分。</w:t>
            </w:r>
          </w:p>
        </w:tc>
      </w:tr>
      <w:tr w14:paraId="32568D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restart"/>
            <w:noWrap w:val="0"/>
            <w:vAlign w:val="center"/>
          </w:tcPr>
          <w:p w14:paraId="47B5A010">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ascii="宋体" w:hAnsi="宋体" w:cs="宋体"/>
                <w:color w:val="auto"/>
                <w:sz w:val="21"/>
                <w:szCs w:val="21"/>
                <w:highlight w:val="none"/>
              </w:rPr>
            </w:pPr>
            <w:r>
              <w:rPr>
                <w:rFonts w:hint="eastAsia" w:ascii="宋体" w:hAnsi="宋体" w:cs="宋体"/>
                <w:color w:val="auto"/>
                <w:sz w:val="21"/>
                <w:szCs w:val="21"/>
                <w:highlight w:val="none"/>
              </w:rPr>
              <w:t>商务</w:t>
            </w:r>
            <w:r>
              <w:rPr>
                <w:rFonts w:hint="eastAsia" w:ascii="宋体" w:hAnsi="宋体" w:cs="宋体"/>
                <w:color w:val="auto"/>
                <w:sz w:val="21"/>
                <w:szCs w:val="21"/>
                <w:highlight w:val="none"/>
                <w:lang w:val="en-US" w:eastAsia="zh-CN"/>
              </w:rPr>
              <w:t>部分</w:t>
            </w:r>
            <w:r>
              <w:rPr>
                <w:rFonts w:hint="eastAsia" w:ascii="宋体" w:hAnsi="宋体" w:cs="宋体"/>
                <w:color w:val="auto"/>
                <w:sz w:val="21"/>
                <w:szCs w:val="21"/>
                <w:highlight w:val="none"/>
              </w:rPr>
              <w:t>(F</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、满分为 100 分)</w:t>
            </w:r>
          </w:p>
        </w:tc>
        <w:tc>
          <w:tcPr>
            <w:tcW w:w="1117" w:type="dxa"/>
            <w:gridSpan w:val="2"/>
            <w:noWrap w:val="0"/>
            <w:vAlign w:val="center"/>
          </w:tcPr>
          <w:p w14:paraId="0E3E8C9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snapToGrid w:val="0"/>
                <w:color w:val="auto"/>
                <w:kern w:val="2"/>
                <w:sz w:val="21"/>
                <w:szCs w:val="21"/>
                <w:highlight w:val="none"/>
                <w:lang w:val="en-US" w:eastAsia="zh-CN" w:bidi="ar"/>
              </w:rPr>
              <w:t>类似业绩</w:t>
            </w:r>
          </w:p>
        </w:tc>
        <w:tc>
          <w:tcPr>
            <w:tcW w:w="683" w:type="dxa"/>
            <w:noWrap w:val="0"/>
            <w:vAlign w:val="center"/>
          </w:tcPr>
          <w:p w14:paraId="670A6E0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45</w:t>
            </w:r>
          </w:p>
        </w:tc>
        <w:tc>
          <w:tcPr>
            <w:tcW w:w="6188" w:type="dxa"/>
            <w:tcBorders>
              <w:bottom w:val="single" w:color="auto" w:sz="6" w:space="0"/>
            </w:tcBorders>
            <w:noWrap w:val="0"/>
            <w:vAlign w:val="center"/>
          </w:tcPr>
          <w:p w14:paraId="68F5BE02">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cs="宋体"/>
                <w:snapToGrid w:val="0"/>
                <w:color w:val="auto"/>
                <w:kern w:val="2"/>
                <w:sz w:val="21"/>
                <w:szCs w:val="21"/>
                <w:highlight w:val="none"/>
                <w:lang w:val="en-US" w:eastAsia="zh-CN" w:bidi="ar"/>
              </w:rPr>
              <w:t>投标人或所</w:t>
            </w:r>
            <w:r>
              <w:rPr>
                <w:rFonts w:hint="eastAsia" w:ascii="Times New Roman" w:hAnsi="Times New Roman" w:eastAsia="宋体" w:cs="宋体"/>
                <w:snapToGrid w:val="0"/>
                <w:color w:val="auto"/>
                <w:kern w:val="2"/>
                <w:sz w:val="21"/>
                <w:szCs w:val="21"/>
                <w:highlight w:val="none"/>
                <w:lang w:val="en-US" w:eastAsia="zh-CN" w:bidi="ar"/>
              </w:rPr>
              <w:t>投</w:t>
            </w:r>
            <w:r>
              <w:rPr>
                <w:rFonts w:hint="eastAsia" w:cs="宋体"/>
                <w:snapToGrid w:val="0"/>
                <w:color w:val="auto"/>
                <w:kern w:val="2"/>
                <w:sz w:val="21"/>
                <w:szCs w:val="21"/>
                <w:highlight w:val="none"/>
                <w:lang w:val="en-US" w:eastAsia="zh-CN" w:bidi="ar"/>
              </w:rPr>
              <w:t>核心产品制造商</w:t>
            </w:r>
            <w:r>
              <w:rPr>
                <w:rFonts w:hint="eastAsia" w:ascii="Times New Roman" w:hAnsi="Times New Roman" w:eastAsia="宋体" w:cs="宋体"/>
                <w:snapToGrid w:val="0"/>
                <w:color w:val="auto"/>
                <w:kern w:val="2"/>
                <w:sz w:val="21"/>
                <w:szCs w:val="21"/>
                <w:highlight w:val="none"/>
                <w:lang w:val="en-US" w:eastAsia="zh-CN" w:bidi="ar"/>
              </w:rPr>
              <w:t>近三年</w:t>
            </w:r>
            <w:r>
              <w:rPr>
                <w:rFonts w:hint="eastAsia" w:cs="宋体"/>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投标截止时间前36个月内</w:t>
            </w:r>
            <w:r>
              <w:rPr>
                <w:rFonts w:hint="eastAsia" w:cs="宋体"/>
                <w:snapToGrid w:val="0"/>
                <w:color w:val="auto"/>
                <w:kern w:val="2"/>
                <w:sz w:val="21"/>
                <w:szCs w:val="21"/>
                <w:highlight w:val="none"/>
                <w:lang w:val="en-US" w:eastAsia="zh-CN" w:bidi="ar"/>
              </w:rPr>
              <w:t>）</w:t>
            </w:r>
            <w:r>
              <w:rPr>
                <w:rFonts w:hint="eastAsia" w:ascii="Times New Roman" w:hAnsi="Times New Roman" w:eastAsia="宋体" w:cs="宋体"/>
                <w:snapToGrid w:val="0"/>
                <w:color w:val="auto"/>
                <w:kern w:val="2"/>
                <w:sz w:val="21"/>
                <w:szCs w:val="21"/>
                <w:highlight w:val="none"/>
                <w:lang w:val="en-US" w:eastAsia="zh-CN" w:bidi="ar"/>
              </w:rPr>
              <w:t>具有类似业绩的，每提供一个计15分，最多计</w:t>
            </w:r>
            <w:r>
              <w:rPr>
                <w:rFonts w:hint="eastAsia" w:cs="宋体"/>
                <w:snapToGrid w:val="0"/>
                <w:color w:val="auto"/>
                <w:kern w:val="2"/>
                <w:sz w:val="21"/>
                <w:szCs w:val="21"/>
                <w:highlight w:val="none"/>
                <w:lang w:val="en-US" w:eastAsia="zh-CN" w:bidi="ar"/>
              </w:rPr>
              <w:t>45</w:t>
            </w:r>
            <w:r>
              <w:rPr>
                <w:rFonts w:hint="eastAsia" w:ascii="Times New Roman" w:hAnsi="Times New Roman" w:eastAsia="宋体" w:cs="宋体"/>
                <w:snapToGrid w:val="0"/>
                <w:color w:val="auto"/>
                <w:kern w:val="2"/>
                <w:sz w:val="21"/>
                <w:szCs w:val="21"/>
                <w:highlight w:val="none"/>
                <w:lang w:val="en-US" w:eastAsia="zh-CN" w:bidi="ar"/>
              </w:rPr>
              <w:t>分。</w:t>
            </w:r>
          </w:p>
          <w:p w14:paraId="09E19DB8">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zh-CN" w:eastAsia="zh-CN" w:bidi="ar"/>
              </w:rPr>
            </w:pPr>
            <w:r>
              <w:rPr>
                <w:rFonts w:hint="eastAsia" w:ascii="Times New Roman" w:hAnsi="Times New Roman" w:eastAsia="宋体" w:cs="宋体"/>
                <w:snapToGrid w:val="0"/>
                <w:color w:val="auto"/>
                <w:kern w:val="2"/>
                <w:sz w:val="21"/>
                <w:szCs w:val="21"/>
                <w:highlight w:val="none"/>
                <w:lang w:val="en-US" w:eastAsia="zh-CN" w:bidi="ar"/>
              </w:rPr>
              <w:t>注：日期以签订合同日期为准，提供合同并加盖公章，否则不计分。</w:t>
            </w:r>
          </w:p>
        </w:tc>
      </w:tr>
      <w:tr w14:paraId="3CDF75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412" w:type="dxa"/>
            <w:vMerge w:val="continue"/>
            <w:noWrap w:val="0"/>
            <w:vAlign w:val="center"/>
          </w:tcPr>
          <w:p w14:paraId="283E819F">
            <w:pPr>
              <w:keepNext w:val="0"/>
              <w:keepLines w:val="0"/>
              <w:pageBreakBefore w:val="0"/>
              <w:shd w:val="clear"/>
              <w:kinsoku/>
              <w:wordWrap/>
              <w:overflowPunct/>
              <w:topLinePunct w:val="0"/>
              <w:autoSpaceDE/>
              <w:autoSpaceDN/>
              <w:bidi w:val="0"/>
              <w:adjustRightInd/>
              <w:snapToGrid/>
              <w:spacing w:line="240" w:lineRule="auto"/>
              <w:ind w:right="0" w:rightChars="0"/>
              <w:jc w:val="center"/>
              <w:rPr>
                <w:rFonts w:hint="eastAsia" w:ascii="宋体" w:hAnsi="宋体" w:cs="宋体"/>
                <w:color w:val="auto"/>
                <w:sz w:val="21"/>
                <w:szCs w:val="21"/>
                <w:highlight w:val="none"/>
              </w:rPr>
            </w:pPr>
          </w:p>
        </w:tc>
        <w:tc>
          <w:tcPr>
            <w:tcW w:w="1117" w:type="dxa"/>
            <w:gridSpan w:val="2"/>
            <w:noWrap w:val="0"/>
            <w:vAlign w:val="center"/>
          </w:tcPr>
          <w:p w14:paraId="212A1CD7">
            <w:pPr>
              <w:pStyle w:val="189"/>
              <w:keepNext w:val="0"/>
              <w:keepLines w:val="0"/>
              <w:pageBreakBefore w:val="0"/>
              <w:shd w:val="clear"/>
              <w:kinsoku/>
              <w:wordWrap/>
              <w:overflowPunct/>
              <w:topLinePunct w:val="0"/>
              <w:autoSpaceDE/>
              <w:autoSpaceDN/>
              <w:bidi w:val="0"/>
              <w:adjustRightInd/>
              <w:snapToGrid/>
              <w:spacing w:line="240" w:lineRule="auto"/>
              <w:ind w:right="0" w:rightChars="0"/>
              <w:jc w:val="left"/>
              <w:rPr>
                <w:rFonts w:hint="eastAsia" w:ascii="Times New Roman" w:hAnsi="Times New Roman" w:eastAsia="宋体" w:cs="宋体"/>
                <w:snapToGrid w:val="0"/>
                <w:color w:val="auto"/>
                <w:kern w:val="2"/>
                <w:sz w:val="21"/>
                <w:szCs w:val="21"/>
                <w:highlight w:val="none"/>
                <w:lang w:val="en-US" w:eastAsia="zh-CN" w:bidi="ar"/>
              </w:rPr>
            </w:pPr>
            <w:r>
              <w:rPr>
                <w:rStyle w:val="45"/>
                <w:rFonts w:ascii="宋体" w:hAnsi="宋体" w:eastAsia="宋体" w:cs="宋体"/>
                <w:b w:val="0"/>
                <w:color w:val="auto"/>
                <w:spacing w:val="0"/>
                <w:w w:val="100"/>
                <w:sz w:val="21"/>
                <w:szCs w:val="24"/>
                <w:highlight w:val="none"/>
              </w:rPr>
              <w:t>售后服务</w:t>
            </w:r>
          </w:p>
        </w:tc>
        <w:tc>
          <w:tcPr>
            <w:tcW w:w="683" w:type="dxa"/>
            <w:noWrap w:val="0"/>
            <w:vAlign w:val="center"/>
          </w:tcPr>
          <w:p w14:paraId="0155C93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center"/>
              <w:rPr>
                <w:rFonts w:hint="default"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55</w:t>
            </w:r>
          </w:p>
        </w:tc>
        <w:tc>
          <w:tcPr>
            <w:tcW w:w="6188" w:type="dxa"/>
            <w:tcBorders>
              <w:bottom w:val="single" w:color="auto" w:sz="6" w:space="0"/>
            </w:tcBorders>
            <w:noWrap w:val="0"/>
            <w:vAlign w:val="center"/>
          </w:tcPr>
          <w:p w14:paraId="30855E2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根据投标文件中提供的售后服务方案进行评审，售后服务方案应包含但不限于以下内容：</w:t>
            </w:r>
          </w:p>
          <w:p w14:paraId="0E531A47">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①服务内容（包含但不限于：设备维修、设备巡检、退换货服务、软硬件产品维护升级等）；</w:t>
            </w:r>
          </w:p>
          <w:p w14:paraId="13D00713">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②服务承诺及保障措施（包含但不限于：保质期内项目维修维护）；</w:t>
            </w:r>
          </w:p>
          <w:p w14:paraId="5DC80AE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③备件供应及质量保证（包含但不限于：质保期内提供备品备件，必须保证所提供的产品均为原装产品，符合国家质量检测标准）；</w:t>
            </w:r>
          </w:p>
          <w:p w14:paraId="6FC8C15C">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④</w:t>
            </w:r>
            <w:r>
              <w:rPr>
                <w:rFonts w:hint="eastAsia" w:ascii="Times New Roman" w:hAnsi="Times New Roman" w:eastAsia="宋体" w:cs="宋体"/>
                <w:snapToGrid w:val="0"/>
                <w:color w:val="auto"/>
                <w:kern w:val="2"/>
                <w:sz w:val="21"/>
                <w:szCs w:val="21"/>
                <w:highlight w:val="none"/>
                <w:lang w:val="en-US" w:eastAsia="zh-CN" w:bidi="ar"/>
              </w:rPr>
              <w:t>投标人或产品制造商具备</w:t>
            </w:r>
            <w:r>
              <w:rPr>
                <w:rFonts w:hint="eastAsia" w:cs="宋体"/>
                <w:snapToGrid w:val="0"/>
                <w:color w:val="auto"/>
                <w:kern w:val="2"/>
                <w:sz w:val="21"/>
                <w:szCs w:val="21"/>
                <w:highlight w:val="none"/>
                <w:lang w:val="en-US" w:eastAsia="zh-CN" w:bidi="ar"/>
              </w:rPr>
              <w:t>完善的</w:t>
            </w:r>
            <w:r>
              <w:rPr>
                <w:rFonts w:hint="eastAsia" w:ascii="Times New Roman" w:hAnsi="Times New Roman" w:eastAsia="宋体" w:cs="宋体"/>
                <w:snapToGrid w:val="0"/>
                <w:color w:val="auto"/>
                <w:kern w:val="2"/>
                <w:sz w:val="21"/>
                <w:szCs w:val="21"/>
                <w:highlight w:val="none"/>
                <w:lang w:val="en-US" w:eastAsia="zh-CN" w:bidi="ar"/>
              </w:rPr>
              <w:t>售后维修网点</w:t>
            </w:r>
            <w:r>
              <w:rPr>
                <w:rFonts w:hint="eastAsia" w:cs="宋体"/>
                <w:snapToGrid w:val="0"/>
                <w:color w:val="auto"/>
                <w:kern w:val="2"/>
                <w:sz w:val="21"/>
                <w:szCs w:val="21"/>
                <w:highlight w:val="none"/>
                <w:lang w:val="en-US" w:eastAsia="zh-CN" w:bidi="ar"/>
              </w:rPr>
              <w:t>和有稳定的售后服务团队</w:t>
            </w:r>
            <w:r>
              <w:rPr>
                <w:rFonts w:hint="eastAsia" w:ascii="Times New Roman" w:hAnsi="Times New Roman" w:eastAsia="宋体" w:cs="宋体"/>
                <w:snapToGrid w:val="0"/>
                <w:color w:val="auto"/>
                <w:kern w:val="2"/>
                <w:sz w:val="21"/>
                <w:szCs w:val="21"/>
                <w:highlight w:val="none"/>
                <w:lang w:val="en-US" w:eastAsia="zh-CN" w:bidi="ar"/>
              </w:rPr>
              <w:t>；</w:t>
            </w:r>
          </w:p>
          <w:p w14:paraId="6BCD394A">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⑤</w:t>
            </w:r>
            <w:r>
              <w:rPr>
                <w:rFonts w:hint="eastAsia" w:cs="宋体"/>
                <w:snapToGrid w:val="0"/>
                <w:color w:val="auto"/>
                <w:kern w:val="2"/>
                <w:sz w:val="21"/>
                <w:szCs w:val="21"/>
                <w:highlight w:val="none"/>
                <w:lang w:val="en-US" w:eastAsia="zh-CN" w:bidi="ar"/>
              </w:rPr>
              <w:t>质保期外</w:t>
            </w:r>
            <w:r>
              <w:rPr>
                <w:rFonts w:hint="eastAsia" w:ascii="Times New Roman" w:hAnsi="Times New Roman" w:eastAsia="宋体" w:cs="宋体"/>
                <w:snapToGrid w:val="0"/>
                <w:color w:val="auto"/>
                <w:kern w:val="2"/>
                <w:sz w:val="21"/>
                <w:szCs w:val="21"/>
                <w:highlight w:val="none"/>
                <w:lang w:val="en-US" w:eastAsia="zh-CN" w:bidi="ar"/>
              </w:rPr>
              <w:t>技术支持、应急处理预案</w:t>
            </w:r>
            <w:r>
              <w:rPr>
                <w:rFonts w:hint="eastAsia" w:ascii="Times New Roman" w:hAnsi="Times New Roman" w:eastAsia="宋体" w:cs="宋体"/>
                <w:snapToGrid w:val="0"/>
                <w:color w:val="auto"/>
                <w:kern w:val="2"/>
                <w:sz w:val="21"/>
                <w:szCs w:val="21"/>
                <w:highlight w:val="none"/>
                <w:lang w:val="en-US" w:eastAsia="zh-CN" w:bidi="ar"/>
              </w:rPr>
              <w:t>；</w:t>
            </w:r>
          </w:p>
          <w:p w14:paraId="034A8610">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方案详细且完全满足采购要求的</w:t>
            </w:r>
            <w:r>
              <w:rPr>
                <w:rFonts w:hint="eastAsia" w:cs="宋体"/>
                <w:snapToGrid w:val="0"/>
                <w:color w:val="auto"/>
                <w:kern w:val="2"/>
                <w:sz w:val="21"/>
                <w:szCs w:val="21"/>
                <w:highlight w:val="none"/>
                <w:lang w:val="en-US" w:eastAsia="zh-CN" w:bidi="ar"/>
              </w:rPr>
              <w:t>计</w:t>
            </w:r>
            <w:r>
              <w:rPr>
                <w:rFonts w:hint="eastAsia" w:ascii="Times New Roman" w:hAnsi="Times New Roman" w:eastAsia="宋体" w:cs="宋体"/>
                <w:snapToGrid w:val="0"/>
                <w:color w:val="auto"/>
                <w:kern w:val="2"/>
                <w:sz w:val="21"/>
                <w:szCs w:val="21"/>
                <w:highlight w:val="none"/>
                <w:lang w:val="en-US" w:eastAsia="zh-CN" w:bidi="ar"/>
              </w:rPr>
              <w:t>55分，有缺漏项，每处扣11分，有欠完善或不合理或不满足要求的，每处扣5.5分，扣完为止。</w:t>
            </w:r>
          </w:p>
          <w:p w14:paraId="5F5EBA2E">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Times New Roman" w:hAnsi="Times New Roman" w:eastAsia="宋体" w:cs="宋体"/>
                <w:snapToGrid w:val="0"/>
                <w:color w:val="auto"/>
                <w:kern w:val="2"/>
                <w:sz w:val="21"/>
                <w:szCs w:val="21"/>
                <w:highlight w:val="none"/>
                <w:lang w:val="en-US" w:eastAsia="zh-CN" w:bidi="ar"/>
              </w:rPr>
            </w:pPr>
            <w:r>
              <w:rPr>
                <w:rFonts w:hint="eastAsia" w:ascii="Times New Roman" w:hAnsi="Times New Roman" w:eastAsia="宋体" w:cs="宋体"/>
                <w:snapToGrid w:val="0"/>
                <w:color w:val="auto"/>
                <w:kern w:val="2"/>
                <w:sz w:val="21"/>
                <w:szCs w:val="21"/>
                <w:highlight w:val="none"/>
                <w:lang w:val="en-US" w:eastAsia="zh-CN" w:bidi="ar"/>
              </w:rPr>
              <w:t>（欠完善、不合理是指具有明显缺陷，前后内容无法连贯、逻辑不通、文字内容不能清楚表达意图；内容脱离了该项目实际情况；与国家或行业相关政策法规或管理办法不符，或与行业惯例不符；不具备实施的可能性或套用其他项目方案或引用错误或前后内容不一致甚至矛盾或存在与本项目无关的内容。）</w:t>
            </w:r>
          </w:p>
        </w:tc>
      </w:tr>
    </w:tbl>
    <w:p w14:paraId="59E3B764">
      <w:pPr>
        <w:pStyle w:val="2"/>
        <w:keepNext w:val="0"/>
        <w:shd w:val="clear" w:color="auto"/>
        <w:spacing w:line="360" w:lineRule="auto"/>
        <w:jc w:val="both"/>
        <w:rPr>
          <w:rFonts w:hint="eastAsia" w:ascii="宋体" w:hAnsi="宋体"/>
          <w:color w:val="auto"/>
          <w:sz w:val="21"/>
          <w:szCs w:val="21"/>
          <w:highlight w:val="none"/>
        </w:rPr>
      </w:pPr>
      <w:bookmarkStart w:id="34" w:name="_Toc28918"/>
      <w:bookmarkStart w:id="35" w:name="_Toc29689"/>
      <w:r>
        <w:rPr>
          <w:rFonts w:hint="eastAsia" w:ascii="宋体" w:hAnsi="宋体"/>
          <w:color w:val="auto"/>
          <w:sz w:val="21"/>
          <w:szCs w:val="21"/>
          <w:highlight w:val="none"/>
        </w:rPr>
        <w:t>注：投标人须对以上要求提交的资料的真实性负责，如存在弄虚作假行为，将作无效投标处理。</w:t>
      </w:r>
      <w:bookmarkEnd w:id="34"/>
      <w:bookmarkEnd w:id="35"/>
    </w:p>
    <w:p w14:paraId="7DADEDBD">
      <w:pPr>
        <w:shd w:val="clear" w:color="auto"/>
        <w:adjustRightInd w:val="0"/>
        <w:snapToGrid w:val="0"/>
        <w:spacing w:before="156" w:beforeLines="50"/>
        <w:jc w:val="center"/>
        <w:rPr>
          <w:rFonts w:hint="eastAsia" w:ascii="黑体" w:hAnsi="黑体" w:eastAsia="黑体"/>
          <w:b/>
          <w:color w:val="auto"/>
          <w:sz w:val="28"/>
          <w:szCs w:val="28"/>
          <w:highlight w:val="none"/>
        </w:rPr>
      </w:pPr>
    </w:p>
    <w:p w14:paraId="3C7C54B6">
      <w:pPr>
        <w:keepNext w:val="0"/>
        <w:keepLines w:val="0"/>
        <w:pageBreakBefore w:val="0"/>
        <w:widowControl w:val="0"/>
        <w:suppressLineNumbers w:val="0"/>
        <w:shd w:val="clear"/>
        <w:kinsoku/>
        <w:wordWrap/>
        <w:overflowPunct/>
        <w:topLinePunct w:val="0"/>
        <w:autoSpaceDE/>
        <w:autoSpaceDN/>
        <w:bidi w:val="0"/>
        <w:adjustRightInd/>
        <w:snapToGrid/>
        <w:spacing w:before="0" w:beforeAutospacing="0" w:after="0" w:afterAutospacing="0" w:line="240" w:lineRule="auto"/>
        <w:ind w:left="0" w:right="0" w:rightChars="0"/>
        <w:jc w:val="left"/>
        <w:rPr>
          <w:rFonts w:hint="eastAsia" w:ascii="黑体" w:hAnsi="黑体" w:eastAsia="黑体"/>
          <w:b/>
          <w:color w:val="auto"/>
          <w:sz w:val="28"/>
          <w:szCs w:val="28"/>
          <w:highlight w:val="none"/>
        </w:rPr>
      </w:pPr>
      <w:r>
        <w:rPr>
          <w:rFonts w:hint="eastAsia" w:ascii="黑体" w:hAnsi="黑体" w:eastAsia="黑体"/>
          <w:b/>
          <w:color w:val="auto"/>
          <w:sz w:val="28"/>
          <w:szCs w:val="28"/>
          <w:highlight w:val="none"/>
        </w:rPr>
        <w:br w:type="page"/>
      </w:r>
    </w:p>
    <w:p w14:paraId="3E2D7BD6">
      <w:pPr>
        <w:rPr>
          <w:rFonts w:hint="eastAsia" w:ascii="宋体" w:hAnsi="宋体" w:eastAsia="宋体" w:cs="宋体"/>
          <w:b/>
          <w:bCs/>
          <w:color w:val="auto"/>
          <w:kern w:val="0"/>
          <w:sz w:val="24"/>
          <w:szCs w:val="24"/>
          <w:highlight w:val="none"/>
          <w:lang w:val="en-US" w:eastAsia="zh-CN" w:bidi="ar-SA"/>
        </w:rPr>
      </w:pPr>
    </w:p>
    <w:p w14:paraId="6856997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adjustRightInd w:val="0"/>
        <w:snapToGrid w:val="0"/>
        <w:spacing w:before="0" w:beforeAutospacing="0" w:after="0" w:afterAutospacing="0" w:line="360" w:lineRule="auto"/>
        <w:ind w:left="0" w:right="0" w:firstLine="482" w:firstLineChars="200"/>
        <w:jc w:val="center"/>
        <w:rPr>
          <w:rFonts w:hint="eastAsia" w:ascii="Microsoft YaHei UI" w:hAnsi="Microsoft YaHei UI" w:eastAsia="Microsoft YaHei UI" w:cs="Microsoft YaHei UI"/>
          <w:b/>
          <w:bCs/>
          <w:i w:val="0"/>
          <w:iCs w:val="0"/>
          <w:caps w:val="0"/>
          <w:snapToGrid/>
          <w:color w:val="auto"/>
          <w:spacing w:val="7"/>
          <w:kern w:val="0"/>
          <w:sz w:val="25"/>
          <w:szCs w:val="25"/>
          <w:highlight w:val="none"/>
          <w:shd w:val="clear" w:color="auto" w:fill="FFFFFF"/>
          <w:lang w:val="en-US" w:eastAsia="zh-CN" w:bidi="ar"/>
        </w:rPr>
      </w:pPr>
      <w:r>
        <w:rPr>
          <w:rFonts w:hint="eastAsia" w:ascii="宋体" w:hAnsi="宋体" w:eastAsia="宋体" w:cs="宋体"/>
          <w:b/>
          <w:bCs/>
          <w:color w:val="auto"/>
          <w:kern w:val="0"/>
          <w:sz w:val="24"/>
          <w:szCs w:val="24"/>
          <w:highlight w:val="none"/>
          <w:lang w:val="en-US" w:eastAsia="zh-CN" w:bidi="ar-SA"/>
        </w:rPr>
        <w:t>关于评审委员会启动异常低价投标（响应）审查规定</w:t>
      </w:r>
    </w:p>
    <w:p w14:paraId="069851A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auto"/>
        <w:adjustRightInd w:val="0"/>
        <w:snapToGrid w:val="0"/>
        <w:spacing w:before="0" w:beforeAutospacing="0" w:after="0" w:afterAutospacing="0" w:line="360" w:lineRule="auto"/>
        <w:ind w:left="0" w:right="0" w:firstLine="480" w:firstLineChars="200"/>
        <w:jc w:val="both"/>
        <w:rPr>
          <w:rFonts w:ascii="Calibri" w:hAnsi="Calibri" w:eastAsia="宋体" w:cs="Times New Roman"/>
          <w:snapToGrid/>
          <w:color w:val="auto"/>
          <w:kern w:val="0"/>
          <w:sz w:val="24"/>
          <w:szCs w:val="24"/>
          <w:highlight w:val="none"/>
          <w:lang w:val="en-US" w:eastAsia="zh-CN" w:bidi="ar"/>
        </w:rPr>
      </w:pPr>
    </w:p>
    <w:p w14:paraId="04FAF9C5">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（一）政府采购评审中出现下列情形之一的，评审委员会应当启动异常低价投标（响应）审查程序：</w:t>
      </w:r>
    </w:p>
    <w:p w14:paraId="63D9F8F2">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1.投标（响应）报价低于全部通过符合性审查供应商投标（响应）报价平均值</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%的，即投标（响应）报价&lt;全部通过符合性审查供应商投标（响应）报价平均值×</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w:t>
      </w:r>
    </w:p>
    <w:p w14:paraId="1F6FB107">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2.投标（响应）报价低于通过符合性审查的次低报价供应商投标（响应）报价</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%的，即投标（响应）报价&lt;通过符合性审查的次低报价供应商投标（响应）报价×</w:t>
      </w:r>
      <w:r>
        <w:rPr>
          <w:rFonts w:hint="eastAsia" w:ascii="宋体" w:hAnsi="宋体" w:cs="宋体"/>
          <w:i w:val="0"/>
          <w:iCs w:val="0"/>
          <w:color w:val="auto"/>
          <w:kern w:val="0"/>
          <w:sz w:val="21"/>
          <w:szCs w:val="21"/>
          <w:highlight w:val="none"/>
          <w:u w:val="none"/>
          <w:lang w:val="en-US" w:eastAsia="zh-CN" w:bidi="ar"/>
        </w:rPr>
        <w:t>65</w:t>
      </w:r>
      <w:r>
        <w:rPr>
          <w:rFonts w:hint="eastAsia" w:ascii="宋体" w:hAnsi="宋体" w:eastAsia="宋体" w:cs="宋体"/>
          <w:i w:val="0"/>
          <w:iCs w:val="0"/>
          <w:color w:val="auto"/>
          <w:kern w:val="0"/>
          <w:sz w:val="21"/>
          <w:szCs w:val="21"/>
          <w:highlight w:val="none"/>
          <w:u w:val="none"/>
          <w:lang w:val="en-US" w:eastAsia="zh-CN" w:bidi="ar"/>
        </w:rPr>
        <w:t>%</w:t>
      </w:r>
      <w:r>
        <w:rPr>
          <w:rFonts w:hint="eastAsia" w:ascii="宋体" w:hAnsi="宋体" w:eastAsia="宋体" w:cs="宋体"/>
          <w:i w:val="0"/>
          <w:iCs w:val="0"/>
          <w:color w:val="auto"/>
          <w:kern w:val="0"/>
          <w:sz w:val="21"/>
          <w:szCs w:val="21"/>
          <w:highlight w:val="none"/>
          <w:u w:val="none"/>
          <w:lang w:val="en-US" w:eastAsia="zh-CN" w:bidi="ar"/>
        </w:rPr>
        <w:t>；</w:t>
      </w:r>
    </w:p>
    <w:p w14:paraId="75E527E8">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3.投标（响应）报价低于采购项目最高限价</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5%的，即投标（响应）报价&lt;采购项目最高限价×</w:t>
      </w:r>
      <w:r>
        <w:rPr>
          <w:rFonts w:hint="eastAsia" w:ascii="宋体" w:hAnsi="宋体" w:cs="宋体"/>
          <w:i w:val="0"/>
          <w:iCs w:val="0"/>
          <w:color w:val="auto"/>
          <w:kern w:val="0"/>
          <w:sz w:val="21"/>
          <w:szCs w:val="21"/>
          <w:highlight w:val="none"/>
          <w:u w:val="none"/>
          <w:lang w:val="en-US" w:eastAsia="zh-CN" w:bidi="ar"/>
        </w:rPr>
        <w:t>6</w:t>
      </w:r>
      <w:r>
        <w:rPr>
          <w:rFonts w:hint="eastAsia" w:ascii="宋体" w:hAnsi="宋体" w:eastAsia="宋体" w:cs="宋体"/>
          <w:i w:val="0"/>
          <w:iCs w:val="0"/>
          <w:color w:val="auto"/>
          <w:kern w:val="0"/>
          <w:sz w:val="21"/>
          <w:szCs w:val="21"/>
          <w:highlight w:val="none"/>
          <w:u w:val="none"/>
          <w:lang w:val="en-US" w:eastAsia="zh-CN" w:bidi="ar"/>
        </w:rPr>
        <w:t>5%</w:t>
      </w:r>
      <w:r>
        <w:rPr>
          <w:rFonts w:hint="eastAsia" w:ascii="宋体" w:hAnsi="宋体" w:eastAsia="宋体" w:cs="宋体"/>
          <w:i w:val="0"/>
          <w:iCs w:val="0"/>
          <w:color w:val="auto"/>
          <w:kern w:val="0"/>
          <w:sz w:val="21"/>
          <w:szCs w:val="21"/>
          <w:highlight w:val="none"/>
          <w:u w:val="none"/>
          <w:lang w:val="en-US" w:eastAsia="zh-CN" w:bidi="ar"/>
        </w:rPr>
        <w:t>；</w:t>
      </w:r>
    </w:p>
    <w:p w14:paraId="10530134">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4.评审委员会基于专业判断，认为供应商报价过低，有可能影响产品质量或者不能诚信履约的其他情形。</w:t>
      </w:r>
    </w:p>
    <w:p w14:paraId="0D288540">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相关法律法规对供应商报价有规定的，从其规定。</w:t>
      </w:r>
    </w:p>
    <w:p w14:paraId="63380562">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5FB45EF9">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719AEEF7">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1226965">
      <w:pPr>
        <w:keepNext w:val="0"/>
        <w:keepLines w:val="0"/>
        <w:pageBreakBefore w:val="0"/>
        <w:widowControl/>
        <w:suppressLineNumbers w:val="0"/>
        <w:shd w:val="clear" w:color="auto" w:fill="auto"/>
        <w:kinsoku/>
        <w:wordWrap/>
        <w:overflowPunct/>
        <w:topLinePunct w:val="0"/>
        <w:autoSpaceDE/>
        <w:autoSpaceDN/>
        <w:bidi w:val="0"/>
        <w:adjustRightInd/>
        <w:snapToGrid/>
        <w:spacing w:line="480" w:lineRule="auto"/>
        <w:ind w:firstLine="420" w:firstLineChars="200"/>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（三）异常低价投标（响应）审查的启动原因、审查意见和审查结果应当在评审报告中记录，并随供应商提供的相关书面说明及证明材料，以及评审委员会有关互联网浏览、查询历史一并归档。</w:t>
      </w:r>
    </w:p>
    <w:p w14:paraId="545AFF90">
      <w:pPr>
        <w:pStyle w:val="2"/>
        <w:shd w:val="clear"/>
        <w:rPr>
          <w:rFonts w:hint="eastAsia"/>
          <w:color w:val="auto"/>
          <w:highlight w:val="none"/>
        </w:rPr>
      </w:pPr>
    </w:p>
    <w:p w14:paraId="709A7C75">
      <w:pPr>
        <w:rPr>
          <w:rFonts w:hint="eastAsia" w:ascii="宋体" w:hAnsi="宋体"/>
          <w:b/>
          <w:bCs/>
          <w:color w:val="auto"/>
          <w:sz w:val="28"/>
          <w:szCs w:val="28"/>
          <w:highlight w:val="none"/>
        </w:rPr>
      </w:pPr>
      <w:bookmarkStart w:id="36" w:name="_Toc20651215"/>
      <w:bookmarkStart w:id="37" w:name="_Toc23519992"/>
      <w:r>
        <w:rPr>
          <w:rFonts w:hint="eastAsia" w:ascii="宋体" w:hAnsi="宋体"/>
          <w:b/>
          <w:bCs/>
          <w:color w:val="auto"/>
          <w:sz w:val="28"/>
          <w:szCs w:val="28"/>
          <w:highlight w:val="none"/>
        </w:rPr>
        <w:br w:type="page"/>
      </w:r>
    </w:p>
    <w:p w14:paraId="348586E2">
      <w:pPr>
        <w:widowControl/>
        <w:shd w:val="clear"/>
        <w:jc w:val="center"/>
        <w:rPr>
          <w:rFonts w:ascii="宋体" w:hAnsi="宋体"/>
          <w:b/>
          <w:bCs/>
          <w:color w:val="auto"/>
          <w:sz w:val="28"/>
          <w:szCs w:val="28"/>
          <w:highlight w:val="none"/>
        </w:rPr>
      </w:pPr>
      <w:r>
        <w:rPr>
          <w:rFonts w:hint="eastAsia" w:ascii="宋体" w:hAnsi="宋体"/>
          <w:b/>
          <w:bCs/>
          <w:color w:val="auto"/>
          <w:sz w:val="28"/>
          <w:szCs w:val="28"/>
          <w:highlight w:val="none"/>
        </w:rPr>
        <w:t>第二节  评标方法及标准</w:t>
      </w:r>
      <w:bookmarkEnd w:id="36"/>
    </w:p>
    <w:p w14:paraId="27F5463E">
      <w:pPr>
        <w:shd w:val="clear"/>
        <w:adjustRightInd w:val="0"/>
        <w:snapToGrid w:val="0"/>
        <w:spacing w:line="360" w:lineRule="auto"/>
        <w:jc w:val="left"/>
        <w:rPr>
          <w:rFonts w:ascii="宋体" w:hAnsi="宋体"/>
          <w:b/>
          <w:bCs/>
          <w:color w:val="auto"/>
          <w:sz w:val="24"/>
          <w:highlight w:val="none"/>
        </w:rPr>
      </w:pPr>
      <w:r>
        <w:rPr>
          <w:rFonts w:hint="eastAsia" w:ascii="宋体" w:hAnsi="宋体"/>
          <w:b/>
          <w:bCs/>
          <w:color w:val="auto"/>
          <w:sz w:val="24"/>
          <w:highlight w:val="none"/>
        </w:rPr>
        <w:t>1．评标方法</w:t>
      </w:r>
      <w:bookmarkEnd w:id="37"/>
    </w:p>
    <w:p w14:paraId="0430B37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1.1评标方法：综合评分法，指投标文件满足招标文件全部实质性要求，且按照评审因素的量化指标评审得分最高的投标人为中标候选人的评标方法。</w:t>
      </w:r>
    </w:p>
    <w:p w14:paraId="3F5AF59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1.2</w:t>
      </w:r>
      <w:r>
        <w:rPr>
          <w:rFonts w:hint="eastAsia" w:ascii="宋体" w:hAnsi="宋体"/>
          <w:color w:val="auto"/>
          <w:szCs w:val="21"/>
          <w:highlight w:val="none"/>
        </w:rPr>
        <w:t>评标因素：评审因素的设定应当与投标人所提供货物服务的质量相关，包括投标报价、技术或者服务水平、履约能力、售后服务等，但不包括第</w:t>
      </w:r>
      <w:r>
        <w:rPr>
          <w:rFonts w:hint="eastAsia" w:ascii="宋体" w:hAnsi="宋体"/>
          <w:b/>
          <w:bCs/>
          <w:color w:val="auto"/>
          <w:szCs w:val="21"/>
          <w:highlight w:val="none"/>
        </w:rPr>
        <w:t>一</w:t>
      </w:r>
      <w:r>
        <w:rPr>
          <w:rFonts w:hint="eastAsia" w:ascii="宋体" w:hAnsi="宋体"/>
          <w:color w:val="auto"/>
          <w:szCs w:val="21"/>
          <w:highlight w:val="none"/>
        </w:rPr>
        <w:t>章投标人的资格要求。</w:t>
      </w:r>
      <w:r>
        <w:rPr>
          <w:rFonts w:hint="eastAsia" w:ascii="宋体" w:hAnsi="宋体"/>
          <w:bCs/>
          <w:color w:val="auto"/>
          <w:szCs w:val="21"/>
          <w:highlight w:val="none"/>
        </w:rPr>
        <w:t>本采购项目</w:t>
      </w:r>
      <w:r>
        <w:rPr>
          <w:rFonts w:hint="eastAsia" w:ascii="宋体" w:hAnsi="宋体"/>
          <w:color w:val="auto"/>
          <w:szCs w:val="21"/>
          <w:highlight w:val="none"/>
        </w:rPr>
        <w:t>的评标因素和标准见【</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6E8285EE">
      <w:pPr>
        <w:shd w:val="clear"/>
        <w:adjustRightInd w:val="0"/>
        <w:snapToGrid w:val="0"/>
        <w:spacing w:line="360" w:lineRule="auto"/>
        <w:jc w:val="left"/>
        <w:rPr>
          <w:rFonts w:ascii="宋体" w:hAnsi="宋体"/>
          <w:b/>
          <w:bCs/>
          <w:color w:val="auto"/>
          <w:sz w:val="24"/>
          <w:highlight w:val="none"/>
        </w:rPr>
      </w:pPr>
      <w:bookmarkStart w:id="38" w:name="_Toc23519993"/>
      <w:r>
        <w:rPr>
          <w:rFonts w:hint="eastAsia" w:ascii="宋体" w:hAnsi="宋体"/>
          <w:b/>
          <w:bCs/>
          <w:color w:val="auto"/>
          <w:sz w:val="24"/>
          <w:highlight w:val="none"/>
        </w:rPr>
        <w:t>2．评标程序</w:t>
      </w:r>
      <w:bookmarkEnd w:id="38"/>
    </w:p>
    <w:p w14:paraId="51C3A30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2.1评标程序分为投标文件符合性审查、澄清有关问题、比较和评价、推荐中标候选人。</w:t>
      </w:r>
    </w:p>
    <w:p w14:paraId="451FF170">
      <w:pPr>
        <w:shd w:val="clear"/>
        <w:adjustRightInd w:val="0"/>
        <w:snapToGrid w:val="0"/>
        <w:spacing w:line="360" w:lineRule="auto"/>
        <w:jc w:val="left"/>
        <w:rPr>
          <w:rFonts w:ascii="宋体" w:hAnsi="宋体"/>
          <w:b/>
          <w:bCs/>
          <w:color w:val="auto"/>
          <w:sz w:val="24"/>
          <w:highlight w:val="none"/>
        </w:rPr>
      </w:pPr>
      <w:bookmarkStart w:id="39" w:name="_Toc23519994"/>
      <w:r>
        <w:rPr>
          <w:rFonts w:hint="eastAsia" w:ascii="宋体" w:hAnsi="宋体"/>
          <w:b/>
          <w:bCs/>
          <w:color w:val="auto"/>
          <w:sz w:val="24"/>
          <w:highlight w:val="none"/>
        </w:rPr>
        <w:t>3．投标文件符合性审查</w:t>
      </w:r>
      <w:bookmarkEnd w:id="39"/>
    </w:p>
    <w:p w14:paraId="27248DE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3.1评标委员会应当对符合资格的投标人的投标文件进行符合性审查，以确定其是否满足招标文件的实质性要求。</w:t>
      </w:r>
    </w:p>
    <w:p w14:paraId="47452E4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7422CA6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55AC2F9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3.2投标人存在下列情况之一的，投标无效：</w:t>
      </w:r>
    </w:p>
    <w:p w14:paraId="66EC9D1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1D73228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（2）投标文件没有对招标文件的实质性要求和条件作出响应，或者对招标文件的偏离超出招标文件规定的偏离范围和幅度的；</w:t>
      </w:r>
    </w:p>
    <w:p w14:paraId="2D14595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（3）投标有效期不足的；</w:t>
      </w:r>
    </w:p>
    <w:p w14:paraId="22C72BE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6A63361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（5）法律、法规和招标文件规定的其他投标无效情形的。</w:t>
      </w:r>
    </w:p>
    <w:p w14:paraId="68E21DD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3.3在评标过程中发现投标人有不遵循公平竞争的原则，恶意串通，妨碍其他投标人的竞争行为，损害采购人或者其他投标人的合法权益的，评标委员会应当认定其投标无效，并书面报告本级财政部门。</w:t>
      </w:r>
    </w:p>
    <w:p w14:paraId="0C7AC88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3.4 根据有关法律法规和招标文件的有关规定，如出现下列情况之一的，应予以废标：</w:t>
      </w:r>
    </w:p>
    <w:p w14:paraId="5E03222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4C00F4E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55E7A53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（3）投标人的报价均超过采购人项目采购预算，采购人不能支付的；</w:t>
      </w:r>
    </w:p>
    <w:p w14:paraId="1EE6CB4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（4）因重大变故，采购任务取消的。</w:t>
      </w:r>
    </w:p>
    <w:p w14:paraId="39575603">
      <w:pPr>
        <w:shd w:val="clear"/>
        <w:adjustRightInd w:val="0"/>
        <w:snapToGrid w:val="0"/>
        <w:spacing w:line="360" w:lineRule="auto"/>
        <w:jc w:val="left"/>
        <w:rPr>
          <w:rFonts w:ascii="宋体" w:hAnsi="宋体"/>
          <w:b/>
          <w:bCs/>
          <w:color w:val="auto"/>
          <w:sz w:val="24"/>
          <w:highlight w:val="none"/>
        </w:rPr>
      </w:pPr>
      <w:bookmarkStart w:id="40" w:name="_Toc23519995"/>
      <w:r>
        <w:rPr>
          <w:rFonts w:hint="eastAsia" w:ascii="宋体" w:hAnsi="宋体"/>
          <w:b/>
          <w:bCs/>
          <w:color w:val="auto"/>
          <w:sz w:val="24"/>
          <w:highlight w:val="none"/>
        </w:rPr>
        <w:t>4．澄清有关问题</w:t>
      </w:r>
      <w:bookmarkEnd w:id="40"/>
    </w:p>
    <w:p w14:paraId="0B7E85F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702EC4C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10973D9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10BC256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78F686E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08C0EB5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724A594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2CC1D24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6A72480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59521E9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投标无效处理。</w:t>
      </w:r>
    </w:p>
    <w:p w14:paraId="76D5C219">
      <w:pPr>
        <w:shd w:val="clear"/>
        <w:adjustRightInd w:val="0"/>
        <w:snapToGrid w:val="0"/>
        <w:spacing w:line="360" w:lineRule="auto"/>
        <w:jc w:val="left"/>
        <w:rPr>
          <w:rFonts w:ascii="宋体" w:hAnsi="宋体"/>
          <w:b/>
          <w:bCs/>
          <w:color w:val="auto"/>
          <w:sz w:val="24"/>
          <w:highlight w:val="none"/>
        </w:rPr>
      </w:pPr>
      <w:bookmarkStart w:id="41" w:name="_Toc23519996"/>
      <w:r>
        <w:rPr>
          <w:rFonts w:hint="eastAsia" w:ascii="宋体" w:hAnsi="宋体"/>
          <w:b/>
          <w:bCs/>
          <w:color w:val="auto"/>
          <w:sz w:val="24"/>
          <w:highlight w:val="none"/>
        </w:rPr>
        <w:t>5．比较与评价</w:t>
      </w:r>
      <w:bookmarkEnd w:id="41"/>
    </w:p>
    <w:p w14:paraId="48BFAF13">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5.1评标委员会应按照招标文件中规定的评标方法、</w:t>
      </w:r>
      <w:r>
        <w:rPr>
          <w:rFonts w:hint="eastAsia" w:ascii="宋体" w:hAnsi="宋体"/>
          <w:color w:val="auto"/>
          <w:szCs w:val="21"/>
          <w:highlight w:val="none"/>
        </w:rPr>
        <w:t>标准和评标因素，</w:t>
      </w:r>
      <w:r>
        <w:rPr>
          <w:rFonts w:hint="eastAsia" w:ascii="宋体" w:hAnsi="宋体"/>
          <w:bCs/>
          <w:color w:val="auto"/>
          <w:szCs w:val="21"/>
          <w:highlight w:val="none"/>
        </w:rPr>
        <w:t>对</w:t>
      </w:r>
      <w:r>
        <w:rPr>
          <w:rFonts w:hint="eastAsia" w:ascii="宋体" w:hAnsi="宋体"/>
          <w:color w:val="auto"/>
          <w:szCs w:val="21"/>
          <w:highlight w:val="none"/>
        </w:rPr>
        <w:t>资格性检查和符合性检查</w:t>
      </w:r>
      <w:r>
        <w:rPr>
          <w:rFonts w:hint="eastAsia" w:ascii="宋体" w:hAnsi="宋体"/>
          <w:bCs/>
          <w:color w:val="auto"/>
          <w:szCs w:val="21"/>
          <w:highlight w:val="none"/>
        </w:rPr>
        <w:t>合格的投标文件进行评估，综合比较与评价。</w:t>
      </w:r>
    </w:p>
    <w:p w14:paraId="66CEDAC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5.2</w:t>
      </w:r>
      <w:r>
        <w:rPr>
          <w:rFonts w:hint="eastAsia" w:ascii="宋体" w:hAnsi="宋体"/>
          <w:color w:val="auto"/>
          <w:szCs w:val="21"/>
          <w:highlight w:val="none"/>
        </w:rPr>
        <w:t>投标报价的修正或调整</w:t>
      </w:r>
    </w:p>
    <w:p w14:paraId="1BC9A6C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（1）如果有算术错误，投标报价将</w:t>
      </w:r>
      <w:r>
        <w:rPr>
          <w:rFonts w:hint="eastAsia" w:ascii="宋体" w:hAnsi="宋体"/>
          <w:bCs/>
          <w:color w:val="auto"/>
          <w:szCs w:val="21"/>
          <w:highlight w:val="none"/>
        </w:rPr>
        <w:t>按</w:t>
      </w:r>
      <w:r>
        <w:rPr>
          <w:rFonts w:hint="eastAsia" w:ascii="宋体" w:hAnsi="宋体"/>
          <w:color w:val="auto"/>
          <w:szCs w:val="21"/>
          <w:highlight w:val="none"/>
        </w:rPr>
        <w:t>本章第4.2款进行算术修正及修正次序规则修正。</w:t>
      </w:r>
    </w:p>
    <w:p w14:paraId="5EC55A57">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（2）需落实政府采购政策（价格评审优惠）的，按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及第二章相关规定进行价格调整的，以调整后的价格计算评标基准价和投标报价。</w:t>
      </w:r>
    </w:p>
    <w:p w14:paraId="7A0E31B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（3）评标基准价和投标报价按照上述顺序修正或调整。</w:t>
      </w:r>
    </w:p>
    <w:p w14:paraId="3C7345E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5.3投标报价评价：价格分应当采用低价优先法计算，即满足招标文件要求且投标价格最低的投标报价为评标基准价，其价格分为满分（报价权重分）。其他投标人的价格分统一按照下列公式计算：</w:t>
      </w:r>
    </w:p>
    <w:p w14:paraId="3F1F4015">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调整</w:t>
      </w:r>
      <w:r>
        <w:rPr>
          <w:rFonts w:hint="eastAsia" w:ascii="宋体" w:hAnsi="宋体"/>
          <w:color w:val="auto"/>
          <w:szCs w:val="21"/>
          <w:highlight w:val="none"/>
        </w:rPr>
        <w:t>／投标报价</w:t>
      </w:r>
      <w:r>
        <w:rPr>
          <w:rFonts w:hint="eastAsia" w:ascii="宋体" w:hAnsi="宋体"/>
          <w:color w:val="auto"/>
          <w:szCs w:val="21"/>
          <w:highlight w:val="none"/>
          <w:vertAlign w:val="subscript"/>
        </w:rPr>
        <w:t>调整</w:t>
      </w:r>
      <w:r>
        <w:rPr>
          <w:rFonts w:hint="eastAsia" w:ascii="宋体" w:hAnsi="宋体"/>
          <w:color w:val="auto"/>
          <w:szCs w:val="21"/>
          <w:highlight w:val="none"/>
        </w:rPr>
        <w:t>） ×报价权重分</w:t>
      </w:r>
    </w:p>
    <w:p w14:paraId="60003B4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5.4技术、商务等评分项响应评价</w:t>
      </w:r>
    </w:p>
    <w:p w14:paraId="13B2601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（1）技术、商务等评分项响应评分。按本章第1.2款规定的评标因素和标准，对技术、商务等评分项计算得分。</w:t>
      </w:r>
    </w:p>
    <w:p w14:paraId="7BF4AD8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（2）需落实政府采购政策（优先采购）的，按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及第二章相关规定进行技术、价格、商务项得分调整。</w:t>
      </w:r>
    </w:p>
    <w:p w14:paraId="19F622C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5.5评标总得分</w:t>
      </w:r>
    </w:p>
    <w:p w14:paraId="302A5F5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评标总得分＝F1×A1＋F2×A2＋……＋Fn×An</w:t>
      </w:r>
    </w:p>
    <w:p w14:paraId="51A7D0D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F1、F2……Fn分别为各项评审因素的得分；</w:t>
      </w:r>
    </w:p>
    <w:p w14:paraId="41C0B0B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A1、A2、……An 分别为各项评审因素所占的权重（A1＋A2＋…＋An＝1）。</w:t>
      </w:r>
    </w:p>
    <w:p w14:paraId="1534D9B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评标过程中，不得去掉报价中的最高报价和最低报价。</w:t>
      </w:r>
    </w:p>
    <w:p w14:paraId="71DA9673">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5.6评分分值计算保留小数点后两位，小数点后第三位“四舍五入”。</w:t>
      </w:r>
    </w:p>
    <w:p w14:paraId="6758DAA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5.7评标时，评标委员会各成员应当独立对每个投标人的投标文件进行评价、评分，然后汇总每个投标人每项评分因素的得分。</w:t>
      </w:r>
    </w:p>
    <w:p w14:paraId="0269AA3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5.8提供相同品牌产品且通过资格审查、符合性审查的不同投标人参加同一合同项下投标的，按一家投标人计算。由此导致投标人不足三家的，应予废标：</w:t>
      </w:r>
    </w:p>
    <w:p w14:paraId="6678D861">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（1）评审后得分最高的同品牌投标人获得中标人推荐资格，</w:t>
      </w:r>
      <w:r>
        <w:rPr>
          <w:rFonts w:hint="eastAsia" w:ascii="宋体" w:hAnsi="宋体"/>
          <w:b/>
          <w:bCs/>
          <w:color w:val="auto"/>
          <w:szCs w:val="21"/>
          <w:highlight w:val="none"/>
        </w:rPr>
        <w:t>其他同品牌投标人不作为中标候选人</w:t>
      </w:r>
      <w:r>
        <w:rPr>
          <w:rFonts w:hint="eastAsia" w:ascii="宋体" w:hAnsi="宋体"/>
          <w:bCs/>
          <w:color w:val="auto"/>
          <w:szCs w:val="21"/>
          <w:highlight w:val="none"/>
        </w:rPr>
        <w:t>。</w:t>
      </w:r>
    </w:p>
    <w:p w14:paraId="6C280C5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评审得分相同的，由采购人或者采购人委托评标委员会按照【评标方法及标准前附表】规定的方式确定一个投标人获得中标人推荐资格，招标文件未规定的采取随机抽取方式确定，其他同品牌投标人不作为中标候选人。</w:t>
      </w:r>
    </w:p>
    <w:p w14:paraId="601FCD7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5.9</w:t>
      </w:r>
      <w:r>
        <w:rPr>
          <w:rFonts w:hint="eastAsia" w:ascii="宋体" w:hAnsi="宋体"/>
          <w:bCs/>
          <w:color w:val="auto"/>
          <w:szCs w:val="21"/>
          <w:highlight w:val="none"/>
        </w:rPr>
        <w:t>非单一产品采购项目，采购人应当根据采购项目技术构成、产品价格比重等合理确定核心产品，并在</w:t>
      </w:r>
      <w:r>
        <w:rPr>
          <w:rFonts w:hint="eastAsia" w:ascii="宋体" w:hAnsi="宋体"/>
          <w:b/>
          <w:color w:val="auto"/>
          <w:szCs w:val="21"/>
          <w:highlight w:val="none"/>
        </w:rPr>
        <w:t>【评标方法及标准前附表】</w:t>
      </w:r>
      <w:r>
        <w:rPr>
          <w:rFonts w:hint="eastAsia" w:ascii="宋体" w:hAnsi="宋体"/>
          <w:bCs/>
          <w:color w:val="auto"/>
          <w:szCs w:val="21"/>
          <w:highlight w:val="none"/>
        </w:rPr>
        <w:t>中载明。多家投标人提供的核心产品品牌相同的，按本章第</w:t>
      </w:r>
      <w:r>
        <w:rPr>
          <w:rFonts w:ascii="宋体" w:hAnsi="宋体"/>
          <w:bCs/>
          <w:color w:val="auto"/>
          <w:szCs w:val="21"/>
          <w:highlight w:val="none"/>
        </w:rPr>
        <w:t>5.8</w:t>
      </w:r>
      <w:r>
        <w:rPr>
          <w:rFonts w:hint="eastAsia" w:ascii="宋体" w:hAnsi="宋体"/>
          <w:bCs/>
          <w:color w:val="auto"/>
          <w:szCs w:val="21"/>
          <w:highlight w:val="none"/>
        </w:rPr>
        <w:t>款规定处理。</w:t>
      </w:r>
    </w:p>
    <w:p w14:paraId="68A102E5">
      <w:pPr>
        <w:shd w:val="clear"/>
        <w:adjustRightInd w:val="0"/>
        <w:snapToGrid w:val="0"/>
        <w:spacing w:line="360" w:lineRule="auto"/>
        <w:jc w:val="left"/>
        <w:rPr>
          <w:rFonts w:ascii="宋体" w:hAnsi="宋体"/>
          <w:b/>
          <w:bCs/>
          <w:color w:val="auto"/>
          <w:sz w:val="24"/>
          <w:highlight w:val="none"/>
        </w:rPr>
      </w:pPr>
      <w:bookmarkStart w:id="42" w:name="_Toc23519997"/>
      <w:r>
        <w:rPr>
          <w:rFonts w:hint="eastAsia" w:ascii="宋体" w:hAnsi="宋体"/>
          <w:b/>
          <w:bCs/>
          <w:color w:val="auto"/>
          <w:sz w:val="24"/>
          <w:highlight w:val="none"/>
        </w:rPr>
        <w:t>6．确定中标候选人名单</w:t>
      </w:r>
      <w:bookmarkEnd w:id="42"/>
    </w:p>
    <w:p w14:paraId="364A916B">
      <w:pPr>
        <w:shd w:val="clear"/>
        <w:adjustRightInd w:val="0"/>
        <w:snapToGrid w:val="0"/>
        <w:spacing w:before="156" w:beforeLines="50" w:line="360" w:lineRule="auto"/>
        <w:ind w:firstLine="420" w:firstLineChars="200"/>
        <w:jc w:val="left"/>
        <w:rPr>
          <w:rFonts w:ascii="宋体" w:hAnsi="宋体"/>
          <w:bCs/>
          <w:color w:val="auto"/>
          <w:szCs w:val="21"/>
          <w:highlight w:val="none"/>
        </w:rPr>
      </w:pPr>
      <w:r>
        <w:rPr>
          <w:rFonts w:hint="eastAsia" w:ascii="宋体" w:hAnsi="宋体"/>
          <w:color w:val="auto"/>
          <w:szCs w:val="21"/>
          <w:highlight w:val="none"/>
        </w:rPr>
        <w:t>6.1</w:t>
      </w:r>
      <w:r>
        <w:rPr>
          <w:rFonts w:hint="eastAsia" w:ascii="宋体" w:hAnsi="宋体"/>
          <w:bCs/>
          <w:color w:val="auto"/>
          <w:szCs w:val="21"/>
          <w:highlight w:val="none"/>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3A5FC9BB">
      <w:pPr>
        <w:shd w:val="clear"/>
        <w:adjustRightInd w:val="0"/>
        <w:snapToGrid w:val="0"/>
        <w:spacing w:line="360" w:lineRule="auto"/>
        <w:jc w:val="left"/>
        <w:rPr>
          <w:rFonts w:ascii="宋体" w:hAnsi="宋体"/>
          <w:b/>
          <w:bCs/>
          <w:color w:val="auto"/>
          <w:sz w:val="24"/>
          <w:highlight w:val="none"/>
        </w:rPr>
      </w:pPr>
      <w:bookmarkStart w:id="43" w:name="_Toc23519998"/>
      <w:r>
        <w:rPr>
          <w:rFonts w:hint="eastAsia" w:ascii="宋体" w:hAnsi="宋体"/>
          <w:b/>
          <w:bCs/>
          <w:color w:val="auto"/>
          <w:sz w:val="24"/>
          <w:highlight w:val="none"/>
        </w:rPr>
        <w:t>7．编写评标报告</w:t>
      </w:r>
      <w:bookmarkEnd w:id="43"/>
    </w:p>
    <w:p w14:paraId="4EDE62B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7.1评标委员会根据全体评标成员签字的原始评标记录和评标结果编写评标报告。</w:t>
      </w:r>
    </w:p>
    <w:p w14:paraId="2AB7F77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7.2评标委员会成员对需要共同认定的事项存在争议的，应当按照少数服从多数的原则作出结论。持不同意见的评标委员会成员应当在评标报告上签署不同意见及理由，否则视为同意评标报告。</w:t>
      </w:r>
    </w:p>
    <w:p w14:paraId="04C94523">
      <w:pPr>
        <w:shd w:val="clear"/>
        <w:adjustRightInd w:val="0"/>
        <w:snapToGrid w:val="0"/>
        <w:spacing w:line="360" w:lineRule="auto"/>
        <w:jc w:val="left"/>
        <w:rPr>
          <w:rFonts w:ascii="宋体" w:hAnsi="宋体"/>
          <w:b/>
          <w:bCs/>
          <w:color w:val="auto"/>
          <w:sz w:val="24"/>
          <w:highlight w:val="none"/>
        </w:rPr>
      </w:pPr>
      <w:bookmarkStart w:id="44" w:name="_Toc23519999"/>
      <w:r>
        <w:rPr>
          <w:rFonts w:hint="eastAsia" w:ascii="宋体" w:hAnsi="宋体"/>
          <w:b/>
          <w:bCs/>
          <w:color w:val="auto"/>
          <w:sz w:val="24"/>
          <w:highlight w:val="none"/>
        </w:rPr>
        <w:t>8．评标报告复核</w:t>
      </w:r>
      <w:bookmarkEnd w:id="44"/>
    </w:p>
    <w:p w14:paraId="15B293C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8.1汇总完成后，除下列情形外，任何人不得修改评标结果：</w:t>
      </w:r>
    </w:p>
    <w:p w14:paraId="48A3E03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（1）分值汇总计算错误的；</w:t>
      </w:r>
    </w:p>
    <w:p w14:paraId="01A729A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（2）分项评分超出评分标准范围的；</w:t>
      </w:r>
    </w:p>
    <w:p w14:paraId="1DC328E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（3）评标委员会成员对客观评审因素评分不一致的；</w:t>
      </w:r>
    </w:p>
    <w:p w14:paraId="421248D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（4）经评标委员会认定评分畸高、畸低的。</w:t>
      </w:r>
    </w:p>
    <w:p w14:paraId="0C509EC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334C497">
      <w:pPr>
        <w:shd w:val="clear"/>
        <w:adjustRightInd w:val="0"/>
        <w:snapToGrid w:val="0"/>
        <w:spacing w:line="360" w:lineRule="auto"/>
        <w:jc w:val="left"/>
        <w:rPr>
          <w:rFonts w:ascii="宋体" w:hAnsi="宋体"/>
          <w:b/>
          <w:bCs/>
          <w:color w:val="auto"/>
          <w:sz w:val="24"/>
          <w:highlight w:val="none"/>
        </w:rPr>
      </w:pPr>
      <w:bookmarkStart w:id="45" w:name="_Toc23520000"/>
      <w:r>
        <w:rPr>
          <w:rFonts w:hint="eastAsia" w:ascii="宋体" w:hAnsi="宋体"/>
          <w:b/>
          <w:bCs/>
          <w:color w:val="auto"/>
          <w:sz w:val="24"/>
          <w:highlight w:val="none"/>
        </w:rPr>
        <w:t>9．停止评标</w:t>
      </w:r>
      <w:bookmarkEnd w:id="45"/>
    </w:p>
    <w:p w14:paraId="727F148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8486B23">
      <w:pPr>
        <w:shd w:val="clear"/>
        <w:adjustRightInd w:val="0"/>
        <w:snapToGrid w:val="0"/>
        <w:spacing w:line="360" w:lineRule="auto"/>
        <w:jc w:val="left"/>
        <w:rPr>
          <w:rFonts w:ascii="宋体" w:hAnsi="宋体"/>
          <w:b/>
          <w:bCs/>
          <w:color w:val="auto"/>
          <w:sz w:val="24"/>
          <w:highlight w:val="none"/>
        </w:rPr>
      </w:pPr>
      <w:bookmarkStart w:id="46" w:name="_Toc23520001"/>
      <w:r>
        <w:rPr>
          <w:rFonts w:hint="eastAsia" w:ascii="宋体" w:hAnsi="宋体"/>
          <w:b/>
          <w:bCs/>
          <w:color w:val="auto"/>
          <w:sz w:val="24"/>
          <w:highlight w:val="none"/>
        </w:rPr>
        <w:t>10．重新组建评标委员会进行评标</w:t>
      </w:r>
      <w:bookmarkEnd w:id="46"/>
    </w:p>
    <w:p w14:paraId="48BD70B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10.1评标委员会或者其成员存在下列情形导致评标结果无效的，采购人或者采购代理机构可以重新组建评标委员会进行评标，并书面报告本级财政部门，但采购合同已经履行的除外：</w:t>
      </w:r>
    </w:p>
    <w:p w14:paraId="256753E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4AB357D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6BCD7F2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2EE947B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7AE5DC64">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10.2有违法违规行为的原评标委员会成员不得参加重新组建的评标委员会。</w:t>
      </w:r>
    </w:p>
    <w:p w14:paraId="0C9F18E0">
      <w:pPr>
        <w:pStyle w:val="23"/>
        <w:shd w:val="clear"/>
        <w:adjustRightInd w:val="0"/>
        <w:snapToGrid w:val="0"/>
        <w:spacing w:line="360" w:lineRule="auto"/>
        <w:jc w:val="center"/>
        <w:outlineLvl w:val="0"/>
        <w:rPr>
          <w:rFonts w:ascii="黑体" w:hAnsi="华文中宋" w:eastAsia="黑体"/>
          <w:b/>
          <w:color w:val="auto"/>
          <w:sz w:val="32"/>
          <w:szCs w:val="32"/>
          <w:highlight w:val="none"/>
        </w:rPr>
      </w:pPr>
    </w:p>
    <w:p w14:paraId="5B110909">
      <w:pPr>
        <w:shd w:val="clear"/>
        <w:adjustRightInd w:val="0"/>
        <w:snapToGrid w:val="0"/>
        <w:spacing w:line="380" w:lineRule="exact"/>
        <w:ind w:firstLine="420" w:firstLineChars="200"/>
        <w:jc w:val="left"/>
        <w:rPr>
          <w:rFonts w:ascii="宋体" w:hAnsi="宋体"/>
          <w:color w:val="auto"/>
          <w:szCs w:val="21"/>
          <w:highlight w:val="none"/>
        </w:rPr>
      </w:pPr>
    </w:p>
    <w:p w14:paraId="6FA3648E">
      <w:pPr>
        <w:shd w:val="clear"/>
        <w:adjustRightInd w:val="0"/>
        <w:snapToGrid w:val="0"/>
        <w:spacing w:line="360" w:lineRule="auto"/>
        <w:ind w:firstLine="420" w:firstLineChars="200"/>
        <w:jc w:val="center"/>
        <w:rPr>
          <w:rFonts w:ascii="宋体" w:hAnsi="宋体"/>
          <w:color w:val="auto"/>
          <w:szCs w:val="21"/>
          <w:highlight w:val="none"/>
        </w:rPr>
      </w:pPr>
      <w:r>
        <w:rPr>
          <w:rFonts w:hint="eastAsia" w:ascii="宋体" w:hAnsi="宋体"/>
          <w:color w:val="auto"/>
          <w:szCs w:val="21"/>
          <w:highlight w:val="none"/>
        </w:rPr>
        <w:br w:type="page"/>
      </w:r>
    </w:p>
    <w:p w14:paraId="604D8764">
      <w:pPr>
        <w:pStyle w:val="2"/>
        <w:shd w:val="clear"/>
        <w:rPr>
          <w:rFonts w:ascii="黑体" w:hAnsi="黑体" w:eastAsia="黑体"/>
          <w:color w:val="auto"/>
          <w:sz w:val="32"/>
          <w:szCs w:val="32"/>
          <w:highlight w:val="none"/>
        </w:rPr>
      </w:pPr>
      <w:bookmarkStart w:id="47" w:name="_Toc78815073"/>
      <w:r>
        <w:rPr>
          <w:rFonts w:hint="eastAsia" w:ascii="黑体" w:hAnsi="黑体" w:eastAsia="黑体"/>
          <w:color w:val="auto"/>
          <w:sz w:val="32"/>
          <w:szCs w:val="32"/>
          <w:highlight w:val="none"/>
        </w:rPr>
        <w:t>第五章 采购需求</w:t>
      </w:r>
      <w:bookmarkEnd w:id="47"/>
    </w:p>
    <w:p w14:paraId="41326980">
      <w:pPr>
        <w:shd w:val="clear"/>
        <w:spacing w:line="276" w:lineRule="auto"/>
        <w:rPr>
          <w:rFonts w:ascii="宋体"/>
          <w:color w:val="auto"/>
          <w:szCs w:val="21"/>
          <w:highlight w:val="none"/>
        </w:rPr>
      </w:pPr>
      <w:r>
        <w:rPr>
          <w:rFonts w:hint="eastAsia" w:ascii="宋体"/>
          <w:b/>
          <w:color w:val="auto"/>
          <w:szCs w:val="21"/>
          <w:highlight w:val="none"/>
        </w:rPr>
        <w:t>说明：</w:t>
      </w:r>
    </w:p>
    <w:p w14:paraId="450D18E5">
      <w:pPr>
        <w:shd w:val="clear"/>
        <w:spacing w:line="276" w:lineRule="auto"/>
        <w:ind w:firstLine="437"/>
        <w:rPr>
          <w:rFonts w:ascii="宋体"/>
          <w:b/>
          <w:color w:val="auto"/>
          <w:szCs w:val="21"/>
          <w:highlight w:val="none"/>
        </w:rPr>
      </w:pPr>
      <w:r>
        <w:rPr>
          <w:rFonts w:hint="eastAsia" w:ascii="宋体"/>
          <w:b/>
          <w:bCs/>
          <w:color w:val="auto"/>
          <w:szCs w:val="21"/>
          <w:highlight w:val="none"/>
        </w:rPr>
        <w:t>1、</w:t>
      </w:r>
      <w:bookmarkStart w:id="48" w:name="_Hlk86937485"/>
      <w:r>
        <w:rPr>
          <w:rFonts w:hint="eastAsia" w:ascii="宋体" w:hAnsi="宋体"/>
          <w:b/>
          <w:color w:val="auto"/>
          <w:szCs w:val="21"/>
          <w:highlight w:val="none"/>
        </w:rPr>
        <w:t>招标文件中</w:t>
      </w:r>
      <w:r>
        <w:rPr>
          <w:rFonts w:hint="eastAsia" w:ascii="宋体"/>
          <w:b/>
          <w:color w:val="auto"/>
          <w:szCs w:val="21"/>
          <w:highlight w:val="none"/>
        </w:rPr>
        <w:t>打★号及表述为“须”或“必须”的条款均为实质性要求或条件，投标人必须作出满足或者优于该要求和条件的承诺</w:t>
      </w:r>
      <w:r>
        <w:rPr>
          <w:rFonts w:hint="eastAsia" w:ascii="宋体" w:hAnsi="宋体"/>
          <w:b/>
          <w:color w:val="auto"/>
          <w:szCs w:val="21"/>
          <w:highlight w:val="none"/>
        </w:rPr>
        <w:t>（另有要求的除外）</w:t>
      </w:r>
      <w:r>
        <w:rPr>
          <w:rFonts w:hint="eastAsia" w:ascii="宋体"/>
          <w:b/>
          <w:color w:val="auto"/>
          <w:szCs w:val="21"/>
          <w:highlight w:val="none"/>
        </w:rPr>
        <w:t>，否则投标无效。</w:t>
      </w:r>
      <w:bookmarkEnd w:id="48"/>
    </w:p>
    <w:p w14:paraId="69165884">
      <w:pPr>
        <w:shd w:val="clear"/>
        <w:spacing w:line="276" w:lineRule="auto"/>
        <w:ind w:firstLine="437"/>
        <w:rPr>
          <w:rFonts w:ascii="宋体"/>
          <w:b/>
          <w:bCs/>
          <w:color w:val="auto"/>
          <w:szCs w:val="21"/>
          <w:highlight w:val="none"/>
        </w:rPr>
      </w:pPr>
      <w:r>
        <w:rPr>
          <w:rFonts w:hint="eastAsia" w:ascii="宋体"/>
          <w:b/>
          <w:bCs/>
          <w:color w:val="auto"/>
          <w:szCs w:val="21"/>
          <w:highlight w:val="none"/>
        </w:rPr>
        <w:t>2、招标文件中所要求提供的证明材料，如为英文文本的请提供中文翻释文本。</w:t>
      </w:r>
    </w:p>
    <w:p w14:paraId="59BC8644">
      <w:pPr>
        <w:shd w:val="clear"/>
        <w:spacing w:line="276" w:lineRule="auto"/>
        <w:ind w:firstLine="437"/>
        <w:rPr>
          <w:rFonts w:ascii="宋体"/>
          <w:b/>
          <w:bCs/>
          <w:color w:val="auto"/>
          <w:szCs w:val="21"/>
          <w:highlight w:val="none"/>
        </w:rPr>
      </w:pPr>
      <w:r>
        <w:rPr>
          <w:rFonts w:hint="eastAsia" w:ascii="宋体"/>
          <w:b/>
          <w:bCs/>
          <w:color w:val="auto"/>
          <w:szCs w:val="21"/>
          <w:highlight w:val="none"/>
          <w:lang w:val="en-US" w:eastAsia="zh-CN"/>
        </w:rPr>
        <w:t>3</w:t>
      </w:r>
      <w:r>
        <w:rPr>
          <w:rFonts w:hint="eastAsia" w:ascii="宋体"/>
          <w:b/>
          <w:bCs/>
          <w:color w:val="auto"/>
          <w:szCs w:val="21"/>
          <w:highlight w:val="none"/>
        </w:rPr>
        <w:t>、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70AD6A21">
      <w:pPr>
        <w:shd w:val="clear"/>
        <w:spacing w:line="276" w:lineRule="auto"/>
        <w:ind w:firstLine="437"/>
        <w:rPr>
          <w:rFonts w:ascii="宋体"/>
          <w:b/>
          <w:bCs/>
          <w:color w:val="auto"/>
          <w:szCs w:val="21"/>
          <w:highlight w:val="none"/>
        </w:rPr>
      </w:pPr>
      <w:r>
        <w:rPr>
          <w:rFonts w:hint="eastAsia" w:ascii="宋体"/>
          <w:b/>
          <w:bCs/>
          <w:color w:val="auto"/>
          <w:szCs w:val="21"/>
          <w:highlight w:val="none"/>
          <w:lang w:val="en-US" w:eastAsia="zh-CN"/>
        </w:rPr>
        <w:t>4</w:t>
      </w:r>
      <w:r>
        <w:rPr>
          <w:rFonts w:hint="eastAsia" w:ascii="宋体"/>
          <w:b/>
          <w:bCs/>
          <w:color w:val="auto"/>
          <w:szCs w:val="21"/>
          <w:highlight w:val="none"/>
        </w:rPr>
        <w:t>、投标人所投标货物或服务如国家有强制性要求的按国家规定执行，并提供相关证明材料。若执行标准有修改或更新按最新版本执行。</w:t>
      </w:r>
    </w:p>
    <w:p w14:paraId="3A26898E">
      <w:pPr>
        <w:pStyle w:val="17"/>
        <w:shd w:val="clear"/>
        <w:rPr>
          <w:color w:val="auto"/>
          <w:highlight w:val="none"/>
        </w:rPr>
      </w:pPr>
    </w:p>
    <w:p w14:paraId="0262AF54">
      <w:pPr>
        <w:widowControl/>
        <w:shd w:val="clear"/>
        <w:spacing w:line="440" w:lineRule="exact"/>
        <w:jc w:val="left"/>
        <w:rPr>
          <w:rFonts w:hint="eastAsia" w:ascii="宋体" w:hAnsi="宋体"/>
          <w:b/>
          <w:color w:val="auto"/>
          <w:szCs w:val="21"/>
          <w:highlight w:val="none"/>
        </w:rPr>
      </w:pPr>
      <w:bookmarkStart w:id="49" w:name="_Toc23520003"/>
      <w:r>
        <w:rPr>
          <w:rFonts w:hint="eastAsia" w:ascii="宋体" w:hAnsi="宋体"/>
          <w:b/>
          <w:color w:val="auto"/>
          <w:szCs w:val="21"/>
          <w:highlight w:val="none"/>
        </w:rPr>
        <w:t>一、采购清单一览表</w:t>
      </w:r>
      <w:bookmarkEnd w:id="49"/>
    </w:p>
    <w:tbl>
      <w:tblPr>
        <w:tblStyle w:val="44"/>
        <w:tblW w:w="9369"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4980"/>
        <w:gridCol w:w="1673"/>
        <w:gridCol w:w="1848"/>
      </w:tblGrid>
      <w:tr w14:paraId="64B8FC8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17DF2EDE">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包号</w:t>
            </w:r>
          </w:p>
        </w:tc>
        <w:tc>
          <w:tcPr>
            <w:tcW w:w="4980" w:type="dxa"/>
            <w:tcBorders>
              <w:right w:val="single" w:color="auto" w:sz="4" w:space="0"/>
            </w:tcBorders>
            <w:vAlign w:val="center"/>
          </w:tcPr>
          <w:p w14:paraId="74FE7F41">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1673" w:type="dxa"/>
            <w:vAlign w:val="center"/>
          </w:tcPr>
          <w:p w14:paraId="49CFD3E0">
            <w:pPr>
              <w:widowControl/>
              <w:shd w:val="clear"/>
              <w:adjustRightInd w:val="0"/>
              <w:snapToGrid w:val="0"/>
              <w:jc w:val="center"/>
              <w:rPr>
                <w:rFonts w:hint="eastAsia" w:cs="宋体" w:asciiTheme="minorEastAsia" w:hAnsiTheme="minorEastAsia"/>
                <w:bCs/>
                <w:color w:val="auto"/>
                <w:szCs w:val="21"/>
                <w:highlight w:val="none"/>
              </w:rPr>
            </w:pPr>
            <w:r>
              <w:rPr>
                <w:rFonts w:hint="eastAsia" w:cs="宋体" w:asciiTheme="minorEastAsia" w:hAnsiTheme="minorEastAsia"/>
                <w:color w:val="auto"/>
                <w:szCs w:val="21"/>
                <w:highlight w:val="none"/>
              </w:rPr>
              <w:t>数量</w:t>
            </w:r>
          </w:p>
        </w:tc>
        <w:tc>
          <w:tcPr>
            <w:tcW w:w="1848" w:type="dxa"/>
            <w:vAlign w:val="center"/>
          </w:tcPr>
          <w:p w14:paraId="1725C39F">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48E3266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restart"/>
            <w:vAlign w:val="center"/>
          </w:tcPr>
          <w:p w14:paraId="17951CDA">
            <w:pPr>
              <w:pStyle w:val="23"/>
              <w:shd w:val="clear"/>
              <w:adjustRightInd w:val="0"/>
              <w:snapToGrid w:val="0"/>
              <w:jc w:val="center"/>
              <w:rPr>
                <w:rFonts w:asciiTheme="minorEastAsia" w:hAnsiTheme="minorEastAsia"/>
                <w:b/>
                <w:color w:val="auto"/>
                <w:highlight w:val="none"/>
              </w:rPr>
            </w:pPr>
            <w:r>
              <w:rPr>
                <w:rFonts w:hint="eastAsia" w:asciiTheme="minorEastAsia" w:hAnsiTheme="minorEastAsia"/>
                <w:b/>
                <w:color w:val="auto"/>
                <w:highlight w:val="none"/>
              </w:rPr>
              <w:t>1</w:t>
            </w:r>
          </w:p>
        </w:tc>
        <w:tc>
          <w:tcPr>
            <w:tcW w:w="4980" w:type="dxa"/>
            <w:tcBorders>
              <w:right w:val="single" w:color="auto" w:sz="4" w:space="0"/>
            </w:tcBorders>
            <w:vAlign w:val="center"/>
          </w:tcPr>
          <w:p w14:paraId="3FA91FF5">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无创呼吸机</w:t>
            </w:r>
          </w:p>
        </w:tc>
        <w:tc>
          <w:tcPr>
            <w:tcW w:w="1673" w:type="dxa"/>
            <w:vAlign w:val="center"/>
          </w:tcPr>
          <w:p w14:paraId="6163FCF6">
            <w:pPr>
              <w:pStyle w:val="23"/>
              <w:shd w:val="clear"/>
              <w:adjustRightInd w:val="0"/>
              <w:snapToGrid w:val="0"/>
              <w:jc w:val="center"/>
              <w:rPr>
                <w:rFonts w:hint="default" w:eastAsia="宋体"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1848" w:type="dxa"/>
            <w:vAlign w:val="center"/>
          </w:tcPr>
          <w:p w14:paraId="34910D5E">
            <w:pPr>
              <w:pStyle w:val="23"/>
              <w:shd w:val="clear"/>
              <w:adjustRightInd w:val="0"/>
              <w:snapToGrid w:val="0"/>
              <w:jc w:val="center"/>
              <w:rPr>
                <w:rFonts w:asciiTheme="minorEastAsia" w:hAnsiTheme="minorEastAsia"/>
                <w:b/>
                <w:color w:val="auto"/>
                <w:highlight w:val="none"/>
              </w:rPr>
            </w:pPr>
          </w:p>
        </w:tc>
      </w:tr>
      <w:tr w14:paraId="08934B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E4CD658">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5468F43C">
            <w:pPr>
              <w:shd w:val="clear"/>
              <w:adjustRightInd w:val="0"/>
              <w:snapToGrid w:val="0"/>
              <w:jc w:val="left"/>
              <w:rPr>
                <w:rFonts w:hint="eastAsia" w:hAnsi="宋体" w:eastAsia="宋体" w:cs="宋体"/>
                <w:bCs/>
                <w:color w:val="auto"/>
                <w:highlight w:val="none"/>
                <w:lang w:val="en-US" w:eastAsia="zh-CN"/>
              </w:rPr>
            </w:pPr>
            <w:r>
              <w:rPr>
                <w:rFonts w:hint="default" w:asciiTheme="minorEastAsia" w:hAnsiTheme="minorEastAsia"/>
                <w:bCs/>
                <w:color w:val="auto"/>
                <w:highlight w:val="none"/>
                <w:lang w:val="en-US"/>
              </w:rPr>
              <w:t>无创呼吸机</w:t>
            </w:r>
            <w:r>
              <w:rPr>
                <w:rFonts w:hint="eastAsia" w:asciiTheme="minorEastAsia" w:hAnsiTheme="minorEastAsia"/>
                <w:bCs/>
                <w:color w:val="auto"/>
                <w:highlight w:val="none"/>
                <w:lang w:val="en-US" w:eastAsia="zh-CN"/>
              </w:rPr>
              <w:t>（兼有创）</w:t>
            </w:r>
          </w:p>
        </w:tc>
        <w:tc>
          <w:tcPr>
            <w:tcW w:w="1673" w:type="dxa"/>
            <w:vAlign w:val="center"/>
          </w:tcPr>
          <w:p w14:paraId="6A10BC32">
            <w:pPr>
              <w:pStyle w:val="23"/>
              <w:shd w:val="clear"/>
              <w:adjustRightInd w:val="0"/>
              <w:snapToGrid w:val="0"/>
              <w:jc w:val="center"/>
              <w:rPr>
                <w:rFonts w:hint="default" w:asciiTheme="minorEastAsia" w:hAnsiTheme="minorEastAsia"/>
                <w:b w:val="0"/>
                <w:bCs/>
                <w:color w:val="auto"/>
                <w:highlight w:val="none"/>
                <w:lang w:val="en-US"/>
              </w:rPr>
            </w:pPr>
            <w:r>
              <w:rPr>
                <w:rFonts w:hint="eastAsia" w:asciiTheme="minorEastAsia" w:hAnsiTheme="minorEastAsia"/>
                <w:b w:val="0"/>
                <w:bCs/>
                <w:color w:val="auto"/>
                <w:highlight w:val="none"/>
                <w:lang w:val="en-US" w:eastAsia="zh-CN"/>
              </w:rPr>
              <w:t>2台</w:t>
            </w:r>
          </w:p>
        </w:tc>
        <w:tc>
          <w:tcPr>
            <w:tcW w:w="1848" w:type="dxa"/>
            <w:vAlign w:val="center"/>
          </w:tcPr>
          <w:p w14:paraId="71B515C9">
            <w:pPr>
              <w:pStyle w:val="23"/>
              <w:shd w:val="clear"/>
              <w:adjustRightInd w:val="0"/>
              <w:snapToGrid w:val="0"/>
              <w:jc w:val="center"/>
              <w:rPr>
                <w:rFonts w:asciiTheme="minorEastAsia" w:hAnsiTheme="minorEastAsia"/>
                <w:b/>
                <w:color w:val="auto"/>
                <w:highlight w:val="none"/>
              </w:rPr>
            </w:pPr>
          </w:p>
        </w:tc>
      </w:tr>
      <w:tr w14:paraId="4D9B112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31EF14E3">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1345D8FC">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有创呼吸机</w:t>
            </w:r>
          </w:p>
        </w:tc>
        <w:tc>
          <w:tcPr>
            <w:tcW w:w="1673" w:type="dxa"/>
            <w:vAlign w:val="center"/>
          </w:tcPr>
          <w:p w14:paraId="0F092431">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1848" w:type="dxa"/>
            <w:vAlign w:val="center"/>
          </w:tcPr>
          <w:p w14:paraId="2F51CB86">
            <w:pPr>
              <w:pStyle w:val="23"/>
              <w:shd w:val="clear"/>
              <w:adjustRightInd w:val="0"/>
              <w:snapToGrid w:val="0"/>
              <w:jc w:val="center"/>
              <w:rPr>
                <w:rFonts w:asciiTheme="minorEastAsia" w:hAnsiTheme="minorEastAsia"/>
                <w:b/>
                <w:color w:val="auto"/>
                <w:highlight w:val="none"/>
              </w:rPr>
            </w:pPr>
          </w:p>
        </w:tc>
      </w:tr>
      <w:tr w14:paraId="1E05283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1809317D">
            <w:pPr>
              <w:pStyle w:val="23"/>
              <w:shd w:val="clear"/>
              <w:adjustRightInd w:val="0"/>
              <w:snapToGrid w:val="0"/>
              <w:jc w:val="center"/>
              <w:rPr>
                <w:rFonts w:hint="eastAsia" w:eastAsia="宋体" w:asciiTheme="minorEastAsia" w:hAnsiTheme="minorEastAsia"/>
                <w:b/>
                <w:color w:val="auto"/>
                <w:highlight w:val="none"/>
                <w:lang w:val="en-US" w:eastAsia="zh-CN"/>
              </w:rPr>
            </w:pPr>
          </w:p>
        </w:tc>
        <w:tc>
          <w:tcPr>
            <w:tcW w:w="4980" w:type="dxa"/>
            <w:tcBorders>
              <w:right w:val="single" w:color="auto" w:sz="4" w:space="0"/>
            </w:tcBorders>
            <w:vAlign w:val="center"/>
          </w:tcPr>
          <w:p w14:paraId="43D56A3C">
            <w:pPr>
              <w:shd w:val="clear"/>
              <w:adjustRightInd w:val="0"/>
              <w:snapToGrid w:val="0"/>
              <w:jc w:val="left"/>
              <w:rPr>
                <w:rFonts w:hint="default" w:eastAsia="宋体" w:cs="Times New Roman" w:asciiTheme="minorEastAsia" w:hAnsiTheme="minorEastAsia"/>
                <w:bCs/>
                <w:color w:val="auto"/>
                <w:highlight w:val="none"/>
                <w:lang w:val="en-US"/>
              </w:rPr>
            </w:pPr>
            <w:r>
              <w:rPr>
                <w:rFonts w:hint="default" w:eastAsia="宋体" w:cs="Times New Roman" w:asciiTheme="minorEastAsia" w:hAnsiTheme="minorEastAsia"/>
                <w:bCs/>
                <w:color w:val="auto"/>
                <w:highlight w:val="none"/>
                <w:lang w:val="en-US"/>
              </w:rPr>
              <w:t xml:space="preserve"> 除颤仪</w:t>
            </w:r>
          </w:p>
        </w:tc>
        <w:tc>
          <w:tcPr>
            <w:tcW w:w="1673" w:type="dxa"/>
            <w:vAlign w:val="center"/>
          </w:tcPr>
          <w:p w14:paraId="37AB2740">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1848" w:type="dxa"/>
            <w:vAlign w:val="center"/>
          </w:tcPr>
          <w:p w14:paraId="69C11D3A">
            <w:pPr>
              <w:pStyle w:val="23"/>
              <w:shd w:val="clear"/>
              <w:adjustRightInd w:val="0"/>
              <w:snapToGrid w:val="0"/>
              <w:jc w:val="center"/>
              <w:rPr>
                <w:rFonts w:asciiTheme="minorEastAsia" w:hAnsiTheme="minorEastAsia"/>
                <w:b/>
                <w:color w:val="auto"/>
                <w:highlight w:val="none"/>
              </w:rPr>
            </w:pPr>
          </w:p>
        </w:tc>
      </w:tr>
      <w:tr w14:paraId="60AB65D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0560EDB0">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2F69B949">
            <w:pPr>
              <w:shd w:val="clear"/>
              <w:adjustRightInd w:val="0"/>
              <w:snapToGrid w:val="0"/>
              <w:jc w:val="left"/>
              <w:rPr>
                <w:rFonts w:hint="default" w:eastAsia="宋体" w:cs="Times New Roman" w:asciiTheme="minorEastAsia" w:hAnsiTheme="minorEastAsia"/>
                <w:bCs/>
                <w:color w:val="auto"/>
                <w:highlight w:val="none"/>
                <w:lang w:val="en-US"/>
              </w:rPr>
            </w:pPr>
            <w:r>
              <w:rPr>
                <w:rFonts w:hint="eastAsia" w:eastAsia="宋体" w:cs="Times New Roman" w:asciiTheme="minorEastAsia" w:hAnsiTheme="minorEastAsia"/>
                <w:bCs/>
                <w:color w:val="auto"/>
                <w:highlight w:val="none"/>
                <w:lang w:val="en-US" w:eastAsia="zh-CN"/>
              </w:rPr>
              <w:t>心肺复苏器</w:t>
            </w:r>
          </w:p>
        </w:tc>
        <w:tc>
          <w:tcPr>
            <w:tcW w:w="1673" w:type="dxa"/>
            <w:vAlign w:val="center"/>
          </w:tcPr>
          <w:p w14:paraId="0D4C922A">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1848" w:type="dxa"/>
            <w:vAlign w:val="center"/>
          </w:tcPr>
          <w:p w14:paraId="18DD9266">
            <w:pPr>
              <w:pStyle w:val="23"/>
              <w:shd w:val="clear"/>
              <w:adjustRightInd w:val="0"/>
              <w:snapToGrid w:val="0"/>
              <w:jc w:val="center"/>
              <w:rPr>
                <w:rFonts w:asciiTheme="minorEastAsia" w:hAnsiTheme="minorEastAsia"/>
                <w:b/>
                <w:color w:val="auto"/>
                <w:highlight w:val="none"/>
              </w:rPr>
            </w:pPr>
          </w:p>
        </w:tc>
      </w:tr>
      <w:tr w14:paraId="5452C24E">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restart"/>
            <w:vAlign w:val="center"/>
          </w:tcPr>
          <w:p w14:paraId="0A5AF008">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2</w:t>
            </w:r>
          </w:p>
        </w:tc>
        <w:tc>
          <w:tcPr>
            <w:tcW w:w="4980" w:type="dxa"/>
            <w:tcBorders>
              <w:right w:val="single" w:color="auto" w:sz="4" w:space="0"/>
            </w:tcBorders>
            <w:vAlign w:val="center"/>
          </w:tcPr>
          <w:p w14:paraId="779BB4B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转运心电监护仪</w:t>
            </w:r>
          </w:p>
        </w:tc>
        <w:tc>
          <w:tcPr>
            <w:tcW w:w="1673" w:type="dxa"/>
            <w:vAlign w:val="center"/>
          </w:tcPr>
          <w:p w14:paraId="5D87A99E">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1848" w:type="dxa"/>
            <w:vAlign w:val="center"/>
          </w:tcPr>
          <w:p w14:paraId="70D84C36">
            <w:pPr>
              <w:pStyle w:val="23"/>
              <w:shd w:val="clear"/>
              <w:adjustRightInd w:val="0"/>
              <w:snapToGrid w:val="0"/>
              <w:jc w:val="center"/>
              <w:rPr>
                <w:rFonts w:asciiTheme="minorEastAsia" w:hAnsiTheme="minorEastAsia"/>
                <w:b/>
                <w:color w:val="auto"/>
                <w:highlight w:val="none"/>
              </w:rPr>
            </w:pPr>
          </w:p>
        </w:tc>
      </w:tr>
      <w:tr w14:paraId="4006ACF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B9685BC">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07ABA69F">
            <w:pPr>
              <w:shd w:val="clear"/>
              <w:adjustRightInd w:val="0"/>
              <w:snapToGrid w:val="0"/>
              <w:jc w:val="left"/>
              <w:rPr>
                <w:rFonts w:hint="default" w:asciiTheme="minorEastAsia" w:hAnsiTheme="minorEastAsia"/>
                <w:bCs/>
                <w:color w:val="auto"/>
                <w:highlight w:val="none"/>
                <w:lang w:val="en-US"/>
              </w:rPr>
            </w:pPr>
            <w:r>
              <w:rPr>
                <w:rFonts w:hint="eastAsia" w:asciiTheme="minorEastAsia" w:hAnsiTheme="minorEastAsia"/>
                <w:bCs/>
                <w:color w:val="auto"/>
                <w:highlight w:val="none"/>
                <w:lang w:val="en-US" w:eastAsia="zh-CN"/>
              </w:rPr>
              <w:t>移动</w:t>
            </w:r>
            <w:r>
              <w:rPr>
                <w:rFonts w:hint="default" w:asciiTheme="minorEastAsia" w:hAnsiTheme="minorEastAsia"/>
                <w:bCs/>
                <w:color w:val="auto"/>
                <w:highlight w:val="none"/>
                <w:lang w:val="en-US"/>
              </w:rPr>
              <w:t>心电监护仪</w:t>
            </w:r>
          </w:p>
        </w:tc>
        <w:tc>
          <w:tcPr>
            <w:tcW w:w="1673" w:type="dxa"/>
            <w:vAlign w:val="center"/>
          </w:tcPr>
          <w:p w14:paraId="588614B1">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17台</w:t>
            </w:r>
          </w:p>
        </w:tc>
        <w:tc>
          <w:tcPr>
            <w:tcW w:w="1848" w:type="dxa"/>
            <w:vAlign w:val="center"/>
          </w:tcPr>
          <w:p w14:paraId="54E03553">
            <w:pPr>
              <w:pStyle w:val="23"/>
              <w:shd w:val="clear"/>
              <w:adjustRightInd w:val="0"/>
              <w:snapToGrid w:val="0"/>
              <w:jc w:val="center"/>
              <w:rPr>
                <w:rFonts w:asciiTheme="minorEastAsia" w:hAnsiTheme="minorEastAsia"/>
                <w:b/>
                <w:color w:val="auto"/>
                <w:highlight w:val="none"/>
              </w:rPr>
            </w:pPr>
          </w:p>
        </w:tc>
      </w:tr>
      <w:tr w14:paraId="4C821BE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3CE73AC0">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34FF19E7">
            <w:pPr>
              <w:shd w:val="clear"/>
              <w:adjustRightInd w:val="0"/>
              <w:snapToGrid w:val="0"/>
              <w:jc w:val="left"/>
              <w:rPr>
                <w:rFonts w:hint="default"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心电监护仪</w:t>
            </w:r>
          </w:p>
        </w:tc>
        <w:tc>
          <w:tcPr>
            <w:tcW w:w="1673" w:type="dxa"/>
            <w:vAlign w:val="center"/>
          </w:tcPr>
          <w:p w14:paraId="257BCE9E">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1848" w:type="dxa"/>
            <w:vAlign w:val="center"/>
          </w:tcPr>
          <w:p w14:paraId="5C1A0D7F">
            <w:pPr>
              <w:pStyle w:val="23"/>
              <w:shd w:val="clear"/>
              <w:adjustRightInd w:val="0"/>
              <w:snapToGrid w:val="0"/>
              <w:jc w:val="center"/>
              <w:rPr>
                <w:rFonts w:asciiTheme="minorEastAsia" w:hAnsiTheme="minorEastAsia"/>
                <w:b/>
                <w:color w:val="auto"/>
                <w:highlight w:val="none"/>
              </w:rPr>
            </w:pPr>
          </w:p>
        </w:tc>
      </w:tr>
      <w:tr w14:paraId="052964A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0F2AA21C">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1E01FAF7">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有创心电监护</w:t>
            </w:r>
          </w:p>
        </w:tc>
        <w:tc>
          <w:tcPr>
            <w:tcW w:w="1673" w:type="dxa"/>
            <w:vAlign w:val="center"/>
          </w:tcPr>
          <w:p w14:paraId="2058BD38">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4台</w:t>
            </w:r>
          </w:p>
        </w:tc>
        <w:tc>
          <w:tcPr>
            <w:tcW w:w="1848" w:type="dxa"/>
            <w:vAlign w:val="center"/>
          </w:tcPr>
          <w:p w14:paraId="1373DC2B">
            <w:pPr>
              <w:pStyle w:val="23"/>
              <w:shd w:val="clear"/>
              <w:adjustRightInd w:val="0"/>
              <w:snapToGrid w:val="0"/>
              <w:jc w:val="center"/>
              <w:rPr>
                <w:rFonts w:asciiTheme="minorEastAsia" w:hAnsiTheme="minorEastAsia"/>
                <w:b/>
                <w:color w:val="auto"/>
                <w:highlight w:val="none"/>
              </w:rPr>
            </w:pPr>
          </w:p>
        </w:tc>
      </w:tr>
      <w:tr w14:paraId="59AF128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57FC6A57">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3E5BE70A">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遥测心电监护</w:t>
            </w:r>
            <w:r>
              <w:rPr>
                <w:rFonts w:hint="eastAsia" w:asciiTheme="minorEastAsia" w:hAnsiTheme="minorEastAsia"/>
                <w:bCs/>
                <w:color w:val="auto"/>
                <w:highlight w:val="none"/>
                <w:lang w:val="en-US" w:eastAsia="zh-CN"/>
              </w:rPr>
              <w:t>仪</w:t>
            </w:r>
          </w:p>
        </w:tc>
        <w:tc>
          <w:tcPr>
            <w:tcW w:w="1673" w:type="dxa"/>
            <w:vAlign w:val="center"/>
          </w:tcPr>
          <w:p w14:paraId="5847A9F3">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1848" w:type="dxa"/>
            <w:vAlign w:val="center"/>
          </w:tcPr>
          <w:p w14:paraId="1DAAC863">
            <w:pPr>
              <w:pStyle w:val="23"/>
              <w:shd w:val="clear"/>
              <w:adjustRightInd w:val="0"/>
              <w:snapToGrid w:val="0"/>
              <w:jc w:val="center"/>
              <w:rPr>
                <w:rFonts w:asciiTheme="minorEastAsia" w:hAnsiTheme="minorEastAsia"/>
                <w:b/>
                <w:color w:val="auto"/>
                <w:highlight w:val="none"/>
              </w:rPr>
            </w:pPr>
          </w:p>
        </w:tc>
      </w:tr>
      <w:tr w14:paraId="074CD62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BFA95A8">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52D5E75F">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单通道注射泵</w:t>
            </w:r>
          </w:p>
        </w:tc>
        <w:tc>
          <w:tcPr>
            <w:tcW w:w="1673" w:type="dxa"/>
            <w:vAlign w:val="center"/>
          </w:tcPr>
          <w:p w14:paraId="45526503">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14台</w:t>
            </w:r>
          </w:p>
        </w:tc>
        <w:tc>
          <w:tcPr>
            <w:tcW w:w="1848" w:type="dxa"/>
            <w:vAlign w:val="center"/>
          </w:tcPr>
          <w:p w14:paraId="65428115">
            <w:pPr>
              <w:pStyle w:val="23"/>
              <w:shd w:val="clear"/>
              <w:adjustRightInd w:val="0"/>
              <w:snapToGrid w:val="0"/>
              <w:jc w:val="center"/>
              <w:rPr>
                <w:rFonts w:asciiTheme="minorEastAsia" w:hAnsiTheme="minorEastAsia"/>
                <w:b/>
                <w:color w:val="auto"/>
                <w:highlight w:val="none"/>
              </w:rPr>
            </w:pPr>
          </w:p>
        </w:tc>
      </w:tr>
      <w:tr w14:paraId="520D95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2EF1DBB">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4244A8FF">
            <w:pPr>
              <w:shd w:val="clear"/>
              <w:adjustRightInd w:val="0"/>
              <w:snapToGrid w:val="0"/>
              <w:jc w:val="left"/>
              <w:rPr>
                <w:rFonts w:hint="default"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四通道</w:t>
            </w:r>
            <w:r>
              <w:rPr>
                <w:rFonts w:hint="default" w:asciiTheme="minorEastAsia" w:hAnsiTheme="minorEastAsia"/>
                <w:bCs/>
                <w:color w:val="auto"/>
                <w:highlight w:val="none"/>
                <w:lang w:val="en-US"/>
              </w:rPr>
              <w:t>注射泵</w:t>
            </w:r>
          </w:p>
        </w:tc>
        <w:tc>
          <w:tcPr>
            <w:tcW w:w="1673" w:type="dxa"/>
            <w:vAlign w:val="center"/>
          </w:tcPr>
          <w:p w14:paraId="4F43EC33">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1848" w:type="dxa"/>
            <w:vAlign w:val="center"/>
          </w:tcPr>
          <w:p w14:paraId="186608F8">
            <w:pPr>
              <w:pStyle w:val="23"/>
              <w:shd w:val="clear"/>
              <w:adjustRightInd w:val="0"/>
              <w:snapToGrid w:val="0"/>
              <w:jc w:val="center"/>
              <w:rPr>
                <w:rFonts w:asciiTheme="minorEastAsia" w:hAnsiTheme="minorEastAsia"/>
                <w:b/>
                <w:color w:val="auto"/>
                <w:highlight w:val="none"/>
              </w:rPr>
            </w:pPr>
          </w:p>
        </w:tc>
      </w:tr>
      <w:tr w14:paraId="601C100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4B9BA5AC">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47F8965D">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单通道输液泵</w:t>
            </w:r>
          </w:p>
        </w:tc>
        <w:tc>
          <w:tcPr>
            <w:tcW w:w="1673" w:type="dxa"/>
            <w:vAlign w:val="center"/>
          </w:tcPr>
          <w:p w14:paraId="7503FFD6">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18台</w:t>
            </w:r>
          </w:p>
        </w:tc>
        <w:tc>
          <w:tcPr>
            <w:tcW w:w="1848" w:type="dxa"/>
            <w:vAlign w:val="center"/>
          </w:tcPr>
          <w:p w14:paraId="2C7447A0">
            <w:pPr>
              <w:pStyle w:val="23"/>
              <w:shd w:val="clear"/>
              <w:adjustRightInd w:val="0"/>
              <w:snapToGrid w:val="0"/>
              <w:jc w:val="center"/>
              <w:rPr>
                <w:rFonts w:asciiTheme="minorEastAsia" w:hAnsiTheme="minorEastAsia"/>
                <w:b/>
                <w:color w:val="auto"/>
                <w:highlight w:val="none"/>
              </w:rPr>
            </w:pPr>
          </w:p>
        </w:tc>
      </w:tr>
      <w:tr w14:paraId="7186096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2AAA6226">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0E19EFEF">
            <w:pPr>
              <w:shd w:val="clear"/>
              <w:adjustRightInd w:val="0"/>
              <w:snapToGrid w:val="0"/>
              <w:jc w:val="left"/>
              <w:rPr>
                <w:rFonts w:hint="eastAsia" w:eastAsia="宋体" w:asciiTheme="minorEastAsia" w:hAnsiTheme="minorEastAsia"/>
                <w:bCs/>
                <w:color w:val="auto"/>
                <w:highlight w:val="none"/>
                <w:lang w:val="en-US" w:eastAsia="zh-CN"/>
              </w:rPr>
            </w:pPr>
            <w:r>
              <w:rPr>
                <w:rFonts w:hint="eastAsia" w:eastAsia="宋体" w:asciiTheme="minorEastAsia" w:hAnsiTheme="minorEastAsia"/>
                <w:bCs/>
                <w:color w:val="auto"/>
                <w:highlight w:val="none"/>
                <w:lang w:val="en-US" w:eastAsia="zh-CN"/>
              </w:rPr>
              <w:t>四通道输注泵</w:t>
            </w:r>
          </w:p>
        </w:tc>
        <w:tc>
          <w:tcPr>
            <w:tcW w:w="1673" w:type="dxa"/>
            <w:vAlign w:val="center"/>
          </w:tcPr>
          <w:p w14:paraId="589A94B0">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1848" w:type="dxa"/>
            <w:vAlign w:val="center"/>
          </w:tcPr>
          <w:p w14:paraId="106E09AD">
            <w:pPr>
              <w:pStyle w:val="23"/>
              <w:shd w:val="clear"/>
              <w:adjustRightInd w:val="0"/>
              <w:snapToGrid w:val="0"/>
              <w:jc w:val="center"/>
              <w:rPr>
                <w:rFonts w:asciiTheme="minorEastAsia" w:hAnsiTheme="minorEastAsia"/>
                <w:b/>
                <w:color w:val="auto"/>
                <w:highlight w:val="none"/>
              </w:rPr>
            </w:pPr>
          </w:p>
        </w:tc>
      </w:tr>
      <w:tr w14:paraId="60A8A4C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72B4B2B1">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7DB11B01">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胰岛素泵</w:t>
            </w:r>
          </w:p>
        </w:tc>
        <w:tc>
          <w:tcPr>
            <w:tcW w:w="1673" w:type="dxa"/>
            <w:vAlign w:val="center"/>
          </w:tcPr>
          <w:p w14:paraId="7226D018">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1848" w:type="dxa"/>
            <w:vAlign w:val="center"/>
          </w:tcPr>
          <w:p w14:paraId="323E9497">
            <w:pPr>
              <w:pStyle w:val="23"/>
              <w:shd w:val="clear"/>
              <w:adjustRightInd w:val="0"/>
              <w:snapToGrid w:val="0"/>
              <w:jc w:val="center"/>
              <w:rPr>
                <w:rFonts w:asciiTheme="minorEastAsia" w:hAnsiTheme="minorEastAsia"/>
                <w:b/>
                <w:color w:val="auto"/>
                <w:highlight w:val="none"/>
              </w:rPr>
            </w:pPr>
          </w:p>
        </w:tc>
      </w:tr>
      <w:tr w14:paraId="6F81B37F">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vMerge w:val="continue"/>
            <w:vAlign w:val="center"/>
          </w:tcPr>
          <w:p w14:paraId="68CEC261">
            <w:pPr>
              <w:pStyle w:val="23"/>
              <w:shd w:val="clear"/>
              <w:adjustRightInd w:val="0"/>
              <w:snapToGrid w:val="0"/>
              <w:jc w:val="center"/>
              <w:rPr>
                <w:rFonts w:asciiTheme="minorEastAsia" w:hAnsiTheme="minorEastAsia"/>
                <w:b/>
                <w:color w:val="auto"/>
                <w:highlight w:val="none"/>
              </w:rPr>
            </w:pPr>
          </w:p>
        </w:tc>
        <w:tc>
          <w:tcPr>
            <w:tcW w:w="4980" w:type="dxa"/>
            <w:tcBorders>
              <w:right w:val="single" w:color="auto" w:sz="4" w:space="0"/>
            </w:tcBorders>
            <w:vAlign w:val="center"/>
          </w:tcPr>
          <w:p w14:paraId="4553CEC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高流量湿化仪</w:t>
            </w:r>
          </w:p>
        </w:tc>
        <w:tc>
          <w:tcPr>
            <w:tcW w:w="1673" w:type="dxa"/>
            <w:vAlign w:val="center"/>
          </w:tcPr>
          <w:p w14:paraId="4C193C2B">
            <w:pPr>
              <w:pStyle w:val="23"/>
              <w:shd w:val="clear"/>
              <w:adjustRightInd w:val="0"/>
              <w:snapToGrid w:val="0"/>
              <w:jc w:val="center"/>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1848" w:type="dxa"/>
            <w:vAlign w:val="center"/>
          </w:tcPr>
          <w:p w14:paraId="06292C3B">
            <w:pPr>
              <w:pStyle w:val="23"/>
              <w:shd w:val="clear"/>
              <w:adjustRightInd w:val="0"/>
              <w:snapToGrid w:val="0"/>
              <w:jc w:val="center"/>
              <w:rPr>
                <w:rFonts w:asciiTheme="minorEastAsia" w:hAnsiTheme="minorEastAsia"/>
                <w:b/>
                <w:color w:val="auto"/>
                <w:highlight w:val="none"/>
              </w:rPr>
            </w:pPr>
          </w:p>
        </w:tc>
      </w:tr>
    </w:tbl>
    <w:p w14:paraId="78B4ACFF">
      <w:pPr>
        <w:widowControl/>
        <w:shd w:val="clear"/>
        <w:spacing w:line="440" w:lineRule="exact"/>
        <w:jc w:val="left"/>
        <w:rPr>
          <w:rFonts w:hint="eastAsia" w:ascii="宋体" w:hAnsi="宋体"/>
          <w:b/>
          <w:color w:val="auto"/>
          <w:szCs w:val="21"/>
          <w:highlight w:val="none"/>
        </w:rPr>
      </w:pPr>
    </w:p>
    <w:p w14:paraId="7FEBA890">
      <w:pPr>
        <w:shd w:val="clear"/>
        <w:adjustRightInd w:val="0"/>
        <w:snapToGrid w:val="0"/>
        <w:spacing w:before="156" w:beforeLines="50"/>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1、“包”为最小投标单位。每一“包”内容应细化到“品目”（如果分品目的）。</w:t>
      </w:r>
    </w:p>
    <w:p w14:paraId="1B14DF52">
      <w:pPr>
        <w:shd w:val="clear"/>
        <w:adjustRightInd w:val="0"/>
        <w:snapToGrid w:val="0"/>
        <w:spacing w:before="156" w:beforeLines="50"/>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2、投标人必须对一个完整、独立的包进行投标，不得仅对一个包中的部分品目投标，否则投标无效。</w:t>
      </w:r>
    </w:p>
    <w:p w14:paraId="18BB6AF8">
      <w:pPr>
        <w:shd w:val="clear"/>
        <w:adjustRightInd w:val="0"/>
        <w:snapToGrid w:val="0"/>
        <w:spacing w:before="156" w:beforeLines="50"/>
        <w:ind w:firstLine="420" w:firstLineChars="200"/>
        <w:rPr>
          <w:rFonts w:cs="宋体" w:asciiTheme="minorEastAsia" w:hAnsiTheme="minorEastAsia"/>
          <w:color w:val="auto"/>
          <w:kern w:val="0"/>
          <w:szCs w:val="21"/>
          <w:highlight w:val="none"/>
        </w:rPr>
      </w:pPr>
      <w:r>
        <w:rPr>
          <w:rFonts w:hint="eastAsia" w:asciiTheme="minorEastAsia" w:hAnsiTheme="minorEastAsia"/>
          <w:color w:val="auto"/>
          <w:szCs w:val="21"/>
          <w:highlight w:val="none"/>
        </w:rPr>
        <w:t>3、货物的主要技术参数或规格：</w:t>
      </w:r>
      <w:r>
        <w:rPr>
          <w:rFonts w:cs="宋体" w:asciiTheme="minorEastAsia" w:hAnsiTheme="minorEastAsia"/>
          <w:color w:val="auto"/>
          <w:kern w:val="0"/>
          <w:szCs w:val="21"/>
          <w:highlight w:val="none"/>
        </w:rPr>
        <w:t>详见“技术要求”中的具体技术参数</w:t>
      </w:r>
      <w:r>
        <w:rPr>
          <w:rFonts w:hint="eastAsia" w:cs="宋体" w:asciiTheme="minorEastAsia" w:hAnsiTheme="minorEastAsia"/>
          <w:color w:val="auto"/>
          <w:kern w:val="0"/>
          <w:szCs w:val="21"/>
          <w:highlight w:val="none"/>
        </w:rPr>
        <w:t>。</w:t>
      </w:r>
    </w:p>
    <w:p w14:paraId="0B03CC84">
      <w:pPr>
        <w:shd w:val="clear"/>
        <w:adjustRightInd w:val="0"/>
        <w:snapToGrid w:val="0"/>
        <w:spacing w:before="156" w:beforeLines="50"/>
        <w:ind w:firstLine="420" w:firstLineChars="200"/>
        <w:rPr>
          <w:rFonts w:cs="宋体" w:asciiTheme="minorEastAsia" w:hAnsiTheme="minorEastAsia"/>
          <w:color w:val="auto"/>
          <w:kern w:val="0"/>
          <w:szCs w:val="21"/>
          <w:highlight w:val="none"/>
        </w:rPr>
      </w:pPr>
      <w:r>
        <w:rPr>
          <w:rFonts w:hint="eastAsia" w:ascii="宋体" w:hAnsi="宋体" w:cs="宋体"/>
          <w:bCs/>
          <w:color w:val="auto"/>
          <w:kern w:val="0"/>
          <w:szCs w:val="21"/>
          <w:highlight w:val="none"/>
        </w:rPr>
        <w:t>4、投标人应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分项项目名称（包括</w:t>
      </w:r>
      <w:r>
        <w:rPr>
          <w:rFonts w:hint="eastAsia" w:ascii="宋体" w:hAnsi="宋体" w:cs="宋体"/>
          <w:color w:val="auto"/>
          <w:kern w:val="0"/>
          <w:szCs w:val="21"/>
          <w:highlight w:val="none"/>
        </w:rPr>
        <w:t>条目号/品目名称）应与采购清单一览表一致，否则其报价可能被拒绝。</w:t>
      </w:r>
    </w:p>
    <w:p w14:paraId="38B4279D">
      <w:pPr>
        <w:widowControl/>
        <w:shd w:val="clear"/>
        <w:spacing w:line="440" w:lineRule="exact"/>
        <w:jc w:val="left"/>
        <w:rPr>
          <w:rFonts w:ascii="宋体" w:hAnsi="宋体"/>
          <w:b/>
          <w:color w:val="auto"/>
          <w:szCs w:val="21"/>
          <w:highlight w:val="none"/>
        </w:rPr>
      </w:pPr>
      <w:bookmarkStart w:id="50" w:name="_Toc23520004"/>
      <w:r>
        <w:rPr>
          <w:rFonts w:ascii="宋体" w:hAnsi="宋体"/>
          <w:b/>
          <w:color w:val="auto"/>
          <w:szCs w:val="21"/>
          <w:highlight w:val="none"/>
        </w:rPr>
        <w:t>二、</w:t>
      </w:r>
      <w:r>
        <w:rPr>
          <w:rFonts w:hint="eastAsia" w:ascii="宋体" w:hAnsi="宋体"/>
          <w:b/>
          <w:color w:val="auto"/>
          <w:szCs w:val="21"/>
          <w:highlight w:val="none"/>
          <w:lang w:val="en-US" w:eastAsia="zh-CN"/>
        </w:rPr>
        <w:t>项目清单与</w:t>
      </w:r>
      <w:r>
        <w:rPr>
          <w:rFonts w:ascii="宋体" w:hAnsi="宋体"/>
          <w:b/>
          <w:color w:val="auto"/>
          <w:szCs w:val="21"/>
          <w:highlight w:val="none"/>
        </w:rPr>
        <w:t>技术要求</w:t>
      </w:r>
      <w:bookmarkEnd w:id="50"/>
    </w:p>
    <w:p w14:paraId="73EA6815">
      <w:pPr>
        <w:pStyle w:val="19"/>
        <w:shd w:val="clear"/>
        <w:rPr>
          <w:color w:val="auto"/>
          <w:highlight w:val="none"/>
        </w:rPr>
      </w:pPr>
    </w:p>
    <w:p w14:paraId="7BA90A44">
      <w:pPr>
        <w:shd w:val="clear"/>
        <w:adjustRightInd w:val="0"/>
        <w:snapToGrid w:val="0"/>
        <w:spacing w:line="360" w:lineRule="auto"/>
        <w:ind w:firstLine="420" w:firstLineChars="200"/>
        <w:rPr>
          <w:rFonts w:hint="eastAsia" w:ascii="宋体" w:hAnsi="宋体"/>
          <w:color w:val="auto"/>
          <w:szCs w:val="21"/>
          <w:highlight w:val="none"/>
          <w:lang w:eastAsia="zh-CN"/>
        </w:rPr>
      </w:pPr>
      <w:r>
        <w:rPr>
          <w:rFonts w:hint="eastAsia" w:ascii="宋体" w:hAnsi="宋体"/>
          <w:color w:val="auto"/>
          <w:szCs w:val="21"/>
          <w:highlight w:val="none"/>
        </w:rPr>
        <w:t>本项目招标的全部技术参数要求，采购人验收时发现中标人所提供的产品参数与投标文件响应有偏离，一但发现弄虚作假为了谋取中标利益的行为，将移交采购监管部门依法处理，取消中标资格，造成的一切损失由</w:t>
      </w:r>
      <w:r>
        <w:rPr>
          <w:rFonts w:hint="eastAsia" w:ascii="宋体" w:hAnsi="宋体"/>
          <w:color w:val="auto"/>
          <w:szCs w:val="21"/>
          <w:highlight w:val="none"/>
          <w:lang w:val="en-US" w:eastAsia="zh-CN"/>
        </w:rPr>
        <w:t>投</w:t>
      </w:r>
      <w:r>
        <w:rPr>
          <w:rFonts w:hint="eastAsia" w:ascii="宋体" w:hAnsi="宋体"/>
          <w:color w:val="auto"/>
          <w:szCs w:val="21"/>
          <w:highlight w:val="none"/>
        </w:rPr>
        <w:t>标人全部负责</w:t>
      </w:r>
      <w:r>
        <w:rPr>
          <w:rFonts w:hint="eastAsia" w:ascii="宋体" w:hAnsi="宋体"/>
          <w:color w:val="auto"/>
          <w:szCs w:val="21"/>
          <w:highlight w:val="none"/>
          <w:lang w:eastAsia="zh-CN"/>
        </w:rPr>
        <w:t>。</w:t>
      </w:r>
    </w:p>
    <w:p w14:paraId="32423E9F">
      <w:pPr>
        <w:shd w:val="clear"/>
        <w:adjustRightInd w:val="0"/>
        <w:snapToGrid w:val="0"/>
        <w:spacing w:line="360" w:lineRule="auto"/>
        <w:ind w:firstLine="562" w:firstLineChars="200"/>
        <w:rPr>
          <w:rFonts w:hint="default"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包1：</w:t>
      </w:r>
    </w:p>
    <w:tbl>
      <w:tblPr>
        <w:tblStyle w:val="44"/>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3E2FE5C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34F0C8F2">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en-US" w:eastAsia="zh-CN"/>
              </w:rPr>
              <w:t>序号</w:t>
            </w:r>
          </w:p>
        </w:tc>
        <w:tc>
          <w:tcPr>
            <w:tcW w:w="2310" w:type="dxa"/>
            <w:tcBorders>
              <w:right w:val="single" w:color="auto" w:sz="4" w:space="0"/>
            </w:tcBorders>
            <w:vAlign w:val="center"/>
          </w:tcPr>
          <w:p w14:paraId="68FCDB64">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4926" w:type="dxa"/>
            <w:tcBorders>
              <w:right w:val="single" w:color="auto" w:sz="4" w:space="0"/>
            </w:tcBorders>
            <w:vAlign w:val="center"/>
          </w:tcPr>
          <w:p w14:paraId="2BCCFF0B">
            <w:pPr>
              <w:widowControl/>
              <w:shd w:val="clear"/>
              <w:adjustRightInd w:val="0"/>
              <w:snapToGrid w:val="0"/>
              <w:jc w:val="left"/>
              <w:rPr>
                <w:rFonts w:hint="default" w:eastAsia="宋体"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技术参数</w:t>
            </w:r>
          </w:p>
        </w:tc>
        <w:tc>
          <w:tcPr>
            <w:tcW w:w="654" w:type="dxa"/>
            <w:tcBorders>
              <w:left w:val="single" w:color="auto" w:sz="4" w:space="0"/>
            </w:tcBorders>
            <w:vAlign w:val="center"/>
          </w:tcPr>
          <w:p w14:paraId="31996788">
            <w:pPr>
              <w:widowControl/>
              <w:shd w:val="clear"/>
              <w:adjustRightInd w:val="0"/>
              <w:snapToGrid w:val="0"/>
              <w:jc w:val="center"/>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数量</w:t>
            </w:r>
          </w:p>
        </w:tc>
        <w:tc>
          <w:tcPr>
            <w:tcW w:w="734" w:type="dxa"/>
            <w:vAlign w:val="center"/>
          </w:tcPr>
          <w:p w14:paraId="4CDC6232">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2B4FACE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2BA55AE6">
            <w:pPr>
              <w:pStyle w:val="23"/>
              <w:shd w:val="clear"/>
              <w:adjustRightInd w:val="0"/>
              <w:snapToGrid w:val="0"/>
              <w:jc w:val="center"/>
              <w:rPr>
                <w:rFonts w:asciiTheme="minorEastAsia" w:hAnsiTheme="minorEastAsia"/>
                <w:b/>
                <w:color w:val="auto"/>
                <w:highlight w:val="none"/>
              </w:rPr>
            </w:pPr>
            <w:r>
              <w:rPr>
                <w:rFonts w:hint="eastAsia" w:asciiTheme="minorEastAsia" w:hAnsiTheme="minorEastAsia"/>
                <w:b/>
                <w:color w:val="auto"/>
                <w:highlight w:val="none"/>
              </w:rPr>
              <w:t>1</w:t>
            </w:r>
          </w:p>
        </w:tc>
        <w:tc>
          <w:tcPr>
            <w:tcW w:w="2310" w:type="dxa"/>
            <w:tcBorders>
              <w:right w:val="single" w:color="auto" w:sz="4" w:space="0"/>
            </w:tcBorders>
            <w:vAlign w:val="center"/>
          </w:tcPr>
          <w:p w14:paraId="17D0108D">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无创呼吸机</w:t>
            </w:r>
          </w:p>
        </w:tc>
        <w:tc>
          <w:tcPr>
            <w:tcW w:w="4926" w:type="dxa"/>
            <w:tcBorders>
              <w:right w:val="single" w:color="auto" w:sz="4" w:space="0"/>
            </w:tcBorders>
            <w:vAlign w:val="center"/>
          </w:tcPr>
          <w:p w14:paraId="727E986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w:t>
            </w:r>
            <w:r>
              <w:rPr>
                <w:rFonts w:hint="default" w:eastAsia="宋体" w:asciiTheme="minorEastAsia" w:hAnsiTheme="minorEastAsia"/>
                <w:b w:val="0"/>
                <w:bCs/>
                <w:color w:val="auto"/>
                <w:highlight w:val="none"/>
                <w:lang w:val="en-US" w:eastAsia="zh-CN"/>
              </w:rPr>
              <w:t>适用于对成人和小儿患者进行通气辅助及呼吸支持，中文操作界面，能够满足危重症患者的无创通气需求。</w:t>
            </w:r>
          </w:p>
          <w:p w14:paraId="425CC40D">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w:t>
            </w:r>
            <w:r>
              <w:rPr>
                <w:rFonts w:hint="default" w:eastAsia="宋体" w:asciiTheme="minorEastAsia" w:hAnsiTheme="minorEastAsia"/>
                <w:b w:val="0"/>
                <w:bCs/>
                <w:color w:val="auto"/>
                <w:highlight w:val="none"/>
                <w:lang w:val="en-US" w:eastAsia="zh-CN"/>
              </w:rPr>
              <w:t>采用不小于12英寸</w:t>
            </w:r>
            <w:r>
              <w:rPr>
                <w:rFonts w:hint="default" w:eastAsia="宋体" w:asciiTheme="minorEastAsia" w:hAnsiTheme="minorEastAsia"/>
                <w:b w:val="0"/>
                <w:bCs/>
                <w:color w:val="auto"/>
                <w:highlight w:val="none"/>
                <w:lang w:val="en-US" w:eastAsia="zh-CN"/>
              </w:rPr>
              <w:t>触</w:t>
            </w:r>
            <w:r>
              <w:rPr>
                <w:rFonts w:hint="eastAsia" w:eastAsia="宋体" w:asciiTheme="minorEastAsia" w:hAnsiTheme="minorEastAsia"/>
                <w:b w:val="0"/>
                <w:bCs/>
                <w:color w:val="auto"/>
                <w:highlight w:val="none"/>
                <w:lang w:val="en-US" w:eastAsia="zh-CN"/>
              </w:rPr>
              <w:t>摸</w:t>
            </w:r>
            <w:r>
              <w:rPr>
                <w:rFonts w:hint="default" w:eastAsia="宋体" w:asciiTheme="minorEastAsia" w:hAnsiTheme="minorEastAsia"/>
                <w:b w:val="0"/>
                <w:bCs/>
                <w:color w:val="auto"/>
                <w:highlight w:val="none"/>
                <w:lang w:val="en-US" w:eastAsia="zh-CN"/>
              </w:rPr>
              <w:t>屏</w:t>
            </w:r>
            <w:r>
              <w:rPr>
                <w:rFonts w:hint="default" w:eastAsia="宋体" w:asciiTheme="minorEastAsia" w:hAnsiTheme="minorEastAsia"/>
                <w:b w:val="0"/>
                <w:bCs/>
                <w:color w:val="auto"/>
                <w:highlight w:val="none"/>
                <w:lang w:val="en-US" w:eastAsia="zh-CN"/>
              </w:rPr>
              <w:t>，分辨率≥1280*800，屏幕可上下左右调整角度。</w:t>
            </w:r>
          </w:p>
          <w:p w14:paraId="6F0C466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3</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屏幕显示</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同屏显示≥4道波形，可同屏显示短趋势、波形、监测值。</w:t>
            </w:r>
          </w:p>
          <w:p w14:paraId="3684D8B0">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4</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具有屏幕锁功能，可以进行屏幕锁定防止误触碰，造成通气参数改变。</w:t>
            </w:r>
          </w:p>
          <w:p w14:paraId="234A20AB">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5</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内置后备可充电锂电池≥180分钟</w:t>
            </w:r>
            <w:r>
              <w:rPr>
                <w:rFonts w:hint="default" w:eastAsia="宋体" w:asciiTheme="minorEastAsia" w:hAnsiTheme="minorEastAsia"/>
                <w:b w:val="0"/>
                <w:bCs/>
                <w:color w:val="auto"/>
                <w:highlight w:val="none"/>
                <w:lang w:val="en-US" w:eastAsia="zh-CN"/>
              </w:rPr>
              <w:t>，电池总剩余电量能显示在屏幕上。</w:t>
            </w:r>
          </w:p>
          <w:p w14:paraId="3FC555FA">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eastAsia="宋体" w:asciiTheme="minorEastAsia" w:hAnsiTheme="minorEastAsia"/>
                <w:b w:val="0"/>
                <w:bCs/>
                <w:color w:val="auto"/>
                <w:highlight w:val="none"/>
                <w:lang w:val="en-US" w:eastAsia="zh-CN"/>
              </w:rPr>
              <w:t>6</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吸气阀组件一体化设计，可快速拆卸，并能高温高压蒸汽消毒(134°C)以防止交叉感染。</w:t>
            </w:r>
          </w:p>
          <w:p w14:paraId="0C8E0BA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7</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通气模式</w:t>
            </w:r>
            <w:r>
              <w:rPr>
                <w:rFonts w:hint="eastAsia" w:eastAsia="宋体" w:asciiTheme="minorEastAsia" w:hAnsiTheme="minorEastAsia"/>
                <w:b w:val="0"/>
                <w:bCs/>
                <w:color w:val="auto"/>
                <w:highlight w:val="none"/>
                <w:lang w:val="en-US" w:eastAsia="zh-CN"/>
              </w:rPr>
              <w:t>：</w:t>
            </w:r>
          </w:p>
          <w:p w14:paraId="09F0E2CB">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7.1 具有持续气道正压通气模式(CPAP)、自主模式(S)、自主/时控模式(S/T)、压力控制模式(PCV)、容量保证时间控制模式(VG-T)、容量保证压力支持模式(VAPS)</w:t>
            </w:r>
          </w:p>
          <w:p w14:paraId="2DCA8664">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eastAsia="宋体" w:asciiTheme="minorEastAsia" w:hAnsiTheme="minorEastAsia"/>
                <w:b w:val="0"/>
                <w:bCs/>
                <w:color w:val="auto"/>
                <w:highlight w:val="none"/>
                <w:lang w:val="en-US" w:eastAsia="zh-CN"/>
              </w:rPr>
              <w:t xml:space="preserve">7.2 </w:t>
            </w:r>
            <w:r>
              <w:rPr>
                <w:rFonts w:hint="eastAsia" w:asciiTheme="minorEastAsia" w:hAnsiTheme="minorEastAsia"/>
                <w:b w:val="0"/>
                <w:bCs/>
                <w:color w:val="auto"/>
                <w:highlight w:val="none"/>
                <w:lang w:val="en-US" w:eastAsia="zh-CN"/>
              </w:rPr>
              <w:t>具备</w:t>
            </w:r>
            <w:r>
              <w:rPr>
                <w:rFonts w:hint="default" w:eastAsia="宋体" w:asciiTheme="minorEastAsia" w:hAnsiTheme="minorEastAsia"/>
                <w:b w:val="0"/>
                <w:bCs/>
                <w:color w:val="auto"/>
                <w:highlight w:val="none"/>
                <w:lang w:val="en-US" w:eastAsia="zh-CN"/>
              </w:rPr>
              <w:t>比例压力支持模式(PPS)</w:t>
            </w:r>
            <w:r>
              <w:rPr>
                <w:rFonts w:hint="default" w:eastAsia="宋体" w:asciiTheme="minorEastAsia" w:hAnsiTheme="minorEastAsia"/>
                <w:b w:val="0"/>
                <w:bCs/>
                <w:color w:val="auto"/>
                <w:highlight w:val="none"/>
                <w:lang w:val="en-US" w:eastAsia="zh-CN"/>
              </w:rPr>
              <w:t>、压力调节容量控制模式(PRVC)</w:t>
            </w:r>
          </w:p>
          <w:p w14:paraId="44CA80FD">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8、</w:t>
            </w:r>
            <w:r>
              <w:rPr>
                <w:rFonts w:hint="default" w:eastAsia="宋体" w:asciiTheme="minorEastAsia" w:hAnsiTheme="minorEastAsia"/>
                <w:b w:val="0"/>
                <w:bCs/>
                <w:color w:val="auto"/>
                <w:highlight w:val="none"/>
                <w:lang w:val="en-US" w:eastAsia="zh-CN"/>
              </w:rPr>
              <w:t>具备高流速氧疗功能</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氧疗最大流速≥80L/min，</w:t>
            </w:r>
            <w:r>
              <w:rPr>
                <w:rFonts w:hint="default" w:eastAsia="宋体" w:asciiTheme="minorEastAsia" w:hAnsiTheme="minorEastAsia"/>
                <w:b w:val="0"/>
                <w:bCs/>
                <w:color w:val="auto"/>
                <w:highlight w:val="none"/>
                <w:lang w:val="en-US" w:eastAsia="zh-CN"/>
              </w:rPr>
              <w:t>具有氧疗计时功能。</w:t>
            </w:r>
          </w:p>
          <w:p w14:paraId="258CB9BD">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Arial" w:hAnsi="Arial" w:eastAsia="宋体" w:cs="Arial"/>
                <w:i w:val="0"/>
                <w:iCs w:val="0"/>
                <w:caps w:val="0"/>
                <w:color w:val="auto"/>
                <w:spacing w:val="0"/>
                <w:sz w:val="21"/>
                <w:szCs w:val="21"/>
                <w:highlight w:val="none"/>
                <w:shd w:val="clear" w:fill="FFFFFF"/>
                <w:lang w:val="en-US" w:eastAsia="zh-CN"/>
              </w:rPr>
              <w:t>9、</w:t>
            </w:r>
            <w:r>
              <w:rPr>
                <w:rFonts w:hint="default" w:eastAsia="宋体" w:asciiTheme="minorEastAsia" w:hAnsiTheme="minorEastAsia"/>
                <w:b w:val="0"/>
                <w:bCs/>
                <w:color w:val="auto"/>
                <w:highlight w:val="none"/>
                <w:lang w:val="en-US" w:eastAsia="zh-CN"/>
              </w:rPr>
              <w:t>高流量氧疗下可实时监测ROX指数及趋势回顾</w:t>
            </w:r>
            <w:r>
              <w:rPr>
                <w:rFonts w:hint="default" w:eastAsia="宋体" w:asciiTheme="minorEastAsia" w:hAnsiTheme="minorEastAsia"/>
                <w:b w:val="0"/>
                <w:bCs/>
                <w:color w:val="auto"/>
                <w:highlight w:val="none"/>
                <w:lang w:val="en-US" w:eastAsia="zh-CN"/>
              </w:rPr>
              <w:t>，</w:t>
            </w:r>
            <w:r>
              <w:rPr>
                <w:rFonts w:hint="eastAsia" w:asciiTheme="minorEastAsia" w:hAnsiTheme="minorEastAsia"/>
                <w:b w:val="0"/>
                <w:bCs/>
                <w:iCs/>
                <w:color w:val="auto"/>
                <w:highlight w:val="none"/>
                <w:lang w:val="en-US" w:eastAsia="zh-CN"/>
              </w:rPr>
              <w:t>可选</w:t>
            </w:r>
            <w:r>
              <w:rPr>
                <w:rFonts w:hint="default" w:eastAsia="宋体" w:asciiTheme="minorEastAsia" w:hAnsiTheme="minorEastAsia"/>
                <w:b w:val="0"/>
                <w:bCs/>
                <w:color w:val="auto"/>
                <w:highlight w:val="none"/>
                <w:lang w:val="en-US" w:eastAsia="zh-CN"/>
              </w:rPr>
              <w:t>OSI、RSS、SpO</w:t>
            </w:r>
            <w:r>
              <w:rPr>
                <w:rFonts w:hint="eastAsia" w:eastAsia="宋体" w:asciiTheme="minorEastAsia" w:hAnsiTheme="minorEastAsia"/>
                <w:b w:val="0"/>
                <w:bCs/>
                <w:color w:val="auto"/>
                <w:highlight w:val="none"/>
                <w:vertAlign w:val="subscript"/>
                <w:lang w:val="en-US" w:eastAsia="zh-CN"/>
              </w:rPr>
              <w:t>2</w:t>
            </w:r>
            <w:r>
              <w:rPr>
                <w:rFonts w:hint="default" w:eastAsia="宋体" w:asciiTheme="minorEastAsia" w:hAnsiTheme="minorEastAsia"/>
                <w:b w:val="0"/>
                <w:bCs/>
                <w:color w:val="auto"/>
                <w:highlight w:val="none"/>
                <w:lang w:val="en-US" w:eastAsia="zh-CN"/>
              </w:rPr>
              <w:t>/Fi</w:t>
            </w:r>
            <w:r>
              <w:rPr>
                <w:rFonts w:hint="eastAsia" w:eastAsia="宋体" w:asciiTheme="minorEastAsia" w:hAnsiTheme="minorEastAsia"/>
                <w:b w:val="0"/>
                <w:bCs/>
                <w:color w:val="auto"/>
                <w:highlight w:val="none"/>
                <w:lang w:val="en-US" w:eastAsia="zh-CN"/>
              </w:rPr>
              <w:t>O</w:t>
            </w:r>
            <w:r>
              <w:rPr>
                <w:rFonts w:hint="eastAsia" w:eastAsia="宋体" w:asciiTheme="minorEastAsia" w:hAnsiTheme="minorEastAsia"/>
                <w:b w:val="0"/>
                <w:bCs/>
                <w:color w:val="auto"/>
                <w:highlight w:val="none"/>
                <w:vertAlign w:val="subscript"/>
                <w:lang w:val="en-US" w:eastAsia="zh-CN"/>
              </w:rPr>
              <w:t>2</w:t>
            </w:r>
            <w:r>
              <w:rPr>
                <w:rFonts w:hint="default" w:eastAsia="宋体" w:asciiTheme="minorEastAsia" w:hAnsiTheme="minorEastAsia"/>
                <w:b w:val="0"/>
                <w:bCs/>
                <w:color w:val="auto"/>
                <w:highlight w:val="none"/>
                <w:lang w:val="en-US" w:eastAsia="zh-CN"/>
              </w:rPr>
              <w:t>等评估参数，动态关注氧疗效果。</w:t>
            </w:r>
          </w:p>
          <w:p w14:paraId="1CFAC461">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10</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具有压力释放、延时升压、增氧、雾化功能。</w:t>
            </w:r>
          </w:p>
          <w:p w14:paraId="4E9D1909">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default" w:eastAsia="宋体" w:asciiTheme="minorEastAsia" w:hAnsiTheme="minorEastAsia"/>
                <w:b w:val="0"/>
                <w:bCs/>
                <w:color w:val="auto"/>
                <w:highlight w:val="none"/>
                <w:lang w:val="en-US" w:eastAsia="zh-CN"/>
              </w:rPr>
              <w:t>11</w:t>
            </w:r>
            <w:r>
              <w:rPr>
                <w:rFonts w:hint="eastAsia" w:eastAsia="宋体" w:asciiTheme="minorEastAsia" w:hAnsiTheme="minorEastAsia"/>
                <w:b w:val="0"/>
                <w:bCs/>
                <w:color w:val="auto"/>
                <w:highlight w:val="none"/>
                <w:lang w:val="en-US" w:eastAsia="zh-CN"/>
              </w:rPr>
              <w:t>、</w:t>
            </w:r>
            <w:r>
              <w:rPr>
                <w:rFonts w:hint="default" w:eastAsia="宋体" w:asciiTheme="minorEastAsia" w:hAnsiTheme="minorEastAsia"/>
                <w:b w:val="0"/>
                <w:bCs/>
                <w:color w:val="auto"/>
                <w:highlight w:val="none"/>
                <w:lang w:val="en-US" w:eastAsia="zh-CN"/>
              </w:rPr>
              <w:t>具有同步技术，可自动调节吸气触发/呼气切换灵敏度，吸气触发手动调节≥7档</w:t>
            </w:r>
          </w:p>
          <w:p w14:paraId="6F01020C">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12</w:t>
            </w:r>
            <w:r>
              <w:rPr>
                <w:rFonts w:hint="eastAsia" w:eastAsia="宋体" w:cs="Times New Roman" w:asciiTheme="minorEastAsia" w:hAnsiTheme="minorEastAsia"/>
                <w:b w:val="0"/>
                <w:bCs/>
                <w:color w:val="auto"/>
                <w:highlight w:val="none"/>
                <w:lang w:val="en-US" w:eastAsia="zh-CN"/>
              </w:rPr>
              <w:t>、</w:t>
            </w:r>
            <w:r>
              <w:rPr>
                <w:rFonts w:hint="eastAsia" w:cs="Times New Roman" w:asciiTheme="minorEastAsia" w:hAnsiTheme="minorEastAsia"/>
                <w:b w:val="0"/>
                <w:bCs/>
                <w:color w:val="auto"/>
                <w:highlight w:val="none"/>
                <w:lang w:val="en-US" w:eastAsia="zh-CN"/>
              </w:rPr>
              <w:t>具备</w:t>
            </w:r>
            <w:r>
              <w:rPr>
                <w:rFonts w:hint="default" w:eastAsia="宋体" w:cs="Times New Roman" w:asciiTheme="minorEastAsia" w:hAnsiTheme="minorEastAsia"/>
                <w:b w:val="0"/>
                <w:bCs/>
                <w:color w:val="auto"/>
                <w:highlight w:val="none"/>
                <w:lang w:val="en-US" w:eastAsia="zh-CN"/>
              </w:rPr>
              <w:t>Sp</w:t>
            </w:r>
            <w:r>
              <w:rPr>
                <w:rFonts w:hint="eastAsia" w:eastAsia="宋体" w:cs="Times New Roman" w:asciiTheme="minorEastAsia" w:hAnsiTheme="minorEastAsia"/>
                <w:b w:val="0"/>
                <w:bCs/>
                <w:color w:val="auto"/>
                <w:highlight w:val="none"/>
                <w:lang w:val="en-US" w:eastAsia="zh-CN"/>
              </w:rPr>
              <w:t>O2</w:t>
            </w:r>
            <w:r>
              <w:rPr>
                <w:rFonts w:hint="default" w:eastAsia="宋体" w:cs="Times New Roman" w:asciiTheme="minorEastAsia" w:hAnsiTheme="minorEastAsia"/>
                <w:b w:val="0"/>
                <w:bCs/>
                <w:color w:val="auto"/>
                <w:highlight w:val="none"/>
                <w:lang w:val="en-US" w:eastAsia="zh-CN"/>
              </w:rPr>
              <w:t>及呼末二氧化碳监测。</w:t>
            </w:r>
          </w:p>
          <w:p w14:paraId="1398730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设置参数:</w:t>
            </w:r>
          </w:p>
          <w:p w14:paraId="471971AA">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13.1 潮气量:50ml一2000ml</w:t>
            </w:r>
          </w:p>
          <w:p w14:paraId="10579735">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13.2 持续气道正压CPAP:成人/小儿3-30 cmH20</w:t>
            </w:r>
          </w:p>
          <w:p w14:paraId="1EAA7462">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eastAsia="宋体" w:cs="Times New Roman" w:asciiTheme="minorEastAsia" w:hAnsiTheme="minorEastAsia"/>
                <w:b w:val="0"/>
                <w:bCs/>
                <w:color w:val="auto"/>
                <w:highlight w:val="none"/>
                <w:lang w:val="en-US" w:eastAsia="zh-CN"/>
              </w:rPr>
              <w:t>13.3 IPAP: 3-50 cmH20</w:t>
            </w:r>
          </w:p>
          <w:p w14:paraId="177D75B4">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13.4 EPAP:3-30 cmH20</w:t>
            </w:r>
          </w:p>
          <w:p w14:paraId="1DF2180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13.5 呼吸频率:成人/小儿:1-60次/min</w:t>
            </w:r>
          </w:p>
          <w:p w14:paraId="2420C1E1">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13.6 吸气时间:0.2一5s</w:t>
            </w:r>
          </w:p>
          <w:p w14:paraId="4108E6E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13.7 吸入氧浓度:21%一100%</w:t>
            </w:r>
          </w:p>
          <w:p w14:paraId="57667C20">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13.8 压力上升时间:1-7档</w:t>
            </w:r>
            <w:r>
              <w:rPr>
                <w:rFonts w:hint="eastAsia" w:cs="Times New Roman" w:asciiTheme="minorEastAsia" w:hAnsiTheme="minorEastAsia"/>
                <w:b w:val="0"/>
                <w:bCs/>
                <w:color w:val="auto"/>
                <w:highlight w:val="none"/>
                <w:lang w:val="en-US" w:eastAsia="zh-CN"/>
              </w:rPr>
              <w:t>IIK IM</w:t>
            </w:r>
            <w:r>
              <w:rPr>
                <w:rFonts w:hint="default" w:eastAsia="宋体" w:cs="Times New Roman" w:asciiTheme="minorEastAsia" w:hAnsiTheme="minorEastAsia"/>
                <w:b w:val="0"/>
                <w:bCs/>
                <w:color w:val="auto"/>
                <w:highlight w:val="none"/>
                <w:lang w:val="en-US" w:eastAsia="zh-CN"/>
              </w:rPr>
              <w:t>可调</w:t>
            </w:r>
          </w:p>
          <w:p w14:paraId="277D7A29">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13.9 压力释放:0FF，0-3档可调</w:t>
            </w:r>
          </w:p>
          <w:p w14:paraId="13BABA7D">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监测参数:</w:t>
            </w:r>
          </w:p>
          <w:p w14:paraId="79555094">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14.1 气道峰压、平均压、呼气末正压等参数监测</w:t>
            </w:r>
          </w:p>
          <w:p w14:paraId="40592311">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14.2 潮气量、分钟通气量、病人端/总的分钟泄漏量等参数监测</w:t>
            </w:r>
          </w:p>
          <w:p w14:paraId="78A5505E">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14.3 呼吸频率、病人触发百分比、吸气百分比等参数监测</w:t>
            </w:r>
          </w:p>
          <w:p w14:paraId="776DC2DA">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15</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标配氧电池，无需校准，永久性使用。</w:t>
            </w:r>
          </w:p>
          <w:p w14:paraId="1931B2F3">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16</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报警参数:气道高压、气道低压、呼气末压力过高/过低、总计呼吸频率过高/过低、分钟通气量</w:t>
            </w:r>
            <w:r>
              <w:rPr>
                <w:rFonts w:hint="eastAsia" w:cs="Times New Roman" w:asciiTheme="minorEastAsia" w:hAnsiTheme="minorEastAsia"/>
                <w:b w:val="0"/>
                <w:bCs/>
                <w:color w:val="auto"/>
                <w:highlight w:val="none"/>
                <w:lang w:val="en-US" w:eastAsia="zh-CN"/>
              </w:rPr>
              <w:t xml:space="preserve">                                                                                                                                                                                                                                                                                                                                                                                                                                                                                               </w:t>
            </w:r>
            <w:r>
              <w:rPr>
                <w:rFonts w:hint="default" w:eastAsia="宋体" w:cs="Times New Roman" w:asciiTheme="minorEastAsia" w:hAnsiTheme="minorEastAsia"/>
                <w:b w:val="0"/>
                <w:bCs/>
                <w:color w:val="auto"/>
                <w:highlight w:val="none"/>
                <w:lang w:val="en-US" w:eastAsia="zh-CN"/>
              </w:rPr>
              <w:t>过高/过低、脉率过高/过低、SPO</w:t>
            </w:r>
            <w:r>
              <w:rPr>
                <w:rFonts w:hint="eastAsia" w:eastAsia="宋体" w:cs="Times New Roman" w:asciiTheme="minorEastAsia" w:hAnsiTheme="minorEastAsia"/>
                <w:b w:val="0"/>
                <w:bCs/>
                <w:color w:val="auto"/>
                <w:highlight w:val="none"/>
                <w:vertAlign w:val="subscript"/>
                <w:lang w:val="en-US" w:eastAsia="zh-CN"/>
              </w:rPr>
              <w:t>2</w:t>
            </w:r>
            <w:r>
              <w:rPr>
                <w:rFonts w:hint="default" w:eastAsia="宋体" w:cs="Times New Roman" w:asciiTheme="minorEastAsia" w:hAnsiTheme="minorEastAsia"/>
                <w:b w:val="0"/>
                <w:bCs/>
                <w:color w:val="auto"/>
                <w:highlight w:val="none"/>
                <w:lang w:val="en-US" w:eastAsia="zh-CN"/>
              </w:rPr>
              <w:t>低、电源中断、电池电量低。</w:t>
            </w:r>
          </w:p>
          <w:p w14:paraId="1178A6AC">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17</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具备截屏、录屏功能，可储存≥10000条事件记录，可储存≥168小时趋势数据，并可用U盘导出非加密文件。</w:t>
            </w:r>
          </w:p>
          <w:p w14:paraId="7F995A39">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18</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具备HDMI扩展显示无需外接转接口，具备RS232接口、网络接口、USB接口、护士呼叫等接口。</w:t>
            </w:r>
          </w:p>
          <w:p w14:paraId="5DE31EEB">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19</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能够通过网络联网，把呼吸机的监测信息实时显示到监护仪、中央监护站或全院监护系统，满足科室信息化的需求和呼吸机管理。</w:t>
            </w:r>
          </w:p>
          <w:p w14:paraId="6232BCB8">
            <w:pPr>
              <w:pStyle w:val="23"/>
              <w:shd w:val="clear"/>
              <w:adjustRightInd w:val="0"/>
              <w:snapToGrid w:val="0"/>
              <w:jc w:val="left"/>
              <w:rPr>
                <w:rFonts w:hint="default"/>
                <w:color w:val="auto"/>
                <w:highlight w:val="none"/>
                <w:lang w:val="en-US" w:eastAsia="zh-CN"/>
              </w:rPr>
            </w:pPr>
            <w:r>
              <w:rPr>
                <w:rFonts w:hint="default" w:eastAsia="宋体" w:cs="Times New Roman" w:asciiTheme="minorEastAsia" w:hAnsiTheme="minorEastAsia"/>
                <w:b w:val="0"/>
                <w:bCs/>
                <w:color w:val="auto"/>
                <w:highlight w:val="none"/>
                <w:lang w:val="en-US" w:eastAsia="zh-CN"/>
              </w:rPr>
              <w:t>20</w:t>
            </w:r>
            <w:r>
              <w:rPr>
                <w:rFonts w:hint="eastAsia" w:eastAsia="宋体" w:cs="Times New Roman" w:asciiTheme="minorEastAsia" w:hAnsiTheme="minorEastAsia"/>
                <w:b w:val="0"/>
                <w:bCs/>
                <w:color w:val="auto"/>
                <w:highlight w:val="none"/>
                <w:lang w:val="en-US" w:eastAsia="zh-CN"/>
              </w:rPr>
              <w:t>、</w:t>
            </w:r>
            <w:r>
              <w:rPr>
                <w:rFonts w:hint="default" w:eastAsia="宋体" w:cs="Times New Roman" w:asciiTheme="minorEastAsia" w:hAnsiTheme="minorEastAsia"/>
                <w:b w:val="0"/>
                <w:bCs/>
                <w:color w:val="auto"/>
                <w:highlight w:val="none"/>
                <w:lang w:val="en-US" w:eastAsia="zh-CN"/>
              </w:rPr>
              <w:t>产品使用年限不低于10年。</w:t>
            </w:r>
          </w:p>
        </w:tc>
        <w:tc>
          <w:tcPr>
            <w:tcW w:w="654" w:type="dxa"/>
            <w:tcBorders>
              <w:left w:val="single" w:color="auto" w:sz="4" w:space="0"/>
            </w:tcBorders>
            <w:vAlign w:val="center"/>
          </w:tcPr>
          <w:p w14:paraId="01F5DFE8">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079E45EC">
            <w:pPr>
              <w:pStyle w:val="23"/>
              <w:shd w:val="clear"/>
              <w:adjustRightInd w:val="0"/>
              <w:snapToGrid w:val="0"/>
              <w:jc w:val="center"/>
              <w:rPr>
                <w:rFonts w:asciiTheme="minorEastAsia" w:hAnsiTheme="minorEastAsia"/>
                <w:b/>
                <w:color w:val="auto"/>
                <w:highlight w:val="none"/>
              </w:rPr>
            </w:pPr>
          </w:p>
        </w:tc>
      </w:tr>
      <w:tr w14:paraId="6BF9AFD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36A8D22C">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2</w:t>
            </w:r>
          </w:p>
        </w:tc>
        <w:tc>
          <w:tcPr>
            <w:tcW w:w="2310" w:type="dxa"/>
            <w:tcBorders>
              <w:right w:val="single" w:color="auto" w:sz="4" w:space="0"/>
            </w:tcBorders>
            <w:vAlign w:val="center"/>
          </w:tcPr>
          <w:p w14:paraId="741A338B">
            <w:pPr>
              <w:shd w:val="clear"/>
              <w:adjustRightInd w:val="0"/>
              <w:snapToGrid w:val="0"/>
              <w:jc w:val="left"/>
              <w:rPr>
                <w:rFonts w:hint="eastAsia" w:hAnsi="宋体" w:eastAsia="宋体" w:cs="宋体"/>
                <w:bCs/>
                <w:color w:val="auto"/>
                <w:highlight w:val="none"/>
                <w:lang w:val="en-US" w:eastAsia="zh-CN"/>
              </w:rPr>
            </w:pPr>
            <w:r>
              <w:rPr>
                <w:rFonts w:hint="default" w:asciiTheme="minorEastAsia" w:hAnsiTheme="minorEastAsia"/>
                <w:bCs/>
                <w:color w:val="auto"/>
                <w:highlight w:val="none"/>
                <w:lang w:val="en-US"/>
              </w:rPr>
              <w:t>无创呼吸机</w:t>
            </w:r>
            <w:r>
              <w:rPr>
                <w:rFonts w:hint="eastAsia" w:asciiTheme="minorEastAsia" w:hAnsiTheme="minorEastAsia"/>
                <w:bCs/>
                <w:color w:val="auto"/>
                <w:highlight w:val="none"/>
                <w:lang w:val="en-US" w:eastAsia="zh-CN"/>
              </w:rPr>
              <w:t>（兼有创）</w:t>
            </w:r>
          </w:p>
        </w:tc>
        <w:tc>
          <w:tcPr>
            <w:tcW w:w="4926" w:type="dxa"/>
            <w:tcBorders>
              <w:right w:val="single" w:color="auto" w:sz="4" w:space="0"/>
            </w:tcBorders>
            <w:vAlign w:val="center"/>
          </w:tcPr>
          <w:p w14:paraId="4109DDAF">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1.要求屏幕不低于</w:t>
            </w:r>
            <w:r>
              <w:rPr>
                <w:rFonts w:hint="default" w:asciiTheme="minorEastAsia" w:hAnsiTheme="minorEastAsia"/>
                <w:b w:val="0"/>
                <w:bCs/>
                <w:color w:val="auto"/>
                <w:highlight w:val="none"/>
                <w:lang w:val="en-US"/>
              </w:rPr>
              <w:t>12英寸触摸屏</w:t>
            </w:r>
            <w:r>
              <w:rPr>
                <w:rFonts w:hint="default" w:asciiTheme="minorEastAsia" w:hAnsiTheme="minorEastAsia"/>
                <w:b w:val="0"/>
                <w:bCs/>
                <w:color w:val="auto"/>
                <w:highlight w:val="none"/>
                <w:lang w:val="en-US"/>
              </w:rPr>
              <w:t>，</w:t>
            </w:r>
            <w:r>
              <w:rPr>
                <w:rFonts w:hint="default" w:asciiTheme="minorEastAsia" w:hAnsiTheme="minorEastAsia"/>
                <w:b w:val="0"/>
                <w:bCs/>
                <w:color w:val="auto"/>
                <w:highlight w:val="none"/>
                <w:lang w:val="en-US"/>
              </w:rPr>
              <w:t>分辨率满足临床清晰显示要求，支持多角度调节以便观察</w:t>
            </w:r>
            <w:r>
              <w:rPr>
                <w:rFonts w:hint="default" w:asciiTheme="minorEastAsia" w:hAnsiTheme="minorEastAsia"/>
                <w:b w:val="0"/>
                <w:bCs/>
                <w:color w:val="auto"/>
                <w:highlight w:val="none"/>
                <w:lang w:val="en-US"/>
              </w:rPr>
              <w:t>。</w:t>
            </w:r>
          </w:p>
          <w:p w14:paraId="6DB6D7CD">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2.要求产品适用于对成人、小儿患者进行通气辅助及呼吸支持的呼吸机，中文操作界面。</w:t>
            </w:r>
          </w:p>
          <w:p w14:paraId="42035E0B">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3.</w:t>
            </w:r>
            <w:r>
              <w:rPr>
                <w:rFonts w:hint="default" w:asciiTheme="minorEastAsia" w:hAnsiTheme="minorEastAsia"/>
                <w:b w:val="0"/>
                <w:bCs/>
                <w:color w:val="auto"/>
                <w:highlight w:val="none"/>
                <w:lang w:val="en-US"/>
              </w:rPr>
              <w:t>内置备用电池续航时间满足临床转运及断电应急需求</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rPr>
              <w:t>要求呼吸机在断电情况下使用电池时间</w:t>
            </w:r>
            <w:r>
              <w:rPr>
                <w:rStyle w:val="46"/>
                <w:rFonts w:ascii="Segoe UI" w:hAnsi="Segoe UI" w:eastAsia="Segoe UI" w:cs="Segoe UI"/>
                <w:b/>
                <w:bCs/>
                <w:i w:val="0"/>
                <w:iCs w:val="0"/>
                <w:caps w:val="0"/>
                <w:color w:val="auto"/>
                <w:spacing w:val="0"/>
                <w:sz w:val="22"/>
                <w:szCs w:val="22"/>
                <w:highlight w:val="none"/>
                <w:shd w:val="clear" w:fill="F5F5F5"/>
              </w:rPr>
              <w:t>≥</w:t>
            </w:r>
            <w:r>
              <w:rPr>
                <w:rFonts w:hint="eastAsia" w:eastAsia="宋体" w:cs="Times New Roman"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rPr>
              <w:t>0分钟</w:t>
            </w:r>
            <w:r>
              <w:rPr>
                <w:rFonts w:hint="default" w:asciiTheme="minorEastAsia" w:hAnsiTheme="minorEastAsia"/>
                <w:b w:val="0"/>
                <w:bCs/>
                <w:color w:val="auto"/>
                <w:highlight w:val="none"/>
                <w:lang w:val="en-US"/>
              </w:rPr>
              <w:t>。</w:t>
            </w:r>
          </w:p>
          <w:p w14:paraId="7337F6E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4.具有有创通气模式和无创通气模式。</w:t>
            </w:r>
          </w:p>
          <w:p w14:paraId="53100AAB">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5.有创通气模式：具有压力及容量控制通气下的辅助控制通气和同步间歇指令通气模式（V-A/C、P-A/C、V-SIMV、P-SIMV）、CPAP/PSV（持续气道正压/压力支持通气）以及窒息通气等模式。</w:t>
            </w:r>
          </w:p>
          <w:p w14:paraId="5BFF50E7">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▲6.</w:t>
            </w:r>
            <w:r>
              <w:rPr>
                <w:rFonts w:hint="eastAsia" w:asciiTheme="minorEastAsia" w:hAnsiTheme="minorEastAsia"/>
                <w:b w:val="0"/>
                <w:bCs/>
                <w:color w:val="auto"/>
                <w:highlight w:val="none"/>
                <w:lang w:val="en-US" w:eastAsia="zh-CN"/>
              </w:rPr>
              <w:t>具有</w:t>
            </w:r>
            <w:r>
              <w:rPr>
                <w:rFonts w:hint="default" w:asciiTheme="minorEastAsia" w:hAnsiTheme="minorEastAsia"/>
                <w:b w:val="0"/>
                <w:bCs/>
                <w:color w:val="auto"/>
                <w:highlight w:val="none"/>
                <w:lang w:val="en-US"/>
              </w:rPr>
              <w:t>高级模式：</w:t>
            </w:r>
            <w:r>
              <w:rPr>
                <w:rFonts w:hint="default" w:asciiTheme="minorEastAsia" w:hAnsiTheme="minorEastAsia"/>
                <w:b w:val="0"/>
                <w:bCs/>
                <w:color w:val="auto"/>
                <w:highlight w:val="none"/>
                <w:lang w:val="en-US"/>
              </w:rPr>
              <w:t>压力调节容量控制和同步间歇指令通气模式（PRVC、PRVC-SIMV）、双水平气道正压通气、自适应通气模式（如ASV/AMV）、成比例通气模式（如PAV/PPS）、心肺复苏模式（CPRV）、气道压力释放通气（APRV）以及容量支持通气（VS）模式。</w:t>
            </w:r>
          </w:p>
          <w:p w14:paraId="081A0D81">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7.无创通气模式：P-A/C、P-SIMV、CPAP/PSV、PSV-S/T，</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rPr>
              <w:t>DuoVent 、APRV、PPS通气模式。</w:t>
            </w:r>
          </w:p>
          <w:p w14:paraId="05216DAE">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8.具有高流量氧疗功能，可以调节氧疗流速（2-80L/min）和氧浓度。</w:t>
            </w:r>
          </w:p>
          <w:p w14:paraId="5909C80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9.具有其他功能：增氧、雾化、吸气保持、呼气保持、吸痰、手动呼吸。</w:t>
            </w:r>
          </w:p>
          <w:p w14:paraId="2062A1BD">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10.具有智能同步技术：根据病人的肺特性，调节吸气触发、压力上升时间和呼气触发参数，减少治疗过程中呼吸机设置值的频繁调节，提高人机同步，使病人呼吸更加舒适。</w:t>
            </w:r>
          </w:p>
          <w:p w14:paraId="3EC2A4FC">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▲11.潮气量：20ml-4000ml，呼吸频率：1-100次/min，吸/呼比：4:1-1:10</w:t>
            </w:r>
          </w:p>
          <w:p w14:paraId="6A0D58D8">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12.最大峰值流速：≥210L/min，吸气压力：1-90 cmH2O，吸气时间：0.1-10s</w:t>
            </w:r>
          </w:p>
          <w:p w14:paraId="321F3AB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13.压力支持：0-90cmH2O，呼末正压：0-50cmH2O</w:t>
            </w:r>
          </w:p>
          <w:p w14:paraId="23DDF113">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14.呼气触发灵敏度：Auto，1-85%，</w:t>
            </w:r>
            <w:r>
              <w:rPr>
                <w:rFonts w:hint="default" w:asciiTheme="minorEastAsia" w:hAnsiTheme="minorEastAsia"/>
                <w:b w:val="0"/>
                <w:bCs/>
                <w:color w:val="auto"/>
                <w:highlight w:val="none"/>
                <w:lang w:val="en-US"/>
              </w:rPr>
              <w:t>压力触发灵敏度：-0.5—</w:t>
            </w:r>
            <w:r>
              <w:rPr>
                <w:rFonts w:hint="eastAsia" w:asciiTheme="minorEastAsia" w:hAnsiTheme="minorEastAsia"/>
                <w:b w:val="0"/>
                <w:bCs/>
                <w:color w:val="auto"/>
                <w:highlight w:val="none"/>
                <w:lang w:val="en-US" w:eastAsia="zh-CN"/>
              </w:rPr>
              <w:t xml:space="preserve"> </w:t>
            </w:r>
            <w:r>
              <w:rPr>
                <w:rFonts w:hint="default" w:asciiTheme="minorEastAsia" w:hAnsiTheme="minorEastAsia"/>
                <w:b w:val="0"/>
                <w:bCs/>
                <w:color w:val="auto"/>
                <w:highlight w:val="none"/>
                <w:lang w:val="en-US"/>
              </w:rPr>
              <w:t>-20cmH2O</w:t>
            </w:r>
          </w:p>
          <w:p w14:paraId="5FCCB338">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15.流速触发灵敏度：0.5—20L/ min，氧疗流量：2-80L/min</w:t>
            </w:r>
          </w:p>
          <w:p w14:paraId="02E020D0">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16.压力监测：PEEP、气道峰压、平台压、平均压等监测。</w:t>
            </w:r>
          </w:p>
          <w:p w14:paraId="594CD510">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17.潮气量的监测：吸入潮气量、呼出潮气量、自主呼出潮气量的监测。</w:t>
            </w:r>
          </w:p>
          <w:p w14:paraId="61A0EDEA">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18.呼吸频率监测：总的呼吸频率、自主呼吸频率、机控呼吸频率的监测。</w:t>
            </w:r>
          </w:p>
          <w:p w14:paraId="23A36485">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19.波形显示：压力/时间、流速/时间、容量/时间，具有吸入氧浓度的监测。</w:t>
            </w:r>
          </w:p>
          <w:p w14:paraId="36A7C3B4">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▲20.呼吸机自带屏幕录制功能；</w:t>
            </w:r>
          </w:p>
          <w:p w14:paraId="152AB1EF">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▲21.</w:t>
            </w:r>
            <w:r>
              <w:rPr>
                <w:rFonts w:hint="default" w:asciiTheme="minorEastAsia" w:hAnsiTheme="minorEastAsia"/>
                <w:b w:val="0"/>
                <w:bCs/>
                <w:color w:val="auto"/>
                <w:highlight w:val="none"/>
                <w:lang w:val="en-US"/>
              </w:rPr>
              <w:t>本机具备HDMI扩展显示。</w:t>
            </w:r>
          </w:p>
          <w:p w14:paraId="15CAEB66">
            <w:pPr>
              <w:pStyle w:val="23"/>
              <w:shd w:val="clear"/>
              <w:adjustRightInd w:val="0"/>
              <w:snapToGrid w:val="0"/>
              <w:jc w:val="left"/>
              <w:rPr>
                <w:rFonts w:hint="default" w:asciiTheme="minorEastAsia" w:hAnsiTheme="minorEastAsia"/>
                <w:b w:val="0"/>
                <w:bCs/>
                <w:color w:val="auto"/>
                <w:highlight w:val="none"/>
                <w:lang w:val="en-US"/>
              </w:rPr>
            </w:pPr>
            <w:r>
              <w:rPr>
                <w:rFonts w:hint="default" w:asciiTheme="minorEastAsia" w:hAnsiTheme="minorEastAsia"/>
                <w:b w:val="0"/>
                <w:bCs/>
                <w:color w:val="auto"/>
                <w:highlight w:val="none"/>
                <w:lang w:val="en-US"/>
              </w:rPr>
              <w:t>22.要求产品使用年限不低于10年。</w:t>
            </w:r>
          </w:p>
        </w:tc>
        <w:tc>
          <w:tcPr>
            <w:tcW w:w="654" w:type="dxa"/>
            <w:tcBorders>
              <w:left w:val="single" w:color="auto" w:sz="4" w:space="0"/>
            </w:tcBorders>
            <w:vAlign w:val="center"/>
          </w:tcPr>
          <w:p w14:paraId="77D0CC70">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05222FC7">
            <w:pPr>
              <w:pStyle w:val="23"/>
              <w:shd w:val="clear"/>
              <w:adjustRightInd w:val="0"/>
              <w:snapToGrid w:val="0"/>
              <w:jc w:val="center"/>
              <w:rPr>
                <w:rFonts w:asciiTheme="minorEastAsia" w:hAnsiTheme="minorEastAsia"/>
                <w:b/>
                <w:color w:val="auto"/>
                <w:highlight w:val="none"/>
              </w:rPr>
            </w:pPr>
          </w:p>
        </w:tc>
      </w:tr>
      <w:tr w14:paraId="27CE289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6800F3FE">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3</w:t>
            </w:r>
          </w:p>
        </w:tc>
        <w:tc>
          <w:tcPr>
            <w:tcW w:w="2310" w:type="dxa"/>
            <w:tcBorders>
              <w:right w:val="single" w:color="auto" w:sz="4" w:space="0"/>
            </w:tcBorders>
            <w:vAlign w:val="center"/>
          </w:tcPr>
          <w:p w14:paraId="0C4C9325">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有创呼吸机</w:t>
            </w:r>
          </w:p>
        </w:tc>
        <w:tc>
          <w:tcPr>
            <w:tcW w:w="4926" w:type="dxa"/>
            <w:tcBorders>
              <w:right w:val="single" w:color="auto" w:sz="4" w:space="0"/>
            </w:tcBorders>
            <w:vAlign w:val="center"/>
          </w:tcPr>
          <w:p w14:paraId="5411B9EE">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一、基本特征</w:t>
            </w:r>
          </w:p>
          <w:p w14:paraId="401D34A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1.1适用于对成入、小儿患者进行通气辅助及呼吸支持的呼吸机，中文操作界面。</w:t>
            </w:r>
          </w:p>
          <w:p w14:paraId="24C48DD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1.2采用不小于</w:t>
            </w:r>
            <w:r>
              <w:rPr>
                <w:rFonts w:hint="eastAsia" w:asciiTheme="minorEastAsia" w:hAnsiTheme="minorEastAsia"/>
                <w:b w:val="0"/>
                <w:bCs/>
                <w:color w:val="auto"/>
                <w:highlight w:val="none"/>
                <w:lang w:val="en-US" w:eastAsia="zh-CN"/>
              </w:rPr>
              <w:t xml:space="preserve">12英寸 </w:t>
            </w:r>
            <w:r>
              <w:rPr>
                <w:rFonts w:hint="eastAsia" w:asciiTheme="minorEastAsia" w:hAnsiTheme="minorEastAsia"/>
                <w:b w:val="0"/>
                <w:bCs/>
                <w:color w:val="auto"/>
                <w:highlight w:val="none"/>
                <w:lang w:val="en-US" w:eastAsia="zh-CN"/>
              </w:rPr>
              <w:t>，分辨率</w:t>
            </w:r>
            <w:r>
              <w:rPr>
                <w:rFonts w:hint="eastAsia" w:eastAsia="宋体" w:cs="Times New Roman" w:asciiTheme="minorEastAsia" w:hAnsiTheme="minorEastAsia"/>
                <w:b w:val="0"/>
                <w:bCs/>
                <w:color w:val="auto"/>
                <w:highlight w:val="none"/>
                <w:lang w:val="en-US" w:eastAsia="zh-CN"/>
              </w:rPr>
              <w:t>1280*800</w:t>
            </w:r>
            <w:r>
              <w:rPr>
                <w:rFonts w:hint="eastAsia" w:asciiTheme="minorEastAsia" w:hAnsiTheme="minorEastAsia"/>
                <w:b w:val="0"/>
                <w:bCs/>
                <w:color w:val="auto"/>
                <w:highlight w:val="none"/>
                <w:lang w:val="en-US" w:eastAsia="zh-CN"/>
              </w:rPr>
              <w:t>，屏幕可翻转，角度0-30度可调，</w:t>
            </w:r>
          </w:p>
          <w:p w14:paraId="7A2E7E0F">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1.3屏幕采用全贴合设计，显示效果更清晰。</w:t>
            </w:r>
          </w:p>
          <w:p w14:paraId="03308E3F">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1.4电池续航时间</w:t>
            </w:r>
            <w:r>
              <w:rPr>
                <w:rStyle w:val="46"/>
                <w:rFonts w:ascii="Segoe UI" w:hAnsi="Segoe UI" w:eastAsia="Segoe UI" w:cs="Segoe UI"/>
                <w:b/>
                <w:bCs/>
                <w:i w:val="0"/>
                <w:iCs w:val="0"/>
                <w:caps w:val="0"/>
                <w:color w:val="auto"/>
                <w:spacing w:val="0"/>
                <w:sz w:val="22"/>
                <w:szCs w:val="22"/>
                <w:highlight w:val="none"/>
                <w:shd w:val="clear" w:fill="F5F5F5"/>
              </w:rPr>
              <w:t>≥</w:t>
            </w:r>
            <w:r>
              <w:rPr>
                <w:rFonts w:hint="eastAsia" w:eastAsia="宋体" w:cs="Times New Roman"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rPr>
              <w:t>0分钟</w:t>
            </w:r>
            <w:r>
              <w:rPr>
                <w:rFonts w:hint="eastAsia" w:asciiTheme="minorEastAsia" w:hAnsiTheme="minorEastAsia"/>
                <w:b w:val="0"/>
                <w:bCs/>
                <w:color w:val="auto"/>
                <w:highlight w:val="none"/>
                <w:lang w:val="en-US" w:eastAsia="zh-CN"/>
              </w:rPr>
              <w:t>，</w:t>
            </w:r>
            <w:r>
              <w:rPr>
                <w:rFonts w:hint="eastAsia" w:asciiTheme="minorEastAsia" w:hAnsiTheme="minorEastAsia"/>
                <w:b w:val="0"/>
                <w:bCs/>
                <w:color w:val="auto"/>
                <w:highlight w:val="none"/>
                <w:lang w:val="en-US" w:eastAsia="zh-CN"/>
              </w:rPr>
              <w:t>内置后备可充电电池</w:t>
            </w:r>
            <w:r>
              <w:rPr>
                <w:rFonts w:hint="eastAsia" w:asciiTheme="minorEastAsia" w:hAnsiTheme="minorEastAsia"/>
                <w:b w:val="0"/>
                <w:bCs/>
                <w:color w:val="auto"/>
                <w:highlight w:val="none"/>
                <w:lang w:val="en-US" w:eastAsia="zh-CN"/>
              </w:rPr>
              <w:t>。</w:t>
            </w:r>
          </w:p>
          <w:p w14:paraId="150E5C20">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1.5电动电控呼吸机(涡轮驱动产生空气气源)，方便进行转运。</w:t>
            </w:r>
          </w:p>
          <w:p w14:paraId="66DE928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1.6具有有创通气模式和高流量氧疗模式。</w:t>
            </w:r>
          </w:p>
          <w:p w14:paraId="18C55B4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1.7病人数据、报警日志、校准表格等数据可通过U盘导出。</w:t>
            </w:r>
          </w:p>
          <w:p w14:paraId="5D35B0A9">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1.8吸气安全阀和呼气安全阀组件可徒手拆卸，并能高温高压蒸汽消毒(134°C)，以防止交叉感染。</w:t>
            </w:r>
          </w:p>
          <w:p w14:paraId="0F3AE4F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二、呼吸模式及功能</w:t>
            </w:r>
          </w:p>
          <w:p w14:paraId="7CA83FF2">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2.1标配有创通气模式:具有压力及容量控制通气下的辅助控制通气和同步间歇指令通气模式(V-A/C、P-A/C、V-SIMV、P-SIMV)、CPAP/PSV(持续气道正压/压力支持通气)以及窒息通气等模式。</w:t>
            </w:r>
          </w:p>
          <w:p w14:paraId="249BBE42">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2.</w:t>
            </w:r>
            <w:r>
              <w:rPr>
                <w:rFonts w:hint="eastAsia" w:asciiTheme="minorEastAsia" w:hAnsiTheme="minorEastAsia"/>
                <w:b w:val="0"/>
                <w:bCs/>
                <w:color w:val="auto"/>
                <w:highlight w:val="none"/>
                <w:lang w:val="en-US" w:eastAsia="zh-CN"/>
              </w:rPr>
              <w:t>具有高级模式:</w:t>
            </w:r>
            <w:r>
              <w:rPr>
                <w:rFonts w:hint="eastAsia" w:asciiTheme="minorEastAsia" w:hAnsiTheme="minorEastAsia"/>
                <w:b w:val="0"/>
                <w:bCs/>
                <w:color w:val="auto"/>
                <w:highlight w:val="none"/>
                <w:lang w:val="en-US" w:eastAsia="zh-CN"/>
              </w:rPr>
              <w:t>压力调节容量控制和同步间歇指令通气模式(PRVC、PRVC-SIMV)、双水平气道正压通气模式、自适应通气模式(如ASV/AMV)、成比例通气模式(如PAV/PPS)、心肺复苏模式(CPRV)、气道压力释放通气(APRV)以及容量支持通气(VS)模式。</w:t>
            </w:r>
          </w:p>
          <w:p w14:paraId="3458B8B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2.3具有高流量氧疗功能，可以调节氧疗流速(2-80L/min)和氧浓度。</w:t>
            </w:r>
          </w:p>
          <w:p w14:paraId="130597E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2.4其他功能:增氧、雾化、吸气保持、呼气保持、吸痰、手动呼吸。</w:t>
            </w:r>
          </w:p>
          <w:p w14:paraId="0987652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2.5具有插管补偿功能，选择不同孔径的气管插管，呼吸机可以自动调节送气压力，使插管末端的压力与呼吸机压力设置值保持一致。</w:t>
            </w:r>
          </w:p>
          <w:p w14:paraId="6FF6322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2.6具有智能同步技术:根据病人的肺特性，调节吸气触发、压力上升时间和呼气触发参数，减少治疗过程中呼吸机设置值的频繁调节，提高人机同步，使病人呼吸更加舒适。</w:t>
            </w:r>
          </w:p>
          <w:p w14:paraId="022F60AB">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2.7</w:t>
            </w:r>
            <w:r>
              <w:rPr>
                <w:rFonts w:hint="eastAsia" w:asciiTheme="minorEastAsia" w:hAnsiTheme="minorEastAsia"/>
                <w:b w:val="0"/>
                <w:bCs/>
                <w:iCs/>
                <w:color w:val="auto"/>
                <w:highlight w:val="none"/>
                <w:lang w:val="en-US" w:eastAsia="zh-CN"/>
              </w:rPr>
              <w:t>具备</w:t>
            </w:r>
            <w:r>
              <w:rPr>
                <w:rFonts w:hint="eastAsia" w:asciiTheme="minorEastAsia" w:hAnsiTheme="minorEastAsia"/>
                <w:b w:val="0"/>
                <w:bCs/>
                <w:color w:val="auto"/>
                <w:highlight w:val="none"/>
                <w:lang w:val="en-US" w:eastAsia="zh-CN"/>
              </w:rPr>
              <w:t>肺复张工具，在机械通气过程中给予高于常规平均气道压的压力并维持一定的时间，可以使更多的萎陷肺泡复张以及防止小潮气量通气所带来的继发性肺不张。</w:t>
            </w:r>
          </w:p>
          <w:p w14:paraId="41F0ACC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2.8具有动态肺视图界面，以图形形式实时显示肺动力学参数。</w:t>
            </w:r>
          </w:p>
          <w:p w14:paraId="63BD2AA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2.9</w:t>
            </w:r>
            <w:r>
              <w:rPr>
                <w:rFonts w:hint="eastAsia" w:asciiTheme="minorEastAsia" w:hAnsiTheme="minorEastAsia"/>
                <w:b w:val="0"/>
                <w:bCs/>
                <w:iCs/>
                <w:color w:val="auto"/>
                <w:highlight w:val="none"/>
                <w:lang w:val="en-US" w:eastAsia="zh-CN"/>
              </w:rPr>
              <w:t>具备</w:t>
            </w:r>
            <w:r>
              <w:rPr>
                <w:rFonts w:hint="eastAsia" w:asciiTheme="minorEastAsia" w:hAnsiTheme="minorEastAsia"/>
                <w:b w:val="0"/>
                <w:bCs/>
                <w:color w:val="auto"/>
                <w:highlight w:val="none"/>
                <w:lang w:val="en-US" w:eastAsia="zh-CN"/>
              </w:rPr>
              <w:t>脱机辅助监测功能，具备脱机功能看板，可自定义脱机指征，</w:t>
            </w:r>
            <w:r>
              <w:rPr>
                <w:rFonts w:hint="eastAsia" w:asciiTheme="minorEastAsia" w:hAnsiTheme="minorEastAsia"/>
                <w:b w:val="0"/>
                <w:bCs/>
                <w:color w:val="auto"/>
                <w:highlight w:val="none"/>
                <w:lang w:val="en-US" w:eastAsia="zh-CN"/>
              </w:rPr>
              <w:t>具备自主呼吸试验（SBT）辅助流程式相关监测功能</w:t>
            </w:r>
            <w:r>
              <w:rPr>
                <w:rFonts w:hint="eastAsia" w:asciiTheme="minorEastAsia" w:hAnsiTheme="minorEastAsia"/>
                <w:b w:val="0"/>
                <w:bCs/>
                <w:color w:val="auto"/>
                <w:highlight w:val="none"/>
                <w:lang w:val="en-US" w:eastAsia="zh-CN"/>
              </w:rPr>
              <w:t>，脱机失败时自动退出，安全规范实施脱机流程。</w:t>
            </w:r>
          </w:p>
          <w:p w14:paraId="47B53FD1">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2.10</w:t>
            </w:r>
            <w:r>
              <w:rPr>
                <w:rFonts w:hint="eastAsia" w:asciiTheme="minorEastAsia" w:hAnsiTheme="minorEastAsia"/>
                <w:b w:val="0"/>
                <w:bCs/>
                <w:color w:val="auto"/>
                <w:highlight w:val="none"/>
                <w:lang w:val="en-US" w:eastAsia="zh-CN"/>
              </w:rPr>
              <w:t>具备叹息功能</w:t>
            </w:r>
            <w:r>
              <w:rPr>
                <w:rFonts w:hint="eastAsia" w:asciiTheme="minorEastAsia" w:hAnsiTheme="minorEastAsia"/>
                <w:b w:val="0"/>
                <w:bCs/>
                <w:color w:val="auto"/>
                <w:highlight w:val="none"/>
                <w:lang w:val="en-US" w:eastAsia="zh-CN"/>
              </w:rPr>
              <w:t>、P-V工具。</w:t>
            </w:r>
          </w:p>
          <w:p w14:paraId="021B3BF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三、设置参数</w:t>
            </w:r>
          </w:p>
          <w:p w14:paraId="00D2DB49">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3.1潮气量:20ml-4000ml，呼吸频率:1-100次/min，吸/呼比:4:1-1:10</w:t>
            </w:r>
          </w:p>
          <w:p w14:paraId="68C5636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3.2 最大峰值流速:≥210L/min</w:t>
            </w:r>
          </w:p>
          <w:p w14:paraId="71E5E6A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3.3吸气压力:1-90cmH20，压力支持:0-90cmH20，呼末正压:0-50cmH20</w:t>
            </w:r>
          </w:p>
          <w:p w14:paraId="438DF229">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3.4吸气时间:0.1-10s，呼气触发灵敏度:Auto，1-85%</w:t>
            </w:r>
          </w:p>
          <w:p w14:paraId="30398872">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3.5压力触发灵敏度:-0.5</w:t>
            </w: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 xml:space="preserve"> </w:t>
            </w:r>
            <w:r>
              <w:rPr>
                <w:rFonts w:hint="eastAsia" w:asciiTheme="minorEastAsia" w:hAnsiTheme="minorEastAsia"/>
                <w:b w:val="0"/>
                <w:bCs/>
                <w:color w:val="auto"/>
                <w:highlight w:val="none"/>
                <w:lang w:val="en-US" w:eastAsia="zh-CN"/>
              </w:rPr>
              <w:t>-20cmH20，流速触发灵敏度:0.5</w:t>
            </w: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20L/min</w:t>
            </w:r>
          </w:p>
          <w:p w14:paraId="0204A01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3.6氧疗流量:2-80L/min，分钟通气量百分比:25-350%</w:t>
            </w:r>
          </w:p>
          <w:p w14:paraId="2919D83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四、监测参数</w:t>
            </w:r>
          </w:p>
          <w:p w14:paraId="7CDF88C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4.1压力监测:PEEP、气道峰压、平台压、平均压等监测。</w:t>
            </w:r>
          </w:p>
          <w:p w14:paraId="74CB23F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4.2每分钟呼出通气量:总的分钟通气量、自主呼吸的分钟通气量、泄漏的分钟通气量的监测</w:t>
            </w:r>
          </w:p>
          <w:p w14:paraId="10F9BE23">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4.3潮气量的监测:吸入潮气量、呼出潮气量、自主呼出潮气量的监测。</w:t>
            </w:r>
          </w:p>
          <w:p w14:paraId="789DA0AD">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4.4 呼吸频率监测:总的呼吸频率、自主呼吸频率、机控呼吸频率的监测。</w:t>
            </w:r>
          </w:p>
          <w:p w14:paraId="4AE68AE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4.5波形显示:压力/时间、流速/时间、容量/时间。</w:t>
            </w:r>
          </w:p>
          <w:p w14:paraId="16FCAC9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4.6 具有吸入氧浓度的监测。</w:t>
            </w:r>
          </w:p>
          <w:p w14:paraId="703DB754">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4.7</w:t>
            </w:r>
            <w:r>
              <w:rPr>
                <w:rFonts w:hint="eastAsia" w:asciiTheme="minorEastAsia" w:hAnsiTheme="minorEastAsia"/>
                <w:b w:val="0"/>
                <w:bCs/>
                <w:iCs/>
                <w:color w:val="auto"/>
                <w:highlight w:val="none"/>
                <w:lang w:val="en-US" w:eastAsia="zh-CN"/>
              </w:rPr>
              <w:t>具备</w:t>
            </w:r>
            <w:r>
              <w:rPr>
                <w:rFonts w:hint="eastAsia" w:asciiTheme="minorEastAsia" w:hAnsiTheme="minorEastAsia"/>
                <w:b w:val="0"/>
                <w:bCs/>
                <w:color w:val="auto"/>
                <w:highlight w:val="none"/>
                <w:lang w:val="en-US" w:eastAsia="zh-CN"/>
              </w:rPr>
              <w:t>Sp02监测，提供Sp02和PR监测值，提供脉搏波。可实时监测ROX指数及趋势回顾，</w:t>
            </w:r>
            <w:r>
              <w:rPr>
                <w:rFonts w:hint="eastAsia" w:asciiTheme="minorEastAsia" w:hAnsiTheme="minorEastAsia"/>
                <w:b w:val="0"/>
                <w:bCs/>
                <w:iCs/>
                <w:color w:val="auto"/>
                <w:highlight w:val="none"/>
                <w:lang w:val="en-US" w:eastAsia="zh-CN"/>
              </w:rPr>
              <w:t>可选</w:t>
            </w:r>
            <w:r>
              <w:rPr>
                <w:rFonts w:hint="eastAsia" w:asciiTheme="minorEastAsia" w:hAnsiTheme="minorEastAsia"/>
                <w:b w:val="0"/>
                <w:bCs/>
                <w:color w:val="auto"/>
                <w:highlight w:val="none"/>
                <w:lang w:val="en-US" w:eastAsia="zh-CN"/>
              </w:rPr>
              <w:t>0SI、RSS、Sp02/Fi02等评估参数，动态关注氧疗效果。</w:t>
            </w:r>
          </w:p>
          <w:p w14:paraId="149EF1B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 xml:space="preserve">4.8 </w:t>
            </w:r>
            <w:r>
              <w:rPr>
                <w:rFonts w:hint="eastAsia" w:asciiTheme="minorEastAsia" w:hAnsiTheme="minorEastAsia"/>
                <w:b w:val="0"/>
                <w:bCs/>
                <w:iCs/>
                <w:color w:val="auto"/>
                <w:highlight w:val="none"/>
                <w:lang w:val="en-US" w:eastAsia="zh-CN"/>
              </w:rPr>
              <w:t>可选</w:t>
            </w:r>
            <w:r>
              <w:rPr>
                <w:rFonts w:hint="eastAsia" w:asciiTheme="minorEastAsia" w:hAnsiTheme="minorEastAsia"/>
                <w:b w:val="0"/>
                <w:bCs/>
                <w:color w:val="auto"/>
                <w:highlight w:val="none"/>
                <w:lang w:val="en-US" w:eastAsia="zh-CN"/>
              </w:rPr>
              <w:t>肺泡通气量计算、能量代谢计算工具。</w:t>
            </w:r>
          </w:p>
          <w:p w14:paraId="2E00C67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4.9</w:t>
            </w:r>
            <w:r>
              <w:rPr>
                <w:rFonts w:hint="eastAsia" w:asciiTheme="minorEastAsia" w:hAnsiTheme="minorEastAsia"/>
                <w:b w:val="0"/>
                <w:bCs/>
                <w:iCs/>
                <w:color w:val="auto"/>
                <w:highlight w:val="none"/>
                <w:lang w:val="en-US" w:eastAsia="zh-CN"/>
              </w:rPr>
              <w:t>可选</w:t>
            </w:r>
            <w:r>
              <w:rPr>
                <w:rFonts w:hint="eastAsia" w:asciiTheme="minorEastAsia" w:hAnsiTheme="minorEastAsia"/>
                <w:b w:val="0"/>
                <w:bCs/>
                <w:color w:val="auto"/>
                <w:highlight w:val="none"/>
                <w:lang w:val="en-US" w:eastAsia="zh-CN"/>
              </w:rPr>
              <w:t>牵张指数Stress Index、肺过度膨胀系数C20/C等高级肺保护通气监测功能</w:t>
            </w:r>
          </w:p>
          <w:p w14:paraId="25A7AC21">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4.10 可配置主流或旁流二氧化碳监测。</w:t>
            </w:r>
          </w:p>
          <w:p w14:paraId="5B75C854">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五、其他功能</w:t>
            </w:r>
          </w:p>
          <w:p w14:paraId="2B8A84AB">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5.1呼吸机自带屏幕录制功能;</w:t>
            </w:r>
          </w:p>
          <w:p w14:paraId="07C9D5A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5.2呼吸波形及呼吸环可截图，屏幕导出保存U盘。</w:t>
            </w:r>
          </w:p>
          <w:p w14:paraId="3C88F07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5.3主机可存储不少于</w:t>
            </w:r>
            <w:r>
              <w:rPr>
                <w:rFonts w:hint="eastAsia" w:asciiTheme="minorEastAsia" w:hAnsiTheme="minorEastAsia"/>
                <w:b w:val="0"/>
                <w:bCs/>
                <w:color w:val="auto"/>
                <w:highlight w:val="none"/>
                <w:lang w:val="en-US" w:eastAsia="zh-CN"/>
              </w:rPr>
              <w:t>8000事件日志</w:t>
            </w:r>
            <w:r>
              <w:rPr>
                <w:rFonts w:hint="eastAsia" w:asciiTheme="minorEastAsia" w:hAnsiTheme="minorEastAsia"/>
                <w:b w:val="0"/>
                <w:bCs/>
                <w:color w:val="auto"/>
                <w:highlight w:val="none"/>
                <w:lang w:val="en-US" w:eastAsia="zh-CN"/>
              </w:rPr>
              <w:t>，包括报警日志和操作日志。</w:t>
            </w:r>
          </w:p>
          <w:p w14:paraId="729AC69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5.4具有不少于</w:t>
            </w:r>
            <w:r>
              <w:rPr>
                <w:rFonts w:hint="eastAsia" w:asciiTheme="minorEastAsia" w:hAnsiTheme="minorEastAsia"/>
                <w:b w:val="0"/>
                <w:bCs/>
                <w:color w:val="auto"/>
                <w:highlight w:val="none"/>
                <w:lang w:val="en-US" w:eastAsia="zh-CN"/>
              </w:rPr>
              <w:t>168小时</w:t>
            </w:r>
            <w:r>
              <w:rPr>
                <w:rFonts w:hint="eastAsia" w:asciiTheme="minorEastAsia" w:hAnsiTheme="minorEastAsia"/>
                <w:b w:val="0"/>
                <w:bCs/>
                <w:color w:val="auto"/>
                <w:highlight w:val="none"/>
                <w:lang w:val="en-US" w:eastAsia="zh-CN"/>
              </w:rPr>
              <w:t>趋势图和趋势表数据存储。</w:t>
            </w:r>
          </w:p>
          <w:p w14:paraId="10EAE35E">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5.5本机具备HDMI扩展显示，无需外接转接口。</w:t>
            </w:r>
          </w:p>
          <w:p w14:paraId="5AF33E2B">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rPr>
              <w:t>▲</w:t>
            </w:r>
            <w:r>
              <w:rPr>
                <w:rFonts w:hint="eastAsia" w:asciiTheme="minorEastAsia" w:hAnsiTheme="minorEastAsia"/>
                <w:b w:val="0"/>
                <w:bCs/>
                <w:color w:val="auto"/>
                <w:highlight w:val="none"/>
                <w:lang w:val="en-US" w:eastAsia="zh-CN"/>
              </w:rPr>
              <w:t>5.6支持高流量氧疗鼻氧管。</w:t>
            </w:r>
          </w:p>
          <w:p w14:paraId="30B815D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5.7具有电子雾化器供电接口。</w:t>
            </w:r>
          </w:p>
          <w:p w14:paraId="77F0447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5.8</w:t>
            </w:r>
            <w:r>
              <w:rPr>
                <w:rFonts w:hint="eastAsia" w:asciiTheme="minorEastAsia" w:hAnsiTheme="minorEastAsia"/>
                <w:b w:val="0"/>
                <w:bCs/>
                <w:color w:val="auto"/>
                <w:highlight w:val="none"/>
                <w:lang w:val="en-US" w:eastAsia="zh-CN"/>
              </w:rPr>
              <w:t>能够和模块化监护仪连接</w:t>
            </w:r>
            <w:r>
              <w:rPr>
                <w:rFonts w:hint="eastAsia" w:asciiTheme="minorEastAsia" w:hAnsiTheme="minorEastAsia"/>
                <w:b w:val="0"/>
                <w:bCs/>
                <w:color w:val="auto"/>
                <w:highlight w:val="none"/>
                <w:lang w:val="en-US" w:eastAsia="zh-CN"/>
              </w:rPr>
              <w:t>，在监护仪上实时显示呼吸机监测信息，能够通过WIFI无线网络或有线网络联网，把呼吸机的监测信息实时显示到中央</w:t>
            </w:r>
          </w:p>
          <w:p w14:paraId="6544265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监护站或全院监护系统，满足科室信息化的需求和呼吸机管理。</w:t>
            </w:r>
          </w:p>
          <w:p w14:paraId="39BD1333">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5.9产品使用年限不低于10年，要在机器铭牌上显示。</w:t>
            </w:r>
          </w:p>
        </w:tc>
        <w:tc>
          <w:tcPr>
            <w:tcW w:w="654" w:type="dxa"/>
            <w:tcBorders>
              <w:left w:val="single" w:color="auto" w:sz="4" w:space="0"/>
            </w:tcBorders>
            <w:vAlign w:val="center"/>
          </w:tcPr>
          <w:p w14:paraId="12E722BC">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1B6D8DD4">
            <w:pPr>
              <w:pStyle w:val="23"/>
              <w:shd w:val="clear"/>
              <w:adjustRightInd w:val="0"/>
              <w:snapToGrid w:val="0"/>
              <w:jc w:val="center"/>
              <w:rPr>
                <w:rFonts w:asciiTheme="minorEastAsia" w:hAnsiTheme="minorEastAsia"/>
                <w:b/>
                <w:color w:val="auto"/>
                <w:highlight w:val="none"/>
              </w:rPr>
            </w:pPr>
          </w:p>
        </w:tc>
      </w:tr>
      <w:tr w14:paraId="56ACA75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0D15EC83">
            <w:pPr>
              <w:pStyle w:val="23"/>
              <w:shd w:val="clear"/>
              <w:adjustRightInd w:val="0"/>
              <w:snapToGrid w:val="0"/>
              <w:jc w:val="center"/>
              <w:rPr>
                <w:rFonts w:hint="eastAsia" w:eastAsia="宋体" w:asciiTheme="minorEastAsia" w:hAnsiTheme="minorEastAsia"/>
                <w:b/>
                <w:color w:val="auto"/>
                <w:highlight w:val="none"/>
                <w:lang w:val="en-US" w:eastAsia="zh-CN"/>
              </w:rPr>
            </w:pPr>
            <w:bookmarkStart w:id="51" w:name="_Toc321381169"/>
            <w:bookmarkStart w:id="52" w:name="_Toc321381170"/>
            <w:bookmarkStart w:id="53" w:name="_Toc321381168"/>
            <w:r>
              <w:rPr>
                <w:rFonts w:hint="eastAsia" w:asciiTheme="minorEastAsia" w:hAnsiTheme="minorEastAsia"/>
                <w:b/>
                <w:color w:val="auto"/>
                <w:highlight w:val="none"/>
                <w:lang w:val="en-US" w:eastAsia="zh-CN"/>
              </w:rPr>
              <w:t>4</w:t>
            </w:r>
          </w:p>
        </w:tc>
        <w:tc>
          <w:tcPr>
            <w:tcW w:w="2310" w:type="dxa"/>
            <w:tcBorders>
              <w:right w:val="single" w:color="auto" w:sz="4" w:space="0"/>
            </w:tcBorders>
            <w:vAlign w:val="center"/>
          </w:tcPr>
          <w:p w14:paraId="535EDE47">
            <w:pPr>
              <w:shd w:val="clear"/>
              <w:adjustRightInd w:val="0"/>
              <w:snapToGrid w:val="0"/>
              <w:jc w:val="left"/>
              <w:rPr>
                <w:rFonts w:hint="default" w:eastAsia="宋体" w:cs="Times New Roman" w:asciiTheme="minorEastAsia" w:hAnsiTheme="minorEastAsia"/>
                <w:bCs/>
                <w:color w:val="auto"/>
                <w:highlight w:val="none"/>
                <w:lang w:val="en-US"/>
              </w:rPr>
            </w:pPr>
            <w:r>
              <w:rPr>
                <w:rFonts w:hint="default" w:eastAsia="宋体" w:cs="Times New Roman" w:asciiTheme="minorEastAsia" w:hAnsiTheme="minorEastAsia"/>
                <w:bCs/>
                <w:color w:val="auto"/>
                <w:highlight w:val="none"/>
                <w:lang w:val="en-US"/>
              </w:rPr>
              <w:t xml:space="preserve"> 除颤仪</w:t>
            </w:r>
          </w:p>
        </w:tc>
        <w:tc>
          <w:tcPr>
            <w:tcW w:w="4926" w:type="dxa"/>
            <w:tcBorders>
              <w:right w:val="single" w:color="auto" w:sz="4" w:space="0"/>
            </w:tcBorders>
            <w:vAlign w:val="center"/>
          </w:tcPr>
          <w:p w14:paraId="216DA62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1.具备手动除颤、心电监护功能。除颤具备自动阻抗补偿功能；</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升级体外起搏功能，起搏分为固定和按需两种模式。具备降速起搏功能。</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专用体内除颤附件包。</w:t>
            </w:r>
          </w:p>
          <w:p w14:paraId="0DBD20D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▲2.同步除颤和手动除颤中，能量分25档以上，可通过体外电极板进行能量选择最小为1J，最大为360J。</w:t>
            </w:r>
          </w:p>
          <w:p w14:paraId="1AF8564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3.支持AED除颤功能，电击能量：100～360J。</w:t>
            </w:r>
          </w:p>
          <w:p w14:paraId="5F76CFF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4.除颤充电迅速，充电至200J&lt;3s，充电至360J&lt;7s。</w:t>
            </w:r>
          </w:p>
          <w:p w14:paraId="0393F7F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5.体外除颤电极板手柄支持充电、放电、能量选择，具备充电完成指示灯。成人、小儿一体化电极板。</w:t>
            </w:r>
          </w:p>
          <w:p w14:paraId="249606C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6.病人阻抗范围：体外除颤：20~250Ω；体内除颤：15-250Ω。</w:t>
            </w:r>
          </w:p>
          <w:p w14:paraId="756666F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▲7.监护功能：可升级Masimo SpO2、体温、NIBP、EtCO2监测功能。具有智能导联脱落和多导同步分析功能，具有≥27种心律失常分析。</w:t>
            </w:r>
          </w:p>
          <w:p w14:paraId="7D10D35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▲8.支持3/5/6/12导和自动导联心电监测，并提供12导联心电静息报告输出功能。</w:t>
            </w:r>
          </w:p>
          <w:p w14:paraId="09F9A53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▲9.单块电池，最大可支持360J</w:t>
            </w:r>
            <w:r>
              <w:rPr>
                <w:rFonts w:hint="default" w:asciiTheme="minorEastAsia" w:hAnsiTheme="minorEastAsia"/>
                <w:b w:val="0"/>
                <w:bCs/>
                <w:color w:val="auto"/>
                <w:highlight w:val="none"/>
                <w:lang w:val="en-US" w:eastAsia="zh-CN"/>
              </w:rPr>
              <w:t>除颤210次</w:t>
            </w:r>
            <w:r>
              <w:rPr>
                <w:rFonts w:hint="default"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电池体上带有电量指示装置</w:t>
            </w:r>
            <w:r>
              <w:rPr>
                <w:rFonts w:hint="default" w:asciiTheme="minorEastAsia" w:hAnsiTheme="minorEastAsia"/>
                <w:b w:val="0"/>
                <w:bCs/>
                <w:color w:val="auto"/>
                <w:highlight w:val="none"/>
                <w:lang w:val="en-US" w:eastAsia="zh-CN"/>
              </w:rPr>
              <w:t>，用于快速评估电池电量。</w:t>
            </w:r>
          </w:p>
          <w:p w14:paraId="58C7B27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w:t>
            </w:r>
            <w:r>
              <w:rPr>
                <w:rFonts w:hint="default" w:asciiTheme="minorEastAsia" w:hAnsiTheme="minorEastAsia"/>
                <w:b w:val="0"/>
                <w:bCs/>
                <w:color w:val="auto"/>
                <w:highlight w:val="none"/>
                <w:lang w:val="en-US" w:eastAsia="zh-CN"/>
              </w:rPr>
              <w:t>.具备生理报警和技术报警功能</w:t>
            </w:r>
            <w:r>
              <w:rPr>
                <w:rFonts w:hint="default" w:asciiTheme="minorEastAsia" w:hAnsiTheme="minorEastAsia"/>
                <w:b w:val="0"/>
                <w:bCs/>
                <w:color w:val="auto"/>
                <w:highlight w:val="none"/>
                <w:lang w:val="en-US" w:eastAsia="zh-CN"/>
              </w:rPr>
              <w:t>。</w:t>
            </w:r>
          </w:p>
          <w:p w14:paraId="3A02E12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11.彩色TFT显示屏不小于7英寸, 分辨率</w:t>
            </w:r>
            <w:r>
              <w:rPr>
                <w:rFonts w:hint="default" w:asciiTheme="minorEastAsia" w:hAnsiTheme="minorEastAsia"/>
                <w:b w:val="0"/>
                <w:bCs/>
                <w:color w:val="auto"/>
                <w:highlight w:val="none"/>
                <w:lang w:val="en-US" w:eastAsia="zh-CN"/>
              </w:rPr>
              <w:t>800×480</w:t>
            </w:r>
            <w:r>
              <w:rPr>
                <w:rFonts w:hint="default" w:asciiTheme="minorEastAsia" w:hAnsiTheme="minorEastAsia"/>
                <w:b w:val="0"/>
                <w:bCs/>
                <w:color w:val="auto"/>
                <w:highlight w:val="none"/>
                <w:lang w:val="en-US" w:eastAsia="zh-CN"/>
              </w:rPr>
              <w:t>，可显示≥4道监护参数波形，有高对比度显示界面。</w:t>
            </w:r>
          </w:p>
          <w:p w14:paraId="3BA9ADF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12.体外除颤监护仪可升级配置50mm记录仪，实时记录时间有3秒、5秒、8秒、16秒、32秒、连续可供选择。</w:t>
            </w:r>
          </w:p>
          <w:p w14:paraId="47BD85E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▲13.主机具备录音功能，最大支持≥240min录音存储。</w:t>
            </w:r>
          </w:p>
          <w:p w14:paraId="7FABF97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14.关机状态下设备可自动运行自检，支持大能量自检（不低于200J）、屏幕、按键检测。</w:t>
            </w:r>
          </w:p>
          <w:p w14:paraId="088205E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15.主机重量不大于</w:t>
            </w: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KG方便转运</w:t>
            </w:r>
            <w:r>
              <w:rPr>
                <w:rFonts w:hint="default"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防护等级≥IP55</w:t>
            </w:r>
            <w:r>
              <w:rPr>
                <w:rFonts w:hint="default" w:asciiTheme="minorEastAsia" w:hAnsiTheme="minorEastAsia"/>
                <w:b w:val="0"/>
                <w:bCs/>
                <w:color w:val="auto"/>
                <w:highlight w:val="none"/>
                <w:lang w:val="en-US" w:eastAsia="zh-CN"/>
              </w:rPr>
              <w:t>。</w:t>
            </w:r>
          </w:p>
        </w:tc>
        <w:tc>
          <w:tcPr>
            <w:tcW w:w="654" w:type="dxa"/>
            <w:tcBorders>
              <w:left w:val="single" w:color="auto" w:sz="4" w:space="0"/>
            </w:tcBorders>
            <w:vAlign w:val="center"/>
          </w:tcPr>
          <w:p w14:paraId="707C6E07">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734" w:type="dxa"/>
            <w:vAlign w:val="center"/>
          </w:tcPr>
          <w:p w14:paraId="27EC0B3C">
            <w:pPr>
              <w:pStyle w:val="23"/>
              <w:shd w:val="clear"/>
              <w:adjustRightInd w:val="0"/>
              <w:snapToGrid w:val="0"/>
              <w:jc w:val="center"/>
              <w:rPr>
                <w:rFonts w:asciiTheme="minorEastAsia" w:hAnsiTheme="minorEastAsia"/>
                <w:b/>
                <w:color w:val="auto"/>
                <w:highlight w:val="none"/>
              </w:rPr>
            </w:pPr>
          </w:p>
        </w:tc>
      </w:tr>
      <w:tr w14:paraId="6C6E4B2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tcBorders>
            <w:vAlign w:val="center"/>
          </w:tcPr>
          <w:p w14:paraId="13660D34">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5</w:t>
            </w:r>
          </w:p>
        </w:tc>
        <w:tc>
          <w:tcPr>
            <w:tcW w:w="2310" w:type="dxa"/>
            <w:tcBorders>
              <w:right w:val="single" w:color="auto" w:sz="4" w:space="0"/>
            </w:tcBorders>
            <w:vAlign w:val="center"/>
          </w:tcPr>
          <w:p w14:paraId="58675AF5">
            <w:pPr>
              <w:shd w:val="clear"/>
              <w:adjustRightInd w:val="0"/>
              <w:snapToGrid w:val="0"/>
              <w:jc w:val="left"/>
              <w:rPr>
                <w:rFonts w:hint="default" w:eastAsia="宋体" w:cs="Times New Roman" w:asciiTheme="minorEastAsia" w:hAnsiTheme="minorEastAsia"/>
                <w:bCs/>
                <w:color w:val="auto"/>
                <w:highlight w:val="none"/>
                <w:lang w:val="en-US"/>
              </w:rPr>
            </w:pPr>
            <w:r>
              <w:rPr>
                <w:rFonts w:hint="eastAsia" w:eastAsia="宋体" w:cs="Times New Roman" w:asciiTheme="minorEastAsia" w:hAnsiTheme="minorEastAsia"/>
                <w:bCs/>
                <w:color w:val="auto"/>
                <w:highlight w:val="none"/>
                <w:lang w:val="en-US" w:eastAsia="zh-CN"/>
              </w:rPr>
              <w:t>心肺复苏器</w:t>
            </w:r>
          </w:p>
        </w:tc>
        <w:tc>
          <w:tcPr>
            <w:tcW w:w="4926" w:type="dxa"/>
            <w:tcBorders>
              <w:right w:val="single" w:color="auto" w:sz="4" w:space="0"/>
            </w:tcBorders>
            <w:vAlign w:val="center"/>
          </w:tcPr>
          <w:p w14:paraId="364D062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1.适用于对成年心脏骤停患者进行胸外心脏按压。适用于院前、院内以及患者转运过程中使用。</w:t>
            </w:r>
          </w:p>
          <w:p w14:paraId="39B347F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2.电动电控型心肺复苏机，无需气源即可实现心脏按压，整机重量（含电池及背板）</w:t>
            </w:r>
            <w:r>
              <w:rPr>
                <w:rFonts w:hint="default" w:asciiTheme="minorEastAsia" w:hAnsiTheme="minorEastAsia"/>
                <w:b w:val="0"/>
                <w:bCs/>
                <w:color w:val="auto"/>
                <w:highlight w:val="none"/>
                <w:lang w:val="en-US" w:eastAsia="zh-CN"/>
              </w:rPr>
              <w:t>≤</w:t>
            </w: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kg</w:t>
            </w:r>
          </w:p>
          <w:p w14:paraId="1CEF42A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▲3.采用背板加双侧支臂式按压结构，支臂与背板采用卡扣式连接，</w:t>
            </w:r>
            <w:r>
              <w:rPr>
                <w:rFonts w:hint="default" w:asciiTheme="minorEastAsia" w:hAnsiTheme="minorEastAsia"/>
                <w:b w:val="0"/>
                <w:bCs/>
                <w:color w:val="auto"/>
                <w:highlight w:val="none"/>
                <w:lang w:val="en-US" w:eastAsia="zh-CN"/>
              </w:rPr>
              <w:t>背板轻薄</w:t>
            </w:r>
            <w:r>
              <w:rPr>
                <w:rFonts w:hint="default" w:asciiTheme="minorEastAsia" w:hAnsiTheme="minorEastAsia"/>
                <w:b w:val="0"/>
                <w:bCs/>
                <w:color w:val="auto"/>
                <w:highlight w:val="none"/>
                <w:lang w:val="en-US" w:eastAsia="zh-CN"/>
              </w:rPr>
              <w:t>，两端无凸起，可快速放置于患者背部</w:t>
            </w:r>
          </w:p>
          <w:p w14:paraId="5718589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4.设备连接完毕后仅1步操作即可实现按压，开机后1步启动按压</w:t>
            </w:r>
          </w:p>
          <w:p w14:paraId="2592187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5.启动按压后，按压头接触到患者完成自动定位功能，无需人工定位</w:t>
            </w:r>
          </w:p>
          <w:p w14:paraId="20AB882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6.按压头采用负压吸盘设计，有效提拉胸腔回弹，防止胸腔塌陷</w:t>
            </w:r>
          </w:p>
          <w:p w14:paraId="5915CB0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▲7.电容触摸屏，屏幕尺寸≥3.5 英寸，自动调节亮度功能。亦可通过硅胶独立按键使用，操作灵活方便</w:t>
            </w:r>
          </w:p>
          <w:p w14:paraId="3F8BDEE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8.按压深度：30~60mm可调，按压频率：100~120次/分钟</w:t>
            </w:r>
          </w:p>
          <w:p w14:paraId="3A6A033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9.按压通气模式： 30:2 、连续按压和15:2</w:t>
            </w:r>
          </w:p>
          <w:p w14:paraId="28019FF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10.按压/释放比：按压/释放比为50%：50%（即1:1）</w:t>
            </w:r>
          </w:p>
          <w:p w14:paraId="282B4FF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▲11.按压低点停留设计，有利于增加组织器官血流灌注，提升CPR质量</w:t>
            </w:r>
          </w:p>
          <w:p w14:paraId="0D6DF6C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ETCO2功能</w:t>
            </w:r>
            <w:r>
              <w:rPr>
                <w:rFonts w:hint="default" w:asciiTheme="minorEastAsia" w:hAnsiTheme="minorEastAsia"/>
                <w:b w:val="0"/>
                <w:bCs/>
                <w:color w:val="auto"/>
                <w:highlight w:val="none"/>
                <w:lang w:val="en-US" w:eastAsia="zh-CN"/>
              </w:rPr>
              <w:t>，监测CPR 质量</w:t>
            </w:r>
          </w:p>
          <w:p w14:paraId="6BBA27B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13.插拔式可充电锂离子智能电池，1块电池可连续工作60分钟以上，具有电量显示灯</w:t>
            </w:r>
          </w:p>
          <w:p w14:paraId="306717A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▲14.电量报警：具有电池电量低报警，设备至少还能工作10分钟。具有电池电量即将耗尽报警，后伴随60S关机倒计时。</w:t>
            </w:r>
          </w:p>
          <w:p w14:paraId="48545C5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15.急救事件回顾：可回顾按压时间、暂停时间以及CCF值。</w:t>
            </w:r>
          </w:p>
          <w:p w14:paraId="2EADD07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16.具有手臂固定带和移位稳定带，手臂可与按压装置固定连接，方便移动过程中使用</w:t>
            </w:r>
          </w:p>
          <w:p w14:paraId="20AFA5A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▲17.与呼吸机联动功能：可通过蓝牙实现与呼吸机联动，实现按压与通气同步</w:t>
            </w:r>
          </w:p>
          <w:p w14:paraId="19AB75A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18.设备兼容性：背板采用塑料纤维材质，可透X光</w:t>
            </w:r>
          </w:p>
          <w:p w14:paraId="2ABE0FA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19.配有便携式背包，利于野外或转运过程中携带使用</w:t>
            </w:r>
          </w:p>
          <w:p w14:paraId="59EBA31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20.产品通过EN 1789救护车标准认证</w:t>
            </w:r>
          </w:p>
          <w:p w14:paraId="5DE0A70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21.整机防护等级：</w:t>
            </w:r>
            <w:r>
              <w:rPr>
                <w:rFonts w:hint="default" w:asciiTheme="minorEastAsia" w:hAnsiTheme="minorEastAsia"/>
                <w:b w:val="0"/>
                <w:bCs/>
                <w:color w:val="auto"/>
                <w:highlight w:val="none"/>
                <w:lang w:val="en-US" w:eastAsia="zh-CN"/>
              </w:rPr>
              <w:t>≥IP43</w:t>
            </w:r>
            <w:r>
              <w:rPr>
                <w:rFonts w:hint="default" w:asciiTheme="minorEastAsia" w:hAnsiTheme="minorEastAsia"/>
                <w:b w:val="0"/>
                <w:bCs/>
                <w:color w:val="auto"/>
                <w:highlight w:val="none"/>
                <w:lang w:val="en-US" w:eastAsia="zh-CN"/>
              </w:rPr>
              <w:t>；电池防护等级：</w:t>
            </w:r>
            <w:r>
              <w:rPr>
                <w:rFonts w:hint="default" w:asciiTheme="minorEastAsia" w:hAnsiTheme="minorEastAsia"/>
                <w:b w:val="0"/>
                <w:bCs/>
                <w:color w:val="auto"/>
                <w:highlight w:val="none"/>
                <w:lang w:val="en-US" w:eastAsia="zh-CN"/>
              </w:rPr>
              <w:t>≥IP44</w:t>
            </w:r>
          </w:p>
          <w:p w14:paraId="75D4364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具备</w:t>
            </w:r>
            <w:r>
              <w:rPr>
                <w:rFonts w:hint="default" w:asciiTheme="minorEastAsia" w:hAnsiTheme="minorEastAsia"/>
                <w:b w:val="0"/>
                <w:bCs/>
                <w:color w:val="auto"/>
                <w:highlight w:val="none"/>
                <w:lang w:val="en-US" w:eastAsia="zh-CN"/>
              </w:rPr>
              <w:t>联网功能</w:t>
            </w:r>
          </w:p>
        </w:tc>
        <w:tc>
          <w:tcPr>
            <w:tcW w:w="654" w:type="dxa"/>
            <w:tcBorders>
              <w:left w:val="single" w:color="auto" w:sz="4" w:space="0"/>
            </w:tcBorders>
            <w:vAlign w:val="center"/>
          </w:tcPr>
          <w:p w14:paraId="2C479884">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734" w:type="dxa"/>
            <w:vAlign w:val="center"/>
          </w:tcPr>
          <w:p w14:paraId="647FDC08">
            <w:pPr>
              <w:pStyle w:val="23"/>
              <w:shd w:val="clear"/>
              <w:adjustRightInd w:val="0"/>
              <w:snapToGrid w:val="0"/>
              <w:jc w:val="center"/>
              <w:rPr>
                <w:rFonts w:asciiTheme="minorEastAsia" w:hAnsiTheme="minorEastAsia"/>
                <w:b/>
                <w:color w:val="auto"/>
                <w:highlight w:val="none"/>
              </w:rPr>
            </w:pPr>
          </w:p>
        </w:tc>
      </w:tr>
    </w:tbl>
    <w:p w14:paraId="4131309A">
      <w:pPr>
        <w:shd w:val="clear"/>
        <w:rPr>
          <w:rFonts w:hint="default" w:ascii="宋体" w:hAnsi="宋体" w:cs="宋体"/>
          <w:b/>
          <w:color w:val="auto"/>
          <w:szCs w:val="21"/>
          <w:highlight w:val="none"/>
          <w:lang w:val="en-US" w:eastAsia="zh-CN"/>
        </w:rPr>
      </w:pPr>
    </w:p>
    <w:p w14:paraId="3908E909">
      <w:pPr>
        <w:shd w:val="clear"/>
        <w:adjustRightInd w:val="0"/>
        <w:snapToGrid w:val="0"/>
        <w:spacing w:line="360" w:lineRule="auto"/>
        <w:ind w:firstLine="562" w:firstLineChars="200"/>
        <w:rPr>
          <w:rFonts w:hint="eastAsia" w:ascii="宋体" w:hAnsi="宋体"/>
          <w:b/>
          <w:bCs/>
          <w:color w:val="auto"/>
          <w:sz w:val="28"/>
          <w:szCs w:val="28"/>
          <w:highlight w:val="none"/>
          <w:lang w:val="en-US" w:eastAsia="zh-CN"/>
        </w:rPr>
      </w:pPr>
      <w:r>
        <w:rPr>
          <w:rFonts w:hint="eastAsia" w:ascii="宋体" w:hAnsi="宋体"/>
          <w:b/>
          <w:bCs/>
          <w:color w:val="auto"/>
          <w:sz w:val="28"/>
          <w:szCs w:val="28"/>
          <w:highlight w:val="none"/>
          <w:lang w:val="en-US" w:eastAsia="zh-CN"/>
        </w:rPr>
        <w:t>包2：</w:t>
      </w:r>
    </w:p>
    <w:tbl>
      <w:tblPr>
        <w:tblStyle w:val="44"/>
        <w:tblW w:w="9492"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68"/>
        <w:gridCol w:w="2310"/>
        <w:gridCol w:w="4926"/>
        <w:gridCol w:w="654"/>
        <w:gridCol w:w="734"/>
      </w:tblGrid>
      <w:tr w14:paraId="67F2096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868" w:type="dxa"/>
            <w:vAlign w:val="center"/>
          </w:tcPr>
          <w:p w14:paraId="5EA28863">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en-US" w:eastAsia="zh-CN"/>
              </w:rPr>
              <w:t>序</w:t>
            </w:r>
            <w:r>
              <w:rPr>
                <w:rFonts w:hint="eastAsia" w:cs="宋体" w:asciiTheme="minorEastAsia" w:hAnsiTheme="minorEastAsia"/>
                <w:color w:val="auto"/>
                <w:szCs w:val="21"/>
                <w:highlight w:val="none"/>
              </w:rPr>
              <w:t>号</w:t>
            </w:r>
          </w:p>
        </w:tc>
        <w:tc>
          <w:tcPr>
            <w:tcW w:w="2310" w:type="dxa"/>
            <w:tcBorders>
              <w:right w:val="single" w:color="auto" w:sz="4" w:space="0"/>
            </w:tcBorders>
            <w:vAlign w:val="center"/>
          </w:tcPr>
          <w:p w14:paraId="3B008C4E">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color w:val="auto"/>
                <w:szCs w:val="21"/>
                <w:highlight w:val="none"/>
              </w:rPr>
              <w:t>设备名称</w:t>
            </w:r>
          </w:p>
        </w:tc>
        <w:tc>
          <w:tcPr>
            <w:tcW w:w="4926" w:type="dxa"/>
            <w:tcBorders>
              <w:right w:val="single" w:color="auto" w:sz="4" w:space="0"/>
            </w:tcBorders>
            <w:vAlign w:val="center"/>
          </w:tcPr>
          <w:p w14:paraId="2765692A">
            <w:pPr>
              <w:widowControl/>
              <w:shd w:val="clear"/>
              <w:adjustRightInd w:val="0"/>
              <w:snapToGrid w:val="0"/>
              <w:jc w:val="left"/>
              <w:rPr>
                <w:rFonts w:hint="default" w:eastAsia="宋体" w:cs="宋体" w:asciiTheme="minorEastAsia" w:hAnsiTheme="minorEastAsia"/>
                <w:bCs/>
                <w:color w:val="auto"/>
                <w:szCs w:val="21"/>
                <w:highlight w:val="none"/>
                <w:lang w:val="en-US" w:eastAsia="zh-CN"/>
              </w:rPr>
            </w:pPr>
            <w:r>
              <w:rPr>
                <w:rFonts w:hint="eastAsia" w:cs="宋体" w:asciiTheme="minorEastAsia" w:hAnsiTheme="minorEastAsia"/>
                <w:bCs/>
                <w:color w:val="auto"/>
                <w:szCs w:val="21"/>
                <w:highlight w:val="none"/>
                <w:lang w:val="en-US" w:eastAsia="zh-CN"/>
              </w:rPr>
              <w:t>技术参数</w:t>
            </w:r>
          </w:p>
        </w:tc>
        <w:tc>
          <w:tcPr>
            <w:tcW w:w="654" w:type="dxa"/>
            <w:tcBorders>
              <w:left w:val="single" w:color="auto" w:sz="4" w:space="0"/>
            </w:tcBorders>
            <w:vAlign w:val="center"/>
          </w:tcPr>
          <w:p w14:paraId="49110398">
            <w:pPr>
              <w:widowControl/>
              <w:shd w:val="clear"/>
              <w:adjustRightInd w:val="0"/>
              <w:snapToGrid w:val="0"/>
              <w:jc w:val="center"/>
              <w:rPr>
                <w:rFonts w:hint="eastAsia" w:cs="宋体" w:asciiTheme="minorEastAsia" w:hAnsiTheme="minorEastAsia"/>
                <w:color w:val="auto"/>
                <w:szCs w:val="21"/>
                <w:highlight w:val="none"/>
              </w:rPr>
            </w:pPr>
            <w:r>
              <w:rPr>
                <w:rFonts w:hint="eastAsia" w:cs="宋体" w:asciiTheme="minorEastAsia" w:hAnsiTheme="minorEastAsia"/>
                <w:color w:val="auto"/>
                <w:szCs w:val="21"/>
                <w:highlight w:val="none"/>
              </w:rPr>
              <w:t>数量</w:t>
            </w:r>
          </w:p>
        </w:tc>
        <w:tc>
          <w:tcPr>
            <w:tcW w:w="734" w:type="dxa"/>
            <w:vAlign w:val="center"/>
          </w:tcPr>
          <w:p w14:paraId="6FFC884F">
            <w:pPr>
              <w:widowControl/>
              <w:shd w:val="clear"/>
              <w:adjustRightInd w:val="0"/>
              <w:snapToGrid w:val="0"/>
              <w:jc w:val="center"/>
              <w:rPr>
                <w:rFonts w:cs="宋体" w:asciiTheme="minorEastAsia" w:hAnsiTheme="minorEastAsia"/>
                <w:color w:val="auto"/>
                <w:szCs w:val="21"/>
                <w:highlight w:val="none"/>
              </w:rPr>
            </w:pPr>
            <w:r>
              <w:rPr>
                <w:rFonts w:hint="eastAsia" w:cs="宋体" w:asciiTheme="minorEastAsia" w:hAnsiTheme="minorEastAsia"/>
                <w:bCs/>
                <w:color w:val="auto"/>
                <w:szCs w:val="21"/>
                <w:highlight w:val="none"/>
              </w:rPr>
              <w:t>备注</w:t>
            </w:r>
          </w:p>
        </w:tc>
      </w:tr>
      <w:tr w14:paraId="0915FA1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bottom w:val="single" w:color="auto" w:sz="4" w:space="0"/>
            </w:tcBorders>
            <w:vAlign w:val="center"/>
          </w:tcPr>
          <w:p w14:paraId="3E5CE3A1">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w:t>
            </w:r>
          </w:p>
        </w:tc>
        <w:tc>
          <w:tcPr>
            <w:tcW w:w="2310" w:type="dxa"/>
            <w:tcBorders>
              <w:right w:val="single" w:color="auto" w:sz="4" w:space="0"/>
            </w:tcBorders>
            <w:vAlign w:val="center"/>
          </w:tcPr>
          <w:p w14:paraId="7093446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转运心电监护仪</w:t>
            </w:r>
          </w:p>
        </w:tc>
        <w:tc>
          <w:tcPr>
            <w:tcW w:w="4926" w:type="dxa"/>
            <w:tcBorders>
              <w:right w:val="single" w:color="auto" w:sz="4" w:space="0"/>
            </w:tcBorders>
            <w:vAlign w:val="center"/>
          </w:tcPr>
          <w:p w14:paraId="32283A4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1.产品适用于院内转运、院外转运、急诊科床边监护、手术室、ICU、CCU病房监护及床边监护的转运监护仪。</w:t>
            </w:r>
          </w:p>
          <w:p w14:paraId="4CFBDA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2.要求屏幕不小于</w:t>
            </w: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英寸彩色触摸屏显示</w:t>
            </w:r>
            <w:r>
              <w:rPr>
                <w:rFonts w:hint="default" w:asciiTheme="minorEastAsia" w:hAnsiTheme="minorEastAsia"/>
                <w:b w:val="0"/>
                <w:bCs/>
                <w:color w:val="auto"/>
                <w:highlight w:val="none"/>
                <w:lang w:val="en-US" w:eastAsia="zh-CN"/>
              </w:rPr>
              <w:t>，触摸操作。</w:t>
            </w:r>
          </w:p>
          <w:p w14:paraId="5694690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3.仪器具有主菜单、血压测量、报警消除等快捷按键，方便医护人员操作。</w:t>
            </w:r>
          </w:p>
          <w:p w14:paraId="46331A7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4.可作为复合参数模块接入大主机工作，与大主机进行数据交换，前后双屏同时显示。</w:t>
            </w:r>
          </w:p>
          <w:p w14:paraId="53D0D58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5.主机自带固定式提手，无需外接转运底座。</w:t>
            </w:r>
          </w:p>
          <w:p w14:paraId="4ABB3C3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w:t>
            </w:r>
            <w:r>
              <w:rPr>
                <w:rFonts w:hint="eastAsia" w:asciiTheme="minorEastAsia" w:hAnsiTheme="minorEastAsia"/>
                <w:b w:val="0"/>
                <w:bCs/>
                <w:color w:val="auto"/>
                <w:highlight w:val="none"/>
                <w:lang w:val="en-US" w:eastAsia="zh-CN"/>
              </w:rPr>
              <w:t>具备</w:t>
            </w:r>
            <w:r>
              <w:rPr>
                <w:rFonts w:hint="default" w:asciiTheme="minorEastAsia" w:hAnsiTheme="minorEastAsia"/>
                <w:b w:val="0"/>
                <w:bCs/>
                <w:color w:val="auto"/>
                <w:highlight w:val="none"/>
                <w:lang w:val="en-US" w:eastAsia="zh-CN"/>
              </w:rPr>
              <w:t>急救监护专用包</w:t>
            </w:r>
            <w:r>
              <w:rPr>
                <w:rFonts w:hint="default" w:asciiTheme="minorEastAsia" w:hAnsiTheme="minorEastAsia"/>
                <w:b w:val="0"/>
                <w:bCs/>
                <w:color w:val="auto"/>
                <w:highlight w:val="none"/>
                <w:lang w:val="en-US" w:eastAsia="zh-CN"/>
              </w:rPr>
              <w:t>，防水抗震，可放置急救用品，便于野外携带和使用。</w:t>
            </w:r>
          </w:p>
          <w:p w14:paraId="47489CC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7.支持3/5/12导联ECG测量，具有智能导联脱落和多导同步分析功能。</w:t>
            </w:r>
          </w:p>
          <w:p w14:paraId="17E858C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8.心率测量范围：成人15-300bpm，小儿/新生儿15-350bpm，分辨率±1bpm。</w:t>
            </w:r>
          </w:p>
          <w:p w14:paraId="2A357F9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9.呼吸测量范围：成人0-120rpm，小儿/新生儿0-150rpm。</w:t>
            </w:r>
          </w:p>
          <w:p w14:paraId="5B8D06E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10.窒息报警范围：成人10-60s，儿童/新生儿10-20s，测量误差为±5s。</w:t>
            </w:r>
          </w:p>
          <w:p w14:paraId="6725856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11.支持连接中央监护系统。</w:t>
            </w:r>
          </w:p>
          <w:p w14:paraId="7F99F36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12.具有灌注指数PI显示，帮助医生判断测量结果的可靠性。</w:t>
            </w:r>
          </w:p>
          <w:p w14:paraId="4060638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13.NIBP静态压力测量范围：0-300mmHg，精度±3mmHg。</w:t>
            </w:r>
          </w:p>
          <w:p w14:paraId="6951F15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14.NIBP具有手动、自动、连续测量模式，具有整点测量功能，更符合临床记录习惯，提高护理效率。</w:t>
            </w:r>
          </w:p>
          <w:p w14:paraId="391ADD5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15.NIBP</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择初始充气压力，提升测量的精准性和患者的舒适性。</w:t>
            </w:r>
          </w:p>
          <w:p w14:paraId="0EF37E9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16.支持中文手写输入。</w:t>
            </w:r>
          </w:p>
          <w:p w14:paraId="31B21B1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17.具有按键背光灯功能。</w:t>
            </w:r>
          </w:p>
          <w:p w14:paraId="0A9AE7F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18.支持标准界面、大字体界面显示。</w:t>
            </w:r>
          </w:p>
          <w:p w14:paraId="4E44EA9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19.内置大容量锂电池，持续供电不小于2小时，可外接锂电池延长供电时间8小时以上。</w:t>
            </w:r>
          </w:p>
        </w:tc>
        <w:tc>
          <w:tcPr>
            <w:tcW w:w="654" w:type="dxa"/>
            <w:tcBorders>
              <w:left w:val="single" w:color="auto" w:sz="4" w:space="0"/>
            </w:tcBorders>
            <w:vAlign w:val="center"/>
          </w:tcPr>
          <w:p w14:paraId="2279039D">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1台</w:t>
            </w:r>
          </w:p>
        </w:tc>
        <w:tc>
          <w:tcPr>
            <w:tcW w:w="734" w:type="dxa"/>
            <w:vAlign w:val="center"/>
          </w:tcPr>
          <w:p w14:paraId="512CE1EC">
            <w:pPr>
              <w:pStyle w:val="23"/>
              <w:shd w:val="clear"/>
              <w:adjustRightInd w:val="0"/>
              <w:snapToGrid w:val="0"/>
              <w:jc w:val="center"/>
              <w:rPr>
                <w:rFonts w:asciiTheme="minorEastAsia" w:hAnsiTheme="minorEastAsia"/>
                <w:b/>
                <w:color w:val="auto"/>
                <w:highlight w:val="none"/>
              </w:rPr>
            </w:pPr>
          </w:p>
        </w:tc>
      </w:tr>
      <w:tr w14:paraId="0CD05E3B">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FD305B1">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2</w:t>
            </w:r>
          </w:p>
        </w:tc>
        <w:tc>
          <w:tcPr>
            <w:tcW w:w="2310" w:type="dxa"/>
            <w:tcBorders>
              <w:right w:val="single" w:color="auto" w:sz="4" w:space="0"/>
            </w:tcBorders>
            <w:vAlign w:val="center"/>
          </w:tcPr>
          <w:p w14:paraId="08EC1076">
            <w:pPr>
              <w:shd w:val="clear"/>
              <w:adjustRightInd w:val="0"/>
              <w:snapToGrid w:val="0"/>
              <w:jc w:val="left"/>
              <w:rPr>
                <w:rFonts w:hint="default" w:asciiTheme="minorEastAsia" w:hAnsiTheme="minorEastAsia"/>
                <w:bCs/>
                <w:color w:val="auto"/>
                <w:highlight w:val="none"/>
                <w:lang w:val="en-US"/>
              </w:rPr>
            </w:pPr>
            <w:r>
              <w:rPr>
                <w:rFonts w:hint="eastAsia" w:asciiTheme="minorEastAsia" w:hAnsiTheme="minorEastAsia"/>
                <w:bCs/>
                <w:color w:val="auto"/>
                <w:highlight w:val="none"/>
                <w:lang w:val="en-US" w:eastAsia="zh-CN"/>
              </w:rPr>
              <w:t>移动</w:t>
            </w:r>
            <w:r>
              <w:rPr>
                <w:rFonts w:hint="default" w:asciiTheme="minorEastAsia" w:hAnsiTheme="minorEastAsia"/>
                <w:bCs/>
                <w:color w:val="auto"/>
                <w:highlight w:val="none"/>
                <w:lang w:val="en-US"/>
              </w:rPr>
              <w:t>心电监护仪</w:t>
            </w:r>
          </w:p>
        </w:tc>
        <w:tc>
          <w:tcPr>
            <w:tcW w:w="4926" w:type="dxa"/>
            <w:tcBorders>
              <w:right w:val="single" w:color="auto" w:sz="4" w:space="0"/>
            </w:tcBorders>
            <w:vAlign w:val="center"/>
          </w:tcPr>
          <w:p w14:paraId="0A5EAE9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便携一体式监护仪，整机无风扇设计，降低环境噪音干扰</w:t>
            </w:r>
            <w:r>
              <w:rPr>
                <w:rFonts w:hint="eastAsia" w:asciiTheme="minorEastAsia" w:hAnsiTheme="minorEastAsia"/>
                <w:b w:val="0"/>
                <w:bCs/>
                <w:color w:val="auto"/>
                <w:highlight w:val="none"/>
                <w:lang w:val="en-US" w:eastAsia="zh-CN"/>
              </w:rPr>
              <w:t>。</w:t>
            </w:r>
          </w:p>
          <w:p w14:paraId="3D55ECED">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主机集成附件收纳槽，方便附件进行收纳放置。</w:t>
            </w:r>
          </w:p>
          <w:p w14:paraId="0B73CEE7">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不小于12英寸彩色L</w:t>
            </w:r>
            <w:r>
              <w:rPr>
                <w:rFonts w:hint="eastAsia" w:asciiTheme="minorEastAsia" w:hAnsiTheme="minorEastAsia"/>
                <w:b w:val="0"/>
                <w:bCs/>
                <w:color w:val="auto"/>
                <w:highlight w:val="none"/>
                <w:lang w:val="en-US" w:eastAsia="zh-CN"/>
              </w:rPr>
              <w:t>ED</w:t>
            </w:r>
            <w:r>
              <w:rPr>
                <w:rFonts w:hint="default" w:asciiTheme="minorEastAsia" w:hAnsiTheme="minorEastAsia"/>
                <w:b w:val="0"/>
                <w:bCs/>
                <w:color w:val="auto"/>
                <w:highlight w:val="none"/>
                <w:lang w:val="en-US" w:eastAsia="zh-CN"/>
              </w:rPr>
              <w:t>背光液晶屏，要求电容触控屏，屏幕分辨率</w:t>
            </w:r>
            <w:r>
              <w:rPr>
                <w:rFonts w:hint="default" w:asciiTheme="minorEastAsia" w:hAnsiTheme="minorEastAsia"/>
                <w:b w:val="0"/>
                <w:bCs/>
                <w:color w:val="auto"/>
                <w:highlight w:val="none"/>
                <w:lang w:val="en-US" w:eastAsia="zh-CN"/>
              </w:rPr>
              <w:t>800*600</w:t>
            </w:r>
          </w:p>
          <w:p w14:paraId="618F6B7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要求锂电池工作时间不小于4小时</w:t>
            </w:r>
          </w:p>
          <w:p w14:paraId="647B958A">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安全规格:EOG,RESP、TEMP，SpO2，NIBP监测参数抗电击程度为防除颤CF型</w:t>
            </w:r>
            <w:r>
              <w:rPr>
                <w:rFonts w:hint="eastAsia" w:asciiTheme="minorEastAsia" w:hAnsiTheme="minorEastAsia"/>
                <w:b w:val="0"/>
                <w:bCs/>
                <w:color w:val="auto"/>
                <w:highlight w:val="none"/>
                <w:lang w:val="en-US" w:eastAsia="zh-CN"/>
              </w:rPr>
              <w:t>。</w:t>
            </w:r>
          </w:p>
          <w:p w14:paraId="7E4FA432">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6.</w:t>
            </w:r>
            <w:r>
              <w:rPr>
                <w:rFonts w:hint="default" w:asciiTheme="minorEastAsia" w:hAnsiTheme="minorEastAsia"/>
                <w:b w:val="0"/>
                <w:bCs/>
                <w:color w:val="auto"/>
                <w:highlight w:val="none"/>
                <w:lang w:val="en-US" w:eastAsia="zh-CN"/>
              </w:rPr>
              <w:t>主机使用寿命不小于10年，</w:t>
            </w:r>
          </w:p>
          <w:p w14:paraId="3439674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整机防水等级IPXI，SPO2模块IPX2</w:t>
            </w:r>
            <w:r>
              <w:rPr>
                <w:rFonts w:hint="eastAsia" w:asciiTheme="minorEastAsia" w:hAnsiTheme="minorEastAsia"/>
                <w:b w:val="0"/>
                <w:bCs/>
                <w:color w:val="auto"/>
                <w:highlight w:val="none"/>
                <w:lang w:val="en-US" w:eastAsia="zh-CN"/>
              </w:rPr>
              <w:t>。</w:t>
            </w:r>
          </w:p>
          <w:p w14:paraId="15222ED6">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可监测心电、血氧、脉搏、无创血压、呼吸、体温等基础参数</w:t>
            </w:r>
          </w:p>
          <w:p w14:paraId="4D7C553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标配3/5 导心电:</w:t>
            </w:r>
          </w:p>
          <w:p w14:paraId="601A6D3A">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10.</w:t>
            </w:r>
            <w:r>
              <w:rPr>
                <w:rFonts w:hint="default" w:asciiTheme="minorEastAsia" w:hAnsiTheme="minorEastAsia"/>
                <w:b w:val="0"/>
                <w:bCs/>
                <w:color w:val="auto"/>
                <w:highlight w:val="none"/>
                <w:lang w:val="en-US" w:eastAsia="zh-CN"/>
              </w:rPr>
              <w:t>具有智能导联脱落功能，具有多导同步分析功能</w:t>
            </w:r>
            <w:r>
              <w:rPr>
                <w:rFonts w:hint="eastAsia" w:asciiTheme="minorEastAsia" w:hAnsiTheme="minorEastAsia"/>
                <w:b w:val="0"/>
                <w:bCs/>
                <w:color w:val="auto"/>
                <w:highlight w:val="none"/>
                <w:lang w:val="en-US" w:eastAsia="zh-CN"/>
              </w:rPr>
              <w:t>；</w:t>
            </w:r>
          </w:p>
          <w:p w14:paraId="04A6164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11.</w:t>
            </w:r>
            <w:r>
              <w:rPr>
                <w:rFonts w:hint="default" w:asciiTheme="minorEastAsia" w:hAnsiTheme="minorEastAsia"/>
                <w:b w:val="0"/>
                <w:bCs/>
                <w:color w:val="auto"/>
                <w:highlight w:val="none"/>
                <w:lang w:val="en-US" w:eastAsia="zh-CN"/>
              </w:rPr>
              <w:t>具有强大的心电抗干扰能力，耐极化电压:±650mV</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共模抑制能力≥106dB;</w:t>
            </w:r>
          </w:p>
          <w:p w14:paraId="3013520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w:t>
            </w: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具备心拍类型识别功能，可区分正常心拍、异常心拍、起搏心拍</w:t>
            </w:r>
            <w:r>
              <w:rPr>
                <w:rFonts w:hint="eastAsia" w:asciiTheme="minorEastAsia" w:hAnsiTheme="minorEastAsia"/>
                <w:b w:val="0"/>
                <w:bCs/>
                <w:color w:val="auto"/>
                <w:highlight w:val="none"/>
                <w:lang w:val="en-US" w:eastAsia="zh-CN"/>
              </w:rPr>
              <w:t>；</w:t>
            </w:r>
          </w:p>
          <w:p w14:paraId="6E004B6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13.</w:t>
            </w:r>
            <w:r>
              <w:rPr>
                <w:rFonts w:hint="default" w:asciiTheme="minorEastAsia" w:hAnsiTheme="minorEastAsia"/>
                <w:b w:val="0"/>
                <w:bCs/>
                <w:color w:val="auto"/>
                <w:highlight w:val="none"/>
                <w:lang w:val="en-US" w:eastAsia="zh-CN"/>
              </w:rPr>
              <w:t>不小于27种心律失常分析，包括房颤、室颤、停搏、PVCs/min/min等</w:t>
            </w:r>
            <w:r>
              <w:rPr>
                <w:rFonts w:hint="eastAsia" w:asciiTheme="minorEastAsia" w:hAnsiTheme="minorEastAsia"/>
                <w:b w:val="0"/>
                <w:bCs/>
                <w:color w:val="auto"/>
                <w:highlight w:val="none"/>
                <w:lang w:val="en-US" w:eastAsia="zh-CN"/>
              </w:rPr>
              <w:t>；</w:t>
            </w:r>
          </w:p>
          <w:p w14:paraId="22126C36">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w:t>
            </w:r>
            <w:r>
              <w:rPr>
                <w:rFonts w:hint="default" w:asciiTheme="minorEastAsia" w:hAnsiTheme="minorEastAsia"/>
                <w:b w:val="0"/>
                <w:bCs/>
                <w:color w:val="auto"/>
                <w:highlight w:val="none"/>
                <w:lang w:val="en-US" w:eastAsia="zh-CN"/>
              </w:rPr>
              <w:t>具有ST段分析和ST View功能，可实时监测ST段，评估心肌缺血情况</w:t>
            </w:r>
            <w:r>
              <w:rPr>
                <w:rFonts w:hint="eastAsia" w:asciiTheme="minorEastAsia" w:hAnsiTheme="minorEastAsia"/>
                <w:b w:val="0"/>
                <w:bCs/>
                <w:color w:val="auto"/>
                <w:highlight w:val="none"/>
                <w:lang w:val="en-US" w:eastAsia="zh-CN"/>
              </w:rPr>
              <w:t>；</w:t>
            </w:r>
          </w:p>
          <w:p w14:paraId="4D424E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15.具有QT/QTc测量功能。</w:t>
            </w:r>
          </w:p>
          <w:p w14:paraId="142582E0">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16.血氧测量范围:0%-100%:脉率测量范围:20bpm-300bpm;</w:t>
            </w:r>
          </w:p>
          <w:p w14:paraId="191EB57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w:t>
            </w:r>
            <w:r>
              <w:rPr>
                <w:rFonts w:hint="eastAsia" w:eastAsia="宋体" w:cs="Times New Roman" w:asciiTheme="minorEastAsia" w:hAnsiTheme="minorEastAsia"/>
                <w:b w:val="0"/>
                <w:bCs/>
                <w:color w:val="auto"/>
                <w:highlight w:val="none"/>
                <w:lang w:val="en-US" w:eastAsia="zh-CN"/>
              </w:rPr>
              <w:t>17.要求配置中央监护系统1套，监护仪配备移动推车</w:t>
            </w:r>
            <w:r>
              <w:rPr>
                <w:rFonts w:hint="eastAsia" w:asciiTheme="minorEastAsia" w:hAnsiTheme="minorEastAsia"/>
                <w:b w:val="0"/>
                <w:bCs/>
                <w:color w:val="auto"/>
                <w:highlight w:val="none"/>
                <w:lang w:val="en-US" w:eastAsia="zh-CN"/>
              </w:rPr>
              <w:t>；</w:t>
            </w:r>
          </w:p>
          <w:p w14:paraId="11ED0A7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具有与NIBP同侧测量功能</w:t>
            </w:r>
            <w:r>
              <w:rPr>
                <w:rFonts w:hint="eastAsia" w:asciiTheme="minorEastAsia" w:hAnsiTheme="minorEastAsia"/>
                <w:b w:val="0"/>
                <w:bCs/>
                <w:color w:val="auto"/>
                <w:highlight w:val="none"/>
                <w:lang w:val="en-US" w:eastAsia="zh-CN"/>
              </w:rPr>
              <w:t>。</w:t>
            </w:r>
          </w:p>
          <w:p w14:paraId="29051CF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19.测量范围:</w:t>
            </w:r>
          </w:p>
          <w:p w14:paraId="7C2B976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20.成人:收缩压25mmHg-290mmHg,舒张压10mmHg-250mmHg,平均压15mmHg-260mmHig</w:t>
            </w:r>
            <w:r>
              <w:rPr>
                <w:rFonts w:hint="eastAsia" w:asciiTheme="minorEastAsia" w:hAnsiTheme="minorEastAsia"/>
                <w:b w:val="0"/>
                <w:bCs/>
                <w:color w:val="auto"/>
                <w:highlight w:val="none"/>
                <w:lang w:val="en-US" w:eastAsia="zh-CN"/>
              </w:rPr>
              <w:t>；</w:t>
            </w:r>
          </w:p>
          <w:p w14:paraId="1A2E08CB">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21.小儿:收缩压25mmHg-240mmHg，舒张压10mmHg-200mmHg,平均压15mmHg-215mmHlg</w:t>
            </w:r>
            <w:r>
              <w:rPr>
                <w:rFonts w:hint="eastAsia" w:asciiTheme="minorEastAsia" w:hAnsiTheme="minorEastAsia"/>
                <w:b w:val="0"/>
                <w:bCs/>
                <w:color w:val="auto"/>
                <w:highlight w:val="none"/>
                <w:lang w:val="en-US" w:eastAsia="zh-CN"/>
              </w:rPr>
              <w:t>；</w:t>
            </w:r>
          </w:p>
          <w:p w14:paraId="0E8CAC35">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新生儿:收缩压25mHg-140mmHlg，舒张压10 mmHg-115mmHg，平均压15mmHlg-125mnHig</w:t>
            </w:r>
            <w:r>
              <w:rPr>
                <w:rFonts w:hint="eastAsia" w:asciiTheme="minorEastAsia" w:hAnsiTheme="minorEastAsia"/>
                <w:b w:val="0"/>
                <w:bCs/>
                <w:color w:val="auto"/>
                <w:highlight w:val="none"/>
                <w:lang w:val="en-US" w:eastAsia="zh-CN"/>
              </w:rPr>
              <w:t>；</w:t>
            </w:r>
          </w:p>
          <w:p w14:paraId="3B171186">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23.血压测量模式:手动、自动、序列、整点和连续测量</w:t>
            </w:r>
            <w:r>
              <w:rPr>
                <w:rFonts w:hint="eastAsia" w:asciiTheme="minorEastAsia" w:hAnsiTheme="minorEastAsia"/>
                <w:b w:val="0"/>
                <w:bCs/>
                <w:color w:val="auto"/>
                <w:highlight w:val="none"/>
                <w:lang w:val="en-US" w:eastAsia="zh-CN"/>
              </w:rPr>
              <w:t>；24.具有血压动态分析监测界面，可查看测量时间段的收缩压和舒张压的正常数据、低于正常数据以及高于正常数据的百分率，收缩压和舒张压的平均值、最大值和最小值；</w:t>
            </w:r>
          </w:p>
          <w:p w14:paraId="1CE0C8F6">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25.具有辅助静脉穿刺功能。</w:t>
            </w:r>
          </w:p>
          <w:p w14:paraId="63A9846F">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26.具有双通道体温监测，可提供体温差值显示;</w:t>
            </w:r>
          </w:p>
          <w:p w14:paraId="7AC7BA7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27.支持体表和腔内两种体温探头类型。</w:t>
            </w:r>
          </w:p>
          <w:p w14:paraId="51507005">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28.支持常规、大字体、动态趋势、呼吸氧合、ECG全屏、ECG半屏、单血氧等多种界面;</w:t>
            </w:r>
          </w:p>
          <w:p w14:paraId="0F1EDF6F">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29.用户可自定义调节界面布局波形和参数功能;</w:t>
            </w:r>
          </w:p>
          <w:p w14:paraId="0BC5710B">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30.支持计时器功能，可以同时显示最多4个计时器;</w:t>
            </w:r>
          </w:p>
          <w:p w14:paraId="50CDE1A7">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31.支持所有监测参数报警限一键自动设置功能；</w:t>
            </w:r>
          </w:p>
          <w:p w14:paraId="3B15420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32.计算功能:具有药物计算和滴定表、肾功能计算、氧合计算、通气计算、血流动力学计算功能；</w:t>
            </w:r>
          </w:p>
          <w:p w14:paraId="561A6FDB">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33.支持不小于2400小时趋势图/表、3500组NIBP列表、2500组报警事件、72小时全息波形、48小时心律失常数据的存储和回顾;</w:t>
            </w:r>
          </w:p>
          <w:p w14:paraId="58327799">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34.具备监护、待机，演示、体外循环、隐私和夜间等工作模式。</w:t>
            </w:r>
          </w:p>
          <w:p w14:paraId="0A2D01A1">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35.</w:t>
            </w:r>
            <w:r>
              <w:rPr>
                <w:rFonts w:hint="eastAsia" w:asciiTheme="minorEastAsia" w:hAnsiTheme="minorEastAsia"/>
                <w:b w:val="0"/>
                <w:bCs/>
                <w:color w:val="auto"/>
                <w:highlight w:val="none"/>
                <w:lang w:val="en-US" w:eastAsia="zh-CN"/>
              </w:rPr>
              <w:t>支持多种临床辅助决策功能:支持CCHD筛查、</w:t>
            </w:r>
            <w:r>
              <w:rPr>
                <w:rFonts w:hint="eastAsia" w:asciiTheme="minorEastAsia" w:hAnsiTheme="minorEastAsia"/>
                <w:b w:val="0"/>
                <w:bCs/>
                <w:color w:val="auto"/>
                <w:highlight w:val="none"/>
                <w:lang w:val="en-US" w:eastAsia="zh-CN"/>
              </w:rPr>
              <w:t>SepsisSight 脓毒症筛查、GCS 格拉斯哥昏迷评分等。</w:t>
            </w:r>
          </w:p>
        </w:tc>
        <w:tc>
          <w:tcPr>
            <w:tcW w:w="654" w:type="dxa"/>
            <w:tcBorders>
              <w:left w:val="single" w:color="auto" w:sz="4" w:space="0"/>
            </w:tcBorders>
            <w:vAlign w:val="center"/>
          </w:tcPr>
          <w:p w14:paraId="0CE9478B">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17台</w:t>
            </w:r>
          </w:p>
        </w:tc>
        <w:tc>
          <w:tcPr>
            <w:tcW w:w="734" w:type="dxa"/>
            <w:vAlign w:val="center"/>
          </w:tcPr>
          <w:p w14:paraId="08940A41">
            <w:pPr>
              <w:pStyle w:val="23"/>
              <w:shd w:val="clear"/>
              <w:adjustRightInd w:val="0"/>
              <w:snapToGrid w:val="0"/>
              <w:jc w:val="center"/>
              <w:rPr>
                <w:rFonts w:asciiTheme="minorEastAsia" w:hAnsiTheme="minorEastAsia"/>
                <w:b/>
                <w:color w:val="auto"/>
                <w:highlight w:val="none"/>
              </w:rPr>
            </w:pPr>
          </w:p>
        </w:tc>
      </w:tr>
      <w:tr w14:paraId="34845E0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1FBA24DB">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3</w:t>
            </w:r>
          </w:p>
        </w:tc>
        <w:tc>
          <w:tcPr>
            <w:tcW w:w="2310" w:type="dxa"/>
            <w:tcBorders>
              <w:right w:val="single" w:color="auto" w:sz="4" w:space="0"/>
            </w:tcBorders>
            <w:vAlign w:val="center"/>
          </w:tcPr>
          <w:p w14:paraId="245891AF">
            <w:pPr>
              <w:shd w:val="clear"/>
              <w:adjustRightInd w:val="0"/>
              <w:snapToGrid w:val="0"/>
              <w:jc w:val="left"/>
              <w:rPr>
                <w:rFonts w:hint="default"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心电监护仪</w:t>
            </w:r>
          </w:p>
        </w:tc>
        <w:tc>
          <w:tcPr>
            <w:tcW w:w="4926" w:type="dxa"/>
            <w:tcBorders>
              <w:right w:val="single" w:color="auto" w:sz="4" w:space="0"/>
            </w:tcBorders>
            <w:vAlign w:val="center"/>
          </w:tcPr>
          <w:p w14:paraId="545ED536">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便携一体式监护仪，整机无风扇设计，降低环境噪音干扰</w:t>
            </w:r>
            <w:r>
              <w:rPr>
                <w:rFonts w:hint="eastAsia" w:asciiTheme="minorEastAsia" w:hAnsiTheme="minorEastAsia"/>
                <w:b w:val="0"/>
                <w:bCs/>
                <w:color w:val="auto"/>
                <w:highlight w:val="none"/>
                <w:lang w:val="en-US" w:eastAsia="zh-CN"/>
              </w:rPr>
              <w:t>。</w:t>
            </w:r>
          </w:p>
          <w:p w14:paraId="38ADCBEF">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主机集成附件收纳槽，方便附件进行收纳放置。</w:t>
            </w:r>
          </w:p>
          <w:p w14:paraId="601DB02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不小于10英寸彩色LED背光液晶屏，屏幕分辨率</w:t>
            </w:r>
            <w:r>
              <w:rPr>
                <w:rFonts w:hint="default" w:asciiTheme="minorEastAsia" w:hAnsiTheme="minorEastAsia"/>
                <w:b w:val="0"/>
                <w:bCs/>
                <w:color w:val="auto"/>
                <w:highlight w:val="none"/>
                <w:lang w:val="en-US" w:eastAsia="zh-CN"/>
              </w:rPr>
              <w:t>800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600</w:t>
            </w:r>
          </w:p>
          <w:p w14:paraId="732E592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标配锂电池工作时间不小于4小时</w:t>
            </w:r>
            <w:r>
              <w:rPr>
                <w:rFonts w:hint="eastAsia" w:asciiTheme="minorEastAsia" w:hAnsiTheme="minorEastAsia"/>
                <w:b w:val="0"/>
                <w:bCs/>
                <w:color w:val="auto"/>
                <w:highlight w:val="none"/>
                <w:lang w:val="en-US" w:eastAsia="zh-CN"/>
              </w:rPr>
              <w:t>。</w:t>
            </w:r>
          </w:p>
          <w:p w14:paraId="2EEB109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安全规格:ECG，RESP、TEMIP，SpO2，NIBP监测参数抗电击程度为防除颤CF型。</w:t>
            </w:r>
          </w:p>
          <w:p w14:paraId="74E20CBB">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6.</w:t>
            </w:r>
            <w:r>
              <w:rPr>
                <w:rFonts w:hint="default" w:asciiTheme="minorEastAsia" w:hAnsiTheme="minorEastAsia"/>
                <w:b w:val="0"/>
                <w:bCs/>
                <w:color w:val="auto"/>
                <w:highlight w:val="none"/>
                <w:lang w:val="en-US" w:eastAsia="zh-CN"/>
              </w:rPr>
              <w:t>主机使用寿命不小于10年</w:t>
            </w:r>
          </w:p>
          <w:p w14:paraId="31EFA9D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整机防水等级IPX</w:t>
            </w: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,SPO2模块IPX2。</w:t>
            </w:r>
          </w:p>
          <w:p w14:paraId="09681449">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标配心电、血氧、脉博、无创血压、呼吸、体温等参数</w:t>
            </w:r>
            <w:r>
              <w:rPr>
                <w:rFonts w:hint="eastAsia" w:asciiTheme="minorEastAsia" w:hAnsiTheme="minorEastAsia"/>
                <w:b w:val="0"/>
                <w:bCs/>
                <w:color w:val="auto"/>
                <w:highlight w:val="none"/>
                <w:lang w:val="en-US" w:eastAsia="zh-CN"/>
              </w:rPr>
              <w:t>。</w:t>
            </w:r>
          </w:p>
          <w:p w14:paraId="43B8FC9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9.标配3/5导心电</w:t>
            </w:r>
            <w:r>
              <w:rPr>
                <w:rFonts w:hint="eastAsia" w:asciiTheme="minorEastAsia" w:hAnsiTheme="minorEastAsia"/>
                <w:b w:val="0"/>
                <w:bCs/>
                <w:color w:val="auto"/>
                <w:highlight w:val="none"/>
                <w:lang w:val="en-US" w:eastAsia="zh-CN"/>
              </w:rPr>
              <w:t>；</w:t>
            </w:r>
          </w:p>
          <w:p w14:paraId="7B5FBC9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10.具有智能导联脱落功能，具有多导同步分析功能</w:t>
            </w:r>
            <w:r>
              <w:rPr>
                <w:rFonts w:hint="eastAsia" w:asciiTheme="minorEastAsia" w:hAnsiTheme="minorEastAsia"/>
                <w:b w:val="0"/>
                <w:bCs/>
                <w:color w:val="auto"/>
                <w:highlight w:val="none"/>
                <w:lang w:val="en-US" w:eastAsia="zh-CN"/>
              </w:rPr>
              <w:t>；</w:t>
            </w:r>
          </w:p>
          <w:p w14:paraId="08DC5AD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具有强大的心电抗干扰能力，耐极化电压:±650mV</w:t>
            </w:r>
            <w:r>
              <w:rPr>
                <w:rFonts w:hint="eastAsia" w:asciiTheme="minorEastAsia" w:hAnsiTheme="minorEastAsia"/>
                <w:b w:val="0"/>
                <w:bCs/>
                <w:color w:val="auto"/>
                <w:highlight w:val="none"/>
                <w:lang w:val="en-US" w:eastAsia="zh-CN"/>
              </w:rPr>
              <w:t>；</w:t>
            </w:r>
          </w:p>
          <w:p w14:paraId="59860A20">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eastAsia="zh-CN"/>
              </w:rPr>
              <w:t>共模抑制能力&gt;106db</w:t>
            </w:r>
            <w:r>
              <w:rPr>
                <w:rFonts w:hint="eastAsia" w:asciiTheme="minorEastAsia" w:hAnsiTheme="minorEastAsia"/>
                <w:b w:val="0"/>
                <w:bCs/>
                <w:color w:val="auto"/>
                <w:highlight w:val="none"/>
                <w:lang w:val="en-US" w:eastAsia="zh-CN"/>
              </w:rPr>
              <w:t>；</w:t>
            </w:r>
          </w:p>
          <w:p w14:paraId="0555600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具备心拍类型识别功能，可区分正常心拍、异常心拍、起搏心拍</w:t>
            </w:r>
            <w:r>
              <w:rPr>
                <w:rFonts w:hint="eastAsia" w:asciiTheme="minorEastAsia" w:hAnsiTheme="minorEastAsia"/>
                <w:b w:val="0"/>
                <w:bCs/>
                <w:color w:val="auto"/>
                <w:highlight w:val="none"/>
                <w:lang w:val="en-US" w:eastAsia="zh-CN"/>
              </w:rPr>
              <w:t>；</w:t>
            </w:r>
          </w:p>
          <w:p w14:paraId="0602E080">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w:t>
            </w:r>
            <w:r>
              <w:rPr>
                <w:rFonts w:hint="default" w:asciiTheme="minorEastAsia" w:hAnsiTheme="minorEastAsia"/>
                <w:b w:val="0"/>
                <w:bCs/>
                <w:color w:val="auto"/>
                <w:highlight w:val="none"/>
                <w:lang w:val="en-US" w:eastAsia="zh-CN"/>
              </w:rPr>
              <w:t>≥28种心律失常分析，包括房颤、室颤、停搏、SVCs/min等;</w:t>
            </w:r>
          </w:p>
          <w:p w14:paraId="31AB368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15.</w:t>
            </w:r>
            <w:r>
              <w:rPr>
                <w:rFonts w:hint="default" w:asciiTheme="minorEastAsia" w:hAnsiTheme="minorEastAsia"/>
                <w:b w:val="0"/>
                <w:bCs/>
                <w:color w:val="auto"/>
                <w:highlight w:val="none"/>
                <w:lang w:val="en-US" w:eastAsia="zh-CN"/>
              </w:rPr>
              <w:t>具有ST段分析和ST View功能，可实时监测ST段，评估心肌缺血情况</w:t>
            </w:r>
            <w:r>
              <w:rPr>
                <w:rFonts w:hint="eastAsia" w:asciiTheme="minorEastAsia" w:hAnsiTheme="minorEastAsia"/>
                <w:b w:val="0"/>
                <w:bCs/>
                <w:color w:val="auto"/>
                <w:highlight w:val="none"/>
                <w:lang w:val="en-US" w:eastAsia="zh-CN"/>
              </w:rPr>
              <w:t>；</w:t>
            </w:r>
          </w:p>
          <w:p w14:paraId="0CE22DF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16.具有QT/QTc测量功能。</w:t>
            </w:r>
          </w:p>
          <w:p w14:paraId="12A525D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17.血氧测量范围:0%-100%;</w:t>
            </w:r>
          </w:p>
          <w:p w14:paraId="7EE84CB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18.脉率测量范围:20bpm-300bpm</w:t>
            </w:r>
          </w:p>
          <w:p w14:paraId="27D3496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19.标配PI血氧灌注指数，测量范围:0.05%-20%，分辨率0.01%;</w:t>
            </w:r>
          </w:p>
          <w:p w14:paraId="1F7AB46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20.具有与NIBP同侧测量功能。</w:t>
            </w:r>
          </w:p>
          <w:p w14:paraId="456B5E3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无创血压测量范围:收缩压25-290mmHg，舒张压10-250mmHg，平均压15-260mmHg;</w:t>
            </w:r>
          </w:p>
          <w:p w14:paraId="09B1F54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22.血压测量模式:手动、自动、序列、整点和连续测量</w:t>
            </w:r>
            <w:r>
              <w:rPr>
                <w:rFonts w:hint="eastAsia" w:asciiTheme="minorEastAsia" w:hAnsiTheme="minorEastAsia"/>
                <w:b w:val="0"/>
                <w:bCs/>
                <w:color w:val="auto"/>
                <w:highlight w:val="none"/>
                <w:lang w:val="en-US" w:eastAsia="zh-CN"/>
              </w:rPr>
              <w:t>；</w:t>
            </w:r>
          </w:p>
          <w:p w14:paraId="628671C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23.具有血压动态分析监测界面，可查看测量时间段的收缩压和舒张压的正常数据、低于正常数据以及高于正常数据的百分率，收缩压和舒张压的平均值、最大值和最小值;</w:t>
            </w:r>
          </w:p>
          <w:p w14:paraId="4EA81C1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24.具有辅助静脉穿刺功能。</w:t>
            </w:r>
          </w:p>
          <w:p w14:paraId="5CC17BCB">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25.</w:t>
            </w:r>
            <w:r>
              <w:rPr>
                <w:rFonts w:hint="default" w:asciiTheme="minorEastAsia" w:hAnsiTheme="minorEastAsia"/>
                <w:b w:val="0"/>
                <w:bCs/>
                <w:color w:val="auto"/>
                <w:highlight w:val="none"/>
                <w:lang w:val="en-US" w:eastAsia="zh-CN"/>
              </w:rPr>
              <w:t>具有双通道体温监测，可提供体温差值显示;</w:t>
            </w:r>
          </w:p>
          <w:p w14:paraId="2F895DAD">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26.</w:t>
            </w:r>
            <w:r>
              <w:rPr>
                <w:rFonts w:hint="default" w:asciiTheme="minorEastAsia" w:hAnsiTheme="minorEastAsia"/>
                <w:b w:val="0"/>
                <w:bCs/>
                <w:color w:val="auto"/>
                <w:highlight w:val="none"/>
                <w:lang w:val="en-US" w:eastAsia="zh-CN"/>
              </w:rPr>
              <w:t>支持体表和腔内两种体温探头类型。</w:t>
            </w:r>
          </w:p>
          <w:p w14:paraId="48562E0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27</w:t>
            </w:r>
            <w:r>
              <w:rPr>
                <w:rFonts w:hint="default" w:asciiTheme="minorEastAsia" w:hAnsiTheme="minorEastAsia"/>
                <w:b w:val="0"/>
                <w:bCs/>
                <w:color w:val="auto"/>
                <w:highlight w:val="none"/>
                <w:lang w:val="en-US" w:eastAsia="zh-CN"/>
              </w:rPr>
              <w:t>.支持常规、大字体、动态趋势、呼吸氧合、ECG全屏、ECG半屏、单血氧等多种界面;</w:t>
            </w:r>
          </w:p>
          <w:p w14:paraId="64263445">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28.</w:t>
            </w:r>
            <w:r>
              <w:rPr>
                <w:rFonts w:hint="default" w:asciiTheme="minorEastAsia" w:hAnsiTheme="minorEastAsia"/>
                <w:b w:val="0"/>
                <w:bCs/>
                <w:color w:val="auto"/>
                <w:highlight w:val="none"/>
                <w:lang w:val="en-US" w:eastAsia="zh-CN"/>
              </w:rPr>
              <w:t>用户可自定义调节界面布局波形和参数功能;</w:t>
            </w:r>
          </w:p>
          <w:p w14:paraId="2DEC3052">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29.</w:t>
            </w:r>
            <w:r>
              <w:rPr>
                <w:rFonts w:hint="default" w:asciiTheme="minorEastAsia" w:hAnsiTheme="minorEastAsia"/>
                <w:b w:val="0"/>
                <w:bCs/>
                <w:color w:val="auto"/>
                <w:highlight w:val="none"/>
                <w:lang w:val="en-US" w:eastAsia="zh-CN"/>
              </w:rPr>
              <w:t>支持计时器功能，可以同时显示最多4个计时器;</w:t>
            </w:r>
          </w:p>
          <w:p w14:paraId="22544AD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支持所有监测参数报警限一键自动设置功能;</w:t>
            </w:r>
          </w:p>
          <w:p w14:paraId="3F4A6F9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31.计算功能:具有药物计算和滴定表、肾功能计算、氧合计算、通气计算功能;</w:t>
            </w:r>
          </w:p>
          <w:p w14:paraId="296CD62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32.支持不小于</w:t>
            </w:r>
            <w:r>
              <w:rPr>
                <w:rFonts w:hint="default" w:asciiTheme="minorEastAsia" w:hAnsiTheme="minorEastAsia"/>
                <w:b w:val="0"/>
                <w:bCs/>
                <w:color w:val="auto"/>
                <w:highlight w:val="none"/>
                <w:lang w:val="en-US" w:eastAsia="zh-CN"/>
              </w:rPr>
              <w:t>2400小时</w:t>
            </w:r>
            <w:r>
              <w:rPr>
                <w:rFonts w:hint="default" w:asciiTheme="minorEastAsia" w:hAnsiTheme="minorEastAsia"/>
                <w:b w:val="0"/>
                <w:bCs/>
                <w:color w:val="auto"/>
                <w:highlight w:val="none"/>
                <w:lang w:val="en-US" w:eastAsia="zh-CN"/>
              </w:rPr>
              <w:t>趋势图/表、</w:t>
            </w:r>
            <w:r>
              <w:rPr>
                <w:rFonts w:hint="default" w:asciiTheme="minorEastAsia" w:hAnsiTheme="minorEastAsia"/>
                <w:b w:val="0"/>
                <w:bCs/>
                <w:color w:val="auto"/>
                <w:highlight w:val="none"/>
                <w:lang w:val="en-US" w:eastAsia="zh-CN"/>
              </w:rPr>
              <w:t>3500组</w:t>
            </w:r>
            <w:r>
              <w:rPr>
                <w:rFonts w:hint="default" w:asciiTheme="minorEastAsia" w:hAnsiTheme="minorEastAsia"/>
                <w:b w:val="0"/>
                <w:bCs/>
                <w:color w:val="auto"/>
                <w:highlight w:val="none"/>
                <w:lang w:val="en-US" w:eastAsia="zh-CN"/>
              </w:rPr>
              <w:t>NIBP列表、</w:t>
            </w:r>
            <w:r>
              <w:rPr>
                <w:rFonts w:hint="default" w:asciiTheme="minorEastAsia" w:hAnsiTheme="minorEastAsia"/>
                <w:b w:val="0"/>
                <w:bCs/>
                <w:color w:val="auto"/>
                <w:highlight w:val="none"/>
                <w:lang w:val="en-US" w:eastAsia="zh-CN"/>
              </w:rPr>
              <w:t>2500组</w:t>
            </w:r>
            <w:r>
              <w:rPr>
                <w:rFonts w:hint="default" w:asciiTheme="minorEastAsia" w:hAnsiTheme="minorEastAsia"/>
                <w:b w:val="0"/>
                <w:bCs/>
                <w:color w:val="auto"/>
                <w:highlight w:val="none"/>
                <w:lang w:val="en-US" w:eastAsia="zh-CN"/>
              </w:rPr>
              <w:t>报警事件、72小时全息波形、48小时心律失常数据的存储和回顾</w:t>
            </w:r>
            <w:r>
              <w:rPr>
                <w:rFonts w:hint="eastAsia" w:asciiTheme="minorEastAsia" w:hAnsiTheme="minorEastAsia"/>
                <w:b w:val="0"/>
                <w:bCs/>
                <w:color w:val="auto"/>
                <w:highlight w:val="none"/>
                <w:lang w:val="en-US" w:eastAsia="zh-CN"/>
              </w:rPr>
              <w:t>；</w:t>
            </w:r>
          </w:p>
          <w:p w14:paraId="5D983C2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33.具备监护、待机，演示、体外循环、隐私和夜间等工作模式。</w:t>
            </w:r>
          </w:p>
          <w:p w14:paraId="753750B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eastAsia="宋体" w:cs="Times New Roman"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34.</w:t>
            </w:r>
            <w:r>
              <w:rPr>
                <w:rFonts w:hint="eastAsia" w:eastAsia="宋体" w:cs="Times New Roman" w:asciiTheme="minorEastAsia" w:hAnsiTheme="minorEastAsia"/>
                <w:b w:val="0"/>
                <w:bCs/>
                <w:color w:val="auto"/>
                <w:highlight w:val="none"/>
                <w:lang w:val="en-US" w:eastAsia="zh-CN"/>
              </w:rPr>
              <w:t>要求配置中央监护系统1套，监护仪配备移动推车</w:t>
            </w:r>
            <w:r>
              <w:rPr>
                <w:rFonts w:hint="eastAsia" w:asciiTheme="minorEastAsia" w:hAnsiTheme="minorEastAsia"/>
                <w:b w:val="0"/>
                <w:bCs/>
                <w:color w:val="auto"/>
                <w:highlight w:val="none"/>
                <w:lang w:val="en-US" w:eastAsia="zh-CN"/>
              </w:rPr>
              <w:t>；</w:t>
            </w:r>
          </w:p>
          <w:p w14:paraId="2CBB454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35.产品使用年限不低于10年。</w:t>
            </w:r>
          </w:p>
        </w:tc>
        <w:tc>
          <w:tcPr>
            <w:tcW w:w="654" w:type="dxa"/>
            <w:tcBorders>
              <w:left w:val="single" w:color="auto" w:sz="4" w:space="0"/>
            </w:tcBorders>
            <w:vAlign w:val="center"/>
          </w:tcPr>
          <w:p w14:paraId="5D054433">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734" w:type="dxa"/>
            <w:vAlign w:val="center"/>
          </w:tcPr>
          <w:p w14:paraId="6C66746F">
            <w:pPr>
              <w:pStyle w:val="23"/>
              <w:shd w:val="clear"/>
              <w:adjustRightInd w:val="0"/>
              <w:snapToGrid w:val="0"/>
              <w:jc w:val="center"/>
              <w:rPr>
                <w:rFonts w:asciiTheme="minorEastAsia" w:hAnsiTheme="minorEastAsia"/>
                <w:b/>
                <w:color w:val="auto"/>
                <w:highlight w:val="none"/>
              </w:rPr>
            </w:pPr>
          </w:p>
        </w:tc>
      </w:tr>
      <w:tr w14:paraId="5B92966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49B2959">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4</w:t>
            </w:r>
          </w:p>
        </w:tc>
        <w:tc>
          <w:tcPr>
            <w:tcW w:w="2310" w:type="dxa"/>
            <w:tcBorders>
              <w:right w:val="single" w:color="auto" w:sz="4" w:space="0"/>
            </w:tcBorders>
            <w:vAlign w:val="center"/>
          </w:tcPr>
          <w:p w14:paraId="17DBFC84">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有创心电监护</w:t>
            </w:r>
          </w:p>
        </w:tc>
        <w:tc>
          <w:tcPr>
            <w:tcW w:w="4926" w:type="dxa"/>
            <w:tcBorders>
              <w:right w:val="single" w:color="auto" w:sz="4" w:space="0"/>
            </w:tcBorders>
            <w:vAlign w:val="center"/>
          </w:tcPr>
          <w:p w14:paraId="11F9918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要求为插件式监护仪，</w:t>
            </w:r>
            <w:r>
              <w:rPr>
                <w:rFonts w:hint="default" w:asciiTheme="minorEastAsia" w:hAnsiTheme="minorEastAsia"/>
                <w:b w:val="0"/>
                <w:bCs/>
                <w:color w:val="auto"/>
                <w:highlight w:val="none"/>
                <w:lang w:val="en-US" w:eastAsia="zh-CN"/>
              </w:rPr>
              <w:t>通过国家III类注册</w:t>
            </w:r>
            <w:r>
              <w:rPr>
                <w:rFonts w:hint="default" w:asciiTheme="minorEastAsia" w:hAnsiTheme="minorEastAsia"/>
                <w:b w:val="0"/>
                <w:bCs/>
                <w:color w:val="auto"/>
                <w:highlight w:val="none"/>
                <w:lang w:val="en-US" w:eastAsia="zh-CN"/>
              </w:rPr>
              <w:t>，主机内置不小于2个槽位插件槽</w:t>
            </w:r>
            <w:r>
              <w:rPr>
                <w:rFonts w:hint="eastAsia" w:asciiTheme="minorEastAsia" w:hAnsiTheme="minorEastAsia"/>
                <w:b w:val="0"/>
                <w:bCs/>
                <w:color w:val="auto"/>
                <w:highlight w:val="none"/>
                <w:lang w:val="en-US" w:eastAsia="zh-CN"/>
              </w:rPr>
              <w:t>；</w:t>
            </w:r>
          </w:p>
          <w:p w14:paraId="177019B4">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不小于10英寸彩色液晶电容触摸屏，分辨率为1280x800像素，≥8通道波形显示</w:t>
            </w:r>
            <w:r>
              <w:rPr>
                <w:rFonts w:hint="eastAsia" w:asciiTheme="minorEastAsia" w:hAnsiTheme="minorEastAsia"/>
                <w:b w:val="0"/>
                <w:bCs/>
                <w:color w:val="auto"/>
                <w:highlight w:val="none"/>
                <w:lang w:val="en-US" w:eastAsia="zh-CN"/>
              </w:rPr>
              <w:t>。</w:t>
            </w:r>
          </w:p>
          <w:p w14:paraId="1BBED20E">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具有光传感器，根据环境光自动调节屏幕亮度功能。</w:t>
            </w:r>
          </w:p>
          <w:p w14:paraId="35828661">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支持中文手写、拼音、英文3种输入法</w:t>
            </w:r>
            <w:r>
              <w:rPr>
                <w:rFonts w:hint="eastAsia" w:asciiTheme="minorEastAsia" w:hAnsiTheme="minorEastAsia"/>
                <w:b w:val="0"/>
                <w:bCs/>
                <w:color w:val="auto"/>
                <w:highlight w:val="none"/>
                <w:lang w:val="en-US" w:eastAsia="zh-CN"/>
              </w:rPr>
              <w:t>。</w:t>
            </w:r>
          </w:p>
          <w:p w14:paraId="5B1610BF">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5.</w:t>
            </w:r>
            <w:r>
              <w:rPr>
                <w:rFonts w:hint="default" w:asciiTheme="minorEastAsia" w:hAnsiTheme="minorEastAsia"/>
                <w:b w:val="0"/>
                <w:bCs/>
                <w:color w:val="auto"/>
                <w:highlight w:val="none"/>
                <w:lang w:val="en-US" w:eastAsia="zh-CN"/>
              </w:rPr>
              <w:t>具有单独的电池仓，免螺丝刀拆卸更换电池。</w:t>
            </w:r>
          </w:p>
          <w:p w14:paraId="15DC6E73">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6.</w:t>
            </w:r>
            <w:r>
              <w:rPr>
                <w:rFonts w:hint="eastAsia" w:asciiTheme="minorEastAsia" w:hAnsiTheme="minorEastAsia"/>
                <w:b w:val="0"/>
                <w:bCs/>
                <w:color w:val="auto"/>
                <w:highlight w:val="none"/>
                <w:lang w:val="en-US" w:eastAsia="zh-CN"/>
              </w:rPr>
              <w:t>能</w:t>
            </w:r>
            <w:r>
              <w:rPr>
                <w:rFonts w:hint="default" w:asciiTheme="minorEastAsia" w:hAnsiTheme="minorEastAsia"/>
                <w:b w:val="0"/>
                <w:bCs/>
                <w:color w:val="auto"/>
                <w:highlight w:val="none"/>
                <w:lang w:val="en-US" w:eastAsia="zh-CN"/>
              </w:rPr>
              <w:t>监测心电、血氧、脉博、无创血压、呼吸、体温、有创血压等参数</w:t>
            </w:r>
          </w:p>
          <w:p w14:paraId="4A1D942C">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标配3/5导心电，支持升级6/12导心电，具有智能导联脱落，多导同步分析功能</w:t>
            </w:r>
            <w:r>
              <w:rPr>
                <w:rFonts w:hint="eastAsia" w:asciiTheme="minorEastAsia" w:hAnsiTheme="minorEastAsia"/>
                <w:b w:val="0"/>
                <w:bCs/>
                <w:color w:val="auto"/>
                <w:highlight w:val="none"/>
                <w:lang w:val="en-US" w:eastAsia="zh-CN"/>
              </w:rPr>
              <w:t>；</w:t>
            </w:r>
          </w:p>
          <w:p w14:paraId="2459A5B6">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具有强大的心电抗干扰能力，耐极化电压:±850mV，系统噪声≤25μv;</w:t>
            </w:r>
          </w:p>
          <w:p w14:paraId="61ED1F38">
            <w:pPr>
              <w:pStyle w:val="23"/>
              <w:shd w:val="clear"/>
              <w:adjustRightInd w:val="0"/>
              <w:snapToGrid w:val="0"/>
              <w:jc w:val="left"/>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心电模式具有诊断、手术、监护、ST模式，其中手术、监护、ST模式共模抑制能力&gt;106db</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具备心拍类型识别功能，可区分正常心拍、异常心拍、起搏心拍</w:t>
            </w:r>
            <w:r>
              <w:rPr>
                <w:rFonts w:hint="eastAsia" w:asciiTheme="minorEastAsia" w:hAnsiTheme="minorEastAsia"/>
                <w:b w:val="0"/>
                <w:bCs/>
                <w:color w:val="auto"/>
                <w:highlight w:val="none"/>
                <w:lang w:val="en-US" w:eastAsia="zh-CN"/>
              </w:rPr>
              <w:t>；</w:t>
            </w:r>
          </w:p>
          <w:p w14:paraId="3EA4361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不小于27种心律失常分析，包括房颤、室颤、停搏等</w:t>
            </w:r>
            <w:r>
              <w:rPr>
                <w:rFonts w:hint="eastAsia" w:asciiTheme="minorEastAsia" w:hAnsiTheme="minorEastAsia"/>
                <w:b w:val="0"/>
                <w:bCs/>
                <w:color w:val="auto"/>
                <w:highlight w:val="none"/>
                <w:lang w:val="en-US" w:eastAsia="zh-CN"/>
              </w:rPr>
              <w:t>；</w:t>
            </w:r>
          </w:p>
          <w:p w14:paraId="517DA3E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11.具有心率变异性分析功能</w:t>
            </w:r>
            <w:r>
              <w:rPr>
                <w:rFonts w:hint="eastAsia" w:asciiTheme="minorEastAsia" w:hAnsiTheme="minorEastAsia"/>
                <w:b w:val="0"/>
                <w:bCs/>
                <w:color w:val="auto"/>
                <w:highlight w:val="none"/>
                <w:lang w:val="en-US" w:eastAsia="zh-CN"/>
              </w:rPr>
              <w:t>；</w:t>
            </w:r>
          </w:p>
          <w:p w14:paraId="4D3E638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eastAsia="zh-CN"/>
              </w:rPr>
              <w:t>支持升级Glasgow12导静息心电分析，适用于成人、小儿和新生儿</w:t>
            </w:r>
            <w:r>
              <w:rPr>
                <w:rFonts w:hint="eastAsia" w:asciiTheme="minorEastAsia" w:hAnsiTheme="minorEastAsia"/>
                <w:b w:val="0"/>
                <w:bCs/>
                <w:color w:val="auto"/>
                <w:highlight w:val="none"/>
                <w:lang w:val="en-US" w:eastAsia="zh-CN"/>
              </w:rPr>
              <w:t>；</w:t>
            </w:r>
          </w:p>
          <w:p w14:paraId="4E21DF7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13.具有ST段分析和ST View功能，可实时监测ST段，评估心肌缺血，测量范围-2.5mV-+2.5mV</w:t>
            </w:r>
            <w:r>
              <w:rPr>
                <w:rFonts w:hint="eastAsia" w:asciiTheme="minorEastAsia" w:hAnsiTheme="minorEastAsia"/>
                <w:b w:val="0"/>
                <w:bCs/>
                <w:color w:val="auto"/>
                <w:highlight w:val="none"/>
                <w:lang w:val="en-US" w:eastAsia="zh-CN"/>
              </w:rPr>
              <w:t>；</w:t>
            </w:r>
          </w:p>
          <w:p w14:paraId="765DAF2F">
            <w:pPr>
              <w:pStyle w:val="23"/>
              <w:shd w:val="clear"/>
              <w:adjustRightInd w:val="0"/>
              <w:snapToGrid w:val="0"/>
              <w:jc w:val="left"/>
              <w:rPr>
                <w:rFonts w:hint="eastAsia"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14.具有QT/QTc测量功能，提供QT、QTc参数值，测量范围:200ms-800ms</w:t>
            </w:r>
            <w:r>
              <w:rPr>
                <w:rFonts w:hint="eastAsia" w:asciiTheme="minorEastAsia" w:hAnsiTheme="minorEastAsia"/>
                <w:b w:val="0"/>
                <w:bCs/>
                <w:color w:val="auto"/>
                <w:highlight w:val="none"/>
                <w:lang w:val="en-US" w:eastAsia="zh-CN"/>
              </w:rPr>
              <w:t>；</w:t>
            </w:r>
          </w:p>
          <w:p w14:paraId="2CBA69D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15.无创血压具有五种测量模式:手动、自动、序列、整点和连续测量</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具有动态血压监测界面</w:t>
            </w:r>
          </w:p>
          <w:p w14:paraId="09A99B4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16.具有多种界面显示:标准、大字体、动态趋势、呼吸氧合、它床观察、ECG全屏、ECG半屏、ECG12导、麻醉深度、PAWP、EWS、单血氧等</w:t>
            </w:r>
            <w:r>
              <w:rPr>
                <w:rFonts w:hint="eastAsia" w:asciiTheme="minorEastAsia" w:hAnsiTheme="minorEastAsia"/>
                <w:b w:val="0"/>
                <w:bCs/>
                <w:color w:val="auto"/>
                <w:highlight w:val="none"/>
                <w:lang w:val="en-US" w:eastAsia="zh-CN"/>
              </w:rPr>
              <w:t>；</w:t>
            </w:r>
          </w:p>
          <w:p w14:paraId="7B8D6DB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17.用户可自定义调节界面布局波形和参数功能</w:t>
            </w:r>
            <w:r>
              <w:rPr>
                <w:rFonts w:hint="eastAsia" w:asciiTheme="minorEastAsia" w:hAnsiTheme="minorEastAsia"/>
                <w:b w:val="0"/>
                <w:bCs/>
                <w:color w:val="auto"/>
                <w:highlight w:val="none"/>
                <w:lang w:val="en-US" w:eastAsia="zh-CN"/>
              </w:rPr>
              <w:t>；</w:t>
            </w:r>
          </w:p>
          <w:p w14:paraId="61FF1B5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18.支持计时器功能，可以同时显示最多4个计时器。</w:t>
            </w:r>
          </w:p>
          <w:p w14:paraId="09D721E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19.计算功能:具有药物计算、肾功能计算、氧合计算、通气计算、血流动力学计算和滴定表功能</w:t>
            </w:r>
            <w:r>
              <w:rPr>
                <w:rFonts w:hint="eastAsia" w:asciiTheme="minorEastAsia" w:hAnsiTheme="minorEastAsia"/>
                <w:b w:val="0"/>
                <w:bCs/>
                <w:color w:val="auto"/>
                <w:highlight w:val="none"/>
                <w:lang w:val="en-US" w:eastAsia="zh-CN"/>
              </w:rPr>
              <w:t>；</w:t>
            </w:r>
          </w:p>
          <w:p w14:paraId="2688D3E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20.可支持≥240小时趋势图/表、≥3500组NIBP列表、≥2500组报警事件、≥48小时全息波形、≥48小时心律失常数据的存储和回顾</w:t>
            </w:r>
          </w:p>
          <w:p w14:paraId="3AA5168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21.具备24小时心电概览报告，可查看心率统计、心律失常统计、QT/QTo统计、ST段统计、起搏统计等信息</w:t>
            </w:r>
          </w:p>
          <w:p w14:paraId="5549608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支持多种临床辅助决策功能:EWS早期预警评分，</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支持CCHD筛查、SepsisSight脓毒症筛查、GCS格拉斯哥昏迷评分等。</w:t>
            </w:r>
          </w:p>
          <w:p w14:paraId="3CBC7B1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w:t>
            </w:r>
            <w:r>
              <w:rPr>
                <w:rFonts w:hint="eastAsia" w:asciiTheme="minorEastAsia" w:hAnsiTheme="minorEastAsia"/>
                <w:b w:val="0"/>
                <w:bCs/>
                <w:color w:val="auto"/>
                <w:highlight w:val="none"/>
                <w:lang w:val="en-US" w:eastAsia="zh-CN"/>
              </w:rPr>
              <w:t>.</w:t>
            </w:r>
            <w:r>
              <w:rPr>
                <w:rFonts w:hint="eastAsia" w:asciiTheme="minorEastAsia" w:hAnsiTheme="minorEastAsia"/>
                <w:b w:val="0"/>
                <w:bCs/>
                <w:iCs/>
                <w:color w:val="auto"/>
                <w:highlight w:val="none"/>
                <w:lang w:val="en-US" w:eastAsia="zh-CN"/>
              </w:rPr>
              <w:t>具备</w:t>
            </w:r>
            <w:r>
              <w:rPr>
                <w:rFonts w:hint="default" w:asciiTheme="minorEastAsia" w:hAnsiTheme="minorEastAsia"/>
                <w:b w:val="0"/>
                <w:bCs/>
                <w:color w:val="auto"/>
                <w:highlight w:val="none"/>
                <w:lang w:val="en-US" w:eastAsia="zh-CN"/>
              </w:rPr>
              <w:t>呼末二氧化碳模块</w:t>
            </w:r>
            <w:r>
              <w:rPr>
                <w:rFonts w:hint="default" w:asciiTheme="minorEastAsia" w:hAnsiTheme="minorEastAsia"/>
                <w:b w:val="0"/>
                <w:bCs/>
                <w:color w:val="auto"/>
                <w:highlight w:val="none"/>
                <w:lang w:val="en-US" w:eastAsia="zh-CN"/>
              </w:rPr>
              <w:t>(旁流二氧化碳监测无需积水杯，采用自动排水管，减少感染风险)</w:t>
            </w:r>
            <w:r>
              <w:rPr>
                <w:rFonts w:hint="eastAsia" w:asciiTheme="minorEastAsia" w:hAnsiTheme="minorEastAsia"/>
                <w:b w:val="0"/>
                <w:bCs/>
                <w:color w:val="auto"/>
                <w:highlight w:val="none"/>
                <w:lang w:val="en-US" w:eastAsia="zh-CN"/>
              </w:rPr>
              <w:t>。</w:t>
            </w:r>
          </w:p>
          <w:p w14:paraId="252FCD47">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24</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具备有创血压模块(支持2通道有创血压测量，具有PPV、SPV测量功能，支持肺动脉楔压PAWP测量).</w:t>
            </w:r>
          </w:p>
          <w:p w14:paraId="3D0A66D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25</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产品使用寿命不低于10年。</w:t>
            </w:r>
          </w:p>
        </w:tc>
        <w:tc>
          <w:tcPr>
            <w:tcW w:w="654" w:type="dxa"/>
            <w:tcBorders>
              <w:left w:val="single" w:color="auto" w:sz="4" w:space="0"/>
            </w:tcBorders>
            <w:vAlign w:val="center"/>
          </w:tcPr>
          <w:p w14:paraId="3A52E8F6">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4台</w:t>
            </w:r>
          </w:p>
        </w:tc>
        <w:tc>
          <w:tcPr>
            <w:tcW w:w="734" w:type="dxa"/>
            <w:vAlign w:val="center"/>
          </w:tcPr>
          <w:p w14:paraId="0CEDBAEB">
            <w:pPr>
              <w:pStyle w:val="23"/>
              <w:shd w:val="clear"/>
              <w:adjustRightInd w:val="0"/>
              <w:snapToGrid w:val="0"/>
              <w:jc w:val="center"/>
              <w:rPr>
                <w:rFonts w:asciiTheme="minorEastAsia" w:hAnsiTheme="minorEastAsia"/>
                <w:b/>
                <w:color w:val="auto"/>
                <w:highlight w:val="none"/>
              </w:rPr>
            </w:pPr>
          </w:p>
        </w:tc>
      </w:tr>
      <w:tr w14:paraId="23146CB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53CF6C1">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5</w:t>
            </w:r>
          </w:p>
        </w:tc>
        <w:tc>
          <w:tcPr>
            <w:tcW w:w="2310" w:type="dxa"/>
            <w:tcBorders>
              <w:right w:val="single" w:color="auto" w:sz="4" w:space="0"/>
            </w:tcBorders>
            <w:vAlign w:val="center"/>
          </w:tcPr>
          <w:p w14:paraId="7D340081">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遥测心电监护</w:t>
            </w:r>
            <w:r>
              <w:rPr>
                <w:rFonts w:hint="eastAsia" w:asciiTheme="minorEastAsia" w:hAnsiTheme="minorEastAsia"/>
                <w:bCs/>
                <w:color w:val="auto"/>
                <w:highlight w:val="none"/>
                <w:lang w:val="en-US" w:eastAsia="zh-CN"/>
              </w:rPr>
              <w:t>仪</w:t>
            </w:r>
          </w:p>
        </w:tc>
        <w:tc>
          <w:tcPr>
            <w:tcW w:w="4926" w:type="dxa"/>
            <w:tcBorders>
              <w:right w:val="single" w:color="auto" w:sz="4" w:space="0"/>
            </w:tcBorders>
            <w:vAlign w:val="center"/>
          </w:tcPr>
          <w:p w14:paraId="2C2E670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1.整机要求</w:t>
            </w:r>
          </w:p>
          <w:p w14:paraId="28029A4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 xml:space="preserve">1.1遥测发射盒防水等级符合IPX7要求，无创血压模块防水等级符合IP32要求，抗跌落测试通过1.5米跌落测试，电击防护等级CF（包括ECG、SpO2和NIBP）。 </w:t>
            </w:r>
          </w:p>
          <w:p w14:paraId="46D384E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1.2遥测发射盒屏幕可同时显示至少3个参数和2道波形，通过上下拖动屏幕能够查看所有的波形和参数。</w:t>
            </w:r>
          </w:p>
          <w:p w14:paraId="7B3C16E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2.监测参数</w:t>
            </w:r>
          </w:p>
          <w:p w14:paraId="3284D5F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2.1标配心电监护，提供HR，ST，PVC测量值，配备血氧、无创血压监测，提供SpO2，PR，NIBP测量值。（ST，PVC可在中央站上显示）</w:t>
            </w:r>
          </w:p>
          <w:p w14:paraId="0DE1F9F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2.2具有多参融合算法，良好的抗干扰性能。</w:t>
            </w:r>
          </w:p>
          <w:p w14:paraId="33907FA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2.3支持≥3通道心电波形同步分析，可进行多导心电分析。</w:t>
            </w:r>
          </w:p>
          <w:p w14:paraId="7E9A9E0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2.4具有抗运动算法，良好的抗干扰性。</w:t>
            </w:r>
          </w:p>
          <w:p w14:paraId="67A1796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2.5提供3/5导心电监护，最大支持7道ECG波形监测，心率测量范围：成人15 – 300 bpm，小儿15 – 350 bpm。</w:t>
            </w:r>
          </w:p>
          <w:p w14:paraId="1F30BEA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2.6心电波形波速提供25 mm/s、12.5 mm/s、6.25 mm/s</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w:t>
            </w:r>
          </w:p>
          <w:p w14:paraId="3E507E5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2.7心电滤波模式提供监护模式（0.5 -40Hz），ST模式（0.05 - 40Hz）, 运动模式（1~20 Hz）。</w:t>
            </w:r>
          </w:p>
          <w:p w14:paraId="2BA0848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2.8提供ST段分析，提供ST值，和每个ST的模板。（中央站上显示）。</w:t>
            </w:r>
          </w:p>
          <w:p w14:paraId="6A556A1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2.9提供ST图像化显示界面，可以快速查看ST值的变化。（中央站上显示）。</w:t>
            </w:r>
          </w:p>
          <w:p w14:paraId="7AEE220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2.10提供单个，多个ST值报警，并支持相对的报警限设置。</w:t>
            </w:r>
          </w:p>
          <w:p w14:paraId="7807984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2.11提供起搏分析。</w:t>
            </w:r>
          </w:p>
          <w:p w14:paraId="5CC29E4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2.12具有QT/QTc测量功能，提供QT，QTc和ΔQTc参数值。（中央站上显示）。</w:t>
            </w:r>
          </w:p>
          <w:p w14:paraId="3B14C7B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2.13</w:t>
            </w:r>
            <w:r>
              <w:rPr>
                <w:rFonts w:hint="eastAsia" w:asciiTheme="minorEastAsia" w:hAnsiTheme="minorEastAsia"/>
                <w:b w:val="0"/>
                <w:bCs/>
                <w:color w:val="auto"/>
                <w:highlight w:val="none"/>
                <w:lang w:val="en-US" w:eastAsia="zh-CN"/>
              </w:rPr>
              <w:t xml:space="preserve"> </w:t>
            </w:r>
            <w:r>
              <w:rPr>
                <w:rFonts w:hint="default" w:asciiTheme="minorEastAsia" w:hAnsiTheme="minorEastAsia"/>
                <w:b w:val="0"/>
                <w:bCs/>
                <w:color w:val="auto"/>
                <w:highlight w:val="none"/>
                <w:lang w:val="en-US" w:eastAsia="zh-CN"/>
              </w:rPr>
              <w:t>QTc计算公式提供：Bazett, Fridericia, Framingham, Hodges。</w:t>
            </w:r>
          </w:p>
          <w:p w14:paraId="43A0015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2.14支持房颤及室上性心律失常分析功能，如：室上性心动过速，SVCs/min等，标配支持≥27种实时心律失常分析。</w:t>
            </w:r>
          </w:p>
          <w:p w14:paraId="42C4F2C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2.15血氧饱和度测量范围：0 - 100%，来自于血氧的脉率测量范围：20 – 300 bpm。</w:t>
            </w:r>
          </w:p>
          <w:p w14:paraId="7664976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2.16可显示弱灌注指数（PI），具有脉搏调制音功能，可随脉搏血氧饱和度变化而相应变化。</w:t>
            </w:r>
          </w:p>
          <w:p w14:paraId="47763B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2.17血压测量范围（收缩压）：25 ~ 290 mmHg（成人），25 ~ 240 mmHg（小儿）。</w:t>
            </w:r>
          </w:p>
          <w:p w14:paraId="01D51AA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2.18血压测量范围（平均压）：15 ~ 260 mmHg（成人），15 ~ 215 mmHg（小儿）。</w:t>
            </w:r>
          </w:p>
          <w:p w14:paraId="68FCC75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2.19血压测量范围（舒张压）：10 ~ 250 mmHg（成人），10 ~ 200 mmHg（小儿）。</w:t>
            </w:r>
          </w:p>
          <w:p w14:paraId="1410B08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2.20来自于NIBP的脉率测量范围：30 – 300 bpm。</w:t>
            </w:r>
          </w:p>
          <w:p w14:paraId="1AC4D82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2.21提供手动、自动间隔、连续、序列测量模式。</w:t>
            </w:r>
          </w:p>
          <w:p w14:paraId="4A336F7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2.22提供动态血压监测（ABPM）功能。</w:t>
            </w:r>
          </w:p>
          <w:p w14:paraId="6118B03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2.23无创血压模块提供500组最新的无创血压测量结果回顾，具有通过USB接口将测量数据导出到中央站。</w:t>
            </w:r>
          </w:p>
          <w:p w14:paraId="2A2882E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 xml:space="preserve">2.24无创血压模块可以采用一块可充电锂电池供电，使用全新充满电的锂电池供电，支持不少于500 次测量。 </w:t>
            </w:r>
          </w:p>
          <w:p w14:paraId="5E48C51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3.系统功能</w:t>
            </w:r>
          </w:p>
          <w:p w14:paraId="3C17608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3.1采用声光双重三级报警系统。</w:t>
            </w:r>
          </w:p>
          <w:p w14:paraId="6CA21F7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3.2具有LED报警灯</w:t>
            </w:r>
          </w:p>
          <w:p w14:paraId="3303513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3.3具有图形化报警指示功能，看报警信息更容易。</w:t>
            </w:r>
          </w:p>
          <w:p w14:paraId="666C552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3.4支持遥测发射盒和中央站上同时显示电池状态。</w:t>
            </w:r>
          </w:p>
          <w:p w14:paraId="5016DFF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3.5遥测发射盒主界面上能够显示病人信息。</w:t>
            </w:r>
          </w:p>
          <w:p w14:paraId="7A0BDD9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3.6</w:t>
            </w:r>
            <w:r>
              <w:rPr>
                <w:rFonts w:hint="default" w:asciiTheme="minorEastAsia" w:hAnsiTheme="minorEastAsia"/>
                <w:b w:val="0"/>
                <w:bCs/>
                <w:color w:val="auto"/>
                <w:highlight w:val="none"/>
                <w:lang w:val="en-US" w:eastAsia="zh-CN"/>
              </w:rPr>
              <w:t>支持在监护仪上</w:t>
            </w:r>
            <w:r>
              <w:rPr>
                <w:rFonts w:hint="default" w:asciiTheme="minorEastAsia" w:hAnsiTheme="minorEastAsia"/>
                <w:b w:val="0"/>
                <w:bCs/>
                <w:color w:val="auto"/>
                <w:highlight w:val="none"/>
                <w:lang w:val="en-US" w:eastAsia="zh-CN"/>
              </w:rPr>
              <w:t>通过它床观察的方式查看连接到中央站的遥测监测数据和报警。</w:t>
            </w:r>
          </w:p>
          <w:p w14:paraId="40485BC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3.7中央站多床支持显示运动监测界面。</w:t>
            </w:r>
          </w:p>
          <w:p w14:paraId="1B8446A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3.8支持设备实时定位和设备历史位置追踪功能。</w:t>
            </w:r>
          </w:p>
          <w:p w14:paraId="5F31E56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3.9 支持在中央站上显示心电概览和生命体征概览功能。</w:t>
            </w:r>
          </w:p>
          <w:p w14:paraId="3D17531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3.10配置遥测信息系统主机一套。</w:t>
            </w:r>
            <w:r>
              <w:rPr>
                <w:rFonts w:hint="default" w:asciiTheme="minorEastAsia" w:hAnsiTheme="minorEastAsia"/>
                <w:b w:val="0"/>
                <w:bCs/>
                <w:color w:val="auto"/>
                <w:highlight w:val="none"/>
                <w:lang w:val="en-US" w:eastAsia="zh-CN"/>
              </w:rPr>
              <w:t>支持联入科室已有中央监护系统，与科室床旁监护同屏显示。</w:t>
            </w:r>
          </w:p>
          <w:p w14:paraId="7BBC3DF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3.11遥测发射盒和无创血压模块支持共用同一个集中充电器。</w:t>
            </w:r>
          </w:p>
          <w:p w14:paraId="30EA803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3.12适用于成人、小儿的监测。</w:t>
            </w:r>
          </w:p>
        </w:tc>
        <w:tc>
          <w:tcPr>
            <w:tcW w:w="654" w:type="dxa"/>
            <w:tcBorders>
              <w:left w:val="single" w:color="auto" w:sz="4" w:space="0"/>
            </w:tcBorders>
            <w:vAlign w:val="center"/>
          </w:tcPr>
          <w:p w14:paraId="369A4BD5">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734" w:type="dxa"/>
            <w:vAlign w:val="center"/>
          </w:tcPr>
          <w:p w14:paraId="5BB9C631">
            <w:pPr>
              <w:pStyle w:val="23"/>
              <w:shd w:val="clear"/>
              <w:adjustRightInd w:val="0"/>
              <w:snapToGrid w:val="0"/>
              <w:jc w:val="center"/>
              <w:rPr>
                <w:rFonts w:asciiTheme="minorEastAsia" w:hAnsiTheme="minorEastAsia"/>
                <w:b/>
                <w:color w:val="auto"/>
                <w:highlight w:val="none"/>
              </w:rPr>
            </w:pPr>
          </w:p>
        </w:tc>
      </w:tr>
      <w:tr w14:paraId="5EDE5D6C">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3132" w:hRule="atLeast"/>
          <w:jc w:val="center"/>
        </w:trPr>
        <w:tc>
          <w:tcPr>
            <w:tcW w:w="868" w:type="dxa"/>
            <w:tcBorders>
              <w:top w:val="single" w:color="auto" w:sz="4" w:space="0"/>
              <w:bottom w:val="single" w:color="auto" w:sz="4" w:space="0"/>
            </w:tcBorders>
            <w:vAlign w:val="center"/>
          </w:tcPr>
          <w:p w14:paraId="2E9B63BC">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6</w:t>
            </w:r>
          </w:p>
        </w:tc>
        <w:tc>
          <w:tcPr>
            <w:tcW w:w="2310" w:type="dxa"/>
            <w:tcBorders>
              <w:right w:val="single" w:color="auto" w:sz="4" w:space="0"/>
            </w:tcBorders>
            <w:vAlign w:val="center"/>
          </w:tcPr>
          <w:p w14:paraId="7F22E0C8">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单通道注射泵</w:t>
            </w:r>
          </w:p>
        </w:tc>
        <w:tc>
          <w:tcPr>
            <w:tcW w:w="4926" w:type="dxa"/>
            <w:tcBorders>
              <w:right w:val="single" w:color="auto" w:sz="4" w:space="0"/>
            </w:tcBorders>
            <w:vAlign w:val="center"/>
          </w:tcPr>
          <w:p w14:paraId="10AD721A">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不小于3.0英寸显示屏，全中文显示，方便快捷的人机操作界面。</w:t>
            </w:r>
          </w:p>
          <w:p w14:paraId="7EC3F07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适用注射器规格:5ml、10ml、20ml、30ml、50(60)ml所有符合标准的注射器。</w:t>
            </w:r>
          </w:p>
          <w:p w14:paraId="2663C8E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速度范围:0.10~2000mL/h，最小步进0.01ml/h</w:t>
            </w:r>
          </w:p>
          <w:p w14:paraId="4B2062B0">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快进(Bolus)速度范围:0.10mL/h~2000mL/h，最小步进0.01ml/h。</w:t>
            </w:r>
          </w:p>
          <w:p w14:paraId="4C2C72DC">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5.注射精度≤士1.8%。</w:t>
            </w:r>
          </w:p>
          <w:p w14:paraId="45168DE6">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highlight w:val="none"/>
                <w:lang w:val="en-US" w:eastAsia="zh-CN"/>
              </w:rPr>
              <w:t>6.</w:t>
            </w:r>
            <w:r>
              <w:rPr>
                <w:rFonts w:hint="default" w:eastAsia="宋体" w:cs="Times New Roman" w:asciiTheme="minorEastAsia" w:hAnsiTheme="minorEastAsia"/>
                <w:b w:val="0"/>
                <w:bCs/>
                <w:color w:val="auto"/>
                <w:highlight w:val="none"/>
                <w:lang w:val="en-US" w:eastAsia="zh-CN"/>
              </w:rPr>
              <w:t>KVO速度设定范围:0.1ml/h~30ml/h可调。</w:t>
            </w:r>
          </w:p>
          <w:p w14:paraId="505C183B">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kern w:val="2"/>
                <w:sz w:val="21"/>
                <w:szCs w:val="24"/>
                <w:highlight w:val="none"/>
                <w:lang w:val="en-US" w:eastAsia="zh-CN" w:bidi="ar-SA"/>
              </w:rPr>
              <w:t>7.</w:t>
            </w:r>
            <w:r>
              <w:rPr>
                <w:rFonts w:hint="default" w:eastAsia="宋体" w:cs="Times New Roman" w:asciiTheme="minorEastAsia" w:hAnsiTheme="minorEastAsia"/>
                <w:b w:val="0"/>
                <w:bCs/>
                <w:color w:val="auto"/>
                <w:kern w:val="2"/>
                <w:sz w:val="21"/>
                <w:szCs w:val="24"/>
                <w:highlight w:val="none"/>
                <w:lang w:val="en-US" w:eastAsia="zh-CN" w:bidi="ar-SA"/>
              </w:rPr>
              <w:t>≥9</w:t>
            </w:r>
            <w:r>
              <w:rPr>
                <w:rFonts w:hint="default" w:asciiTheme="minorEastAsia" w:hAnsiTheme="minorEastAsia"/>
                <w:b w:val="0"/>
                <w:bCs/>
                <w:color w:val="auto"/>
                <w:highlight w:val="none"/>
                <w:lang w:val="en-US" w:eastAsia="zh-CN"/>
              </w:rPr>
              <w:t>种注射模式</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:速度模式、时间模式、体重模式、间断给药模式、梯度模式、剂量时间模式、序列模式、微量模式、首剂量模式。</w:t>
            </w:r>
          </w:p>
          <w:p w14:paraId="6004179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动态压力检测(DPS)，可实时显示当前压力数值。</w:t>
            </w:r>
          </w:p>
          <w:p w14:paraId="36289247">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压力自动释放(Anti-Bolus)，当管路阻塞报警时，自动回撤管路压力，避免意外丸剂量伤害患者。</w:t>
            </w:r>
          </w:p>
          <w:p w14:paraId="45A2A1E9">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10.≥15档阻塞压力阈值可调，最低75mmHg。</w:t>
            </w:r>
          </w:p>
          <w:p w14:paraId="2CEF92E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11.具有排气功能，排除管路内的气泡。</w:t>
            </w:r>
          </w:p>
          <w:p w14:paraId="0FBE1B6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12.在线滴定功能，更改速度时完全不需要中断输液。</w:t>
            </w:r>
          </w:p>
          <w:p w14:paraId="0EAA3DC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13.夜间模式:自动降低屏幕亮度和音量，设置时间结束后自动恢复。</w:t>
            </w:r>
          </w:p>
          <w:p w14:paraId="689E922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14.药物库功能:可存储≥3000种药物</w:t>
            </w:r>
          </w:p>
          <w:p w14:paraId="0E21984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15.日志记录:可存储至少2000条操作信息</w:t>
            </w:r>
          </w:p>
          <w:p w14:paraId="54F15FD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16.自动计算四种累计量:24小时累积量、最近累积量、自定义时间段累积量、定时间隔累积量，轻松管理累计泵入液量。</w:t>
            </w:r>
          </w:p>
          <w:p w14:paraId="49BB9BAC">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17.电池工作时间≥6小时@5ml/h</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可升级至≥12小时e5ml/h。</w:t>
            </w:r>
          </w:p>
          <w:p w14:paraId="538F9674">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18.防尘防水等级:IP44。</w:t>
            </w:r>
          </w:p>
          <w:p w14:paraId="07D9AC1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19.整机重量≤1.6kg(含电池)，主机自带提手，方便携带。</w:t>
            </w:r>
          </w:p>
          <w:p w14:paraId="341AE0F2">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20.通过EN1789救护车标准认证，适合在户外急救和车载情况下使用。</w:t>
            </w:r>
          </w:p>
          <w:p w14:paraId="2DFA33C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21.要求配置输液架，使用寿命不低于10年。</w:t>
            </w:r>
          </w:p>
        </w:tc>
        <w:tc>
          <w:tcPr>
            <w:tcW w:w="654" w:type="dxa"/>
            <w:tcBorders>
              <w:left w:val="single" w:color="auto" w:sz="4" w:space="0"/>
            </w:tcBorders>
            <w:vAlign w:val="center"/>
          </w:tcPr>
          <w:p w14:paraId="4A4710E7">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14台</w:t>
            </w:r>
          </w:p>
        </w:tc>
        <w:tc>
          <w:tcPr>
            <w:tcW w:w="734" w:type="dxa"/>
            <w:vAlign w:val="center"/>
          </w:tcPr>
          <w:p w14:paraId="42351E8D">
            <w:pPr>
              <w:pStyle w:val="23"/>
              <w:shd w:val="clear"/>
              <w:adjustRightInd w:val="0"/>
              <w:snapToGrid w:val="0"/>
              <w:jc w:val="center"/>
              <w:rPr>
                <w:rFonts w:asciiTheme="minorEastAsia" w:hAnsiTheme="minorEastAsia"/>
                <w:b/>
                <w:color w:val="auto"/>
                <w:highlight w:val="none"/>
              </w:rPr>
            </w:pPr>
          </w:p>
        </w:tc>
      </w:tr>
      <w:tr w14:paraId="7F05A66A">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04236E8E">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7</w:t>
            </w:r>
          </w:p>
        </w:tc>
        <w:tc>
          <w:tcPr>
            <w:tcW w:w="2310" w:type="dxa"/>
            <w:tcBorders>
              <w:right w:val="single" w:color="auto" w:sz="4" w:space="0"/>
            </w:tcBorders>
            <w:vAlign w:val="center"/>
          </w:tcPr>
          <w:p w14:paraId="0264A96F">
            <w:pPr>
              <w:shd w:val="clear"/>
              <w:adjustRightInd w:val="0"/>
              <w:snapToGrid w:val="0"/>
              <w:jc w:val="left"/>
              <w:rPr>
                <w:rFonts w:hint="eastAsia" w:eastAsia="宋体" w:asciiTheme="minorEastAsia" w:hAnsiTheme="minorEastAsia"/>
                <w:bCs/>
                <w:color w:val="auto"/>
                <w:highlight w:val="none"/>
                <w:lang w:val="en-US" w:eastAsia="zh-CN"/>
              </w:rPr>
            </w:pPr>
            <w:r>
              <w:rPr>
                <w:rFonts w:hint="eastAsia" w:asciiTheme="minorEastAsia" w:hAnsiTheme="minorEastAsia"/>
                <w:bCs/>
                <w:color w:val="auto"/>
                <w:highlight w:val="none"/>
                <w:lang w:val="en-US" w:eastAsia="zh-CN"/>
              </w:rPr>
              <w:t>四通道</w:t>
            </w:r>
            <w:r>
              <w:rPr>
                <w:rFonts w:hint="default" w:asciiTheme="minorEastAsia" w:hAnsiTheme="minorEastAsia"/>
                <w:bCs/>
                <w:color w:val="auto"/>
                <w:highlight w:val="none"/>
                <w:lang w:val="en-US"/>
              </w:rPr>
              <w:t>注射泵</w:t>
            </w:r>
          </w:p>
        </w:tc>
        <w:tc>
          <w:tcPr>
            <w:tcW w:w="4926" w:type="dxa"/>
            <w:tcBorders>
              <w:right w:val="single" w:color="auto" w:sz="4" w:space="0"/>
            </w:tcBorders>
            <w:vAlign w:val="center"/>
          </w:tcPr>
          <w:p w14:paraId="2D9BE21F">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▲设备基本要求：须</w:t>
            </w:r>
            <w:r>
              <w:rPr>
                <w:rFonts w:hint="eastAsia" w:eastAsia="宋体" w:asciiTheme="minorEastAsia" w:hAnsiTheme="minorEastAsia"/>
                <w:b w:val="0"/>
                <w:bCs/>
                <w:color w:val="auto"/>
                <w:highlight w:val="none"/>
                <w:lang w:val="en-US" w:eastAsia="zh-CN"/>
              </w:rPr>
              <w:t>三类医疗器械注册证</w:t>
            </w:r>
            <w:r>
              <w:rPr>
                <w:rFonts w:hint="eastAsia" w:eastAsia="宋体" w:asciiTheme="minorEastAsia" w:hAnsiTheme="minorEastAsia"/>
                <w:b w:val="0"/>
                <w:bCs/>
                <w:color w:val="auto"/>
                <w:highlight w:val="none"/>
                <w:lang w:val="en-US" w:eastAsia="zh-CN"/>
              </w:rPr>
              <w:t>（提供相关证明材料）。</w:t>
            </w:r>
          </w:p>
          <w:p w14:paraId="273C7CBA">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核心性能参数：</w:t>
            </w:r>
          </w:p>
          <w:p w14:paraId="0292286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1.通道数量：</w:t>
            </w:r>
          </w:p>
          <w:p w14:paraId="0AB0A564">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要求为 4通道。每个通道可独立运行，也可协同工作（均为注射通道）。</w:t>
            </w:r>
          </w:p>
          <w:p w14:paraId="20F2C02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注射器规格： 每个通道所支持的注射器容量范围。</w:t>
            </w:r>
          </w:p>
          <w:p w14:paraId="1717294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·范围： 0.5 mL, 1 mL, 2.5 mL, 5 mL, 10 mL, 20 mL, 30 mL, 50 mL, 60 mL。</w:t>
            </w:r>
          </w:p>
          <w:p w14:paraId="1E56E7CB">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3. 流量范围：</w:t>
            </w:r>
          </w:p>
          <w:p w14:paraId="381699F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·单通道流量范围：以适应从微量到快速的给药需求，流量范围：0.0001 mL/h 至 1200 mL/h。</w:t>
            </w:r>
          </w:p>
          <w:p w14:paraId="6832B9E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4. 流量精度：</w:t>
            </w:r>
          </w:p>
          <w:p w14:paraId="3FCD9660">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典型值： ± 2% 或更优（如 ± 1%）。  </w:t>
            </w:r>
          </w:p>
          <w:p w14:paraId="43E9BB73">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5. 压力监测与报警：</w:t>
            </w:r>
          </w:p>
          <w:p w14:paraId="5B47BB9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压力监测范围： 可设置高压（阻塞）和低压（管路泄漏/排空）报警阈值。</w:t>
            </w:r>
          </w:p>
          <w:p w14:paraId="402A6FAF">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高压报警限： 多档可调，范围从 ~200 mmHg 到 &gt; 2000 mmHg。用于检测针头或管路堵塞。</w:t>
            </w:r>
          </w:p>
          <w:p w14:paraId="781FE035">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低压报警： 用于检测注射器安装不到位或药液排空。</w:t>
            </w:r>
          </w:p>
          <w:p w14:paraId="26FFC5BF">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 xml:space="preserve"> 工作模式参数</w:t>
            </w:r>
          </w:p>
          <w:p w14:paraId="16ACD464">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独立模式： 四个通道完全独立设置不同的药物、流量、剂量，独立开始/停止。</w:t>
            </w:r>
          </w:p>
          <w:p w14:paraId="08EE884E">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并联/总和模式：</w:t>
            </w:r>
          </w:p>
          <w:p w14:paraId="18C0A1E6">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流量叠加： 将四个通道的输出管路通过“Y型接头”等连接到同一出口，总流量为各通道流量之和。用于需要大流量但单通道无法满足，或需要混合多种药物的情况。</w:t>
            </w:r>
          </w:p>
          <w:p w14:paraId="447FE402">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剂量同步： 设置一个总剂量，四个通道按设定比例给药，同时开始同时结束。</w:t>
            </w:r>
          </w:p>
          <w:p w14:paraId="41E49B0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3. 时序程序模式： 高级功能，可编写复杂的输注程序，如：</w:t>
            </w:r>
          </w:p>
          <w:p w14:paraId="62D754B5">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梯度模式： 流量随时间按设定规律（线性递增/递减）变化。</w:t>
            </w:r>
          </w:p>
          <w:p w14:paraId="6C25D256">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多步模式： 一个通道可按顺序执行多个不同流量和剂量的输注阶段。</w:t>
            </w:r>
          </w:p>
          <w:p w14:paraId="2AA0405A">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安全与报警参数</w:t>
            </w:r>
          </w:p>
          <w:p w14:paraId="5A152739">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确保患者安全和操作可靠性。</w:t>
            </w:r>
          </w:p>
          <w:p w14:paraId="43B39B33">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 声光报警系统：</w:t>
            </w:r>
          </w:p>
          <w:p w14:paraId="4A7AFC20">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报警类型： 注射器未安装、堵塞、完成、电池电量低、系统错误、药液排空、通信错误等。</w:t>
            </w:r>
          </w:p>
          <w:p w14:paraId="0167BE89">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内置电池：</w:t>
            </w:r>
          </w:p>
          <w:p w14:paraId="006AB967">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类型：为锂离子电池。</w:t>
            </w:r>
          </w:p>
          <w:p w14:paraId="22B8A6EE">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续航时间： 满电量下典型工作时间为 ≥10小时，支持移动和转运患者。</w:t>
            </w:r>
          </w:p>
          <w:p w14:paraId="5DBCD02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3. 数据记录与追溯：</w:t>
            </w:r>
          </w:p>
          <w:p w14:paraId="058D754D">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历史记录： 存储操作日志、报警事件、设置的参数等。</w:t>
            </w:r>
          </w:p>
          <w:p w14:paraId="7FA387E7">
            <w:pPr>
              <w:pStyle w:val="23"/>
              <w:shd w:val="clear"/>
              <w:adjustRightInd w:val="0"/>
              <w:snapToGrid w:val="0"/>
              <w:jc w:val="left"/>
              <w:rPr>
                <w:rFonts w:hint="eastAsia" w:eastAsia="宋体" w:asciiTheme="minorEastAsia" w:hAnsiTheme="minorEastAsia"/>
                <w:b/>
                <w:bCs w:val="0"/>
                <w:color w:val="auto"/>
                <w:highlight w:val="none"/>
                <w:lang w:val="en-US" w:eastAsia="zh-CN"/>
              </w:rPr>
            </w:pPr>
            <w:r>
              <w:rPr>
                <w:rFonts w:hint="eastAsia" w:eastAsia="宋体" w:asciiTheme="minorEastAsia" w:hAnsiTheme="minorEastAsia"/>
                <w:b/>
                <w:bCs w:val="0"/>
                <w:color w:val="auto"/>
                <w:highlight w:val="none"/>
                <w:lang w:val="en-US" w:eastAsia="zh-CN"/>
              </w:rPr>
              <w:t xml:space="preserve"> </w:t>
            </w:r>
            <w:r>
              <w:rPr>
                <w:rFonts w:hint="eastAsia" w:eastAsia="宋体" w:asciiTheme="minorEastAsia" w:hAnsiTheme="minorEastAsia"/>
                <w:b/>
                <w:bCs w:val="0"/>
                <w:color w:val="auto"/>
                <w:highlight w:val="none"/>
                <w:lang w:val="en-US" w:eastAsia="zh-CN"/>
              </w:rPr>
              <w:t>物理与环境参数</w:t>
            </w:r>
          </w:p>
          <w:p w14:paraId="49A0305E">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1. 显示界面：</w:t>
            </w:r>
          </w:p>
          <w:p w14:paraId="07B4992A">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屏幕： 彩色液晶触摸屏或按键+单色屏。</w:t>
            </w:r>
          </w:p>
          <w:p w14:paraId="3209CB96">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显示内容： 实时显示各通道的设定流量、已输注量、剩余时间、压力值、工作状态等。</w:t>
            </w:r>
          </w:p>
          <w:p w14:paraId="416FE860">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2. 输入方式： 触摸屏、旋钮、按键或组合操作。</w:t>
            </w:r>
          </w:p>
          <w:p w14:paraId="1175BAC7">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3. 接口：</w:t>
            </w:r>
          </w:p>
          <w:p w14:paraId="1D696CE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通信接口： RS-232, USB, Ethernet, WiFi 等，用于连接医院网络或电脑进行远程监控和数据传输。</w:t>
            </w:r>
          </w:p>
          <w:p w14:paraId="3DDFFBD1">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外部控制接口： 支持脚踏开关等外设。</w:t>
            </w:r>
          </w:p>
          <w:p w14:paraId="64A7EECC">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4. 环境要求：</w:t>
            </w:r>
          </w:p>
          <w:p w14:paraId="6897F4A3">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工作温度/湿度：  +5°C 至 +40°C，15% 至 90% 相对湿度（不冷凝）。</w:t>
            </w:r>
          </w:p>
          <w:p w14:paraId="22580FC7">
            <w:pPr>
              <w:pStyle w:val="23"/>
              <w:shd w:val="clear"/>
              <w:adjustRightInd w:val="0"/>
              <w:snapToGrid w:val="0"/>
              <w:jc w:val="left"/>
              <w:rPr>
                <w:rFonts w:hint="eastAsia"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 xml:space="preserve">   · 防护等级：为 IP等级（如</w:t>
            </w:r>
            <w:r>
              <w:rPr>
                <w:rFonts w:hint="eastAsia" w:eastAsia="宋体" w:asciiTheme="minorEastAsia" w:hAnsiTheme="minorEastAsia"/>
                <w:b w:val="0"/>
                <w:bCs/>
                <w:color w:val="auto"/>
                <w:highlight w:val="none"/>
                <w:lang w:val="en-US" w:eastAsia="zh-CN"/>
              </w:rPr>
              <w:tab/>
            </w:r>
            <w:r>
              <w:rPr>
                <w:rFonts w:hint="eastAsia" w:eastAsia="宋体" w:asciiTheme="minorEastAsia" w:hAnsiTheme="minorEastAsia"/>
                <w:b w:val="0"/>
                <w:bCs/>
                <w:color w:val="auto"/>
                <w:highlight w:val="none"/>
                <w:lang w:val="en-US" w:eastAsia="zh-CN"/>
              </w:rPr>
              <w:t>IP34），表示防尘防水能力。</w:t>
            </w:r>
          </w:p>
          <w:p w14:paraId="3EBA6AD5">
            <w:pPr>
              <w:pStyle w:val="23"/>
              <w:shd w:val="clear"/>
              <w:adjustRightInd w:val="0"/>
              <w:snapToGrid w:val="0"/>
              <w:jc w:val="left"/>
              <w:rPr>
                <w:rFonts w:hint="default" w:eastAsia="宋体" w:asciiTheme="minorEastAsia" w:hAnsiTheme="minorEastAsia"/>
                <w:b w:val="0"/>
                <w:bCs/>
                <w:color w:val="auto"/>
                <w:highlight w:val="none"/>
                <w:lang w:val="en-US" w:eastAsia="zh-CN"/>
              </w:rPr>
            </w:pPr>
            <w:r>
              <w:rPr>
                <w:rFonts w:hint="eastAsia" w:eastAsia="宋体" w:asciiTheme="minorEastAsia" w:hAnsiTheme="minorEastAsia"/>
                <w:b w:val="0"/>
                <w:bCs/>
                <w:color w:val="auto"/>
                <w:highlight w:val="none"/>
                <w:lang w:val="en-US" w:eastAsia="zh-CN"/>
              </w:rPr>
              <w:t>5、使用年限不低于10年</w:t>
            </w:r>
            <w:r>
              <w:rPr>
                <w:rFonts w:hint="eastAsia" w:eastAsia="宋体" w:asciiTheme="minorEastAsia" w:hAnsiTheme="minorEastAsia"/>
                <w:b w:val="0"/>
                <w:bCs/>
                <w:color w:val="auto"/>
                <w:highlight w:val="none"/>
                <w:lang w:val="en-US" w:eastAsia="zh-CN"/>
              </w:rPr>
              <w:t>（提供证明文件）</w:t>
            </w:r>
            <w:r>
              <w:rPr>
                <w:rFonts w:hint="eastAsia" w:eastAsia="宋体" w:asciiTheme="minorEastAsia" w:hAnsiTheme="minorEastAsia"/>
                <w:b w:val="0"/>
                <w:bCs/>
                <w:color w:val="auto"/>
                <w:highlight w:val="none"/>
                <w:lang w:val="en-US" w:eastAsia="zh-CN"/>
              </w:rPr>
              <w:t>。</w:t>
            </w:r>
          </w:p>
        </w:tc>
        <w:tc>
          <w:tcPr>
            <w:tcW w:w="654" w:type="dxa"/>
            <w:tcBorders>
              <w:left w:val="single" w:color="auto" w:sz="4" w:space="0"/>
            </w:tcBorders>
            <w:vAlign w:val="center"/>
          </w:tcPr>
          <w:p w14:paraId="065D4E4B">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734" w:type="dxa"/>
            <w:vAlign w:val="center"/>
          </w:tcPr>
          <w:p w14:paraId="77AE0D21">
            <w:pPr>
              <w:pStyle w:val="23"/>
              <w:shd w:val="clear"/>
              <w:adjustRightInd w:val="0"/>
              <w:snapToGrid w:val="0"/>
              <w:jc w:val="center"/>
              <w:rPr>
                <w:rFonts w:asciiTheme="minorEastAsia" w:hAnsiTheme="minorEastAsia"/>
                <w:b/>
                <w:color w:val="auto"/>
                <w:highlight w:val="none"/>
              </w:rPr>
            </w:pPr>
          </w:p>
        </w:tc>
      </w:tr>
      <w:tr w14:paraId="2900106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43399EF">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8</w:t>
            </w:r>
          </w:p>
        </w:tc>
        <w:tc>
          <w:tcPr>
            <w:tcW w:w="2310" w:type="dxa"/>
            <w:tcBorders>
              <w:right w:val="single" w:color="auto" w:sz="4" w:space="0"/>
            </w:tcBorders>
            <w:vAlign w:val="center"/>
          </w:tcPr>
          <w:p w14:paraId="550369CB">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单通道输液泵</w:t>
            </w:r>
          </w:p>
        </w:tc>
        <w:tc>
          <w:tcPr>
            <w:tcW w:w="4926" w:type="dxa"/>
            <w:tcBorders>
              <w:right w:val="single" w:color="auto" w:sz="4" w:space="0"/>
            </w:tcBorders>
            <w:vAlign w:val="center"/>
          </w:tcPr>
          <w:p w14:paraId="571FEA15">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w:t>
            </w:r>
            <w:r>
              <w:rPr>
                <w:rFonts w:hint="default" w:asciiTheme="minorEastAsia" w:hAnsiTheme="minorEastAsia"/>
                <w:b w:val="0"/>
                <w:bCs/>
                <w:color w:val="auto"/>
                <w:highlight w:val="none"/>
                <w:lang w:val="en-US" w:eastAsia="zh-CN"/>
              </w:rPr>
              <w:t>屏幕不小于3.0英寸，全中文显示，方便快捷的人机操作界面，</w:t>
            </w:r>
          </w:p>
          <w:p w14:paraId="210CC85C">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w:t>
            </w:r>
            <w:r>
              <w:rPr>
                <w:rFonts w:hint="default" w:asciiTheme="minorEastAsia" w:hAnsiTheme="minorEastAsia"/>
                <w:b w:val="0"/>
                <w:bCs/>
                <w:color w:val="auto"/>
                <w:highlight w:val="none"/>
                <w:lang w:val="en-US" w:eastAsia="zh-CN"/>
              </w:rPr>
              <w:t>速度范围:0.10mL/h~2000mL/h(最小步进0</w:t>
            </w:r>
            <w:r>
              <w:rPr>
                <w:rFonts w:hint="eastAsia" w:asciiTheme="minorEastAsia" w:hAnsiTheme="minorEastAsia"/>
                <w:b w:val="0"/>
                <w:bCs/>
                <w:color w:val="auto"/>
                <w:highlight w:val="none"/>
                <w:lang w:val="en-US" w:eastAsia="zh-CN"/>
              </w:rPr>
              <w:t>.</w:t>
            </w:r>
            <w:r>
              <w:rPr>
                <w:rFonts w:hint="default" w:asciiTheme="minorEastAsia" w:hAnsiTheme="minorEastAsia"/>
                <w:b w:val="0"/>
                <w:bCs/>
                <w:color w:val="auto"/>
                <w:highlight w:val="none"/>
                <w:lang w:val="en-US" w:eastAsia="zh-CN"/>
              </w:rPr>
              <w:t>01ml/h)，</w:t>
            </w:r>
          </w:p>
          <w:p w14:paraId="3528C5A4">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w:t>
            </w:r>
            <w:r>
              <w:rPr>
                <w:rFonts w:hint="default" w:asciiTheme="minorEastAsia" w:hAnsiTheme="minorEastAsia"/>
                <w:b w:val="0"/>
                <w:bCs/>
                <w:color w:val="auto"/>
                <w:highlight w:val="none"/>
                <w:lang w:val="en-US" w:eastAsia="zh-CN"/>
              </w:rPr>
              <w:t>快进(Bolus)速度范围:0.10ml/h~2000mL/h(最小步进0.0lml/h)。</w:t>
            </w:r>
          </w:p>
          <w:p w14:paraId="63DD5A2C">
            <w:pPr>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4.</w:t>
            </w:r>
            <w:r>
              <w:rPr>
                <w:rFonts w:hint="default" w:asciiTheme="minorEastAsia" w:hAnsiTheme="minorEastAsia"/>
                <w:b w:val="0"/>
                <w:bCs/>
                <w:color w:val="auto"/>
                <w:highlight w:val="none"/>
                <w:lang w:val="en-US" w:eastAsia="zh-CN"/>
              </w:rPr>
              <w:t>输液精度≤±4.5%。</w:t>
            </w:r>
          </w:p>
          <w:p w14:paraId="57F6D47A">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highlight w:val="none"/>
                <w:lang w:val="en-US" w:eastAsia="zh-CN"/>
              </w:rPr>
              <w:t>5.</w:t>
            </w:r>
            <w:r>
              <w:rPr>
                <w:rFonts w:hint="default" w:eastAsia="宋体" w:cs="Times New Roman" w:asciiTheme="minorEastAsia" w:hAnsiTheme="minorEastAsia"/>
                <w:b w:val="0"/>
                <w:bCs/>
                <w:color w:val="auto"/>
                <w:highlight w:val="none"/>
                <w:lang w:val="en-US" w:eastAsia="zh-CN"/>
              </w:rPr>
              <w:t>KV0</w:t>
            </w:r>
            <w:r>
              <w:rPr>
                <w:rFonts w:hint="default" w:asciiTheme="minorEastAsia" w:hAnsiTheme="minorEastAsia"/>
                <w:b w:val="0"/>
                <w:bCs/>
                <w:color w:val="auto"/>
                <w:highlight w:val="none"/>
                <w:lang w:val="en-US" w:eastAsia="zh-CN"/>
              </w:rPr>
              <w:t>速度设定范围:0.1mL/h~30ml/h 可调。</w:t>
            </w:r>
          </w:p>
          <w:p w14:paraId="6992CDCB">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eastAsia="宋体" w:cs="Times New Roman" w:asciiTheme="minorEastAsia" w:hAnsiTheme="minorEastAsia"/>
                <w:b w:val="0"/>
                <w:bCs/>
                <w:color w:val="auto"/>
                <w:highlight w:val="none"/>
                <w:lang w:val="en-US" w:eastAsia="zh-CN"/>
              </w:rPr>
              <w:t>6.</w:t>
            </w:r>
            <w:r>
              <w:rPr>
                <w:rFonts w:hint="default" w:eastAsia="宋体" w:cs="Times New Roman" w:asciiTheme="minorEastAsia" w:hAnsiTheme="minorEastAsia"/>
                <w:b w:val="0"/>
                <w:bCs/>
                <w:color w:val="auto"/>
                <w:highlight w:val="none"/>
                <w:lang w:val="en-US" w:eastAsia="zh-CN"/>
              </w:rPr>
              <w:t>具有</w:t>
            </w:r>
            <w:r>
              <w:rPr>
                <w:rFonts w:hint="default" w:asciiTheme="minorEastAsia" w:hAnsiTheme="minorEastAsia"/>
                <w:b w:val="0"/>
                <w:bCs/>
                <w:color w:val="auto"/>
                <w:highlight w:val="none"/>
                <w:lang w:val="en-US" w:eastAsia="zh-CN"/>
              </w:rPr>
              <w:t>≥10种输液模式</w:t>
            </w:r>
            <w:r>
              <w:rPr>
                <w:rFonts w:hint="eastAsia" w:asciiTheme="minorEastAsia" w:hAnsiTheme="minorEastAsia"/>
                <w:b w:val="0"/>
                <w:bCs/>
                <w:iCs/>
                <w:color w:val="auto"/>
                <w:highlight w:val="none"/>
                <w:lang w:val="en-US" w:eastAsia="zh-CN"/>
              </w:rPr>
              <w:t>可选</w:t>
            </w:r>
            <w:r>
              <w:rPr>
                <w:rFonts w:hint="default" w:asciiTheme="minorEastAsia" w:hAnsiTheme="minorEastAsia"/>
                <w:b w:val="0"/>
                <w:bCs/>
                <w:color w:val="auto"/>
                <w:highlight w:val="none"/>
                <w:lang w:val="en-US" w:eastAsia="zh-CN"/>
              </w:rPr>
              <w:t>:速度模式、时间模式、体重模式、微量模式、序列模式、首剂量模式、梯度模式、剂量时间模式、间断给药模式、点滴模式。</w:t>
            </w:r>
          </w:p>
          <w:p w14:paraId="267F2E69">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w:t>
            </w:r>
            <w:r>
              <w:rPr>
                <w:rFonts w:hint="default" w:asciiTheme="minorEastAsia" w:hAnsiTheme="minorEastAsia"/>
                <w:b w:val="0"/>
                <w:bCs/>
                <w:color w:val="auto"/>
                <w:highlight w:val="none"/>
                <w:lang w:val="en-US" w:eastAsia="zh-CN"/>
              </w:rPr>
              <w:t>动态压力检测(DPS)，可实时显示当前压力数值。</w:t>
            </w:r>
          </w:p>
          <w:p w14:paraId="6191F34B">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8.</w:t>
            </w:r>
            <w:r>
              <w:rPr>
                <w:rFonts w:hint="default" w:asciiTheme="minorEastAsia" w:hAnsiTheme="minorEastAsia"/>
                <w:b w:val="0"/>
                <w:bCs/>
                <w:color w:val="auto"/>
                <w:highlight w:val="none"/>
                <w:lang w:val="en-US" w:eastAsia="zh-CN"/>
              </w:rPr>
              <w:t>压力自动释放(Anti-Bolus)，当管路阻塞报警时，自动回撤管路压力，避免意外丸剂量伤害患者。</w:t>
            </w:r>
          </w:p>
          <w:p w14:paraId="49D96B99">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eastAsia" w:asciiTheme="minorEastAsia" w:hAnsiTheme="minorEastAsia"/>
                <w:b w:val="0"/>
                <w:bCs/>
                <w:color w:val="auto"/>
                <w:highlight w:val="none"/>
                <w:lang w:val="en-US" w:eastAsia="zh-CN"/>
              </w:rPr>
              <w:t>9.</w:t>
            </w:r>
            <w:r>
              <w:rPr>
                <w:rFonts w:hint="default" w:asciiTheme="minorEastAsia" w:hAnsiTheme="minorEastAsia"/>
                <w:b w:val="0"/>
                <w:bCs/>
                <w:color w:val="auto"/>
                <w:highlight w:val="none"/>
                <w:lang w:val="en-US" w:eastAsia="zh-CN"/>
              </w:rPr>
              <w:t>≥15档阻塞压力阈值可调，最低75mmHig。</w:t>
            </w:r>
          </w:p>
          <w:p w14:paraId="4BF9F38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10.具有排气功能，排除管路内的气泡。</w:t>
            </w:r>
          </w:p>
          <w:p w14:paraId="115736B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11.在线滴定功能，更改速度时完全不需要中断输液。</w:t>
            </w:r>
          </w:p>
          <w:p w14:paraId="5BA2A20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12.气泡检测:可探测≥20μL的单个气泡，单个气泡大小7档可调。</w:t>
            </w:r>
          </w:p>
          <w:p w14:paraId="43C1599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13.夜间模式:自动降低屏幕亮度和音量，设置时间结束后自动恢复</w:t>
            </w:r>
            <w:r>
              <w:rPr>
                <w:rFonts w:hint="eastAsia" w:asciiTheme="minorEastAsia" w:hAnsiTheme="minorEastAsia"/>
                <w:b w:val="0"/>
                <w:bCs/>
                <w:color w:val="auto"/>
                <w:highlight w:val="none"/>
                <w:lang w:val="en-US" w:eastAsia="zh-CN"/>
              </w:rPr>
              <w:t>。</w:t>
            </w:r>
          </w:p>
          <w:p w14:paraId="5EA47D9E">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14.药物库功能:可存储≥3000种药物。</w:t>
            </w:r>
          </w:p>
          <w:p w14:paraId="21FE540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15.日志记录:可存储≥2000条操作信息。</w:t>
            </w:r>
          </w:p>
          <w:p w14:paraId="4A0C6D1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16.自动计算四种累计量:24小时累积量、最近累积量、自定义时间段累积量、定时间隔累积量，轻松管理累计泵入液量。</w:t>
            </w:r>
          </w:p>
          <w:p w14:paraId="15CF0F4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17.电池工作时间≥5小时@25ml/h;可升级至≥10小时@25ml/h。</w:t>
            </w:r>
          </w:p>
          <w:p w14:paraId="333F4BFE">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18.防尘防水等级:IP44。</w:t>
            </w:r>
          </w:p>
          <w:p w14:paraId="40E2FBF3">
            <w:pPr>
              <w:pStyle w:val="23"/>
              <w:shd w:val="clear"/>
              <w:adjustRightInd w:val="0"/>
              <w:snapToGrid w:val="0"/>
              <w:jc w:val="left"/>
              <w:rPr>
                <w:rFonts w:hint="default"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19.</w:t>
            </w:r>
            <w:r>
              <w:rPr>
                <w:rFonts w:hint="default" w:asciiTheme="minorEastAsia" w:hAnsiTheme="minorEastAsia"/>
                <w:b w:val="0"/>
                <w:bCs/>
                <w:color w:val="auto"/>
                <w:highlight w:val="none"/>
                <w:lang w:val="en-US" w:eastAsia="zh-CN"/>
              </w:rPr>
              <w:t>整机重量≤1.6kg(含电池)，主机自带提手，方便携带。</w:t>
            </w:r>
          </w:p>
          <w:p w14:paraId="04015279">
            <w:pPr>
              <w:pStyle w:val="23"/>
              <w:shd w:val="clear"/>
              <w:adjustRightInd w:val="0"/>
              <w:snapToGrid w:val="0"/>
              <w:jc w:val="left"/>
              <w:rPr>
                <w:rFonts w:hint="default" w:asciiTheme="minorEastAsia" w:hAnsiTheme="minorEastAsia"/>
                <w:b w:val="0"/>
                <w:bCs/>
                <w:color w:val="auto"/>
                <w:highlight w:val="none"/>
                <w:lang w:val="en-US" w:eastAsia="zh-CN"/>
              </w:rPr>
            </w:pPr>
            <w:r>
              <w:rPr>
                <w:rFonts w:ascii="Arial" w:hAnsi="Arial" w:eastAsia="宋体" w:cs="Arial"/>
                <w:i w:val="0"/>
                <w:iCs w:val="0"/>
                <w:caps w:val="0"/>
                <w:color w:val="auto"/>
                <w:spacing w:val="0"/>
                <w:sz w:val="21"/>
                <w:szCs w:val="21"/>
                <w:highlight w:val="none"/>
                <w:shd w:val="clear" w:fill="FFFFFF"/>
              </w:rPr>
              <w:t>▲</w:t>
            </w:r>
            <w:r>
              <w:rPr>
                <w:rFonts w:hint="default" w:asciiTheme="minorEastAsia" w:hAnsiTheme="minorEastAsia"/>
                <w:b w:val="0"/>
                <w:bCs/>
                <w:color w:val="auto"/>
                <w:highlight w:val="none"/>
                <w:lang w:val="en-US" w:eastAsia="zh-CN"/>
              </w:rPr>
              <w:t>20.通过EN1789救护车标准认证，适合在户外急救和车载情况下使用。</w:t>
            </w:r>
          </w:p>
          <w:p w14:paraId="691E7C4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21.要求配置输液架，使用寿命不低于10年。</w:t>
            </w:r>
          </w:p>
        </w:tc>
        <w:tc>
          <w:tcPr>
            <w:tcW w:w="654" w:type="dxa"/>
            <w:tcBorders>
              <w:left w:val="single" w:color="auto" w:sz="4" w:space="0"/>
            </w:tcBorders>
            <w:vAlign w:val="center"/>
          </w:tcPr>
          <w:p w14:paraId="3416D961">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18台</w:t>
            </w:r>
          </w:p>
        </w:tc>
        <w:tc>
          <w:tcPr>
            <w:tcW w:w="734" w:type="dxa"/>
            <w:vAlign w:val="center"/>
          </w:tcPr>
          <w:p w14:paraId="1688F324">
            <w:pPr>
              <w:pStyle w:val="23"/>
              <w:shd w:val="clear"/>
              <w:adjustRightInd w:val="0"/>
              <w:snapToGrid w:val="0"/>
              <w:jc w:val="center"/>
              <w:rPr>
                <w:rFonts w:asciiTheme="minorEastAsia" w:hAnsiTheme="minorEastAsia"/>
                <w:b/>
                <w:color w:val="auto"/>
                <w:highlight w:val="none"/>
              </w:rPr>
            </w:pPr>
          </w:p>
        </w:tc>
      </w:tr>
      <w:tr w14:paraId="633F0B3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7E03273A">
            <w:pPr>
              <w:pStyle w:val="23"/>
              <w:shd w:val="clear"/>
              <w:adjustRightInd w:val="0"/>
              <w:snapToGrid w:val="0"/>
              <w:jc w:val="center"/>
              <w:rPr>
                <w:rFonts w:hint="eastAsia"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9</w:t>
            </w:r>
          </w:p>
        </w:tc>
        <w:tc>
          <w:tcPr>
            <w:tcW w:w="2310" w:type="dxa"/>
            <w:tcBorders>
              <w:right w:val="single" w:color="auto" w:sz="4" w:space="0"/>
            </w:tcBorders>
            <w:vAlign w:val="center"/>
          </w:tcPr>
          <w:p w14:paraId="37DA719B">
            <w:pPr>
              <w:shd w:val="clear"/>
              <w:adjustRightInd w:val="0"/>
              <w:snapToGrid w:val="0"/>
              <w:jc w:val="left"/>
              <w:rPr>
                <w:rFonts w:hint="eastAsia" w:eastAsia="宋体" w:asciiTheme="minorEastAsia" w:hAnsiTheme="minorEastAsia"/>
                <w:bCs/>
                <w:color w:val="auto"/>
                <w:highlight w:val="none"/>
                <w:lang w:val="en-US" w:eastAsia="zh-CN"/>
              </w:rPr>
            </w:pPr>
            <w:r>
              <w:rPr>
                <w:rFonts w:hint="eastAsia" w:eastAsia="宋体" w:asciiTheme="minorEastAsia" w:hAnsiTheme="minorEastAsia"/>
                <w:bCs/>
                <w:color w:val="auto"/>
                <w:highlight w:val="none"/>
                <w:lang w:val="en-US" w:eastAsia="zh-CN"/>
              </w:rPr>
              <w:t>四通道输注泵</w:t>
            </w:r>
            <w:bookmarkStart w:id="163" w:name="_GoBack"/>
            <w:bookmarkEnd w:id="163"/>
          </w:p>
        </w:tc>
        <w:tc>
          <w:tcPr>
            <w:tcW w:w="4926" w:type="dxa"/>
            <w:tcBorders>
              <w:right w:val="single" w:color="auto" w:sz="4" w:space="0"/>
            </w:tcBorders>
            <w:vAlign w:val="center"/>
          </w:tcPr>
          <w:p w14:paraId="0D0BBC83">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▲设备基本要求：须</w:t>
            </w:r>
            <w:r>
              <w:rPr>
                <w:rFonts w:hint="eastAsia" w:eastAsia="宋体" w:asciiTheme="minorEastAsia" w:hAnsiTheme="minorEastAsia"/>
                <w:b w:val="0"/>
                <w:bCs/>
                <w:color w:val="auto"/>
                <w:highlight w:val="none"/>
                <w:lang w:val="en-US" w:eastAsia="zh-CN"/>
              </w:rPr>
              <w:t>三类医疗器械注册证</w:t>
            </w:r>
            <w:r>
              <w:rPr>
                <w:rFonts w:hint="eastAsia" w:eastAsia="宋体" w:cs="Times New Roman" w:asciiTheme="minorEastAsia" w:hAnsiTheme="minorEastAsia"/>
                <w:b w:val="0"/>
                <w:bCs/>
                <w:color w:val="auto"/>
                <w:highlight w:val="none"/>
                <w:lang w:val="en-US" w:eastAsia="zh-CN"/>
              </w:rPr>
              <w:t>（提供相关证明材料）。</w:t>
            </w:r>
          </w:p>
          <w:p w14:paraId="1C5397C7">
            <w:pPr>
              <w:pStyle w:val="23"/>
              <w:shd w:val="clear"/>
              <w:adjustRightInd w:val="0"/>
              <w:snapToGrid w:val="0"/>
              <w:jc w:val="left"/>
              <w:rPr>
                <w:rFonts w:hint="eastAsia" w:eastAsia="宋体" w:cs="Times New Roman" w:asciiTheme="minorEastAsia" w:hAnsiTheme="minorEastAsia"/>
                <w:b/>
                <w:bCs w:val="0"/>
                <w:color w:val="auto"/>
                <w:highlight w:val="none"/>
                <w:lang w:val="en-US" w:eastAsia="zh-CN"/>
              </w:rPr>
            </w:pPr>
            <w:r>
              <w:rPr>
                <w:rFonts w:hint="eastAsia" w:eastAsia="宋体" w:cs="Times New Roman" w:asciiTheme="minorEastAsia" w:hAnsiTheme="minorEastAsia"/>
                <w:b/>
                <w:bCs w:val="0"/>
                <w:color w:val="auto"/>
                <w:highlight w:val="none"/>
                <w:lang w:val="en-US" w:eastAsia="zh-CN"/>
              </w:rPr>
              <w:t>核心性能参数：</w:t>
            </w:r>
          </w:p>
          <w:p w14:paraId="2742E9E3">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通道数量： 要求为 4通道（三注一输），每个通道可独立运行，也可协同工作。</w:t>
            </w:r>
          </w:p>
          <w:p w14:paraId="4272526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注射器规格： 每个通道所支持的注射器容量范围。</w:t>
            </w:r>
          </w:p>
          <w:p w14:paraId="06DDCF67">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范围： 0.5 mL, 1 mL, 2.5 mL, 5 mL, 10 mL, 20 mL, 30 mL, 50 mL, 60 mL。</w:t>
            </w:r>
          </w:p>
          <w:p w14:paraId="2356716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流量范围：</w:t>
            </w:r>
          </w:p>
          <w:p w14:paraId="1416740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单通道流量范围：以适应从微量到快速的给药需求。流量范围：0.0001 mL/h 至 1200 mL/h。</w:t>
            </w:r>
          </w:p>
          <w:p w14:paraId="6A70F201">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4. 流量精度：</w:t>
            </w:r>
          </w:p>
          <w:p w14:paraId="7237CF3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典型值： ± 2% 或更优（如 ± 1%）。</w:t>
            </w:r>
          </w:p>
          <w:p w14:paraId="0639C7C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5. 压力监测与报警：</w:t>
            </w:r>
          </w:p>
          <w:p w14:paraId="0CF2C015">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压力监测范围： 通常可设置高压（阻塞）和低压（管路泄漏/排空）报警阈值。</w:t>
            </w:r>
          </w:p>
          <w:p w14:paraId="4847DE13">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高压报警限： 多档可调，范围从 ~200 mmHg 到 &gt; 2000 mmHg。用于检测针头或管路堵塞。</w:t>
            </w:r>
          </w:p>
          <w:p w14:paraId="3ACD67F7">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低压报警： 用于检测注射器安装不到位或药液排空。</w:t>
            </w:r>
          </w:p>
          <w:p w14:paraId="3DF42F48">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w:t>
            </w:r>
            <w:r>
              <w:rPr>
                <w:rFonts w:hint="eastAsia" w:eastAsia="宋体" w:cs="Times New Roman" w:asciiTheme="minorEastAsia" w:hAnsiTheme="minorEastAsia"/>
                <w:b/>
                <w:bCs w:val="0"/>
                <w:color w:val="auto"/>
                <w:highlight w:val="none"/>
                <w:lang w:val="en-US" w:eastAsia="zh-CN"/>
              </w:rPr>
              <w:t>工作模式参数</w:t>
            </w:r>
          </w:p>
          <w:p w14:paraId="61DC98D6">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独立模式： 四个通道完全独立设置不同的药物、流量、剂量，独立开始/停止。</w:t>
            </w:r>
          </w:p>
          <w:p w14:paraId="562046BC">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并联/总和模式：</w:t>
            </w:r>
          </w:p>
          <w:p w14:paraId="1E13DC4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流量叠加： 将四个通道的输出管路通过“Y型接头”等连接到同一出口，总流量为各通道流量之和。用于需要大流量但单通道无法满足，或需要混合多种药物的情况。</w:t>
            </w:r>
          </w:p>
          <w:p w14:paraId="23CA04BF">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剂量同步： 设置一个总剂量，四个通道按设定比例给药，同时开始同时结束。</w:t>
            </w:r>
          </w:p>
          <w:p w14:paraId="42627E41">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时序程序模式： 高级功能，可编写复杂的输注程序，如：</w:t>
            </w:r>
          </w:p>
          <w:p w14:paraId="104A895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梯度模式： 流量随时间按设定规律（线性递增/递减）变化。</w:t>
            </w:r>
          </w:p>
          <w:p w14:paraId="4E46766D">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多步模式： 一个通道可按顺序执行多个不同流量和剂量的输注阶段。 </w:t>
            </w:r>
          </w:p>
          <w:p w14:paraId="4F61703D">
            <w:pPr>
              <w:pStyle w:val="23"/>
              <w:shd w:val="clear"/>
              <w:adjustRightInd w:val="0"/>
              <w:snapToGrid w:val="0"/>
              <w:jc w:val="left"/>
              <w:rPr>
                <w:rFonts w:hint="eastAsia" w:eastAsia="宋体" w:cs="Times New Roman" w:asciiTheme="minorEastAsia" w:hAnsiTheme="minorEastAsia"/>
                <w:b/>
                <w:bCs w:val="0"/>
                <w:color w:val="auto"/>
                <w:highlight w:val="none"/>
                <w:lang w:val="en-US" w:eastAsia="zh-CN"/>
              </w:rPr>
            </w:pPr>
            <w:r>
              <w:rPr>
                <w:rFonts w:hint="eastAsia" w:eastAsia="宋体" w:cs="Times New Roman" w:asciiTheme="minorEastAsia" w:hAnsiTheme="minorEastAsia"/>
                <w:b/>
                <w:bCs w:val="0"/>
                <w:color w:val="auto"/>
                <w:highlight w:val="none"/>
                <w:lang w:val="en-US" w:eastAsia="zh-CN"/>
              </w:rPr>
              <w:t>安全与报警参数</w:t>
            </w:r>
          </w:p>
          <w:p w14:paraId="63EA0584">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确保患者安全和操作可靠性。</w:t>
            </w:r>
          </w:p>
          <w:p w14:paraId="514AFDC6">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声光报警系统：</w:t>
            </w:r>
          </w:p>
          <w:p w14:paraId="624BD90F">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报警类型： 注射器未安装、堵塞、完成、电池电量低、系统错误、药液排空、通信错误等。</w:t>
            </w:r>
          </w:p>
          <w:p w14:paraId="6C5A670F">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内置电池：</w:t>
            </w:r>
          </w:p>
          <w:p w14:paraId="2559754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类型： 锂离子电池。</w:t>
            </w:r>
          </w:p>
          <w:p w14:paraId="2DD8CE97">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续航时间： 满电量下典型工作时间为≥10小时，支持移动和转运患者。</w:t>
            </w:r>
          </w:p>
          <w:p w14:paraId="74F76FD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数据记录与追溯：</w:t>
            </w:r>
          </w:p>
          <w:p w14:paraId="5642703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历史记录： 存储操作日志、报警事件、设置的参数等。</w:t>
            </w:r>
          </w:p>
          <w:p w14:paraId="1C639770">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bCs w:val="0"/>
                <w:color w:val="auto"/>
                <w:highlight w:val="none"/>
                <w:lang w:val="en-US" w:eastAsia="zh-CN"/>
              </w:rPr>
              <w:t>物理与环境参数</w:t>
            </w:r>
          </w:p>
          <w:p w14:paraId="3E731B2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1. 显示界面：</w:t>
            </w:r>
          </w:p>
          <w:p w14:paraId="4383D519">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屏幕： 彩色液晶触摸屏或按键+单色屏。</w:t>
            </w:r>
          </w:p>
          <w:p w14:paraId="4A47B046">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显示内容： 实时显示各通道的设定流量、已输注量、剩余时间、压力值、工作状态等。</w:t>
            </w:r>
          </w:p>
          <w:p w14:paraId="77A0912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2. 输入方式： 触摸屏、旋钮、按键或组合操作。</w:t>
            </w:r>
          </w:p>
          <w:p w14:paraId="5EA5C4BA">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3. 接口：</w:t>
            </w:r>
          </w:p>
          <w:p w14:paraId="635C732C">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通信接口： RS-232, USB, Ethernet, WiFi 等，用于连接医院网络或电脑进行远程监控和数据传输。</w:t>
            </w:r>
          </w:p>
          <w:p w14:paraId="2A4B7252">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 xml:space="preserve">   外部控制接口： 支持脚踏开关等外设。</w:t>
            </w:r>
          </w:p>
          <w:p w14:paraId="16444E50">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4. 环境要求：</w:t>
            </w:r>
          </w:p>
          <w:p w14:paraId="1D1A6C5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工作温度/湿度：  +5°C 至 +40°C，15% 至 90% 相对湿度（不冷凝）。</w:t>
            </w:r>
          </w:p>
          <w:p w14:paraId="7936C98E">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防护等级： 通常为 IP等级（如IP34），表示防尘防水能力。</w:t>
            </w:r>
          </w:p>
          <w:p w14:paraId="2D3CBFA8">
            <w:pPr>
              <w:pStyle w:val="23"/>
              <w:shd w:val="clear"/>
              <w:adjustRightInd w:val="0"/>
              <w:snapToGrid w:val="0"/>
              <w:jc w:val="left"/>
              <w:rPr>
                <w:rFonts w:hint="eastAsia"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5、插件箱上有管路整理装置，能理顺管路。</w:t>
            </w:r>
          </w:p>
          <w:p w14:paraId="76227386">
            <w:pPr>
              <w:pStyle w:val="23"/>
              <w:shd w:val="clear"/>
              <w:adjustRightInd w:val="0"/>
              <w:snapToGrid w:val="0"/>
              <w:jc w:val="left"/>
              <w:rPr>
                <w:rFonts w:hint="default" w:eastAsia="宋体" w:cs="Times New Roman" w:asciiTheme="minorEastAsia" w:hAnsiTheme="minorEastAsia"/>
                <w:b w:val="0"/>
                <w:bCs/>
                <w:color w:val="auto"/>
                <w:highlight w:val="none"/>
                <w:lang w:val="en-US" w:eastAsia="zh-CN"/>
              </w:rPr>
            </w:pPr>
            <w:r>
              <w:rPr>
                <w:rFonts w:hint="eastAsia" w:eastAsia="宋体" w:cs="Times New Roman" w:asciiTheme="minorEastAsia" w:hAnsiTheme="minorEastAsia"/>
                <w:b w:val="0"/>
                <w:bCs/>
                <w:color w:val="auto"/>
                <w:highlight w:val="none"/>
                <w:lang w:val="en-US" w:eastAsia="zh-CN"/>
              </w:rPr>
              <w:t>6、使用年限不低于10年</w:t>
            </w:r>
            <w:r>
              <w:rPr>
                <w:rFonts w:hint="eastAsia" w:eastAsia="宋体" w:cs="Times New Roman" w:asciiTheme="minorEastAsia" w:hAnsiTheme="minorEastAsia"/>
                <w:b w:val="0"/>
                <w:bCs/>
                <w:color w:val="auto"/>
                <w:highlight w:val="none"/>
                <w:lang w:val="en-US" w:eastAsia="zh-CN"/>
              </w:rPr>
              <w:t>（提供证明文件）</w:t>
            </w:r>
            <w:r>
              <w:rPr>
                <w:rFonts w:hint="eastAsia" w:eastAsia="宋体" w:cs="Times New Roman" w:asciiTheme="minorEastAsia" w:hAnsiTheme="minorEastAsia"/>
                <w:b w:val="0"/>
                <w:bCs/>
                <w:color w:val="auto"/>
                <w:highlight w:val="none"/>
                <w:lang w:val="en-US" w:eastAsia="zh-CN"/>
              </w:rPr>
              <w:t>。</w:t>
            </w:r>
          </w:p>
        </w:tc>
        <w:tc>
          <w:tcPr>
            <w:tcW w:w="654" w:type="dxa"/>
            <w:tcBorders>
              <w:left w:val="single" w:color="auto" w:sz="4" w:space="0"/>
            </w:tcBorders>
            <w:vAlign w:val="center"/>
          </w:tcPr>
          <w:p w14:paraId="6F9CD51A">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3台</w:t>
            </w:r>
          </w:p>
        </w:tc>
        <w:tc>
          <w:tcPr>
            <w:tcW w:w="734" w:type="dxa"/>
            <w:vAlign w:val="center"/>
          </w:tcPr>
          <w:p w14:paraId="4AC97025">
            <w:pPr>
              <w:pStyle w:val="23"/>
              <w:shd w:val="clear"/>
              <w:adjustRightInd w:val="0"/>
              <w:snapToGrid w:val="0"/>
              <w:jc w:val="center"/>
              <w:rPr>
                <w:rFonts w:asciiTheme="minorEastAsia" w:hAnsiTheme="minorEastAsia"/>
                <w:b/>
                <w:color w:val="auto"/>
                <w:highlight w:val="none"/>
              </w:rPr>
            </w:pPr>
          </w:p>
        </w:tc>
      </w:tr>
      <w:tr w14:paraId="78517B82">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10F692A0">
            <w:pPr>
              <w:pStyle w:val="23"/>
              <w:shd w:val="clear"/>
              <w:adjustRightInd w:val="0"/>
              <w:snapToGrid w:val="0"/>
              <w:jc w:val="center"/>
              <w:rPr>
                <w:rFonts w:hint="default"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10</w:t>
            </w:r>
          </w:p>
        </w:tc>
        <w:tc>
          <w:tcPr>
            <w:tcW w:w="2310" w:type="dxa"/>
            <w:tcBorders>
              <w:right w:val="single" w:color="auto" w:sz="4" w:space="0"/>
            </w:tcBorders>
            <w:vAlign w:val="center"/>
          </w:tcPr>
          <w:p w14:paraId="58E8604C">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胰岛素泵</w:t>
            </w:r>
          </w:p>
        </w:tc>
        <w:tc>
          <w:tcPr>
            <w:tcW w:w="4926" w:type="dxa"/>
            <w:tcBorders>
              <w:right w:val="single" w:color="auto" w:sz="4" w:space="0"/>
            </w:tcBorders>
            <w:vAlign w:val="center"/>
          </w:tcPr>
          <w:p w14:paraId="15C95E0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1、须能够适用于进行胰岛素泵输注治疗的糖尿病患者（儿童、成人均可用）</w:t>
            </w:r>
          </w:p>
          <w:p w14:paraId="31E5DCD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2、操作界面：简洁明了，至少具备图标中文菜单式</w:t>
            </w:r>
          </w:p>
          <w:p w14:paraId="0F9A7F6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3、防水：需具备防溅水和一过性浸水、防水8级</w:t>
            </w:r>
          </w:p>
          <w:p w14:paraId="032861D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4、基础率分段：24/48段可调</w:t>
            </w:r>
          </w:p>
          <w:p w14:paraId="03D5C3F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5、基础率快设数据库：</w:t>
            </w:r>
            <w:r>
              <w:rPr>
                <w:rFonts w:hint="default" w:asciiTheme="minorEastAsia" w:hAnsiTheme="minorEastAsia"/>
                <w:b w:val="0"/>
                <w:bCs/>
                <w:color w:val="auto"/>
                <w:highlight w:val="none"/>
                <w:lang w:val="en-US" w:eastAsia="zh-CN"/>
              </w:rPr>
              <w:t>6/24段法双数据库</w:t>
            </w:r>
          </w:p>
          <w:p w14:paraId="5F9DC9D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6、输注方式：基础率输注、临基率输注、大剂量输注(智能模式/三餐模式)、方波输注</w:t>
            </w:r>
          </w:p>
          <w:p w14:paraId="54F6D19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7、大剂量输注速度（05s、10s、15s、20s可调）</w:t>
            </w:r>
          </w:p>
          <w:p w14:paraId="2C065F0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8、须具备防止重复输注大剂量功能</w:t>
            </w:r>
          </w:p>
          <w:p w14:paraId="0B0BD986">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9、基础率设置：可个性化设置，可自动分配基础率</w:t>
            </w:r>
          </w:p>
          <w:p w14:paraId="7F976C3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10、基础设置步进量：0.1/0.05u</w:t>
            </w:r>
          </w:p>
          <w:p w14:paraId="21B9411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11、临时基础率：时间0~24小时、0-200%之间、以10%递增或递减</w:t>
            </w:r>
          </w:p>
          <w:p w14:paraId="5E4CFE82">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12、手动大剂量设置范围：常规设置范围0～20u，最大可修正范围0～85u</w:t>
            </w:r>
          </w:p>
          <w:p w14:paraId="2D8F0997">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13、日总量最大量≥200U</w:t>
            </w:r>
          </w:p>
          <w:p w14:paraId="09B5ED7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14、需具备大剂量预设功能</w:t>
            </w:r>
          </w:p>
          <w:p w14:paraId="6D1F20C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15、需具备大剂量向导功能</w:t>
            </w:r>
          </w:p>
          <w:p w14:paraId="748A902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16、需具备基础率校准功能</w:t>
            </w:r>
          </w:p>
          <w:p w14:paraId="51AACF2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17、基础率方案≥2种</w:t>
            </w:r>
          </w:p>
          <w:p w14:paraId="004129D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18、需能够自动复位、自动计算所装药量</w:t>
            </w:r>
          </w:p>
          <w:p w14:paraId="486C30B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19、操作及警示回顾≥500条</w:t>
            </w:r>
          </w:p>
          <w:p w14:paraId="2CB5E54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20、最大装药量≥300U</w:t>
            </w:r>
          </w:p>
          <w:p w14:paraId="755A57CA">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21、使用常规7号（AAA）干电池作为电源</w:t>
            </w:r>
          </w:p>
          <w:p w14:paraId="7FB5B66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22、设备保修四年、设备可使用年限10年</w:t>
            </w:r>
          </w:p>
        </w:tc>
        <w:tc>
          <w:tcPr>
            <w:tcW w:w="654" w:type="dxa"/>
            <w:tcBorders>
              <w:left w:val="single" w:color="auto" w:sz="4" w:space="0"/>
            </w:tcBorders>
            <w:vAlign w:val="center"/>
          </w:tcPr>
          <w:p w14:paraId="4862CBB0">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2台</w:t>
            </w:r>
          </w:p>
        </w:tc>
        <w:tc>
          <w:tcPr>
            <w:tcW w:w="734" w:type="dxa"/>
            <w:vAlign w:val="center"/>
          </w:tcPr>
          <w:p w14:paraId="5087249F">
            <w:pPr>
              <w:pStyle w:val="23"/>
              <w:shd w:val="clear"/>
              <w:adjustRightInd w:val="0"/>
              <w:snapToGrid w:val="0"/>
              <w:jc w:val="center"/>
              <w:rPr>
                <w:rFonts w:asciiTheme="minorEastAsia" w:hAnsiTheme="minorEastAsia"/>
                <w:b/>
                <w:color w:val="auto"/>
                <w:highlight w:val="none"/>
              </w:rPr>
            </w:pPr>
          </w:p>
        </w:tc>
      </w:tr>
      <w:tr w14:paraId="108AAE4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2" w:hRule="atLeast"/>
          <w:jc w:val="center"/>
        </w:trPr>
        <w:tc>
          <w:tcPr>
            <w:tcW w:w="868" w:type="dxa"/>
            <w:tcBorders>
              <w:top w:val="single" w:color="auto" w:sz="4" w:space="0"/>
              <w:bottom w:val="single" w:color="auto" w:sz="4" w:space="0"/>
            </w:tcBorders>
            <w:vAlign w:val="center"/>
          </w:tcPr>
          <w:p w14:paraId="43726D30">
            <w:pPr>
              <w:pStyle w:val="23"/>
              <w:shd w:val="clear"/>
              <w:adjustRightInd w:val="0"/>
              <w:snapToGrid w:val="0"/>
              <w:jc w:val="center"/>
              <w:rPr>
                <w:rFonts w:hint="default" w:eastAsia="宋体" w:asciiTheme="minorEastAsia" w:hAnsiTheme="minorEastAsia"/>
                <w:b/>
                <w:color w:val="auto"/>
                <w:highlight w:val="none"/>
                <w:lang w:val="en-US" w:eastAsia="zh-CN"/>
              </w:rPr>
            </w:pPr>
            <w:r>
              <w:rPr>
                <w:rFonts w:hint="eastAsia" w:asciiTheme="minorEastAsia" w:hAnsiTheme="minorEastAsia"/>
                <w:b/>
                <w:color w:val="auto"/>
                <w:highlight w:val="none"/>
                <w:lang w:val="en-US" w:eastAsia="zh-CN"/>
              </w:rPr>
              <w:t>11</w:t>
            </w:r>
          </w:p>
        </w:tc>
        <w:tc>
          <w:tcPr>
            <w:tcW w:w="2310" w:type="dxa"/>
            <w:tcBorders>
              <w:right w:val="single" w:color="auto" w:sz="4" w:space="0"/>
            </w:tcBorders>
            <w:vAlign w:val="center"/>
          </w:tcPr>
          <w:p w14:paraId="64B42C41">
            <w:pPr>
              <w:shd w:val="clear"/>
              <w:adjustRightInd w:val="0"/>
              <w:snapToGrid w:val="0"/>
              <w:jc w:val="left"/>
              <w:rPr>
                <w:rFonts w:hint="default" w:asciiTheme="minorEastAsia" w:hAnsiTheme="minorEastAsia"/>
                <w:bCs/>
                <w:color w:val="auto"/>
                <w:highlight w:val="none"/>
                <w:lang w:val="en-US"/>
              </w:rPr>
            </w:pPr>
            <w:r>
              <w:rPr>
                <w:rFonts w:hint="default" w:asciiTheme="minorEastAsia" w:hAnsiTheme="minorEastAsia"/>
                <w:bCs/>
                <w:color w:val="auto"/>
                <w:highlight w:val="none"/>
                <w:lang w:val="en-US"/>
              </w:rPr>
              <w:t>高流量湿化仪</w:t>
            </w:r>
          </w:p>
        </w:tc>
        <w:tc>
          <w:tcPr>
            <w:tcW w:w="4926" w:type="dxa"/>
            <w:tcBorders>
              <w:right w:val="single" w:color="auto" w:sz="4" w:space="0"/>
            </w:tcBorders>
            <w:vAlign w:val="center"/>
          </w:tcPr>
          <w:p w14:paraId="0C7A07D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1.要求适用人群：成人、小儿。</w:t>
            </w:r>
          </w:p>
          <w:p w14:paraId="09677481">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2.要求不小于4.3英寸触摸显示屏，支持触摸、飞梭双重操作，简便快捷。</w:t>
            </w:r>
          </w:p>
          <w:p w14:paraId="590DC48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3.流量设置范围不小于：2～60L/Min。</w:t>
            </w:r>
          </w:p>
          <w:p w14:paraId="649F8950">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 xml:space="preserve">4.采用高性能涡轮驱动，无需压缩空气源。 </w:t>
            </w:r>
          </w:p>
          <w:p w14:paraId="3BD01213">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5.温度设置范围：儿童模式：34℃，成人模式：31℃\34℃\37℃（三档调节）。</w:t>
            </w:r>
          </w:p>
          <w:p w14:paraId="05E4EEFC">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6.</w:t>
            </w:r>
            <w:r>
              <w:rPr>
                <w:rFonts w:hint="default" w:asciiTheme="minorEastAsia" w:hAnsiTheme="minorEastAsia"/>
                <w:b w:val="0"/>
                <w:bCs/>
                <w:color w:val="auto"/>
                <w:highlight w:val="none"/>
                <w:lang w:val="en-US" w:eastAsia="zh-CN"/>
              </w:rPr>
              <w:t>支持血氧饱和度监测，便于评估高流量氧疗的治疗效果，方便医生实时优化治疗方案</w:t>
            </w:r>
            <w:r>
              <w:rPr>
                <w:rFonts w:hint="default" w:asciiTheme="minorEastAsia" w:hAnsiTheme="minorEastAsia"/>
                <w:b w:val="0"/>
                <w:bCs/>
                <w:color w:val="auto"/>
                <w:highlight w:val="none"/>
                <w:lang w:val="en-US" w:eastAsia="zh-CN"/>
              </w:rPr>
              <w:t>。</w:t>
            </w:r>
          </w:p>
          <w:p w14:paraId="451165B4">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7.血流灌注指数PI测量范围：0.02%-20%。</w:t>
            </w:r>
          </w:p>
          <w:p w14:paraId="1EECF83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8.具有待机界面、通气界面、配置界面三种不同的显示界面。</w:t>
            </w:r>
          </w:p>
          <w:p w14:paraId="207045FF">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9.具有计时功能。</w:t>
            </w:r>
          </w:p>
          <w:p w14:paraId="531C1F55">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10.</w:t>
            </w:r>
            <w:r>
              <w:rPr>
                <w:rFonts w:hint="default" w:asciiTheme="minorEastAsia" w:hAnsiTheme="minorEastAsia"/>
                <w:b w:val="0"/>
                <w:bCs/>
                <w:color w:val="auto"/>
                <w:highlight w:val="none"/>
                <w:lang w:val="en-US" w:eastAsia="zh-CN"/>
              </w:rPr>
              <w:t>具有手动、自动设置氧浓度报警限功</w:t>
            </w:r>
            <w:r>
              <w:rPr>
                <w:rFonts w:hint="default" w:asciiTheme="minorEastAsia" w:hAnsiTheme="minorEastAsia"/>
                <w:b w:val="0"/>
                <w:bCs/>
                <w:color w:val="auto"/>
                <w:highlight w:val="none"/>
                <w:lang w:val="en-US" w:eastAsia="zh-CN"/>
              </w:rPr>
              <w:t>能。具有报警静音功能。</w:t>
            </w:r>
          </w:p>
          <w:p w14:paraId="344E2848">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11.具有过滤棉更换提示和更换过滤棉剩余时间显示功能。</w:t>
            </w:r>
          </w:p>
          <w:p w14:paraId="08F1C3A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12.</w:t>
            </w:r>
            <w:r>
              <w:rPr>
                <w:rFonts w:hint="default" w:asciiTheme="minorEastAsia" w:hAnsiTheme="minorEastAsia"/>
                <w:b w:val="0"/>
                <w:bCs/>
                <w:color w:val="auto"/>
                <w:highlight w:val="none"/>
                <w:lang w:val="en-US" w:eastAsia="zh-CN"/>
              </w:rPr>
              <w:t>内置锂离子电池</w:t>
            </w:r>
            <w:r>
              <w:rPr>
                <w:rFonts w:hint="default" w:asciiTheme="minorEastAsia" w:hAnsiTheme="minorEastAsia"/>
                <w:b w:val="0"/>
                <w:bCs/>
                <w:color w:val="auto"/>
                <w:highlight w:val="none"/>
                <w:lang w:val="en-US" w:eastAsia="zh-CN"/>
              </w:rPr>
              <w:t>，满足转运供电需求。</w:t>
            </w:r>
          </w:p>
          <w:p w14:paraId="487D0DC9">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13.可存储不少于160小时趋势图/趋势表数据回顾，2000条日志记录信息。</w:t>
            </w:r>
          </w:p>
          <w:p w14:paraId="0490DF1B">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14.可配轻质、紧凑的医用推车，便于院内转运。</w:t>
            </w:r>
          </w:p>
          <w:p w14:paraId="3930A1ED">
            <w:pPr>
              <w:pStyle w:val="23"/>
              <w:shd w:val="clear"/>
              <w:adjustRightInd w:val="0"/>
              <w:snapToGrid w:val="0"/>
              <w:jc w:val="left"/>
              <w:rPr>
                <w:rFonts w:hint="default" w:asciiTheme="minorEastAsia" w:hAnsiTheme="minorEastAsia"/>
                <w:b w:val="0"/>
                <w:bCs/>
                <w:color w:val="auto"/>
                <w:highlight w:val="none"/>
                <w:lang w:val="en-US" w:eastAsia="zh-CN"/>
              </w:rPr>
            </w:pPr>
            <w:r>
              <w:rPr>
                <w:rFonts w:hint="default" w:asciiTheme="minorEastAsia" w:hAnsiTheme="minorEastAsia"/>
                <w:b w:val="0"/>
                <w:bCs/>
                <w:color w:val="auto"/>
                <w:highlight w:val="none"/>
                <w:lang w:val="en-US" w:eastAsia="zh-CN"/>
              </w:rPr>
              <w:t>15.产品使用寿命不少于10年。</w:t>
            </w:r>
          </w:p>
        </w:tc>
        <w:tc>
          <w:tcPr>
            <w:tcW w:w="654" w:type="dxa"/>
            <w:tcBorders>
              <w:left w:val="single" w:color="auto" w:sz="4" w:space="0"/>
            </w:tcBorders>
            <w:vAlign w:val="center"/>
          </w:tcPr>
          <w:p w14:paraId="274DFE09">
            <w:pPr>
              <w:pStyle w:val="23"/>
              <w:shd w:val="clear"/>
              <w:adjustRightInd w:val="0"/>
              <w:snapToGrid w:val="0"/>
              <w:jc w:val="center"/>
              <w:rPr>
                <w:rFonts w:hint="eastAsia" w:asciiTheme="minorEastAsia" w:hAnsiTheme="minorEastAsia"/>
                <w:b w:val="0"/>
                <w:bCs/>
                <w:color w:val="auto"/>
                <w:highlight w:val="none"/>
                <w:lang w:val="en-US" w:eastAsia="zh-CN"/>
              </w:rPr>
            </w:pPr>
            <w:r>
              <w:rPr>
                <w:rFonts w:hint="eastAsia" w:asciiTheme="minorEastAsia" w:hAnsiTheme="minorEastAsia"/>
                <w:b w:val="0"/>
                <w:bCs/>
                <w:color w:val="auto"/>
                <w:highlight w:val="none"/>
                <w:lang w:val="en-US" w:eastAsia="zh-CN"/>
              </w:rPr>
              <w:t>7台</w:t>
            </w:r>
          </w:p>
        </w:tc>
        <w:tc>
          <w:tcPr>
            <w:tcW w:w="734" w:type="dxa"/>
            <w:vAlign w:val="center"/>
          </w:tcPr>
          <w:p w14:paraId="0B718D69">
            <w:pPr>
              <w:pStyle w:val="23"/>
              <w:shd w:val="clear"/>
              <w:adjustRightInd w:val="0"/>
              <w:snapToGrid w:val="0"/>
              <w:jc w:val="center"/>
              <w:rPr>
                <w:rFonts w:asciiTheme="minorEastAsia" w:hAnsiTheme="minorEastAsia"/>
                <w:b/>
                <w:color w:val="auto"/>
                <w:highlight w:val="none"/>
              </w:rPr>
            </w:pPr>
          </w:p>
        </w:tc>
      </w:tr>
    </w:tbl>
    <w:p w14:paraId="1F2F135E">
      <w:pPr>
        <w:shd w:val="clear"/>
        <w:rPr>
          <w:rFonts w:hint="default" w:ascii="宋体" w:hAnsi="宋体" w:cs="宋体"/>
          <w:b/>
          <w:color w:val="auto"/>
          <w:szCs w:val="21"/>
          <w:highlight w:val="none"/>
          <w:lang w:val="en-US" w:eastAsia="zh-CN"/>
        </w:rPr>
      </w:pPr>
    </w:p>
    <w:p w14:paraId="766904EE">
      <w:pPr>
        <w:shd w:val="clear"/>
        <w:rPr>
          <w:rFonts w:ascii="宋体" w:hAnsi="宋体" w:cs="宋体"/>
          <w:b/>
          <w:color w:val="auto"/>
          <w:szCs w:val="21"/>
          <w:highlight w:val="none"/>
        </w:rPr>
      </w:pPr>
      <w:r>
        <w:rPr>
          <w:rFonts w:hint="eastAsia" w:ascii="宋体" w:hAnsi="宋体" w:cs="宋体"/>
          <w:b/>
          <w:color w:val="auto"/>
          <w:szCs w:val="21"/>
          <w:highlight w:val="none"/>
        </w:rPr>
        <w:t>三、</w:t>
      </w:r>
      <w:r>
        <w:rPr>
          <w:rFonts w:hint="eastAsia" w:ascii="宋体" w:hAnsi="宋体" w:cs="宋体"/>
          <w:b/>
          <w:bCs/>
          <w:color w:val="auto"/>
          <w:sz w:val="24"/>
          <w:szCs w:val="24"/>
          <w:highlight w:val="none"/>
        </w:rPr>
        <w:t>商务参数要求</w:t>
      </w:r>
    </w:p>
    <w:p w14:paraId="0E18A89C">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bookmarkStart w:id="54" w:name="OLE_LINK4"/>
      <w:r>
        <w:rPr>
          <w:rFonts w:hint="eastAsia" w:ascii="宋体" w:hAnsi="宋体" w:eastAsia="宋体" w:cs="宋体"/>
          <w:b/>
          <w:bCs/>
          <w:iCs/>
          <w:color w:val="auto"/>
          <w:kern w:val="0"/>
          <w:sz w:val="24"/>
          <w:highlight w:val="none"/>
        </w:rPr>
        <w:t>交付时间、地点及付款方式</w:t>
      </w:r>
    </w:p>
    <w:p w14:paraId="158FE80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1.1</w:t>
      </w:r>
      <w:r>
        <w:rPr>
          <w:rFonts w:hint="eastAsia" w:eastAsia="宋体" w:cs="Times New Roman" w:asciiTheme="minorEastAsia" w:hAnsiTheme="minorEastAsia"/>
          <w:color w:val="auto"/>
          <w:szCs w:val="21"/>
          <w:highlight w:val="none"/>
        </w:rPr>
        <w:t>项目现场：采购人指定地点。</w:t>
      </w:r>
    </w:p>
    <w:p w14:paraId="24FA20BA">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1.2</w:t>
      </w:r>
      <w:r>
        <w:rPr>
          <w:rFonts w:hint="eastAsia" w:eastAsia="宋体" w:cs="Times New Roman" w:asciiTheme="minorEastAsia" w:hAnsiTheme="minorEastAsia"/>
          <w:color w:val="auto"/>
          <w:szCs w:val="21"/>
          <w:highlight w:val="none"/>
        </w:rPr>
        <w:t>交付时间及方式：合同签订后，场地符合安装条件，收到采购人通知后发货，并在约定时间内到货并安装。交货时间为：</w:t>
      </w:r>
      <w:r>
        <w:rPr>
          <w:rFonts w:hint="eastAsia" w:eastAsia="宋体" w:cs="Times New Roman" w:asciiTheme="minorEastAsia" w:hAnsiTheme="minorEastAsia"/>
          <w:color w:val="auto"/>
          <w:szCs w:val="21"/>
          <w:highlight w:val="none"/>
          <w:lang w:eastAsia="zh-CN"/>
        </w:rPr>
        <w:t>自签订合同之日起</w:t>
      </w:r>
      <w:r>
        <w:rPr>
          <w:rFonts w:hint="eastAsia" w:cs="Times New Roman" w:asciiTheme="minorEastAsia" w:hAnsiTheme="minorEastAsia"/>
          <w:color w:val="auto"/>
          <w:szCs w:val="21"/>
          <w:highlight w:val="none"/>
          <w:lang w:val="en-US" w:eastAsia="zh-CN"/>
        </w:rPr>
        <w:t>30</w:t>
      </w:r>
      <w:r>
        <w:rPr>
          <w:rFonts w:hint="eastAsia" w:eastAsia="宋体" w:cs="Times New Roman" w:asciiTheme="minorEastAsia" w:hAnsiTheme="minorEastAsia"/>
          <w:color w:val="auto"/>
          <w:szCs w:val="21"/>
          <w:highlight w:val="none"/>
          <w:lang w:eastAsia="zh-CN"/>
        </w:rPr>
        <w:t>天</w:t>
      </w:r>
      <w:r>
        <w:rPr>
          <w:rFonts w:hint="eastAsia" w:cs="Times New Roman" w:asciiTheme="minorEastAsia" w:hAnsiTheme="minorEastAsia"/>
          <w:color w:val="auto"/>
          <w:szCs w:val="21"/>
          <w:highlight w:val="none"/>
          <w:lang w:val="en-US" w:eastAsia="zh-CN"/>
        </w:rPr>
        <w:t>内</w:t>
      </w:r>
      <w:r>
        <w:rPr>
          <w:rFonts w:hint="eastAsia" w:eastAsia="宋体" w:cs="Times New Roman" w:asciiTheme="minorEastAsia" w:hAnsiTheme="minorEastAsia"/>
          <w:color w:val="auto"/>
          <w:szCs w:val="21"/>
          <w:highlight w:val="none"/>
          <w:lang w:eastAsia="zh-CN"/>
        </w:rPr>
        <w:t>完成供货要求。</w:t>
      </w:r>
    </w:p>
    <w:p w14:paraId="65FA528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1.3</w:t>
      </w:r>
      <w:r>
        <w:rPr>
          <w:rFonts w:hint="eastAsia" w:eastAsia="宋体" w:cs="Times New Roman" w:asciiTheme="minorEastAsia" w:hAnsiTheme="minorEastAsia"/>
          <w:color w:val="auto"/>
          <w:szCs w:val="21"/>
          <w:highlight w:val="none"/>
        </w:rPr>
        <w:t>付款方式：</w:t>
      </w:r>
    </w:p>
    <w:p w14:paraId="725EE94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rPr>
      </w:pPr>
      <w:r>
        <w:rPr>
          <w:rFonts w:hint="eastAsia" w:eastAsia="宋体" w:cs="Times New Roman" w:asciiTheme="minorEastAsia" w:hAnsiTheme="minorEastAsia"/>
          <w:color w:val="auto"/>
          <w:szCs w:val="21"/>
          <w:highlight w:val="none"/>
          <w:lang w:val="en-US" w:eastAsia="zh-CN"/>
        </w:rPr>
        <w:t>1.3.1</w:t>
      </w:r>
      <w:r>
        <w:rPr>
          <w:rFonts w:hint="eastAsia" w:eastAsia="宋体" w:cs="Times New Roman" w:asciiTheme="minorEastAsia" w:hAnsiTheme="minorEastAsia"/>
          <w:color w:val="auto"/>
          <w:szCs w:val="21"/>
          <w:highlight w:val="none"/>
        </w:rPr>
        <w:t>设备安装完成调试、试运行，调试验收合格后，开具相应金额的增值税发票后支付至合同价款的90%；余款10%验收合格1年后无息支付。</w:t>
      </w:r>
    </w:p>
    <w:p w14:paraId="423EBBB9">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安装调试和验收</w:t>
      </w:r>
    </w:p>
    <w:p w14:paraId="2375BFC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2.1中标人配合和指导医院对货物储存、安装和使用场地的建设或改良（含配套设施及条件），确保货物达到规定的运行、安装、使用环境，保证使用条件安全。</w:t>
      </w:r>
    </w:p>
    <w:p w14:paraId="083153F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2.2在货物到达使用单位，现场场地符合安装条件后，采购人将通知中标人派技术人员对所投设备全面进行安装调试。中标人应派制造商技术人员在7日内到达采购人指定安装地点，并在医院技术人员在场的情况下开箱清点货物，组织安装、调试所需费用包含在投标报价内。如中标人未在7日内到达采购人指定安装地点，采购人有权自行开箱安装调试。开箱如有缺货、错装、损坏或技术问题，中标人应承担全部责任。</w:t>
      </w:r>
    </w:p>
    <w:p w14:paraId="0BCCD23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2.3设备验收签字前如有任何质量问题，中标人必须无条件更换整机。</w:t>
      </w:r>
    </w:p>
    <w:p w14:paraId="52816F4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2.4中标人须承担货物验收前的财产保护责任，在验收前出现损坏由中标人负责。在安装运输过程中如出现人员伤亡及财产损坏由中标人承担赔偿责任。</w:t>
      </w:r>
    </w:p>
    <w:p w14:paraId="64CA624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2.5设备安装后，采购人按国际和国家标准、厂方标准、医院验收制度流程及合同要求如仪器设备需要特殊工作条件（如水、电源、磁场强度、温度、湿度、动强度等）进行验收。中标人应向采购人提供详细的验收标准，验收手册和部分验收专用仪器，所需费用包含在投标报价内。设备各项技术性能、指标必须达到合同和技术文件规定的要求。投标文件中提供详细的验收说明。</w:t>
      </w:r>
    </w:p>
    <w:p w14:paraId="3EE4151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★2.6设备从安装到完成调试时间不超过1个月，否则由此引发的后果由中标人自行承担（须提供承诺函，格式自拟）。</w:t>
      </w:r>
    </w:p>
    <w:p w14:paraId="775A91B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★2.7.所有设备的接入信息系统费用由中标商负责，相关费用计入报价中。</w:t>
      </w:r>
    </w:p>
    <w:p w14:paraId="394539F6">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质量保证和质保期（技术参数有规定的以参数内容为准）</w:t>
      </w:r>
    </w:p>
    <w:p w14:paraId="7CB2B92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bookmarkStart w:id="55" w:name="OLE_LINK160"/>
      <w:r>
        <w:rPr>
          <w:rFonts w:hint="eastAsia" w:eastAsia="宋体" w:cs="Times New Roman" w:asciiTheme="minorEastAsia" w:hAnsiTheme="minorEastAsia"/>
          <w:color w:val="auto"/>
          <w:szCs w:val="21"/>
          <w:highlight w:val="none"/>
          <w:lang w:val="en-US" w:eastAsia="zh-CN"/>
        </w:rPr>
        <w:t>3.1在正常操作下</w:t>
      </w:r>
      <w:r>
        <w:rPr>
          <w:rFonts w:hint="eastAsia" w:eastAsia="宋体" w:cs="Times New Roman" w:asciiTheme="minorEastAsia" w:hAnsiTheme="minorEastAsia"/>
          <w:color w:val="auto"/>
          <w:szCs w:val="21"/>
          <w:highlight w:val="none"/>
          <w:lang w:val="en-US" w:eastAsia="zh-CN"/>
        </w:rPr>
        <w:t>，整机质保期3年（技术参数有规定的以参数内容为准）</w:t>
      </w:r>
      <w:r>
        <w:rPr>
          <w:rFonts w:hint="eastAsia" w:eastAsia="宋体" w:cs="Times New Roman" w:asciiTheme="minorEastAsia" w:hAnsiTheme="minorEastAsia"/>
          <w:color w:val="auto"/>
          <w:szCs w:val="21"/>
          <w:highlight w:val="none"/>
          <w:lang w:val="en-US" w:eastAsia="zh-CN"/>
        </w:rPr>
        <w:t>，即采购人安装调试验收合格，运转正常后，采购人认可，签字之日起三十六月内连续运转良好。质保期内，如货物故障导致停机时间连续超过三个工作日，则每个超出的停机工作日获得补偿保修期四日。质保期内负责维修与更换有缺陷的货物或部件，质保期满后只收取投标时承诺的备品备件成本费用。每次维护维修后，应及时向采购人提供相关记录。质保期从最终验收合格之日起计算。</w:t>
      </w:r>
    </w:p>
    <w:p w14:paraId="2B96795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3.2中标人应保证货物是全新的，未使用过的，手续合法，渠道正规，出厂时间少于一年。全部设备的规格型号、技术参数不但要与合同中的描述一致，还应该与随机资料说明一致。</w:t>
      </w:r>
      <w:bookmarkEnd w:id="55"/>
    </w:p>
    <w:p w14:paraId="37D9999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3.3投标人除了报出维保价格外，还应提供制造商最低维保价格承诺书或提供承诺函承诺中标后提供相应的制造商盖章的承诺书。</w:t>
      </w:r>
    </w:p>
    <w:p w14:paraId="20627AF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3.4投标人除了报出备品配件（提供本配置可能未列举的其它设备和部件含系统软件）的价格之外，还应对所投设备的备品配件保障期限做出承诺且保证5年内不涨价，并提供承诺函承诺中标后提供相应的承诺书。</w:t>
      </w:r>
    </w:p>
    <w:p w14:paraId="5EC6ED47">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备品备件</w:t>
      </w:r>
    </w:p>
    <w:p w14:paraId="7F161E6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4.1中标人应向采购人随设备提供全套设备技术资料（技术资料非中文的，应译成中文），费用已包括在投标价格之内。</w:t>
      </w:r>
    </w:p>
    <w:p w14:paraId="70B5169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（1）设备安装图；</w:t>
      </w:r>
    </w:p>
    <w:p w14:paraId="427B50A7">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（2）电气设备及系统原理图；</w:t>
      </w:r>
    </w:p>
    <w:p w14:paraId="028B06D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（3）电气设备及系统安装线路图；</w:t>
      </w:r>
    </w:p>
    <w:p w14:paraId="59DB33D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（4）构件、机械安装图；</w:t>
      </w:r>
    </w:p>
    <w:p w14:paraId="4F8A580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（5）安装、操作手册；</w:t>
      </w:r>
    </w:p>
    <w:p w14:paraId="16D6F33E">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（6）故障代码表、维修密码（如有）；</w:t>
      </w:r>
    </w:p>
    <w:p w14:paraId="45B62F2B">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（7）维护和维修手册（包括电子版）；</w:t>
      </w:r>
    </w:p>
    <w:p w14:paraId="5FF7043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（8）详细维修用的资料和图纸（包含产品内部主要机械结构与控制电路、管路原理图、控制面板布置图、接线图、装配示意图）；</w:t>
      </w:r>
    </w:p>
    <w:p w14:paraId="0EB65D6F">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（9）制造、安装标准含技术规范；</w:t>
      </w:r>
    </w:p>
    <w:p w14:paraId="19798EE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（10）出厂检验报告及合格证；</w:t>
      </w:r>
    </w:p>
    <w:p w14:paraId="290E210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（11）安装和验收报告（包括验收数据资料）；</w:t>
      </w:r>
    </w:p>
    <w:p w14:paraId="6E3DFBC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（12）易损件、零部件和备件清单；</w:t>
      </w:r>
    </w:p>
    <w:p w14:paraId="6B8A966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（13）系统、软件备份硬盘。</w:t>
      </w:r>
    </w:p>
    <w:p w14:paraId="7352DC27">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人员培训</w:t>
      </w:r>
    </w:p>
    <w:p w14:paraId="45695341">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5.1中标人负责在现场向采购人技术人员（包括医师、技师以及维修工程师）直接提供保修、维修、使用培训服务。设备人员专项进修的具体培训时间、地点另行协商，至采购人技术人员能正常操作设备的各种功能、简单的故障排除为止，所需费用由中标人负责。</w:t>
      </w:r>
    </w:p>
    <w:p w14:paraId="56E2FC6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5.2中标人在投标文件中提供详细的培训计划。</w:t>
      </w:r>
    </w:p>
    <w:p w14:paraId="6743AD3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5.3中标人应配置专业技术人员提供现场技术培训，保证使用人员能正常操作设备的各种功能；除现场培训外,在保修期内，厂方每年安排集中培训一次（含在投标总价中，采购人不再另行支付费用）。</w:t>
      </w:r>
    </w:p>
    <w:p w14:paraId="2BF2BA7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售后服务（技术参数有规定的以参数内容为准）</w:t>
      </w:r>
    </w:p>
    <w:p w14:paraId="56E174B3">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6.1投标人应承诺由制造商负责保质期内的售后服务，并提供售后单位的名称、地址。联系电话等；售后服务单位名称、地址、联系电话撤销或者变更的，应当及时告知采购人；售后服务单位应当具有维修资质证书，维修人员应当具有执业资格，持证上岗。</w:t>
      </w:r>
    </w:p>
    <w:p w14:paraId="4FA58B8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6.2在质保期内，设备出现质量问题，应当由中标人负责修理或者更换新的主要部件（包括工时费和材料费）（含在投标总价中，采购人不再另行支付费用）。</w:t>
      </w:r>
    </w:p>
    <w:p w14:paraId="6AECB476">
      <w:pPr>
        <w:shd w:val="clear"/>
        <w:adjustRightInd w:val="0"/>
        <w:snapToGrid w:val="0"/>
        <w:spacing w:before="156" w:beforeLines="50"/>
        <w:ind w:firstLine="420" w:firstLineChars="200"/>
        <w:rPr>
          <w:color w:val="auto"/>
          <w:highlight w:val="none"/>
        </w:rPr>
      </w:pPr>
      <w:r>
        <w:rPr>
          <w:rFonts w:hint="eastAsia" w:eastAsia="宋体" w:cs="Times New Roman" w:asciiTheme="minorEastAsia" w:hAnsiTheme="minorEastAsia"/>
          <w:color w:val="auto"/>
          <w:szCs w:val="21"/>
          <w:highlight w:val="none"/>
          <w:lang w:val="en-US" w:eastAsia="zh-CN"/>
        </w:rPr>
        <w:t>6.3</w:t>
      </w:r>
      <w:r>
        <w:rPr>
          <w:color w:val="auto"/>
          <w:highlight w:val="none"/>
        </w:rPr>
        <w:t>质保期外，中标人应提供有偿维修服务，维修材料仅收取成本费用，维修服务费用不高于市场价，确保合理透明。</w:t>
      </w:r>
    </w:p>
    <w:p w14:paraId="4271F2D0">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6.4质保期内，中标人对产品质量实行三包，负责维修或更换（人为因素或不可抗力造成事故除外）。（含在投标总价中，采购人不再另行支付费用）。</w:t>
      </w:r>
    </w:p>
    <w:p w14:paraId="669EFEA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6.5质保期内投标人提供硬件维护和咨询等，并提供7*24小时电话、E-mail技术支持，一般性系统故障需在2小时内解决，重大系统故障需在12小时内解决，特别重大系统故障需在24小时内解决。</w:t>
      </w:r>
    </w:p>
    <w:p w14:paraId="5BBEC066">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6.6中标人保证长期优质服务，定期提供例行检查，终身维护。</w:t>
      </w:r>
    </w:p>
    <w:p w14:paraId="4D3CD8FB">
      <w:pPr>
        <w:shd w:val="clear"/>
        <w:adjustRightInd w:val="0"/>
        <w:snapToGrid w:val="0"/>
        <w:spacing w:before="156" w:beforeLines="50"/>
        <w:ind w:firstLine="420" w:firstLineChars="200"/>
        <w:rPr>
          <w:color w:val="auto"/>
          <w:highlight w:val="none"/>
        </w:rPr>
      </w:pPr>
      <w:r>
        <w:rPr>
          <w:rFonts w:hint="eastAsia" w:eastAsia="宋体" w:cs="Times New Roman" w:asciiTheme="minorEastAsia" w:hAnsiTheme="minorEastAsia"/>
          <w:color w:val="auto"/>
          <w:szCs w:val="21"/>
          <w:highlight w:val="none"/>
          <w:lang w:val="en-US" w:eastAsia="zh-CN"/>
        </w:rPr>
        <w:t>6.7投标人在投标文件中提供详细的售后服务方案</w:t>
      </w:r>
      <w:r>
        <w:rPr>
          <w:color w:val="auto"/>
          <w:highlight w:val="none"/>
        </w:rPr>
        <w:t>。</w:t>
      </w:r>
    </w:p>
    <w:p w14:paraId="48E2E10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p>
    <w:p w14:paraId="37A9C9FC">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履约验收</w:t>
      </w:r>
    </w:p>
    <w:p w14:paraId="666906C7">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7.1设备计量及防护检测：设备在使用前和质保期满后，中标人必须提供国家强制执行的年度计量检测报告，提供计量器具型式批准证书并负责相关费用及手续。如检测达不到国家标准，中标人应负责设备的整改和再次检测费用，直至检测达标；若为防护设备，设备在使用前中标人必须提供防护检测报告并办理相关手续，如检测达不到国家标准，中标人应负责设备的整改和再次检测费用，直至检测达标，</w:t>
      </w:r>
    </w:p>
    <w:p w14:paraId="5F7E8BB4">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7.2项目验收时采购人或者其委托的采购代理机构组织对中标人履约的验收。大型设备或技术复杂的应当邀请国家认可的质量检测机构参加验收工作。验收方成员应当在验收书上签字，并承担相应的法律责任。验收所产生的费用由中标人承担（费用应包含在投标报价内），采购人不再另行支付其他任何费用。</w:t>
      </w:r>
    </w:p>
    <w:p w14:paraId="73728182">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7.3中标人在项目验收阶段，须配合采购人进行履约验收，验收符合相关标准（如国家标准、行业标准、技术规范等），验收过程中，中标人须准备相关资料（投标文件、中标通知书、采购合同、验收单等），确保验收过程有序进行。如需要第三方参与验收的，所需费用包含在投标报价内，中标人无条件配合。</w:t>
      </w:r>
    </w:p>
    <w:p w14:paraId="2014DEFC">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其他要求</w:t>
      </w:r>
    </w:p>
    <w:p w14:paraId="1A3DC44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8.1本项目为交钥匙项目，采购人负责提供适合安装的场地。中标人提供场地的装修及防护方案及实施，中标人承诺负责设备进入安装场地所产生的防护装修费用（技术参数有规定的以参数内容为准）；投标总价包括但不限于设备安装、调试等所有费用，采购人不再另行支付其他任何费用。</w:t>
      </w:r>
    </w:p>
    <w:p w14:paraId="3D7D6D0E">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8.2投标人如进行现场踏勘，由此产生的费用及安全问题由投标人自行承担。</w:t>
      </w:r>
    </w:p>
    <w:p w14:paraId="4E4C88E5">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8.3投标人负责提供设备软件的开放（质量保证期以内和超出质量保证期）及永久性维修密码的承诺书。</w:t>
      </w:r>
    </w:p>
    <w:p w14:paraId="0D9C2EFC">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8.4投标人负责其派出人员的人身以外保险，承担其派出人员在服务过程中产生的一切法律责任和后果。</w:t>
      </w:r>
    </w:p>
    <w:p w14:paraId="1FFF519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left="0" w:firstLine="0"/>
        <w:textAlignment w:val="auto"/>
        <w:rPr>
          <w:rFonts w:hint="eastAsia" w:ascii="宋体" w:hAnsi="宋体" w:eastAsia="宋体" w:cs="宋体"/>
          <w:b/>
          <w:bCs/>
          <w:iCs/>
          <w:color w:val="auto"/>
          <w:kern w:val="0"/>
          <w:sz w:val="24"/>
          <w:highlight w:val="none"/>
        </w:rPr>
      </w:pPr>
      <w:r>
        <w:rPr>
          <w:rFonts w:hint="eastAsia" w:ascii="宋体" w:hAnsi="宋体" w:eastAsia="宋体" w:cs="宋体"/>
          <w:b/>
          <w:bCs/>
          <w:iCs/>
          <w:color w:val="auto"/>
          <w:kern w:val="0"/>
          <w:sz w:val="24"/>
          <w:highlight w:val="none"/>
        </w:rPr>
        <w:t>违约责任</w:t>
      </w:r>
    </w:p>
    <w:p w14:paraId="2E4283DD">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9.1验收前如设备出现重大故障，导致更换整机，影响采购人项目开展或临床使用，由此引发的责任由中标人承担，采购人保留对中标人追究损失赔偿责任的权力。</w:t>
      </w:r>
    </w:p>
    <w:p w14:paraId="1D438318">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9.2延期交货：如果中标人未能按合同规定的时间按期交货（不可抗力除外）中标人应向采购人支付违约金，每延期一天，按合同总额0.5%交付违约金，最多不超过延期交付的货物总额的10%。违约金从合同款项中扣除，合同款项不足的，中标人应补足。如果中标人在采购人书面同意的延期时间内仍不能交货，采购人有权解除合同，中标人退还采购人已经支付的一切费用，并应按上述规定向采购人支付违约金（按合同总额的30%计算）。</w:t>
      </w:r>
    </w:p>
    <w:p w14:paraId="3AE1B04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9.3如发现中标产品无法满足招标文件及投标文件所列示的技术参数要求，或者发现中标人的投标文件存在虚假响应的情况，采购人有权单方面解除合同，并要求中标人支付与解除合同相关的一切费用，责任由中标人承担。（本项需出具单独承诺函）</w:t>
      </w:r>
    </w:p>
    <w:p w14:paraId="239FAC99">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p>
    <w:p w14:paraId="0E4383C4">
      <w:pPr>
        <w:shd w:val="clear"/>
        <w:adjustRightInd w:val="0"/>
        <w:snapToGrid w:val="0"/>
        <w:spacing w:before="156" w:beforeLines="50"/>
        <w:ind w:firstLine="420" w:firstLineChars="200"/>
        <w:rPr>
          <w:rFonts w:hint="eastAsia" w:eastAsia="宋体" w:cs="Times New Roman" w:asciiTheme="minorEastAsia" w:hAnsiTheme="minorEastAsia"/>
          <w:color w:val="auto"/>
          <w:szCs w:val="21"/>
          <w:highlight w:val="none"/>
          <w:lang w:val="en-US" w:eastAsia="zh-CN"/>
        </w:rPr>
      </w:pPr>
      <w:r>
        <w:rPr>
          <w:rFonts w:hint="eastAsia" w:eastAsia="宋体" w:cs="Times New Roman" w:asciiTheme="minorEastAsia" w:hAnsiTheme="minorEastAsia"/>
          <w:color w:val="auto"/>
          <w:szCs w:val="21"/>
          <w:highlight w:val="none"/>
          <w:lang w:val="en-US" w:eastAsia="zh-CN"/>
        </w:rPr>
        <w:t>备注：以上“1至9”项商务要求的每一项均视为一项商务需求内容，对其中任意一项子项（“★”条款除外）的偏离均视为对该项商务需求内容的偏离，予以扣除相应分数。</w:t>
      </w:r>
      <w:bookmarkEnd w:id="54"/>
    </w:p>
    <w:p w14:paraId="1A8D8082">
      <w:pPr>
        <w:shd w:val="clear"/>
        <w:adjustRightInd w:val="0"/>
        <w:snapToGrid w:val="0"/>
        <w:spacing w:line="360" w:lineRule="auto"/>
        <w:ind w:firstLine="420" w:firstLineChars="200"/>
        <w:rPr>
          <w:rFonts w:hint="eastAsia" w:ascii="宋体" w:hAnsi="宋体" w:eastAsia="宋体" w:cs="Times New Roman"/>
          <w:color w:val="auto"/>
          <w:szCs w:val="21"/>
          <w:highlight w:val="none"/>
          <w:lang w:val="en-US" w:eastAsia="zh-CN"/>
        </w:rPr>
      </w:pPr>
    </w:p>
    <w:bookmarkEnd w:id="51"/>
    <w:bookmarkEnd w:id="52"/>
    <w:bookmarkEnd w:id="53"/>
    <w:p w14:paraId="5F8123B2">
      <w:pPr>
        <w:pStyle w:val="53"/>
        <w:shd w:val="clear"/>
        <w:rPr>
          <w:color w:val="auto"/>
          <w:highlight w:val="none"/>
        </w:rPr>
      </w:pPr>
    </w:p>
    <w:p w14:paraId="276BE08F">
      <w:pPr>
        <w:pStyle w:val="53"/>
        <w:shd w:val="clear"/>
        <w:rPr>
          <w:color w:val="auto"/>
          <w:highlight w:val="none"/>
        </w:rPr>
      </w:pPr>
    </w:p>
    <w:p w14:paraId="4864D838">
      <w:pPr>
        <w:widowControl/>
        <w:shd w:val="clear"/>
        <w:jc w:val="left"/>
        <w:rPr>
          <w:color w:val="auto"/>
          <w:highlight w:val="none"/>
        </w:rPr>
      </w:pPr>
      <w:r>
        <w:rPr>
          <w:color w:val="auto"/>
          <w:highlight w:val="none"/>
        </w:rPr>
        <w:br w:type="page"/>
      </w:r>
    </w:p>
    <w:p w14:paraId="1E1FEF1D">
      <w:pPr>
        <w:pStyle w:val="2"/>
        <w:shd w:val="clear"/>
        <w:rPr>
          <w:rFonts w:ascii="黑体" w:hAnsi="黑体" w:eastAsia="黑体"/>
          <w:color w:val="auto"/>
          <w:sz w:val="32"/>
          <w:szCs w:val="32"/>
          <w:highlight w:val="none"/>
        </w:rPr>
      </w:pPr>
      <w:bookmarkStart w:id="56" w:name="_Toc78815074"/>
      <w:r>
        <w:rPr>
          <w:rFonts w:hint="eastAsia" w:ascii="黑体" w:hAnsi="黑体" w:eastAsia="黑体"/>
          <w:color w:val="auto"/>
          <w:sz w:val="32"/>
          <w:szCs w:val="32"/>
          <w:highlight w:val="none"/>
        </w:rPr>
        <w:t>第六章 政府采购合同</w:t>
      </w:r>
      <w:bookmarkEnd w:id="56"/>
    </w:p>
    <w:p w14:paraId="38DB2FD5">
      <w:pPr>
        <w:shd w:val="clear"/>
        <w:jc w:val="center"/>
        <w:rPr>
          <w:rFonts w:ascii="宋体" w:hAnsi="宋体" w:cs="宋体"/>
          <w:b/>
          <w:color w:val="auto"/>
          <w:sz w:val="24"/>
          <w:highlight w:val="none"/>
        </w:rPr>
      </w:pPr>
      <w:r>
        <w:rPr>
          <w:rFonts w:hint="eastAsia" w:ascii="宋体" w:hAnsi="宋体" w:cs="宋体"/>
          <w:b/>
          <w:color w:val="auto"/>
          <w:sz w:val="24"/>
          <w:highlight w:val="none"/>
        </w:rPr>
        <w:t>第一节 采购合同协议书（格式可自拟）</w:t>
      </w:r>
    </w:p>
    <w:p w14:paraId="325A001B">
      <w:pPr>
        <w:shd w:val="clear"/>
        <w:adjustRightInd w:val="0"/>
        <w:snapToGrid w:val="0"/>
        <w:spacing w:before="156" w:beforeLines="50" w:line="360" w:lineRule="auto"/>
        <w:jc w:val="center"/>
        <w:rPr>
          <w:rFonts w:ascii="宋体" w:hAnsi="宋体"/>
          <w:color w:val="auto"/>
          <w:szCs w:val="21"/>
          <w:highlight w:val="none"/>
        </w:rPr>
      </w:pPr>
      <w:r>
        <w:rPr>
          <w:rFonts w:hint="eastAsia" w:ascii="宋体" w:hAnsi="宋体"/>
          <w:color w:val="auto"/>
          <w:szCs w:val="21"/>
          <w:highlight w:val="none"/>
        </w:rPr>
        <w:t xml:space="preserve">                                                        采购编号：</w:t>
      </w:r>
      <w:r>
        <w:rPr>
          <w:rFonts w:ascii="宋体" w:hAnsi="宋体"/>
          <w:color w:val="auto"/>
          <w:szCs w:val="21"/>
          <w:highlight w:val="none"/>
        </w:rPr>
        <w:tab/>
      </w:r>
    </w:p>
    <w:p w14:paraId="6E4A6804">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采购人（全称）：（甲方）</w:t>
      </w:r>
    </w:p>
    <w:p w14:paraId="62B1C32D">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供应商（全称）：（乙方）</w:t>
      </w:r>
    </w:p>
    <w:p w14:paraId="59011E61">
      <w:pPr>
        <w:pStyle w:val="18"/>
        <w:shd w:val="clear"/>
        <w:tabs>
          <w:tab w:val="left" w:pos="2715"/>
        </w:tabs>
        <w:adjustRightInd w:val="0"/>
        <w:snapToGrid w:val="0"/>
        <w:spacing w:after="0" w:line="360" w:lineRule="auto"/>
        <w:rPr>
          <w:rFonts w:ascii="宋体" w:hAnsi="宋体"/>
          <w:color w:val="auto"/>
          <w:szCs w:val="21"/>
          <w:highlight w:val="none"/>
        </w:rPr>
      </w:pPr>
      <w:r>
        <w:rPr>
          <w:rFonts w:hint="eastAsia" w:ascii="宋体" w:hAnsi="宋体"/>
          <w:color w:val="auto"/>
          <w:szCs w:val="21"/>
          <w:highlight w:val="none"/>
        </w:rPr>
        <w:tab/>
      </w:r>
    </w:p>
    <w:p w14:paraId="438E9833">
      <w:pPr>
        <w:pStyle w:val="18"/>
        <w:shd w:val="clear"/>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为了保护甲、乙双方合法权益，根据《</w:t>
      </w:r>
      <w:r>
        <w:rPr>
          <w:rFonts w:hint="eastAsia" w:ascii="宋体" w:hAnsi="宋体"/>
          <w:color w:val="auto"/>
          <w:sz w:val="21"/>
          <w:szCs w:val="21"/>
          <w:highlight w:val="none"/>
          <w:lang w:eastAsia="zh-CN"/>
        </w:rPr>
        <w:t>中华人民共和国民法典</w:t>
      </w:r>
      <w:r>
        <w:rPr>
          <w:rFonts w:hint="eastAsia" w:ascii="宋体" w:hAnsi="宋体"/>
          <w:color w:val="auto"/>
          <w:sz w:val="21"/>
          <w:szCs w:val="21"/>
          <w:highlight w:val="none"/>
        </w:rPr>
        <w:t>》、参照《</w:t>
      </w:r>
      <w:r>
        <w:rPr>
          <w:rFonts w:hint="eastAsia" w:ascii="宋体" w:hAnsi="宋体"/>
          <w:color w:val="auto"/>
          <w:sz w:val="21"/>
          <w:szCs w:val="21"/>
          <w:highlight w:val="none"/>
          <w:lang w:eastAsia="zh-CN"/>
        </w:rPr>
        <w:t>中华人民共和国政府采购法</w:t>
      </w:r>
      <w:r>
        <w:rPr>
          <w:rFonts w:hint="eastAsia" w:ascii="宋体" w:hAnsi="宋体"/>
          <w:color w:val="auto"/>
          <w:sz w:val="21"/>
          <w:szCs w:val="21"/>
          <w:highlight w:val="none"/>
        </w:rPr>
        <w:t>》及其他有关法律、法规、规章，双方签订本合同协议书。</w:t>
      </w:r>
    </w:p>
    <w:p w14:paraId="6AD9215A">
      <w:pPr>
        <w:shd w:val="clear"/>
        <w:tabs>
          <w:tab w:val="left" w:pos="2760"/>
        </w:tabs>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1.项目管理信息</w:t>
      </w:r>
      <w:r>
        <w:rPr>
          <w:rFonts w:hint="eastAsia" w:ascii="宋体" w:hAnsi="宋体"/>
          <w:b/>
          <w:color w:val="auto"/>
          <w:szCs w:val="21"/>
          <w:highlight w:val="none"/>
        </w:rPr>
        <w:tab/>
      </w:r>
    </w:p>
    <w:p w14:paraId="0D96E8E7">
      <w:pPr>
        <w:pStyle w:val="18"/>
        <w:shd w:val="clear"/>
        <w:adjustRightInd w:val="0"/>
        <w:snapToGrid w:val="0"/>
        <w:spacing w:after="0" w:line="360" w:lineRule="auto"/>
        <w:rPr>
          <w:rFonts w:ascii="宋体" w:hAnsi="宋体"/>
          <w:color w:val="auto"/>
          <w:sz w:val="21"/>
          <w:szCs w:val="21"/>
          <w:highlight w:val="none"/>
        </w:rPr>
      </w:pPr>
      <w:r>
        <w:rPr>
          <w:rFonts w:hint="eastAsia" w:ascii="宋体" w:hAnsi="宋体"/>
          <w:color w:val="auto"/>
          <w:sz w:val="21"/>
          <w:szCs w:val="21"/>
          <w:highlight w:val="none"/>
        </w:rPr>
        <w:t>（1）采购组织形式：</w:t>
      </w:r>
    </w:p>
    <w:p w14:paraId="1FF9201D">
      <w:pPr>
        <w:pStyle w:val="18"/>
        <w:shd w:val="clear"/>
        <w:adjustRightInd w:val="0"/>
        <w:snapToGrid w:val="0"/>
        <w:spacing w:after="0" w:line="360" w:lineRule="auto"/>
        <w:rPr>
          <w:rFonts w:ascii="宋体" w:hAnsi="宋体"/>
          <w:color w:val="auto"/>
          <w:sz w:val="21"/>
          <w:szCs w:val="21"/>
          <w:highlight w:val="none"/>
          <w:u w:val="single"/>
        </w:rPr>
      </w:pPr>
      <w:r>
        <w:rPr>
          <w:rFonts w:hint="eastAsia" w:ascii="宋体" w:hAnsi="宋体"/>
          <w:color w:val="auto"/>
          <w:sz w:val="21"/>
          <w:szCs w:val="21"/>
          <w:highlight w:val="none"/>
        </w:rPr>
        <w:t>（2）采购方式：</w:t>
      </w:r>
    </w:p>
    <w:p w14:paraId="6F4292E2">
      <w:pPr>
        <w:pStyle w:val="18"/>
        <w:shd w:val="clear"/>
        <w:adjustRightInd w:val="0"/>
        <w:snapToGrid w:val="0"/>
        <w:spacing w:after="0" w:line="360" w:lineRule="auto"/>
        <w:rPr>
          <w:rFonts w:ascii="宋体" w:hAnsi="宋体"/>
          <w:color w:val="auto"/>
          <w:sz w:val="21"/>
          <w:szCs w:val="21"/>
          <w:highlight w:val="none"/>
        </w:rPr>
      </w:pPr>
      <w:r>
        <w:rPr>
          <w:rFonts w:hint="eastAsia" w:ascii="宋体" w:hAnsi="宋体"/>
          <w:color w:val="auto"/>
          <w:sz w:val="21"/>
          <w:szCs w:val="21"/>
          <w:highlight w:val="none"/>
        </w:rPr>
        <w:t>（3）项目名称：</w:t>
      </w:r>
    </w:p>
    <w:p w14:paraId="20249389">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2.合同标的及金额</w:t>
      </w:r>
    </w:p>
    <w:tbl>
      <w:tblPr>
        <w:tblStyle w:val="43"/>
        <w:tblW w:w="8510" w:type="dxa"/>
        <w:tblInd w:w="675"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480"/>
        <w:gridCol w:w="1812"/>
        <w:gridCol w:w="1259"/>
        <w:gridCol w:w="1258"/>
        <w:gridCol w:w="868"/>
        <w:gridCol w:w="916"/>
      </w:tblGrid>
      <w:tr w14:paraId="3B488D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917" w:type="dxa"/>
            <w:vAlign w:val="center"/>
          </w:tcPr>
          <w:p w14:paraId="31A1029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序号</w:t>
            </w:r>
          </w:p>
        </w:tc>
        <w:tc>
          <w:tcPr>
            <w:tcW w:w="1480" w:type="dxa"/>
            <w:vAlign w:val="center"/>
          </w:tcPr>
          <w:p w14:paraId="655AF8D1">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标的名称</w:t>
            </w:r>
          </w:p>
        </w:tc>
        <w:tc>
          <w:tcPr>
            <w:tcW w:w="1812" w:type="dxa"/>
            <w:vAlign w:val="center"/>
          </w:tcPr>
          <w:p w14:paraId="290929F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型号规格</w:t>
            </w:r>
          </w:p>
        </w:tc>
        <w:tc>
          <w:tcPr>
            <w:tcW w:w="1259" w:type="dxa"/>
            <w:vAlign w:val="center"/>
          </w:tcPr>
          <w:p w14:paraId="59B6BD2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数量</w:t>
            </w:r>
          </w:p>
        </w:tc>
        <w:tc>
          <w:tcPr>
            <w:tcW w:w="1258" w:type="dxa"/>
            <w:vAlign w:val="center"/>
          </w:tcPr>
          <w:p w14:paraId="26A2DA8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单价</w:t>
            </w:r>
          </w:p>
        </w:tc>
        <w:tc>
          <w:tcPr>
            <w:tcW w:w="868" w:type="dxa"/>
            <w:vAlign w:val="center"/>
          </w:tcPr>
          <w:p w14:paraId="5EEDDE5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总价</w:t>
            </w:r>
          </w:p>
        </w:tc>
        <w:tc>
          <w:tcPr>
            <w:tcW w:w="916" w:type="dxa"/>
            <w:vAlign w:val="center"/>
          </w:tcPr>
          <w:p w14:paraId="7F5F8BE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备注</w:t>
            </w:r>
          </w:p>
        </w:tc>
      </w:tr>
      <w:tr w14:paraId="4B5AA1C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7" w:type="dxa"/>
            <w:vAlign w:val="center"/>
          </w:tcPr>
          <w:p w14:paraId="2542E1B9">
            <w:pPr>
              <w:shd w:val="clear"/>
              <w:adjustRightInd w:val="0"/>
              <w:snapToGrid w:val="0"/>
              <w:spacing w:line="360" w:lineRule="auto"/>
              <w:jc w:val="center"/>
              <w:rPr>
                <w:rFonts w:ascii="宋体" w:hAnsi="宋体"/>
                <w:color w:val="auto"/>
                <w:szCs w:val="21"/>
                <w:highlight w:val="none"/>
              </w:rPr>
            </w:pPr>
          </w:p>
        </w:tc>
        <w:tc>
          <w:tcPr>
            <w:tcW w:w="1480" w:type="dxa"/>
            <w:vAlign w:val="center"/>
          </w:tcPr>
          <w:p w14:paraId="37A5B0CE">
            <w:pPr>
              <w:shd w:val="clear"/>
              <w:adjustRightInd w:val="0"/>
              <w:snapToGrid w:val="0"/>
              <w:spacing w:line="360" w:lineRule="auto"/>
              <w:jc w:val="center"/>
              <w:rPr>
                <w:rFonts w:ascii="宋体" w:hAnsi="宋体"/>
                <w:color w:val="auto"/>
                <w:szCs w:val="21"/>
                <w:highlight w:val="none"/>
              </w:rPr>
            </w:pPr>
          </w:p>
        </w:tc>
        <w:tc>
          <w:tcPr>
            <w:tcW w:w="1812" w:type="dxa"/>
            <w:vAlign w:val="center"/>
          </w:tcPr>
          <w:p w14:paraId="3F7D8EC9">
            <w:pPr>
              <w:shd w:val="clear"/>
              <w:adjustRightInd w:val="0"/>
              <w:snapToGrid w:val="0"/>
              <w:spacing w:line="360" w:lineRule="auto"/>
              <w:jc w:val="center"/>
              <w:rPr>
                <w:rFonts w:ascii="宋体" w:hAnsi="宋体"/>
                <w:color w:val="auto"/>
                <w:szCs w:val="21"/>
                <w:highlight w:val="none"/>
              </w:rPr>
            </w:pPr>
          </w:p>
        </w:tc>
        <w:tc>
          <w:tcPr>
            <w:tcW w:w="1259" w:type="dxa"/>
            <w:vAlign w:val="center"/>
          </w:tcPr>
          <w:p w14:paraId="76111434">
            <w:pPr>
              <w:shd w:val="clear"/>
              <w:adjustRightInd w:val="0"/>
              <w:snapToGrid w:val="0"/>
              <w:spacing w:line="360" w:lineRule="auto"/>
              <w:jc w:val="center"/>
              <w:rPr>
                <w:rFonts w:ascii="宋体" w:hAnsi="宋体"/>
                <w:color w:val="auto"/>
                <w:szCs w:val="21"/>
                <w:highlight w:val="none"/>
              </w:rPr>
            </w:pPr>
          </w:p>
        </w:tc>
        <w:tc>
          <w:tcPr>
            <w:tcW w:w="1258" w:type="dxa"/>
            <w:vAlign w:val="center"/>
          </w:tcPr>
          <w:p w14:paraId="347FF214">
            <w:pPr>
              <w:shd w:val="clear"/>
              <w:adjustRightInd w:val="0"/>
              <w:snapToGrid w:val="0"/>
              <w:spacing w:line="360" w:lineRule="auto"/>
              <w:jc w:val="center"/>
              <w:rPr>
                <w:rFonts w:ascii="宋体" w:hAnsi="宋体"/>
                <w:color w:val="auto"/>
                <w:szCs w:val="21"/>
                <w:highlight w:val="none"/>
              </w:rPr>
            </w:pPr>
          </w:p>
        </w:tc>
        <w:tc>
          <w:tcPr>
            <w:tcW w:w="868" w:type="dxa"/>
            <w:vAlign w:val="center"/>
          </w:tcPr>
          <w:p w14:paraId="1838D72D">
            <w:pPr>
              <w:shd w:val="clear"/>
              <w:adjustRightInd w:val="0"/>
              <w:snapToGrid w:val="0"/>
              <w:spacing w:line="360" w:lineRule="auto"/>
              <w:jc w:val="center"/>
              <w:rPr>
                <w:rFonts w:ascii="宋体" w:hAnsi="宋体"/>
                <w:color w:val="auto"/>
                <w:szCs w:val="21"/>
                <w:highlight w:val="none"/>
              </w:rPr>
            </w:pPr>
          </w:p>
        </w:tc>
        <w:tc>
          <w:tcPr>
            <w:tcW w:w="916" w:type="dxa"/>
            <w:vAlign w:val="center"/>
          </w:tcPr>
          <w:p w14:paraId="7842D38D">
            <w:pPr>
              <w:shd w:val="clear"/>
              <w:adjustRightInd w:val="0"/>
              <w:snapToGrid w:val="0"/>
              <w:spacing w:line="360" w:lineRule="auto"/>
              <w:jc w:val="center"/>
              <w:rPr>
                <w:rFonts w:ascii="宋体" w:hAnsi="宋体"/>
                <w:color w:val="auto"/>
                <w:szCs w:val="21"/>
                <w:highlight w:val="none"/>
              </w:rPr>
            </w:pPr>
          </w:p>
        </w:tc>
      </w:tr>
      <w:tr w14:paraId="2FB8DF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7" w:type="dxa"/>
            <w:vAlign w:val="center"/>
          </w:tcPr>
          <w:p w14:paraId="5CF99001">
            <w:pPr>
              <w:shd w:val="clear"/>
              <w:adjustRightInd w:val="0"/>
              <w:snapToGrid w:val="0"/>
              <w:spacing w:line="360" w:lineRule="auto"/>
              <w:jc w:val="center"/>
              <w:rPr>
                <w:rFonts w:ascii="宋体" w:hAnsi="宋体"/>
                <w:color w:val="auto"/>
                <w:szCs w:val="21"/>
                <w:highlight w:val="none"/>
              </w:rPr>
            </w:pPr>
          </w:p>
        </w:tc>
        <w:tc>
          <w:tcPr>
            <w:tcW w:w="1480" w:type="dxa"/>
            <w:vAlign w:val="center"/>
          </w:tcPr>
          <w:p w14:paraId="6C826D88">
            <w:pPr>
              <w:shd w:val="clear"/>
              <w:adjustRightInd w:val="0"/>
              <w:snapToGrid w:val="0"/>
              <w:spacing w:line="360" w:lineRule="auto"/>
              <w:jc w:val="center"/>
              <w:rPr>
                <w:rFonts w:ascii="宋体" w:hAnsi="宋体"/>
                <w:color w:val="auto"/>
                <w:szCs w:val="21"/>
                <w:highlight w:val="none"/>
              </w:rPr>
            </w:pPr>
          </w:p>
        </w:tc>
        <w:tc>
          <w:tcPr>
            <w:tcW w:w="1812" w:type="dxa"/>
            <w:vAlign w:val="center"/>
          </w:tcPr>
          <w:p w14:paraId="1391E9A3">
            <w:pPr>
              <w:shd w:val="clear"/>
              <w:adjustRightInd w:val="0"/>
              <w:snapToGrid w:val="0"/>
              <w:spacing w:line="360" w:lineRule="auto"/>
              <w:jc w:val="center"/>
              <w:rPr>
                <w:rFonts w:ascii="宋体" w:hAnsi="宋体"/>
                <w:color w:val="auto"/>
                <w:szCs w:val="21"/>
                <w:highlight w:val="none"/>
              </w:rPr>
            </w:pPr>
          </w:p>
        </w:tc>
        <w:tc>
          <w:tcPr>
            <w:tcW w:w="1259" w:type="dxa"/>
            <w:vAlign w:val="center"/>
          </w:tcPr>
          <w:p w14:paraId="69733A12">
            <w:pPr>
              <w:shd w:val="clear"/>
              <w:adjustRightInd w:val="0"/>
              <w:snapToGrid w:val="0"/>
              <w:spacing w:line="360" w:lineRule="auto"/>
              <w:jc w:val="center"/>
              <w:rPr>
                <w:rFonts w:ascii="宋体" w:hAnsi="宋体"/>
                <w:color w:val="auto"/>
                <w:szCs w:val="21"/>
                <w:highlight w:val="none"/>
              </w:rPr>
            </w:pPr>
          </w:p>
        </w:tc>
        <w:tc>
          <w:tcPr>
            <w:tcW w:w="1258" w:type="dxa"/>
            <w:vAlign w:val="center"/>
          </w:tcPr>
          <w:p w14:paraId="74087539">
            <w:pPr>
              <w:shd w:val="clear"/>
              <w:adjustRightInd w:val="0"/>
              <w:snapToGrid w:val="0"/>
              <w:spacing w:line="360" w:lineRule="auto"/>
              <w:jc w:val="center"/>
              <w:rPr>
                <w:rFonts w:ascii="宋体" w:hAnsi="宋体"/>
                <w:color w:val="auto"/>
                <w:szCs w:val="21"/>
                <w:highlight w:val="none"/>
              </w:rPr>
            </w:pPr>
          </w:p>
        </w:tc>
        <w:tc>
          <w:tcPr>
            <w:tcW w:w="868" w:type="dxa"/>
            <w:vAlign w:val="center"/>
          </w:tcPr>
          <w:p w14:paraId="54AA1177">
            <w:pPr>
              <w:shd w:val="clear"/>
              <w:adjustRightInd w:val="0"/>
              <w:snapToGrid w:val="0"/>
              <w:spacing w:line="360" w:lineRule="auto"/>
              <w:jc w:val="center"/>
              <w:rPr>
                <w:rFonts w:ascii="宋体" w:hAnsi="宋体"/>
                <w:color w:val="auto"/>
                <w:szCs w:val="21"/>
                <w:highlight w:val="none"/>
              </w:rPr>
            </w:pPr>
          </w:p>
        </w:tc>
        <w:tc>
          <w:tcPr>
            <w:tcW w:w="916" w:type="dxa"/>
            <w:vAlign w:val="center"/>
          </w:tcPr>
          <w:p w14:paraId="15794643">
            <w:pPr>
              <w:shd w:val="clear"/>
              <w:adjustRightInd w:val="0"/>
              <w:snapToGrid w:val="0"/>
              <w:spacing w:line="360" w:lineRule="auto"/>
              <w:jc w:val="center"/>
              <w:rPr>
                <w:rFonts w:ascii="宋体" w:hAnsi="宋体"/>
                <w:color w:val="auto"/>
                <w:szCs w:val="21"/>
                <w:highlight w:val="none"/>
              </w:rPr>
            </w:pPr>
          </w:p>
        </w:tc>
      </w:tr>
      <w:tr w14:paraId="49277C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8510" w:type="dxa"/>
            <w:gridSpan w:val="7"/>
            <w:vAlign w:val="center"/>
          </w:tcPr>
          <w:p w14:paraId="6CB61BEC">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合同金额小写：</w:t>
            </w:r>
          </w:p>
          <w:p w14:paraId="4FFA43D2">
            <w:pPr>
              <w:shd w:val="clear"/>
              <w:adjustRightInd w:val="0"/>
              <w:snapToGrid w:val="0"/>
              <w:spacing w:line="360" w:lineRule="auto"/>
              <w:ind w:firstLine="840" w:firstLineChars="400"/>
              <w:rPr>
                <w:rFonts w:ascii="宋体" w:hAnsi="宋体"/>
                <w:color w:val="auto"/>
                <w:szCs w:val="21"/>
                <w:highlight w:val="none"/>
              </w:rPr>
            </w:pPr>
            <w:r>
              <w:rPr>
                <w:rFonts w:hint="eastAsia" w:ascii="宋体" w:hAnsi="宋体"/>
                <w:color w:val="auto"/>
                <w:szCs w:val="21"/>
                <w:highlight w:val="none"/>
              </w:rPr>
              <w:t>大写：</w:t>
            </w:r>
          </w:p>
        </w:tc>
      </w:tr>
    </w:tbl>
    <w:p w14:paraId="49775411">
      <w:pPr>
        <w:shd w:val="clear"/>
        <w:adjustRightInd w:val="0"/>
        <w:snapToGrid w:val="0"/>
        <w:spacing w:line="360" w:lineRule="auto"/>
        <w:ind w:firstLine="422" w:firstLineChars="200"/>
        <w:rPr>
          <w:rFonts w:ascii="宋体" w:hAnsi="宋体"/>
          <w:color w:val="auto"/>
          <w:szCs w:val="21"/>
          <w:highlight w:val="none"/>
          <w:u w:val="single"/>
        </w:rPr>
      </w:pPr>
      <w:r>
        <w:rPr>
          <w:rFonts w:hint="eastAsia" w:ascii="宋体" w:hAnsi="宋体"/>
          <w:b/>
          <w:color w:val="auto"/>
          <w:szCs w:val="21"/>
          <w:highlight w:val="none"/>
        </w:rPr>
        <w:t>3.履行合同的期限、地点及方式：</w:t>
      </w:r>
    </w:p>
    <w:p w14:paraId="53EC3C6C">
      <w:pPr>
        <w:shd w:val="clea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4.付款：</w:t>
      </w:r>
      <w:r>
        <w:rPr>
          <w:rFonts w:hint="eastAsia" w:ascii="宋体" w:hAnsi="宋体"/>
          <w:color w:val="auto"/>
          <w:szCs w:val="21"/>
          <w:highlight w:val="none"/>
        </w:rPr>
        <w:t>。</w:t>
      </w:r>
    </w:p>
    <w:p w14:paraId="38952532">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5.履约验收方式：</w:t>
      </w:r>
    </w:p>
    <w:p w14:paraId="20D00640">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6.解决合同纠纷方式</w:t>
      </w:r>
    </w:p>
    <w:p w14:paraId="6A8B83A1">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首先通过双方协商解决，协商解决不成，则通过以下途径之一解决纠纷：</w:t>
      </w:r>
    </w:p>
    <w:p w14:paraId="2D779F3C">
      <w:pPr>
        <w:shd w:val="clear"/>
        <w:adjustRightInd w:val="0"/>
        <w:snapToGrid w:val="0"/>
        <w:spacing w:line="360" w:lineRule="auto"/>
        <w:ind w:firstLine="840" w:firstLineChars="400"/>
        <w:rPr>
          <w:rFonts w:ascii="宋体" w:hAnsi="宋体"/>
          <w:color w:val="auto"/>
          <w:szCs w:val="21"/>
          <w:highlight w:val="none"/>
        </w:rPr>
      </w:pPr>
      <w:r>
        <w:rPr>
          <w:rFonts w:hint="eastAsia" w:ascii="宋体" w:hAnsi="宋体"/>
          <w:color w:val="auto"/>
          <w:szCs w:val="21"/>
          <w:highlight w:val="none"/>
        </w:rPr>
        <w:t>□ 提请仲裁       □ 向人民法院提起诉讼</w:t>
      </w:r>
    </w:p>
    <w:p w14:paraId="60632AE1">
      <w:pPr>
        <w:shd w:val="clea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7.组成合同的文件</w:t>
      </w:r>
    </w:p>
    <w:p w14:paraId="5761CC80">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合同由以下文件构成，如下述文件之间有任何抵触、矛盾或歧义，应按以下顺序解释：</w:t>
      </w:r>
    </w:p>
    <w:p w14:paraId="11F87994">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349267A7">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（2）本合同协议书</w:t>
      </w:r>
    </w:p>
    <w:p w14:paraId="5C443792">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（3）中标通知书</w:t>
      </w:r>
    </w:p>
    <w:p w14:paraId="2C0D68F4">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（4）采购合同格式条款</w:t>
      </w:r>
    </w:p>
    <w:p w14:paraId="3758CD72">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（5）投标文件</w:t>
      </w:r>
    </w:p>
    <w:p w14:paraId="4DE1A9AA">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（6）招标文件</w:t>
      </w:r>
    </w:p>
    <w:p w14:paraId="13E8561E">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（7）标准、规范及有关技术文件</w:t>
      </w:r>
    </w:p>
    <w:p w14:paraId="32AC72E5">
      <w:pPr>
        <w:shd w:val="clear"/>
        <w:adjustRightInd w:val="0"/>
        <w:snapToGrid w:val="0"/>
        <w:spacing w:line="360" w:lineRule="auto"/>
        <w:rPr>
          <w:rFonts w:ascii="宋体" w:hAnsi="宋体"/>
          <w:color w:val="auto"/>
          <w:szCs w:val="21"/>
          <w:highlight w:val="none"/>
        </w:rPr>
      </w:pPr>
    </w:p>
    <w:p w14:paraId="5D3A3DB2">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合同订立时间：年月日</w:t>
      </w:r>
    </w:p>
    <w:p w14:paraId="360205AB">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合同订立地点：</w:t>
      </w:r>
    </w:p>
    <w:p w14:paraId="5C2EFDF1">
      <w:pPr>
        <w:shd w:val="clear"/>
        <w:adjustRightInd w:val="0"/>
        <w:snapToGrid w:val="0"/>
        <w:spacing w:line="360" w:lineRule="auto"/>
        <w:ind w:firstLine="420" w:firstLineChars="200"/>
        <w:rPr>
          <w:rFonts w:ascii="宋体" w:hAnsi="宋体"/>
          <w:color w:val="auto"/>
          <w:szCs w:val="21"/>
          <w:highlight w:val="none"/>
        </w:rPr>
      </w:pPr>
    </w:p>
    <w:p w14:paraId="1BE53444">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甲      方：（公章）                     乙      方：（公章）</w:t>
      </w:r>
    </w:p>
    <w:p w14:paraId="6661E740">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法定代表人：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法定代表人：</w:t>
      </w:r>
    </w:p>
    <w:p w14:paraId="39580B36">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委托代理人：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委托代理人：</w:t>
      </w:r>
    </w:p>
    <w:p w14:paraId="2FE4A63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电      话：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电      话：</w:t>
      </w:r>
    </w:p>
    <w:p w14:paraId="3819201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传      真：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传      真：</w:t>
      </w:r>
    </w:p>
    <w:p w14:paraId="046D5035">
      <w:pPr>
        <w:shd w:val="clea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开 户 银 行：</w:t>
      </w:r>
    </w:p>
    <w:p w14:paraId="1A9683C8">
      <w:pPr>
        <w:shd w:val="clear"/>
        <w:adjustRightInd w:val="0"/>
        <w:snapToGrid w:val="0"/>
        <w:spacing w:before="156" w:beforeLines="50" w:line="360" w:lineRule="auto"/>
        <w:jc w:val="center"/>
        <w:rPr>
          <w:rFonts w:ascii="宋体" w:hAnsi="宋体"/>
          <w:color w:val="auto"/>
          <w:szCs w:val="21"/>
          <w:highlight w:val="none"/>
          <w:u w:val="singl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帐       号：</w:t>
      </w:r>
    </w:p>
    <w:p w14:paraId="43BC5D54">
      <w:pPr>
        <w:pStyle w:val="17"/>
        <w:shd w:val="clear"/>
        <w:rPr>
          <w:color w:val="auto"/>
          <w:highlight w:val="none"/>
        </w:rPr>
      </w:pPr>
    </w:p>
    <w:p w14:paraId="471AA959">
      <w:pPr>
        <w:pStyle w:val="34"/>
        <w:shd w:val="clear"/>
        <w:rPr>
          <w:color w:val="auto"/>
          <w:highlight w:val="none"/>
        </w:rPr>
      </w:pPr>
    </w:p>
    <w:p w14:paraId="7BB4E130">
      <w:pPr>
        <w:shd w:val="clear"/>
        <w:rPr>
          <w:color w:val="auto"/>
          <w:highlight w:val="none"/>
        </w:rPr>
      </w:pPr>
      <w:r>
        <w:rPr>
          <w:color w:val="auto"/>
          <w:highlight w:val="none"/>
        </w:rPr>
        <w:br w:type="page"/>
      </w:r>
    </w:p>
    <w:p w14:paraId="728CBDCE">
      <w:pPr>
        <w:shd w:val="clear"/>
        <w:jc w:val="center"/>
        <w:rPr>
          <w:rFonts w:ascii="宋体" w:hAnsi="宋体" w:cs="宋体"/>
          <w:b/>
          <w:color w:val="auto"/>
          <w:sz w:val="24"/>
          <w:highlight w:val="none"/>
        </w:rPr>
      </w:pPr>
      <w:r>
        <w:rPr>
          <w:rFonts w:hint="eastAsia" w:ascii="宋体" w:hAnsi="宋体" w:cs="宋体"/>
          <w:b/>
          <w:color w:val="auto"/>
          <w:sz w:val="24"/>
          <w:highlight w:val="none"/>
        </w:rPr>
        <w:t>第二节 政府采购合同通用条款</w:t>
      </w:r>
    </w:p>
    <w:p w14:paraId="4E596C8D">
      <w:pPr>
        <w:shd w:val="clear"/>
        <w:tabs>
          <w:tab w:val="left" w:pos="8820"/>
          <w:tab w:val="left" w:pos="9345"/>
          <w:tab w:val="left" w:pos="9765"/>
        </w:tabs>
        <w:adjustRightInd w:val="0"/>
        <w:snapToGrid w:val="0"/>
        <w:spacing w:before="50" w:line="360" w:lineRule="auto"/>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1DA4485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317FEC5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b/>
          <w:color w:val="auto"/>
          <w:szCs w:val="21"/>
          <w:highlight w:val="none"/>
        </w:rPr>
        <w:t>【政府采购合同专用条款】。</w:t>
      </w:r>
    </w:p>
    <w:p w14:paraId="58F4E86A">
      <w:pPr>
        <w:shd w:val="clear"/>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14:paraId="1DCF1345">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281F8E85">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7DC266A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1058F47F">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2FDA71F4">
      <w:pPr>
        <w:shd w:val="clear"/>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（4）“伴随服务”系指根据本合同规定乙方承担与供货有关的辅助服务，如运输、保</w:t>
      </w:r>
      <w:r>
        <w:rPr>
          <w:rFonts w:hint="eastAsia" w:ascii="宋体" w:hAnsi="宋体"/>
          <w:color w:val="auto"/>
          <w:spacing w:val="2"/>
          <w:szCs w:val="21"/>
          <w:highlight w:val="none"/>
        </w:rPr>
        <w:t>险以及其它的伴随服务，例如安装、调试、提供技术</w:t>
      </w:r>
      <w:r>
        <w:rPr>
          <w:rFonts w:hint="eastAsia" w:ascii="宋体" w:hAnsi="宋体"/>
          <w:color w:val="auto"/>
          <w:szCs w:val="21"/>
          <w:highlight w:val="none"/>
        </w:rPr>
        <w:t>协</w:t>
      </w:r>
      <w:r>
        <w:rPr>
          <w:rFonts w:hint="eastAsia" w:ascii="宋体" w:hAnsi="宋体"/>
          <w:color w:val="auto"/>
          <w:spacing w:val="2"/>
          <w:szCs w:val="21"/>
          <w:highlight w:val="none"/>
        </w:rPr>
        <w:t>助、培训和合同中规定</w:t>
      </w:r>
      <w:r>
        <w:rPr>
          <w:rFonts w:hint="eastAsia" w:ascii="宋体" w:hAnsi="宋体"/>
          <w:color w:val="auto"/>
          <w:szCs w:val="21"/>
          <w:highlight w:val="none"/>
        </w:rPr>
        <w:t>乙方应承担的其它义务。</w:t>
      </w:r>
    </w:p>
    <w:p w14:paraId="1AC22937">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（5）“合同条款”系指本合同条款。</w:t>
      </w:r>
    </w:p>
    <w:p w14:paraId="2DCFBBCB">
      <w:pPr>
        <w:shd w:val="clea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485665E">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2.合同的适用范围</w:t>
      </w:r>
    </w:p>
    <w:p w14:paraId="6E7141F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25C9D5D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合同内容根据招标文件、投标文件而确定。</w:t>
      </w:r>
    </w:p>
    <w:p w14:paraId="1DFA0CF3">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14:paraId="71A7A33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合同标的及金额应与中标结果一致。</w:t>
      </w:r>
    </w:p>
    <w:p w14:paraId="42C31095">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14:paraId="40A85C90">
      <w:pPr>
        <w:shd w:val="clear"/>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79B7A20E">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5.履行合同的时间、地点和方式</w:t>
      </w:r>
    </w:p>
    <w:p w14:paraId="675B4EB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170A805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乙方提供服务的应当在甲方指定的地点完成服务项目。</w:t>
      </w:r>
    </w:p>
    <w:p w14:paraId="6BBABD96">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14:paraId="5D4622E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1B865C9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5AD5A15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660FBF2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20D16A9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05D654C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4AFB21C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14:paraId="624E1F28">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7.货物包装要求</w:t>
      </w:r>
    </w:p>
    <w:p w14:paraId="40C54B6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30428EE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2BBCBFF0">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8.运输和保险</w:t>
      </w:r>
    </w:p>
    <w:p w14:paraId="72A72620">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082349D7">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00DD512D">
      <w:pPr>
        <w:shd w:val="clear"/>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9.质量标准和保证</w:t>
      </w:r>
    </w:p>
    <w:p w14:paraId="73955A51">
      <w:pPr>
        <w:pStyle w:val="23"/>
        <w:shd w:val="clear"/>
        <w:adjustRightInd w:val="0"/>
        <w:snapToGrid w:val="0"/>
        <w:spacing w:before="50" w:line="360" w:lineRule="auto"/>
        <w:ind w:firstLine="400" w:firstLineChars="200"/>
        <w:jc w:val="left"/>
        <w:rPr>
          <w:rFonts w:hAnsi="宋体"/>
          <w:b/>
          <w:color w:val="auto"/>
          <w:highlight w:val="none"/>
        </w:rPr>
      </w:pPr>
      <w:r>
        <w:rPr>
          <w:rFonts w:hint="eastAsia" w:hAnsi="宋体"/>
          <w:color w:val="auto"/>
          <w:highlight w:val="none"/>
        </w:rPr>
        <w:t>9.1 质量标准</w:t>
      </w:r>
    </w:p>
    <w:p w14:paraId="3C7A948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（1）本合同下交付的货物应符合招标文件第五章“采购需求”所述的标准。如果没有提及适用标准，则应符合中华人民共和国有关机构发布的最新版本的标准。</w:t>
      </w:r>
    </w:p>
    <w:p w14:paraId="4D0CBE3F">
      <w:pPr>
        <w:pStyle w:val="23"/>
        <w:shd w:val="clear"/>
        <w:adjustRightInd w:val="0"/>
        <w:snapToGrid w:val="0"/>
        <w:spacing w:before="50" w:line="360" w:lineRule="auto"/>
        <w:ind w:firstLine="400" w:firstLineChars="200"/>
        <w:jc w:val="left"/>
        <w:rPr>
          <w:rFonts w:hAnsi="宋体"/>
          <w:color w:val="auto"/>
          <w:highlight w:val="none"/>
        </w:rPr>
      </w:pPr>
      <w:r>
        <w:rPr>
          <w:rFonts w:hint="eastAsia" w:hAnsi="宋体"/>
          <w:color w:val="auto"/>
          <w:highlight w:val="none"/>
        </w:rPr>
        <w:t>（2）采用中华人民共和国法定计量单位。</w:t>
      </w:r>
    </w:p>
    <w:p w14:paraId="2562D95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14:paraId="5EAF27D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37A3961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222736D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3D23251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38ECD51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1E83E289">
      <w:pPr>
        <w:shd w:val="clear"/>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14:paraId="39ED57CA">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10.权利瑕疵担保</w:t>
      </w:r>
    </w:p>
    <w:p w14:paraId="4290CA0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乙方保证对其出售的货物享有合法的权利。</w:t>
      </w:r>
    </w:p>
    <w:p w14:paraId="41E7493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14:paraId="1FEE143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14:paraId="0CFD5FB6">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11.知识产权保护</w:t>
      </w:r>
    </w:p>
    <w:p w14:paraId="2AD746F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05ACFDD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200D6B8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5AFB987B">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12.保密义务</w:t>
      </w:r>
    </w:p>
    <w:p w14:paraId="7BB6F2E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7C488183">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13.合同价款支付</w:t>
      </w:r>
    </w:p>
    <w:p w14:paraId="59405621">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09721DF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247DE662">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合同价款构成中应当由甲方自行支付的部分，甲方应当在货物验收合格后十五个工作</w:t>
      </w:r>
      <w:r>
        <w:rPr>
          <w:rFonts w:hint="eastAsia" w:ascii="宋体" w:hAnsi="宋体"/>
          <w:color w:val="auto"/>
          <w:szCs w:val="21"/>
          <w:highlight w:val="none"/>
          <w:lang w:val="en-US" w:eastAsia="zh-CN"/>
        </w:rPr>
        <w:t>日</w:t>
      </w:r>
      <w:r>
        <w:rPr>
          <w:rFonts w:hint="eastAsia" w:ascii="宋体" w:hAnsi="宋体"/>
          <w:color w:val="auto"/>
          <w:szCs w:val="21"/>
          <w:highlight w:val="none"/>
        </w:rPr>
        <w:t>内支付。</w:t>
      </w:r>
    </w:p>
    <w:p w14:paraId="19972F48">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3EDA5D3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3B63279F">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14.</w:t>
      </w:r>
      <w:r>
        <w:rPr>
          <w:rFonts w:hint="eastAsia" w:ascii="宋体" w:hAnsi="宋体"/>
          <w:b/>
          <w:color w:val="auto"/>
          <w:sz w:val="24"/>
          <w:highlight w:val="none"/>
        </w:rPr>
        <w:t>伴随服务</w:t>
      </w:r>
    </w:p>
    <w:p w14:paraId="4CEFD1F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3606F66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乙方还应提供下列服务：</w:t>
      </w:r>
    </w:p>
    <w:p w14:paraId="4CA6F33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76D71CD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42CA16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6D1E097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30EB43B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与招标文件第五章采购需求规定的其他伴随服务。</w:t>
      </w:r>
    </w:p>
    <w:p w14:paraId="713609F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乙方提供的伴随服务的费用应包含在合同价款中，甲方不再另行支付。</w:t>
      </w:r>
    </w:p>
    <w:p w14:paraId="29E9C902">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15.违约责任</w:t>
      </w:r>
    </w:p>
    <w:p w14:paraId="595B83DC">
      <w:pPr>
        <w:shd w:val="clea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7BD9800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78364E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①乙方同意退货并将货款退还给甲方，由此发生的一切费用和损失由乙方承担。</w:t>
      </w:r>
    </w:p>
    <w:p w14:paraId="20C60CD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14:paraId="7929DC62">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9E4E83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5EB0F91">
      <w:pPr>
        <w:shd w:val="clear"/>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6D9F353F">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288233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AF1112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022F6B28">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16.合同的变更</w:t>
      </w:r>
    </w:p>
    <w:p w14:paraId="44C6EC2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5A8E2129">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3EAAADA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34A9995D">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17.合同中止与终止</w:t>
      </w:r>
    </w:p>
    <w:p w14:paraId="084D10B2">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5DE2D0A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4330C32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30926A26">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45329E4B">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26025F0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38853F1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0F3641DC">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25C517EE">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1F12FAC0">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18.合同转让和分包</w:t>
      </w:r>
    </w:p>
    <w:p w14:paraId="00D96270">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24914F8D">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7A71C901">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19.不可抗力</w:t>
      </w:r>
    </w:p>
    <w:p w14:paraId="02238E2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3823DA6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7A49B38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45EBD0F4">
      <w:pPr>
        <w:shd w:val="clear"/>
        <w:autoSpaceDE w:val="0"/>
        <w:autoSpaceDN w:val="0"/>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20.解决争议的方法</w:t>
      </w:r>
    </w:p>
    <w:p w14:paraId="05DEED17">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706F16FA">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调解不成可以按</w:t>
      </w:r>
      <w:r>
        <w:rPr>
          <w:rFonts w:hint="eastAsia" w:ascii="宋体" w:hAnsi="宋体"/>
          <w:b/>
          <w:color w:val="auto"/>
          <w:szCs w:val="21"/>
          <w:highlight w:val="none"/>
        </w:rPr>
        <w:t>【政府采购合同专用条款】</w:t>
      </w:r>
      <w:r>
        <w:rPr>
          <w:rFonts w:hint="eastAsia" w:ascii="宋体" w:hAnsi="宋体"/>
          <w:color w:val="auto"/>
          <w:szCs w:val="21"/>
          <w:highlight w:val="none"/>
        </w:rPr>
        <w:t>中约定中规定下列方式之一提起仲裁或诉讼：</w:t>
      </w:r>
    </w:p>
    <w:p w14:paraId="78D22BA6">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（1）向甲方所在地仲裁机构提起仲裁；</w:t>
      </w:r>
    </w:p>
    <w:p w14:paraId="4239F698">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（2）向甲方所在地人民法院提起诉讼。</w:t>
      </w:r>
    </w:p>
    <w:p w14:paraId="571F85D1">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07C04EC5">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color w:val="auto"/>
          <w:sz w:val="24"/>
          <w:highlight w:val="none"/>
        </w:rPr>
        <w:t>21.法律适用</w:t>
      </w:r>
    </w:p>
    <w:p w14:paraId="22056985">
      <w:pPr>
        <w:shd w:val="clea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64D456BF">
      <w:pPr>
        <w:shd w:val="clear"/>
        <w:autoSpaceDE w:val="0"/>
        <w:autoSpaceDN w:val="0"/>
        <w:adjustRightInd w:val="0"/>
        <w:snapToGrid w:val="0"/>
        <w:spacing w:before="50" w:line="360" w:lineRule="auto"/>
        <w:jc w:val="left"/>
        <w:rPr>
          <w:rFonts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14:paraId="3FB6E28F">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0FFF4B61">
      <w:pPr>
        <w:shd w:val="clea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22292A87">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23. 合同未尽事项</w:t>
      </w:r>
    </w:p>
    <w:p w14:paraId="6569E4C1">
      <w:pPr>
        <w:shd w:val="clea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2FE89BBC">
      <w:pPr>
        <w:shd w:val="clear"/>
        <w:adjustRightInd w:val="0"/>
        <w:snapToGrid w:val="0"/>
        <w:spacing w:before="50" w:line="360" w:lineRule="auto"/>
        <w:jc w:val="left"/>
        <w:rPr>
          <w:rFonts w:ascii="宋体" w:hAnsi="宋体"/>
          <w:b/>
          <w:bCs/>
          <w:color w:val="auto"/>
          <w:sz w:val="24"/>
          <w:highlight w:val="none"/>
        </w:rPr>
      </w:pPr>
      <w:r>
        <w:rPr>
          <w:rFonts w:hint="eastAsia" w:ascii="宋体" w:hAnsi="宋体"/>
          <w:b/>
          <w:bCs/>
          <w:color w:val="auto"/>
          <w:sz w:val="24"/>
          <w:highlight w:val="none"/>
        </w:rPr>
        <w:t>24.合同生效</w:t>
      </w:r>
    </w:p>
    <w:p w14:paraId="20EBCF1D">
      <w:pPr>
        <w:shd w:val="clear"/>
        <w:autoSpaceDE w:val="0"/>
        <w:autoSpaceDN w:val="0"/>
        <w:adjustRightInd w:val="0"/>
        <w:snapToGrid w:val="0"/>
        <w:spacing w:before="50" w:line="360" w:lineRule="auto"/>
        <w:ind w:firstLine="420" w:firstLineChars="200"/>
        <w:jc w:val="left"/>
        <w:rPr>
          <w:rFonts w:ascii="黑体" w:hAnsi="黑体" w:eastAsia="黑体"/>
          <w:b/>
          <w:bCs/>
          <w:color w:val="auto"/>
          <w:sz w:val="32"/>
          <w:highlight w:val="none"/>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14:paraId="7BA2FE0A">
      <w:pPr>
        <w:shd w:val="clear"/>
        <w:jc w:val="center"/>
        <w:rPr>
          <w:rFonts w:ascii="宋体" w:hAnsi="宋体" w:cs="宋体"/>
          <w:b/>
          <w:color w:val="auto"/>
          <w:sz w:val="24"/>
          <w:highlight w:val="none"/>
        </w:rPr>
      </w:pPr>
      <w:bookmarkStart w:id="57" w:name="_Toc23520008"/>
    </w:p>
    <w:p w14:paraId="5B636DDA">
      <w:pPr>
        <w:shd w:val="clear"/>
        <w:jc w:val="center"/>
        <w:rPr>
          <w:rFonts w:ascii="宋体" w:hAnsi="宋体" w:cs="宋体"/>
          <w:b/>
          <w:color w:val="auto"/>
          <w:sz w:val="24"/>
          <w:highlight w:val="none"/>
        </w:rPr>
      </w:pPr>
      <w:r>
        <w:rPr>
          <w:rFonts w:hint="eastAsia" w:ascii="宋体" w:hAnsi="宋体" w:cs="宋体"/>
          <w:b/>
          <w:color w:val="auto"/>
          <w:sz w:val="24"/>
          <w:highlight w:val="none"/>
        </w:rPr>
        <w:t>第三节 政府采购合同专用条款</w:t>
      </w:r>
      <w:bookmarkEnd w:id="57"/>
    </w:p>
    <w:p w14:paraId="61115DE2">
      <w:pPr>
        <w:shd w:val="clear"/>
        <w:adjustRightInd w:val="0"/>
        <w:snapToGrid w:val="0"/>
        <w:spacing w:line="360" w:lineRule="auto"/>
        <w:jc w:val="center"/>
        <w:rPr>
          <w:rFonts w:ascii="宋体" w:hAnsi="宋体"/>
          <w:color w:val="auto"/>
          <w:sz w:val="24"/>
          <w:highlight w:val="none"/>
        </w:rPr>
      </w:pPr>
    </w:p>
    <w:tbl>
      <w:tblPr>
        <w:tblStyle w:val="43"/>
        <w:tblW w:w="9356"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812"/>
      </w:tblGrid>
      <w:tr w14:paraId="6BDC6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1701" w:type="dxa"/>
            <w:vAlign w:val="center"/>
          </w:tcPr>
          <w:p w14:paraId="1665A3B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264044F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第1.1款</w:t>
            </w:r>
          </w:p>
        </w:tc>
        <w:tc>
          <w:tcPr>
            <w:tcW w:w="1843" w:type="dxa"/>
            <w:vAlign w:val="center"/>
          </w:tcPr>
          <w:p w14:paraId="703FE2E5">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甲方名称、地址 </w:t>
            </w:r>
          </w:p>
        </w:tc>
        <w:tc>
          <w:tcPr>
            <w:tcW w:w="5812" w:type="dxa"/>
            <w:vAlign w:val="center"/>
          </w:tcPr>
          <w:p w14:paraId="50515E63">
            <w:pPr>
              <w:shd w:val="clea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采 购 人：</w:t>
            </w:r>
            <w:r>
              <w:rPr>
                <w:rFonts w:hint="eastAsia" w:ascii="宋体" w:hAnsi="宋体" w:cs="宋体"/>
                <w:color w:val="auto"/>
                <w:szCs w:val="21"/>
                <w:highlight w:val="none"/>
                <w:lang w:eastAsia="zh-CN"/>
              </w:rPr>
              <w:t>岳阳市君山区人民医院</w:t>
            </w:r>
          </w:p>
          <w:p w14:paraId="4559F62F">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单位地址：</w:t>
            </w:r>
            <w:r>
              <w:rPr>
                <w:rFonts w:hint="eastAsia" w:ascii="宋体" w:hAnsi="宋体" w:cs="宋体"/>
                <w:color w:val="auto"/>
                <w:szCs w:val="21"/>
                <w:highlight w:val="none"/>
                <w:lang w:eastAsia="zh-CN"/>
              </w:rPr>
              <w:t>岳阳市君山区旅游路</w:t>
            </w:r>
          </w:p>
        </w:tc>
      </w:tr>
      <w:tr w14:paraId="1DBD26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1C99157">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4903C28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第1.2（6）项</w:t>
            </w:r>
          </w:p>
        </w:tc>
        <w:tc>
          <w:tcPr>
            <w:tcW w:w="1843" w:type="dxa"/>
            <w:vAlign w:val="center"/>
          </w:tcPr>
          <w:p w14:paraId="0B19821A">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项目现场</w:t>
            </w:r>
          </w:p>
        </w:tc>
        <w:tc>
          <w:tcPr>
            <w:tcW w:w="5812" w:type="dxa"/>
            <w:vAlign w:val="center"/>
          </w:tcPr>
          <w:p w14:paraId="25C99C61">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采购人指定地点</w:t>
            </w:r>
          </w:p>
        </w:tc>
      </w:tr>
      <w:tr w14:paraId="2C58A3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928315A">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6CCB8CA3">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第5.1款</w:t>
            </w:r>
          </w:p>
        </w:tc>
        <w:tc>
          <w:tcPr>
            <w:tcW w:w="1843" w:type="dxa"/>
            <w:vAlign w:val="center"/>
          </w:tcPr>
          <w:p w14:paraId="6A2268E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履行合同的时间、地点及方式</w:t>
            </w:r>
          </w:p>
        </w:tc>
        <w:tc>
          <w:tcPr>
            <w:tcW w:w="5812" w:type="dxa"/>
            <w:vAlign w:val="center"/>
          </w:tcPr>
          <w:p w14:paraId="5F5E11B5">
            <w:pPr>
              <w:widowControl/>
              <w:numPr>
                <w:ilvl w:val="0"/>
                <w:numId w:val="5"/>
              </w:numPr>
              <w:shd w:val="clear"/>
              <w:spacing w:line="440" w:lineRule="exact"/>
              <w:jc w:val="left"/>
              <w:rPr>
                <w:rFonts w:hint="eastAsia"/>
                <w:color w:val="auto"/>
                <w:highlight w:val="none"/>
              </w:rPr>
            </w:pPr>
            <w:r>
              <w:rPr>
                <w:rFonts w:hint="eastAsia"/>
                <w:color w:val="auto"/>
                <w:highlight w:val="none"/>
              </w:rPr>
              <w:t>交货时间：</w:t>
            </w:r>
            <w:r>
              <w:rPr>
                <w:rFonts w:hint="eastAsia"/>
                <w:color w:val="auto"/>
                <w:highlight w:val="none"/>
                <w:lang w:eastAsia="zh-CN"/>
              </w:rPr>
              <w:t>自签订合同之日起30天内完成供货要求</w:t>
            </w:r>
            <w:r>
              <w:rPr>
                <w:rFonts w:hint="eastAsia"/>
                <w:color w:val="auto"/>
                <w:highlight w:val="none"/>
              </w:rPr>
              <w:t>。</w:t>
            </w:r>
          </w:p>
          <w:p w14:paraId="0B37B1A3">
            <w:pPr>
              <w:widowControl/>
              <w:numPr>
                <w:ilvl w:val="0"/>
                <w:numId w:val="0"/>
              </w:numPr>
              <w:shd w:val="clear"/>
              <w:spacing w:line="440" w:lineRule="exact"/>
              <w:jc w:val="left"/>
              <w:rPr>
                <w:color w:val="auto"/>
                <w:highlight w:val="none"/>
              </w:rPr>
            </w:pPr>
            <w:r>
              <w:rPr>
                <w:rFonts w:hint="eastAsia"/>
                <w:color w:val="auto"/>
                <w:highlight w:val="none"/>
              </w:rPr>
              <w:t>2、</w:t>
            </w:r>
            <w:r>
              <w:rPr>
                <w:color w:val="auto"/>
                <w:highlight w:val="none"/>
              </w:rPr>
              <w:t>交付地点</w:t>
            </w:r>
            <w:r>
              <w:rPr>
                <w:rFonts w:hint="eastAsia"/>
                <w:color w:val="auto"/>
                <w:highlight w:val="none"/>
              </w:rPr>
              <w:t>：</w:t>
            </w:r>
            <w:r>
              <w:rPr>
                <w:color w:val="auto"/>
                <w:highlight w:val="none"/>
              </w:rPr>
              <w:t>供货地点由采购人确定</w:t>
            </w:r>
            <w:r>
              <w:rPr>
                <w:rFonts w:hint="eastAsia"/>
                <w:color w:val="auto"/>
                <w:highlight w:val="none"/>
              </w:rPr>
              <w:t>。</w:t>
            </w:r>
          </w:p>
          <w:p w14:paraId="18661AD3">
            <w:pPr>
              <w:widowControl/>
              <w:shd w:val="clear"/>
              <w:spacing w:line="440" w:lineRule="exact"/>
              <w:jc w:val="left"/>
              <w:rPr>
                <w:rFonts w:ascii="宋体" w:hAnsi="宋体"/>
                <w:color w:val="auto"/>
                <w:szCs w:val="21"/>
                <w:highlight w:val="none"/>
              </w:rPr>
            </w:pPr>
            <w:r>
              <w:rPr>
                <w:rFonts w:hint="eastAsia"/>
                <w:color w:val="auto"/>
                <w:highlight w:val="none"/>
              </w:rPr>
              <w:t>3、交货方式：本项目为交钥匙工程，所有货物安装调试并经用户代表验收合格（验收内容主要为：型号、规格、数量、外包装、性能等）</w:t>
            </w:r>
          </w:p>
        </w:tc>
      </w:tr>
      <w:tr w14:paraId="02AC7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5BD9532">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6260EB10">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第9.2（1）项</w:t>
            </w:r>
          </w:p>
        </w:tc>
        <w:tc>
          <w:tcPr>
            <w:tcW w:w="1843" w:type="dxa"/>
            <w:vAlign w:val="center"/>
          </w:tcPr>
          <w:p w14:paraId="28E4D090">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质量保证期</w:t>
            </w:r>
          </w:p>
        </w:tc>
        <w:tc>
          <w:tcPr>
            <w:tcW w:w="5812" w:type="dxa"/>
            <w:vAlign w:val="center"/>
          </w:tcPr>
          <w:p w14:paraId="11D930E0">
            <w:pPr>
              <w:shd w:val="clear"/>
              <w:autoSpaceDE w:val="0"/>
              <w:autoSpaceDN w:val="0"/>
              <w:adjustRightInd w:val="0"/>
              <w:snapToGrid w:val="0"/>
              <w:spacing w:line="360" w:lineRule="auto"/>
              <w:jc w:val="left"/>
              <w:rPr>
                <w:rFonts w:ascii="宋体" w:hAnsi="宋体"/>
                <w:color w:val="auto"/>
                <w:szCs w:val="21"/>
                <w:highlight w:val="none"/>
              </w:rPr>
            </w:pPr>
            <w:r>
              <w:rPr>
                <w:rFonts w:hint="eastAsia"/>
                <w:bCs/>
                <w:color w:val="auto"/>
                <w:highlight w:val="none"/>
              </w:rPr>
              <w:t>本项目质保期</w:t>
            </w:r>
            <w:r>
              <w:rPr>
                <w:rFonts w:hint="eastAsia"/>
                <w:bCs/>
                <w:color w:val="auto"/>
                <w:highlight w:val="none"/>
                <w:lang w:val="en-US" w:eastAsia="zh-CN"/>
              </w:rPr>
              <w:t>三</w:t>
            </w:r>
            <w:r>
              <w:rPr>
                <w:rFonts w:hint="eastAsia"/>
                <w:bCs/>
                <w:color w:val="auto"/>
                <w:highlight w:val="none"/>
              </w:rPr>
              <w:t>年，质保期内供应商提供本项目的免费售后服务</w:t>
            </w:r>
            <w:r>
              <w:rPr>
                <w:rFonts w:hint="eastAsia"/>
                <w:bCs/>
                <w:color w:val="auto"/>
                <w:highlight w:val="none"/>
              </w:rPr>
              <w:t>。</w:t>
            </w:r>
          </w:p>
        </w:tc>
      </w:tr>
      <w:tr w14:paraId="3C830D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E2715D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77909A0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第9.2（3）项</w:t>
            </w:r>
          </w:p>
        </w:tc>
        <w:tc>
          <w:tcPr>
            <w:tcW w:w="1843" w:type="dxa"/>
            <w:vAlign w:val="center"/>
          </w:tcPr>
          <w:p w14:paraId="66409457">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响应时间</w:t>
            </w:r>
          </w:p>
        </w:tc>
        <w:tc>
          <w:tcPr>
            <w:tcW w:w="5812" w:type="dxa"/>
            <w:vAlign w:val="center"/>
          </w:tcPr>
          <w:p w14:paraId="7A73BD6F">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详见第五章“采购需求”</w:t>
            </w:r>
          </w:p>
        </w:tc>
      </w:tr>
      <w:tr w14:paraId="0FA8CB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149CE7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5B6CD855">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第13.5款</w:t>
            </w:r>
          </w:p>
        </w:tc>
        <w:tc>
          <w:tcPr>
            <w:tcW w:w="1843" w:type="dxa"/>
            <w:vAlign w:val="center"/>
          </w:tcPr>
          <w:p w14:paraId="2DA45023">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合同价款支付方式</w:t>
            </w:r>
            <w:r>
              <w:rPr>
                <w:rFonts w:hint="eastAsia" w:ascii="宋体" w:hAnsi="宋体"/>
                <w:bCs/>
                <w:color w:val="auto"/>
                <w:szCs w:val="21"/>
                <w:highlight w:val="none"/>
              </w:rPr>
              <w:t>和条件</w:t>
            </w:r>
          </w:p>
        </w:tc>
        <w:tc>
          <w:tcPr>
            <w:tcW w:w="5812" w:type="dxa"/>
            <w:vAlign w:val="center"/>
          </w:tcPr>
          <w:p w14:paraId="4DB5EC97">
            <w:pPr>
              <w:shd w:val="clear"/>
              <w:adjustRightInd w:val="0"/>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详见第五章“采购需求”</w:t>
            </w:r>
          </w:p>
        </w:tc>
      </w:tr>
      <w:tr w14:paraId="7B3B19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9F998B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5F95C2FB">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第14.2（5）项</w:t>
            </w:r>
          </w:p>
        </w:tc>
        <w:tc>
          <w:tcPr>
            <w:tcW w:w="1843" w:type="dxa"/>
            <w:vAlign w:val="center"/>
          </w:tcPr>
          <w:p w14:paraId="1E3AA945">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伴随服务</w:t>
            </w:r>
          </w:p>
        </w:tc>
        <w:tc>
          <w:tcPr>
            <w:tcW w:w="5812" w:type="dxa"/>
            <w:vAlign w:val="center"/>
          </w:tcPr>
          <w:p w14:paraId="6745F026">
            <w:pPr>
              <w:shd w:val="clea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详见第五章“采购需求”</w:t>
            </w:r>
          </w:p>
        </w:tc>
      </w:tr>
      <w:tr w14:paraId="58ABD9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3AAE776">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0301F3BB">
            <w:pPr>
              <w:shd w:val="clear"/>
              <w:adjustRightInd w:val="0"/>
              <w:snapToGrid w:val="0"/>
              <w:spacing w:line="360" w:lineRule="auto"/>
              <w:jc w:val="center"/>
              <w:rPr>
                <w:rFonts w:ascii="宋体" w:hAnsi="宋体"/>
                <w:bCs/>
                <w:color w:val="auto"/>
                <w:szCs w:val="21"/>
                <w:highlight w:val="none"/>
              </w:rPr>
            </w:pPr>
            <w:r>
              <w:rPr>
                <w:rFonts w:hint="eastAsia" w:ascii="宋体" w:hAnsi="宋体"/>
                <w:color w:val="auto"/>
                <w:szCs w:val="21"/>
                <w:highlight w:val="none"/>
              </w:rPr>
              <w:t>第20.2款</w:t>
            </w:r>
          </w:p>
        </w:tc>
        <w:tc>
          <w:tcPr>
            <w:tcW w:w="1843" w:type="dxa"/>
            <w:vAlign w:val="center"/>
          </w:tcPr>
          <w:p w14:paraId="14C3A384">
            <w:pPr>
              <w:shd w:val="clear"/>
              <w:adjustRightInd w:val="0"/>
              <w:snapToGrid w:val="0"/>
              <w:spacing w:line="360" w:lineRule="auto"/>
              <w:jc w:val="left"/>
              <w:rPr>
                <w:rFonts w:ascii="宋体" w:hAnsi="宋体"/>
                <w:bCs/>
                <w:color w:val="auto"/>
                <w:szCs w:val="21"/>
                <w:highlight w:val="none"/>
              </w:rPr>
            </w:pPr>
            <w:r>
              <w:rPr>
                <w:rFonts w:hint="eastAsia" w:ascii="宋体" w:hAnsi="宋体"/>
                <w:color w:val="auto"/>
                <w:szCs w:val="21"/>
                <w:highlight w:val="none"/>
              </w:rPr>
              <w:t>解决争议的方式</w:t>
            </w:r>
          </w:p>
        </w:tc>
        <w:tc>
          <w:tcPr>
            <w:tcW w:w="5812" w:type="dxa"/>
            <w:vAlign w:val="center"/>
          </w:tcPr>
          <w:p w14:paraId="2E42B12E">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诉讼</w:t>
            </w:r>
          </w:p>
          <w:p w14:paraId="07922237">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 仲裁</w:t>
            </w:r>
          </w:p>
        </w:tc>
      </w:tr>
      <w:tr w14:paraId="7B7283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8DF296E">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第五章第二节</w:t>
            </w:r>
          </w:p>
          <w:p w14:paraId="726393FD">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第23.1款</w:t>
            </w:r>
          </w:p>
        </w:tc>
        <w:tc>
          <w:tcPr>
            <w:tcW w:w="1843" w:type="dxa"/>
            <w:vAlign w:val="center"/>
          </w:tcPr>
          <w:p w14:paraId="2AA12278">
            <w:pPr>
              <w:shd w:val="clear"/>
              <w:adjustRightInd w:val="0"/>
              <w:snapToGrid w:val="0"/>
              <w:spacing w:line="360" w:lineRule="auto"/>
              <w:jc w:val="left"/>
              <w:rPr>
                <w:rFonts w:ascii="宋体" w:hAnsi="宋体"/>
                <w:color w:val="auto"/>
                <w:szCs w:val="21"/>
                <w:highlight w:val="none"/>
              </w:rPr>
            </w:pPr>
            <w:r>
              <w:rPr>
                <w:rFonts w:hint="eastAsia" w:ascii="宋体" w:hAnsi="宋体"/>
                <w:bCs/>
                <w:color w:val="auto"/>
                <w:szCs w:val="21"/>
                <w:highlight w:val="none"/>
              </w:rPr>
              <w:t>合同未尽事项</w:t>
            </w:r>
          </w:p>
        </w:tc>
        <w:tc>
          <w:tcPr>
            <w:tcW w:w="5812" w:type="dxa"/>
            <w:vAlign w:val="center"/>
          </w:tcPr>
          <w:p w14:paraId="0E1A896F">
            <w:pPr>
              <w:shd w:val="clear"/>
              <w:adjustRightInd w:val="0"/>
              <w:snapToGrid w:val="0"/>
              <w:spacing w:line="360" w:lineRule="auto"/>
              <w:jc w:val="left"/>
              <w:rPr>
                <w:rFonts w:ascii="宋体" w:hAnsi="宋体"/>
                <w:color w:val="auto"/>
                <w:szCs w:val="21"/>
                <w:highlight w:val="none"/>
              </w:rPr>
            </w:pPr>
            <w:r>
              <w:rPr>
                <w:rFonts w:hint="eastAsia" w:ascii="宋体" w:hAnsi="宋体"/>
                <w:color w:val="auto"/>
                <w:szCs w:val="21"/>
                <w:highlight w:val="none"/>
              </w:rPr>
              <w:t>/</w:t>
            </w:r>
          </w:p>
        </w:tc>
      </w:tr>
    </w:tbl>
    <w:p w14:paraId="741C9EE7">
      <w:pPr>
        <w:shd w:val="clear"/>
        <w:adjustRightInd w:val="0"/>
        <w:snapToGrid w:val="0"/>
        <w:spacing w:line="360" w:lineRule="auto"/>
        <w:jc w:val="center"/>
        <w:rPr>
          <w:rFonts w:ascii="宋体" w:hAnsi="宋体"/>
          <w:color w:val="auto"/>
          <w:szCs w:val="21"/>
          <w:highlight w:val="none"/>
        </w:rPr>
      </w:pPr>
    </w:p>
    <w:p w14:paraId="210F87C5">
      <w:pPr>
        <w:shd w:val="clear"/>
        <w:adjustRightInd w:val="0"/>
        <w:snapToGrid w:val="0"/>
        <w:spacing w:line="360" w:lineRule="auto"/>
        <w:jc w:val="center"/>
        <w:rPr>
          <w:rFonts w:ascii="宋体" w:hAnsi="宋体"/>
          <w:color w:val="auto"/>
          <w:szCs w:val="21"/>
          <w:highlight w:val="none"/>
        </w:rPr>
      </w:pPr>
    </w:p>
    <w:p w14:paraId="7FB9B4D7">
      <w:pPr>
        <w:shd w:val="clear"/>
        <w:adjustRightInd w:val="0"/>
        <w:snapToGrid w:val="0"/>
        <w:spacing w:line="360" w:lineRule="auto"/>
        <w:jc w:val="center"/>
        <w:rPr>
          <w:rFonts w:ascii="宋体" w:hAnsi="宋体"/>
          <w:color w:val="auto"/>
          <w:szCs w:val="21"/>
          <w:highlight w:val="none"/>
        </w:rPr>
      </w:pPr>
    </w:p>
    <w:p w14:paraId="16DD6CB2">
      <w:pPr>
        <w:shd w:val="clear"/>
        <w:adjustRightInd w:val="0"/>
        <w:snapToGrid w:val="0"/>
        <w:spacing w:line="360" w:lineRule="auto"/>
        <w:jc w:val="center"/>
        <w:rPr>
          <w:rFonts w:ascii="宋体" w:hAnsi="宋体"/>
          <w:color w:val="auto"/>
          <w:szCs w:val="21"/>
          <w:highlight w:val="none"/>
        </w:rPr>
      </w:pPr>
    </w:p>
    <w:p w14:paraId="298D602E">
      <w:pPr>
        <w:shd w:val="clear"/>
        <w:adjustRightInd w:val="0"/>
        <w:snapToGrid w:val="0"/>
        <w:spacing w:line="360" w:lineRule="auto"/>
        <w:jc w:val="center"/>
        <w:rPr>
          <w:rFonts w:ascii="宋体" w:hAnsi="宋体"/>
          <w:color w:val="auto"/>
          <w:szCs w:val="21"/>
          <w:highlight w:val="none"/>
        </w:rPr>
      </w:pPr>
    </w:p>
    <w:p w14:paraId="20695DC5">
      <w:pPr>
        <w:shd w:val="clear"/>
        <w:adjustRightInd w:val="0"/>
        <w:snapToGrid w:val="0"/>
        <w:spacing w:line="360" w:lineRule="auto"/>
        <w:jc w:val="center"/>
        <w:rPr>
          <w:rFonts w:ascii="宋体" w:hAnsi="宋体"/>
          <w:color w:val="auto"/>
          <w:szCs w:val="21"/>
          <w:highlight w:val="none"/>
        </w:rPr>
      </w:pPr>
    </w:p>
    <w:p w14:paraId="684948B1">
      <w:pPr>
        <w:shd w:val="clear"/>
        <w:adjustRightInd w:val="0"/>
        <w:snapToGrid w:val="0"/>
        <w:spacing w:line="360" w:lineRule="auto"/>
        <w:jc w:val="center"/>
        <w:rPr>
          <w:rFonts w:ascii="宋体" w:hAnsi="宋体"/>
          <w:color w:val="auto"/>
          <w:szCs w:val="21"/>
          <w:highlight w:val="none"/>
        </w:rPr>
      </w:pPr>
    </w:p>
    <w:p w14:paraId="53580B35">
      <w:pPr>
        <w:shd w:val="clear"/>
        <w:adjustRightInd w:val="0"/>
        <w:snapToGrid w:val="0"/>
        <w:spacing w:line="360" w:lineRule="auto"/>
        <w:jc w:val="center"/>
        <w:rPr>
          <w:rFonts w:ascii="宋体" w:hAnsi="宋体"/>
          <w:color w:val="auto"/>
          <w:szCs w:val="21"/>
          <w:highlight w:val="none"/>
        </w:rPr>
      </w:pPr>
    </w:p>
    <w:p w14:paraId="32B589E6">
      <w:pPr>
        <w:pStyle w:val="2"/>
        <w:shd w:val="clear"/>
        <w:rPr>
          <w:rFonts w:ascii="黑体" w:hAnsi="黑体" w:eastAsia="黑体"/>
          <w:color w:val="auto"/>
          <w:sz w:val="32"/>
          <w:szCs w:val="32"/>
          <w:highlight w:val="none"/>
        </w:rPr>
      </w:pPr>
      <w:bookmarkStart w:id="58" w:name="_Toc78815075"/>
      <w:r>
        <w:rPr>
          <w:rFonts w:hint="eastAsia" w:ascii="黑体" w:hAnsi="黑体" w:eastAsia="黑体"/>
          <w:color w:val="auto"/>
          <w:sz w:val="32"/>
          <w:szCs w:val="32"/>
          <w:highlight w:val="none"/>
        </w:rPr>
        <w:t>第七章 投标文件的组成</w:t>
      </w:r>
      <w:bookmarkEnd w:id="58"/>
    </w:p>
    <w:p w14:paraId="571C464D">
      <w:pPr>
        <w:shd w:val="clear"/>
        <w:adjustRightInd w:val="0"/>
        <w:snapToGrid w:val="0"/>
        <w:spacing w:line="400" w:lineRule="atLeast"/>
        <w:ind w:left="-88" w:leftChars="-42"/>
        <w:jc w:val="center"/>
        <w:rPr>
          <w:b/>
          <w:bCs/>
          <w:color w:val="auto"/>
          <w:sz w:val="32"/>
          <w:highlight w:val="none"/>
        </w:rPr>
      </w:pPr>
    </w:p>
    <w:p w14:paraId="22127EA2">
      <w:pPr>
        <w:shd w:val="clea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1D338F3A">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0BA75872">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w:t>
      </w:r>
      <w:r>
        <w:rPr>
          <w:rFonts w:hint="eastAsia" w:ascii="宋体" w:hAnsi="宋体"/>
          <w:bCs/>
          <w:color w:val="auto"/>
          <w:szCs w:val="21"/>
          <w:highlight w:val="none"/>
        </w:rPr>
        <w:t>证金</w:t>
      </w:r>
    </w:p>
    <w:p w14:paraId="566A29E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三、法定代表人（单位负责人）身份证明或授权委托书</w:t>
      </w:r>
    </w:p>
    <w:p w14:paraId="7B761230">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0E3547F3">
      <w:pPr>
        <w:shd w:val="clear"/>
        <w:adjustRightInd w:val="0"/>
        <w:snapToGrid w:val="0"/>
        <w:spacing w:before="156"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28FBDDD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1434A31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3AF21366">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0C30FBCD">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68B2FECF">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3905D30B">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十、享受政府采购政策优惠的证明资料和清单表</w:t>
      </w:r>
    </w:p>
    <w:p w14:paraId="37B5CB99">
      <w:pPr>
        <w:shd w:val="clear"/>
        <w:adjustRightInd w:val="0"/>
        <w:snapToGrid w:val="0"/>
        <w:spacing w:before="156"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4C9C2D6F">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十二、投标人认为需提供的其他资料</w:t>
      </w:r>
    </w:p>
    <w:p w14:paraId="39C095BC">
      <w:pPr>
        <w:shd w:val="clear"/>
        <w:adjustRightInd w:val="0"/>
        <w:snapToGrid w:val="0"/>
        <w:spacing w:before="156" w:beforeLines="50" w:line="360" w:lineRule="auto"/>
        <w:ind w:firstLine="422"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注：1、投标人应按照电子招标文件格式及投标工具编制资格证明文件，不得将其编制到商务和技术文件中。否则，由于编制失误所产生的后果，由投标人自行承担。</w:t>
      </w:r>
    </w:p>
    <w:p w14:paraId="031BFE36">
      <w:pPr>
        <w:shd w:val="clear"/>
        <w:adjustRightInd w:val="0"/>
        <w:snapToGrid w:val="0"/>
        <w:spacing w:before="156" w:beforeLines="50" w:line="360" w:lineRule="auto"/>
        <w:ind w:firstLine="422" w:firstLineChars="200"/>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2、投标人应按照电子招标文件格式及投标工具编制商务和技术及综合评分表相关资料。否则，由于编制失误所产生的后果，由投标人自行承担。</w:t>
      </w:r>
    </w:p>
    <w:p w14:paraId="2599DB8F">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p>
    <w:p w14:paraId="0E817EFF">
      <w:pPr>
        <w:shd w:val="clear"/>
        <w:adjustRightInd w:val="0"/>
        <w:snapToGrid w:val="0"/>
        <w:spacing w:line="360" w:lineRule="auto"/>
        <w:jc w:val="center"/>
        <w:rPr>
          <w:rFonts w:ascii="仿宋_GB2312" w:hAnsi="宋体" w:eastAsia="仿宋_GB2312"/>
          <w:color w:val="auto"/>
          <w:szCs w:val="21"/>
          <w:highlight w:val="none"/>
        </w:rPr>
      </w:pPr>
    </w:p>
    <w:p w14:paraId="67A44442">
      <w:pPr>
        <w:shd w:val="clear"/>
        <w:adjustRightInd w:val="0"/>
        <w:snapToGrid w:val="0"/>
        <w:spacing w:line="360" w:lineRule="auto"/>
        <w:jc w:val="center"/>
        <w:rPr>
          <w:rFonts w:ascii="黑体" w:eastAsia="黑体"/>
          <w:color w:val="auto"/>
          <w:sz w:val="32"/>
          <w:szCs w:val="32"/>
          <w:highlight w:val="none"/>
        </w:rPr>
      </w:pPr>
      <w:r>
        <w:rPr>
          <w:rFonts w:ascii="仿宋_GB2312" w:hAnsi="宋体" w:eastAsia="仿宋_GB2312"/>
          <w:color w:val="auto"/>
          <w:szCs w:val="21"/>
          <w:highlight w:val="none"/>
        </w:rPr>
        <w:br w:type="page"/>
      </w:r>
    </w:p>
    <w:p w14:paraId="587FA313">
      <w:pPr>
        <w:shd w:val="clear"/>
        <w:adjustRightInd w:val="0"/>
        <w:snapToGrid w:val="0"/>
        <w:spacing w:line="360" w:lineRule="auto"/>
        <w:rPr>
          <w:rFonts w:ascii="黑体" w:eastAsia="黑体"/>
          <w:color w:val="auto"/>
          <w:sz w:val="32"/>
          <w:szCs w:val="32"/>
          <w:highlight w:val="none"/>
        </w:rPr>
      </w:pPr>
    </w:p>
    <w:p w14:paraId="443FCEB9">
      <w:pPr>
        <w:pStyle w:val="23"/>
        <w:shd w:val="clear"/>
        <w:adjustRightInd w:val="0"/>
        <w:snapToGrid w:val="0"/>
        <w:spacing w:line="360" w:lineRule="auto"/>
        <w:jc w:val="center"/>
        <w:rPr>
          <w:rFonts w:asciiTheme="minorEastAsia" w:hAnsiTheme="minorEastAsia" w:eastAsiaTheme="minorEastAsia"/>
          <w:b/>
          <w:bCs/>
          <w:color w:val="auto"/>
          <w:sz w:val="72"/>
          <w:szCs w:val="72"/>
          <w:highlight w:val="none"/>
        </w:rPr>
      </w:pPr>
      <w:r>
        <w:rPr>
          <w:rFonts w:hint="eastAsia" w:asciiTheme="minorEastAsia" w:hAnsiTheme="minorEastAsia" w:eastAsiaTheme="minorEastAsia"/>
          <w:b/>
          <w:bCs/>
          <w:color w:val="auto"/>
          <w:sz w:val="72"/>
          <w:szCs w:val="72"/>
          <w:highlight w:val="none"/>
        </w:rPr>
        <w:t>政府采购</w:t>
      </w:r>
    </w:p>
    <w:p w14:paraId="0E5A0E9D">
      <w:pPr>
        <w:shd w:val="clear"/>
        <w:adjustRightInd w:val="0"/>
        <w:snapToGrid w:val="0"/>
        <w:spacing w:line="360" w:lineRule="auto"/>
        <w:jc w:val="center"/>
        <w:rPr>
          <w:rFonts w:asciiTheme="minorEastAsia" w:hAnsiTheme="minorEastAsia" w:eastAsiaTheme="minorEastAsia"/>
          <w:b/>
          <w:bCs/>
          <w:color w:val="auto"/>
          <w:sz w:val="84"/>
          <w:szCs w:val="84"/>
          <w:highlight w:val="none"/>
        </w:rPr>
      </w:pPr>
      <w:r>
        <w:rPr>
          <w:rFonts w:hint="eastAsia" w:asciiTheme="minorEastAsia" w:hAnsiTheme="minorEastAsia" w:eastAsiaTheme="minorEastAsia"/>
          <w:b/>
          <w:bCs/>
          <w:color w:val="auto"/>
          <w:sz w:val="84"/>
          <w:szCs w:val="84"/>
          <w:highlight w:val="none"/>
        </w:rPr>
        <w:t>投 标 文 件</w:t>
      </w:r>
    </w:p>
    <w:p w14:paraId="24C46F7D">
      <w:pPr>
        <w:pStyle w:val="3"/>
        <w:numPr>
          <w:ilvl w:val="0"/>
          <w:numId w:val="6"/>
        </w:numPr>
        <w:shd w:val="clear"/>
        <w:adjustRightInd w:val="0"/>
        <w:snapToGrid w:val="0"/>
        <w:jc w:val="center"/>
        <w:rPr>
          <w:rFonts w:ascii="黑体" w:hAnsi="黑体" w:eastAsia="黑体"/>
          <w:color w:val="auto"/>
          <w:sz w:val="44"/>
          <w:szCs w:val="44"/>
          <w:highlight w:val="none"/>
        </w:rPr>
      </w:pPr>
      <w:bookmarkStart w:id="59" w:name="_Toc7723"/>
      <w:bookmarkStart w:id="60" w:name="_Toc31278"/>
      <w:bookmarkStart w:id="61" w:name="_Toc2107"/>
      <w:bookmarkStart w:id="62" w:name="_Toc30240"/>
      <w:r>
        <w:rPr>
          <w:rFonts w:hint="eastAsia" w:ascii="黑体" w:hAnsi="黑体" w:eastAsia="黑体"/>
          <w:color w:val="auto"/>
          <w:sz w:val="44"/>
          <w:szCs w:val="44"/>
          <w:highlight w:val="none"/>
        </w:rPr>
        <w:t>资格证明文件</w:t>
      </w:r>
      <w:bookmarkEnd w:id="59"/>
      <w:bookmarkEnd w:id="60"/>
      <w:bookmarkEnd w:id="61"/>
      <w:bookmarkEnd w:id="62"/>
    </w:p>
    <w:p w14:paraId="4F44AAE3">
      <w:pPr>
        <w:shd w:val="clear"/>
        <w:adjustRightInd w:val="0"/>
        <w:snapToGrid w:val="0"/>
        <w:spacing w:line="360" w:lineRule="auto"/>
        <w:rPr>
          <w:rFonts w:ascii="黑体" w:hAnsi="黑体" w:eastAsia="黑体"/>
          <w:b/>
          <w:color w:val="auto"/>
          <w:sz w:val="32"/>
          <w:szCs w:val="32"/>
          <w:highlight w:val="none"/>
        </w:rPr>
      </w:pPr>
    </w:p>
    <w:p w14:paraId="1F227EB8">
      <w:pPr>
        <w:pStyle w:val="103"/>
        <w:shd w:val="clear"/>
        <w:ind w:firstLine="420"/>
        <w:rPr>
          <w:color w:val="auto"/>
          <w:highlight w:val="none"/>
        </w:rPr>
      </w:pPr>
    </w:p>
    <w:p w14:paraId="5F10A850">
      <w:pPr>
        <w:shd w:val="clear"/>
        <w:adjustRightInd w:val="0"/>
        <w:snapToGrid w:val="0"/>
        <w:spacing w:line="360" w:lineRule="auto"/>
        <w:rPr>
          <w:rFonts w:asciiTheme="minorEastAsia" w:hAnsiTheme="minorEastAsia" w:eastAsiaTheme="minorEastAsia"/>
          <w:b/>
          <w:color w:val="auto"/>
          <w:sz w:val="30"/>
          <w:szCs w:val="30"/>
          <w:highlight w:val="none"/>
        </w:rPr>
      </w:pPr>
    </w:p>
    <w:p w14:paraId="1C9C99AA">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采购项目名称:</w:t>
      </w:r>
    </w:p>
    <w:p w14:paraId="24F9234D">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采   购   人：</w:t>
      </w:r>
    </w:p>
    <w:p w14:paraId="3D776D5C">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政府采购编号:</w:t>
      </w:r>
    </w:p>
    <w:p w14:paraId="29AB64FA">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采购代理编号:</w:t>
      </w:r>
    </w:p>
    <w:p w14:paraId="12920A5D">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采购代理机构：</w:t>
      </w:r>
    </w:p>
    <w:p w14:paraId="1B4F10B4">
      <w:pPr>
        <w:shd w:val="clear"/>
        <w:adjustRightInd w:val="0"/>
        <w:snapToGrid w:val="0"/>
        <w:spacing w:line="360" w:lineRule="auto"/>
        <w:rPr>
          <w:rFonts w:ascii="黑体" w:hAnsi="黑体" w:eastAsia="黑体"/>
          <w:color w:val="auto"/>
          <w:sz w:val="30"/>
          <w:szCs w:val="30"/>
          <w:highlight w:val="none"/>
        </w:rPr>
      </w:pPr>
    </w:p>
    <w:p w14:paraId="6EBE148F">
      <w:pPr>
        <w:shd w:val="clear"/>
        <w:adjustRightInd w:val="0"/>
        <w:snapToGrid w:val="0"/>
        <w:rPr>
          <w:rFonts w:ascii="黑体" w:hAnsi="宋体" w:eastAsia="黑体"/>
          <w:color w:val="auto"/>
          <w:sz w:val="30"/>
          <w:szCs w:val="30"/>
          <w:highlight w:val="none"/>
        </w:rPr>
      </w:pPr>
    </w:p>
    <w:p w14:paraId="2D6F35BD">
      <w:pPr>
        <w:shd w:val="clear"/>
        <w:adjustRightInd w:val="0"/>
        <w:snapToGrid w:val="0"/>
        <w:spacing w:line="360" w:lineRule="auto"/>
        <w:rPr>
          <w:rFonts w:ascii="黑体" w:hAnsi="宋体" w:eastAsia="黑体"/>
          <w:color w:val="auto"/>
          <w:sz w:val="30"/>
          <w:szCs w:val="30"/>
          <w:highlight w:val="none"/>
        </w:rPr>
      </w:pPr>
    </w:p>
    <w:p w14:paraId="52E634F3">
      <w:pPr>
        <w:shd w:val="clear"/>
        <w:adjustRightInd w:val="0"/>
        <w:snapToGrid w:val="0"/>
        <w:spacing w:line="360" w:lineRule="auto"/>
        <w:rPr>
          <w:rFonts w:ascii="黑体" w:hAnsi="宋体" w:eastAsia="黑体"/>
          <w:color w:val="auto"/>
          <w:sz w:val="30"/>
          <w:szCs w:val="30"/>
          <w:highlight w:val="none"/>
        </w:rPr>
      </w:pPr>
    </w:p>
    <w:p w14:paraId="02C77350">
      <w:pPr>
        <w:shd w:val="clear"/>
        <w:adjustRightInd w:val="0"/>
        <w:snapToGrid w:val="0"/>
        <w:spacing w:line="360" w:lineRule="auto"/>
        <w:rPr>
          <w:rFonts w:ascii="黑体" w:hAnsi="宋体" w:eastAsia="黑体"/>
          <w:color w:val="auto"/>
          <w:sz w:val="30"/>
          <w:szCs w:val="30"/>
          <w:highlight w:val="none"/>
        </w:rPr>
      </w:pPr>
    </w:p>
    <w:p w14:paraId="1139A2E7">
      <w:pPr>
        <w:shd w:val="clear"/>
        <w:adjustRightInd w:val="0"/>
        <w:snapToGrid w:val="0"/>
        <w:spacing w:line="360" w:lineRule="auto"/>
        <w:ind w:firstLine="1984" w:firstLineChars="620"/>
        <w:rPr>
          <w:rFonts w:hint="default" w:eastAsia="黑体" w:asciiTheme="minorEastAsia" w:hAnsiTheme="minorEastAsia"/>
          <w:color w:val="auto"/>
          <w:szCs w:val="21"/>
          <w:highlight w:val="none"/>
          <w:u w:val="single"/>
          <w:lang w:val="en-US" w:eastAsia="zh-CN"/>
        </w:rPr>
      </w:pPr>
      <w:r>
        <w:rPr>
          <w:rFonts w:hint="eastAsia" w:ascii="黑体" w:hAnsi="宋体" w:eastAsia="黑体"/>
          <w:color w:val="auto"/>
          <w:sz w:val="32"/>
          <w:szCs w:val="32"/>
          <w:highlight w:val="none"/>
        </w:rPr>
        <w:t>投标人</w:t>
      </w:r>
      <w:r>
        <w:rPr>
          <w:rFonts w:hint="eastAsia" w:ascii="黑体" w:hAnsi="宋体" w:eastAsia="黑体"/>
          <w:color w:val="auto"/>
          <w:sz w:val="32"/>
          <w:szCs w:val="32"/>
          <w:highlight w:val="none"/>
          <w:u w:val="single"/>
        </w:rPr>
        <w:t>：</w:t>
      </w:r>
      <w:r>
        <w:rPr>
          <w:rFonts w:hint="eastAsia" w:ascii="黑体" w:hAnsi="宋体" w:eastAsia="黑体"/>
          <w:color w:val="auto"/>
          <w:sz w:val="32"/>
          <w:szCs w:val="32"/>
          <w:highlight w:val="none"/>
          <w:u w:val="single"/>
          <w:lang w:val="en-US" w:eastAsia="zh-CN"/>
        </w:rPr>
        <w:t xml:space="preserve">                       </w:t>
      </w:r>
    </w:p>
    <w:p w14:paraId="4BA71532">
      <w:pPr>
        <w:shd w:val="clear"/>
        <w:adjustRightInd w:val="0"/>
        <w:snapToGrid w:val="0"/>
        <w:spacing w:line="360" w:lineRule="auto"/>
        <w:jc w:val="center"/>
        <w:rPr>
          <w:rFonts w:ascii="黑体" w:eastAsia="黑体"/>
          <w:color w:val="auto"/>
          <w:sz w:val="28"/>
          <w:szCs w:val="28"/>
          <w:highlight w:val="none"/>
        </w:rPr>
      </w:pPr>
      <w:r>
        <w:rPr>
          <w:rFonts w:hint="eastAsia" w:ascii="黑体" w:hAnsi="宋体" w:eastAsia="黑体"/>
          <w:color w:val="auto"/>
          <w:sz w:val="32"/>
          <w:szCs w:val="32"/>
          <w:highlight w:val="none"/>
        </w:rPr>
        <w:t>年  月  日</w:t>
      </w:r>
      <w:r>
        <w:rPr>
          <w:rFonts w:ascii="黑体" w:eastAsia="黑体"/>
          <w:color w:val="auto"/>
          <w:sz w:val="28"/>
          <w:szCs w:val="28"/>
          <w:highlight w:val="none"/>
        </w:rPr>
        <w:br w:type="page"/>
      </w:r>
    </w:p>
    <w:p w14:paraId="21E67413">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63" w:name="_Toc23864"/>
      <w:bookmarkStart w:id="64" w:name="_Toc18711"/>
      <w:bookmarkStart w:id="65" w:name="_Toc30101"/>
      <w:bookmarkStart w:id="66" w:name="_Toc31488"/>
      <w:r>
        <w:rPr>
          <w:rFonts w:hint="eastAsia" w:ascii="黑体" w:hAnsi="宋体" w:eastAsia="黑体"/>
          <w:color w:val="auto"/>
          <w:sz w:val="28"/>
          <w:szCs w:val="28"/>
          <w:highlight w:val="none"/>
        </w:rPr>
        <w:t>一、开标一览表</w:t>
      </w:r>
      <w:bookmarkEnd w:id="63"/>
      <w:bookmarkEnd w:id="64"/>
      <w:bookmarkEnd w:id="65"/>
      <w:bookmarkEnd w:id="66"/>
    </w:p>
    <w:p w14:paraId="039D92B4">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6DEC1E76">
      <w:pPr>
        <w:shd w:val="clear"/>
        <w:adjustRightInd w:val="0"/>
        <w:snapToGrid w:val="0"/>
        <w:spacing w:line="360" w:lineRule="auto"/>
        <w:rPr>
          <w:rFonts w:hint="default" w:asciiTheme="minorEastAsia" w:hAnsiTheme="minorEastAsia" w:eastAsiaTheme="minorEastAsia"/>
          <w:b/>
          <w:color w:val="auto"/>
          <w:szCs w:val="21"/>
          <w:highlight w:val="none"/>
          <w:lang w:val="en-US" w:eastAsia="zh-CN"/>
        </w:rPr>
      </w:pPr>
      <w:r>
        <w:rPr>
          <w:rFonts w:hint="eastAsia" w:asciiTheme="minorEastAsia" w:hAnsiTheme="minorEastAsia" w:eastAsiaTheme="minorEastAsia"/>
          <w:color w:val="auto"/>
          <w:szCs w:val="21"/>
          <w:highlight w:val="none"/>
        </w:rPr>
        <w:t>包号：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92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183"/>
        <w:gridCol w:w="2740"/>
      </w:tblGrid>
      <w:tr w14:paraId="785E02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1" w:hRule="atLeast"/>
        </w:trPr>
        <w:tc>
          <w:tcPr>
            <w:tcW w:w="6183" w:type="dxa"/>
            <w:vAlign w:val="center"/>
          </w:tcPr>
          <w:p w14:paraId="1AE66B28">
            <w:pPr>
              <w:shd w:val="clear"/>
              <w:adjustRightInd w:val="0"/>
              <w:snapToGrid w:val="0"/>
              <w:spacing w:line="360" w:lineRule="auto"/>
              <w:jc w:val="center"/>
              <w:rPr>
                <w:rFonts w:asciiTheme="minorEastAsia" w:hAnsiTheme="minorEastAsia" w:eastAsiaTheme="minorEastAsia"/>
                <w:b/>
                <w:color w:val="auto"/>
                <w:kern w:val="0"/>
                <w:sz w:val="20"/>
                <w:szCs w:val="21"/>
                <w:highlight w:val="none"/>
              </w:rPr>
            </w:pPr>
            <w:r>
              <w:rPr>
                <w:rFonts w:hint="eastAsia" w:asciiTheme="minorEastAsia" w:hAnsiTheme="minorEastAsia" w:eastAsiaTheme="minorEastAsia"/>
                <w:b/>
                <w:color w:val="auto"/>
                <w:kern w:val="0"/>
                <w:szCs w:val="21"/>
                <w:highlight w:val="none"/>
              </w:rPr>
              <w:t>投标总报价</w:t>
            </w:r>
          </w:p>
        </w:tc>
        <w:tc>
          <w:tcPr>
            <w:tcW w:w="2740" w:type="dxa"/>
            <w:vAlign w:val="center"/>
          </w:tcPr>
          <w:p w14:paraId="152D4E76">
            <w:pPr>
              <w:shd w:val="clear"/>
              <w:adjustRightInd w:val="0"/>
              <w:snapToGrid w:val="0"/>
              <w:spacing w:line="360" w:lineRule="auto"/>
              <w:jc w:val="center"/>
              <w:rPr>
                <w:rFonts w:asciiTheme="minorEastAsia" w:hAnsiTheme="minorEastAsia" w:eastAsiaTheme="minorEastAsia"/>
                <w:b/>
                <w:color w:val="auto"/>
                <w:kern w:val="0"/>
                <w:szCs w:val="21"/>
                <w:highlight w:val="none"/>
              </w:rPr>
            </w:pPr>
            <w:r>
              <w:rPr>
                <w:rFonts w:hint="eastAsia" w:asciiTheme="minorEastAsia" w:hAnsiTheme="minorEastAsia" w:eastAsiaTheme="minorEastAsia"/>
                <w:b/>
                <w:color w:val="auto"/>
                <w:kern w:val="0"/>
                <w:szCs w:val="21"/>
                <w:highlight w:val="none"/>
              </w:rPr>
              <w:t>备注</w:t>
            </w:r>
          </w:p>
        </w:tc>
      </w:tr>
      <w:tr w14:paraId="146FC8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70" w:hRule="atLeast"/>
        </w:trPr>
        <w:tc>
          <w:tcPr>
            <w:tcW w:w="6183" w:type="dxa"/>
            <w:vAlign w:val="center"/>
          </w:tcPr>
          <w:p w14:paraId="78CF1BDF">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小写金额：</w:t>
            </w:r>
            <w:r>
              <w:rPr>
                <w:rFonts w:hint="eastAsia" w:asciiTheme="minorEastAsia" w:hAnsiTheme="minorEastAsia" w:eastAsiaTheme="minorEastAsia"/>
                <w:color w:val="auto"/>
                <w:kern w:val="0"/>
                <w:szCs w:val="21"/>
                <w:highlight w:val="none"/>
                <w:u w:val="single"/>
                <w:lang w:val="en-US" w:eastAsia="zh-CN"/>
              </w:rPr>
              <w:t xml:space="preserve">             </w:t>
            </w: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 w:val="20"/>
                <w:szCs w:val="21"/>
                <w:highlight w:val="none"/>
              </w:rPr>
              <w:t>人民币元</w:t>
            </w:r>
            <w:r>
              <w:rPr>
                <w:rFonts w:hint="eastAsia" w:asciiTheme="minorEastAsia" w:hAnsiTheme="minorEastAsia" w:eastAsiaTheme="minorEastAsia"/>
                <w:color w:val="auto"/>
                <w:kern w:val="0"/>
                <w:szCs w:val="21"/>
                <w:highlight w:val="none"/>
              </w:rPr>
              <w:t>）</w:t>
            </w:r>
          </w:p>
          <w:p w14:paraId="49FB2528">
            <w:pPr>
              <w:shd w:val="clear"/>
              <w:adjustRightInd w:val="0"/>
              <w:snapToGrid w:val="0"/>
              <w:spacing w:line="360" w:lineRule="auto"/>
              <w:jc w:val="center"/>
              <w:rPr>
                <w:rFonts w:asciiTheme="minorEastAsia" w:hAnsiTheme="minorEastAsia" w:eastAsiaTheme="minorEastAsia"/>
                <w:color w:val="auto"/>
                <w:kern w:val="0"/>
                <w:szCs w:val="21"/>
                <w:highlight w:val="none"/>
                <w:u w:val="single"/>
              </w:rPr>
            </w:pPr>
            <w:r>
              <w:rPr>
                <w:rFonts w:hint="eastAsia" w:asciiTheme="minorEastAsia" w:hAnsiTheme="minorEastAsia" w:eastAsiaTheme="minorEastAsia"/>
                <w:color w:val="auto"/>
                <w:kern w:val="0"/>
                <w:szCs w:val="21"/>
                <w:highlight w:val="none"/>
              </w:rPr>
              <w:t>大写金额：</w:t>
            </w:r>
            <w:r>
              <w:rPr>
                <w:rFonts w:hint="eastAsia" w:asciiTheme="minorEastAsia" w:hAnsiTheme="minorEastAsia" w:eastAsiaTheme="minorEastAsia"/>
                <w:color w:val="auto"/>
                <w:kern w:val="0"/>
                <w:szCs w:val="21"/>
                <w:highlight w:val="none"/>
                <w:u w:val="single"/>
                <w:lang w:val="en-US" w:eastAsia="zh-CN"/>
              </w:rPr>
              <w:t xml:space="preserve">             </w:t>
            </w:r>
            <w:r>
              <w:rPr>
                <w:rFonts w:hint="eastAsia" w:asciiTheme="minorEastAsia" w:hAnsiTheme="minorEastAsia" w:eastAsiaTheme="minorEastAsia"/>
                <w:color w:val="auto"/>
                <w:kern w:val="0"/>
                <w:szCs w:val="21"/>
                <w:highlight w:val="none"/>
              </w:rPr>
              <w:t>（</w:t>
            </w:r>
            <w:r>
              <w:rPr>
                <w:rFonts w:hint="eastAsia" w:asciiTheme="minorEastAsia" w:hAnsiTheme="minorEastAsia" w:eastAsiaTheme="minorEastAsia"/>
                <w:color w:val="auto"/>
                <w:kern w:val="0"/>
                <w:sz w:val="20"/>
                <w:szCs w:val="21"/>
                <w:highlight w:val="none"/>
              </w:rPr>
              <w:t>人民币元</w:t>
            </w:r>
            <w:r>
              <w:rPr>
                <w:rFonts w:hint="eastAsia" w:asciiTheme="minorEastAsia" w:hAnsiTheme="minorEastAsia" w:eastAsiaTheme="minorEastAsia"/>
                <w:color w:val="auto"/>
                <w:kern w:val="0"/>
                <w:szCs w:val="21"/>
                <w:highlight w:val="none"/>
              </w:rPr>
              <w:t>）</w:t>
            </w:r>
          </w:p>
          <w:p w14:paraId="6FDDFF16">
            <w:pPr>
              <w:shd w:val="clear"/>
              <w:adjustRightInd w:val="0"/>
              <w:snapToGrid w:val="0"/>
              <w:spacing w:line="360" w:lineRule="auto"/>
              <w:jc w:val="center"/>
              <w:rPr>
                <w:rFonts w:asciiTheme="minorEastAsia" w:hAnsiTheme="minorEastAsia" w:eastAsiaTheme="minorEastAsia"/>
                <w:color w:val="auto"/>
                <w:kern w:val="0"/>
                <w:sz w:val="20"/>
                <w:szCs w:val="21"/>
                <w:highlight w:val="none"/>
              </w:rPr>
            </w:pPr>
            <w:r>
              <w:rPr>
                <w:rFonts w:hint="eastAsia" w:asciiTheme="minorEastAsia" w:hAnsiTheme="minorEastAsia" w:eastAsiaTheme="minorEastAsia"/>
                <w:b/>
                <w:bCs/>
                <w:color w:val="auto"/>
                <w:kern w:val="0"/>
                <w:szCs w:val="18"/>
                <w:highlight w:val="none"/>
              </w:rPr>
              <w:t>（</w:t>
            </w:r>
            <w:r>
              <w:rPr>
                <w:rFonts w:hint="eastAsia" w:ascii="黑体" w:hAnsi="黑体" w:eastAsia="黑体"/>
                <w:b/>
                <w:bCs/>
                <w:color w:val="auto"/>
                <w:kern w:val="0"/>
                <w:szCs w:val="18"/>
                <w:highlight w:val="none"/>
              </w:rPr>
              <w:t>大写金额与小写金额不一致时，以大写金额为准</w:t>
            </w:r>
            <w:r>
              <w:rPr>
                <w:rFonts w:hint="eastAsia" w:asciiTheme="minorEastAsia" w:hAnsiTheme="minorEastAsia" w:eastAsiaTheme="minorEastAsia"/>
                <w:b/>
                <w:bCs/>
                <w:color w:val="auto"/>
                <w:kern w:val="0"/>
                <w:szCs w:val="18"/>
                <w:highlight w:val="none"/>
              </w:rPr>
              <w:t>）</w:t>
            </w:r>
          </w:p>
        </w:tc>
        <w:tc>
          <w:tcPr>
            <w:tcW w:w="2740" w:type="dxa"/>
            <w:vAlign w:val="center"/>
          </w:tcPr>
          <w:p w14:paraId="78BC986B">
            <w:pPr>
              <w:shd w:val="clear"/>
              <w:adjustRightInd w:val="0"/>
              <w:snapToGrid w:val="0"/>
              <w:spacing w:line="360" w:lineRule="auto"/>
              <w:jc w:val="center"/>
              <w:rPr>
                <w:rFonts w:asciiTheme="minorEastAsia" w:hAnsiTheme="minorEastAsia" w:eastAsiaTheme="minorEastAsia"/>
                <w:color w:val="auto"/>
                <w:kern w:val="0"/>
                <w:szCs w:val="21"/>
                <w:highlight w:val="none"/>
              </w:rPr>
            </w:pPr>
          </w:p>
        </w:tc>
      </w:tr>
      <w:tr w14:paraId="660227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8923" w:type="dxa"/>
            <w:gridSpan w:val="2"/>
          </w:tcPr>
          <w:p w14:paraId="381383F9">
            <w:pPr>
              <w:shd w:val="clear"/>
              <w:adjustRightInd w:val="0"/>
              <w:snapToGrid w:val="0"/>
              <w:ind w:left="71" w:leftChars="34"/>
              <w:jc w:val="left"/>
              <w:rPr>
                <w:rFonts w:ascii="宋体" w:hAnsi="宋体"/>
                <w:color w:val="auto"/>
                <w:szCs w:val="21"/>
                <w:highlight w:val="none"/>
              </w:rPr>
            </w:pPr>
            <w:r>
              <w:rPr>
                <w:rFonts w:hint="eastAsia" w:ascii="宋体" w:hAnsi="宋体"/>
                <w:color w:val="auto"/>
                <w:szCs w:val="21"/>
                <w:highlight w:val="none"/>
              </w:rPr>
              <w:t>优惠声明：</w:t>
            </w:r>
          </w:p>
          <w:p w14:paraId="619FAFC9">
            <w:pPr>
              <w:shd w:val="clear"/>
              <w:jc w:val="left"/>
              <w:rPr>
                <w:color w:val="auto"/>
                <w:szCs w:val="21"/>
                <w:highlight w:val="none"/>
              </w:rPr>
            </w:pPr>
            <w:r>
              <w:rPr>
                <w:rFonts w:hint="eastAsia" w:ascii="宋体" w:hAnsi="宋体"/>
                <w:color w:val="auto"/>
                <w:szCs w:val="21"/>
                <w:highlight w:val="none"/>
              </w:rPr>
              <w:t>中小企业价格折扣金额：元</w:t>
            </w:r>
          </w:p>
          <w:p w14:paraId="5B7B5BC1">
            <w:pPr>
              <w:shd w:val="clear"/>
              <w:jc w:val="left"/>
              <w:rPr>
                <w:rFonts w:ascii="宋体" w:hAnsi="宋体"/>
                <w:color w:val="auto"/>
                <w:szCs w:val="21"/>
                <w:highlight w:val="none"/>
              </w:rPr>
            </w:pPr>
            <w:r>
              <w:rPr>
                <w:rFonts w:hint="eastAsia" w:ascii="宋体" w:hAnsi="宋体"/>
                <w:color w:val="auto"/>
                <w:szCs w:val="21"/>
                <w:highlight w:val="none"/>
              </w:rPr>
              <w:t>节能产品金额：元</w:t>
            </w:r>
          </w:p>
          <w:p w14:paraId="193D3244">
            <w:pPr>
              <w:shd w:val="clear"/>
              <w:jc w:val="left"/>
              <w:rPr>
                <w:color w:val="auto"/>
                <w:szCs w:val="21"/>
                <w:highlight w:val="none"/>
              </w:rPr>
            </w:pPr>
            <w:r>
              <w:rPr>
                <w:rFonts w:hint="eastAsia" w:ascii="宋体" w:hAnsi="宋体"/>
                <w:color w:val="auto"/>
                <w:szCs w:val="21"/>
                <w:highlight w:val="none"/>
              </w:rPr>
              <w:t>环境标志产品金额：元</w:t>
            </w:r>
          </w:p>
          <w:p w14:paraId="11E59A05">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宋体" w:hAnsi="宋体"/>
                <w:b/>
                <w:bCs/>
                <w:color w:val="auto"/>
                <w:szCs w:val="21"/>
                <w:highlight w:val="none"/>
              </w:rPr>
              <w:t>未在开标一览表中注明优惠声明的，一律不给</w:t>
            </w:r>
            <w:r>
              <w:rPr>
                <w:rFonts w:hint="eastAsia" w:ascii="宋体" w:hAnsi="宋体"/>
                <w:b/>
                <w:bCs/>
                <w:color w:val="auto"/>
                <w:szCs w:val="21"/>
                <w:highlight w:val="none"/>
                <w:lang w:val="en-US" w:eastAsia="zh-CN"/>
              </w:rPr>
              <w:t>予</w:t>
            </w:r>
            <w:r>
              <w:rPr>
                <w:rFonts w:hint="eastAsia" w:ascii="宋体" w:hAnsi="宋体"/>
                <w:b/>
                <w:bCs/>
                <w:color w:val="auto"/>
                <w:szCs w:val="21"/>
                <w:highlight w:val="none"/>
              </w:rPr>
              <w:t>相应的价格折扣。</w:t>
            </w:r>
          </w:p>
        </w:tc>
      </w:tr>
    </w:tbl>
    <w:p w14:paraId="51E36C12">
      <w:pPr>
        <w:shd w:val="clear"/>
        <w:adjustRightInd w:val="0"/>
        <w:snapToGrid w:val="0"/>
        <w:spacing w:line="360" w:lineRule="auto"/>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备注：1、本“开标一览表”所填报价应与交易平台上所填电子“开标一览表”报价一致，否则，以交易平台上所填电子“开标一览表”报价为准。</w:t>
      </w:r>
    </w:p>
    <w:p w14:paraId="0F4EE184">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2、本表须按包填写，一个“包号”一份。</w:t>
      </w:r>
    </w:p>
    <w:p w14:paraId="0DB981ED">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3、投标人提交两份及以上投标报价不同的“开标一览表”，且未书面说明哪个有效或以哪个为准的，其</w:t>
      </w:r>
      <w:r>
        <w:rPr>
          <w:rFonts w:hint="eastAsia" w:asciiTheme="minorEastAsia" w:hAnsiTheme="minorEastAsia" w:eastAsiaTheme="minorEastAsia"/>
          <w:b/>
          <w:color w:val="auto"/>
          <w:szCs w:val="21"/>
          <w:highlight w:val="none"/>
        </w:rPr>
        <w:t>投标无效</w:t>
      </w:r>
      <w:r>
        <w:rPr>
          <w:rFonts w:hint="eastAsia" w:asciiTheme="minorEastAsia" w:hAnsiTheme="minorEastAsia" w:eastAsiaTheme="minorEastAsia"/>
          <w:color w:val="auto"/>
          <w:szCs w:val="21"/>
          <w:highlight w:val="none"/>
        </w:rPr>
        <w:t>。</w:t>
      </w:r>
    </w:p>
    <w:p w14:paraId="4FAB823F">
      <w:pPr>
        <w:shd w:val="clear"/>
        <w:adjustRightInd w:val="0"/>
        <w:snapToGrid w:val="0"/>
        <w:spacing w:line="360" w:lineRule="auto"/>
        <w:ind w:firstLine="630" w:firstLineChars="300"/>
        <w:jc w:val="left"/>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4、</w:t>
      </w:r>
      <w:r>
        <w:rPr>
          <w:rFonts w:hint="eastAsia" w:asciiTheme="minorEastAsia" w:hAnsiTheme="minorEastAsia" w:eastAsiaTheme="minorEastAsia"/>
          <w:color w:val="auto"/>
          <w:highlight w:val="none"/>
        </w:rPr>
        <w:t>投标人在投标截止时间前修改“开标一览表”中的投标报价的，应同时修改投标文件“分项报价明细表”“享受政府采购政策优惠的证明资料”以及“联合体协议书”等相关内容。</w:t>
      </w:r>
    </w:p>
    <w:p w14:paraId="7813E414">
      <w:pPr>
        <w:shd w:val="clear"/>
        <w:adjustRightInd w:val="0"/>
        <w:snapToGrid w:val="0"/>
        <w:spacing w:line="360" w:lineRule="auto"/>
        <w:rPr>
          <w:rFonts w:asciiTheme="minorEastAsia" w:hAnsiTheme="minorEastAsia" w:eastAsiaTheme="minorEastAsia"/>
          <w:color w:val="auto"/>
          <w:szCs w:val="21"/>
          <w:highlight w:val="none"/>
        </w:rPr>
      </w:pPr>
    </w:p>
    <w:p w14:paraId="63E8330B">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投标人名称（盖单位电子章）：</w:t>
      </w:r>
    </w:p>
    <w:p w14:paraId="1719E728">
      <w:pPr>
        <w:shd w:val="clear"/>
        <w:adjustRightInd w:val="0"/>
        <w:snapToGrid w:val="0"/>
        <w:spacing w:line="360" w:lineRule="auto"/>
        <w:rPr>
          <w:rFonts w:asciiTheme="minorEastAsia" w:hAnsiTheme="minorEastAsia" w:eastAsiaTheme="minorEastAsia"/>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Theme="minorEastAsia" w:hAnsiTheme="minorEastAsia" w:eastAsiaTheme="minorEastAsia"/>
          <w:color w:val="auto"/>
          <w:szCs w:val="21"/>
          <w:highlight w:val="none"/>
        </w:rPr>
        <w:t>或其授权的代理人（电子签字或电子印章）：</w:t>
      </w:r>
    </w:p>
    <w:p w14:paraId="243A20AA">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日期：年月日</w:t>
      </w:r>
    </w:p>
    <w:p w14:paraId="153C7DB6">
      <w:pPr>
        <w:widowControl/>
        <w:shd w:val="clear"/>
        <w:jc w:val="left"/>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br w:type="page"/>
      </w:r>
    </w:p>
    <w:p w14:paraId="492CE684">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67" w:name="_Toc26538"/>
      <w:bookmarkStart w:id="68" w:name="_Toc20217"/>
      <w:bookmarkStart w:id="69" w:name="_Toc9048"/>
      <w:bookmarkStart w:id="70" w:name="_Toc15192"/>
      <w:r>
        <w:rPr>
          <w:rFonts w:hint="eastAsia" w:ascii="黑体" w:hAnsi="宋体" w:eastAsia="黑体"/>
          <w:color w:val="auto"/>
          <w:sz w:val="28"/>
          <w:szCs w:val="28"/>
          <w:highlight w:val="none"/>
        </w:rPr>
        <w:t>二、投标保证金</w:t>
      </w:r>
      <w:bookmarkEnd w:id="67"/>
      <w:bookmarkEnd w:id="68"/>
      <w:bookmarkEnd w:id="69"/>
      <w:bookmarkEnd w:id="70"/>
    </w:p>
    <w:p w14:paraId="6E1CC0E5">
      <w:pPr>
        <w:shd w:val="clear"/>
        <w:adjustRightInd w:val="0"/>
        <w:snapToGrid w:val="0"/>
        <w:spacing w:before="156" w:beforeLines="50" w:line="360" w:lineRule="auto"/>
        <w:ind w:firstLine="420" w:firstLineChars="200"/>
        <w:jc w:val="left"/>
        <w:rPr>
          <w:rFonts w:asciiTheme="minorEastAsia" w:hAnsiTheme="minorEastAsia" w:eastAsiaTheme="minorEastAsia"/>
          <w:color w:val="auto"/>
          <w:szCs w:val="21"/>
          <w:highlight w:val="none"/>
        </w:rPr>
      </w:pPr>
    </w:p>
    <w:p w14:paraId="2DD33357">
      <w:pPr>
        <w:shd w:val="clear"/>
        <w:adjustRightInd w:val="0"/>
        <w:snapToGrid w:val="0"/>
        <w:spacing w:before="156" w:beforeLines="50" w:line="360" w:lineRule="auto"/>
        <w:ind w:firstLine="422"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：本项目不适用。</w:t>
      </w:r>
    </w:p>
    <w:p w14:paraId="67D7EC45">
      <w:pPr>
        <w:shd w:val="clear"/>
        <w:adjustRightInd w:val="0"/>
        <w:snapToGrid w:val="0"/>
        <w:spacing w:before="156" w:beforeLines="50" w:line="360" w:lineRule="auto"/>
        <w:ind w:firstLine="420" w:firstLineChars="200"/>
        <w:jc w:val="left"/>
        <w:rPr>
          <w:rFonts w:asciiTheme="minorEastAsia" w:hAnsiTheme="minorEastAsia" w:eastAsiaTheme="minorEastAsia"/>
          <w:color w:val="auto"/>
          <w:highlight w:val="none"/>
        </w:rPr>
      </w:pPr>
    </w:p>
    <w:p w14:paraId="4B708B4B">
      <w:pPr>
        <w:pStyle w:val="103"/>
        <w:shd w:val="clear"/>
        <w:ind w:firstLine="420"/>
        <w:rPr>
          <w:rFonts w:asciiTheme="minorEastAsia" w:hAnsiTheme="minorEastAsia" w:eastAsiaTheme="minorEastAsia"/>
          <w:color w:val="auto"/>
          <w:highlight w:val="none"/>
        </w:rPr>
      </w:pPr>
    </w:p>
    <w:p w14:paraId="59798C9B">
      <w:pPr>
        <w:pStyle w:val="103"/>
        <w:shd w:val="clear"/>
        <w:ind w:firstLine="420"/>
        <w:rPr>
          <w:rFonts w:asciiTheme="minorEastAsia" w:hAnsiTheme="minorEastAsia" w:eastAsiaTheme="minorEastAsia"/>
          <w:color w:val="auto"/>
          <w:highlight w:val="none"/>
        </w:rPr>
      </w:pPr>
    </w:p>
    <w:p w14:paraId="2A71266A">
      <w:pPr>
        <w:pStyle w:val="103"/>
        <w:shd w:val="clear"/>
        <w:ind w:firstLine="420"/>
        <w:rPr>
          <w:rFonts w:asciiTheme="minorEastAsia" w:hAnsiTheme="minorEastAsia" w:eastAsiaTheme="minorEastAsia"/>
          <w:color w:val="auto"/>
          <w:highlight w:val="none"/>
        </w:rPr>
      </w:pPr>
    </w:p>
    <w:p w14:paraId="7AE12C7F">
      <w:pPr>
        <w:pStyle w:val="103"/>
        <w:shd w:val="clear"/>
        <w:ind w:firstLine="420"/>
        <w:rPr>
          <w:rFonts w:asciiTheme="minorEastAsia" w:hAnsiTheme="minorEastAsia" w:eastAsiaTheme="minorEastAsia"/>
          <w:color w:val="auto"/>
          <w:highlight w:val="none"/>
        </w:rPr>
      </w:pPr>
    </w:p>
    <w:p w14:paraId="383DC0A9">
      <w:pPr>
        <w:pStyle w:val="103"/>
        <w:shd w:val="clear"/>
        <w:ind w:firstLine="420"/>
        <w:rPr>
          <w:rFonts w:asciiTheme="minorEastAsia" w:hAnsiTheme="minorEastAsia" w:eastAsiaTheme="minorEastAsia"/>
          <w:color w:val="auto"/>
          <w:highlight w:val="none"/>
        </w:rPr>
      </w:pPr>
    </w:p>
    <w:p w14:paraId="503ADB59">
      <w:pPr>
        <w:pStyle w:val="103"/>
        <w:shd w:val="clear"/>
        <w:ind w:firstLine="420"/>
        <w:rPr>
          <w:rFonts w:asciiTheme="minorEastAsia" w:hAnsiTheme="minorEastAsia" w:eastAsiaTheme="minorEastAsia"/>
          <w:color w:val="auto"/>
          <w:highlight w:val="none"/>
        </w:rPr>
      </w:pPr>
    </w:p>
    <w:p w14:paraId="06666C92">
      <w:pPr>
        <w:pStyle w:val="103"/>
        <w:shd w:val="clear"/>
        <w:ind w:firstLine="420"/>
        <w:rPr>
          <w:rFonts w:asciiTheme="minorEastAsia" w:hAnsiTheme="minorEastAsia" w:eastAsiaTheme="minorEastAsia"/>
          <w:color w:val="auto"/>
          <w:highlight w:val="none"/>
        </w:rPr>
      </w:pPr>
    </w:p>
    <w:p w14:paraId="65E1163E">
      <w:pPr>
        <w:pStyle w:val="103"/>
        <w:shd w:val="clear"/>
        <w:ind w:firstLine="420"/>
        <w:rPr>
          <w:rFonts w:asciiTheme="minorEastAsia" w:hAnsiTheme="minorEastAsia" w:eastAsiaTheme="minorEastAsia"/>
          <w:color w:val="auto"/>
          <w:highlight w:val="none"/>
        </w:rPr>
      </w:pPr>
    </w:p>
    <w:p w14:paraId="4A925A1C">
      <w:pPr>
        <w:pStyle w:val="103"/>
        <w:shd w:val="clear"/>
        <w:ind w:firstLine="420"/>
        <w:rPr>
          <w:rFonts w:asciiTheme="minorEastAsia" w:hAnsiTheme="minorEastAsia" w:eastAsiaTheme="minorEastAsia"/>
          <w:color w:val="auto"/>
          <w:highlight w:val="none"/>
        </w:rPr>
      </w:pPr>
    </w:p>
    <w:p w14:paraId="2980C9BA">
      <w:pPr>
        <w:pStyle w:val="103"/>
        <w:shd w:val="clear"/>
        <w:ind w:firstLine="420"/>
        <w:rPr>
          <w:rFonts w:asciiTheme="minorEastAsia" w:hAnsiTheme="minorEastAsia" w:eastAsiaTheme="minorEastAsia"/>
          <w:color w:val="auto"/>
          <w:highlight w:val="none"/>
        </w:rPr>
      </w:pPr>
    </w:p>
    <w:p w14:paraId="25C9BFD3">
      <w:pPr>
        <w:pStyle w:val="103"/>
        <w:shd w:val="clear"/>
        <w:ind w:firstLine="420"/>
        <w:rPr>
          <w:rFonts w:asciiTheme="minorEastAsia" w:hAnsiTheme="minorEastAsia" w:eastAsiaTheme="minorEastAsia"/>
          <w:color w:val="auto"/>
          <w:highlight w:val="none"/>
        </w:rPr>
      </w:pPr>
    </w:p>
    <w:p w14:paraId="0788BF01">
      <w:pPr>
        <w:pStyle w:val="103"/>
        <w:shd w:val="clear"/>
        <w:ind w:firstLine="420"/>
        <w:rPr>
          <w:rFonts w:asciiTheme="minorEastAsia" w:hAnsiTheme="minorEastAsia" w:eastAsiaTheme="minorEastAsia"/>
          <w:color w:val="auto"/>
          <w:highlight w:val="none"/>
        </w:rPr>
      </w:pPr>
    </w:p>
    <w:p w14:paraId="639A0F3A">
      <w:pPr>
        <w:pStyle w:val="103"/>
        <w:shd w:val="clear"/>
        <w:ind w:firstLine="420"/>
        <w:rPr>
          <w:rFonts w:asciiTheme="minorEastAsia" w:hAnsiTheme="minorEastAsia" w:eastAsiaTheme="minorEastAsia"/>
          <w:color w:val="auto"/>
          <w:highlight w:val="none"/>
        </w:rPr>
      </w:pPr>
    </w:p>
    <w:p w14:paraId="5B19E5D2">
      <w:pPr>
        <w:pStyle w:val="103"/>
        <w:shd w:val="clear"/>
        <w:ind w:firstLine="420"/>
        <w:rPr>
          <w:rFonts w:asciiTheme="minorEastAsia" w:hAnsiTheme="minorEastAsia" w:eastAsiaTheme="minorEastAsia"/>
          <w:color w:val="auto"/>
          <w:highlight w:val="none"/>
        </w:rPr>
      </w:pPr>
    </w:p>
    <w:p w14:paraId="1CF11D6F">
      <w:pPr>
        <w:pStyle w:val="103"/>
        <w:shd w:val="clear"/>
        <w:ind w:firstLine="420"/>
        <w:rPr>
          <w:rFonts w:asciiTheme="minorEastAsia" w:hAnsiTheme="minorEastAsia" w:eastAsiaTheme="minorEastAsia"/>
          <w:color w:val="auto"/>
          <w:highlight w:val="none"/>
        </w:rPr>
      </w:pPr>
    </w:p>
    <w:p w14:paraId="7B2662F8">
      <w:pPr>
        <w:pStyle w:val="103"/>
        <w:shd w:val="clear"/>
        <w:ind w:firstLine="420"/>
        <w:rPr>
          <w:rFonts w:asciiTheme="minorEastAsia" w:hAnsiTheme="minorEastAsia" w:eastAsiaTheme="minorEastAsia"/>
          <w:color w:val="auto"/>
          <w:highlight w:val="none"/>
        </w:rPr>
      </w:pPr>
    </w:p>
    <w:p w14:paraId="4C4B29C5">
      <w:pPr>
        <w:pStyle w:val="103"/>
        <w:shd w:val="clear"/>
        <w:ind w:firstLine="420"/>
        <w:rPr>
          <w:rFonts w:asciiTheme="minorEastAsia" w:hAnsiTheme="minorEastAsia" w:eastAsiaTheme="minorEastAsia"/>
          <w:color w:val="auto"/>
          <w:highlight w:val="none"/>
        </w:rPr>
      </w:pPr>
    </w:p>
    <w:p w14:paraId="0CB01EAD">
      <w:pPr>
        <w:pStyle w:val="103"/>
        <w:shd w:val="clear"/>
        <w:ind w:firstLine="420"/>
        <w:rPr>
          <w:rFonts w:asciiTheme="minorEastAsia" w:hAnsiTheme="minorEastAsia" w:eastAsiaTheme="minorEastAsia"/>
          <w:color w:val="auto"/>
          <w:highlight w:val="none"/>
        </w:rPr>
      </w:pPr>
    </w:p>
    <w:p w14:paraId="35E6A18D">
      <w:pPr>
        <w:pStyle w:val="103"/>
        <w:shd w:val="clear"/>
        <w:ind w:firstLine="420"/>
        <w:rPr>
          <w:rFonts w:asciiTheme="minorEastAsia" w:hAnsiTheme="minorEastAsia" w:eastAsiaTheme="minorEastAsia"/>
          <w:color w:val="auto"/>
          <w:highlight w:val="none"/>
        </w:rPr>
      </w:pPr>
    </w:p>
    <w:p w14:paraId="29D35293">
      <w:pPr>
        <w:pStyle w:val="103"/>
        <w:shd w:val="clear"/>
        <w:ind w:firstLine="420"/>
        <w:rPr>
          <w:rFonts w:asciiTheme="minorEastAsia" w:hAnsiTheme="minorEastAsia" w:eastAsiaTheme="minorEastAsia"/>
          <w:color w:val="auto"/>
          <w:highlight w:val="none"/>
        </w:rPr>
      </w:pPr>
    </w:p>
    <w:p w14:paraId="1E374689">
      <w:pPr>
        <w:pStyle w:val="103"/>
        <w:shd w:val="clear"/>
        <w:ind w:firstLine="420"/>
        <w:rPr>
          <w:rFonts w:asciiTheme="minorEastAsia" w:hAnsiTheme="minorEastAsia" w:eastAsiaTheme="minorEastAsia"/>
          <w:color w:val="auto"/>
          <w:highlight w:val="none"/>
        </w:rPr>
      </w:pPr>
    </w:p>
    <w:p w14:paraId="0B448D78">
      <w:pPr>
        <w:pStyle w:val="103"/>
        <w:shd w:val="clear"/>
        <w:ind w:firstLine="420"/>
        <w:rPr>
          <w:rFonts w:asciiTheme="minorEastAsia" w:hAnsiTheme="minorEastAsia" w:eastAsiaTheme="minorEastAsia"/>
          <w:color w:val="auto"/>
          <w:highlight w:val="none"/>
        </w:rPr>
      </w:pPr>
    </w:p>
    <w:p w14:paraId="59EDE14E">
      <w:pPr>
        <w:pStyle w:val="103"/>
        <w:shd w:val="clear"/>
        <w:ind w:firstLine="420"/>
        <w:rPr>
          <w:rFonts w:asciiTheme="minorEastAsia" w:hAnsiTheme="minorEastAsia" w:eastAsiaTheme="minorEastAsia"/>
          <w:color w:val="auto"/>
          <w:highlight w:val="none"/>
        </w:rPr>
      </w:pPr>
    </w:p>
    <w:p w14:paraId="54B29465">
      <w:pPr>
        <w:pStyle w:val="103"/>
        <w:shd w:val="clear"/>
        <w:ind w:firstLine="420"/>
        <w:rPr>
          <w:rFonts w:asciiTheme="minorEastAsia" w:hAnsiTheme="minorEastAsia" w:eastAsiaTheme="minorEastAsia"/>
          <w:color w:val="auto"/>
          <w:highlight w:val="none"/>
        </w:rPr>
      </w:pPr>
    </w:p>
    <w:p w14:paraId="3EFED786">
      <w:pPr>
        <w:pStyle w:val="103"/>
        <w:shd w:val="clear"/>
        <w:ind w:firstLine="420"/>
        <w:rPr>
          <w:rFonts w:asciiTheme="minorEastAsia" w:hAnsiTheme="minorEastAsia" w:eastAsiaTheme="minorEastAsia"/>
          <w:color w:val="auto"/>
          <w:highlight w:val="none"/>
        </w:rPr>
      </w:pPr>
    </w:p>
    <w:p w14:paraId="588AC6B3">
      <w:pPr>
        <w:pStyle w:val="103"/>
        <w:shd w:val="clear"/>
        <w:ind w:firstLine="420"/>
        <w:rPr>
          <w:rFonts w:asciiTheme="minorEastAsia" w:hAnsiTheme="minorEastAsia" w:eastAsiaTheme="minorEastAsia"/>
          <w:color w:val="auto"/>
          <w:highlight w:val="none"/>
        </w:rPr>
      </w:pPr>
    </w:p>
    <w:p w14:paraId="778866F7">
      <w:pPr>
        <w:pStyle w:val="103"/>
        <w:shd w:val="clear"/>
        <w:ind w:firstLine="420"/>
        <w:rPr>
          <w:rFonts w:asciiTheme="minorEastAsia" w:hAnsiTheme="minorEastAsia" w:eastAsiaTheme="minorEastAsia"/>
          <w:color w:val="auto"/>
          <w:highlight w:val="none"/>
        </w:rPr>
      </w:pPr>
    </w:p>
    <w:p w14:paraId="7EA2AAD7">
      <w:pPr>
        <w:pStyle w:val="103"/>
        <w:shd w:val="clear"/>
        <w:ind w:firstLine="420"/>
        <w:rPr>
          <w:rFonts w:asciiTheme="minorEastAsia" w:hAnsiTheme="minorEastAsia" w:eastAsiaTheme="minorEastAsia"/>
          <w:color w:val="auto"/>
          <w:highlight w:val="none"/>
        </w:rPr>
      </w:pPr>
    </w:p>
    <w:p w14:paraId="0DF5ADEA">
      <w:pPr>
        <w:pStyle w:val="103"/>
        <w:shd w:val="clear"/>
        <w:ind w:firstLine="420"/>
        <w:rPr>
          <w:rFonts w:asciiTheme="minorEastAsia" w:hAnsiTheme="minorEastAsia" w:eastAsiaTheme="minorEastAsia"/>
          <w:color w:val="auto"/>
          <w:highlight w:val="none"/>
        </w:rPr>
      </w:pPr>
    </w:p>
    <w:p w14:paraId="76F853CD">
      <w:pPr>
        <w:pStyle w:val="103"/>
        <w:shd w:val="clear"/>
        <w:ind w:firstLine="420"/>
        <w:rPr>
          <w:rFonts w:asciiTheme="minorEastAsia" w:hAnsiTheme="minorEastAsia" w:eastAsiaTheme="minorEastAsia"/>
          <w:color w:val="auto"/>
          <w:highlight w:val="none"/>
        </w:rPr>
      </w:pPr>
    </w:p>
    <w:p w14:paraId="14265E68">
      <w:pPr>
        <w:pStyle w:val="103"/>
        <w:shd w:val="clear"/>
        <w:ind w:firstLine="420"/>
        <w:rPr>
          <w:rFonts w:asciiTheme="minorEastAsia" w:hAnsiTheme="minorEastAsia" w:eastAsiaTheme="minorEastAsia"/>
          <w:color w:val="auto"/>
          <w:highlight w:val="none"/>
        </w:rPr>
      </w:pPr>
    </w:p>
    <w:p w14:paraId="2115CD9B">
      <w:pPr>
        <w:pStyle w:val="103"/>
        <w:shd w:val="clear"/>
        <w:ind w:firstLine="420"/>
        <w:rPr>
          <w:rFonts w:asciiTheme="minorEastAsia" w:hAnsiTheme="minorEastAsia" w:eastAsiaTheme="minorEastAsia"/>
          <w:color w:val="auto"/>
          <w:highlight w:val="none"/>
        </w:rPr>
      </w:pPr>
    </w:p>
    <w:p w14:paraId="57959559">
      <w:pPr>
        <w:pStyle w:val="103"/>
        <w:shd w:val="clear"/>
        <w:ind w:firstLine="420"/>
        <w:rPr>
          <w:rFonts w:asciiTheme="minorEastAsia" w:hAnsiTheme="minorEastAsia" w:eastAsiaTheme="minorEastAsia"/>
          <w:color w:val="auto"/>
          <w:highlight w:val="none"/>
        </w:rPr>
      </w:pPr>
    </w:p>
    <w:p w14:paraId="6EEC0797">
      <w:pPr>
        <w:pStyle w:val="103"/>
        <w:shd w:val="clear"/>
        <w:ind w:firstLine="420"/>
        <w:rPr>
          <w:rFonts w:asciiTheme="minorEastAsia" w:hAnsiTheme="minorEastAsia" w:eastAsiaTheme="minorEastAsia"/>
          <w:color w:val="auto"/>
          <w:highlight w:val="none"/>
        </w:rPr>
      </w:pPr>
    </w:p>
    <w:p w14:paraId="7562046C">
      <w:pPr>
        <w:pStyle w:val="103"/>
        <w:shd w:val="clear"/>
        <w:ind w:firstLine="420"/>
        <w:rPr>
          <w:rFonts w:asciiTheme="minorEastAsia" w:hAnsiTheme="minorEastAsia" w:eastAsiaTheme="minorEastAsia"/>
          <w:color w:val="auto"/>
          <w:highlight w:val="none"/>
        </w:rPr>
      </w:pPr>
    </w:p>
    <w:p w14:paraId="1C99E5C6">
      <w:pPr>
        <w:pStyle w:val="4"/>
        <w:shd w:val="clear"/>
        <w:adjustRightInd w:val="0"/>
        <w:snapToGrid w:val="0"/>
        <w:spacing w:before="0" w:after="0" w:line="360" w:lineRule="auto"/>
        <w:jc w:val="center"/>
        <w:rPr>
          <w:rFonts w:hint="eastAsia" w:ascii="黑体" w:hAnsi="黑体" w:eastAsia="黑体"/>
          <w:color w:val="auto"/>
          <w:sz w:val="28"/>
          <w:szCs w:val="28"/>
          <w:highlight w:val="none"/>
        </w:rPr>
      </w:pPr>
      <w:bookmarkStart w:id="71" w:name="_Toc28980"/>
      <w:bookmarkStart w:id="72" w:name="_Toc13605"/>
      <w:bookmarkStart w:id="73" w:name="_Toc30652"/>
      <w:bookmarkStart w:id="74" w:name="_Toc1504"/>
    </w:p>
    <w:p w14:paraId="0B49C435">
      <w:pPr>
        <w:pStyle w:val="4"/>
        <w:shd w:val="clear"/>
        <w:adjustRightInd w:val="0"/>
        <w:snapToGrid w:val="0"/>
        <w:spacing w:before="0" w:after="0" w:line="360" w:lineRule="auto"/>
        <w:jc w:val="center"/>
        <w:rPr>
          <w:rFonts w:ascii="黑体" w:hAnsi="黑体" w:eastAsia="黑体"/>
          <w:color w:val="auto"/>
          <w:sz w:val="28"/>
          <w:szCs w:val="28"/>
          <w:highlight w:val="none"/>
        </w:rPr>
      </w:pPr>
      <w:r>
        <w:rPr>
          <w:rFonts w:hint="eastAsia" w:ascii="黑体" w:hAnsi="黑体" w:eastAsia="黑体"/>
          <w:color w:val="auto"/>
          <w:sz w:val="28"/>
          <w:szCs w:val="28"/>
          <w:highlight w:val="none"/>
        </w:rPr>
        <w:t>三、法定代表人（单位负责人）身份证明</w:t>
      </w:r>
      <w:bookmarkEnd w:id="71"/>
      <w:bookmarkEnd w:id="72"/>
      <w:bookmarkEnd w:id="73"/>
      <w:bookmarkEnd w:id="74"/>
    </w:p>
    <w:p w14:paraId="2E2A90BD">
      <w:pPr>
        <w:shd w:val="clea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4"/>
          <w:szCs w:val="21"/>
          <w:highlight w:val="none"/>
        </w:rPr>
      </w:pPr>
    </w:p>
    <w:p w14:paraId="683EAA00">
      <w:pPr>
        <w:shd w:val="clea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position w:val="-4"/>
          <w:szCs w:val="21"/>
          <w:highlight w:val="none"/>
        </w:rPr>
        <w:t>投标</w:t>
      </w:r>
      <w:r>
        <w:rPr>
          <w:rFonts w:hint="eastAsia" w:cs="微软雅黑" w:asciiTheme="minorEastAsia" w:hAnsiTheme="minorEastAsia" w:eastAsiaTheme="minorEastAsia"/>
          <w:color w:val="auto"/>
          <w:spacing w:val="-2"/>
          <w:kern w:val="0"/>
          <w:position w:val="-4"/>
          <w:szCs w:val="21"/>
          <w:highlight w:val="none"/>
        </w:rPr>
        <w:t>人</w:t>
      </w:r>
      <w:r>
        <w:rPr>
          <w:rFonts w:hint="eastAsia" w:cs="微软雅黑" w:asciiTheme="minorEastAsia" w:hAnsiTheme="minorEastAsia" w:eastAsiaTheme="minorEastAsia"/>
          <w:color w:val="auto"/>
          <w:kern w:val="0"/>
          <w:position w:val="-4"/>
          <w:szCs w:val="21"/>
          <w:highlight w:val="none"/>
        </w:rPr>
        <w:t>名</w:t>
      </w:r>
      <w:r>
        <w:rPr>
          <w:rFonts w:hint="eastAsia" w:cs="微软雅黑" w:asciiTheme="minorEastAsia" w:hAnsiTheme="minorEastAsia" w:eastAsiaTheme="minorEastAsia"/>
          <w:color w:val="auto"/>
          <w:spacing w:val="-2"/>
          <w:kern w:val="0"/>
          <w:position w:val="-4"/>
          <w:szCs w:val="21"/>
          <w:highlight w:val="none"/>
        </w:rPr>
        <w:t>称</w:t>
      </w:r>
      <w:r>
        <w:rPr>
          <w:rFonts w:hint="eastAsia" w:cs="微软雅黑" w:asciiTheme="minorEastAsia" w:hAnsiTheme="minorEastAsia" w:eastAsiaTheme="minorEastAsia"/>
          <w:color w:val="auto"/>
          <w:kern w:val="0"/>
          <w:position w:val="-4"/>
          <w:szCs w:val="21"/>
          <w:highlight w:val="none"/>
        </w:rPr>
        <w:t>：</w:t>
      </w:r>
    </w:p>
    <w:p w14:paraId="763B1436">
      <w:pPr>
        <w:shd w:val="clea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highlight w:val="none"/>
        </w:rPr>
      </w:pPr>
      <w:r>
        <w:rPr>
          <w:rFonts w:hint="eastAsia" w:cs="微软雅黑" w:asciiTheme="minorEastAsia" w:hAnsiTheme="minorEastAsia" w:eastAsiaTheme="minorEastAsia"/>
          <w:color w:val="auto"/>
          <w:kern w:val="0"/>
          <w:position w:val="-2"/>
          <w:szCs w:val="21"/>
          <w:highlight w:val="none"/>
        </w:rPr>
        <w:t>统一社会信用代码：</w:t>
      </w:r>
    </w:p>
    <w:p w14:paraId="5EBF59F9">
      <w:pPr>
        <w:shd w:val="clea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color w:val="auto"/>
          <w:kern w:val="0"/>
          <w:position w:val="-2"/>
          <w:szCs w:val="21"/>
          <w:highlight w:val="none"/>
        </w:rPr>
      </w:pPr>
      <w:r>
        <w:rPr>
          <w:rFonts w:hint="eastAsia" w:cs="微软雅黑" w:asciiTheme="minorEastAsia" w:hAnsiTheme="minorEastAsia" w:eastAsiaTheme="minorEastAsia"/>
          <w:color w:val="auto"/>
          <w:kern w:val="0"/>
          <w:position w:val="-2"/>
          <w:szCs w:val="21"/>
          <w:highlight w:val="none"/>
        </w:rPr>
        <w:t>注册地址：</w:t>
      </w:r>
    </w:p>
    <w:p w14:paraId="56DE2F2B">
      <w:pPr>
        <w:shd w:val="clea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position w:val="-2"/>
          <w:szCs w:val="21"/>
          <w:highlight w:val="none"/>
        </w:rPr>
        <w:t>姓名</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性别</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年</w:t>
      </w:r>
      <w:r>
        <w:rPr>
          <w:rFonts w:hint="eastAsia" w:cs="微软雅黑" w:asciiTheme="minorEastAsia" w:hAnsiTheme="minorEastAsia" w:eastAsiaTheme="minorEastAsia"/>
          <w:color w:val="auto"/>
          <w:spacing w:val="-2"/>
          <w:kern w:val="0"/>
          <w:position w:val="-2"/>
          <w:szCs w:val="21"/>
          <w:highlight w:val="none"/>
        </w:rPr>
        <w:t>龄</w:t>
      </w:r>
      <w:r>
        <w:rPr>
          <w:rFonts w:hint="eastAsia" w:cs="微软雅黑" w:asciiTheme="minorEastAsia" w:hAnsiTheme="minorEastAsia" w:eastAsiaTheme="minorEastAsia"/>
          <w:color w:val="auto"/>
          <w:kern w:val="0"/>
          <w:position w:val="-2"/>
          <w:szCs w:val="21"/>
          <w:highlight w:val="none"/>
        </w:rPr>
        <w:t>：职</w:t>
      </w:r>
      <w:r>
        <w:rPr>
          <w:rFonts w:hint="eastAsia" w:cs="微软雅黑" w:asciiTheme="minorEastAsia" w:hAnsiTheme="minorEastAsia" w:eastAsiaTheme="minorEastAsia"/>
          <w:color w:val="auto"/>
          <w:spacing w:val="-2"/>
          <w:kern w:val="0"/>
          <w:position w:val="-2"/>
          <w:szCs w:val="21"/>
          <w:highlight w:val="none"/>
        </w:rPr>
        <w:t>务</w:t>
      </w:r>
      <w:r>
        <w:rPr>
          <w:rFonts w:hint="eastAsia" w:cs="微软雅黑" w:asciiTheme="minorEastAsia" w:hAnsiTheme="minorEastAsia" w:eastAsiaTheme="minorEastAsia"/>
          <w:color w:val="auto"/>
          <w:kern w:val="0"/>
          <w:position w:val="-2"/>
          <w:szCs w:val="21"/>
          <w:highlight w:val="none"/>
        </w:rPr>
        <w:t>：系</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投</w:t>
      </w:r>
      <w:r>
        <w:rPr>
          <w:rFonts w:hint="eastAsia" w:cs="微软雅黑" w:asciiTheme="minorEastAsia" w:hAnsiTheme="minorEastAsia" w:eastAsiaTheme="minorEastAsia"/>
          <w:color w:val="auto"/>
          <w:spacing w:val="-2"/>
          <w:kern w:val="0"/>
          <w:position w:val="-2"/>
          <w:szCs w:val="21"/>
          <w:highlight w:val="none"/>
        </w:rPr>
        <w:t>标</w:t>
      </w:r>
      <w:r>
        <w:rPr>
          <w:rFonts w:hint="eastAsia" w:cs="微软雅黑" w:asciiTheme="minorEastAsia" w:hAnsiTheme="minorEastAsia" w:eastAsiaTheme="minorEastAsia"/>
          <w:color w:val="auto"/>
          <w:kern w:val="0"/>
          <w:position w:val="-2"/>
          <w:szCs w:val="21"/>
          <w:highlight w:val="none"/>
        </w:rPr>
        <w:t>人</w:t>
      </w:r>
      <w:r>
        <w:rPr>
          <w:rFonts w:hint="eastAsia" w:cs="微软雅黑" w:asciiTheme="minorEastAsia" w:hAnsiTheme="minorEastAsia" w:eastAsiaTheme="minorEastAsia"/>
          <w:color w:val="auto"/>
          <w:spacing w:val="-2"/>
          <w:kern w:val="0"/>
          <w:position w:val="-2"/>
          <w:szCs w:val="21"/>
          <w:highlight w:val="none"/>
        </w:rPr>
        <w:t>名</w:t>
      </w:r>
      <w:r>
        <w:rPr>
          <w:rFonts w:hint="eastAsia" w:cs="微软雅黑" w:asciiTheme="minorEastAsia" w:hAnsiTheme="minorEastAsia" w:eastAsiaTheme="minorEastAsia"/>
          <w:color w:val="auto"/>
          <w:kern w:val="0"/>
          <w:position w:val="-2"/>
          <w:szCs w:val="21"/>
          <w:highlight w:val="none"/>
        </w:rPr>
        <w:t>称</w:t>
      </w:r>
      <w:r>
        <w:rPr>
          <w:rFonts w:hint="eastAsia" w:cs="微软雅黑" w:asciiTheme="minorEastAsia" w:hAnsiTheme="minorEastAsia" w:eastAsiaTheme="minorEastAsia"/>
          <w:color w:val="auto"/>
          <w:spacing w:val="-2"/>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的</w:t>
      </w:r>
      <w:r>
        <w:rPr>
          <w:rFonts w:hint="eastAsia" w:cs="微软雅黑" w:asciiTheme="minorEastAsia" w:hAnsiTheme="minorEastAsia" w:eastAsiaTheme="minorEastAsia"/>
          <w:color w:val="auto"/>
          <w:spacing w:val="-2"/>
          <w:kern w:val="0"/>
          <w:position w:val="-2"/>
          <w:szCs w:val="21"/>
          <w:highlight w:val="none"/>
        </w:rPr>
        <w:t>法定</w:t>
      </w:r>
      <w:r>
        <w:rPr>
          <w:rFonts w:hint="eastAsia" w:cs="微软雅黑" w:asciiTheme="minorEastAsia" w:hAnsiTheme="minorEastAsia" w:eastAsiaTheme="minorEastAsia"/>
          <w:color w:val="auto"/>
          <w:kern w:val="0"/>
          <w:position w:val="-2"/>
          <w:szCs w:val="21"/>
          <w:highlight w:val="none"/>
        </w:rPr>
        <w:t>代表</w:t>
      </w:r>
      <w:r>
        <w:rPr>
          <w:rFonts w:hint="eastAsia" w:cs="微软雅黑" w:asciiTheme="minorEastAsia" w:hAnsiTheme="minorEastAsia" w:eastAsiaTheme="minorEastAsia"/>
          <w:color w:val="auto"/>
          <w:spacing w:val="-2"/>
          <w:kern w:val="0"/>
          <w:position w:val="-2"/>
          <w:szCs w:val="21"/>
          <w:highlight w:val="none"/>
        </w:rPr>
        <w:t>人</w:t>
      </w:r>
      <w:r>
        <w:rPr>
          <w:rFonts w:hint="eastAsia" w:cs="微软雅黑" w:asciiTheme="minorEastAsia" w:hAnsiTheme="minorEastAsia" w:eastAsiaTheme="minorEastAsia"/>
          <w:color w:val="auto"/>
          <w:kern w:val="0"/>
          <w:position w:val="-2"/>
          <w:szCs w:val="21"/>
          <w:highlight w:val="none"/>
        </w:rPr>
        <w:t>（</w:t>
      </w:r>
      <w:r>
        <w:rPr>
          <w:rFonts w:hint="eastAsia" w:cs="微软雅黑" w:asciiTheme="minorEastAsia" w:hAnsiTheme="minorEastAsia" w:eastAsiaTheme="minorEastAsia"/>
          <w:color w:val="auto"/>
          <w:spacing w:val="-2"/>
          <w:kern w:val="0"/>
          <w:position w:val="-2"/>
          <w:szCs w:val="21"/>
          <w:highlight w:val="none"/>
        </w:rPr>
        <w:t>单</w:t>
      </w:r>
      <w:r>
        <w:rPr>
          <w:rFonts w:hint="eastAsia" w:cs="微软雅黑" w:asciiTheme="minorEastAsia" w:hAnsiTheme="minorEastAsia" w:eastAsiaTheme="minorEastAsia"/>
          <w:color w:val="auto"/>
          <w:kern w:val="0"/>
          <w:position w:val="-2"/>
          <w:szCs w:val="21"/>
          <w:highlight w:val="none"/>
        </w:rPr>
        <w:t>位</w:t>
      </w:r>
      <w:r>
        <w:rPr>
          <w:rFonts w:hint="eastAsia" w:cs="微软雅黑" w:asciiTheme="minorEastAsia" w:hAnsiTheme="minorEastAsia" w:eastAsiaTheme="minorEastAsia"/>
          <w:color w:val="auto"/>
          <w:spacing w:val="-2"/>
          <w:kern w:val="0"/>
          <w:position w:val="-2"/>
          <w:szCs w:val="21"/>
          <w:highlight w:val="none"/>
        </w:rPr>
        <w:t>负</w:t>
      </w:r>
      <w:r>
        <w:rPr>
          <w:rFonts w:hint="eastAsia" w:cs="微软雅黑" w:asciiTheme="minorEastAsia" w:hAnsiTheme="minorEastAsia" w:eastAsiaTheme="minorEastAsia"/>
          <w:color w:val="auto"/>
          <w:kern w:val="0"/>
          <w:position w:val="-2"/>
          <w:szCs w:val="21"/>
          <w:highlight w:val="none"/>
        </w:rPr>
        <w:t>责</w:t>
      </w:r>
      <w:r>
        <w:rPr>
          <w:rFonts w:hint="eastAsia" w:cs="微软雅黑" w:asciiTheme="minorEastAsia" w:hAnsiTheme="minorEastAsia" w:eastAsiaTheme="minorEastAsia"/>
          <w:color w:val="auto"/>
          <w:spacing w:val="-2"/>
          <w:kern w:val="0"/>
          <w:position w:val="-2"/>
          <w:szCs w:val="21"/>
          <w:highlight w:val="none"/>
        </w:rPr>
        <w:t>人</w:t>
      </w:r>
      <w:r>
        <w:rPr>
          <w:rFonts w:hint="eastAsia" w:cs="微软雅黑" w:asciiTheme="minorEastAsia" w:hAnsiTheme="minorEastAsia" w:eastAsiaTheme="minorEastAsia"/>
          <w:color w:val="auto"/>
          <w:spacing w:val="-106"/>
          <w:kern w:val="0"/>
          <w:position w:val="-2"/>
          <w:szCs w:val="21"/>
          <w:highlight w:val="none"/>
        </w:rPr>
        <w:t>）</w:t>
      </w:r>
      <w:r>
        <w:rPr>
          <w:rFonts w:hint="eastAsia" w:cs="微软雅黑" w:asciiTheme="minorEastAsia" w:hAnsiTheme="minorEastAsia" w:eastAsiaTheme="minorEastAsia"/>
          <w:color w:val="auto"/>
          <w:kern w:val="0"/>
          <w:position w:val="-2"/>
          <w:szCs w:val="21"/>
          <w:highlight w:val="none"/>
        </w:rPr>
        <w:t>。</w:t>
      </w:r>
    </w:p>
    <w:p w14:paraId="7EA6EE07">
      <w:pPr>
        <w:shd w:val="clear"/>
        <w:autoSpaceDE w:val="0"/>
        <w:autoSpaceDN w:val="0"/>
        <w:adjustRightInd w:val="0"/>
        <w:snapToGrid w:val="0"/>
        <w:spacing w:line="360" w:lineRule="auto"/>
        <w:ind w:left="520" w:right="-2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特此</w:t>
      </w:r>
      <w:r>
        <w:rPr>
          <w:rFonts w:hint="eastAsia" w:cs="微软雅黑" w:asciiTheme="minorEastAsia" w:hAnsiTheme="minorEastAsia" w:eastAsiaTheme="minorEastAsia"/>
          <w:color w:val="auto"/>
          <w:spacing w:val="-2"/>
          <w:kern w:val="0"/>
          <w:szCs w:val="21"/>
          <w:highlight w:val="none"/>
        </w:rPr>
        <w:t>证</w:t>
      </w:r>
      <w:r>
        <w:rPr>
          <w:rFonts w:hint="eastAsia" w:cs="微软雅黑" w:asciiTheme="minorEastAsia" w:hAnsiTheme="minorEastAsia" w:eastAsiaTheme="minorEastAsia"/>
          <w:color w:val="auto"/>
          <w:kern w:val="0"/>
          <w:szCs w:val="21"/>
          <w:highlight w:val="none"/>
        </w:rPr>
        <w:t>明。</w:t>
      </w:r>
    </w:p>
    <w:p w14:paraId="09D17C95">
      <w:pPr>
        <w:shd w:val="clear"/>
        <w:autoSpaceDE w:val="0"/>
        <w:autoSpaceDN w:val="0"/>
        <w:adjustRightInd w:val="0"/>
        <w:snapToGrid w:val="0"/>
        <w:spacing w:line="360" w:lineRule="auto"/>
        <w:ind w:left="100" w:right="4231"/>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附：</w:t>
      </w: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cs="微软雅黑" w:asciiTheme="minorEastAsia" w:hAnsiTheme="minorEastAsia" w:eastAsiaTheme="minorEastAsia"/>
          <w:color w:val="auto"/>
          <w:kern w:val="0"/>
          <w:szCs w:val="21"/>
          <w:highlight w:val="none"/>
        </w:rPr>
        <w:t>身</w:t>
      </w:r>
      <w:r>
        <w:rPr>
          <w:rFonts w:hint="eastAsia" w:cs="微软雅黑" w:asciiTheme="minorEastAsia" w:hAnsiTheme="minorEastAsia" w:eastAsiaTheme="minorEastAsia"/>
          <w:color w:val="auto"/>
          <w:spacing w:val="-2"/>
          <w:kern w:val="0"/>
          <w:szCs w:val="21"/>
          <w:highlight w:val="none"/>
        </w:rPr>
        <w:t>份</w:t>
      </w:r>
      <w:r>
        <w:rPr>
          <w:rFonts w:hint="eastAsia" w:cs="微软雅黑" w:asciiTheme="minorEastAsia" w:hAnsiTheme="minorEastAsia" w:eastAsiaTheme="minorEastAsia"/>
          <w:color w:val="auto"/>
          <w:kern w:val="0"/>
          <w:szCs w:val="21"/>
          <w:highlight w:val="none"/>
        </w:rPr>
        <w:t>证</w:t>
      </w:r>
      <w:r>
        <w:rPr>
          <w:rFonts w:hint="eastAsia" w:cs="微软雅黑" w:asciiTheme="minorEastAsia" w:hAnsiTheme="minorEastAsia" w:eastAsiaTheme="minorEastAsia"/>
          <w:color w:val="auto"/>
          <w:spacing w:val="-2"/>
          <w:kern w:val="0"/>
          <w:szCs w:val="21"/>
          <w:highlight w:val="none"/>
        </w:rPr>
        <w:t>原件扫描件</w:t>
      </w:r>
      <w:r>
        <w:rPr>
          <w:rFonts w:hint="eastAsia" w:cs="微软雅黑" w:asciiTheme="minorEastAsia" w:hAnsiTheme="minorEastAsia" w:eastAsiaTheme="minorEastAsia"/>
          <w:color w:val="auto"/>
          <w:kern w:val="0"/>
          <w:szCs w:val="21"/>
          <w:highlight w:val="none"/>
        </w:rPr>
        <w:t>。</w:t>
      </w:r>
    </w:p>
    <w:tbl>
      <w:tblPr>
        <w:tblStyle w:val="43"/>
        <w:tblW w:w="8647" w:type="dxa"/>
        <w:tblInd w:w="250" w:type="dxa"/>
        <w:tblLayout w:type="fixed"/>
        <w:tblCellMar>
          <w:top w:w="0" w:type="dxa"/>
          <w:left w:w="108" w:type="dxa"/>
          <w:bottom w:w="0" w:type="dxa"/>
          <w:right w:w="108" w:type="dxa"/>
        </w:tblCellMar>
      </w:tblPr>
      <w:tblGrid>
        <w:gridCol w:w="4323"/>
        <w:gridCol w:w="4324"/>
      </w:tblGrid>
      <w:tr w14:paraId="6165FD86">
        <w:tblPrEx>
          <w:tblCellMar>
            <w:top w:w="0" w:type="dxa"/>
            <w:left w:w="108" w:type="dxa"/>
            <w:bottom w:w="0" w:type="dxa"/>
            <w:right w:w="108" w:type="dxa"/>
          </w:tblCellMar>
        </w:tblPrEx>
        <w:trPr>
          <w:trHeight w:val="1265" w:hRule="atLeast"/>
        </w:trPr>
        <w:tc>
          <w:tcPr>
            <w:tcW w:w="4323" w:type="dxa"/>
            <w:vAlign w:val="center"/>
          </w:tcPr>
          <w:p w14:paraId="3578649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身份证（正面）</w:t>
            </w:r>
          </w:p>
        </w:tc>
        <w:tc>
          <w:tcPr>
            <w:tcW w:w="4324" w:type="dxa"/>
            <w:vAlign w:val="center"/>
          </w:tcPr>
          <w:p w14:paraId="4C702884">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身份证（反面）</w:t>
            </w:r>
          </w:p>
        </w:tc>
      </w:tr>
    </w:tbl>
    <w:p w14:paraId="1C6B237E">
      <w:pPr>
        <w:shd w:val="clear"/>
        <w:adjustRightInd w:val="0"/>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注：投标人代表为法定代表人（单位负责人）的提供。自然人投标的无需提供。</w:t>
      </w:r>
    </w:p>
    <w:p w14:paraId="5DCF826A">
      <w:pPr>
        <w:shd w:val="clear"/>
        <w:adjustRightInd w:val="0"/>
        <w:snapToGrid w:val="0"/>
        <w:spacing w:line="360" w:lineRule="auto"/>
        <w:rPr>
          <w:rFonts w:ascii="宋体" w:hAnsi="宋体"/>
          <w:color w:val="auto"/>
          <w:szCs w:val="21"/>
          <w:highlight w:val="none"/>
        </w:rPr>
      </w:pPr>
    </w:p>
    <w:p w14:paraId="5FBC9832">
      <w:pPr>
        <w:shd w:val="clear"/>
        <w:adjustRightInd w:val="0"/>
        <w:snapToGrid w:val="0"/>
        <w:spacing w:line="360" w:lineRule="auto"/>
        <w:rPr>
          <w:rFonts w:ascii="宋体" w:hAnsi="宋体"/>
          <w:color w:val="auto"/>
          <w:szCs w:val="21"/>
          <w:highlight w:val="none"/>
        </w:rPr>
      </w:pPr>
    </w:p>
    <w:p w14:paraId="2F61B9C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649D3E56">
      <w:pPr>
        <w:shd w:val="clear"/>
        <w:adjustRightInd w:val="0"/>
        <w:snapToGrid w:val="0"/>
        <w:spacing w:line="360" w:lineRule="auto"/>
        <w:ind w:right="420"/>
        <w:rPr>
          <w:rFonts w:ascii="宋体" w:hAnsi="宋体"/>
          <w:color w:val="auto"/>
          <w:szCs w:val="21"/>
          <w:highlight w:val="none"/>
        </w:rPr>
      </w:pPr>
      <w:r>
        <w:rPr>
          <w:rFonts w:hint="eastAsia" w:cs="宋体" w:asciiTheme="minorEastAsia" w:hAnsiTheme="minorEastAsia" w:eastAsiaTheme="minorEastAsia"/>
          <w:color w:val="auto"/>
          <w:szCs w:val="21"/>
          <w:highlight w:val="none"/>
        </w:rPr>
        <w:t>日期：</w:t>
      </w:r>
      <w:r>
        <w:rPr>
          <w:rFonts w:hint="eastAsia" w:ascii="宋体" w:hAnsi="宋体"/>
          <w:color w:val="auto"/>
          <w:szCs w:val="21"/>
          <w:highlight w:val="none"/>
        </w:rPr>
        <w:t>年月日</w:t>
      </w:r>
    </w:p>
    <w:p w14:paraId="2EA3ED10">
      <w:pPr>
        <w:shd w:val="clear"/>
        <w:adjustRightInd w:val="0"/>
        <w:snapToGrid w:val="0"/>
        <w:spacing w:line="360" w:lineRule="auto"/>
        <w:rPr>
          <w:color w:val="auto"/>
          <w:highlight w:val="none"/>
        </w:rPr>
      </w:pPr>
    </w:p>
    <w:p w14:paraId="262399CE">
      <w:pPr>
        <w:widowControl/>
        <w:shd w:val="clear"/>
        <w:jc w:val="left"/>
        <w:rPr>
          <w:color w:val="auto"/>
          <w:highlight w:val="none"/>
        </w:rPr>
      </w:pPr>
      <w:r>
        <w:rPr>
          <w:color w:val="auto"/>
          <w:highlight w:val="none"/>
        </w:rPr>
        <w:br w:type="page"/>
      </w:r>
    </w:p>
    <w:p w14:paraId="0CC0BEB5">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75" w:name="_Toc6920"/>
      <w:bookmarkStart w:id="76" w:name="_Toc6718"/>
      <w:bookmarkStart w:id="77" w:name="_Toc7745"/>
      <w:bookmarkStart w:id="78" w:name="_Toc30947"/>
    </w:p>
    <w:p w14:paraId="6508A090">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三、授权委托书</w:t>
      </w:r>
      <w:bookmarkEnd w:id="75"/>
      <w:bookmarkEnd w:id="76"/>
      <w:bookmarkEnd w:id="77"/>
      <w:bookmarkEnd w:id="78"/>
    </w:p>
    <w:p w14:paraId="6308FF0C">
      <w:pPr>
        <w:shd w:val="clea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1D79A786">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393A196D">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s="宋体"/>
          <w:color w:val="auto"/>
          <w:kern w:val="0"/>
          <w:szCs w:val="21"/>
          <w:highlight w:val="none"/>
        </w:rPr>
        <w:t>，现授权（姓名、职务）为我方代理人。代理人根据授权，以我方名义签署、澄清、说明、补正、递交、撤回、修改（项目名称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Theme="minorEastAsia" w:hAnsiTheme="minorEastAsia" w:eastAsiaTheme="minorEastAsia"/>
          <w:color w:val="auto"/>
          <w:highlight w:val="none"/>
        </w:rPr>
        <w:t>政府</w:t>
      </w:r>
      <w:r>
        <w:rPr>
          <w:rFonts w:hint="eastAsia" w:asciiTheme="minorEastAsia" w:hAnsiTheme="minorEastAsia" w:eastAsiaTheme="minorEastAsia"/>
          <w:iCs/>
          <w:color w:val="auto"/>
          <w:highlight w:val="none"/>
        </w:rPr>
        <w:t>采购编号：，</w:t>
      </w:r>
      <w:r>
        <w:rPr>
          <w:rFonts w:hint="eastAsia" w:ascii="宋体" w:hAnsi="宋体" w:cs="宋体"/>
          <w:color w:val="auto"/>
          <w:kern w:val="0"/>
          <w:szCs w:val="21"/>
          <w:highlight w:val="none"/>
        </w:rPr>
        <w:t>采购代理编号：）投标文件、签订合同和处理有关事宜，其法律后果由我方承担。</w:t>
      </w:r>
    </w:p>
    <w:p w14:paraId="580AF599">
      <w:pPr>
        <w:shd w:val="clea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w:t>
      </w:r>
    </w:p>
    <w:p w14:paraId="7339CCD7">
      <w:pPr>
        <w:shd w:val="clea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55ADA628">
      <w:pPr>
        <w:shd w:val="clear"/>
        <w:adjustRightInd w:val="0"/>
        <w:snapToGrid w:val="0"/>
        <w:spacing w:line="360" w:lineRule="auto"/>
        <w:ind w:firstLine="435"/>
        <w:rPr>
          <w:rFonts w:cs="微软雅黑" w:asciiTheme="minorEastAsia" w:hAnsiTheme="minorEastAsia" w:eastAsiaTheme="minorEastAsia"/>
          <w:color w:val="auto"/>
          <w:kern w:val="0"/>
          <w:szCs w:val="21"/>
          <w:highlight w:val="none"/>
        </w:rPr>
      </w:pPr>
      <w:r>
        <w:rPr>
          <w:rFonts w:hint="eastAsia" w:ascii="宋体" w:hAnsi="宋体"/>
          <w:color w:val="auto"/>
          <w:szCs w:val="21"/>
          <w:highlight w:val="none"/>
        </w:rPr>
        <w:t>本授权书于年月日签字生效，特此声明。</w:t>
      </w:r>
    </w:p>
    <w:tbl>
      <w:tblPr>
        <w:tblStyle w:val="43"/>
        <w:tblW w:w="8789" w:type="dxa"/>
        <w:tblInd w:w="108" w:type="dxa"/>
        <w:tblLayout w:type="fixed"/>
        <w:tblCellMar>
          <w:top w:w="0" w:type="dxa"/>
          <w:left w:w="108" w:type="dxa"/>
          <w:bottom w:w="0" w:type="dxa"/>
          <w:right w:w="108" w:type="dxa"/>
        </w:tblCellMar>
      </w:tblPr>
      <w:tblGrid>
        <w:gridCol w:w="4465"/>
        <w:gridCol w:w="4324"/>
      </w:tblGrid>
      <w:tr w14:paraId="6409D185">
        <w:tblPrEx>
          <w:tblCellMar>
            <w:top w:w="0" w:type="dxa"/>
            <w:left w:w="108" w:type="dxa"/>
            <w:bottom w:w="0" w:type="dxa"/>
            <w:right w:w="108" w:type="dxa"/>
          </w:tblCellMar>
        </w:tblPrEx>
        <w:trPr>
          <w:trHeight w:val="1265" w:hRule="atLeast"/>
        </w:trPr>
        <w:tc>
          <w:tcPr>
            <w:tcW w:w="4465" w:type="dxa"/>
            <w:vAlign w:val="center"/>
          </w:tcPr>
          <w:p w14:paraId="3A3695A8">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身份证（正面）</w:t>
            </w:r>
          </w:p>
        </w:tc>
        <w:tc>
          <w:tcPr>
            <w:tcW w:w="4324" w:type="dxa"/>
            <w:vAlign w:val="center"/>
          </w:tcPr>
          <w:p w14:paraId="00A8F199">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身份证（反面）</w:t>
            </w:r>
          </w:p>
        </w:tc>
      </w:tr>
    </w:tbl>
    <w:p w14:paraId="636E7FD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注：投标人代表不是投标人的法定代表人（单位负责人）的提供。自然人投标的无需提供。</w:t>
      </w:r>
    </w:p>
    <w:p w14:paraId="54B11644">
      <w:pPr>
        <w:shd w:val="clear"/>
        <w:adjustRightInd w:val="0"/>
        <w:snapToGrid w:val="0"/>
        <w:spacing w:line="360" w:lineRule="auto"/>
        <w:ind w:firstLine="420" w:firstLineChars="200"/>
        <w:rPr>
          <w:rFonts w:ascii="宋体" w:hAnsi="宋体"/>
          <w:color w:val="auto"/>
          <w:szCs w:val="21"/>
          <w:highlight w:val="none"/>
        </w:rPr>
      </w:pPr>
    </w:p>
    <w:p w14:paraId="0BD542A4">
      <w:pPr>
        <w:shd w:val="clear"/>
        <w:adjustRightInd w:val="0"/>
        <w:snapToGrid w:val="0"/>
        <w:spacing w:line="360" w:lineRule="auto"/>
        <w:ind w:firstLine="420" w:firstLineChars="200"/>
        <w:rPr>
          <w:rFonts w:ascii="宋体" w:hAnsi="宋体"/>
          <w:color w:val="auto"/>
          <w:szCs w:val="21"/>
          <w:highlight w:val="none"/>
        </w:rPr>
      </w:pPr>
    </w:p>
    <w:p w14:paraId="3494D408">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43A3E36E">
      <w:pPr>
        <w:shd w:val="clear"/>
        <w:adjustRightInd w:val="0"/>
        <w:snapToGrid w:val="0"/>
        <w:spacing w:line="360" w:lineRule="auto"/>
        <w:ind w:right="420"/>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（电子签字或电子印章）：</w:t>
      </w:r>
    </w:p>
    <w:p w14:paraId="0C84C835">
      <w:pPr>
        <w:shd w:val="clea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委托代理人（电子签字或电子印章）：</w:t>
      </w:r>
    </w:p>
    <w:p w14:paraId="39E27D30">
      <w:pPr>
        <w:shd w:val="clear"/>
        <w:adjustRightInd w:val="0"/>
        <w:snapToGrid w:val="0"/>
        <w:spacing w:line="360" w:lineRule="auto"/>
        <w:ind w:right="420"/>
        <w:rPr>
          <w:rFonts w:ascii="宋体" w:hAnsi="宋体"/>
          <w:color w:val="auto"/>
          <w:szCs w:val="21"/>
          <w:highlight w:val="none"/>
        </w:rPr>
      </w:pPr>
      <w:r>
        <w:rPr>
          <w:rFonts w:hint="eastAsia" w:cs="宋体" w:asciiTheme="minorEastAsia" w:hAnsiTheme="minorEastAsia" w:eastAsiaTheme="minorEastAsia"/>
          <w:color w:val="auto"/>
          <w:szCs w:val="21"/>
          <w:highlight w:val="none"/>
        </w:rPr>
        <w:t>日期：</w:t>
      </w:r>
      <w:r>
        <w:rPr>
          <w:rFonts w:hint="eastAsia" w:ascii="宋体" w:hAnsi="宋体"/>
          <w:color w:val="auto"/>
          <w:szCs w:val="21"/>
          <w:highlight w:val="none"/>
        </w:rPr>
        <w:t>年月日</w:t>
      </w:r>
    </w:p>
    <w:p w14:paraId="5B4DA612">
      <w:pPr>
        <w:shd w:val="clear"/>
        <w:adjustRightInd w:val="0"/>
        <w:snapToGrid w:val="0"/>
        <w:spacing w:line="360" w:lineRule="auto"/>
        <w:jc w:val="left"/>
        <w:rPr>
          <w:rFonts w:ascii="黑体" w:hAnsi="黑体" w:eastAsia="黑体"/>
          <w:bCs/>
          <w:color w:val="auto"/>
          <w:sz w:val="28"/>
          <w:szCs w:val="28"/>
          <w:highlight w:val="none"/>
        </w:rPr>
      </w:pPr>
      <w:r>
        <w:rPr>
          <w:rFonts w:ascii="黑体" w:hAnsi="黑体" w:eastAsia="黑体"/>
          <w:bCs/>
          <w:color w:val="auto"/>
          <w:sz w:val="28"/>
          <w:szCs w:val="28"/>
          <w:highlight w:val="none"/>
        </w:rPr>
        <w:br w:type="page"/>
      </w:r>
    </w:p>
    <w:p w14:paraId="74F8CF83">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79" w:name="_Toc22836"/>
      <w:bookmarkStart w:id="80" w:name="_Toc20815"/>
      <w:bookmarkStart w:id="81" w:name="_Toc4389"/>
      <w:bookmarkStart w:id="82" w:name="_Toc25417"/>
    </w:p>
    <w:p w14:paraId="11D8861E">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四、投标人提供的资格证明文件</w:t>
      </w:r>
      <w:bookmarkEnd w:id="79"/>
      <w:bookmarkEnd w:id="80"/>
      <w:bookmarkEnd w:id="81"/>
      <w:bookmarkEnd w:id="82"/>
    </w:p>
    <w:p w14:paraId="64691FA8">
      <w:pPr>
        <w:pStyle w:val="23"/>
        <w:shd w:val="clear"/>
        <w:adjustRightInd w:val="0"/>
        <w:snapToGrid w:val="0"/>
        <w:spacing w:line="360" w:lineRule="auto"/>
        <w:jc w:val="center"/>
        <w:rPr>
          <w:rFonts w:hAnsi="宋体"/>
          <w:b/>
          <w:bCs/>
          <w:color w:val="auto"/>
          <w:sz w:val="24"/>
          <w:szCs w:val="24"/>
          <w:highlight w:val="none"/>
        </w:rPr>
      </w:pPr>
    </w:p>
    <w:p w14:paraId="09723422">
      <w:pPr>
        <w:pStyle w:val="23"/>
        <w:shd w:val="clear" w:color="auto"/>
        <w:adjustRightInd w:val="0"/>
        <w:snapToGrid w:val="0"/>
        <w:spacing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须  知</w:t>
      </w:r>
    </w:p>
    <w:p w14:paraId="00CE7D49">
      <w:pPr>
        <w:shd w:val="clear" w:color="auto"/>
        <w:tabs>
          <w:tab w:val="left" w:pos="4725"/>
        </w:tabs>
        <w:adjustRightInd w:val="0"/>
        <w:snapToGrid w:val="0"/>
        <w:spacing w:before="156" w:beforeLines="50"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1、投标人应按第三章资格审查要求提供资格证明材料</w:t>
      </w:r>
    </w:p>
    <w:p w14:paraId="1AA29397">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附件4-1 法人或者其他组织的营业执照等主体资格证明文件，自然人的身份证明</w:t>
      </w:r>
    </w:p>
    <w:p w14:paraId="119B2F42">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附件4-2 湖南省政府采购供应商资格承诺函(格式)</w:t>
      </w:r>
    </w:p>
    <w:p w14:paraId="4DEA44E4">
      <w:pPr>
        <w:shd w:val="clear" w:color="auto"/>
        <w:tabs>
          <w:tab w:val="left" w:pos="4725"/>
        </w:tabs>
        <w:adjustRightInd w:val="0"/>
        <w:snapToGrid w:val="0"/>
        <w:spacing w:before="156" w:beforeLines="50" w:line="360" w:lineRule="auto"/>
        <w:ind w:firstLine="735" w:firstLineChars="350"/>
        <w:rPr>
          <w:rFonts w:ascii="宋体" w:hAnsi="宋体" w:eastAsia="宋体"/>
          <w:color w:val="auto"/>
          <w:szCs w:val="21"/>
          <w:highlight w:val="none"/>
        </w:rPr>
      </w:pPr>
      <w:r>
        <w:rPr>
          <w:rFonts w:hint="eastAsia" w:ascii="宋体" w:hAnsi="宋体" w:eastAsia="宋体"/>
          <w:color w:val="auto"/>
          <w:szCs w:val="21"/>
          <w:highlight w:val="none"/>
        </w:rPr>
        <w:t>附件4-3 符合特定资格条件证明材料或者情况说明</w:t>
      </w:r>
    </w:p>
    <w:p w14:paraId="7ED53555">
      <w:pPr>
        <w:shd w:val="clear" w:color="auto"/>
        <w:tabs>
          <w:tab w:val="left" w:pos="4725"/>
        </w:tabs>
        <w:adjustRightInd w:val="0"/>
        <w:snapToGrid w:val="0"/>
        <w:spacing w:before="156" w:beforeLines="50" w:line="360" w:lineRule="auto"/>
        <w:ind w:firstLine="735" w:firstLineChars="350"/>
        <w:rPr>
          <w:rFonts w:ascii="宋体" w:hAnsi="宋体"/>
          <w:color w:val="auto"/>
          <w:szCs w:val="21"/>
          <w:highlight w:val="none"/>
        </w:rPr>
      </w:pPr>
      <w:r>
        <w:rPr>
          <w:rFonts w:hint="eastAsia" w:ascii="宋体" w:hAnsi="宋体"/>
          <w:color w:val="auto"/>
          <w:szCs w:val="21"/>
          <w:highlight w:val="none"/>
        </w:rPr>
        <w:t>附件4-4 联合体协议书（格式）（联合体形式投标的提供）</w:t>
      </w:r>
    </w:p>
    <w:p w14:paraId="222646CC">
      <w:pPr>
        <w:shd w:val="clear" w:color="auto"/>
        <w:tabs>
          <w:tab w:val="left" w:pos="4725"/>
        </w:tabs>
        <w:adjustRightInd w:val="0"/>
        <w:snapToGrid w:val="0"/>
        <w:spacing w:before="156" w:beforeLines="50"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2、</w:t>
      </w:r>
      <w:r>
        <w:rPr>
          <w:rFonts w:hint="eastAsia" w:ascii="宋体" w:hAnsi="宋体" w:cs="宋体"/>
          <w:color w:val="auto"/>
          <w:szCs w:val="21"/>
          <w:highlight w:val="none"/>
        </w:rPr>
        <w:t>投标人以联合体形式投标的，除应提交联合协议书(本节附4-4)外，参加联合体的各方均应提交上款资格证明材料。</w:t>
      </w:r>
    </w:p>
    <w:p w14:paraId="342868F9">
      <w:pPr>
        <w:shd w:val="clear" w:color="auto"/>
        <w:tabs>
          <w:tab w:val="left" w:pos="4725"/>
        </w:tabs>
        <w:adjustRightInd w:val="0"/>
        <w:snapToGrid w:val="0"/>
        <w:spacing w:line="360" w:lineRule="auto"/>
        <w:rPr>
          <w:rFonts w:ascii="宋体" w:hAnsi="宋体" w:cs="宋体"/>
          <w:color w:val="auto"/>
          <w:szCs w:val="21"/>
          <w:highlight w:val="none"/>
        </w:rPr>
      </w:pPr>
    </w:p>
    <w:p w14:paraId="0DA14D99">
      <w:pPr>
        <w:widowControl/>
        <w:shd w:val="clear" w:color="auto"/>
        <w:adjustRightInd w:val="0"/>
        <w:snapToGrid w:val="0"/>
        <w:spacing w:line="360" w:lineRule="auto"/>
        <w:jc w:val="left"/>
        <w:rPr>
          <w:rFonts w:ascii="黑体" w:hAnsi="仿宋" w:eastAsia="黑体" w:cs="宋体"/>
          <w:color w:val="auto"/>
          <w:szCs w:val="21"/>
          <w:highlight w:val="none"/>
        </w:rPr>
      </w:pPr>
      <w:r>
        <w:rPr>
          <w:rFonts w:ascii="黑体" w:hAnsi="仿宋" w:eastAsia="黑体" w:cs="宋体"/>
          <w:color w:val="auto"/>
          <w:szCs w:val="21"/>
          <w:highlight w:val="none"/>
        </w:rPr>
        <w:br w:type="page"/>
      </w:r>
      <w:bookmarkStart w:id="83" w:name="_Toc20651249"/>
    </w:p>
    <w:p w14:paraId="71D77AC3">
      <w:pPr>
        <w:widowControl/>
        <w:shd w:val="clear" w:color="auto"/>
        <w:adjustRightInd w:val="0"/>
        <w:snapToGrid w:val="0"/>
        <w:spacing w:line="360" w:lineRule="auto"/>
        <w:jc w:val="left"/>
        <w:rPr>
          <w:rFonts w:hint="eastAsia" w:ascii="黑体" w:hAnsi="仿宋" w:cs="宋体"/>
          <w:b/>
          <w:bCs/>
          <w:color w:val="auto"/>
          <w:szCs w:val="21"/>
          <w:highlight w:val="none"/>
        </w:rPr>
      </w:pPr>
    </w:p>
    <w:p w14:paraId="0E5EE539">
      <w:pPr>
        <w:widowControl/>
        <w:shd w:val="clear" w:color="auto"/>
        <w:adjustRightInd w:val="0"/>
        <w:snapToGrid w:val="0"/>
        <w:spacing w:line="360" w:lineRule="auto"/>
        <w:jc w:val="left"/>
        <w:rPr>
          <w:rFonts w:hint="eastAsia" w:ascii="黑体" w:hAnsi="仿宋" w:cs="宋体"/>
          <w:b/>
          <w:bCs/>
          <w:color w:val="auto"/>
          <w:szCs w:val="21"/>
          <w:highlight w:val="none"/>
        </w:rPr>
      </w:pPr>
      <w:r>
        <w:rPr>
          <w:rFonts w:hint="eastAsia" w:ascii="黑体" w:hAnsi="仿宋" w:cs="宋体"/>
          <w:b/>
          <w:bCs/>
          <w:color w:val="auto"/>
          <w:szCs w:val="21"/>
          <w:highlight w:val="none"/>
        </w:rPr>
        <w:t xml:space="preserve">附件4-1 </w:t>
      </w:r>
      <w:bookmarkEnd w:id="83"/>
    </w:p>
    <w:p w14:paraId="35526BA9">
      <w:pPr>
        <w:widowControl/>
        <w:shd w:val="clear" w:color="auto"/>
        <w:adjustRightInd w:val="0"/>
        <w:snapToGrid w:val="0"/>
        <w:spacing w:line="360" w:lineRule="auto"/>
        <w:jc w:val="center"/>
        <w:rPr>
          <w:rFonts w:hint="eastAsia"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符合基本资格条件证明材料复印件或者情况说明</w:t>
      </w:r>
    </w:p>
    <w:p w14:paraId="3FAD12B6">
      <w:pPr>
        <w:shd w:val="clear" w:color="auto"/>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087FA4CC">
      <w:pPr>
        <w:shd w:val="clear" w:color="auto"/>
        <w:adjustRightInd w:val="0"/>
        <w:snapToGrid w:val="0"/>
        <w:spacing w:before="156" w:beforeLines="50"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7AE2066B">
      <w:pPr>
        <w:shd w:val="clear" w:color="auto"/>
        <w:adjustRightInd w:val="0"/>
        <w:snapToGrid w:val="0"/>
        <w:spacing w:before="156" w:beforeLines="50" w:line="360" w:lineRule="auto"/>
        <w:ind w:firstLine="420" w:firstLineChars="200"/>
        <w:rPr>
          <w:rFonts w:hint="eastAsia"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33D1317C">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6F208575">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6947EE49">
      <w:pPr>
        <w:shd w:val="clear" w:color="auto"/>
        <w:adjustRightInd w:val="0"/>
        <w:snapToGrid w:val="0"/>
        <w:spacing w:before="156"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p>
    <w:p w14:paraId="3B9B770E">
      <w:pPr>
        <w:shd w:val="clear" w:color="auto"/>
        <w:adjustRightInd w:val="0"/>
        <w:snapToGrid w:val="0"/>
        <w:spacing w:before="156" w:beforeLines="50" w:line="360" w:lineRule="auto"/>
        <w:ind w:firstLine="420" w:firstLineChars="200"/>
        <w:rPr>
          <w:rFonts w:ascii="宋体" w:hAnsi="宋体"/>
          <w:color w:val="auto"/>
          <w:highlight w:val="none"/>
        </w:rPr>
      </w:pPr>
    </w:p>
    <w:p w14:paraId="2BE920A7">
      <w:pPr>
        <w:widowControl/>
        <w:shd w:val="clear" w:color="auto"/>
        <w:jc w:val="left"/>
        <w:rPr>
          <w:rFonts w:ascii="黑体" w:hAnsi="仿宋" w:eastAsia="黑体" w:cs="宋体"/>
          <w:bCs/>
          <w:color w:val="auto"/>
          <w:szCs w:val="21"/>
          <w:highlight w:val="none"/>
        </w:rPr>
      </w:pPr>
      <w:r>
        <w:rPr>
          <w:rFonts w:ascii="黑体" w:hAnsi="仿宋" w:cs="宋体"/>
          <w:b/>
          <w:color w:val="auto"/>
          <w:szCs w:val="21"/>
          <w:highlight w:val="none"/>
        </w:rPr>
        <w:br w:type="page"/>
      </w:r>
    </w:p>
    <w:p w14:paraId="72734588">
      <w:pPr>
        <w:pStyle w:val="5"/>
        <w:shd w:val="clear" w:color="auto"/>
        <w:adjustRightInd w:val="0"/>
        <w:snapToGrid w:val="0"/>
        <w:spacing w:before="156" w:beforeLines="50" w:after="0" w:line="360" w:lineRule="auto"/>
        <w:rPr>
          <w:rFonts w:hint="eastAsia" w:ascii="黑体" w:hAnsi="仿宋" w:cs="宋体"/>
          <w:b w:val="0"/>
          <w:color w:val="auto"/>
          <w:sz w:val="21"/>
          <w:szCs w:val="21"/>
          <w:highlight w:val="none"/>
        </w:rPr>
      </w:pPr>
      <w:bookmarkStart w:id="84" w:name="_Toc7527"/>
      <w:bookmarkStart w:id="85" w:name="_Toc12080"/>
      <w:bookmarkStart w:id="86" w:name="_Toc30081"/>
      <w:bookmarkStart w:id="87" w:name="_Toc5736"/>
    </w:p>
    <w:p w14:paraId="1180B9F5">
      <w:pPr>
        <w:pStyle w:val="5"/>
        <w:shd w:val="clear" w:color="auto"/>
        <w:adjustRightInd w:val="0"/>
        <w:snapToGrid w:val="0"/>
        <w:spacing w:before="156" w:beforeLines="50" w:after="0" w:line="360" w:lineRule="auto"/>
        <w:rPr>
          <w:rFonts w:ascii="黑体" w:hAnsi="仿宋" w:cs="宋体"/>
          <w:b w:val="0"/>
          <w:color w:val="auto"/>
          <w:sz w:val="21"/>
          <w:szCs w:val="21"/>
          <w:highlight w:val="none"/>
        </w:rPr>
      </w:pPr>
      <w:r>
        <w:rPr>
          <w:rFonts w:hint="eastAsia" w:ascii="黑体" w:hAnsi="仿宋" w:cs="宋体"/>
          <w:b w:val="0"/>
          <w:color w:val="auto"/>
          <w:sz w:val="21"/>
          <w:szCs w:val="21"/>
          <w:highlight w:val="none"/>
        </w:rPr>
        <w:t>附件4-2湖南省政府采购供应商资格承诺函(格式)</w:t>
      </w:r>
      <w:bookmarkEnd w:id="84"/>
      <w:bookmarkEnd w:id="85"/>
      <w:bookmarkEnd w:id="86"/>
      <w:bookmarkEnd w:id="87"/>
    </w:p>
    <w:p w14:paraId="41C0C3B4">
      <w:pPr>
        <w:widowControl/>
        <w:shd w:val="clear" w:color="auto"/>
        <w:adjustRightInd w:val="0"/>
        <w:snapToGrid w:val="0"/>
        <w:spacing w:before="468" w:beforeLines="150" w:line="360" w:lineRule="auto"/>
        <w:jc w:val="center"/>
        <w:rPr>
          <w:rFonts w:ascii="宋体" w:hAnsi="宋体" w:cs="宋体"/>
          <w:color w:val="auto"/>
          <w:szCs w:val="21"/>
          <w:highlight w:val="none"/>
        </w:rPr>
      </w:pPr>
      <w:r>
        <w:rPr>
          <w:rFonts w:hint="eastAsia" w:ascii="黑体" w:hAnsi="仿宋" w:eastAsia="黑体" w:cs="宋体"/>
          <w:b/>
          <w:color w:val="auto"/>
          <w:sz w:val="28"/>
          <w:szCs w:val="28"/>
          <w:highlight w:val="none"/>
        </w:rPr>
        <w:t>湖南省政府采购供应商资格承诺函</w:t>
      </w:r>
    </w:p>
    <w:p w14:paraId="45B175E9">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C538145">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380F31F4">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33E31ADF">
      <w:pPr>
        <w:widowControl/>
        <w:shd w:val="clear" w:color="auto"/>
        <w:spacing w:before="156" w:beforeLines="50" w:line="360" w:lineRule="auto"/>
        <w:ind w:firstLine="420" w:firstLineChars="200"/>
        <w:jc w:val="left"/>
        <w:rPr>
          <w:rFonts w:ascii="宋体" w:hAnsi="宋体" w:cs="宋体"/>
          <w:color w:val="auto"/>
          <w:szCs w:val="21"/>
          <w:highlight w:val="none"/>
        </w:rPr>
      </w:pPr>
    </w:p>
    <w:p w14:paraId="2EC940B4">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34E21D28">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42B3FAFB">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43346783">
      <w:pPr>
        <w:widowControl/>
        <w:shd w:val="clear" w:color="auto"/>
        <w:spacing w:before="156"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授权代表人姓名(签字)、身份证号、手机号:</w:t>
      </w:r>
    </w:p>
    <w:p w14:paraId="5A44EA80">
      <w:pPr>
        <w:widowControl/>
        <w:shd w:val="clear" w:color="auto"/>
        <w:adjustRightInd w:val="0"/>
        <w:snapToGrid w:val="0"/>
        <w:spacing w:before="468" w:beforeLines="150" w:line="360" w:lineRule="auto"/>
        <w:jc w:val="center"/>
        <w:rPr>
          <w:rFonts w:hint="default" w:ascii="黑体" w:hAnsi="仿宋" w:eastAsia="黑体" w:cs="宋体"/>
          <w:b/>
          <w:color w:val="auto"/>
          <w:sz w:val="28"/>
          <w:szCs w:val="28"/>
          <w:highlight w:val="none"/>
        </w:rPr>
      </w:pPr>
      <w:r>
        <w:rPr>
          <w:rFonts w:ascii="黑体" w:hAnsi="仿宋" w:cs="宋体"/>
          <w:b/>
          <w:color w:val="auto"/>
          <w:szCs w:val="21"/>
          <w:highlight w:val="none"/>
        </w:rPr>
        <w:br w:type="page"/>
      </w:r>
      <w:bookmarkStart w:id="88" w:name="_Toc23675"/>
      <w:bookmarkStart w:id="89" w:name="_Toc32042"/>
      <w:bookmarkStart w:id="90" w:name="_Toc20651251"/>
      <w:r>
        <w:rPr>
          <w:rFonts w:hint="default" w:ascii="黑体" w:hAnsi="仿宋" w:eastAsia="黑体" w:cs="宋体"/>
          <w:b/>
          <w:color w:val="auto"/>
          <w:sz w:val="28"/>
          <w:szCs w:val="28"/>
          <w:highlight w:val="none"/>
        </w:rPr>
        <w:t>参加政府采购活动前三年内在经营活动中没有重大违法记录的书面声明</w:t>
      </w:r>
      <w:bookmarkEnd w:id="88"/>
      <w:bookmarkEnd w:id="89"/>
    </w:p>
    <w:p w14:paraId="1724B1D1">
      <w:pPr>
        <w:shd w:val="clear"/>
        <w:adjustRightInd w:val="0"/>
        <w:snapToGrid w:val="0"/>
        <w:spacing w:before="156" w:beforeLines="50" w:line="360" w:lineRule="auto"/>
        <w:ind w:left="-88" w:leftChars="-42"/>
        <w:outlineLvl w:val="0"/>
        <w:rPr>
          <w:rFonts w:hint="eastAsia" w:ascii="宋体" w:hAnsi="宋体" w:eastAsia="宋体" w:cs="宋体"/>
          <w:color w:val="auto"/>
          <w:sz w:val="21"/>
          <w:szCs w:val="21"/>
          <w:highlight w:val="none"/>
        </w:rPr>
      </w:pPr>
      <w:bookmarkStart w:id="91" w:name="_Toc10029"/>
      <w:bookmarkStart w:id="92" w:name="_Toc20169"/>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(采购代理机构)：</w:t>
      </w:r>
      <w:bookmarkEnd w:id="91"/>
      <w:bookmarkEnd w:id="92"/>
    </w:p>
    <w:p w14:paraId="46CBA37D">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我单位郑重声明，参加本政府采购项目前 3 年内在经营活动中没有重大违法记录（重大违法记录是指供应商因违法经营受到刑事处罚或责令停产停业、吊销许可证或者执照、较大数额等行政处罚）。</w:t>
      </w:r>
    </w:p>
    <w:p w14:paraId="007AE551">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我单位对上述声明的真实性负责。如有虚假，将依法承担相应责任。</w:t>
      </w:r>
    </w:p>
    <w:p w14:paraId="5B726A7F">
      <w:pPr>
        <w:widowControl/>
        <w:shd w:val="clear" w:color="auto"/>
        <w:spacing w:before="156"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特此声明。</w:t>
      </w:r>
    </w:p>
    <w:p w14:paraId="5EC8B272">
      <w:pPr>
        <w:widowControl/>
        <w:shd w:val="clear"/>
        <w:adjustRightInd w:val="0"/>
        <w:snapToGrid w:val="0"/>
        <w:spacing w:before="156" w:beforeLines="50" w:line="360" w:lineRule="auto"/>
        <w:ind w:firstLine="420" w:firstLineChars="200"/>
        <w:rPr>
          <w:rFonts w:hint="eastAsia" w:ascii="宋体" w:hAnsi="宋体" w:eastAsia="宋体" w:cs="宋体"/>
          <w:color w:val="auto"/>
          <w:sz w:val="21"/>
          <w:szCs w:val="21"/>
          <w:highlight w:val="none"/>
        </w:rPr>
      </w:pPr>
    </w:p>
    <w:p w14:paraId="33E1AD11">
      <w:pPr>
        <w:widowControl/>
        <w:shd w:val="clear"/>
        <w:adjustRightInd w:val="0"/>
        <w:snapToGrid w:val="0"/>
        <w:spacing w:before="156" w:beforeLines="50" w:line="360" w:lineRule="auto"/>
        <w:ind w:firstLine="420" w:firstLineChars="200"/>
        <w:rPr>
          <w:rFonts w:hint="eastAsia" w:ascii="宋体" w:hAnsi="宋体" w:eastAsia="宋体" w:cs="宋体"/>
          <w:color w:val="auto"/>
          <w:sz w:val="21"/>
          <w:szCs w:val="21"/>
          <w:highlight w:val="none"/>
        </w:rPr>
      </w:pPr>
    </w:p>
    <w:p w14:paraId="376D3AD1">
      <w:pPr>
        <w:shd w:val="clear"/>
        <w:adjustRightInd w:val="0"/>
        <w:snapToGrid w:val="0"/>
        <w:spacing w:before="156" w:beforeLines="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供应商名称(盖单位章)：</w:t>
      </w:r>
      <w:r>
        <w:rPr>
          <w:rFonts w:hint="eastAsia" w:ascii="宋体" w:hAnsi="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 xml:space="preserve"> </w:t>
      </w:r>
    </w:p>
    <w:p w14:paraId="28A37F04">
      <w:pPr>
        <w:shd w:val="clear"/>
        <w:adjustRightInd w:val="0"/>
        <w:snapToGrid w:val="0"/>
        <w:spacing w:before="156" w:beforeLines="50"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法定代表人或其委托代理人（签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sz w:val="21"/>
          <w:szCs w:val="21"/>
          <w:highlight w:val="none"/>
        </w:rPr>
        <w:t>）：</w:t>
      </w:r>
      <w:r>
        <w:rPr>
          <w:rFonts w:hint="eastAsia" w:ascii="宋体" w:hAnsi="宋体"/>
          <w:color w:val="auto"/>
          <w:sz w:val="21"/>
          <w:szCs w:val="21"/>
          <w:highlight w:val="none"/>
          <w:u w:val="single"/>
          <w:lang w:val="en-US" w:eastAsia="zh-CN"/>
        </w:rPr>
        <w:t xml:space="preserve">               </w:t>
      </w:r>
    </w:p>
    <w:p w14:paraId="3C6A627E">
      <w:pPr>
        <w:shd w:val="clear"/>
        <w:adjustRightInd w:val="0"/>
        <w:snapToGrid w:val="0"/>
        <w:spacing w:line="360" w:lineRule="auto"/>
        <w:rPr>
          <w:b/>
          <w:bCs/>
          <w:color w:val="auto"/>
          <w:spacing w:val="0"/>
          <w:w w:val="100"/>
          <w:position w:val="0"/>
          <w:sz w:val="21"/>
          <w:szCs w:val="21"/>
          <w:highlight w:val="none"/>
        </w:rPr>
      </w:pPr>
      <w:r>
        <w:rPr>
          <w:rFonts w:hint="eastAsia" w:ascii="宋体" w:hAnsi="宋体" w:eastAsia="宋体" w:cs="宋体"/>
          <w:color w:val="auto"/>
          <w:sz w:val="21"/>
          <w:szCs w:val="21"/>
          <w:highlight w:val="none"/>
        </w:rPr>
        <w:t>日期：</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079111D">
      <w:pPr>
        <w:shd w:val="clear"/>
        <w:adjustRightInd w:val="0"/>
        <w:snapToGrid w:val="0"/>
        <w:spacing w:line="480" w:lineRule="exact"/>
        <w:rPr>
          <w:rFonts w:hint="eastAsia" w:ascii="宋体" w:hAnsi="宋体"/>
          <w:color w:val="auto"/>
          <w:sz w:val="21"/>
          <w:szCs w:val="21"/>
          <w:highlight w:val="none"/>
        </w:rPr>
      </w:pPr>
    </w:p>
    <w:p w14:paraId="100ED7FE">
      <w:pPr>
        <w:pStyle w:val="5"/>
        <w:shd w:val="clear"/>
        <w:adjustRightInd w:val="0"/>
        <w:snapToGrid w:val="0"/>
        <w:spacing w:before="156" w:beforeLines="50" w:after="0" w:line="360" w:lineRule="auto"/>
        <w:outlineLvl w:val="9"/>
        <w:rPr>
          <w:rFonts w:hint="eastAsia" w:ascii="黑体" w:hAnsi="黑体" w:cs="宋体"/>
          <w:b w:val="0"/>
          <w:color w:val="auto"/>
          <w:spacing w:val="6"/>
          <w:kern w:val="0"/>
          <w:sz w:val="21"/>
          <w:szCs w:val="21"/>
          <w:highlight w:val="none"/>
        </w:rPr>
      </w:pPr>
      <w:r>
        <w:rPr>
          <w:rFonts w:hint="eastAsia" w:ascii="黑体" w:hAnsi="黑体" w:cs="宋体"/>
          <w:b w:val="0"/>
          <w:color w:val="auto"/>
          <w:spacing w:val="6"/>
          <w:kern w:val="0"/>
          <w:sz w:val="21"/>
          <w:szCs w:val="21"/>
          <w:highlight w:val="none"/>
        </w:rPr>
        <w:t>（附“信用中国”网站（www.creditchina.gov.cn）、中国政府采购网（www.ccgp.gov.cn）信用记录查询的网页截图并加盖公司公章）</w:t>
      </w:r>
    </w:p>
    <w:p w14:paraId="33A81B54">
      <w:pPr>
        <w:shd w:val="clear"/>
        <w:rPr>
          <w:rFonts w:hint="eastAsia" w:ascii="黑体" w:hAnsi="仿宋" w:cs="宋体"/>
          <w:b/>
          <w:color w:val="auto"/>
          <w:sz w:val="21"/>
          <w:szCs w:val="21"/>
          <w:highlight w:val="none"/>
        </w:rPr>
      </w:pPr>
      <w:r>
        <w:rPr>
          <w:rFonts w:hint="eastAsia" w:ascii="黑体" w:hAnsi="仿宋" w:cs="宋体"/>
          <w:b/>
          <w:color w:val="auto"/>
          <w:sz w:val="21"/>
          <w:szCs w:val="21"/>
          <w:highlight w:val="none"/>
        </w:rPr>
        <w:br w:type="page"/>
      </w:r>
    </w:p>
    <w:p w14:paraId="345F0F35">
      <w:pPr>
        <w:widowControl/>
        <w:shd w:val="clear" w:color="auto"/>
        <w:jc w:val="left"/>
        <w:rPr>
          <w:rFonts w:hint="eastAsia" w:ascii="黑体" w:hAnsi="仿宋" w:cs="宋体"/>
          <w:b/>
          <w:color w:val="auto"/>
          <w:sz w:val="21"/>
          <w:szCs w:val="21"/>
          <w:highlight w:val="none"/>
        </w:rPr>
      </w:pPr>
    </w:p>
    <w:p w14:paraId="041F63B7">
      <w:pPr>
        <w:widowControl/>
        <w:shd w:val="clear" w:color="auto"/>
        <w:jc w:val="left"/>
        <w:rPr>
          <w:rFonts w:ascii="黑体" w:hAnsi="仿宋" w:cs="宋体"/>
          <w:b/>
          <w:color w:val="auto"/>
          <w:sz w:val="21"/>
          <w:szCs w:val="21"/>
          <w:highlight w:val="none"/>
        </w:rPr>
      </w:pPr>
      <w:r>
        <w:rPr>
          <w:rFonts w:hint="eastAsia" w:ascii="黑体" w:hAnsi="仿宋" w:cs="宋体"/>
          <w:b/>
          <w:color w:val="auto"/>
          <w:sz w:val="21"/>
          <w:szCs w:val="21"/>
          <w:highlight w:val="none"/>
        </w:rPr>
        <w:t xml:space="preserve">附件4-3 </w:t>
      </w:r>
      <w:bookmarkEnd w:id="90"/>
    </w:p>
    <w:p w14:paraId="7F39417C">
      <w:pPr>
        <w:widowControl/>
        <w:shd w:val="clear" w:color="auto"/>
        <w:adjustRightInd w:val="0"/>
        <w:snapToGrid w:val="0"/>
        <w:spacing w:line="360" w:lineRule="auto"/>
        <w:jc w:val="center"/>
        <w:rPr>
          <w:rFonts w:ascii="黑体" w:hAnsi="仿宋" w:eastAsia="黑体" w:cs="宋体"/>
          <w:b/>
          <w:color w:val="auto"/>
          <w:sz w:val="28"/>
          <w:szCs w:val="28"/>
          <w:highlight w:val="none"/>
        </w:rPr>
      </w:pPr>
      <w:r>
        <w:rPr>
          <w:rFonts w:hint="eastAsia" w:ascii="黑体" w:hAnsi="仿宋" w:eastAsia="黑体" w:cs="宋体"/>
          <w:b/>
          <w:color w:val="auto"/>
          <w:sz w:val="28"/>
          <w:szCs w:val="28"/>
          <w:highlight w:val="none"/>
        </w:rPr>
        <w:t>符合特定资格条件证明材料复印件或者情况说明</w:t>
      </w:r>
    </w:p>
    <w:p w14:paraId="78A3AB3E">
      <w:pPr>
        <w:widowControl/>
        <w:shd w:val="clear" w:color="auto"/>
        <w:adjustRightInd w:val="0"/>
        <w:snapToGrid w:val="0"/>
        <w:spacing w:line="360" w:lineRule="auto"/>
        <w:ind w:firstLine="560" w:firstLineChars="200"/>
        <w:jc w:val="left"/>
        <w:rPr>
          <w:rFonts w:ascii="黑体" w:hAnsi="仿宋" w:eastAsia="黑体" w:cs="宋体"/>
          <w:color w:val="auto"/>
          <w:sz w:val="28"/>
          <w:szCs w:val="28"/>
          <w:highlight w:val="none"/>
        </w:rPr>
      </w:pPr>
    </w:p>
    <w:p w14:paraId="135B55F2">
      <w:pPr>
        <w:widowControl/>
        <w:shd w:val="clear" w:color="auto"/>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注：按第三章资格审查要求提供。</w:t>
      </w:r>
    </w:p>
    <w:p w14:paraId="0D5478C6">
      <w:pPr>
        <w:widowControl/>
        <w:shd w:val="clear" w:color="auto"/>
        <w:jc w:val="left"/>
        <w:rPr>
          <w:rFonts w:hint="eastAsia" w:ascii="宋体" w:hAnsi="宋体"/>
          <w:color w:val="auto"/>
          <w:sz w:val="30"/>
          <w:szCs w:val="30"/>
          <w:highlight w:val="none"/>
        </w:rPr>
      </w:pPr>
      <w:r>
        <w:rPr>
          <w:rFonts w:hint="eastAsia" w:ascii="宋体" w:hAnsi="宋体"/>
          <w:color w:val="auto"/>
          <w:sz w:val="30"/>
          <w:szCs w:val="30"/>
          <w:highlight w:val="none"/>
        </w:rPr>
        <w:br w:type="page"/>
      </w:r>
      <w:bookmarkStart w:id="93" w:name="_Toc20651252"/>
    </w:p>
    <w:p w14:paraId="37F031A1">
      <w:pPr>
        <w:widowControl/>
        <w:shd w:val="clear" w:color="auto"/>
        <w:jc w:val="left"/>
        <w:rPr>
          <w:rFonts w:ascii="黑体" w:hAnsi="宋体" w:cs="宋体"/>
          <w:color w:val="auto"/>
          <w:kern w:val="0"/>
          <w:szCs w:val="21"/>
          <w:highlight w:val="none"/>
        </w:rPr>
      </w:pPr>
      <w:r>
        <w:rPr>
          <w:rFonts w:hint="eastAsia" w:ascii="黑体" w:hAnsi="仿宋" w:cs="宋体"/>
          <w:color w:val="auto"/>
          <w:szCs w:val="21"/>
          <w:highlight w:val="none"/>
        </w:rPr>
        <w:t>附件4-4 联合体协议书（格式）</w:t>
      </w:r>
      <w:bookmarkEnd w:id="93"/>
    </w:p>
    <w:p w14:paraId="21848EF4">
      <w:pPr>
        <w:shd w:val="clear" w:color="auto"/>
        <w:adjustRightInd w:val="0"/>
        <w:snapToGrid w:val="0"/>
        <w:spacing w:line="360" w:lineRule="auto"/>
        <w:jc w:val="center"/>
        <w:rPr>
          <w:rFonts w:ascii="宋体" w:hAnsi="宋体"/>
          <w:b/>
          <w:color w:val="auto"/>
          <w:szCs w:val="21"/>
          <w:highlight w:val="none"/>
        </w:rPr>
      </w:pPr>
      <w:r>
        <w:rPr>
          <w:rFonts w:hint="eastAsia" w:ascii="黑体" w:hAnsi="仿宋" w:eastAsia="黑体" w:cs="宋体"/>
          <w:b/>
          <w:color w:val="auto"/>
          <w:sz w:val="28"/>
          <w:szCs w:val="28"/>
          <w:highlight w:val="none"/>
        </w:rPr>
        <w:t>联合体协议书（格式）</w:t>
      </w:r>
    </w:p>
    <w:p w14:paraId="5B194AEC">
      <w:pPr>
        <w:shd w:val="clear" w:color="auto"/>
        <w:adjustRightInd w:val="0"/>
        <w:snapToGrid w:val="0"/>
        <w:spacing w:line="360" w:lineRule="auto"/>
        <w:rPr>
          <w:rFonts w:ascii="宋体" w:hAnsi="宋体"/>
          <w:color w:val="auto"/>
          <w:szCs w:val="21"/>
          <w:highlight w:val="none"/>
        </w:rPr>
      </w:pPr>
    </w:p>
    <w:p w14:paraId="1A415818">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0C594716">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经研究，我们决定自愿组成联合体共同参加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（采购代理编号：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）项目的投标。现就联合体投标事宜订立如下协议：</w:t>
      </w:r>
    </w:p>
    <w:p w14:paraId="416D30E0">
      <w:pPr>
        <w:shd w:val="clear" w:color="auto"/>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一、联合体基本信息：</w:t>
      </w:r>
      <w:r>
        <w:rPr>
          <w:rFonts w:hint="eastAsia" w:ascii="宋体" w:hAnsi="宋体"/>
          <w:color w:val="auto"/>
          <w:szCs w:val="21"/>
          <w:highlight w:val="none"/>
          <w:u w:val="single"/>
        </w:rPr>
        <w:t xml:space="preserve">                </w:t>
      </w:r>
      <w:r>
        <w:rPr>
          <w:rFonts w:hint="eastAsia" w:ascii="宋体" w:hAnsi="宋体"/>
          <w:color w:val="auto"/>
          <w:szCs w:val="21"/>
          <w:highlight w:val="none"/>
        </w:rPr>
        <w:t>（各方公司名称、地址、注册资金、营业执照、</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姓名）</w:t>
      </w:r>
    </w:p>
    <w:p w14:paraId="258B7535">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505BDDE6">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CBE21B1">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四．联合体将严格按照招标文件的各项要求，递交投标文件，参加投标，履行中标义务和中标后的合同，并向采购人承担连带责任。</w:t>
      </w:r>
    </w:p>
    <w:p w14:paraId="7AEFCF5A">
      <w:pPr>
        <w:shd w:val="clear" w:color="auto"/>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五、联合体各成员单位内部的职责分工如下：</w:t>
      </w:r>
      <w:r>
        <w:rPr>
          <w:rFonts w:hint="eastAsia" w:ascii="宋体" w:hAnsi="宋体"/>
          <w:color w:val="auto"/>
          <w:szCs w:val="21"/>
          <w:highlight w:val="none"/>
          <w:u w:val="single"/>
        </w:rPr>
        <w:t xml:space="preserve">             </w:t>
      </w:r>
      <w:r>
        <w:rPr>
          <w:rFonts w:hint="eastAsia" w:ascii="宋体" w:hAnsi="宋体"/>
          <w:color w:val="auto"/>
          <w:szCs w:val="21"/>
          <w:highlight w:val="none"/>
        </w:rPr>
        <w:t>。按照本条上述分工，联合体各成员的协议合同金额占联合体协议合同总金额比例如下：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13B20A5">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六、本协议书自签署之日起生效，合同履行完毕后自动失效。</w:t>
      </w:r>
    </w:p>
    <w:p w14:paraId="6B0D191E">
      <w:pPr>
        <w:shd w:val="clear" w:color="auto"/>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七、本协议书一式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份，联合体成员和采购人各执一份。</w:t>
      </w:r>
    </w:p>
    <w:p w14:paraId="7ADBECD7">
      <w:pPr>
        <w:shd w:val="clear" w:color="auto"/>
        <w:adjustRightInd w:val="0"/>
        <w:snapToGrid w:val="0"/>
        <w:spacing w:line="360" w:lineRule="auto"/>
        <w:rPr>
          <w:rFonts w:ascii="宋体" w:hAnsi="宋体"/>
          <w:color w:val="auto"/>
          <w:szCs w:val="21"/>
          <w:highlight w:val="none"/>
        </w:rPr>
      </w:pPr>
    </w:p>
    <w:p w14:paraId="14370BD4">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牵头人名称（盖单位章）：</w:t>
      </w:r>
    </w:p>
    <w:p w14:paraId="2BC7C6EC">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7D9841C1">
      <w:pPr>
        <w:shd w:val="clear" w:color="auto"/>
        <w:adjustRightInd w:val="0"/>
        <w:snapToGrid w:val="0"/>
        <w:spacing w:line="360" w:lineRule="auto"/>
        <w:rPr>
          <w:rFonts w:ascii="宋体" w:hAnsi="宋体"/>
          <w:color w:val="auto"/>
          <w:szCs w:val="21"/>
          <w:highlight w:val="none"/>
        </w:rPr>
      </w:pPr>
    </w:p>
    <w:p w14:paraId="562A9324">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成员1名称（盖单位章）：</w:t>
      </w:r>
    </w:p>
    <w:p w14:paraId="60B2FB36">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51C230F8">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成员2名称（盖单位章）：</w:t>
      </w:r>
    </w:p>
    <w:p w14:paraId="77F021DF">
      <w:pPr>
        <w:shd w:val="clear" w:color="auto"/>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06B816B4">
      <w:pPr>
        <w:shd w:val="clear" w:color="auto"/>
        <w:adjustRightInd w:val="0"/>
        <w:snapToGrid w:val="0"/>
        <w:spacing w:line="360" w:lineRule="auto"/>
        <w:rPr>
          <w:rFonts w:hint="eastAsia" w:ascii="宋体" w:hAnsi="宋体"/>
          <w:color w:val="auto"/>
          <w:szCs w:val="21"/>
          <w:highlight w:val="none"/>
        </w:rPr>
      </w:pPr>
    </w:p>
    <w:p w14:paraId="3FA1BB29">
      <w:pPr>
        <w:shd w:val="clear" w:color="auto"/>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28F3F842">
      <w:pPr>
        <w:widowControl/>
        <w:shd w:val="clear" w:color="auto"/>
        <w:adjustRightInd w:val="0"/>
        <w:snapToGrid w:val="0"/>
        <w:spacing w:line="360" w:lineRule="auto"/>
        <w:ind w:firstLine="422" w:firstLineChars="200"/>
        <w:jc w:val="left"/>
        <w:rPr>
          <w:rFonts w:hint="eastAsia" w:ascii="宋体" w:hAnsi="宋体"/>
          <w:color w:val="auto"/>
          <w:szCs w:val="21"/>
          <w:highlight w:val="none"/>
        </w:rPr>
      </w:pPr>
      <w:r>
        <w:rPr>
          <w:rFonts w:hint="eastAsia" w:ascii="宋体" w:hAnsi="宋体"/>
          <w:b/>
          <w:color w:val="auto"/>
          <w:szCs w:val="21"/>
          <w:highlight w:val="none"/>
        </w:rPr>
        <w:t>注</w:t>
      </w:r>
      <w:r>
        <w:rPr>
          <w:rFonts w:hint="eastAsia" w:ascii="宋体" w:hAnsi="宋体"/>
          <w:color w:val="auto"/>
          <w:szCs w:val="21"/>
          <w:highlight w:val="none"/>
        </w:rPr>
        <w:t>：1、本协议书由委托代理人签字的，应附法定代表人（单位负责人）授权委托书。</w:t>
      </w:r>
    </w:p>
    <w:p w14:paraId="255C7308">
      <w:pPr>
        <w:pStyle w:val="42"/>
        <w:shd w:val="clear" w:color="auto"/>
        <w:ind w:firstLine="840" w:firstLineChars="400"/>
        <w:rPr>
          <w:rFonts w:hint="eastAsia" w:ascii="宋体" w:hAnsi="宋体"/>
          <w:color w:val="auto"/>
          <w:kern w:val="2"/>
          <w:sz w:val="21"/>
          <w:szCs w:val="21"/>
          <w:highlight w:val="none"/>
        </w:rPr>
      </w:pPr>
      <w:r>
        <w:rPr>
          <w:rFonts w:hint="eastAsia" w:ascii="宋体" w:hAnsi="宋体"/>
          <w:color w:val="auto"/>
          <w:kern w:val="2"/>
          <w:sz w:val="21"/>
          <w:szCs w:val="21"/>
          <w:highlight w:val="none"/>
        </w:rPr>
        <w:t>2、投标人在提交投标文件的截止时间前修改“开标一览表”中的投标报价，影响本协议书第五条的，应同时修改本协议书第五条。否则，评审时价格评审优惠不予以考虑。</w:t>
      </w:r>
    </w:p>
    <w:p w14:paraId="3FCF4E96">
      <w:pPr>
        <w:shd w:val="clear" w:color="auto"/>
        <w:jc w:val="center"/>
        <w:rPr>
          <w:rFonts w:ascii="黑体" w:eastAsia="黑体"/>
          <w:color w:val="auto"/>
          <w:sz w:val="32"/>
          <w:szCs w:val="32"/>
          <w:highlight w:val="none"/>
        </w:rPr>
      </w:pPr>
    </w:p>
    <w:p w14:paraId="2D65D5E9">
      <w:pPr>
        <w:shd w:val="clear"/>
        <w:adjustRightInd w:val="0"/>
        <w:snapToGrid w:val="0"/>
        <w:spacing w:line="360" w:lineRule="auto"/>
        <w:jc w:val="center"/>
        <w:rPr>
          <w:rFonts w:ascii="黑体" w:eastAsia="黑体"/>
          <w:color w:val="auto"/>
          <w:sz w:val="32"/>
          <w:szCs w:val="32"/>
          <w:highlight w:val="none"/>
        </w:rPr>
      </w:pPr>
    </w:p>
    <w:p w14:paraId="7AB7D654">
      <w:pPr>
        <w:shd w:val="clear"/>
        <w:adjustRightInd w:val="0"/>
        <w:snapToGrid w:val="0"/>
        <w:spacing w:line="360" w:lineRule="auto"/>
        <w:jc w:val="center"/>
        <w:rPr>
          <w:rFonts w:ascii="黑体" w:eastAsia="黑体"/>
          <w:color w:val="auto"/>
          <w:sz w:val="32"/>
          <w:szCs w:val="32"/>
          <w:highlight w:val="none"/>
        </w:rPr>
      </w:pPr>
    </w:p>
    <w:p w14:paraId="10856FAB">
      <w:pPr>
        <w:pStyle w:val="23"/>
        <w:shd w:val="clear"/>
        <w:adjustRightInd w:val="0"/>
        <w:snapToGrid w:val="0"/>
        <w:spacing w:line="360" w:lineRule="auto"/>
        <w:jc w:val="center"/>
        <w:rPr>
          <w:rFonts w:ascii="华文中宋" w:hAnsi="华文中宋" w:eastAsia="华文中宋"/>
          <w:bCs/>
          <w:color w:val="auto"/>
          <w:sz w:val="72"/>
          <w:szCs w:val="72"/>
          <w:highlight w:val="none"/>
        </w:rPr>
      </w:pPr>
      <w:r>
        <w:rPr>
          <w:rFonts w:hint="eastAsia" w:ascii="华文中宋" w:hAnsi="华文中宋" w:eastAsia="华文中宋"/>
          <w:bCs/>
          <w:color w:val="auto"/>
          <w:sz w:val="72"/>
          <w:szCs w:val="72"/>
          <w:highlight w:val="none"/>
        </w:rPr>
        <w:t>政府采购</w:t>
      </w:r>
    </w:p>
    <w:p w14:paraId="732AA1CD">
      <w:pPr>
        <w:shd w:val="clear"/>
        <w:adjustRightInd w:val="0"/>
        <w:snapToGrid w:val="0"/>
        <w:spacing w:line="360" w:lineRule="auto"/>
        <w:jc w:val="center"/>
        <w:rPr>
          <w:rFonts w:asciiTheme="minorEastAsia" w:hAnsiTheme="minorEastAsia" w:eastAsiaTheme="minorEastAsia"/>
          <w:b/>
          <w:bCs/>
          <w:color w:val="auto"/>
          <w:sz w:val="84"/>
          <w:szCs w:val="84"/>
          <w:highlight w:val="none"/>
        </w:rPr>
      </w:pPr>
      <w:r>
        <w:rPr>
          <w:rFonts w:hint="eastAsia" w:asciiTheme="minorEastAsia" w:hAnsiTheme="minorEastAsia" w:eastAsiaTheme="minorEastAsia"/>
          <w:b/>
          <w:bCs/>
          <w:color w:val="auto"/>
          <w:sz w:val="84"/>
          <w:szCs w:val="84"/>
          <w:highlight w:val="none"/>
        </w:rPr>
        <w:t>投 标 文 件</w:t>
      </w:r>
    </w:p>
    <w:p w14:paraId="5073BB2F">
      <w:pPr>
        <w:pStyle w:val="3"/>
        <w:shd w:val="clear"/>
        <w:adjustRightInd w:val="0"/>
        <w:snapToGrid w:val="0"/>
        <w:jc w:val="center"/>
        <w:rPr>
          <w:rFonts w:ascii="黑体" w:hAnsi="黑体" w:eastAsia="黑体"/>
          <w:color w:val="auto"/>
          <w:sz w:val="44"/>
          <w:szCs w:val="44"/>
          <w:highlight w:val="none"/>
        </w:rPr>
      </w:pPr>
      <w:bookmarkStart w:id="94" w:name="_Toc27237"/>
      <w:bookmarkStart w:id="95" w:name="_Toc14626"/>
      <w:bookmarkStart w:id="96" w:name="_Toc20028"/>
      <w:bookmarkStart w:id="97" w:name="_Toc10532"/>
      <w:r>
        <w:rPr>
          <w:rFonts w:hint="eastAsia" w:ascii="黑体" w:hAnsi="黑体" w:eastAsia="黑体"/>
          <w:color w:val="auto"/>
          <w:sz w:val="44"/>
          <w:szCs w:val="44"/>
          <w:highlight w:val="none"/>
        </w:rPr>
        <w:t>第二部分 商务技术文件</w:t>
      </w:r>
      <w:bookmarkEnd w:id="94"/>
      <w:bookmarkEnd w:id="95"/>
      <w:bookmarkEnd w:id="96"/>
      <w:bookmarkEnd w:id="97"/>
    </w:p>
    <w:p w14:paraId="7CD13168">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p>
    <w:p w14:paraId="2A8D39A3">
      <w:pPr>
        <w:pStyle w:val="53"/>
        <w:shd w:val="clear"/>
        <w:rPr>
          <w:rFonts w:asciiTheme="minorEastAsia" w:hAnsiTheme="minorEastAsia" w:eastAsiaTheme="minorEastAsia"/>
          <w:b/>
          <w:bCs/>
          <w:color w:val="auto"/>
          <w:sz w:val="30"/>
          <w:szCs w:val="30"/>
          <w:highlight w:val="none"/>
        </w:rPr>
      </w:pPr>
    </w:p>
    <w:p w14:paraId="29160760">
      <w:pPr>
        <w:pStyle w:val="53"/>
        <w:shd w:val="clear"/>
        <w:rPr>
          <w:rFonts w:asciiTheme="minorEastAsia" w:hAnsiTheme="minorEastAsia" w:eastAsiaTheme="minorEastAsia"/>
          <w:b/>
          <w:bCs/>
          <w:color w:val="auto"/>
          <w:sz w:val="30"/>
          <w:szCs w:val="30"/>
          <w:highlight w:val="none"/>
        </w:rPr>
      </w:pPr>
    </w:p>
    <w:p w14:paraId="343C9D32">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采购项目名称:</w:t>
      </w:r>
    </w:p>
    <w:p w14:paraId="4DFEA37F">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rPr>
      </w:pPr>
      <w:r>
        <w:rPr>
          <w:rFonts w:hint="eastAsia" w:asciiTheme="minorEastAsia" w:hAnsiTheme="minorEastAsia" w:eastAsiaTheme="minorEastAsia"/>
          <w:b/>
          <w:bCs/>
          <w:color w:val="auto"/>
          <w:sz w:val="30"/>
          <w:szCs w:val="30"/>
          <w:highlight w:val="none"/>
        </w:rPr>
        <w:t>采   购   人：</w:t>
      </w:r>
    </w:p>
    <w:p w14:paraId="0DABEF3E">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政府采购编号:</w:t>
      </w:r>
    </w:p>
    <w:p w14:paraId="2AA95A55">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采购代理编号:</w:t>
      </w:r>
    </w:p>
    <w:p w14:paraId="0FEC19DF">
      <w:pPr>
        <w:pStyle w:val="23"/>
        <w:shd w:val="clear"/>
        <w:adjustRightInd w:val="0"/>
        <w:snapToGrid w:val="0"/>
        <w:spacing w:line="360" w:lineRule="auto"/>
        <w:ind w:firstLine="1988" w:firstLineChars="660"/>
        <w:rPr>
          <w:rFonts w:asciiTheme="minorEastAsia" w:hAnsiTheme="minorEastAsia" w:eastAsiaTheme="minorEastAsia"/>
          <w:b/>
          <w:bCs/>
          <w:color w:val="auto"/>
          <w:sz w:val="30"/>
          <w:szCs w:val="30"/>
          <w:highlight w:val="none"/>
          <w:u w:val="single"/>
        </w:rPr>
      </w:pPr>
      <w:r>
        <w:rPr>
          <w:rFonts w:hint="eastAsia" w:asciiTheme="minorEastAsia" w:hAnsiTheme="minorEastAsia" w:eastAsiaTheme="minorEastAsia"/>
          <w:b/>
          <w:bCs/>
          <w:color w:val="auto"/>
          <w:sz w:val="30"/>
          <w:szCs w:val="30"/>
          <w:highlight w:val="none"/>
        </w:rPr>
        <w:t>采购代理机构：</w:t>
      </w:r>
    </w:p>
    <w:p w14:paraId="2C5F1931">
      <w:pPr>
        <w:shd w:val="clear"/>
        <w:adjustRightInd w:val="0"/>
        <w:snapToGrid w:val="0"/>
        <w:spacing w:line="360" w:lineRule="auto"/>
        <w:rPr>
          <w:rFonts w:asciiTheme="minorEastAsia" w:hAnsiTheme="minorEastAsia" w:eastAsiaTheme="minorEastAsia"/>
          <w:color w:val="auto"/>
          <w:sz w:val="30"/>
          <w:szCs w:val="30"/>
          <w:highlight w:val="none"/>
        </w:rPr>
      </w:pPr>
    </w:p>
    <w:p w14:paraId="28D050D4">
      <w:pPr>
        <w:shd w:val="clear"/>
        <w:adjustRightInd w:val="0"/>
        <w:snapToGrid w:val="0"/>
        <w:spacing w:line="360" w:lineRule="auto"/>
        <w:rPr>
          <w:rFonts w:asciiTheme="minorEastAsia" w:hAnsiTheme="minorEastAsia" w:eastAsiaTheme="minorEastAsia"/>
          <w:color w:val="auto"/>
          <w:sz w:val="30"/>
          <w:szCs w:val="30"/>
          <w:highlight w:val="none"/>
        </w:rPr>
      </w:pPr>
    </w:p>
    <w:p w14:paraId="0679B5F1">
      <w:pPr>
        <w:shd w:val="clear"/>
        <w:adjustRightInd w:val="0"/>
        <w:snapToGrid w:val="0"/>
        <w:spacing w:line="360" w:lineRule="auto"/>
        <w:rPr>
          <w:rFonts w:asciiTheme="minorEastAsia" w:hAnsiTheme="minorEastAsia" w:eastAsiaTheme="minorEastAsia"/>
          <w:color w:val="auto"/>
          <w:sz w:val="30"/>
          <w:szCs w:val="30"/>
          <w:highlight w:val="none"/>
        </w:rPr>
      </w:pPr>
    </w:p>
    <w:p w14:paraId="5B984336">
      <w:pPr>
        <w:shd w:val="clear"/>
        <w:adjustRightInd w:val="0"/>
        <w:snapToGrid w:val="0"/>
        <w:spacing w:line="360" w:lineRule="auto"/>
        <w:rPr>
          <w:rFonts w:asciiTheme="minorEastAsia" w:hAnsiTheme="minorEastAsia" w:eastAsiaTheme="minorEastAsia"/>
          <w:color w:val="auto"/>
          <w:sz w:val="30"/>
          <w:szCs w:val="30"/>
          <w:highlight w:val="none"/>
        </w:rPr>
      </w:pPr>
    </w:p>
    <w:p w14:paraId="7FD7295E">
      <w:pPr>
        <w:shd w:val="clear"/>
        <w:adjustRightInd w:val="0"/>
        <w:snapToGrid w:val="0"/>
        <w:spacing w:line="360" w:lineRule="auto"/>
        <w:ind w:left="1273" w:leftChars="606" w:firstLine="2"/>
        <w:rPr>
          <w:rFonts w:asciiTheme="minorEastAsia" w:hAnsiTheme="minorEastAsia" w:eastAsiaTheme="minorEastAsia"/>
          <w:color w:val="auto"/>
          <w:sz w:val="32"/>
          <w:szCs w:val="32"/>
          <w:highlight w:val="none"/>
          <w:u w:val="single"/>
        </w:rPr>
      </w:pPr>
      <w:r>
        <w:rPr>
          <w:rFonts w:hint="eastAsia" w:asciiTheme="minorEastAsia" w:hAnsiTheme="minorEastAsia" w:eastAsiaTheme="minorEastAsia"/>
          <w:color w:val="auto"/>
          <w:sz w:val="32"/>
          <w:szCs w:val="32"/>
          <w:highlight w:val="none"/>
        </w:rPr>
        <w:t>投标人：</w:t>
      </w:r>
    </w:p>
    <w:p w14:paraId="201E6A65">
      <w:pPr>
        <w:shd w:val="clear"/>
        <w:adjustRightInd w:val="0"/>
        <w:snapToGrid w:val="0"/>
        <w:spacing w:line="360" w:lineRule="auto"/>
        <w:jc w:val="center"/>
        <w:rPr>
          <w:rFonts w:asciiTheme="minorEastAsia" w:hAnsiTheme="minorEastAsia" w:eastAsiaTheme="minorEastAsia"/>
          <w:color w:val="auto"/>
          <w:sz w:val="32"/>
          <w:szCs w:val="32"/>
          <w:highlight w:val="none"/>
        </w:rPr>
      </w:pPr>
      <w:r>
        <w:rPr>
          <w:rFonts w:hint="eastAsia" w:asciiTheme="minorEastAsia" w:hAnsiTheme="minorEastAsia" w:eastAsiaTheme="minorEastAsia"/>
          <w:color w:val="auto"/>
          <w:sz w:val="32"/>
          <w:szCs w:val="32"/>
          <w:highlight w:val="none"/>
        </w:rPr>
        <w:t>年  月  日</w:t>
      </w:r>
    </w:p>
    <w:p w14:paraId="4623F035">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98" w:name="_Toc20658"/>
      <w:bookmarkStart w:id="99" w:name="_Toc25095"/>
      <w:bookmarkStart w:id="100" w:name="_Toc18209"/>
      <w:bookmarkStart w:id="101" w:name="_Toc20041"/>
      <w:r>
        <w:rPr>
          <w:rFonts w:hint="eastAsia" w:ascii="黑体" w:hAnsi="宋体" w:eastAsia="黑体"/>
          <w:color w:val="auto"/>
          <w:sz w:val="28"/>
          <w:szCs w:val="28"/>
          <w:highlight w:val="none"/>
        </w:rPr>
        <w:t>五</w:t>
      </w:r>
      <w:r>
        <w:rPr>
          <w:rFonts w:ascii="黑体" w:hAnsi="宋体" w:eastAsia="黑体"/>
          <w:color w:val="auto"/>
          <w:sz w:val="28"/>
          <w:szCs w:val="28"/>
          <w:highlight w:val="none"/>
        </w:rPr>
        <w:t>、</w:t>
      </w:r>
      <w:r>
        <w:rPr>
          <w:rFonts w:hint="eastAsia" w:ascii="黑体" w:hAnsi="宋体" w:eastAsia="黑体"/>
          <w:color w:val="auto"/>
          <w:sz w:val="28"/>
          <w:szCs w:val="28"/>
          <w:highlight w:val="none"/>
        </w:rPr>
        <w:t>投标函</w:t>
      </w:r>
      <w:bookmarkEnd w:id="98"/>
      <w:bookmarkEnd w:id="99"/>
      <w:bookmarkEnd w:id="100"/>
      <w:bookmarkEnd w:id="101"/>
    </w:p>
    <w:p w14:paraId="1F14E71B">
      <w:pPr>
        <w:shd w:val="clear"/>
        <w:adjustRightInd w:val="0"/>
        <w:snapToGrid w:val="0"/>
        <w:spacing w:before="156" w:beforeLines="50"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致：（采购人、采购代理机构）：</w:t>
      </w:r>
    </w:p>
    <w:p w14:paraId="10318A61">
      <w:pPr>
        <w:shd w:val="clear"/>
        <w:adjustRightInd w:val="0"/>
        <w:snapToGrid w:val="0"/>
        <w:spacing w:before="156" w:beforeLines="50" w:line="360" w:lineRule="auto"/>
        <w:ind w:firstLine="435"/>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根据贵方为（项目名称）的投标邀请（</w:t>
      </w:r>
      <w:r>
        <w:rPr>
          <w:rFonts w:hint="eastAsia" w:asciiTheme="minorEastAsia" w:hAnsiTheme="minorEastAsia" w:eastAsiaTheme="minorEastAsia"/>
          <w:color w:val="auto"/>
          <w:highlight w:val="none"/>
        </w:rPr>
        <w:t>政府</w:t>
      </w:r>
      <w:r>
        <w:rPr>
          <w:rFonts w:hint="eastAsia" w:asciiTheme="minorEastAsia" w:hAnsiTheme="minorEastAsia" w:eastAsiaTheme="minorEastAsia"/>
          <w:iCs/>
          <w:color w:val="auto"/>
          <w:highlight w:val="none"/>
        </w:rPr>
        <w:t>采购编号：，</w:t>
      </w:r>
      <w:r>
        <w:rPr>
          <w:rFonts w:hint="eastAsia" w:asciiTheme="minorEastAsia" w:hAnsiTheme="minorEastAsia" w:eastAsiaTheme="minorEastAsia"/>
          <w:color w:val="auto"/>
          <w:szCs w:val="21"/>
          <w:highlight w:val="none"/>
        </w:rPr>
        <w:t>采购代理编号：），签字代表（姓名、职务）经正式授权并代表投标人（投标人名称）提交包含下述内容的电子投标文件一份至交易平台，参加采购项目包投标，并在此声明，所递交的投标文件内容合法、完整、真实。</w:t>
      </w:r>
    </w:p>
    <w:p w14:paraId="4C126A1F">
      <w:pPr>
        <w:shd w:val="clear"/>
        <w:adjustRightInd w:val="0"/>
        <w:snapToGrid w:val="0"/>
        <w:spacing w:before="156" w:beforeLines="5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第一部分 资格证明文件</w:t>
      </w:r>
    </w:p>
    <w:p w14:paraId="770E5EC2">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一、开标一览表</w:t>
      </w:r>
    </w:p>
    <w:p w14:paraId="3ECF5B5C">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二、投标保证金</w:t>
      </w:r>
    </w:p>
    <w:p w14:paraId="466D3B02">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三、法定代表人（单位负责人）身份证明或授权委托书</w:t>
      </w:r>
    </w:p>
    <w:p w14:paraId="30E9E77D">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四、投标人提供的资格证明文件</w:t>
      </w:r>
    </w:p>
    <w:p w14:paraId="01898CC8">
      <w:pPr>
        <w:shd w:val="clear"/>
        <w:adjustRightInd w:val="0"/>
        <w:snapToGrid w:val="0"/>
        <w:spacing w:before="156" w:beforeLines="50" w:line="360" w:lineRule="auto"/>
        <w:ind w:firstLine="422"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第二部分 商务技术文件</w:t>
      </w:r>
    </w:p>
    <w:p w14:paraId="1C6BED38">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五、投标函</w:t>
      </w:r>
    </w:p>
    <w:p w14:paraId="0453ABDB">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六、分项报价</w:t>
      </w:r>
    </w:p>
    <w:p w14:paraId="0317EBEF">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七、采购需求响应</w:t>
      </w:r>
    </w:p>
    <w:p w14:paraId="742C99C4">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八、合同条款偏离表</w:t>
      </w:r>
    </w:p>
    <w:p w14:paraId="53F0A844">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九、采购需求偏离表</w:t>
      </w:r>
    </w:p>
    <w:p w14:paraId="5F1ED14A">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十、享受政府采购政策优惠的证明资料</w:t>
      </w:r>
    </w:p>
    <w:p w14:paraId="3923978F">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十一、投标货物符合招标文件规定的证明文件</w:t>
      </w:r>
    </w:p>
    <w:p w14:paraId="08587ACB">
      <w:pPr>
        <w:shd w:val="clear"/>
        <w:adjustRightInd w:val="0"/>
        <w:snapToGrid w:val="0"/>
        <w:spacing w:before="156" w:beforeLines="50"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十二、投标人认为需提供的其他资料</w:t>
      </w:r>
    </w:p>
    <w:p w14:paraId="48E2DCC4">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在此，签字代表宣布同意如下：</w:t>
      </w:r>
    </w:p>
    <w:p w14:paraId="6F7C10B0">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1、投标人严格按照招标文件的规定报价，见《开标一览表》。</w:t>
      </w:r>
    </w:p>
    <w:p w14:paraId="1132520D">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2、投标人将按招标文件的规定履行合同责任和义务。</w:t>
      </w:r>
    </w:p>
    <w:p w14:paraId="693C1D9C">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3、投标人已详细审查招标文件。我们完全理解并同意放弃对这方面有不明及误解的权力。</w:t>
      </w:r>
    </w:p>
    <w:p w14:paraId="19EDF76B">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4、本投标有效期为自招标文件规定的提交投标文件截止之日起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个日历日。在投标有效期内，</w:t>
      </w:r>
      <w:r>
        <w:rPr>
          <w:rFonts w:hint="eastAsia" w:asciiTheme="minorEastAsia" w:hAnsiTheme="minorEastAsia" w:eastAsiaTheme="minorEastAsia"/>
          <w:color w:val="auto"/>
          <w:highlight w:val="none"/>
        </w:rPr>
        <w:t>投标人同意遵守本</w:t>
      </w:r>
      <w:r>
        <w:rPr>
          <w:rFonts w:hint="eastAsia" w:asciiTheme="minorEastAsia" w:hAnsiTheme="minorEastAsia" w:eastAsiaTheme="minorEastAsia"/>
          <w:color w:val="auto"/>
          <w:szCs w:val="21"/>
          <w:highlight w:val="none"/>
        </w:rPr>
        <w:t>投标</w:t>
      </w:r>
      <w:r>
        <w:rPr>
          <w:rFonts w:hint="eastAsia" w:asciiTheme="minorEastAsia" w:hAnsiTheme="minorEastAsia" w:eastAsiaTheme="minorEastAsia"/>
          <w:color w:val="auto"/>
          <w:highlight w:val="none"/>
        </w:rPr>
        <w:t>文件中的承诺且在此期限期满之前</w:t>
      </w:r>
      <w:r>
        <w:rPr>
          <w:rFonts w:hint="eastAsia" w:asciiTheme="minorEastAsia" w:hAnsiTheme="minorEastAsia" w:eastAsiaTheme="minorEastAsia"/>
          <w:color w:val="auto"/>
          <w:szCs w:val="21"/>
          <w:highlight w:val="none"/>
        </w:rPr>
        <w:t>投标</w:t>
      </w:r>
      <w:r>
        <w:rPr>
          <w:rFonts w:hint="eastAsia" w:asciiTheme="minorEastAsia" w:hAnsiTheme="minorEastAsia" w:eastAsiaTheme="minorEastAsia"/>
          <w:color w:val="auto"/>
          <w:highlight w:val="none"/>
        </w:rPr>
        <w:t>文件</w:t>
      </w:r>
      <w:r>
        <w:rPr>
          <w:rFonts w:hint="eastAsia" w:asciiTheme="minorEastAsia" w:hAnsiTheme="minorEastAsia" w:eastAsiaTheme="minorEastAsia"/>
          <w:color w:val="auto"/>
          <w:szCs w:val="21"/>
          <w:highlight w:val="none"/>
        </w:rPr>
        <w:t>对我方具有法律约束力</w:t>
      </w:r>
      <w:r>
        <w:rPr>
          <w:rFonts w:hint="eastAsia" w:asciiTheme="minorEastAsia" w:hAnsiTheme="minorEastAsia" w:eastAsiaTheme="minorEastAsia"/>
          <w:color w:val="auto"/>
          <w:highlight w:val="none"/>
        </w:rPr>
        <w:t>。</w:t>
      </w:r>
    </w:p>
    <w:p w14:paraId="4660E502">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5、</w:t>
      </w:r>
      <w:r>
        <w:rPr>
          <w:rFonts w:hint="eastAsia" w:asciiTheme="minorEastAsia" w:hAnsiTheme="minorEastAsia" w:eastAsiaTheme="minorEastAsia"/>
          <w:color w:val="auto"/>
          <w:szCs w:val="21"/>
          <w:highlight w:val="none"/>
        </w:rPr>
        <w:t>同意提供贵方可能要求的与其投标有关的一切数据或资料。</w:t>
      </w:r>
    </w:p>
    <w:p w14:paraId="0861CE72">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6、与本投标有关的一切正式往来信函请寄：</w:t>
      </w:r>
    </w:p>
    <w:p w14:paraId="7C33B22B">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地址：；邮编：；电话：；电子邮箱：。</w:t>
      </w:r>
    </w:p>
    <w:p w14:paraId="091B4052">
      <w:pPr>
        <w:shd w:val="clear"/>
        <w:adjustRightInd w:val="0"/>
        <w:snapToGrid w:val="0"/>
        <w:spacing w:before="156" w:beforeLines="50" w:line="360" w:lineRule="auto"/>
        <w:ind w:firstLine="420" w:firstLineChars="200"/>
        <w:rPr>
          <w:rFonts w:asciiTheme="minorEastAsia" w:hAnsiTheme="minorEastAsia" w:eastAsiaTheme="minorEastAsia"/>
          <w:color w:val="auto"/>
          <w:szCs w:val="21"/>
          <w:highlight w:val="none"/>
        </w:rPr>
      </w:pPr>
    </w:p>
    <w:p w14:paraId="3A6812FD">
      <w:pPr>
        <w:pStyle w:val="23"/>
        <w:shd w:val="clear"/>
        <w:adjustRightInd w:val="0"/>
        <w:snapToGrid w:val="0"/>
        <w:spacing w:before="156" w:beforeLines="50" w:line="360" w:lineRule="auto"/>
        <w:rPr>
          <w:rFonts w:asciiTheme="minorEastAsia" w:hAnsiTheme="minorEastAsia" w:eastAsiaTheme="minorEastAsia"/>
          <w:color w:val="auto"/>
          <w:highlight w:val="none"/>
        </w:rPr>
      </w:pPr>
    </w:p>
    <w:p w14:paraId="5238EA36">
      <w:pPr>
        <w:pStyle w:val="23"/>
        <w:shd w:val="clear"/>
        <w:adjustRightInd w:val="0"/>
        <w:snapToGrid w:val="0"/>
        <w:spacing w:before="156" w:beforeLines="50"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 xml:space="preserve">投标人名称（盖单位电子章）：                       </w:t>
      </w:r>
    </w:p>
    <w:p w14:paraId="3FA81C8E">
      <w:pPr>
        <w:shd w:val="clear"/>
        <w:adjustRightInd w:val="0"/>
        <w:snapToGrid w:val="0"/>
        <w:spacing w:before="156" w:beforeLines="50" w:line="360" w:lineRule="auto"/>
        <w:rPr>
          <w:rFonts w:asciiTheme="minorEastAsia" w:hAnsiTheme="minorEastAsia" w:eastAsiaTheme="minorEastAsia"/>
          <w:color w:val="auto"/>
          <w:szCs w:val="21"/>
          <w:highlight w:val="none"/>
          <w:u w:val="singl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Theme="minorEastAsia" w:hAnsiTheme="minorEastAsia" w:eastAsiaTheme="minorEastAsia"/>
          <w:color w:val="auto"/>
          <w:szCs w:val="21"/>
          <w:highlight w:val="none"/>
        </w:rPr>
        <w:t>或其授权的代理人（电子签字或电子印章）：</w:t>
      </w:r>
    </w:p>
    <w:p w14:paraId="11844F6B">
      <w:pPr>
        <w:shd w:val="clear"/>
        <w:adjustRightInd w:val="0"/>
        <w:snapToGrid w:val="0"/>
        <w:spacing w:before="156" w:beforeLines="50" w:line="360" w:lineRule="auto"/>
        <w:rPr>
          <w:rFonts w:ascii="黑体" w:hAnsi="宋体" w:eastAsia="黑体"/>
          <w:b/>
          <w:bCs/>
          <w:color w:val="auto"/>
          <w:sz w:val="28"/>
          <w:szCs w:val="28"/>
          <w:highlight w:val="none"/>
        </w:rPr>
      </w:pPr>
      <w:r>
        <w:rPr>
          <w:rFonts w:hint="eastAsia" w:asciiTheme="minorEastAsia" w:hAnsiTheme="minorEastAsia" w:eastAsiaTheme="minorEastAsia"/>
          <w:color w:val="auto"/>
          <w:szCs w:val="21"/>
          <w:highlight w:val="none"/>
        </w:rPr>
        <w:t>日期：年月日</w:t>
      </w:r>
      <w:r>
        <w:rPr>
          <w:rFonts w:ascii="黑体" w:hAnsi="宋体" w:eastAsia="黑体"/>
          <w:b/>
          <w:bCs/>
          <w:color w:val="auto"/>
          <w:sz w:val="28"/>
          <w:szCs w:val="28"/>
          <w:highlight w:val="none"/>
        </w:rPr>
        <w:br w:type="page"/>
      </w:r>
    </w:p>
    <w:p w14:paraId="36F62758">
      <w:pPr>
        <w:pStyle w:val="4"/>
        <w:shd w:val="clear"/>
        <w:adjustRightInd w:val="0"/>
        <w:snapToGrid w:val="0"/>
        <w:spacing w:before="0" w:after="0" w:line="240" w:lineRule="auto"/>
        <w:jc w:val="center"/>
        <w:rPr>
          <w:rFonts w:ascii="黑体" w:hAnsi="宋体" w:eastAsia="黑体"/>
          <w:color w:val="auto"/>
          <w:sz w:val="28"/>
          <w:szCs w:val="28"/>
          <w:highlight w:val="none"/>
        </w:rPr>
      </w:pPr>
      <w:bookmarkStart w:id="102" w:name="_Toc12999"/>
      <w:bookmarkStart w:id="103" w:name="_Toc4874"/>
      <w:bookmarkStart w:id="104" w:name="_Toc14130"/>
      <w:bookmarkStart w:id="105" w:name="_Toc14332"/>
      <w:r>
        <w:rPr>
          <w:rFonts w:hint="eastAsia" w:ascii="黑体" w:hAnsi="宋体" w:eastAsia="黑体"/>
          <w:color w:val="auto"/>
          <w:sz w:val="28"/>
          <w:szCs w:val="28"/>
          <w:highlight w:val="none"/>
        </w:rPr>
        <w:t>六、分项报价</w:t>
      </w:r>
      <w:bookmarkEnd w:id="102"/>
      <w:bookmarkEnd w:id="103"/>
      <w:bookmarkEnd w:id="104"/>
      <w:bookmarkEnd w:id="105"/>
    </w:p>
    <w:p w14:paraId="3903F096">
      <w:pPr>
        <w:pStyle w:val="5"/>
        <w:shd w:val="clear"/>
        <w:spacing w:line="240" w:lineRule="auto"/>
        <w:jc w:val="left"/>
        <w:rPr>
          <w:rFonts w:ascii="黑体" w:cs="微软雅黑" w:hAnsiTheme="minorEastAsia"/>
          <w:b w:val="0"/>
          <w:color w:val="auto"/>
          <w:sz w:val="21"/>
          <w:szCs w:val="21"/>
          <w:highlight w:val="none"/>
        </w:rPr>
      </w:pPr>
      <w:bookmarkStart w:id="106" w:name="_Toc28093"/>
      <w:bookmarkStart w:id="107" w:name="_Toc15147"/>
      <w:bookmarkStart w:id="108" w:name="_Toc12695"/>
      <w:bookmarkStart w:id="109" w:name="_Toc12218"/>
      <w:r>
        <w:rPr>
          <w:rFonts w:hint="eastAsia" w:ascii="黑体" w:hAnsi="华文中宋" w:cs="宋体"/>
          <w:b w:val="0"/>
          <w:bCs w:val="0"/>
          <w:color w:val="auto"/>
          <w:spacing w:val="6"/>
          <w:sz w:val="21"/>
          <w:szCs w:val="21"/>
          <w:highlight w:val="none"/>
        </w:rPr>
        <w:t xml:space="preserve">附件6-1 </w:t>
      </w:r>
      <w:r>
        <w:rPr>
          <w:rFonts w:hint="eastAsia" w:ascii="黑体" w:cs="微软雅黑" w:hAnsiTheme="minorEastAsia"/>
          <w:b w:val="0"/>
          <w:color w:val="auto"/>
          <w:spacing w:val="-2"/>
          <w:sz w:val="21"/>
          <w:szCs w:val="21"/>
          <w:highlight w:val="none"/>
        </w:rPr>
        <w:t>分</w:t>
      </w:r>
      <w:r>
        <w:rPr>
          <w:rFonts w:hint="eastAsia" w:ascii="黑体" w:cs="微软雅黑" w:hAnsiTheme="minorEastAsia"/>
          <w:b w:val="0"/>
          <w:color w:val="auto"/>
          <w:sz w:val="21"/>
          <w:szCs w:val="21"/>
          <w:highlight w:val="none"/>
        </w:rPr>
        <w:t>项</w:t>
      </w:r>
      <w:r>
        <w:rPr>
          <w:rFonts w:hint="eastAsia" w:ascii="黑体" w:cs="微软雅黑" w:hAnsiTheme="minorEastAsia"/>
          <w:b w:val="0"/>
          <w:color w:val="auto"/>
          <w:spacing w:val="-2"/>
          <w:sz w:val="21"/>
          <w:szCs w:val="21"/>
          <w:highlight w:val="none"/>
        </w:rPr>
        <w:t>报</w:t>
      </w:r>
      <w:r>
        <w:rPr>
          <w:rFonts w:hint="eastAsia" w:ascii="黑体" w:cs="微软雅黑" w:hAnsiTheme="minorEastAsia"/>
          <w:b w:val="0"/>
          <w:color w:val="auto"/>
          <w:sz w:val="21"/>
          <w:szCs w:val="21"/>
          <w:highlight w:val="none"/>
        </w:rPr>
        <w:t>价说明</w:t>
      </w:r>
      <w:bookmarkEnd w:id="106"/>
      <w:bookmarkEnd w:id="107"/>
      <w:bookmarkEnd w:id="108"/>
      <w:bookmarkEnd w:id="109"/>
    </w:p>
    <w:p w14:paraId="5855ADD6">
      <w:pPr>
        <w:shd w:val="clear"/>
        <w:autoSpaceDE w:val="0"/>
        <w:autoSpaceDN w:val="0"/>
        <w:adjustRightInd w:val="0"/>
        <w:snapToGrid w:val="0"/>
        <w:jc w:val="center"/>
        <w:rPr>
          <w:rFonts w:ascii="黑体" w:eastAsia="黑体" w:cs="微软雅黑" w:hAnsiTheme="minorEastAsia"/>
          <w:b/>
          <w:color w:val="auto"/>
          <w:kern w:val="0"/>
          <w:sz w:val="28"/>
          <w:szCs w:val="28"/>
          <w:highlight w:val="none"/>
        </w:rPr>
      </w:pPr>
      <w:r>
        <w:rPr>
          <w:rFonts w:hint="eastAsia" w:ascii="黑体" w:eastAsia="黑体" w:cs="微软雅黑" w:hAnsiTheme="minorEastAsia"/>
          <w:b/>
          <w:color w:val="auto"/>
          <w:spacing w:val="-2"/>
          <w:kern w:val="0"/>
          <w:sz w:val="28"/>
          <w:szCs w:val="28"/>
          <w:highlight w:val="none"/>
        </w:rPr>
        <w:t>分</w:t>
      </w:r>
      <w:r>
        <w:rPr>
          <w:rFonts w:hint="eastAsia" w:ascii="黑体" w:eastAsia="黑体" w:cs="微软雅黑" w:hAnsiTheme="minorEastAsia"/>
          <w:b/>
          <w:color w:val="auto"/>
          <w:kern w:val="0"/>
          <w:sz w:val="28"/>
          <w:szCs w:val="28"/>
          <w:highlight w:val="none"/>
        </w:rPr>
        <w:t>项</w:t>
      </w:r>
      <w:r>
        <w:rPr>
          <w:rFonts w:hint="eastAsia" w:ascii="黑体" w:eastAsia="黑体" w:cs="微软雅黑" w:hAnsiTheme="minorEastAsia"/>
          <w:b/>
          <w:color w:val="auto"/>
          <w:spacing w:val="-2"/>
          <w:kern w:val="0"/>
          <w:sz w:val="28"/>
          <w:szCs w:val="28"/>
          <w:highlight w:val="none"/>
        </w:rPr>
        <w:t>报</w:t>
      </w:r>
      <w:r>
        <w:rPr>
          <w:rFonts w:hint="eastAsia" w:ascii="黑体" w:eastAsia="黑体" w:cs="微软雅黑" w:hAnsiTheme="minorEastAsia"/>
          <w:b/>
          <w:color w:val="auto"/>
          <w:kern w:val="0"/>
          <w:sz w:val="28"/>
          <w:szCs w:val="28"/>
          <w:highlight w:val="none"/>
        </w:rPr>
        <w:t>价说明</w:t>
      </w:r>
    </w:p>
    <w:p w14:paraId="11F595F7">
      <w:pPr>
        <w:shd w:val="clear"/>
        <w:autoSpaceDE w:val="0"/>
        <w:autoSpaceDN w:val="0"/>
        <w:adjustRightInd w:val="0"/>
        <w:snapToGrid w:val="0"/>
        <w:jc w:val="left"/>
        <w:rPr>
          <w:rFonts w:cs="微软雅黑" w:asciiTheme="minorEastAsia" w:hAnsiTheme="minorEastAsia" w:eastAsiaTheme="minorEastAsia"/>
          <w:color w:val="auto"/>
          <w:kern w:val="0"/>
          <w:szCs w:val="21"/>
          <w:highlight w:val="none"/>
        </w:rPr>
      </w:pPr>
      <w:r>
        <w:rPr>
          <w:rFonts w:hint="eastAsia" w:cs="微软雅黑" w:asciiTheme="minorEastAsia" w:hAnsiTheme="minorEastAsia" w:eastAsiaTheme="minorEastAsia"/>
          <w:color w:val="auto"/>
          <w:kern w:val="0"/>
          <w:szCs w:val="21"/>
          <w:highlight w:val="none"/>
        </w:rPr>
        <w:t>备注：投标人应按招标文件第二章相关要求，对本节</w:t>
      </w:r>
      <w:r>
        <w:rPr>
          <w:rFonts w:hint="eastAsia" w:asciiTheme="minorEastAsia" w:hAnsiTheme="minorEastAsia" w:eastAsiaTheme="minorEastAsia"/>
          <w:bCs/>
          <w:color w:val="auto"/>
          <w:szCs w:val="21"/>
          <w:highlight w:val="none"/>
        </w:rPr>
        <w:t>“</w:t>
      </w:r>
      <w:r>
        <w:rPr>
          <w:rFonts w:hint="eastAsia" w:cs="微软雅黑" w:asciiTheme="minorEastAsia" w:hAnsiTheme="minorEastAsia" w:eastAsiaTheme="minorEastAsia"/>
          <w:color w:val="auto"/>
          <w:kern w:val="0"/>
          <w:szCs w:val="21"/>
          <w:highlight w:val="none"/>
        </w:rPr>
        <w:t>分项报价明细表</w:t>
      </w:r>
      <w:r>
        <w:rPr>
          <w:rFonts w:hint="eastAsia" w:asciiTheme="minorEastAsia" w:hAnsiTheme="minorEastAsia" w:eastAsiaTheme="minorEastAsia"/>
          <w:bCs/>
          <w:color w:val="auto"/>
          <w:szCs w:val="21"/>
          <w:highlight w:val="none"/>
        </w:rPr>
        <w:t>”进行</w:t>
      </w:r>
      <w:r>
        <w:rPr>
          <w:rFonts w:hint="eastAsia" w:cs="微软雅黑" w:asciiTheme="minorEastAsia" w:hAnsiTheme="minorEastAsia" w:eastAsiaTheme="minorEastAsia"/>
          <w:color w:val="auto"/>
          <w:kern w:val="0"/>
          <w:szCs w:val="21"/>
          <w:highlight w:val="none"/>
        </w:rPr>
        <w:t>编制，并说明。</w:t>
      </w:r>
    </w:p>
    <w:p w14:paraId="68B177CB">
      <w:pPr>
        <w:shd w:val="clear"/>
        <w:rPr>
          <w:color w:val="auto"/>
          <w:highlight w:val="none"/>
        </w:rPr>
      </w:pPr>
    </w:p>
    <w:p w14:paraId="2498820E">
      <w:pPr>
        <w:pStyle w:val="5"/>
        <w:shd w:val="clear"/>
        <w:spacing w:line="240" w:lineRule="auto"/>
        <w:jc w:val="left"/>
        <w:rPr>
          <w:rFonts w:ascii="黑体" w:cs="微软雅黑" w:hAnsiTheme="minorEastAsia"/>
          <w:b w:val="0"/>
          <w:color w:val="auto"/>
          <w:sz w:val="21"/>
          <w:szCs w:val="21"/>
          <w:highlight w:val="none"/>
        </w:rPr>
      </w:pPr>
      <w:bookmarkStart w:id="110" w:name="_Toc1783"/>
      <w:bookmarkStart w:id="111" w:name="_Toc8883"/>
      <w:bookmarkStart w:id="112" w:name="_Toc25373"/>
      <w:bookmarkStart w:id="113" w:name="_Toc15829"/>
      <w:r>
        <w:rPr>
          <w:rFonts w:hint="eastAsia" w:ascii="黑体" w:hAnsi="华文中宋" w:cs="宋体"/>
          <w:b w:val="0"/>
          <w:bCs w:val="0"/>
          <w:color w:val="auto"/>
          <w:spacing w:val="6"/>
          <w:sz w:val="21"/>
          <w:szCs w:val="21"/>
          <w:highlight w:val="none"/>
        </w:rPr>
        <w:t xml:space="preserve">附件6-2 </w:t>
      </w:r>
      <w:r>
        <w:rPr>
          <w:rFonts w:hint="eastAsia" w:ascii="黑体" w:cs="微软雅黑" w:hAnsiTheme="minorEastAsia"/>
          <w:b w:val="0"/>
          <w:color w:val="auto"/>
          <w:spacing w:val="-2"/>
          <w:position w:val="-3"/>
          <w:sz w:val="21"/>
          <w:szCs w:val="21"/>
          <w:highlight w:val="none"/>
        </w:rPr>
        <w:t>分</w:t>
      </w:r>
      <w:r>
        <w:rPr>
          <w:rFonts w:hint="eastAsia" w:ascii="黑体" w:cs="微软雅黑" w:hAnsiTheme="minorEastAsia"/>
          <w:b w:val="0"/>
          <w:color w:val="auto"/>
          <w:position w:val="-3"/>
          <w:sz w:val="21"/>
          <w:szCs w:val="21"/>
          <w:highlight w:val="none"/>
        </w:rPr>
        <w:t>项</w:t>
      </w:r>
      <w:r>
        <w:rPr>
          <w:rFonts w:hint="eastAsia" w:ascii="黑体" w:cs="微软雅黑" w:hAnsiTheme="minorEastAsia"/>
          <w:b w:val="0"/>
          <w:color w:val="auto"/>
          <w:spacing w:val="-2"/>
          <w:position w:val="-3"/>
          <w:sz w:val="21"/>
          <w:szCs w:val="21"/>
          <w:highlight w:val="none"/>
        </w:rPr>
        <w:t>报</w:t>
      </w:r>
      <w:r>
        <w:rPr>
          <w:rFonts w:hint="eastAsia" w:ascii="黑体" w:cs="微软雅黑" w:hAnsiTheme="minorEastAsia"/>
          <w:b w:val="0"/>
          <w:color w:val="auto"/>
          <w:position w:val="-3"/>
          <w:sz w:val="21"/>
          <w:szCs w:val="21"/>
          <w:highlight w:val="none"/>
        </w:rPr>
        <w:t>价明细表</w:t>
      </w:r>
      <w:bookmarkEnd w:id="110"/>
      <w:bookmarkEnd w:id="111"/>
      <w:bookmarkEnd w:id="112"/>
      <w:bookmarkEnd w:id="113"/>
    </w:p>
    <w:p w14:paraId="127FDABA">
      <w:pPr>
        <w:shd w:val="clear"/>
        <w:adjustRightInd w:val="0"/>
        <w:snapToGrid w:val="0"/>
        <w:jc w:val="center"/>
        <w:rPr>
          <w:rFonts w:ascii="黑体" w:eastAsia="黑体" w:cs="微软雅黑" w:hAnsiTheme="minorEastAsia"/>
          <w:b/>
          <w:color w:val="auto"/>
          <w:kern w:val="0"/>
          <w:position w:val="-3"/>
          <w:sz w:val="28"/>
          <w:szCs w:val="28"/>
          <w:highlight w:val="none"/>
        </w:rPr>
      </w:pPr>
      <w:r>
        <w:rPr>
          <w:rFonts w:hint="eastAsia" w:ascii="黑体" w:eastAsia="黑体" w:cs="微软雅黑" w:hAnsiTheme="minorEastAsia"/>
          <w:b/>
          <w:color w:val="auto"/>
          <w:spacing w:val="-2"/>
          <w:kern w:val="0"/>
          <w:position w:val="-3"/>
          <w:sz w:val="28"/>
          <w:szCs w:val="28"/>
          <w:highlight w:val="none"/>
        </w:rPr>
        <w:t>设备清单分</w:t>
      </w:r>
      <w:r>
        <w:rPr>
          <w:rFonts w:hint="eastAsia" w:ascii="黑体" w:eastAsia="黑体" w:cs="微软雅黑" w:hAnsiTheme="minorEastAsia"/>
          <w:b/>
          <w:color w:val="auto"/>
          <w:kern w:val="0"/>
          <w:position w:val="-3"/>
          <w:sz w:val="28"/>
          <w:szCs w:val="28"/>
          <w:highlight w:val="none"/>
        </w:rPr>
        <w:t>项</w:t>
      </w:r>
      <w:r>
        <w:rPr>
          <w:rFonts w:hint="eastAsia" w:ascii="黑体" w:eastAsia="黑体" w:cs="微软雅黑" w:hAnsiTheme="minorEastAsia"/>
          <w:b/>
          <w:color w:val="auto"/>
          <w:spacing w:val="-2"/>
          <w:kern w:val="0"/>
          <w:position w:val="-3"/>
          <w:sz w:val="28"/>
          <w:szCs w:val="28"/>
          <w:highlight w:val="none"/>
        </w:rPr>
        <w:t>报</w:t>
      </w:r>
      <w:r>
        <w:rPr>
          <w:rFonts w:hint="eastAsia" w:ascii="黑体" w:eastAsia="黑体" w:cs="微软雅黑" w:hAnsiTheme="minorEastAsia"/>
          <w:b/>
          <w:color w:val="auto"/>
          <w:kern w:val="0"/>
          <w:position w:val="-3"/>
          <w:sz w:val="28"/>
          <w:szCs w:val="28"/>
          <w:highlight w:val="none"/>
        </w:rPr>
        <w:t>价明细表</w:t>
      </w:r>
    </w:p>
    <w:p w14:paraId="6EFF7845">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p>
    <w:p w14:paraId="5E096194">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r>
        <w:rPr>
          <w:rFonts w:hint="eastAsia" w:cs="微软雅黑" w:asciiTheme="minorEastAsia" w:hAnsiTheme="minorEastAsia" w:eastAsiaTheme="minorEastAsia"/>
          <w:b w:val="0"/>
          <w:bCs w:val="0"/>
          <w:color w:val="auto"/>
          <w:sz w:val="21"/>
          <w:szCs w:val="21"/>
          <w:highlight w:val="none"/>
        </w:rPr>
        <w:t>采购代理编号：                    项目名称：</w:t>
      </w:r>
    </w:p>
    <w:p w14:paraId="669D4040">
      <w:pPr>
        <w:pStyle w:val="5"/>
        <w:shd w:val="clear"/>
        <w:spacing w:before="0" w:after="0" w:line="240" w:lineRule="exact"/>
        <w:jc w:val="left"/>
        <w:rPr>
          <w:rFonts w:cs="微软雅黑" w:asciiTheme="minorEastAsia" w:hAnsiTheme="minorEastAsia" w:eastAsiaTheme="minorEastAsia"/>
          <w:b w:val="0"/>
          <w:bCs w:val="0"/>
          <w:color w:val="auto"/>
          <w:sz w:val="21"/>
          <w:szCs w:val="21"/>
          <w:highlight w:val="none"/>
        </w:rPr>
      </w:pPr>
      <w:r>
        <w:rPr>
          <w:rFonts w:hint="eastAsia" w:cs="微软雅黑" w:asciiTheme="minorEastAsia" w:hAnsiTheme="minorEastAsia" w:eastAsiaTheme="minorEastAsia"/>
          <w:b w:val="0"/>
          <w:bCs w:val="0"/>
          <w:color w:val="auto"/>
          <w:sz w:val="21"/>
          <w:szCs w:val="21"/>
          <w:highlight w:val="none"/>
        </w:rPr>
        <w:t>包号：                            包名称：</w:t>
      </w:r>
    </w:p>
    <w:tbl>
      <w:tblPr>
        <w:tblStyle w:val="43"/>
        <w:tblW w:w="8884" w:type="dxa"/>
        <w:jc w:val="center"/>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329"/>
        <w:gridCol w:w="1383"/>
        <w:gridCol w:w="2130"/>
        <w:gridCol w:w="1199"/>
        <w:gridCol w:w="1096"/>
        <w:gridCol w:w="909"/>
        <w:gridCol w:w="918"/>
        <w:gridCol w:w="920"/>
      </w:tblGrid>
      <w:tr w14:paraId="505410D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87" w:hRule="atLeast"/>
          <w:jc w:val="center"/>
        </w:trPr>
        <w:tc>
          <w:tcPr>
            <w:tcW w:w="1712" w:type="dxa"/>
            <w:gridSpan w:val="2"/>
            <w:vMerge w:val="restart"/>
            <w:tcBorders>
              <w:bottom w:val="single" w:color="000000" w:sz="6" w:space="0"/>
              <w:right w:val="single" w:color="000000" w:sz="6" w:space="0"/>
            </w:tcBorders>
          </w:tcPr>
          <w:p w14:paraId="6E032A4A">
            <w:pPr>
              <w:pStyle w:val="142"/>
              <w:shd w:val="clear"/>
              <w:spacing w:before="10"/>
              <w:rPr>
                <w:color w:val="auto"/>
                <w:sz w:val="15"/>
                <w:highlight w:val="none"/>
              </w:rPr>
            </w:pPr>
          </w:p>
          <w:p w14:paraId="3A5EB596">
            <w:pPr>
              <w:pStyle w:val="142"/>
              <w:shd w:val="clear"/>
              <w:ind w:left="229"/>
              <w:rPr>
                <w:color w:val="auto"/>
                <w:sz w:val="21"/>
                <w:highlight w:val="none"/>
              </w:rPr>
            </w:pPr>
            <w:r>
              <w:rPr>
                <w:color w:val="auto"/>
                <w:sz w:val="21"/>
                <w:highlight w:val="none"/>
              </w:rPr>
              <w:t xml:space="preserve">分项项目名称 </w:t>
            </w:r>
          </w:p>
        </w:tc>
        <w:tc>
          <w:tcPr>
            <w:tcW w:w="2130" w:type="dxa"/>
            <w:vMerge w:val="restart"/>
            <w:tcBorders>
              <w:left w:val="single" w:color="000000" w:sz="6" w:space="0"/>
              <w:bottom w:val="single" w:color="000000" w:sz="6" w:space="0"/>
              <w:right w:val="single" w:color="000000" w:sz="4" w:space="0"/>
            </w:tcBorders>
          </w:tcPr>
          <w:p w14:paraId="41C44891">
            <w:pPr>
              <w:pStyle w:val="142"/>
              <w:shd w:val="clear"/>
              <w:spacing w:before="5"/>
              <w:ind w:left="174" w:right="31"/>
              <w:jc w:val="center"/>
              <w:rPr>
                <w:color w:val="auto"/>
                <w:sz w:val="21"/>
                <w:highlight w:val="none"/>
              </w:rPr>
            </w:pPr>
            <w:r>
              <w:rPr>
                <w:color w:val="auto"/>
                <w:sz w:val="21"/>
                <w:highlight w:val="none"/>
              </w:rPr>
              <w:t xml:space="preserve">规格型号 </w:t>
            </w:r>
          </w:p>
          <w:p w14:paraId="1F86F661">
            <w:pPr>
              <w:pStyle w:val="142"/>
              <w:shd w:val="clear"/>
              <w:spacing w:before="139"/>
              <w:ind w:left="175" w:right="31"/>
              <w:jc w:val="center"/>
              <w:rPr>
                <w:color w:val="auto"/>
                <w:sz w:val="21"/>
                <w:highlight w:val="none"/>
              </w:rPr>
            </w:pPr>
            <w:r>
              <w:rPr>
                <w:color w:val="auto"/>
                <w:sz w:val="21"/>
                <w:highlight w:val="none"/>
              </w:rPr>
              <w:t>（</w:t>
            </w:r>
            <w:r>
              <w:rPr>
                <w:color w:val="auto"/>
                <w:spacing w:val="-2"/>
                <w:sz w:val="21"/>
                <w:highlight w:val="none"/>
              </w:rPr>
              <w:t>或项目特征描述</w:t>
            </w:r>
            <w:r>
              <w:rPr>
                <w:color w:val="auto"/>
                <w:spacing w:val="-5"/>
                <w:sz w:val="21"/>
                <w:highlight w:val="none"/>
              </w:rPr>
              <w:t>）</w:t>
            </w:r>
          </w:p>
        </w:tc>
        <w:tc>
          <w:tcPr>
            <w:tcW w:w="1199" w:type="dxa"/>
            <w:vMerge w:val="restart"/>
            <w:tcBorders>
              <w:left w:val="single" w:color="000000" w:sz="4" w:space="0"/>
              <w:bottom w:val="single" w:color="000000" w:sz="6" w:space="0"/>
              <w:right w:val="single" w:color="000000" w:sz="6" w:space="0"/>
            </w:tcBorders>
          </w:tcPr>
          <w:p w14:paraId="6CB20E1B">
            <w:pPr>
              <w:pStyle w:val="142"/>
              <w:shd w:val="clear"/>
              <w:spacing w:before="10"/>
              <w:rPr>
                <w:color w:val="auto"/>
                <w:sz w:val="15"/>
                <w:highlight w:val="none"/>
              </w:rPr>
            </w:pPr>
          </w:p>
          <w:p w14:paraId="16554012">
            <w:pPr>
              <w:pStyle w:val="142"/>
              <w:shd w:val="clear"/>
              <w:ind w:left="133"/>
              <w:rPr>
                <w:color w:val="auto"/>
                <w:sz w:val="21"/>
                <w:highlight w:val="none"/>
              </w:rPr>
            </w:pPr>
            <w:r>
              <w:rPr>
                <w:color w:val="auto"/>
                <w:sz w:val="21"/>
                <w:highlight w:val="none"/>
              </w:rPr>
              <w:t xml:space="preserve">品牌/产地 </w:t>
            </w:r>
          </w:p>
        </w:tc>
        <w:tc>
          <w:tcPr>
            <w:tcW w:w="1096" w:type="dxa"/>
            <w:vMerge w:val="restart"/>
            <w:tcBorders>
              <w:left w:val="single" w:color="000000" w:sz="6" w:space="0"/>
              <w:bottom w:val="single" w:color="000000" w:sz="6" w:space="0"/>
              <w:right w:val="single" w:color="000000" w:sz="4" w:space="0"/>
            </w:tcBorders>
          </w:tcPr>
          <w:p w14:paraId="33E81452">
            <w:pPr>
              <w:pStyle w:val="142"/>
              <w:shd w:val="clear"/>
              <w:spacing w:before="9"/>
              <w:rPr>
                <w:color w:val="auto"/>
                <w:sz w:val="15"/>
                <w:highlight w:val="none"/>
              </w:rPr>
            </w:pPr>
          </w:p>
          <w:p w14:paraId="29034F12">
            <w:pPr>
              <w:pStyle w:val="142"/>
              <w:shd w:val="clear"/>
              <w:ind w:left="84" w:right="-58"/>
              <w:rPr>
                <w:color w:val="auto"/>
                <w:sz w:val="21"/>
                <w:highlight w:val="none"/>
              </w:rPr>
            </w:pPr>
            <w:r>
              <w:rPr>
                <w:color w:val="auto"/>
                <w:position w:val="1"/>
                <w:sz w:val="21"/>
                <w:highlight w:val="none"/>
              </w:rPr>
              <w:t>数量/</w:t>
            </w:r>
            <w:r>
              <w:rPr>
                <w:color w:val="auto"/>
                <w:spacing w:val="-3"/>
                <w:position w:val="1"/>
                <w:sz w:val="21"/>
                <w:highlight w:val="none"/>
              </w:rPr>
              <w:t>单位</w:t>
            </w:r>
          </w:p>
        </w:tc>
        <w:tc>
          <w:tcPr>
            <w:tcW w:w="1827" w:type="dxa"/>
            <w:gridSpan w:val="2"/>
            <w:tcBorders>
              <w:left w:val="single" w:color="000000" w:sz="4" w:space="0"/>
              <w:bottom w:val="single" w:color="000000" w:sz="6" w:space="0"/>
              <w:right w:val="single" w:color="000000" w:sz="6" w:space="0"/>
            </w:tcBorders>
          </w:tcPr>
          <w:p w14:paraId="4D274247">
            <w:pPr>
              <w:pStyle w:val="142"/>
              <w:shd w:val="clear"/>
              <w:spacing w:before="5"/>
              <w:ind w:left="393"/>
              <w:rPr>
                <w:color w:val="auto"/>
                <w:sz w:val="21"/>
                <w:highlight w:val="none"/>
              </w:rPr>
            </w:pPr>
            <w:r>
              <w:rPr>
                <w:color w:val="auto"/>
                <w:sz w:val="21"/>
                <w:highlight w:val="none"/>
              </w:rPr>
              <w:t xml:space="preserve">金额（元） </w:t>
            </w:r>
          </w:p>
        </w:tc>
        <w:tc>
          <w:tcPr>
            <w:tcW w:w="920" w:type="dxa"/>
            <w:vMerge w:val="restart"/>
            <w:tcBorders>
              <w:left w:val="single" w:color="000000" w:sz="6" w:space="0"/>
              <w:bottom w:val="single" w:color="000000" w:sz="6" w:space="0"/>
            </w:tcBorders>
          </w:tcPr>
          <w:p w14:paraId="7D771A01">
            <w:pPr>
              <w:pStyle w:val="142"/>
              <w:shd w:val="clear"/>
              <w:spacing w:before="10"/>
              <w:rPr>
                <w:color w:val="auto"/>
                <w:sz w:val="15"/>
                <w:highlight w:val="none"/>
              </w:rPr>
            </w:pPr>
          </w:p>
          <w:p w14:paraId="7BCE5B9C">
            <w:pPr>
              <w:pStyle w:val="142"/>
              <w:shd w:val="clear"/>
              <w:ind w:left="249"/>
              <w:rPr>
                <w:color w:val="auto"/>
                <w:sz w:val="21"/>
                <w:highlight w:val="none"/>
              </w:rPr>
            </w:pPr>
            <w:r>
              <w:rPr>
                <w:color w:val="auto"/>
                <w:sz w:val="21"/>
                <w:highlight w:val="none"/>
              </w:rPr>
              <w:t xml:space="preserve">备注 </w:t>
            </w:r>
          </w:p>
        </w:tc>
      </w:tr>
      <w:tr w14:paraId="18DF8FF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1712" w:type="dxa"/>
            <w:gridSpan w:val="2"/>
            <w:vMerge w:val="continue"/>
            <w:tcBorders>
              <w:top w:val="nil"/>
              <w:bottom w:val="single" w:color="000000" w:sz="6" w:space="0"/>
              <w:right w:val="single" w:color="000000" w:sz="6" w:space="0"/>
            </w:tcBorders>
          </w:tcPr>
          <w:p w14:paraId="23F9166A">
            <w:pPr>
              <w:shd w:val="clear"/>
              <w:rPr>
                <w:color w:val="auto"/>
                <w:sz w:val="2"/>
                <w:szCs w:val="2"/>
                <w:highlight w:val="none"/>
              </w:rPr>
            </w:pPr>
          </w:p>
        </w:tc>
        <w:tc>
          <w:tcPr>
            <w:tcW w:w="2130" w:type="dxa"/>
            <w:vMerge w:val="continue"/>
            <w:tcBorders>
              <w:top w:val="nil"/>
              <w:left w:val="single" w:color="000000" w:sz="6" w:space="0"/>
              <w:bottom w:val="single" w:color="000000" w:sz="6" w:space="0"/>
              <w:right w:val="single" w:color="000000" w:sz="4" w:space="0"/>
            </w:tcBorders>
          </w:tcPr>
          <w:p w14:paraId="1398D655">
            <w:pPr>
              <w:shd w:val="clear"/>
              <w:rPr>
                <w:color w:val="auto"/>
                <w:sz w:val="2"/>
                <w:szCs w:val="2"/>
                <w:highlight w:val="none"/>
              </w:rPr>
            </w:pPr>
          </w:p>
        </w:tc>
        <w:tc>
          <w:tcPr>
            <w:tcW w:w="1199" w:type="dxa"/>
            <w:vMerge w:val="continue"/>
            <w:tcBorders>
              <w:top w:val="nil"/>
              <w:left w:val="single" w:color="000000" w:sz="4" w:space="0"/>
              <w:bottom w:val="single" w:color="000000" w:sz="6" w:space="0"/>
              <w:right w:val="single" w:color="000000" w:sz="6" w:space="0"/>
            </w:tcBorders>
          </w:tcPr>
          <w:p w14:paraId="6A9F3895">
            <w:pPr>
              <w:shd w:val="clear"/>
              <w:rPr>
                <w:color w:val="auto"/>
                <w:sz w:val="2"/>
                <w:szCs w:val="2"/>
                <w:highlight w:val="none"/>
              </w:rPr>
            </w:pPr>
          </w:p>
        </w:tc>
        <w:tc>
          <w:tcPr>
            <w:tcW w:w="1096" w:type="dxa"/>
            <w:vMerge w:val="continue"/>
            <w:tcBorders>
              <w:top w:val="nil"/>
              <w:left w:val="single" w:color="000000" w:sz="6" w:space="0"/>
              <w:bottom w:val="single" w:color="000000" w:sz="6" w:space="0"/>
              <w:right w:val="single" w:color="000000" w:sz="4" w:space="0"/>
            </w:tcBorders>
          </w:tcPr>
          <w:p w14:paraId="4ED5D09D">
            <w:pPr>
              <w:shd w:val="clear"/>
              <w:rPr>
                <w:color w:val="auto"/>
                <w:sz w:val="2"/>
                <w:szCs w:val="2"/>
                <w:highlight w:val="none"/>
              </w:rPr>
            </w:pPr>
          </w:p>
        </w:tc>
        <w:tc>
          <w:tcPr>
            <w:tcW w:w="909" w:type="dxa"/>
            <w:tcBorders>
              <w:top w:val="single" w:color="000000" w:sz="6" w:space="0"/>
              <w:left w:val="single" w:color="000000" w:sz="4" w:space="0"/>
              <w:bottom w:val="single" w:color="000000" w:sz="6" w:space="0"/>
              <w:right w:val="single" w:color="000000" w:sz="4" w:space="0"/>
            </w:tcBorders>
          </w:tcPr>
          <w:p w14:paraId="3795896E">
            <w:pPr>
              <w:pStyle w:val="142"/>
              <w:shd w:val="clear"/>
              <w:spacing w:before="1"/>
              <w:ind w:left="253"/>
              <w:rPr>
                <w:color w:val="auto"/>
                <w:sz w:val="21"/>
                <w:highlight w:val="none"/>
              </w:rPr>
            </w:pPr>
            <w:r>
              <w:rPr>
                <w:color w:val="auto"/>
                <w:sz w:val="21"/>
                <w:highlight w:val="none"/>
              </w:rPr>
              <w:t>单价</w:t>
            </w:r>
          </w:p>
        </w:tc>
        <w:tc>
          <w:tcPr>
            <w:tcW w:w="918" w:type="dxa"/>
            <w:tcBorders>
              <w:top w:val="single" w:color="000000" w:sz="6" w:space="0"/>
              <w:left w:val="single" w:color="000000" w:sz="4" w:space="0"/>
              <w:bottom w:val="single" w:color="000000" w:sz="6" w:space="0"/>
              <w:right w:val="single" w:color="000000" w:sz="6" w:space="0"/>
            </w:tcBorders>
          </w:tcPr>
          <w:p w14:paraId="53BD7E77">
            <w:pPr>
              <w:pStyle w:val="142"/>
              <w:shd w:val="clear"/>
              <w:spacing w:before="1"/>
              <w:ind w:left="291"/>
              <w:rPr>
                <w:color w:val="auto"/>
                <w:sz w:val="21"/>
                <w:highlight w:val="none"/>
              </w:rPr>
            </w:pPr>
            <w:r>
              <w:rPr>
                <w:color w:val="auto"/>
                <w:sz w:val="21"/>
                <w:highlight w:val="none"/>
              </w:rPr>
              <w:t xml:space="preserve">小计 </w:t>
            </w:r>
          </w:p>
        </w:tc>
        <w:tc>
          <w:tcPr>
            <w:tcW w:w="920" w:type="dxa"/>
            <w:vMerge w:val="continue"/>
            <w:tcBorders>
              <w:top w:val="nil"/>
              <w:left w:val="single" w:color="000000" w:sz="6" w:space="0"/>
              <w:bottom w:val="single" w:color="000000" w:sz="6" w:space="0"/>
            </w:tcBorders>
          </w:tcPr>
          <w:p w14:paraId="0875E4F7">
            <w:pPr>
              <w:shd w:val="clear"/>
              <w:rPr>
                <w:color w:val="auto"/>
                <w:sz w:val="2"/>
                <w:szCs w:val="2"/>
                <w:highlight w:val="none"/>
              </w:rPr>
            </w:pPr>
          </w:p>
        </w:tc>
      </w:tr>
      <w:tr w14:paraId="2312591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64" w:hRule="atLeast"/>
          <w:jc w:val="center"/>
        </w:trPr>
        <w:tc>
          <w:tcPr>
            <w:tcW w:w="329" w:type="dxa"/>
            <w:tcBorders>
              <w:top w:val="single" w:color="000000" w:sz="6" w:space="0"/>
              <w:bottom w:val="single" w:color="000000" w:sz="6" w:space="0"/>
              <w:right w:val="single" w:color="000000" w:sz="6" w:space="0"/>
            </w:tcBorders>
          </w:tcPr>
          <w:p w14:paraId="52EBFC9E">
            <w:pPr>
              <w:pStyle w:val="142"/>
              <w:shd w:val="clear"/>
              <w:spacing w:before="49"/>
              <w:ind w:left="105" w:right="-15"/>
              <w:rPr>
                <w:color w:val="auto"/>
                <w:sz w:val="21"/>
                <w:highlight w:val="none"/>
              </w:rPr>
            </w:pPr>
            <w:r>
              <w:rPr>
                <w:color w:val="auto"/>
                <w:sz w:val="21"/>
                <w:highlight w:val="none"/>
              </w:rPr>
              <w:t xml:space="preserve">1 </w:t>
            </w:r>
          </w:p>
        </w:tc>
        <w:tc>
          <w:tcPr>
            <w:tcW w:w="1383" w:type="dxa"/>
            <w:tcBorders>
              <w:top w:val="single" w:color="000000" w:sz="6" w:space="0"/>
              <w:left w:val="single" w:color="000000" w:sz="6" w:space="0"/>
              <w:bottom w:val="single" w:color="000000" w:sz="6" w:space="0"/>
              <w:right w:val="single" w:color="000000" w:sz="6" w:space="0"/>
            </w:tcBorders>
          </w:tcPr>
          <w:p w14:paraId="39D57FF1">
            <w:pPr>
              <w:pStyle w:val="142"/>
              <w:shd w:val="clear"/>
              <w:spacing w:before="6"/>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600D519C">
            <w:pPr>
              <w:pStyle w:val="142"/>
              <w:shd w:val="clear"/>
              <w:spacing w:before="6"/>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272B5673">
            <w:pPr>
              <w:pStyle w:val="142"/>
              <w:shd w:val="clear"/>
              <w:spacing w:before="6"/>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1B6ED61A">
            <w:pPr>
              <w:pStyle w:val="142"/>
              <w:shd w:val="clear"/>
              <w:spacing w:before="6"/>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1FA5F4DE">
            <w:pPr>
              <w:pStyle w:val="142"/>
              <w:shd w:val="clear"/>
              <w:spacing w:before="6"/>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30DEB413">
            <w:pPr>
              <w:pStyle w:val="142"/>
              <w:shd w:val="clear"/>
              <w:spacing w:before="6"/>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3E77577E">
            <w:pPr>
              <w:pStyle w:val="142"/>
              <w:shd w:val="clear"/>
              <w:spacing w:before="6"/>
              <w:ind w:left="4"/>
              <w:rPr>
                <w:color w:val="auto"/>
                <w:sz w:val="21"/>
                <w:highlight w:val="none"/>
              </w:rPr>
            </w:pPr>
          </w:p>
        </w:tc>
      </w:tr>
      <w:tr w14:paraId="614D508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734DD968">
            <w:pPr>
              <w:pStyle w:val="142"/>
              <w:shd w:val="clear"/>
              <w:spacing w:before="63"/>
              <w:ind w:left="105" w:right="-15"/>
              <w:rPr>
                <w:color w:val="auto"/>
                <w:sz w:val="21"/>
                <w:highlight w:val="none"/>
              </w:rPr>
            </w:pPr>
            <w:r>
              <w:rPr>
                <w:color w:val="auto"/>
                <w:sz w:val="21"/>
                <w:highlight w:val="none"/>
              </w:rPr>
              <w:t xml:space="preserve">2 </w:t>
            </w:r>
          </w:p>
        </w:tc>
        <w:tc>
          <w:tcPr>
            <w:tcW w:w="1383" w:type="dxa"/>
            <w:tcBorders>
              <w:top w:val="single" w:color="000000" w:sz="6" w:space="0"/>
              <w:left w:val="single" w:color="000000" w:sz="6" w:space="0"/>
              <w:bottom w:val="single" w:color="000000" w:sz="6" w:space="0"/>
              <w:right w:val="single" w:color="000000" w:sz="6" w:space="0"/>
            </w:tcBorders>
          </w:tcPr>
          <w:p w14:paraId="6C03233A">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3844970B">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0B4CE1B4">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3824B1CB">
            <w:pPr>
              <w:pStyle w:val="142"/>
              <w:shd w:val="clear"/>
              <w:spacing w:before="1"/>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4E3B34C7">
            <w:pPr>
              <w:pStyle w:val="142"/>
              <w:shd w:val="clear"/>
              <w:spacing w:before="1"/>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25C0F4B7">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6E28FE9A">
            <w:pPr>
              <w:pStyle w:val="142"/>
              <w:shd w:val="clear"/>
              <w:spacing w:before="1"/>
              <w:ind w:left="4"/>
              <w:rPr>
                <w:color w:val="auto"/>
                <w:sz w:val="21"/>
                <w:highlight w:val="none"/>
              </w:rPr>
            </w:pPr>
          </w:p>
        </w:tc>
      </w:tr>
      <w:tr w14:paraId="3FBB1E7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3C28F83E">
            <w:pPr>
              <w:pStyle w:val="142"/>
              <w:shd w:val="clear"/>
              <w:spacing w:before="63"/>
              <w:ind w:left="105" w:right="-15"/>
              <w:rPr>
                <w:color w:val="auto"/>
                <w:sz w:val="21"/>
                <w:highlight w:val="none"/>
              </w:rPr>
            </w:pPr>
            <w:r>
              <w:rPr>
                <w:color w:val="auto"/>
                <w:sz w:val="21"/>
                <w:highlight w:val="none"/>
              </w:rPr>
              <w:t xml:space="preserve">3 </w:t>
            </w:r>
          </w:p>
        </w:tc>
        <w:tc>
          <w:tcPr>
            <w:tcW w:w="1383" w:type="dxa"/>
            <w:tcBorders>
              <w:top w:val="single" w:color="000000" w:sz="6" w:space="0"/>
              <w:left w:val="single" w:color="000000" w:sz="6" w:space="0"/>
              <w:bottom w:val="single" w:color="000000" w:sz="6" w:space="0"/>
              <w:right w:val="single" w:color="000000" w:sz="6" w:space="0"/>
            </w:tcBorders>
          </w:tcPr>
          <w:p w14:paraId="7DD0306B">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4B285DD0">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2E3C78E9">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6" w:space="0"/>
            </w:tcBorders>
          </w:tcPr>
          <w:p w14:paraId="6C207CE9">
            <w:pPr>
              <w:pStyle w:val="142"/>
              <w:shd w:val="clear"/>
              <w:spacing w:before="1"/>
              <w:ind w:left="7"/>
              <w:rPr>
                <w:color w:val="auto"/>
                <w:sz w:val="21"/>
                <w:highlight w:val="none"/>
              </w:rPr>
            </w:pPr>
          </w:p>
        </w:tc>
        <w:tc>
          <w:tcPr>
            <w:tcW w:w="909" w:type="dxa"/>
            <w:tcBorders>
              <w:top w:val="single" w:color="000000" w:sz="6" w:space="0"/>
              <w:left w:val="single" w:color="000000" w:sz="6" w:space="0"/>
              <w:bottom w:val="single" w:color="000000" w:sz="6" w:space="0"/>
              <w:right w:val="single" w:color="000000" w:sz="6" w:space="0"/>
            </w:tcBorders>
          </w:tcPr>
          <w:p w14:paraId="0DCF1639">
            <w:pPr>
              <w:pStyle w:val="142"/>
              <w:shd w:val="clear"/>
              <w:spacing w:before="1"/>
              <w:ind w:left="1"/>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5DCA12EE">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6A0A9A4B">
            <w:pPr>
              <w:pStyle w:val="142"/>
              <w:shd w:val="clear"/>
              <w:spacing w:before="1"/>
              <w:ind w:left="4"/>
              <w:rPr>
                <w:color w:val="auto"/>
                <w:sz w:val="21"/>
                <w:highlight w:val="none"/>
              </w:rPr>
            </w:pPr>
          </w:p>
        </w:tc>
      </w:tr>
      <w:tr w14:paraId="75A98CD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329" w:type="dxa"/>
            <w:tcBorders>
              <w:top w:val="single" w:color="000000" w:sz="6" w:space="0"/>
              <w:bottom w:val="single" w:color="000000" w:sz="6" w:space="0"/>
              <w:right w:val="single" w:color="000000" w:sz="6" w:space="0"/>
            </w:tcBorders>
          </w:tcPr>
          <w:p w14:paraId="1355DD0D">
            <w:pPr>
              <w:pStyle w:val="142"/>
              <w:shd w:val="clear"/>
              <w:spacing w:before="63"/>
              <w:ind w:left="105" w:right="-15"/>
              <w:rPr>
                <w:color w:val="auto"/>
                <w:sz w:val="21"/>
                <w:highlight w:val="none"/>
              </w:rPr>
            </w:pPr>
            <w:r>
              <w:rPr>
                <w:color w:val="auto"/>
                <w:sz w:val="21"/>
                <w:highlight w:val="none"/>
              </w:rPr>
              <w:t xml:space="preserve">4 </w:t>
            </w:r>
          </w:p>
        </w:tc>
        <w:tc>
          <w:tcPr>
            <w:tcW w:w="1383" w:type="dxa"/>
            <w:tcBorders>
              <w:top w:val="single" w:color="000000" w:sz="6" w:space="0"/>
              <w:left w:val="single" w:color="000000" w:sz="6" w:space="0"/>
              <w:bottom w:val="single" w:color="000000" w:sz="6" w:space="0"/>
              <w:right w:val="single" w:color="000000" w:sz="6" w:space="0"/>
            </w:tcBorders>
          </w:tcPr>
          <w:p w14:paraId="67AF5472">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446E44A6">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7902EF34">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45734276">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639FB6C1">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6E28C162">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45184605">
            <w:pPr>
              <w:pStyle w:val="142"/>
              <w:shd w:val="clear"/>
              <w:spacing w:before="1"/>
              <w:ind w:left="4"/>
              <w:rPr>
                <w:color w:val="auto"/>
                <w:sz w:val="21"/>
                <w:highlight w:val="none"/>
              </w:rPr>
            </w:pPr>
          </w:p>
        </w:tc>
      </w:tr>
      <w:tr w14:paraId="4ED78CC7">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8" w:hRule="atLeast"/>
          <w:jc w:val="center"/>
        </w:trPr>
        <w:tc>
          <w:tcPr>
            <w:tcW w:w="329" w:type="dxa"/>
            <w:tcBorders>
              <w:top w:val="single" w:color="000000" w:sz="6" w:space="0"/>
              <w:bottom w:val="single" w:color="000000" w:sz="6" w:space="0"/>
              <w:right w:val="single" w:color="000000" w:sz="6" w:space="0"/>
            </w:tcBorders>
          </w:tcPr>
          <w:p w14:paraId="604ECF8C">
            <w:pPr>
              <w:pStyle w:val="142"/>
              <w:shd w:val="clear"/>
              <w:spacing w:before="63"/>
              <w:ind w:left="105" w:right="-15"/>
              <w:rPr>
                <w:color w:val="auto"/>
                <w:sz w:val="21"/>
                <w:highlight w:val="none"/>
              </w:rPr>
            </w:pPr>
            <w:r>
              <w:rPr>
                <w:color w:val="auto"/>
                <w:sz w:val="21"/>
                <w:highlight w:val="none"/>
              </w:rPr>
              <w:t xml:space="preserve">5 </w:t>
            </w:r>
          </w:p>
        </w:tc>
        <w:tc>
          <w:tcPr>
            <w:tcW w:w="1383" w:type="dxa"/>
            <w:tcBorders>
              <w:top w:val="single" w:color="000000" w:sz="6" w:space="0"/>
              <w:left w:val="single" w:color="000000" w:sz="6" w:space="0"/>
              <w:bottom w:val="single" w:color="000000" w:sz="6" w:space="0"/>
              <w:right w:val="single" w:color="000000" w:sz="6" w:space="0"/>
            </w:tcBorders>
          </w:tcPr>
          <w:p w14:paraId="31656A1B">
            <w:pPr>
              <w:pStyle w:val="142"/>
              <w:shd w:val="clear"/>
              <w:spacing w:before="1"/>
              <w:ind w:right="56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74B79160">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6BB91FAA">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2B57F1B4">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135FAC3D">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1B25EDDF">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56C84902">
            <w:pPr>
              <w:pStyle w:val="142"/>
              <w:shd w:val="clear"/>
              <w:spacing w:before="1"/>
              <w:ind w:left="4"/>
              <w:rPr>
                <w:color w:val="auto"/>
                <w:sz w:val="21"/>
                <w:highlight w:val="none"/>
              </w:rPr>
            </w:pPr>
          </w:p>
        </w:tc>
      </w:tr>
      <w:tr w14:paraId="63B8D2AD">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397" w:hRule="atLeast"/>
          <w:jc w:val="center"/>
        </w:trPr>
        <w:tc>
          <w:tcPr>
            <w:tcW w:w="329" w:type="dxa"/>
            <w:tcBorders>
              <w:top w:val="single" w:color="000000" w:sz="6" w:space="0"/>
              <w:bottom w:val="single" w:color="000000" w:sz="6" w:space="0"/>
              <w:right w:val="single" w:color="000000" w:sz="6" w:space="0"/>
            </w:tcBorders>
          </w:tcPr>
          <w:p w14:paraId="7E9C028F">
            <w:pPr>
              <w:pStyle w:val="142"/>
              <w:shd w:val="clear"/>
              <w:spacing w:before="77"/>
              <w:ind w:left="52"/>
              <w:rPr>
                <w:rFonts w:ascii="Times New Roman" w:hAnsi="Times New Roman"/>
                <w:color w:val="auto"/>
                <w:sz w:val="21"/>
                <w:highlight w:val="none"/>
              </w:rPr>
            </w:pPr>
            <w:r>
              <w:rPr>
                <w:rFonts w:ascii="Times New Roman" w:hAnsi="Times New Roman"/>
                <w:color w:val="auto"/>
                <w:sz w:val="21"/>
                <w:highlight w:val="none"/>
              </w:rPr>
              <w:t>…</w:t>
            </w:r>
          </w:p>
        </w:tc>
        <w:tc>
          <w:tcPr>
            <w:tcW w:w="1383" w:type="dxa"/>
            <w:tcBorders>
              <w:top w:val="single" w:color="000000" w:sz="6" w:space="0"/>
              <w:left w:val="single" w:color="000000" w:sz="6" w:space="0"/>
              <w:bottom w:val="single" w:color="000000" w:sz="6" w:space="0"/>
              <w:right w:val="single" w:color="000000" w:sz="6" w:space="0"/>
            </w:tcBorders>
          </w:tcPr>
          <w:p w14:paraId="66AF3FF8">
            <w:pPr>
              <w:pStyle w:val="142"/>
              <w:shd w:val="clear"/>
              <w:spacing w:before="1"/>
              <w:ind w:right="559"/>
              <w:jc w:val="right"/>
              <w:rPr>
                <w:color w:val="auto"/>
                <w:sz w:val="21"/>
                <w:highlight w:val="none"/>
              </w:rPr>
            </w:pPr>
          </w:p>
        </w:tc>
        <w:tc>
          <w:tcPr>
            <w:tcW w:w="2130" w:type="dxa"/>
            <w:tcBorders>
              <w:top w:val="single" w:color="000000" w:sz="6" w:space="0"/>
              <w:left w:val="single" w:color="000000" w:sz="6" w:space="0"/>
              <w:bottom w:val="single" w:color="000000" w:sz="6" w:space="0"/>
              <w:right w:val="single" w:color="000000" w:sz="4" w:space="0"/>
            </w:tcBorders>
          </w:tcPr>
          <w:p w14:paraId="1833377D">
            <w:pPr>
              <w:pStyle w:val="142"/>
              <w:shd w:val="clear"/>
              <w:spacing w:before="1"/>
              <w:ind w:left="9"/>
              <w:rPr>
                <w:color w:val="auto"/>
                <w:sz w:val="21"/>
                <w:highlight w:val="none"/>
              </w:rPr>
            </w:pPr>
          </w:p>
        </w:tc>
        <w:tc>
          <w:tcPr>
            <w:tcW w:w="1199" w:type="dxa"/>
            <w:tcBorders>
              <w:top w:val="single" w:color="000000" w:sz="6" w:space="0"/>
              <w:left w:val="single" w:color="000000" w:sz="4" w:space="0"/>
              <w:bottom w:val="single" w:color="000000" w:sz="6" w:space="0"/>
              <w:right w:val="single" w:color="000000" w:sz="6" w:space="0"/>
            </w:tcBorders>
          </w:tcPr>
          <w:p w14:paraId="33500DBF">
            <w:pPr>
              <w:pStyle w:val="142"/>
              <w:shd w:val="clear"/>
              <w:spacing w:before="1"/>
              <w:ind w:left="4"/>
              <w:rPr>
                <w:color w:val="auto"/>
                <w:sz w:val="21"/>
                <w:highlight w:val="none"/>
              </w:rPr>
            </w:pPr>
          </w:p>
        </w:tc>
        <w:tc>
          <w:tcPr>
            <w:tcW w:w="1096" w:type="dxa"/>
            <w:tcBorders>
              <w:top w:val="single" w:color="000000" w:sz="6" w:space="0"/>
              <w:left w:val="single" w:color="000000" w:sz="6" w:space="0"/>
              <w:bottom w:val="single" w:color="000000" w:sz="6" w:space="0"/>
              <w:right w:val="single" w:color="000000" w:sz="4" w:space="0"/>
            </w:tcBorders>
          </w:tcPr>
          <w:p w14:paraId="1053DF74">
            <w:pPr>
              <w:pStyle w:val="142"/>
              <w:shd w:val="clear"/>
              <w:spacing w:before="1"/>
              <w:ind w:left="7"/>
              <w:rPr>
                <w:color w:val="auto"/>
                <w:sz w:val="21"/>
                <w:highlight w:val="none"/>
              </w:rPr>
            </w:pPr>
          </w:p>
        </w:tc>
        <w:tc>
          <w:tcPr>
            <w:tcW w:w="909" w:type="dxa"/>
            <w:tcBorders>
              <w:top w:val="single" w:color="000000" w:sz="6" w:space="0"/>
              <w:left w:val="single" w:color="000000" w:sz="4" w:space="0"/>
              <w:bottom w:val="single" w:color="000000" w:sz="6" w:space="0"/>
              <w:right w:val="single" w:color="000000" w:sz="6" w:space="0"/>
            </w:tcBorders>
          </w:tcPr>
          <w:p w14:paraId="62E30CA1">
            <w:pPr>
              <w:pStyle w:val="142"/>
              <w:shd w:val="clear"/>
              <w:spacing w:before="1"/>
              <w:ind w:left="4"/>
              <w:rPr>
                <w:color w:val="auto"/>
                <w:sz w:val="21"/>
                <w:highlight w:val="none"/>
              </w:rPr>
            </w:pPr>
          </w:p>
        </w:tc>
        <w:tc>
          <w:tcPr>
            <w:tcW w:w="918" w:type="dxa"/>
            <w:tcBorders>
              <w:top w:val="single" w:color="000000" w:sz="6" w:space="0"/>
              <w:left w:val="single" w:color="000000" w:sz="6" w:space="0"/>
              <w:bottom w:val="single" w:color="000000" w:sz="6" w:space="0"/>
              <w:right w:val="single" w:color="000000" w:sz="6" w:space="0"/>
            </w:tcBorders>
          </w:tcPr>
          <w:p w14:paraId="6D48058F">
            <w:pPr>
              <w:pStyle w:val="142"/>
              <w:shd w:val="clear"/>
              <w:spacing w:before="1"/>
              <w:ind w:left="5"/>
              <w:rPr>
                <w:color w:val="auto"/>
                <w:sz w:val="21"/>
                <w:highlight w:val="none"/>
              </w:rPr>
            </w:pPr>
          </w:p>
        </w:tc>
        <w:tc>
          <w:tcPr>
            <w:tcW w:w="920" w:type="dxa"/>
            <w:tcBorders>
              <w:top w:val="single" w:color="000000" w:sz="6" w:space="0"/>
              <w:left w:val="single" w:color="000000" w:sz="6" w:space="0"/>
              <w:bottom w:val="single" w:color="000000" w:sz="6" w:space="0"/>
            </w:tcBorders>
          </w:tcPr>
          <w:p w14:paraId="48068294">
            <w:pPr>
              <w:pStyle w:val="142"/>
              <w:shd w:val="clear"/>
              <w:spacing w:before="1"/>
              <w:ind w:left="4"/>
              <w:rPr>
                <w:color w:val="auto"/>
                <w:sz w:val="21"/>
                <w:highlight w:val="none"/>
              </w:rPr>
            </w:pPr>
          </w:p>
        </w:tc>
      </w:tr>
      <w:tr w14:paraId="42866A2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402" w:hRule="atLeast"/>
          <w:jc w:val="center"/>
        </w:trPr>
        <w:tc>
          <w:tcPr>
            <w:tcW w:w="7046" w:type="dxa"/>
            <w:gridSpan w:val="6"/>
            <w:tcBorders>
              <w:top w:val="single" w:color="000000" w:sz="6" w:space="0"/>
              <w:right w:val="single" w:color="000000" w:sz="6" w:space="0"/>
            </w:tcBorders>
          </w:tcPr>
          <w:p w14:paraId="6AE63527">
            <w:pPr>
              <w:pStyle w:val="142"/>
              <w:shd w:val="clear"/>
              <w:spacing w:before="5"/>
              <w:ind w:left="2706" w:right="2596"/>
              <w:jc w:val="center"/>
              <w:rPr>
                <w:color w:val="auto"/>
                <w:sz w:val="21"/>
                <w:highlight w:val="none"/>
              </w:rPr>
            </w:pPr>
            <w:r>
              <w:rPr>
                <w:color w:val="auto"/>
                <w:sz w:val="21"/>
                <w:highlight w:val="none"/>
              </w:rPr>
              <w:t>投标报价（元）：</w:t>
            </w:r>
          </w:p>
        </w:tc>
        <w:tc>
          <w:tcPr>
            <w:tcW w:w="918" w:type="dxa"/>
            <w:tcBorders>
              <w:top w:val="single" w:color="000000" w:sz="6" w:space="0"/>
              <w:left w:val="single" w:color="000000" w:sz="6" w:space="0"/>
              <w:right w:val="single" w:color="000000" w:sz="6" w:space="0"/>
            </w:tcBorders>
          </w:tcPr>
          <w:p w14:paraId="10A9BA76">
            <w:pPr>
              <w:pStyle w:val="142"/>
              <w:shd w:val="clear"/>
              <w:spacing w:before="5"/>
              <w:ind w:left="5"/>
              <w:rPr>
                <w:color w:val="auto"/>
                <w:sz w:val="21"/>
                <w:highlight w:val="none"/>
              </w:rPr>
            </w:pPr>
          </w:p>
        </w:tc>
        <w:tc>
          <w:tcPr>
            <w:tcW w:w="920" w:type="dxa"/>
            <w:tcBorders>
              <w:top w:val="single" w:color="000000" w:sz="6" w:space="0"/>
              <w:left w:val="single" w:color="000000" w:sz="6" w:space="0"/>
            </w:tcBorders>
          </w:tcPr>
          <w:p w14:paraId="03828B9C">
            <w:pPr>
              <w:pStyle w:val="142"/>
              <w:shd w:val="clear"/>
              <w:spacing w:before="5"/>
              <w:ind w:left="4"/>
              <w:rPr>
                <w:color w:val="auto"/>
                <w:sz w:val="21"/>
                <w:highlight w:val="none"/>
              </w:rPr>
            </w:pPr>
          </w:p>
        </w:tc>
      </w:tr>
    </w:tbl>
    <w:p w14:paraId="78106D64">
      <w:pPr>
        <w:shd w:val="clear"/>
        <w:rPr>
          <w:color w:val="auto"/>
          <w:highlight w:val="none"/>
        </w:rPr>
      </w:pPr>
      <w:r>
        <w:rPr>
          <w:rFonts w:hint="eastAsia"/>
          <w:color w:val="auto"/>
          <w:highlight w:val="none"/>
        </w:rPr>
        <w:t xml:space="preserve">备注：（1）按招标文件提供的工程量清单（见附件）报价，否则其投标无效。 </w:t>
      </w:r>
    </w:p>
    <w:p w14:paraId="75CE19C1">
      <w:pPr>
        <w:shd w:val="clear"/>
        <w:rPr>
          <w:color w:val="auto"/>
          <w:highlight w:val="none"/>
        </w:rPr>
      </w:pPr>
      <w:r>
        <w:rPr>
          <w:rFonts w:hint="eastAsia"/>
          <w:color w:val="auto"/>
          <w:highlight w:val="none"/>
        </w:rPr>
        <w:t>（2）设备清单要求按本表填写明细内容，否则其投标无效。</w:t>
      </w:r>
    </w:p>
    <w:p w14:paraId="175EE3FD">
      <w:pPr>
        <w:shd w:val="clear"/>
        <w:rPr>
          <w:color w:val="auto"/>
          <w:highlight w:val="none"/>
        </w:rPr>
      </w:pPr>
    </w:p>
    <w:p w14:paraId="5B2D0C1A">
      <w:pPr>
        <w:shd w:val="clear"/>
        <w:rPr>
          <w:color w:val="auto"/>
          <w:highlight w:val="none"/>
        </w:rPr>
      </w:pPr>
    </w:p>
    <w:p w14:paraId="45C30121">
      <w:pPr>
        <w:shd w:val="clear"/>
        <w:rPr>
          <w:color w:val="auto"/>
          <w:highlight w:val="none"/>
        </w:rPr>
      </w:pPr>
      <w:r>
        <w:rPr>
          <w:rFonts w:hint="eastAsia"/>
          <w:color w:val="auto"/>
          <w:highlight w:val="none"/>
        </w:rPr>
        <w:t xml:space="preserve">投标人名称（盖单位电子章）： </w:t>
      </w:r>
    </w:p>
    <w:p w14:paraId="6BBC3293">
      <w:pPr>
        <w:shd w:val="clear"/>
        <w:rPr>
          <w:color w:val="auto"/>
          <w:highlight w:val="none"/>
        </w:rPr>
      </w:pPr>
      <w:r>
        <w:rPr>
          <w:rFonts w:hint="eastAsia"/>
          <w:color w:val="auto"/>
          <w:highlight w:val="none"/>
        </w:rPr>
        <w:t xml:space="preserve">法定代表人（单位负责人）或其授权的代理人（电子签字或电子印章）：       </w:t>
      </w:r>
    </w:p>
    <w:p w14:paraId="73EC8AF6">
      <w:pPr>
        <w:shd w:val="clear"/>
        <w:rPr>
          <w:color w:val="auto"/>
          <w:highlight w:val="none"/>
        </w:rPr>
      </w:pPr>
      <w:r>
        <w:rPr>
          <w:rFonts w:hint="eastAsia"/>
          <w:color w:val="auto"/>
          <w:highlight w:val="none"/>
        </w:rPr>
        <w:t>日 期 ： 年 月 日</w:t>
      </w:r>
    </w:p>
    <w:p w14:paraId="7A9DB94C">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5B1D9EE8">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2CCF86D5">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0183C2DF">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73F9A448">
      <w:pPr>
        <w:shd w:val="clear"/>
        <w:adjustRightInd w:val="0"/>
        <w:snapToGrid w:val="0"/>
        <w:jc w:val="center"/>
        <w:rPr>
          <w:rFonts w:ascii="黑体" w:eastAsia="黑体" w:cs="微软雅黑" w:hAnsiTheme="minorEastAsia"/>
          <w:b/>
          <w:color w:val="auto"/>
          <w:spacing w:val="-2"/>
          <w:kern w:val="0"/>
          <w:position w:val="-3"/>
          <w:sz w:val="28"/>
          <w:szCs w:val="28"/>
          <w:highlight w:val="none"/>
        </w:rPr>
      </w:pPr>
    </w:p>
    <w:p w14:paraId="52068F01">
      <w:pPr>
        <w:shd w:val="clear"/>
        <w:adjustRightInd w:val="0"/>
        <w:snapToGrid w:val="0"/>
        <w:spacing w:line="360" w:lineRule="auto"/>
        <w:jc w:val="center"/>
        <w:rPr>
          <w:rFonts w:ascii="宋体" w:hAnsi="宋体"/>
          <w:color w:val="auto"/>
          <w:szCs w:val="21"/>
          <w:highlight w:val="none"/>
        </w:rPr>
        <w:sectPr>
          <w:headerReference r:id="rId5" w:type="default"/>
          <w:footerReference r:id="rId6" w:type="default"/>
          <w:footerReference r:id="rId7" w:type="even"/>
          <w:pgSz w:w="11906" w:h="16838"/>
          <w:pgMar w:top="1474" w:right="1474" w:bottom="1474" w:left="1588" w:header="851" w:footer="992" w:gutter="0"/>
          <w:pgBorders>
            <w:top w:val="none" w:sz="0" w:space="0"/>
            <w:left w:val="none" w:sz="0" w:space="0"/>
            <w:bottom w:val="none" w:sz="0" w:space="0"/>
            <w:right w:val="none" w:sz="0" w:space="0"/>
          </w:pgBorders>
          <w:pgNumType w:start="1"/>
          <w:cols w:space="720" w:num="1"/>
          <w:docGrid w:type="lines" w:linePitch="312" w:charSpace="0"/>
        </w:sectPr>
      </w:pPr>
      <w:r>
        <w:rPr>
          <w:rFonts w:ascii="宋体" w:hAnsi="宋体"/>
          <w:b/>
          <w:color w:val="auto"/>
          <w:sz w:val="28"/>
          <w:szCs w:val="28"/>
          <w:highlight w:val="none"/>
        </w:rPr>
        <w:br w:type="page"/>
      </w:r>
    </w:p>
    <w:p w14:paraId="5A0956D5">
      <w:pPr>
        <w:pStyle w:val="4"/>
        <w:shd w:val="clear"/>
        <w:adjustRightInd w:val="0"/>
        <w:snapToGrid w:val="0"/>
        <w:spacing w:before="0" w:after="0" w:line="360" w:lineRule="auto"/>
        <w:jc w:val="center"/>
        <w:rPr>
          <w:rFonts w:ascii="黑体" w:hAnsi="宋体" w:eastAsia="黑体"/>
          <w:color w:val="auto"/>
          <w:sz w:val="28"/>
          <w:szCs w:val="28"/>
          <w:highlight w:val="none"/>
        </w:rPr>
      </w:pPr>
      <w:bookmarkStart w:id="114" w:name="_Toc11578"/>
      <w:bookmarkStart w:id="115" w:name="_Toc16399"/>
      <w:bookmarkStart w:id="116" w:name="_Toc29586"/>
      <w:bookmarkStart w:id="117" w:name="_Toc1005"/>
      <w:r>
        <w:rPr>
          <w:rFonts w:hint="eastAsia" w:ascii="黑体" w:hAnsi="宋体" w:eastAsia="黑体"/>
          <w:color w:val="auto"/>
          <w:sz w:val="28"/>
          <w:szCs w:val="28"/>
          <w:highlight w:val="none"/>
        </w:rPr>
        <w:t>七、采购需求响应</w:t>
      </w:r>
      <w:bookmarkEnd w:id="114"/>
      <w:bookmarkEnd w:id="115"/>
      <w:bookmarkEnd w:id="116"/>
      <w:bookmarkEnd w:id="117"/>
    </w:p>
    <w:p w14:paraId="6BC0CCDE">
      <w:pPr>
        <w:shd w:val="clear"/>
        <w:adjustRightInd w:val="0"/>
        <w:snapToGrid w:val="0"/>
        <w:spacing w:line="360" w:lineRule="auto"/>
        <w:rPr>
          <w:rFonts w:asciiTheme="minorEastAsia" w:hAnsiTheme="minorEastAsia" w:eastAsiaTheme="minorEastAsia"/>
          <w:b/>
          <w:color w:val="auto"/>
          <w:szCs w:val="21"/>
          <w:highlight w:val="none"/>
        </w:rPr>
      </w:pPr>
    </w:p>
    <w:p w14:paraId="0DE7CDE3">
      <w:pPr>
        <w:shd w:val="clear"/>
        <w:adjustRightInd w:val="0"/>
        <w:snapToGrid w:val="0"/>
        <w:spacing w:line="360" w:lineRule="auto"/>
        <w:rPr>
          <w:b/>
          <w:color w:val="auto"/>
          <w:highlight w:val="none"/>
        </w:rPr>
      </w:pPr>
      <w:r>
        <w:rPr>
          <w:rFonts w:hint="eastAsia" w:asciiTheme="minorEastAsia" w:hAnsiTheme="minorEastAsia" w:eastAsiaTheme="minorEastAsia"/>
          <w:b/>
          <w:color w:val="auto"/>
          <w:szCs w:val="21"/>
          <w:highlight w:val="none"/>
        </w:rPr>
        <w:t>编制说明</w:t>
      </w:r>
      <w:r>
        <w:rPr>
          <w:rFonts w:hint="eastAsia" w:asciiTheme="minorEastAsia" w:hAnsiTheme="minorEastAsia" w:eastAsiaTheme="minorEastAsia"/>
          <w:bCs/>
          <w:color w:val="auto"/>
          <w:szCs w:val="21"/>
          <w:highlight w:val="none"/>
        </w:rPr>
        <w:t>：</w:t>
      </w:r>
      <w:r>
        <w:rPr>
          <w:rFonts w:hint="eastAsia"/>
          <w:b/>
          <w:color w:val="auto"/>
          <w:highlight w:val="none"/>
        </w:rPr>
        <w:t>投标人应按招标文件第五章采购需求自行编写采购需求响应文件（其内容可包括，且不限于详细的技术指标和性能、售后服务和技术服务的组织及保证措施等，格式自拟）。</w:t>
      </w:r>
    </w:p>
    <w:p w14:paraId="7D08E5AB">
      <w:pPr>
        <w:pStyle w:val="25"/>
        <w:shd w:val="clear"/>
        <w:adjustRightInd w:val="0"/>
        <w:snapToGrid w:val="0"/>
        <w:spacing w:line="360" w:lineRule="auto"/>
        <w:ind w:left="-88" w:leftChars="-42"/>
        <w:rPr>
          <w:rFonts w:ascii="宋体" w:hAnsi="宋体"/>
          <w:bCs/>
          <w:color w:val="auto"/>
          <w:sz w:val="21"/>
          <w:szCs w:val="21"/>
          <w:highlight w:val="none"/>
        </w:rPr>
      </w:pPr>
    </w:p>
    <w:p w14:paraId="10BC0F2C">
      <w:pPr>
        <w:shd w:val="clear"/>
        <w:rPr>
          <w:color w:val="auto"/>
          <w:highlight w:val="none"/>
        </w:rPr>
      </w:pPr>
    </w:p>
    <w:p w14:paraId="015CF4C9">
      <w:pPr>
        <w:shd w:val="clear"/>
        <w:rPr>
          <w:color w:val="auto"/>
          <w:highlight w:val="none"/>
        </w:rPr>
      </w:pPr>
    </w:p>
    <w:p w14:paraId="7E0DEFC6">
      <w:pPr>
        <w:pStyle w:val="25"/>
        <w:shd w:val="clear"/>
        <w:tabs>
          <w:tab w:val="left" w:pos="6208"/>
        </w:tabs>
        <w:adjustRightInd w:val="0"/>
        <w:snapToGrid w:val="0"/>
        <w:spacing w:line="360" w:lineRule="auto"/>
        <w:ind w:left="-88" w:leftChars="-42"/>
        <w:rPr>
          <w:rFonts w:ascii="宋体" w:hAnsi="宋体"/>
          <w:bCs/>
          <w:color w:val="auto"/>
          <w:sz w:val="21"/>
          <w:szCs w:val="21"/>
          <w:highlight w:val="none"/>
        </w:rPr>
      </w:pPr>
    </w:p>
    <w:p w14:paraId="1D6BE8FF">
      <w:pPr>
        <w:shd w:val="clear"/>
        <w:adjustRightInd w:val="0"/>
        <w:snapToGrid w:val="0"/>
        <w:spacing w:line="360" w:lineRule="auto"/>
        <w:rPr>
          <w:rFonts w:ascii="宋体" w:hAnsi="宋体"/>
          <w:color w:val="auto"/>
          <w:szCs w:val="21"/>
          <w:highlight w:val="none"/>
        </w:rPr>
      </w:pPr>
    </w:p>
    <w:p w14:paraId="706FC1C1">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3E1119CA">
      <w:pPr>
        <w:shd w:val="clear"/>
        <w:adjustRightInd w:val="0"/>
        <w:snapToGrid w:val="0"/>
        <w:spacing w:line="360" w:lineRule="auto"/>
        <w:rPr>
          <w:rFonts w:ascii="宋体" w:hAnsi="宋体"/>
          <w:color w:val="auto"/>
          <w:szCs w:val="21"/>
          <w:highlight w:val="none"/>
          <w:u w:val="singl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4393D098">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4A305523">
      <w:pPr>
        <w:shd w:val="clear"/>
        <w:rPr>
          <w:color w:val="auto"/>
          <w:highlight w:val="none"/>
        </w:rPr>
      </w:pPr>
    </w:p>
    <w:p w14:paraId="63270BCB">
      <w:pPr>
        <w:shd w:val="clear"/>
        <w:rPr>
          <w:color w:val="auto"/>
          <w:highlight w:val="none"/>
        </w:rPr>
      </w:pPr>
    </w:p>
    <w:p w14:paraId="62CC6FAA">
      <w:pPr>
        <w:pStyle w:val="5"/>
        <w:shd w:val="clear"/>
        <w:adjustRightInd w:val="0"/>
        <w:snapToGrid w:val="0"/>
        <w:spacing w:before="156" w:beforeLines="50" w:after="0" w:line="360" w:lineRule="auto"/>
        <w:rPr>
          <w:rFonts w:ascii="黑体" w:hAnsi="黑体"/>
          <w:b w:val="0"/>
          <w:color w:val="auto"/>
          <w:sz w:val="21"/>
          <w:szCs w:val="21"/>
          <w:highlight w:val="none"/>
        </w:rPr>
      </w:pPr>
      <w:bookmarkStart w:id="118" w:name="_Toc32309"/>
      <w:bookmarkStart w:id="119" w:name="_Toc24652"/>
      <w:bookmarkStart w:id="120" w:name="_Toc24573"/>
      <w:bookmarkStart w:id="121" w:name="_Toc6749"/>
      <w:r>
        <w:rPr>
          <w:rFonts w:hint="eastAsia" w:ascii="黑体" w:hAnsi="黑体" w:cs="宋体"/>
          <w:b w:val="0"/>
          <w:color w:val="auto"/>
          <w:spacing w:val="6"/>
          <w:sz w:val="21"/>
          <w:szCs w:val="21"/>
          <w:highlight w:val="none"/>
        </w:rPr>
        <w:t>附件7-1 响应</w:t>
      </w:r>
      <w:r>
        <w:rPr>
          <w:rFonts w:hint="eastAsia" w:ascii="黑体" w:hAnsi="黑体"/>
          <w:b w:val="0"/>
          <w:color w:val="auto"/>
          <w:sz w:val="21"/>
          <w:szCs w:val="21"/>
          <w:highlight w:val="none"/>
        </w:rPr>
        <w:t>-览表</w:t>
      </w:r>
      <w:bookmarkEnd w:id="118"/>
      <w:bookmarkEnd w:id="119"/>
      <w:bookmarkEnd w:id="120"/>
      <w:bookmarkEnd w:id="121"/>
    </w:p>
    <w:p w14:paraId="057CCED4">
      <w:pPr>
        <w:shd w:val="clear"/>
        <w:adjustRightInd w:val="0"/>
        <w:snapToGrid w:val="0"/>
        <w:spacing w:before="156" w:beforeLines="50" w:line="360" w:lineRule="auto"/>
        <w:jc w:val="center"/>
        <w:rPr>
          <w:rFonts w:ascii="黑体" w:hAnsi="黑体" w:eastAsia="黑体"/>
          <w:b/>
          <w:bCs/>
          <w:color w:val="auto"/>
          <w:sz w:val="28"/>
          <w:szCs w:val="28"/>
          <w:highlight w:val="none"/>
        </w:rPr>
      </w:pPr>
      <w:r>
        <w:rPr>
          <w:rFonts w:hint="eastAsia" w:ascii="黑体" w:hAnsi="黑体" w:eastAsia="黑体"/>
          <w:b/>
          <w:bCs/>
          <w:color w:val="auto"/>
          <w:sz w:val="28"/>
          <w:szCs w:val="28"/>
          <w:highlight w:val="none"/>
        </w:rPr>
        <w:t>响应</w:t>
      </w:r>
      <w:r>
        <w:rPr>
          <w:rFonts w:hint="eastAsia" w:ascii="黑体" w:hAnsi="黑体" w:eastAsia="黑体"/>
          <w:b/>
          <w:bCs/>
          <w:color w:val="auto"/>
          <w:sz w:val="28"/>
          <w:szCs w:val="28"/>
          <w:highlight w:val="none"/>
          <w:lang w:val="en-US" w:eastAsia="zh-CN"/>
        </w:rPr>
        <w:t>一</w:t>
      </w:r>
      <w:r>
        <w:rPr>
          <w:rFonts w:hint="eastAsia" w:ascii="黑体" w:hAnsi="黑体" w:eastAsia="黑体"/>
          <w:b/>
          <w:bCs/>
          <w:color w:val="auto"/>
          <w:sz w:val="28"/>
          <w:szCs w:val="28"/>
          <w:highlight w:val="none"/>
        </w:rPr>
        <w:t>览表</w:t>
      </w:r>
    </w:p>
    <w:p w14:paraId="0D742FF1">
      <w:pPr>
        <w:shd w:val="clear"/>
        <w:jc w:val="center"/>
        <w:rPr>
          <w:rFonts w:asciiTheme="minorEastAsia" w:hAnsiTheme="minorEastAsia" w:eastAsiaTheme="minorEastAsia"/>
          <w:color w:val="auto"/>
          <w:szCs w:val="21"/>
          <w:highlight w:val="none"/>
        </w:rPr>
      </w:pPr>
    </w:p>
    <w:tbl>
      <w:tblPr>
        <w:tblStyle w:val="43"/>
        <w:tblW w:w="9424" w:type="dxa"/>
        <w:tblInd w:w="-36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5"/>
        <w:gridCol w:w="864"/>
        <w:gridCol w:w="2100"/>
        <w:gridCol w:w="2382"/>
        <w:gridCol w:w="992"/>
        <w:gridCol w:w="709"/>
        <w:gridCol w:w="751"/>
        <w:gridCol w:w="971"/>
      </w:tblGrid>
      <w:tr w14:paraId="47113C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655" w:type="dxa"/>
            <w:vMerge w:val="restart"/>
            <w:vAlign w:val="center"/>
          </w:tcPr>
          <w:p w14:paraId="75C26C14">
            <w:pPr>
              <w:shd w:val="clear"/>
              <w:jc w:val="center"/>
              <w:rPr>
                <w:color w:val="auto"/>
                <w:szCs w:val="21"/>
                <w:highlight w:val="none"/>
              </w:rPr>
            </w:pPr>
            <w:r>
              <w:rPr>
                <w:rFonts w:hint="eastAsia"/>
                <w:color w:val="auto"/>
                <w:szCs w:val="21"/>
                <w:highlight w:val="none"/>
              </w:rPr>
              <w:t xml:space="preserve">包号 </w:t>
            </w:r>
          </w:p>
        </w:tc>
        <w:tc>
          <w:tcPr>
            <w:tcW w:w="864" w:type="dxa"/>
            <w:vMerge w:val="restart"/>
            <w:tcBorders>
              <w:right w:val="single" w:color="auto" w:sz="4" w:space="0"/>
            </w:tcBorders>
            <w:vAlign w:val="center"/>
          </w:tcPr>
          <w:p w14:paraId="061F2FA7">
            <w:pPr>
              <w:shd w:val="clear"/>
              <w:jc w:val="center"/>
              <w:rPr>
                <w:color w:val="auto"/>
                <w:szCs w:val="21"/>
                <w:highlight w:val="none"/>
              </w:rPr>
            </w:pPr>
            <w:r>
              <w:rPr>
                <w:rFonts w:hint="eastAsia"/>
                <w:color w:val="auto"/>
                <w:szCs w:val="21"/>
                <w:highlight w:val="none"/>
              </w:rPr>
              <w:t>包名称</w:t>
            </w:r>
          </w:p>
        </w:tc>
        <w:tc>
          <w:tcPr>
            <w:tcW w:w="2100" w:type="dxa"/>
            <w:vMerge w:val="restart"/>
            <w:tcBorders>
              <w:left w:val="single" w:color="auto" w:sz="4" w:space="0"/>
            </w:tcBorders>
            <w:vAlign w:val="center"/>
          </w:tcPr>
          <w:p w14:paraId="114A79F6">
            <w:pPr>
              <w:shd w:val="clear"/>
              <w:jc w:val="center"/>
              <w:rPr>
                <w:color w:val="auto"/>
                <w:szCs w:val="21"/>
                <w:highlight w:val="none"/>
              </w:rPr>
            </w:pPr>
            <w:r>
              <w:rPr>
                <w:rFonts w:hint="eastAsia"/>
                <w:color w:val="auto"/>
                <w:szCs w:val="21"/>
                <w:highlight w:val="none"/>
              </w:rPr>
              <w:t>分项项目名称</w:t>
            </w:r>
          </w:p>
          <w:p w14:paraId="4ECE0C31">
            <w:pPr>
              <w:shd w:val="clear"/>
              <w:jc w:val="center"/>
              <w:rPr>
                <w:color w:val="auto"/>
                <w:szCs w:val="21"/>
                <w:highlight w:val="none"/>
              </w:rPr>
            </w:pPr>
            <w:r>
              <w:rPr>
                <w:rFonts w:hint="eastAsia"/>
                <w:color w:val="auto"/>
                <w:szCs w:val="21"/>
                <w:highlight w:val="none"/>
              </w:rPr>
              <w:t>（条目号/品目名称）</w:t>
            </w:r>
          </w:p>
        </w:tc>
        <w:tc>
          <w:tcPr>
            <w:tcW w:w="2382" w:type="dxa"/>
            <w:vMerge w:val="restart"/>
            <w:vAlign w:val="center"/>
          </w:tcPr>
          <w:p w14:paraId="3EAA1E9B">
            <w:pPr>
              <w:shd w:val="clear"/>
              <w:jc w:val="center"/>
              <w:rPr>
                <w:color w:val="auto"/>
                <w:szCs w:val="21"/>
                <w:highlight w:val="none"/>
              </w:rPr>
            </w:pPr>
            <w:r>
              <w:rPr>
                <w:rFonts w:hint="eastAsia"/>
                <w:color w:val="auto"/>
                <w:szCs w:val="21"/>
                <w:highlight w:val="none"/>
              </w:rPr>
              <w:t>主要技术参数或规格</w:t>
            </w:r>
          </w:p>
        </w:tc>
        <w:tc>
          <w:tcPr>
            <w:tcW w:w="992" w:type="dxa"/>
            <w:vMerge w:val="restart"/>
            <w:vAlign w:val="center"/>
          </w:tcPr>
          <w:p w14:paraId="50ADB5D1">
            <w:pPr>
              <w:shd w:val="clear"/>
              <w:jc w:val="center"/>
              <w:rPr>
                <w:color w:val="auto"/>
                <w:szCs w:val="21"/>
                <w:highlight w:val="none"/>
              </w:rPr>
            </w:pPr>
            <w:r>
              <w:rPr>
                <w:rFonts w:hint="eastAsia"/>
                <w:color w:val="auto"/>
                <w:szCs w:val="21"/>
                <w:highlight w:val="none"/>
              </w:rPr>
              <w:t>数量</w:t>
            </w:r>
          </w:p>
        </w:tc>
        <w:tc>
          <w:tcPr>
            <w:tcW w:w="1460" w:type="dxa"/>
            <w:gridSpan w:val="2"/>
            <w:vAlign w:val="center"/>
          </w:tcPr>
          <w:p w14:paraId="5E0CE657">
            <w:pPr>
              <w:shd w:val="clear"/>
              <w:jc w:val="center"/>
              <w:rPr>
                <w:color w:val="auto"/>
                <w:szCs w:val="21"/>
                <w:highlight w:val="none"/>
              </w:rPr>
            </w:pPr>
            <w:r>
              <w:rPr>
                <w:color w:val="auto"/>
                <w:highlight w:val="none"/>
              </w:rPr>
              <w:t>交货</w:t>
            </w:r>
          </w:p>
        </w:tc>
        <w:tc>
          <w:tcPr>
            <w:tcW w:w="971" w:type="dxa"/>
            <w:vMerge w:val="restart"/>
            <w:vAlign w:val="center"/>
          </w:tcPr>
          <w:p w14:paraId="444BE453">
            <w:pPr>
              <w:shd w:val="clear"/>
              <w:jc w:val="center"/>
              <w:rPr>
                <w:color w:val="auto"/>
                <w:szCs w:val="21"/>
                <w:highlight w:val="none"/>
              </w:rPr>
            </w:pPr>
            <w:r>
              <w:rPr>
                <w:rFonts w:hint="eastAsia"/>
                <w:color w:val="auto"/>
                <w:szCs w:val="21"/>
                <w:highlight w:val="none"/>
              </w:rPr>
              <w:t>备注</w:t>
            </w:r>
          </w:p>
        </w:tc>
      </w:tr>
      <w:tr w14:paraId="11E2C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655" w:type="dxa"/>
            <w:vMerge w:val="continue"/>
            <w:vAlign w:val="center"/>
          </w:tcPr>
          <w:p w14:paraId="4A46E68A">
            <w:pPr>
              <w:shd w:val="clear"/>
              <w:jc w:val="center"/>
              <w:rPr>
                <w:color w:val="auto"/>
                <w:szCs w:val="21"/>
                <w:highlight w:val="none"/>
              </w:rPr>
            </w:pPr>
          </w:p>
        </w:tc>
        <w:tc>
          <w:tcPr>
            <w:tcW w:w="864" w:type="dxa"/>
            <w:vMerge w:val="continue"/>
            <w:tcBorders>
              <w:right w:val="single" w:color="auto" w:sz="4" w:space="0"/>
            </w:tcBorders>
            <w:vAlign w:val="center"/>
          </w:tcPr>
          <w:p w14:paraId="0D5E0F4F">
            <w:pPr>
              <w:shd w:val="clear"/>
              <w:jc w:val="center"/>
              <w:rPr>
                <w:color w:val="auto"/>
                <w:szCs w:val="21"/>
                <w:highlight w:val="none"/>
              </w:rPr>
            </w:pPr>
          </w:p>
        </w:tc>
        <w:tc>
          <w:tcPr>
            <w:tcW w:w="2100" w:type="dxa"/>
            <w:vMerge w:val="continue"/>
            <w:tcBorders>
              <w:left w:val="single" w:color="auto" w:sz="4" w:space="0"/>
            </w:tcBorders>
            <w:vAlign w:val="center"/>
          </w:tcPr>
          <w:p w14:paraId="4C42EF6B">
            <w:pPr>
              <w:shd w:val="clear"/>
              <w:jc w:val="center"/>
              <w:rPr>
                <w:color w:val="auto"/>
                <w:szCs w:val="21"/>
                <w:highlight w:val="none"/>
              </w:rPr>
            </w:pPr>
          </w:p>
        </w:tc>
        <w:tc>
          <w:tcPr>
            <w:tcW w:w="2382" w:type="dxa"/>
            <w:vMerge w:val="continue"/>
            <w:vAlign w:val="center"/>
          </w:tcPr>
          <w:p w14:paraId="1F63EE6D">
            <w:pPr>
              <w:shd w:val="clear"/>
              <w:jc w:val="center"/>
              <w:rPr>
                <w:color w:val="auto"/>
                <w:szCs w:val="21"/>
                <w:highlight w:val="none"/>
              </w:rPr>
            </w:pPr>
          </w:p>
        </w:tc>
        <w:tc>
          <w:tcPr>
            <w:tcW w:w="992" w:type="dxa"/>
            <w:vMerge w:val="continue"/>
            <w:vAlign w:val="center"/>
          </w:tcPr>
          <w:p w14:paraId="47792E6A">
            <w:pPr>
              <w:shd w:val="clear"/>
              <w:jc w:val="center"/>
              <w:rPr>
                <w:color w:val="auto"/>
                <w:szCs w:val="21"/>
                <w:highlight w:val="none"/>
              </w:rPr>
            </w:pPr>
          </w:p>
        </w:tc>
        <w:tc>
          <w:tcPr>
            <w:tcW w:w="709" w:type="dxa"/>
            <w:vAlign w:val="center"/>
          </w:tcPr>
          <w:p w14:paraId="5D67F92E">
            <w:pPr>
              <w:shd w:val="clear"/>
              <w:jc w:val="center"/>
              <w:rPr>
                <w:color w:val="auto"/>
                <w:szCs w:val="21"/>
                <w:highlight w:val="none"/>
              </w:rPr>
            </w:pPr>
            <w:r>
              <w:rPr>
                <w:rFonts w:hint="eastAsia"/>
                <w:color w:val="auto"/>
                <w:szCs w:val="21"/>
                <w:highlight w:val="none"/>
              </w:rPr>
              <w:t>时间</w:t>
            </w:r>
          </w:p>
        </w:tc>
        <w:tc>
          <w:tcPr>
            <w:tcW w:w="751" w:type="dxa"/>
            <w:vAlign w:val="center"/>
          </w:tcPr>
          <w:p w14:paraId="183742A8">
            <w:pPr>
              <w:shd w:val="clear"/>
              <w:jc w:val="center"/>
              <w:rPr>
                <w:color w:val="auto"/>
                <w:szCs w:val="21"/>
                <w:highlight w:val="none"/>
              </w:rPr>
            </w:pPr>
            <w:r>
              <w:rPr>
                <w:rFonts w:hint="eastAsia"/>
                <w:color w:val="auto"/>
                <w:szCs w:val="21"/>
                <w:highlight w:val="none"/>
              </w:rPr>
              <w:t>地点</w:t>
            </w:r>
          </w:p>
        </w:tc>
        <w:tc>
          <w:tcPr>
            <w:tcW w:w="971" w:type="dxa"/>
            <w:vMerge w:val="continue"/>
          </w:tcPr>
          <w:p w14:paraId="21B6F386">
            <w:pPr>
              <w:shd w:val="clear"/>
              <w:rPr>
                <w:color w:val="auto"/>
                <w:szCs w:val="21"/>
                <w:highlight w:val="none"/>
              </w:rPr>
            </w:pPr>
          </w:p>
        </w:tc>
      </w:tr>
      <w:tr w14:paraId="5DD1F8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5C952E16">
            <w:pPr>
              <w:shd w:val="clear"/>
              <w:rPr>
                <w:color w:val="auto"/>
                <w:szCs w:val="21"/>
                <w:highlight w:val="none"/>
              </w:rPr>
            </w:pPr>
          </w:p>
        </w:tc>
        <w:tc>
          <w:tcPr>
            <w:tcW w:w="864" w:type="dxa"/>
            <w:tcBorders>
              <w:right w:val="single" w:color="auto" w:sz="4" w:space="0"/>
            </w:tcBorders>
          </w:tcPr>
          <w:p w14:paraId="4527F234">
            <w:pPr>
              <w:shd w:val="clear"/>
              <w:rPr>
                <w:color w:val="auto"/>
                <w:szCs w:val="21"/>
                <w:highlight w:val="none"/>
              </w:rPr>
            </w:pPr>
          </w:p>
        </w:tc>
        <w:tc>
          <w:tcPr>
            <w:tcW w:w="2100" w:type="dxa"/>
            <w:tcBorders>
              <w:left w:val="single" w:color="auto" w:sz="4" w:space="0"/>
            </w:tcBorders>
          </w:tcPr>
          <w:p w14:paraId="78035D3B">
            <w:pPr>
              <w:shd w:val="clear"/>
              <w:rPr>
                <w:color w:val="auto"/>
                <w:szCs w:val="21"/>
                <w:highlight w:val="none"/>
              </w:rPr>
            </w:pPr>
          </w:p>
        </w:tc>
        <w:tc>
          <w:tcPr>
            <w:tcW w:w="2382" w:type="dxa"/>
          </w:tcPr>
          <w:p w14:paraId="5FBC41EF">
            <w:pPr>
              <w:shd w:val="clear"/>
              <w:rPr>
                <w:color w:val="auto"/>
                <w:szCs w:val="21"/>
                <w:highlight w:val="none"/>
              </w:rPr>
            </w:pPr>
          </w:p>
        </w:tc>
        <w:tc>
          <w:tcPr>
            <w:tcW w:w="992" w:type="dxa"/>
          </w:tcPr>
          <w:p w14:paraId="1FF1918B">
            <w:pPr>
              <w:shd w:val="clear"/>
              <w:rPr>
                <w:color w:val="auto"/>
                <w:szCs w:val="21"/>
                <w:highlight w:val="none"/>
              </w:rPr>
            </w:pPr>
          </w:p>
        </w:tc>
        <w:tc>
          <w:tcPr>
            <w:tcW w:w="709" w:type="dxa"/>
            <w:tcBorders>
              <w:bottom w:val="single" w:color="auto" w:sz="4" w:space="0"/>
            </w:tcBorders>
          </w:tcPr>
          <w:p w14:paraId="34C53913">
            <w:pPr>
              <w:shd w:val="clear"/>
              <w:rPr>
                <w:color w:val="auto"/>
                <w:szCs w:val="21"/>
                <w:highlight w:val="none"/>
              </w:rPr>
            </w:pPr>
          </w:p>
        </w:tc>
        <w:tc>
          <w:tcPr>
            <w:tcW w:w="751" w:type="dxa"/>
            <w:tcBorders>
              <w:bottom w:val="single" w:color="auto" w:sz="4" w:space="0"/>
            </w:tcBorders>
          </w:tcPr>
          <w:p w14:paraId="5769C95B">
            <w:pPr>
              <w:shd w:val="clear"/>
              <w:rPr>
                <w:color w:val="auto"/>
                <w:szCs w:val="21"/>
                <w:highlight w:val="none"/>
              </w:rPr>
            </w:pPr>
          </w:p>
        </w:tc>
        <w:tc>
          <w:tcPr>
            <w:tcW w:w="971" w:type="dxa"/>
          </w:tcPr>
          <w:p w14:paraId="4638A5FF">
            <w:pPr>
              <w:shd w:val="clear"/>
              <w:rPr>
                <w:color w:val="auto"/>
                <w:szCs w:val="21"/>
                <w:highlight w:val="none"/>
              </w:rPr>
            </w:pPr>
          </w:p>
        </w:tc>
      </w:tr>
      <w:tr w14:paraId="77C900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57EFAADC">
            <w:pPr>
              <w:shd w:val="clear"/>
              <w:rPr>
                <w:color w:val="auto"/>
                <w:szCs w:val="21"/>
                <w:highlight w:val="none"/>
              </w:rPr>
            </w:pPr>
          </w:p>
        </w:tc>
        <w:tc>
          <w:tcPr>
            <w:tcW w:w="864" w:type="dxa"/>
            <w:tcBorders>
              <w:right w:val="single" w:color="auto" w:sz="4" w:space="0"/>
            </w:tcBorders>
          </w:tcPr>
          <w:p w14:paraId="083EF2FE">
            <w:pPr>
              <w:shd w:val="clear"/>
              <w:rPr>
                <w:color w:val="auto"/>
                <w:szCs w:val="21"/>
                <w:highlight w:val="none"/>
              </w:rPr>
            </w:pPr>
          </w:p>
        </w:tc>
        <w:tc>
          <w:tcPr>
            <w:tcW w:w="2100" w:type="dxa"/>
            <w:tcBorders>
              <w:left w:val="single" w:color="auto" w:sz="4" w:space="0"/>
            </w:tcBorders>
          </w:tcPr>
          <w:p w14:paraId="650842C1">
            <w:pPr>
              <w:shd w:val="clear"/>
              <w:rPr>
                <w:color w:val="auto"/>
                <w:szCs w:val="21"/>
                <w:highlight w:val="none"/>
              </w:rPr>
            </w:pPr>
          </w:p>
        </w:tc>
        <w:tc>
          <w:tcPr>
            <w:tcW w:w="2382" w:type="dxa"/>
          </w:tcPr>
          <w:p w14:paraId="5F7C1D0F">
            <w:pPr>
              <w:shd w:val="clear"/>
              <w:rPr>
                <w:color w:val="auto"/>
                <w:szCs w:val="21"/>
                <w:highlight w:val="none"/>
              </w:rPr>
            </w:pPr>
          </w:p>
        </w:tc>
        <w:tc>
          <w:tcPr>
            <w:tcW w:w="992" w:type="dxa"/>
          </w:tcPr>
          <w:p w14:paraId="5E9E1AC9">
            <w:pPr>
              <w:shd w:val="clear"/>
              <w:rPr>
                <w:color w:val="auto"/>
                <w:szCs w:val="21"/>
                <w:highlight w:val="none"/>
              </w:rPr>
            </w:pPr>
          </w:p>
        </w:tc>
        <w:tc>
          <w:tcPr>
            <w:tcW w:w="709" w:type="dxa"/>
            <w:tcBorders>
              <w:top w:val="single" w:color="auto" w:sz="4" w:space="0"/>
              <w:bottom w:val="single" w:color="auto" w:sz="4" w:space="0"/>
            </w:tcBorders>
          </w:tcPr>
          <w:p w14:paraId="63FAF2CD">
            <w:pPr>
              <w:shd w:val="clear"/>
              <w:rPr>
                <w:color w:val="auto"/>
                <w:szCs w:val="21"/>
                <w:highlight w:val="none"/>
              </w:rPr>
            </w:pPr>
          </w:p>
        </w:tc>
        <w:tc>
          <w:tcPr>
            <w:tcW w:w="751" w:type="dxa"/>
            <w:tcBorders>
              <w:top w:val="single" w:color="auto" w:sz="4" w:space="0"/>
              <w:bottom w:val="single" w:color="auto" w:sz="4" w:space="0"/>
            </w:tcBorders>
          </w:tcPr>
          <w:p w14:paraId="7836CA25">
            <w:pPr>
              <w:shd w:val="clear"/>
              <w:rPr>
                <w:color w:val="auto"/>
                <w:szCs w:val="21"/>
                <w:highlight w:val="none"/>
              </w:rPr>
            </w:pPr>
          </w:p>
        </w:tc>
        <w:tc>
          <w:tcPr>
            <w:tcW w:w="971" w:type="dxa"/>
          </w:tcPr>
          <w:p w14:paraId="3F0C06D1">
            <w:pPr>
              <w:shd w:val="clear"/>
              <w:rPr>
                <w:color w:val="auto"/>
                <w:szCs w:val="21"/>
                <w:highlight w:val="none"/>
              </w:rPr>
            </w:pPr>
          </w:p>
        </w:tc>
      </w:tr>
      <w:tr w14:paraId="232F7D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732FB1D3">
            <w:pPr>
              <w:shd w:val="clear"/>
              <w:rPr>
                <w:color w:val="auto"/>
                <w:szCs w:val="21"/>
                <w:highlight w:val="none"/>
              </w:rPr>
            </w:pPr>
          </w:p>
        </w:tc>
        <w:tc>
          <w:tcPr>
            <w:tcW w:w="864" w:type="dxa"/>
            <w:tcBorders>
              <w:right w:val="single" w:color="auto" w:sz="4" w:space="0"/>
            </w:tcBorders>
          </w:tcPr>
          <w:p w14:paraId="17D005E1">
            <w:pPr>
              <w:shd w:val="clear"/>
              <w:rPr>
                <w:color w:val="auto"/>
                <w:szCs w:val="21"/>
                <w:highlight w:val="none"/>
              </w:rPr>
            </w:pPr>
          </w:p>
        </w:tc>
        <w:tc>
          <w:tcPr>
            <w:tcW w:w="2100" w:type="dxa"/>
            <w:tcBorders>
              <w:left w:val="single" w:color="auto" w:sz="4" w:space="0"/>
            </w:tcBorders>
          </w:tcPr>
          <w:p w14:paraId="00218CAE">
            <w:pPr>
              <w:shd w:val="clear"/>
              <w:rPr>
                <w:color w:val="auto"/>
                <w:szCs w:val="21"/>
                <w:highlight w:val="none"/>
              </w:rPr>
            </w:pPr>
          </w:p>
        </w:tc>
        <w:tc>
          <w:tcPr>
            <w:tcW w:w="2382" w:type="dxa"/>
          </w:tcPr>
          <w:p w14:paraId="3FC2A8BA">
            <w:pPr>
              <w:shd w:val="clear"/>
              <w:rPr>
                <w:color w:val="auto"/>
                <w:szCs w:val="21"/>
                <w:highlight w:val="none"/>
              </w:rPr>
            </w:pPr>
          </w:p>
        </w:tc>
        <w:tc>
          <w:tcPr>
            <w:tcW w:w="992" w:type="dxa"/>
          </w:tcPr>
          <w:p w14:paraId="67E8AA8F">
            <w:pPr>
              <w:shd w:val="clear"/>
              <w:rPr>
                <w:color w:val="auto"/>
                <w:szCs w:val="21"/>
                <w:highlight w:val="none"/>
              </w:rPr>
            </w:pPr>
          </w:p>
        </w:tc>
        <w:tc>
          <w:tcPr>
            <w:tcW w:w="709" w:type="dxa"/>
            <w:tcBorders>
              <w:top w:val="single" w:color="auto" w:sz="4" w:space="0"/>
              <w:bottom w:val="single" w:color="auto" w:sz="4" w:space="0"/>
            </w:tcBorders>
          </w:tcPr>
          <w:p w14:paraId="34E278FA">
            <w:pPr>
              <w:shd w:val="clear"/>
              <w:rPr>
                <w:color w:val="auto"/>
                <w:szCs w:val="21"/>
                <w:highlight w:val="none"/>
              </w:rPr>
            </w:pPr>
          </w:p>
        </w:tc>
        <w:tc>
          <w:tcPr>
            <w:tcW w:w="751" w:type="dxa"/>
            <w:tcBorders>
              <w:top w:val="single" w:color="auto" w:sz="4" w:space="0"/>
              <w:bottom w:val="single" w:color="auto" w:sz="4" w:space="0"/>
            </w:tcBorders>
          </w:tcPr>
          <w:p w14:paraId="7B52BEB0">
            <w:pPr>
              <w:shd w:val="clear"/>
              <w:rPr>
                <w:color w:val="auto"/>
                <w:szCs w:val="21"/>
                <w:highlight w:val="none"/>
              </w:rPr>
            </w:pPr>
          </w:p>
        </w:tc>
        <w:tc>
          <w:tcPr>
            <w:tcW w:w="971" w:type="dxa"/>
          </w:tcPr>
          <w:p w14:paraId="7764E296">
            <w:pPr>
              <w:shd w:val="clear"/>
              <w:rPr>
                <w:color w:val="auto"/>
                <w:szCs w:val="21"/>
                <w:highlight w:val="none"/>
              </w:rPr>
            </w:pPr>
          </w:p>
        </w:tc>
      </w:tr>
      <w:tr w14:paraId="3B8180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0872E27D">
            <w:pPr>
              <w:shd w:val="clear"/>
              <w:rPr>
                <w:color w:val="auto"/>
                <w:szCs w:val="21"/>
                <w:highlight w:val="none"/>
              </w:rPr>
            </w:pPr>
          </w:p>
        </w:tc>
        <w:tc>
          <w:tcPr>
            <w:tcW w:w="864" w:type="dxa"/>
            <w:tcBorders>
              <w:right w:val="single" w:color="auto" w:sz="4" w:space="0"/>
            </w:tcBorders>
          </w:tcPr>
          <w:p w14:paraId="770D3FBB">
            <w:pPr>
              <w:shd w:val="clear"/>
              <w:rPr>
                <w:color w:val="auto"/>
                <w:szCs w:val="21"/>
                <w:highlight w:val="none"/>
              </w:rPr>
            </w:pPr>
          </w:p>
        </w:tc>
        <w:tc>
          <w:tcPr>
            <w:tcW w:w="2100" w:type="dxa"/>
            <w:tcBorders>
              <w:left w:val="single" w:color="auto" w:sz="4" w:space="0"/>
            </w:tcBorders>
          </w:tcPr>
          <w:p w14:paraId="6A4EB339">
            <w:pPr>
              <w:shd w:val="clear"/>
              <w:rPr>
                <w:color w:val="auto"/>
                <w:szCs w:val="21"/>
                <w:highlight w:val="none"/>
              </w:rPr>
            </w:pPr>
          </w:p>
        </w:tc>
        <w:tc>
          <w:tcPr>
            <w:tcW w:w="2382" w:type="dxa"/>
          </w:tcPr>
          <w:p w14:paraId="07BA833F">
            <w:pPr>
              <w:shd w:val="clear"/>
              <w:rPr>
                <w:color w:val="auto"/>
                <w:szCs w:val="21"/>
                <w:highlight w:val="none"/>
              </w:rPr>
            </w:pPr>
          </w:p>
        </w:tc>
        <w:tc>
          <w:tcPr>
            <w:tcW w:w="992" w:type="dxa"/>
          </w:tcPr>
          <w:p w14:paraId="443E5201">
            <w:pPr>
              <w:shd w:val="clear"/>
              <w:rPr>
                <w:color w:val="auto"/>
                <w:szCs w:val="21"/>
                <w:highlight w:val="none"/>
              </w:rPr>
            </w:pPr>
          </w:p>
        </w:tc>
        <w:tc>
          <w:tcPr>
            <w:tcW w:w="709" w:type="dxa"/>
            <w:tcBorders>
              <w:top w:val="single" w:color="auto" w:sz="4" w:space="0"/>
              <w:bottom w:val="single" w:color="auto" w:sz="4" w:space="0"/>
            </w:tcBorders>
          </w:tcPr>
          <w:p w14:paraId="157B5FC0">
            <w:pPr>
              <w:shd w:val="clear"/>
              <w:rPr>
                <w:color w:val="auto"/>
                <w:szCs w:val="21"/>
                <w:highlight w:val="none"/>
              </w:rPr>
            </w:pPr>
          </w:p>
        </w:tc>
        <w:tc>
          <w:tcPr>
            <w:tcW w:w="751" w:type="dxa"/>
            <w:tcBorders>
              <w:top w:val="single" w:color="auto" w:sz="4" w:space="0"/>
              <w:bottom w:val="single" w:color="auto" w:sz="4" w:space="0"/>
            </w:tcBorders>
          </w:tcPr>
          <w:p w14:paraId="7D8C5151">
            <w:pPr>
              <w:shd w:val="clear"/>
              <w:rPr>
                <w:color w:val="auto"/>
                <w:szCs w:val="21"/>
                <w:highlight w:val="none"/>
              </w:rPr>
            </w:pPr>
          </w:p>
        </w:tc>
        <w:tc>
          <w:tcPr>
            <w:tcW w:w="971" w:type="dxa"/>
          </w:tcPr>
          <w:p w14:paraId="60CF706F">
            <w:pPr>
              <w:shd w:val="clear"/>
              <w:rPr>
                <w:color w:val="auto"/>
                <w:szCs w:val="21"/>
                <w:highlight w:val="none"/>
              </w:rPr>
            </w:pPr>
          </w:p>
        </w:tc>
      </w:tr>
      <w:tr w14:paraId="14BC1D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55" w:type="dxa"/>
          </w:tcPr>
          <w:p w14:paraId="76E1DE83">
            <w:pPr>
              <w:shd w:val="clear"/>
              <w:rPr>
                <w:color w:val="auto"/>
                <w:szCs w:val="21"/>
                <w:highlight w:val="none"/>
              </w:rPr>
            </w:pPr>
          </w:p>
        </w:tc>
        <w:tc>
          <w:tcPr>
            <w:tcW w:w="864" w:type="dxa"/>
            <w:tcBorders>
              <w:right w:val="single" w:color="auto" w:sz="4" w:space="0"/>
            </w:tcBorders>
          </w:tcPr>
          <w:p w14:paraId="28DFCD0E">
            <w:pPr>
              <w:shd w:val="clear"/>
              <w:rPr>
                <w:color w:val="auto"/>
                <w:szCs w:val="21"/>
                <w:highlight w:val="none"/>
              </w:rPr>
            </w:pPr>
          </w:p>
        </w:tc>
        <w:tc>
          <w:tcPr>
            <w:tcW w:w="2100" w:type="dxa"/>
            <w:tcBorders>
              <w:left w:val="single" w:color="auto" w:sz="4" w:space="0"/>
            </w:tcBorders>
          </w:tcPr>
          <w:p w14:paraId="06D3772D">
            <w:pPr>
              <w:shd w:val="clear"/>
              <w:rPr>
                <w:color w:val="auto"/>
                <w:szCs w:val="21"/>
                <w:highlight w:val="none"/>
              </w:rPr>
            </w:pPr>
          </w:p>
        </w:tc>
        <w:tc>
          <w:tcPr>
            <w:tcW w:w="2382" w:type="dxa"/>
          </w:tcPr>
          <w:p w14:paraId="6288B219">
            <w:pPr>
              <w:shd w:val="clear"/>
              <w:rPr>
                <w:color w:val="auto"/>
                <w:szCs w:val="21"/>
                <w:highlight w:val="none"/>
              </w:rPr>
            </w:pPr>
          </w:p>
        </w:tc>
        <w:tc>
          <w:tcPr>
            <w:tcW w:w="992" w:type="dxa"/>
          </w:tcPr>
          <w:p w14:paraId="725E8832">
            <w:pPr>
              <w:shd w:val="clear"/>
              <w:rPr>
                <w:color w:val="auto"/>
                <w:szCs w:val="21"/>
                <w:highlight w:val="none"/>
              </w:rPr>
            </w:pPr>
          </w:p>
        </w:tc>
        <w:tc>
          <w:tcPr>
            <w:tcW w:w="709" w:type="dxa"/>
            <w:tcBorders>
              <w:top w:val="single" w:color="auto" w:sz="4" w:space="0"/>
            </w:tcBorders>
          </w:tcPr>
          <w:p w14:paraId="670646D0">
            <w:pPr>
              <w:shd w:val="clear"/>
              <w:rPr>
                <w:color w:val="auto"/>
                <w:szCs w:val="21"/>
                <w:highlight w:val="none"/>
              </w:rPr>
            </w:pPr>
          </w:p>
        </w:tc>
        <w:tc>
          <w:tcPr>
            <w:tcW w:w="751" w:type="dxa"/>
            <w:tcBorders>
              <w:top w:val="single" w:color="auto" w:sz="4" w:space="0"/>
            </w:tcBorders>
          </w:tcPr>
          <w:p w14:paraId="19F7E4B8">
            <w:pPr>
              <w:shd w:val="clear"/>
              <w:rPr>
                <w:color w:val="auto"/>
                <w:szCs w:val="21"/>
                <w:highlight w:val="none"/>
              </w:rPr>
            </w:pPr>
          </w:p>
        </w:tc>
        <w:tc>
          <w:tcPr>
            <w:tcW w:w="971" w:type="dxa"/>
          </w:tcPr>
          <w:p w14:paraId="244806BA">
            <w:pPr>
              <w:shd w:val="clear"/>
              <w:rPr>
                <w:color w:val="auto"/>
                <w:szCs w:val="21"/>
                <w:highlight w:val="none"/>
              </w:rPr>
            </w:pPr>
          </w:p>
        </w:tc>
      </w:tr>
    </w:tbl>
    <w:p w14:paraId="47798AAA">
      <w:pPr>
        <w:shd w:val="clear"/>
        <w:adjustRightInd w:val="0"/>
        <w:snapToGrid w:val="0"/>
        <w:spacing w:line="360" w:lineRule="auto"/>
        <w:rPr>
          <w:color w:val="auto"/>
          <w:highlight w:val="none"/>
        </w:rPr>
      </w:pPr>
    </w:p>
    <w:p w14:paraId="0BCADBB3">
      <w:pPr>
        <w:shd w:val="clear"/>
        <w:adjustRightInd w:val="0"/>
        <w:snapToGrid w:val="0"/>
        <w:spacing w:line="360" w:lineRule="auto"/>
        <w:rPr>
          <w:rFonts w:ascii="宋体" w:hAnsi="宋体"/>
          <w:color w:val="auto"/>
          <w:szCs w:val="21"/>
          <w:highlight w:val="none"/>
        </w:rPr>
      </w:pPr>
    </w:p>
    <w:p w14:paraId="2CF7E0D9">
      <w:pPr>
        <w:shd w:val="clear"/>
        <w:adjustRightInd w:val="0"/>
        <w:snapToGrid w:val="0"/>
        <w:spacing w:line="360" w:lineRule="auto"/>
        <w:rPr>
          <w:rFonts w:ascii="宋体" w:hAnsi="宋体"/>
          <w:color w:val="auto"/>
          <w:szCs w:val="21"/>
          <w:highlight w:val="none"/>
        </w:rPr>
      </w:pPr>
    </w:p>
    <w:p w14:paraId="554B804C">
      <w:pPr>
        <w:shd w:val="clear"/>
        <w:adjustRightInd w:val="0"/>
        <w:snapToGrid w:val="0"/>
        <w:spacing w:line="360" w:lineRule="auto"/>
        <w:rPr>
          <w:rFonts w:ascii="黑体" w:hAnsi="宋体" w:eastAsia="黑体"/>
          <w:color w:val="auto"/>
          <w:sz w:val="28"/>
          <w:szCs w:val="28"/>
          <w:highlight w:val="none"/>
        </w:rPr>
        <w:sectPr>
          <w:headerReference r:id="rId9" w:type="first"/>
          <w:headerReference r:id="rId8" w:type="even"/>
          <w:pgSz w:w="11906" w:h="16838"/>
          <w:pgMar w:top="1474" w:right="1474" w:bottom="1474" w:left="1588" w:header="851" w:footer="992" w:gutter="0"/>
          <w:pgBorders>
            <w:top w:val="none" w:sz="0" w:space="0"/>
            <w:left w:val="none" w:sz="0" w:space="0"/>
            <w:bottom w:val="none" w:sz="0" w:space="0"/>
            <w:right w:val="none" w:sz="0" w:space="0"/>
          </w:pgBorders>
          <w:cols w:space="720" w:num="1"/>
          <w:docGrid w:type="lines" w:linePitch="312" w:charSpace="0"/>
        </w:sectPr>
      </w:pPr>
    </w:p>
    <w:p w14:paraId="0E29EE76">
      <w:pPr>
        <w:pStyle w:val="4"/>
        <w:shd w:val="clear"/>
        <w:adjustRightInd w:val="0"/>
        <w:snapToGrid w:val="0"/>
        <w:spacing w:before="156" w:beforeLines="50" w:after="0" w:line="360" w:lineRule="auto"/>
        <w:jc w:val="center"/>
        <w:rPr>
          <w:rFonts w:ascii="黑体" w:hAnsi="黑体" w:eastAsia="黑体"/>
          <w:color w:val="auto"/>
          <w:sz w:val="28"/>
          <w:szCs w:val="28"/>
          <w:highlight w:val="none"/>
        </w:rPr>
      </w:pPr>
      <w:bookmarkStart w:id="122" w:name="_Toc4175"/>
      <w:bookmarkStart w:id="123" w:name="_Toc27989"/>
      <w:bookmarkStart w:id="124" w:name="_Toc19077"/>
      <w:bookmarkStart w:id="125" w:name="_Toc24499"/>
      <w:r>
        <w:rPr>
          <w:rFonts w:hint="eastAsia" w:ascii="黑体" w:hAnsi="黑体" w:eastAsia="黑体"/>
          <w:color w:val="auto"/>
          <w:sz w:val="28"/>
          <w:szCs w:val="28"/>
          <w:highlight w:val="none"/>
        </w:rPr>
        <w:t>八、合同条款偏离表</w:t>
      </w:r>
      <w:bookmarkEnd w:id="122"/>
      <w:bookmarkEnd w:id="123"/>
      <w:bookmarkEnd w:id="124"/>
      <w:bookmarkEnd w:id="125"/>
    </w:p>
    <w:p w14:paraId="07D991DA">
      <w:pPr>
        <w:shd w:val="clear"/>
        <w:adjustRightInd w:val="0"/>
        <w:snapToGrid w:val="0"/>
        <w:spacing w:before="156" w:beforeLines="50" w:line="360" w:lineRule="auto"/>
        <w:rPr>
          <w:rFonts w:hint="default" w:asciiTheme="minorEastAsia" w:hAnsiTheme="minorEastAsia" w:eastAsiaTheme="minorEastAsia"/>
          <w:color w:val="auto"/>
          <w:szCs w:val="21"/>
          <w:highlight w:val="none"/>
          <w:u w:val="single"/>
          <w:lang w:val="en-US" w:eastAsia="zh-CN"/>
        </w:rPr>
      </w:pPr>
      <w:r>
        <w:rPr>
          <w:rFonts w:hint="eastAsia" w:ascii="宋体" w:hAnsi="宋体"/>
          <w:color w:val="auto"/>
          <w:spacing w:val="28"/>
          <w:szCs w:val="21"/>
          <w:highlight w:val="none"/>
        </w:rPr>
        <w:t>采购代理编号</w:t>
      </w:r>
      <w:r>
        <w:rPr>
          <w:rFonts w:hint="eastAsia" w:ascii="宋体" w:hAnsi="宋体"/>
          <w:color w:val="auto"/>
          <w:szCs w:val="21"/>
          <w:highlight w:val="none"/>
        </w:rPr>
        <w:t xml:space="preserve">: </w:t>
      </w: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color w:val="auto"/>
          <w:szCs w:val="21"/>
          <w:highlight w:val="none"/>
          <w:u w:val="single"/>
          <w:lang w:val="en-US" w:eastAsia="zh-CN"/>
        </w:rPr>
        <w:t xml:space="preserve">                 </w:t>
      </w:r>
    </w:p>
    <w:p w14:paraId="42A1F2BC">
      <w:pPr>
        <w:shd w:val="clear"/>
        <w:adjustRightInd w:val="0"/>
        <w:snapToGrid w:val="0"/>
        <w:spacing w:before="50" w:line="360" w:lineRule="auto"/>
        <w:rPr>
          <w:rFonts w:hint="default" w:ascii="宋体" w:hAnsi="宋体" w:eastAsiaTheme="minorEastAsia"/>
          <w:color w:val="auto"/>
          <w:szCs w:val="21"/>
          <w:highlight w:val="none"/>
          <w:u w:val="singl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1A9B2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490B157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bCs/>
                <w:color w:val="auto"/>
                <w:szCs w:val="21"/>
                <w:highlight w:val="none"/>
              </w:rPr>
              <w:t>序</w:t>
            </w:r>
            <w:r>
              <w:rPr>
                <w:rFonts w:hint="eastAsia" w:asciiTheme="minorEastAsia" w:hAnsiTheme="minorEastAsia" w:eastAsiaTheme="minorEastAsia"/>
                <w:color w:val="auto"/>
                <w:szCs w:val="21"/>
                <w:highlight w:val="none"/>
              </w:rPr>
              <w:t>号</w:t>
            </w:r>
          </w:p>
        </w:tc>
        <w:tc>
          <w:tcPr>
            <w:tcW w:w="2410" w:type="dxa"/>
            <w:vAlign w:val="center"/>
          </w:tcPr>
          <w:p w14:paraId="3DF0865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招标文件章节</w:t>
            </w:r>
            <w:r>
              <w:rPr>
                <w:rFonts w:hint="eastAsia" w:asciiTheme="minorEastAsia" w:hAnsiTheme="minorEastAsia" w:eastAsiaTheme="minorEastAsia"/>
                <w:bCs/>
                <w:color w:val="auto"/>
                <w:szCs w:val="21"/>
                <w:highlight w:val="none"/>
              </w:rPr>
              <w:t>条</w:t>
            </w:r>
            <w:r>
              <w:rPr>
                <w:rFonts w:hint="eastAsia" w:asciiTheme="minorEastAsia" w:hAnsiTheme="minorEastAsia" w:eastAsiaTheme="minorEastAsia"/>
                <w:color w:val="auto"/>
                <w:szCs w:val="21"/>
                <w:highlight w:val="none"/>
              </w:rPr>
              <w:t>款号</w:t>
            </w:r>
          </w:p>
        </w:tc>
        <w:tc>
          <w:tcPr>
            <w:tcW w:w="1985" w:type="dxa"/>
            <w:vAlign w:val="center"/>
          </w:tcPr>
          <w:p w14:paraId="024022B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color w:val="auto"/>
                <w:highlight w:val="none"/>
              </w:rPr>
              <w:t>招标文件要求</w:t>
            </w:r>
          </w:p>
        </w:tc>
        <w:tc>
          <w:tcPr>
            <w:tcW w:w="2082" w:type="dxa"/>
            <w:tcBorders>
              <w:right w:val="single" w:color="auto" w:sz="4" w:space="0"/>
            </w:tcBorders>
            <w:vAlign w:val="center"/>
          </w:tcPr>
          <w:p w14:paraId="0A66C0A4">
            <w:pPr>
              <w:shd w:val="clear"/>
              <w:adjustRightInd w:val="0"/>
              <w:snapToGrid w:val="0"/>
              <w:spacing w:before="50" w:line="360" w:lineRule="auto"/>
              <w:jc w:val="center"/>
              <w:rPr>
                <w:rFonts w:asciiTheme="minorEastAsia" w:hAnsiTheme="minorEastAsia" w:eastAsiaTheme="minorEastAsia"/>
                <w:color w:val="auto"/>
                <w:szCs w:val="21"/>
                <w:highlight w:val="none"/>
              </w:rPr>
            </w:pPr>
            <w:r>
              <w:rPr>
                <w:rFonts w:hint="eastAsia"/>
                <w:color w:val="auto"/>
                <w:highlight w:val="none"/>
              </w:rPr>
              <w:t>投标文件的应答</w:t>
            </w:r>
          </w:p>
        </w:tc>
        <w:tc>
          <w:tcPr>
            <w:tcW w:w="1942" w:type="dxa"/>
            <w:tcBorders>
              <w:left w:val="single" w:color="auto" w:sz="4" w:space="0"/>
            </w:tcBorders>
            <w:vAlign w:val="center"/>
          </w:tcPr>
          <w:p w14:paraId="1A75521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650012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134CED1">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72F4EE6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Pr>
          <w:p w14:paraId="1916A6B7">
            <w:pPr>
              <w:shd w:val="clear"/>
              <w:adjustRightInd w:val="0"/>
              <w:snapToGrid w:val="0"/>
              <w:spacing w:before="50" w:line="360" w:lineRule="auto"/>
              <w:rPr>
                <w:color w:val="auto"/>
                <w:highlight w:val="none"/>
              </w:rPr>
            </w:pPr>
          </w:p>
        </w:tc>
        <w:tc>
          <w:tcPr>
            <w:tcW w:w="2082" w:type="dxa"/>
            <w:tcBorders>
              <w:right w:val="single" w:color="auto" w:sz="4" w:space="0"/>
            </w:tcBorders>
          </w:tcPr>
          <w:p w14:paraId="4A927E2C">
            <w:pPr>
              <w:shd w:val="clear"/>
              <w:adjustRightInd w:val="0"/>
              <w:snapToGrid w:val="0"/>
              <w:spacing w:before="50" w:line="360" w:lineRule="auto"/>
              <w:rPr>
                <w:color w:val="auto"/>
                <w:highlight w:val="none"/>
              </w:rPr>
            </w:pPr>
          </w:p>
        </w:tc>
        <w:tc>
          <w:tcPr>
            <w:tcW w:w="1942" w:type="dxa"/>
            <w:tcBorders>
              <w:left w:val="single" w:color="auto" w:sz="4" w:space="0"/>
            </w:tcBorders>
          </w:tcPr>
          <w:p w14:paraId="1820145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0F449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F8215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3E2262C7">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558B3E6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766C2B9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629D252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384A37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09CF42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56B6E87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59FEBC1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1D8DC89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51390A83">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4720EE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DCFE03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B11CF44">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1BB843D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504ECF02">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77902AF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404D9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5E3CC6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658970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2D84DDA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27A4BD1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299AA7D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24AE5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7D10A9E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44FC49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65AEF8F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082" w:type="dxa"/>
            <w:tcBorders>
              <w:right w:val="single" w:color="auto" w:sz="4" w:space="0"/>
            </w:tcBorders>
            <w:vAlign w:val="center"/>
          </w:tcPr>
          <w:p w14:paraId="03B4A1A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42" w:type="dxa"/>
            <w:tcBorders>
              <w:left w:val="single" w:color="auto" w:sz="4" w:space="0"/>
            </w:tcBorders>
            <w:vAlign w:val="center"/>
          </w:tcPr>
          <w:p w14:paraId="66FCB89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6A1DD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1FEE35C">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1F5E070">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vAlign w:val="center"/>
          </w:tcPr>
          <w:p w14:paraId="0C2DDE5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4024" w:type="dxa"/>
            <w:gridSpan w:val="2"/>
            <w:vAlign w:val="center"/>
          </w:tcPr>
          <w:p w14:paraId="7D4BB25E">
            <w:pPr>
              <w:shd w:val="clear"/>
              <w:adjustRightInd w:val="0"/>
              <w:snapToGrid w:val="0"/>
              <w:spacing w:before="50" w:line="360" w:lineRule="auto"/>
              <w:ind w:firstLine="422" w:firstLineChars="200"/>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投标人保证：除本合同条款偏离表列出的偏离外，我单位对招标文件的其他商务、合同条款完全响应，无偏离。</w:t>
            </w:r>
          </w:p>
        </w:tc>
      </w:tr>
    </w:tbl>
    <w:p w14:paraId="6E9B6C19">
      <w:pPr>
        <w:shd w:val="clear"/>
        <w:adjustRightInd w:val="0"/>
        <w:snapToGrid w:val="0"/>
        <w:spacing w:before="50" w:line="360" w:lineRule="auto"/>
        <w:ind w:left="-88" w:leftChars="-42"/>
        <w:rPr>
          <w:rFonts w:ascii="宋体" w:hAnsi="宋体"/>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：（1）</w:t>
      </w:r>
      <w:r>
        <w:rPr>
          <w:rFonts w:hint="eastAsia" w:ascii="宋体" w:hAnsi="宋体"/>
          <w:color w:val="auto"/>
          <w:szCs w:val="21"/>
          <w:highlight w:val="none"/>
        </w:rPr>
        <w:t>投标人应根据招标文件第六章</w:t>
      </w:r>
      <w:r>
        <w:rPr>
          <w:rFonts w:hint="eastAsia" w:ascii="华文宋体" w:hAnsi="华文宋体" w:eastAsia="华文宋体"/>
          <w:color w:val="auto"/>
          <w:szCs w:val="21"/>
          <w:highlight w:val="none"/>
        </w:rPr>
        <w:t>“</w:t>
      </w:r>
      <w:r>
        <w:rPr>
          <w:rFonts w:hint="eastAsia" w:ascii="宋体" w:hAnsi="宋体"/>
          <w:color w:val="auto"/>
          <w:szCs w:val="21"/>
          <w:highlight w:val="none"/>
        </w:rPr>
        <w:t>政府采购合同</w:t>
      </w:r>
      <w:r>
        <w:rPr>
          <w:rFonts w:hint="eastAsia" w:ascii="华文宋体" w:hAnsi="华文宋体" w:eastAsia="华文宋体"/>
          <w:color w:val="auto"/>
          <w:szCs w:val="21"/>
          <w:highlight w:val="none"/>
        </w:rPr>
        <w:t>”</w:t>
      </w:r>
      <w:r>
        <w:rPr>
          <w:rFonts w:hint="eastAsia" w:ascii="宋体" w:hAnsi="宋体"/>
          <w:color w:val="auto"/>
          <w:szCs w:val="21"/>
          <w:highlight w:val="none"/>
        </w:rPr>
        <w:t>填写本表；</w:t>
      </w:r>
    </w:p>
    <w:p w14:paraId="2C8BB920">
      <w:pPr>
        <w:shd w:val="clear"/>
        <w:adjustRightInd w:val="0"/>
        <w:snapToGrid w:val="0"/>
        <w:spacing w:before="50" w:line="360" w:lineRule="auto"/>
        <w:ind w:left="-88" w:leftChars="-42" w:firstLine="420" w:firstLineChars="200"/>
        <w:rPr>
          <w:rFonts w:ascii="宋体" w:hAnsi="宋体"/>
          <w:b/>
          <w:color w:val="auto"/>
          <w:szCs w:val="21"/>
          <w:highlight w:val="none"/>
        </w:rPr>
      </w:pPr>
      <w:r>
        <w:rPr>
          <w:rFonts w:hint="eastAsia" w:asciiTheme="minorEastAsia" w:hAnsiTheme="minorEastAsia" w:eastAsiaTheme="minorEastAsia"/>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w:t>
      </w:r>
    </w:p>
    <w:p w14:paraId="6E4B7BC7">
      <w:pPr>
        <w:shd w:val="clear"/>
        <w:adjustRightInd w:val="0"/>
        <w:snapToGrid w:val="0"/>
        <w:spacing w:before="50" w:line="360" w:lineRule="auto"/>
        <w:ind w:left="-88" w:leftChars="-42" w:firstLine="420" w:firstLineChars="200"/>
        <w:rPr>
          <w:rFonts w:ascii="宋体" w:hAnsi="宋体"/>
          <w:color w:val="auto"/>
          <w:szCs w:val="21"/>
          <w:highlight w:val="none"/>
        </w:rPr>
      </w:pPr>
      <w:r>
        <w:rPr>
          <w:rFonts w:hint="eastAsia" w:asciiTheme="minorEastAsia" w:hAnsiTheme="minorEastAsia" w:eastAsiaTheme="minorEastAsia"/>
          <w:color w:val="auto"/>
          <w:szCs w:val="21"/>
          <w:highlight w:val="none"/>
        </w:rPr>
        <w:t>（3）</w:t>
      </w:r>
      <w:r>
        <w:rPr>
          <w:rFonts w:hint="eastAsia" w:ascii="宋体" w:hAnsi="宋体"/>
          <w:color w:val="auto"/>
          <w:szCs w:val="21"/>
          <w:highlight w:val="none"/>
        </w:rPr>
        <w:t>如不提供此表，则视为投标人不满足招标文件第六章的所有条款要求，</w:t>
      </w:r>
      <w:r>
        <w:rPr>
          <w:rFonts w:hint="eastAsia" w:asciiTheme="minorEastAsia" w:hAnsiTheme="minorEastAsia" w:eastAsiaTheme="minorEastAsia"/>
          <w:color w:val="auto"/>
          <w:szCs w:val="21"/>
          <w:highlight w:val="none"/>
        </w:rPr>
        <w:t>其</w:t>
      </w:r>
      <w:r>
        <w:rPr>
          <w:rFonts w:hint="eastAsia" w:asciiTheme="minorEastAsia" w:hAnsiTheme="minorEastAsia" w:eastAsiaTheme="minorEastAsia"/>
          <w:b/>
          <w:color w:val="auto"/>
          <w:szCs w:val="21"/>
          <w:highlight w:val="none"/>
        </w:rPr>
        <w:t>投标无效</w:t>
      </w:r>
      <w:r>
        <w:rPr>
          <w:rFonts w:hint="eastAsia" w:ascii="宋体" w:hAnsi="宋体"/>
          <w:color w:val="auto"/>
          <w:szCs w:val="21"/>
          <w:highlight w:val="none"/>
        </w:rPr>
        <w:t>。</w:t>
      </w:r>
    </w:p>
    <w:p w14:paraId="29544D01">
      <w:pPr>
        <w:shd w:val="clear"/>
        <w:adjustRightInd w:val="0"/>
        <w:snapToGrid w:val="0"/>
        <w:spacing w:before="50" w:line="360" w:lineRule="auto"/>
        <w:ind w:left="-88" w:leftChars="-42" w:firstLine="420" w:firstLineChars="200"/>
        <w:rPr>
          <w:rFonts w:ascii="宋体" w:hAnsi="宋体"/>
          <w:color w:val="auto"/>
          <w:szCs w:val="21"/>
          <w:highlight w:val="none"/>
        </w:rPr>
      </w:pPr>
      <w:r>
        <w:rPr>
          <w:rFonts w:hint="eastAsia" w:asciiTheme="minorEastAsia" w:hAnsiTheme="minorEastAsia" w:eastAsiaTheme="minorEastAsia"/>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1BF5C032">
      <w:pPr>
        <w:shd w:val="clear"/>
        <w:adjustRightInd w:val="0"/>
        <w:snapToGrid w:val="0"/>
        <w:spacing w:before="50" w:line="360" w:lineRule="auto"/>
        <w:rPr>
          <w:rFonts w:asciiTheme="minorEastAsia" w:hAnsiTheme="minorEastAsia" w:eastAsiaTheme="minorEastAsia"/>
          <w:color w:val="auto"/>
          <w:szCs w:val="21"/>
          <w:highlight w:val="none"/>
        </w:rPr>
      </w:pPr>
    </w:p>
    <w:p w14:paraId="67DF9951">
      <w:pPr>
        <w:shd w:val="clear"/>
        <w:adjustRightInd w:val="0"/>
        <w:snapToGrid w:val="0"/>
        <w:spacing w:before="50" w:line="360" w:lineRule="auto"/>
        <w:rPr>
          <w:rFonts w:ascii="宋体" w:hAnsi="宋体"/>
          <w:color w:val="auto"/>
          <w:szCs w:val="21"/>
          <w:highlight w:val="none"/>
        </w:rPr>
      </w:pPr>
    </w:p>
    <w:p w14:paraId="5ACC4CFA">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8E1E732">
      <w:pPr>
        <w:shd w:val="clear"/>
        <w:adjustRightInd w:val="0"/>
        <w:snapToGrid w:val="0"/>
        <w:spacing w:before="50"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508F1AE9">
      <w:pPr>
        <w:shd w:val="clear"/>
        <w:adjustRightInd w:val="0"/>
        <w:snapToGrid w:val="0"/>
        <w:spacing w:before="50" w:line="360" w:lineRule="auto"/>
        <w:rPr>
          <w:rFonts w:ascii="黑体" w:hAnsi="宋体" w:eastAsia="黑体"/>
          <w:b/>
          <w:bCs/>
          <w:color w:val="auto"/>
          <w:sz w:val="28"/>
          <w:szCs w:val="28"/>
          <w:highlight w:val="none"/>
        </w:rPr>
      </w:pPr>
      <w:r>
        <w:rPr>
          <w:rFonts w:hint="eastAsia" w:ascii="宋体" w:hAnsi="宋体"/>
          <w:color w:val="auto"/>
          <w:szCs w:val="21"/>
          <w:highlight w:val="none"/>
        </w:rPr>
        <w:t>日       期：年月日</w:t>
      </w:r>
      <w:r>
        <w:rPr>
          <w:rFonts w:ascii="黑体" w:hAnsi="宋体" w:eastAsia="黑体"/>
          <w:color w:val="auto"/>
          <w:sz w:val="28"/>
          <w:szCs w:val="28"/>
          <w:highlight w:val="none"/>
        </w:rPr>
        <w:br w:type="page"/>
      </w:r>
    </w:p>
    <w:p w14:paraId="15F90DB3">
      <w:pPr>
        <w:pStyle w:val="4"/>
        <w:shd w:val="clear"/>
        <w:adjustRightInd w:val="0"/>
        <w:snapToGrid w:val="0"/>
        <w:spacing w:before="156" w:beforeLines="50" w:after="0" w:line="360" w:lineRule="auto"/>
        <w:jc w:val="center"/>
        <w:rPr>
          <w:rFonts w:ascii="黑体" w:hAnsi="宋体" w:eastAsia="黑体"/>
          <w:color w:val="auto"/>
          <w:sz w:val="28"/>
          <w:szCs w:val="28"/>
          <w:highlight w:val="none"/>
        </w:rPr>
      </w:pPr>
      <w:bookmarkStart w:id="126" w:name="_Toc11542"/>
      <w:bookmarkStart w:id="127" w:name="_Toc6774"/>
      <w:bookmarkStart w:id="128" w:name="_Toc4287"/>
      <w:bookmarkStart w:id="129" w:name="_Toc6624"/>
      <w:r>
        <w:rPr>
          <w:rFonts w:hint="eastAsia" w:ascii="黑体" w:hAnsi="宋体" w:eastAsia="黑体"/>
          <w:color w:val="auto"/>
          <w:sz w:val="28"/>
          <w:szCs w:val="28"/>
          <w:highlight w:val="none"/>
        </w:rPr>
        <w:t>九、采购需求偏离表</w:t>
      </w:r>
      <w:bookmarkEnd w:id="126"/>
      <w:bookmarkEnd w:id="127"/>
      <w:bookmarkEnd w:id="128"/>
      <w:bookmarkEnd w:id="129"/>
    </w:p>
    <w:p w14:paraId="07E8AFDC">
      <w:pPr>
        <w:shd w:val="clear"/>
        <w:adjustRightInd w:val="0"/>
        <w:snapToGrid w:val="0"/>
        <w:spacing w:before="156" w:beforeLines="50" w:line="360" w:lineRule="auto"/>
        <w:rPr>
          <w:rFonts w:asciiTheme="minorEastAsia" w:hAnsiTheme="minorEastAsia" w:eastAsiaTheme="minorEastAsia"/>
          <w:color w:val="auto"/>
          <w:szCs w:val="21"/>
          <w:highlight w:val="none"/>
          <w:u w:val="single"/>
        </w:rPr>
      </w:pPr>
      <w:r>
        <w:rPr>
          <w:rFonts w:hint="eastAsia" w:ascii="宋体" w:hAnsi="宋体"/>
          <w:color w:val="auto"/>
          <w:spacing w:val="28"/>
          <w:szCs w:val="21"/>
          <w:highlight w:val="none"/>
        </w:rPr>
        <w:t>采购代理编号</w:t>
      </w:r>
      <w:r>
        <w:rPr>
          <w:rFonts w:hint="eastAsia" w:ascii="宋体" w:hAnsi="宋体"/>
          <w:color w:val="auto"/>
          <w:szCs w:val="21"/>
          <w:highlight w:val="none"/>
        </w:rPr>
        <w:t>:</w:t>
      </w: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color w:val="auto"/>
          <w:szCs w:val="21"/>
          <w:highlight w:val="none"/>
          <w:u w:val="single"/>
          <w:lang w:val="en-US" w:eastAsia="zh-CN"/>
        </w:rPr>
        <w:t xml:space="preserve">                 </w:t>
      </w:r>
    </w:p>
    <w:p w14:paraId="19EA4CE9">
      <w:pPr>
        <w:shd w:val="clear"/>
        <w:adjustRightInd w:val="0"/>
        <w:snapToGrid w:val="0"/>
        <w:spacing w:before="156" w:beforeLines="50" w:line="360" w:lineRule="auto"/>
        <w:rPr>
          <w:rFonts w:hint="default" w:ascii="宋体" w:hAnsi="宋体" w:eastAsiaTheme="minorEastAsia"/>
          <w:color w:val="auto"/>
          <w:szCs w:val="21"/>
          <w:highlight w:val="none"/>
          <w:u w:val="singl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66E6D8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3896D4D6">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bCs/>
                <w:color w:val="auto"/>
                <w:szCs w:val="21"/>
                <w:highlight w:val="none"/>
              </w:rPr>
              <w:t>序</w:t>
            </w:r>
            <w:r>
              <w:rPr>
                <w:rFonts w:hint="eastAsia" w:asciiTheme="minorEastAsia" w:hAnsiTheme="minorEastAsia" w:eastAsiaTheme="minorEastAsia"/>
                <w:color w:val="auto"/>
                <w:szCs w:val="21"/>
                <w:highlight w:val="none"/>
              </w:rPr>
              <w:t>号</w:t>
            </w:r>
          </w:p>
        </w:tc>
        <w:tc>
          <w:tcPr>
            <w:tcW w:w="2410" w:type="dxa"/>
            <w:vAlign w:val="center"/>
          </w:tcPr>
          <w:p w14:paraId="21028F6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招标文件章节</w:t>
            </w:r>
            <w:r>
              <w:rPr>
                <w:rFonts w:hint="eastAsia" w:asciiTheme="minorEastAsia" w:hAnsiTheme="minorEastAsia" w:eastAsiaTheme="minorEastAsia"/>
                <w:bCs/>
                <w:color w:val="auto"/>
                <w:szCs w:val="21"/>
                <w:highlight w:val="none"/>
              </w:rPr>
              <w:t>条</w:t>
            </w:r>
            <w:r>
              <w:rPr>
                <w:rFonts w:hint="eastAsia" w:asciiTheme="minorEastAsia" w:hAnsiTheme="minorEastAsia" w:eastAsiaTheme="minorEastAsia"/>
                <w:color w:val="auto"/>
                <w:szCs w:val="21"/>
                <w:highlight w:val="none"/>
              </w:rPr>
              <w:t>款号</w:t>
            </w:r>
          </w:p>
        </w:tc>
        <w:tc>
          <w:tcPr>
            <w:tcW w:w="1985" w:type="dxa"/>
            <w:tcBorders>
              <w:right w:val="single" w:color="auto" w:sz="4" w:space="0"/>
            </w:tcBorders>
          </w:tcPr>
          <w:p w14:paraId="6D9CB9C2">
            <w:pPr>
              <w:shd w:val="clear"/>
              <w:adjustRightInd w:val="0"/>
              <w:snapToGrid w:val="0"/>
              <w:spacing w:before="50" w:line="360" w:lineRule="auto"/>
              <w:jc w:val="center"/>
              <w:rPr>
                <w:color w:val="auto"/>
                <w:highlight w:val="none"/>
              </w:rPr>
            </w:pPr>
            <w:r>
              <w:rPr>
                <w:rFonts w:hint="eastAsia"/>
                <w:color w:val="auto"/>
                <w:highlight w:val="none"/>
              </w:rPr>
              <w:t>招标文件要求</w:t>
            </w:r>
          </w:p>
        </w:tc>
        <w:tc>
          <w:tcPr>
            <w:tcW w:w="2126" w:type="dxa"/>
            <w:tcBorders>
              <w:left w:val="single" w:color="auto" w:sz="4" w:space="0"/>
            </w:tcBorders>
          </w:tcPr>
          <w:p w14:paraId="2F17DDE6">
            <w:pPr>
              <w:shd w:val="clear"/>
              <w:adjustRightInd w:val="0"/>
              <w:snapToGrid w:val="0"/>
              <w:spacing w:before="50" w:line="360" w:lineRule="auto"/>
              <w:jc w:val="center"/>
              <w:rPr>
                <w:color w:val="auto"/>
                <w:highlight w:val="none"/>
              </w:rPr>
            </w:pPr>
            <w:r>
              <w:rPr>
                <w:rFonts w:hint="eastAsia"/>
                <w:color w:val="auto"/>
                <w:highlight w:val="none"/>
              </w:rPr>
              <w:t>投标文件应答</w:t>
            </w:r>
          </w:p>
        </w:tc>
        <w:tc>
          <w:tcPr>
            <w:tcW w:w="1756" w:type="dxa"/>
            <w:vAlign w:val="center"/>
          </w:tcPr>
          <w:p w14:paraId="2232967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偏离说明</w:t>
            </w:r>
          </w:p>
        </w:tc>
      </w:tr>
      <w:tr w14:paraId="5C31EB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54A97B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30AF5A3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70018732">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5CBA493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641F224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26E9D2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37EA2E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72CA4177">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6E5D4E3B">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4B2B067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6A99D92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19677B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5DE7E8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CFD358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2847A03B">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636B31F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10BCBDC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19FCE3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C930E6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04C632A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399EC3D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6BCE8E4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0D10C655">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0D63C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8BB2DFF">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29773B3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0BA4047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126" w:type="dxa"/>
            <w:tcBorders>
              <w:left w:val="single" w:color="auto" w:sz="4" w:space="0"/>
            </w:tcBorders>
            <w:vAlign w:val="center"/>
          </w:tcPr>
          <w:p w14:paraId="2FBDF758">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756" w:type="dxa"/>
            <w:vAlign w:val="center"/>
          </w:tcPr>
          <w:p w14:paraId="31616C3D">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r>
      <w:tr w14:paraId="036FF5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0DE1E1E">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2410" w:type="dxa"/>
            <w:vAlign w:val="center"/>
          </w:tcPr>
          <w:p w14:paraId="4325BA29">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1985" w:type="dxa"/>
            <w:tcBorders>
              <w:right w:val="single" w:color="auto" w:sz="4" w:space="0"/>
            </w:tcBorders>
            <w:vAlign w:val="center"/>
          </w:tcPr>
          <w:p w14:paraId="3F94E11A">
            <w:pPr>
              <w:shd w:val="clear"/>
              <w:adjustRightInd w:val="0"/>
              <w:snapToGrid w:val="0"/>
              <w:spacing w:before="50" w:line="360" w:lineRule="auto"/>
              <w:ind w:left="-88" w:leftChars="-42"/>
              <w:jc w:val="center"/>
              <w:rPr>
                <w:rFonts w:asciiTheme="minorEastAsia" w:hAnsiTheme="minorEastAsia" w:eastAsiaTheme="minorEastAsia"/>
                <w:color w:val="auto"/>
                <w:szCs w:val="21"/>
                <w:highlight w:val="none"/>
              </w:rPr>
            </w:pPr>
          </w:p>
        </w:tc>
        <w:tc>
          <w:tcPr>
            <w:tcW w:w="3882" w:type="dxa"/>
            <w:gridSpan w:val="2"/>
            <w:tcBorders>
              <w:left w:val="single" w:color="auto" w:sz="4" w:space="0"/>
            </w:tcBorders>
            <w:vAlign w:val="center"/>
          </w:tcPr>
          <w:p w14:paraId="7BFA518A">
            <w:pPr>
              <w:shd w:val="clear"/>
              <w:adjustRightInd w:val="0"/>
              <w:snapToGrid w:val="0"/>
              <w:spacing w:before="50" w:line="360" w:lineRule="auto"/>
              <w:ind w:firstLine="422" w:firstLineChars="200"/>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投标人保证：除本采购需求偏离表列出的偏离外，我单位对招标文件的其他采购需求条款完全响应，无偏离。</w:t>
            </w:r>
          </w:p>
        </w:tc>
      </w:tr>
    </w:tbl>
    <w:p w14:paraId="51AE231A">
      <w:pPr>
        <w:shd w:val="clear"/>
        <w:adjustRightInd w:val="0"/>
        <w:snapToGrid w:val="0"/>
        <w:spacing w:before="50" w:line="360" w:lineRule="auto"/>
        <w:ind w:left="-88" w:leftChars="-42"/>
        <w:rPr>
          <w:rFonts w:asciiTheme="minorEastAsia" w:hAnsiTheme="minorEastAsia" w:eastAsiaTheme="minorEastAsia"/>
          <w:color w:val="auto"/>
          <w:szCs w:val="21"/>
          <w:highlight w:val="none"/>
        </w:rPr>
      </w:pPr>
      <w:r>
        <w:rPr>
          <w:rFonts w:hint="eastAsia" w:asciiTheme="minorEastAsia" w:hAnsiTheme="minorEastAsia" w:eastAsiaTheme="minorEastAsia"/>
          <w:b/>
          <w:color w:val="auto"/>
          <w:szCs w:val="21"/>
          <w:highlight w:val="none"/>
        </w:rPr>
        <w:t>备注</w:t>
      </w:r>
      <w:r>
        <w:rPr>
          <w:rFonts w:hint="eastAsia" w:asciiTheme="minorEastAsia" w:hAnsiTheme="minorEastAsia" w:eastAsiaTheme="minorEastAsia"/>
          <w:color w:val="auto"/>
          <w:szCs w:val="21"/>
          <w:highlight w:val="none"/>
        </w:rPr>
        <w:t>：（1）投标人应根据招标文件第五章“采购需求”填写本表；</w:t>
      </w:r>
    </w:p>
    <w:p w14:paraId="0D789F9F">
      <w:pPr>
        <w:shd w:val="clear"/>
        <w:adjustRightInd w:val="0"/>
        <w:snapToGrid w:val="0"/>
        <w:spacing w:before="50" w:line="360" w:lineRule="auto"/>
        <w:ind w:left="-88" w:leftChars="-42" w:firstLine="420" w:firstLineChars="200"/>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（2）</w:t>
      </w:r>
      <w:r>
        <w:rPr>
          <w:rFonts w:hint="eastAsia" w:asciiTheme="minorEastAsia" w:hAnsiTheme="minorEastAsia" w:eastAsiaTheme="minorEastAsia"/>
          <w:b/>
          <w:color w:val="auto"/>
          <w:szCs w:val="21"/>
          <w:highlight w:val="none"/>
        </w:rPr>
        <w:t>投标人如果对招标文件第五章“采购需求”的响应有偏离，应将偏离条款逐条如实应答，并作出说明；</w:t>
      </w:r>
    </w:p>
    <w:p w14:paraId="7469FC7E">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（3）如不提供此表，则视为投标人不满足招标文件第五章的所有条款要求，其</w:t>
      </w:r>
      <w:r>
        <w:rPr>
          <w:rFonts w:hint="eastAsia" w:asciiTheme="minorEastAsia" w:hAnsiTheme="minorEastAsia" w:eastAsiaTheme="minorEastAsia"/>
          <w:b/>
          <w:color w:val="auto"/>
          <w:szCs w:val="21"/>
          <w:highlight w:val="none"/>
        </w:rPr>
        <w:t>投标无效</w:t>
      </w:r>
      <w:r>
        <w:rPr>
          <w:rFonts w:hint="eastAsia" w:asciiTheme="minorEastAsia" w:hAnsiTheme="minorEastAsia" w:eastAsiaTheme="minorEastAsia"/>
          <w:color w:val="auto"/>
          <w:szCs w:val="21"/>
          <w:highlight w:val="none"/>
        </w:rPr>
        <w:t>。</w:t>
      </w:r>
    </w:p>
    <w:p w14:paraId="61ECCDDB">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2C46B862">
      <w:pPr>
        <w:shd w:val="clear"/>
        <w:adjustRightInd w:val="0"/>
        <w:snapToGrid w:val="0"/>
        <w:spacing w:before="50" w:line="360" w:lineRule="auto"/>
        <w:ind w:left="-88" w:leftChars="-42" w:firstLine="420" w:firstLineChars="2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（5）本表偏离表与本章第七节“采购需求响应”不一致时，以“采购需求响应”为准。</w:t>
      </w:r>
    </w:p>
    <w:p w14:paraId="64CDEC0E">
      <w:pPr>
        <w:shd w:val="clear"/>
        <w:adjustRightInd w:val="0"/>
        <w:snapToGrid w:val="0"/>
        <w:spacing w:before="50" w:line="360" w:lineRule="auto"/>
        <w:rPr>
          <w:rFonts w:asciiTheme="minorEastAsia" w:hAnsiTheme="minorEastAsia" w:eastAsiaTheme="minorEastAsia"/>
          <w:color w:val="auto"/>
          <w:szCs w:val="21"/>
          <w:highlight w:val="none"/>
        </w:rPr>
      </w:pPr>
    </w:p>
    <w:p w14:paraId="0F889382">
      <w:pPr>
        <w:shd w:val="clear"/>
        <w:adjustRightInd w:val="0"/>
        <w:snapToGrid w:val="0"/>
        <w:spacing w:before="50" w:line="360" w:lineRule="auto"/>
        <w:rPr>
          <w:rFonts w:ascii="宋体" w:hAnsi="宋体"/>
          <w:color w:val="auto"/>
          <w:szCs w:val="21"/>
          <w:highlight w:val="none"/>
        </w:rPr>
      </w:pPr>
    </w:p>
    <w:p w14:paraId="0563EDC8">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23B62A0B">
      <w:pPr>
        <w:shd w:val="clear"/>
        <w:adjustRightInd w:val="0"/>
        <w:snapToGrid w:val="0"/>
        <w:spacing w:before="50"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或其授权的代理人（电子签字或电子印章）：</w:t>
      </w:r>
    </w:p>
    <w:p w14:paraId="01618667">
      <w:pPr>
        <w:shd w:val="clea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期：年月日</w:t>
      </w:r>
    </w:p>
    <w:p w14:paraId="4E6BFE86">
      <w:pPr>
        <w:pStyle w:val="4"/>
        <w:shd w:val="clear"/>
        <w:adjustRightInd w:val="0"/>
        <w:snapToGrid w:val="0"/>
        <w:spacing w:before="0" w:after="0" w:line="360" w:lineRule="auto"/>
        <w:jc w:val="center"/>
        <w:rPr>
          <w:rFonts w:ascii="宋体" w:hAnsi="宋体"/>
          <w:color w:val="auto"/>
          <w:szCs w:val="21"/>
          <w:highlight w:val="none"/>
        </w:rPr>
        <w:sectPr>
          <w:pgSz w:w="11906" w:h="16838"/>
          <w:pgMar w:top="1474" w:right="1474" w:bottom="1474" w:left="1474" w:header="851" w:footer="992" w:gutter="0"/>
          <w:pgBorders>
            <w:top w:val="none" w:sz="0" w:space="0"/>
            <w:left w:val="none" w:sz="0" w:space="0"/>
            <w:bottom w:val="none" w:sz="0" w:space="0"/>
            <w:right w:val="none" w:sz="0" w:space="0"/>
          </w:pgBorders>
          <w:cols w:space="720" w:num="1"/>
          <w:docGrid w:type="lines" w:linePitch="312" w:charSpace="0"/>
        </w:sectPr>
      </w:pPr>
      <w:r>
        <w:rPr>
          <w:rFonts w:ascii="宋体" w:hAnsi="宋体"/>
          <w:color w:val="auto"/>
          <w:szCs w:val="21"/>
          <w:highlight w:val="none"/>
        </w:rPr>
        <w:br w:type="page"/>
      </w:r>
    </w:p>
    <w:p w14:paraId="12E27CD9">
      <w:pPr>
        <w:pStyle w:val="4"/>
        <w:shd w:val="clear"/>
        <w:adjustRightInd w:val="0"/>
        <w:snapToGrid w:val="0"/>
        <w:spacing w:before="0" w:after="0" w:line="360" w:lineRule="auto"/>
        <w:jc w:val="center"/>
        <w:rPr>
          <w:rFonts w:hint="eastAsia" w:ascii="宋体" w:hAnsi="宋体"/>
          <w:color w:val="auto"/>
          <w:szCs w:val="21"/>
          <w:highlight w:val="none"/>
        </w:rPr>
      </w:pPr>
      <w:bookmarkStart w:id="130" w:name="_Toc12256"/>
      <w:bookmarkStart w:id="131" w:name="_Toc29698"/>
      <w:bookmarkStart w:id="132" w:name="_Toc26854"/>
      <w:bookmarkStart w:id="133" w:name="_Toc13702"/>
    </w:p>
    <w:p w14:paraId="100C8E6C">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宋体" w:hAnsi="宋体"/>
          <w:color w:val="auto"/>
          <w:szCs w:val="21"/>
          <w:highlight w:val="none"/>
        </w:rPr>
        <w:t>十</w:t>
      </w:r>
      <w:r>
        <w:rPr>
          <w:rFonts w:hint="eastAsia" w:ascii="黑体" w:hAnsi="宋体" w:eastAsia="黑体"/>
          <w:color w:val="auto"/>
          <w:sz w:val="28"/>
          <w:szCs w:val="28"/>
          <w:highlight w:val="none"/>
        </w:rPr>
        <w:t>、享受政府采购政策优惠的证明资料</w:t>
      </w:r>
      <w:bookmarkEnd w:id="130"/>
      <w:bookmarkEnd w:id="131"/>
      <w:bookmarkEnd w:id="132"/>
      <w:bookmarkEnd w:id="133"/>
    </w:p>
    <w:p w14:paraId="0BF200F5">
      <w:pPr>
        <w:shd w:val="clear"/>
        <w:adjustRightInd w:val="0"/>
        <w:snapToGrid w:val="0"/>
        <w:spacing w:line="360" w:lineRule="auto"/>
        <w:rPr>
          <w:rFonts w:ascii="黑体" w:hAnsi="华文中宋" w:eastAsia="黑体" w:cs="宋体"/>
          <w:bCs/>
          <w:color w:val="auto"/>
          <w:spacing w:val="6"/>
          <w:kern w:val="0"/>
          <w:szCs w:val="21"/>
          <w:highlight w:val="none"/>
        </w:rPr>
      </w:pPr>
    </w:p>
    <w:p w14:paraId="6136BA70">
      <w:pPr>
        <w:shd w:val="clear"/>
        <w:adjustRightInd w:val="0"/>
        <w:snapToGrid w:val="0"/>
        <w:spacing w:line="360" w:lineRule="auto"/>
        <w:ind w:firstLine="444" w:firstLineChars="200"/>
        <w:rPr>
          <w:rFonts w:cs="宋体" w:asciiTheme="minorEastAsia" w:hAnsiTheme="minorEastAsia" w:eastAsiaTheme="minorEastAsia"/>
          <w:bCs/>
          <w:color w:val="auto"/>
          <w:spacing w:val="6"/>
          <w:kern w:val="0"/>
          <w:szCs w:val="21"/>
          <w:highlight w:val="none"/>
        </w:rPr>
      </w:pPr>
      <w:r>
        <w:rPr>
          <w:rFonts w:hint="eastAsia" w:cs="宋体" w:asciiTheme="minorEastAsia" w:hAnsiTheme="minorEastAsia" w:eastAsiaTheme="minorEastAsia"/>
          <w:bCs/>
          <w:color w:val="auto"/>
          <w:spacing w:val="6"/>
          <w:kern w:val="0"/>
          <w:szCs w:val="21"/>
          <w:highlight w:val="none"/>
        </w:rPr>
        <w:t>投标人符合第二章第33.6款要求的，应提供下列证明资料，并填写相关数据。否则，评审时不予以考虑。</w:t>
      </w:r>
    </w:p>
    <w:p w14:paraId="5CDABFF4">
      <w:pPr>
        <w:shd w:val="clear"/>
        <w:adjustRightInd w:val="0"/>
        <w:snapToGrid w:val="0"/>
        <w:spacing w:line="360" w:lineRule="auto"/>
        <w:rPr>
          <w:rFonts w:ascii="黑体" w:hAnsi="华文中宋" w:eastAsia="黑体" w:cs="宋体"/>
          <w:bCs/>
          <w:color w:val="auto"/>
          <w:spacing w:val="6"/>
          <w:kern w:val="0"/>
          <w:szCs w:val="21"/>
          <w:highlight w:val="none"/>
        </w:rPr>
      </w:pPr>
    </w:p>
    <w:p w14:paraId="079ADAFE">
      <w:pPr>
        <w:shd w:val="clear"/>
        <w:spacing w:before="68" w:line="219" w:lineRule="auto"/>
        <w:ind w:left="48"/>
        <w:outlineLvl w:val="2"/>
        <w:rPr>
          <w:rFonts w:ascii="黑体" w:hAnsi="黑体" w:eastAsia="黑体" w:cs="黑体"/>
          <w:color w:val="auto"/>
          <w:sz w:val="21"/>
          <w:szCs w:val="21"/>
          <w:highlight w:val="none"/>
        </w:rPr>
      </w:pPr>
      <w:r>
        <w:rPr>
          <w:rFonts w:ascii="黑体" w:hAnsi="黑体" w:eastAsia="黑体" w:cs="黑体"/>
          <w:color w:val="auto"/>
          <w:spacing w:val="-4"/>
          <w:sz w:val="21"/>
          <w:szCs w:val="21"/>
          <w:highlight w:val="none"/>
        </w:rPr>
        <w:t>附件 10-1</w:t>
      </w:r>
      <w:r>
        <w:rPr>
          <w:rFonts w:ascii="黑体" w:hAnsi="黑体" w:eastAsia="黑体" w:cs="黑体"/>
          <w:color w:val="auto"/>
          <w:spacing w:val="52"/>
          <w:sz w:val="21"/>
          <w:szCs w:val="21"/>
          <w:highlight w:val="none"/>
        </w:rPr>
        <w:t xml:space="preserve"> </w:t>
      </w:r>
      <w:r>
        <w:rPr>
          <w:rFonts w:ascii="黑体" w:hAnsi="黑体" w:eastAsia="黑体" w:cs="黑体"/>
          <w:color w:val="auto"/>
          <w:spacing w:val="-4"/>
          <w:sz w:val="21"/>
          <w:szCs w:val="21"/>
          <w:highlight w:val="none"/>
        </w:rPr>
        <w:t>中小企业声明函</w:t>
      </w:r>
    </w:p>
    <w:p w14:paraId="59326BBE">
      <w:pPr>
        <w:pStyle w:val="17"/>
        <w:shd w:val="clear"/>
        <w:spacing w:line="337" w:lineRule="auto"/>
        <w:rPr>
          <w:color w:val="auto"/>
          <w:highlight w:val="none"/>
        </w:rPr>
      </w:pPr>
    </w:p>
    <w:p w14:paraId="233933F3">
      <w:pPr>
        <w:shd w:val="clear"/>
        <w:spacing w:before="88" w:line="352" w:lineRule="auto"/>
        <w:ind w:left="3084" w:right="2785" w:hanging="320"/>
        <w:rPr>
          <w:rFonts w:ascii="宋体" w:hAnsi="宋体" w:eastAsia="宋体" w:cs="宋体"/>
          <w:color w:val="auto"/>
          <w:sz w:val="21"/>
          <w:szCs w:val="21"/>
          <w:highlight w:val="none"/>
        </w:rPr>
      </w:pPr>
      <w:bookmarkStart w:id="134" w:name="bookmark153"/>
      <w:bookmarkEnd w:id="134"/>
      <w:r>
        <w:rPr>
          <w:rFonts w:ascii="黑体" w:hAnsi="黑体" w:eastAsia="黑体" w:cs="黑体"/>
          <w:b/>
          <w:bCs/>
          <w:color w:val="auto"/>
          <w:spacing w:val="13"/>
          <w:sz w:val="27"/>
          <w:szCs w:val="27"/>
          <w:highlight w:val="none"/>
        </w:rPr>
        <w:t>中小企业声明函（货物类）</w:t>
      </w:r>
      <w:r>
        <w:rPr>
          <w:rFonts w:ascii="黑体" w:hAnsi="黑体" w:eastAsia="黑体" w:cs="黑体"/>
          <w:color w:val="auto"/>
          <w:spacing w:val="3"/>
          <w:sz w:val="27"/>
          <w:szCs w:val="27"/>
          <w:highlight w:val="none"/>
        </w:rPr>
        <w:t xml:space="preserve"> </w:t>
      </w:r>
      <w:r>
        <w:rPr>
          <w:rFonts w:ascii="宋体" w:hAnsi="宋体" w:eastAsia="宋体" w:cs="宋体"/>
          <w:b/>
          <w:bCs/>
          <w:color w:val="auto"/>
          <w:spacing w:val="6"/>
          <w:sz w:val="21"/>
          <w:szCs w:val="21"/>
          <w:highlight w:val="none"/>
        </w:rPr>
        <w:t>(不满足以下条件的无需填写)</w:t>
      </w:r>
    </w:p>
    <w:p w14:paraId="377B77BB">
      <w:pPr>
        <w:shd w:val="clear"/>
        <w:spacing w:before="126" w:line="406" w:lineRule="auto"/>
        <w:ind w:left="36" w:right="24" w:firstLine="424"/>
        <w:rPr>
          <w:rFonts w:ascii="宋体" w:hAnsi="宋体" w:eastAsia="宋体" w:cs="宋体"/>
          <w:color w:val="auto"/>
          <w:sz w:val="21"/>
          <w:szCs w:val="21"/>
          <w:highlight w:val="none"/>
        </w:rPr>
      </w:pPr>
      <w:r>
        <w:rPr>
          <w:rFonts w:ascii="宋体" w:hAnsi="宋体" w:eastAsia="宋体" w:cs="宋体"/>
          <w:color w:val="auto"/>
          <w:sz w:val="21"/>
          <w:szCs w:val="21"/>
          <w:highlight w:val="none"/>
        </w:rPr>
        <w:t>本公司（联合体）郑重声明，根据《政府采购促进中小企业发展管理办法》（财库﹝20</w:t>
      </w:r>
      <w:r>
        <w:rPr>
          <w:rFonts w:ascii="宋体" w:hAnsi="宋体" w:eastAsia="宋体" w:cs="宋体"/>
          <w:color w:val="auto"/>
          <w:spacing w:val="-1"/>
          <w:sz w:val="21"/>
          <w:szCs w:val="21"/>
          <w:highlight w:val="none"/>
        </w:rPr>
        <w:t>20﹞</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46 号）的规定，本公司（联合体）参加</w:t>
      </w:r>
      <w:r>
        <w:rPr>
          <w:rFonts w:ascii="宋体" w:hAnsi="宋体" w:eastAsia="宋体" w:cs="宋体"/>
          <w:color w:val="auto"/>
          <w:spacing w:val="-1"/>
          <w:sz w:val="21"/>
          <w:szCs w:val="21"/>
          <w:highlight w:val="none"/>
          <w:u w:val="single" w:color="auto"/>
        </w:rPr>
        <w:t>（单位名称）</w:t>
      </w:r>
      <w:r>
        <w:rPr>
          <w:rFonts w:ascii="宋体" w:hAnsi="宋体" w:eastAsia="宋体" w:cs="宋体"/>
          <w:color w:val="auto"/>
          <w:spacing w:val="-1"/>
          <w:sz w:val="21"/>
          <w:szCs w:val="21"/>
          <w:highlight w:val="none"/>
        </w:rPr>
        <w:t>的</w:t>
      </w:r>
      <w:r>
        <w:rPr>
          <w:rFonts w:ascii="宋体" w:hAnsi="宋体" w:eastAsia="宋体" w:cs="宋体"/>
          <w:color w:val="auto"/>
          <w:spacing w:val="-1"/>
          <w:sz w:val="21"/>
          <w:szCs w:val="21"/>
          <w:highlight w:val="none"/>
          <w:u w:val="single" w:color="auto"/>
        </w:rPr>
        <w:t>（项目名称）</w:t>
      </w:r>
      <w:r>
        <w:rPr>
          <w:rFonts w:ascii="宋体" w:hAnsi="宋体" w:eastAsia="宋体" w:cs="宋体"/>
          <w:color w:val="auto"/>
          <w:spacing w:val="-58"/>
          <w:sz w:val="21"/>
          <w:szCs w:val="21"/>
          <w:highlight w:val="none"/>
          <w:u w:val="single" w:color="auto"/>
        </w:rPr>
        <w:t xml:space="preserve"> </w:t>
      </w:r>
      <w:r>
        <w:rPr>
          <w:rFonts w:ascii="宋体" w:hAnsi="宋体" w:eastAsia="宋体" w:cs="宋体"/>
          <w:color w:val="auto"/>
          <w:spacing w:val="-1"/>
          <w:sz w:val="21"/>
          <w:szCs w:val="21"/>
          <w:highlight w:val="none"/>
        </w:rPr>
        <w:t>采购活动，提</w:t>
      </w:r>
      <w:r>
        <w:rPr>
          <w:rFonts w:ascii="宋体" w:hAnsi="宋体" w:eastAsia="宋体" w:cs="宋体"/>
          <w:color w:val="auto"/>
          <w:spacing w:val="-2"/>
          <w:sz w:val="21"/>
          <w:szCs w:val="21"/>
          <w:highlight w:val="none"/>
        </w:rPr>
        <w:t>供的货物全部</w:t>
      </w:r>
      <w:r>
        <w:rPr>
          <w:rFonts w:ascii="宋体" w:hAnsi="宋体" w:eastAsia="宋体" w:cs="宋体"/>
          <w:color w:val="auto"/>
          <w:sz w:val="21"/>
          <w:szCs w:val="21"/>
          <w:highlight w:val="none"/>
        </w:rPr>
        <w:t>由符合政策要求的中小企业制造。相关企业（含联合体中的中小企业、签订分包</w:t>
      </w:r>
      <w:r>
        <w:rPr>
          <w:rFonts w:ascii="宋体" w:hAnsi="宋体" w:eastAsia="宋体" w:cs="宋体"/>
          <w:color w:val="auto"/>
          <w:spacing w:val="-1"/>
          <w:sz w:val="21"/>
          <w:szCs w:val="21"/>
          <w:highlight w:val="none"/>
        </w:rPr>
        <w:t>意向协议的中小</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企业）的具体情况如下：</w:t>
      </w:r>
    </w:p>
    <w:p w14:paraId="09A47721">
      <w:pPr>
        <w:shd w:val="clear"/>
        <w:spacing w:before="26" w:line="348" w:lineRule="auto"/>
        <w:ind w:left="36" w:right="133" w:firstLine="439"/>
        <w:rPr>
          <w:rFonts w:ascii="宋体" w:hAnsi="宋体" w:eastAsia="宋体" w:cs="宋体"/>
          <w:color w:val="auto"/>
          <w:sz w:val="21"/>
          <w:szCs w:val="21"/>
          <w:highlight w:val="none"/>
        </w:rPr>
      </w:pPr>
      <w:r>
        <w:rPr>
          <w:rFonts w:ascii="宋体" w:hAnsi="宋体" w:eastAsia="宋体" w:cs="宋体"/>
          <w:color w:val="auto"/>
          <w:spacing w:val="-3"/>
          <w:sz w:val="21"/>
          <w:szCs w:val="21"/>
          <w:highlight w:val="none"/>
        </w:rPr>
        <w:t xml:space="preserve">1. </w:t>
      </w:r>
      <w:r>
        <w:rPr>
          <w:rFonts w:ascii="宋体" w:hAnsi="宋体" w:eastAsia="宋体" w:cs="宋体"/>
          <w:color w:val="auto"/>
          <w:spacing w:val="-3"/>
          <w:sz w:val="21"/>
          <w:szCs w:val="21"/>
          <w:highlight w:val="none"/>
          <w:u w:val="single" w:color="auto"/>
        </w:rPr>
        <w:t>（标的名称</w:t>
      </w:r>
      <w:r>
        <w:rPr>
          <w:rFonts w:ascii="宋体" w:hAnsi="宋体" w:eastAsia="宋体" w:cs="宋体"/>
          <w:color w:val="auto"/>
          <w:spacing w:val="-5"/>
          <w:sz w:val="21"/>
          <w:szCs w:val="21"/>
          <w:highlight w:val="none"/>
          <w:u w:val="single" w:color="auto"/>
        </w:rPr>
        <w:t>）</w:t>
      </w:r>
      <w:r>
        <w:rPr>
          <w:rFonts w:ascii="宋体" w:hAnsi="宋体" w:eastAsia="宋体" w:cs="宋体"/>
          <w:color w:val="auto"/>
          <w:spacing w:val="29"/>
          <w:sz w:val="21"/>
          <w:szCs w:val="21"/>
          <w:highlight w:val="none"/>
          <w:u w:val="single" w:color="auto"/>
        </w:rPr>
        <w:t xml:space="preserve"> </w:t>
      </w:r>
      <w:r>
        <w:rPr>
          <w:rFonts w:ascii="宋体" w:hAnsi="宋体" w:eastAsia="宋体" w:cs="宋体"/>
          <w:color w:val="auto"/>
          <w:spacing w:val="-80"/>
          <w:sz w:val="21"/>
          <w:szCs w:val="21"/>
          <w:highlight w:val="none"/>
        </w:rPr>
        <w:t xml:space="preserve">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属于</w:t>
      </w:r>
      <w:r>
        <w:rPr>
          <w:rFonts w:ascii="宋体" w:hAnsi="宋体" w:eastAsia="宋体" w:cs="宋体"/>
          <w:color w:val="auto"/>
          <w:spacing w:val="-3"/>
          <w:sz w:val="21"/>
          <w:szCs w:val="21"/>
          <w:highlight w:val="none"/>
          <w:u w:val="single" w:color="auto"/>
        </w:rPr>
        <w:t>（</w:t>
      </w:r>
      <w:r>
        <w:rPr>
          <w:rFonts w:hint="eastAsia" w:ascii="宋体" w:hAnsi="宋体" w:cs="宋体"/>
          <w:color w:val="auto"/>
          <w:spacing w:val="-3"/>
          <w:sz w:val="21"/>
          <w:szCs w:val="21"/>
          <w:highlight w:val="none"/>
          <w:u w:val="single" w:color="auto"/>
          <w:lang w:eastAsia="zh-CN"/>
        </w:rPr>
        <w:t>招标文件</w:t>
      </w:r>
      <w:r>
        <w:rPr>
          <w:rFonts w:ascii="宋体" w:hAnsi="宋体" w:eastAsia="宋体" w:cs="宋体"/>
          <w:color w:val="auto"/>
          <w:spacing w:val="-3"/>
          <w:sz w:val="21"/>
          <w:szCs w:val="21"/>
          <w:highlight w:val="none"/>
          <w:u w:val="single" w:color="auto"/>
        </w:rPr>
        <w:t>中明确的所属行业）</w:t>
      </w:r>
      <w:r>
        <w:rPr>
          <w:rFonts w:ascii="宋体" w:hAnsi="宋体" w:eastAsia="宋体" w:cs="宋体"/>
          <w:color w:val="auto"/>
          <w:spacing w:val="-3"/>
          <w:sz w:val="21"/>
          <w:szCs w:val="21"/>
          <w:highlight w:val="none"/>
        </w:rPr>
        <w:t>行业；制造商为</w:t>
      </w:r>
      <w:r>
        <w:rPr>
          <w:rFonts w:ascii="宋体" w:hAnsi="宋体" w:eastAsia="宋体" w:cs="宋体"/>
          <w:color w:val="auto"/>
          <w:spacing w:val="-3"/>
          <w:sz w:val="21"/>
          <w:szCs w:val="21"/>
          <w:highlight w:val="none"/>
          <w:u w:val="single" w:color="auto"/>
        </w:rPr>
        <w:t>（企业名称</w:t>
      </w:r>
      <w:r>
        <w:rPr>
          <w:rFonts w:ascii="宋体" w:hAnsi="宋体" w:eastAsia="宋体" w:cs="宋体"/>
          <w:color w:val="auto"/>
          <w:spacing w:val="-5"/>
          <w:sz w:val="21"/>
          <w:szCs w:val="21"/>
          <w:highlight w:val="none"/>
          <w:u w:val="single" w:color="auto"/>
        </w:rPr>
        <w:t>）</w:t>
      </w:r>
      <w:r>
        <w:rPr>
          <w:rFonts w:ascii="宋体" w:hAnsi="宋体" w:eastAsia="宋体" w:cs="宋体"/>
          <w:color w:val="auto"/>
          <w:spacing w:val="-54"/>
          <w:sz w:val="21"/>
          <w:szCs w:val="21"/>
          <w:highlight w:val="none"/>
          <w:u w:val="single" w:color="auto"/>
        </w:rPr>
        <w:t xml:space="preserve"> </w:t>
      </w:r>
      <w:r>
        <w:rPr>
          <w:rFonts w:ascii="宋体" w:hAnsi="宋体" w:eastAsia="宋体" w:cs="宋体"/>
          <w:color w:val="auto"/>
          <w:spacing w:val="-5"/>
          <w:sz w:val="21"/>
          <w:szCs w:val="21"/>
          <w:highlight w:val="none"/>
        </w:rPr>
        <w:t>，</w:t>
      </w:r>
      <w:r>
        <w:rPr>
          <w:rFonts w:ascii="宋体" w:hAnsi="宋体" w:eastAsia="宋体" w:cs="宋体"/>
          <w:color w:val="auto"/>
          <w:spacing w:val="-3"/>
          <w:sz w:val="21"/>
          <w:szCs w:val="21"/>
          <w:highlight w:val="none"/>
        </w:rPr>
        <w:t>从</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业人员</w:t>
      </w:r>
      <w:r>
        <w:rPr>
          <w:rFonts w:ascii="宋体" w:hAnsi="宋体" w:eastAsia="宋体" w:cs="宋体"/>
          <w:color w:val="auto"/>
          <w:spacing w:val="-105"/>
          <w:sz w:val="21"/>
          <w:szCs w:val="21"/>
          <w:highlight w:val="none"/>
        </w:rPr>
        <w:t xml:space="preserve"> </w:t>
      </w:r>
      <w:r>
        <w:rPr>
          <w:rFonts w:ascii="宋体" w:hAnsi="宋体" w:eastAsia="宋体" w:cs="宋体"/>
          <w:color w:val="auto"/>
          <w:spacing w:val="20"/>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
          <w:sz w:val="21"/>
          <w:szCs w:val="21"/>
          <w:highlight w:val="none"/>
        </w:rPr>
        <w:t>人，营业收入为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8"/>
          <w:sz w:val="21"/>
          <w:szCs w:val="21"/>
          <w:highlight w:val="none"/>
        </w:rPr>
        <w:t xml:space="preserve"> </w:t>
      </w:r>
      <w:r>
        <w:rPr>
          <w:rFonts w:ascii="宋体" w:hAnsi="宋体" w:eastAsia="宋体" w:cs="宋体"/>
          <w:color w:val="auto"/>
          <w:spacing w:val="-1"/>
          <w:sz w:val="21"/>
          <w:szCs w:val="21"/>
          <w:highlight w:val="none"/>
        </w:rPr>
        <w:t>万元，资产总额为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1"/>
          <w:sz w:val="21"/>
          <w:szCs w:val="21"/>
          <w:highlight w:val="none"/>
        </w:rPr>
        <w:t>万元，</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（中型企业、小型企</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业、微型企业</w:t>
      </w:r>
      <w:r>
        <w:rPr>
          <w:rFonts w:ascii="宋体" w:hAnsi="宋体" w:eastAsia="宋体" w:cs="宋体"/>
          <w:color w:val="auto"/>
          <w:sz w:val="21"/>
          <w:szCs w:val="21"/>
          <w:highlight w:val="none"/>
          <w:u w:val="single" w:color="auto"/>
        </w:rPr>
        <w:t>）</w:t>
      </w:r>
      <w:r>
        <w:rPr>
          <w:rFonts w:ascii="宋体" w:hAnsi="宋体" w:eastAsia="宋体" w:cs="宋体"/>
          <w:color w:val="auto"/>
          <w:sz w:val="21"/>
          <w:szCs w:val="21"/>
          <w:highlight w:val="none"/>
        </w:rPr>
        <w:t>；</w:t>
      </w:r>
    </w:p>
    <w:p w14:paraId="6ED985A9">
      <w:pPr>
        <w:shd w:val="clear"/>
        <w:spacing w:before="219" w:line="348" w:lineRule="auto"/>
        <w:ind w:left="36" w:right="133" w:firstLine="426"/>
        <w:rPr>
          <w:rFonts w:ascii="宋体" w:hAnsi="宋体" w:eastAsia="宋体" w:cs="宋体"/>
          <w:color w:val="auto"/>
          <w:sz w:val="21"/>
          <w:szCs w:val="21"/>
          <w:highlight w:val="none"/>
        </w:rPr>
      </w:pPr>
      <w:r>
        <w:rPr>
          <w:rFonts w:ascii="宋体" w:hAnsi="宋体" w:eastAsia="宋体" w:cs="宋体"/>
          <w:color w:val="auto"/>
          <w:spacing w:val="-2"/>
          <w:sz w:val="21"/>
          <w:szCs w:val="21"/>
          <w:highlight w:val="none"/>
        </w:rPr>
        <w:t xml:space="preserve">2. </w:t>
      </w:r>
      <w:r>
        <w:rPr>
          <w:rFonts w:ascii="宋体" w:hAnsi="宋体" w:eastAsia="宋体" w:cs="宋体"/>
          <w:color w:val="auto"/>
          <w:spacing w:val="-2"/>
          <w:sz w:val="21"/>
          <w:szCs w:val="21"/>
          <w:highlight w:val="none"/>
          <w:u w:val="single" w:color="auto"/>
        </w:rPr>
        <w:t>（标的名称</w:t>
      </w:r>
      <w:r>
        <w:rPr>
          <w:rFonts w:ascii="宋体" w:hAnsi="宋体" w:eastAsia="宋体" w:cs="宋体"/>
          <w:color w:val="auto"/>
          <w:spacing w:val="-9"/>
          <w:sz w:val="21"/>
          <w:szCs w:val="21"/>
          <w:highlight w:val="none"/>
          <w:u w:val="single" w:color="auto"/>
        </w:rPr>
        <w:t>）</w:t>
      </w:r>
      <w:r>
        <w:rPr>
          <w:rFonts w:ascii="宋体" w:hAnsi="宋体" w:eastAsia="宋体" w:cs="宋体"/>
          <w:color w:val="auto"/>
          <w:spacing w:val="27"/>
          <w:sz w:val="21"/>
          <w:szCs w:val="21"/>
          <w:highlight w:val="none"/>
          <w:u w:val="single" w:color="auto"/>
        </w:rPr>
        <w:t xml:space="preserve"> </w:t>
      </w:r>
      <w:r>
        <w:rPr>
          <w:rFonts w:ascii="宋体" w:hAnsi="宋体" w:eastAsia="宋体" w:cs="宋体"/>
          <w:color w:val="auto"/>
          <w:spacing w:val="-80"/>
          <w:sz w:val="21"/>
          <w:szCs w:val="21"/>
          <w:highlight w:val="none"/>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w:t>
      </w:r>
      <w:r>
        <w:rPr>
          <w:rFonts w:hint="eastAsia" w:ascii="宋体" w:hAnsi="宋体" w:cs="宋体"/>
          <w:color w:val="auto"/>
          <w:spacing w:val="-2"/>
          <w:sz w:val="21"/>
          <w:szCs w:val="21"/>
          <w:highlight w:val="none"/>
          <w:u w:val="single" w:color="auto"/>
          <w:lang w:eastAsia="zh-CN"/>
        </w:rPr>
        <w:t>招标文件</w:t>
      </w:r>
      <w:r>
        <w:rPr>
          <w:rFonts w:ascii="宋体" w:hAnsi="宋体" w:eastAsia="宋体" w:cs="宋体"/>
          <w:color w:val="auto"/>
          <w:spacing w:val="-2"/>
          <w:sz w:val="21"/>
          <w:szCs w:val="21"/>
          <w:highlight w:val="none"/>
          <w:u w:val="single" w:color="auto"/>
        </w:rPr>
        <w:t>中明确的所属行业）</w:t>
      </w:r>
      <w:r>
        <w:rPr>
          <w:rFonts w:ascii="宋体" w:hAnsi="宋体" w:eastAsia="宋体" w:cs="宋体"/>
          <w:color w:val="auto"/>
          <w:spacing w:val="-2"/>
          <w:sz w:val="21"/>
          <w:szCs w:val="21"/>
          <w:highlight w:val="none"/>
        </w:rPr>
        <w:t>行业；制造商为</w:t>
      </w:r>
      <w:r>
        <w:rPr>
          <w:rFonts w:ascii="宋体" w:hAnsi="宋体" w:eastAsia="宋体" w:cs="宋体"/>
          <w:color w:val="auto"/>
          <w:spacing w:val="-3"/>
          <w:sz w:val="21"/>
          <w:szCs w:val="21"/>
          <w:highlight w:val="none"/>
          <w:u w:val="single" w:color="auto"/>
        </w:rPr>
        <w:t>（企业名称</w:t>
      </w:r>
      <w:r>
        <w:rPr>
          <w:rFonts w:ascii="宋体" w:hAnsi="宋体" w:eastAsia="宋体" w:cs="宋体"/>
          <w:color w:val="auto"/>
          <w:spacing w:val="-9"/>
          <w:sz w:val="21"/>
          <w:szCs w:val="21"/>
          <w:highlight w:val="none"/>
          <w:u w:val="single" w:color="auto"/>
        </w:rPr>
        <w:t>）</w:t>
      </w:r>
      <w:r>
        <w:rPr>
          <w:rFonts w:ascii="宋体" w:hAnsi="宋体" w:eastAsia="宋体" w:cs="宋体"/>
          <w:color w:val="auto"/>
          <w:spacing w:val="-54"/>
          <w:sz w:val="21"/>
          <w:szCs w:val="21"/>
          <w:highlight w:val="none"/>
          <w:u w:val="single" w:color="auto"/>
        </w:rPr>
        <w:t xml:space="preserve"> </w:t>
      </w:r>
      <w:r>
        <w:rPr>
          <w:rFonts w:ascii="宋体" w:hAnsi="宋体" w:eastAsia="宋体" w:cs="宋体"/>
          <w:color w:val="auto"/>
          <w:spacing w:val="-9"/>
          <w:sz w:val="21"/>
          <w:szCs w:val="21"/>
          <w:highlight w:val="none"/>
        </w:rPr>
        <w:t>，</w:t>
      </w:r>
      <w:r>
        <w:rPr>
          <w:rFonts w:ascii="宋体" w:hAnsi="宋体" w:eastAsia="宋体" w:cs="宋体"/>
          <w:color w:val="auto"/>
          <w:spacing w:val="-3"/>
          <w:sz w:val="21"/>
          <w:szCs w:val="21"/>
          <w:highlight w:val="none"/>
        </w:rPr>
        <w:t>从</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rPr>
        <w:t>业人员</w:t>
      </w:r>
      <w:r>
        <w:rPr>
          <w:rFonts w:ascii="宋体" w:hAnsi="宋体" w:eastAsia="宋体" w:cs="宋体"/>
          <w:color w:val="auto"/>
          <w:spacing w:val="-105"/>
          <w:sz w:val="21"/>
          <w:szCs w:val="21"/>
          <w:highlight w:val="none"/>
        </w:rPr>
        <w:t xml:space="preserve"> </w:t>
      </w:r>
      <w:r>
        <w:rPr>
          <w:rFonts w:ascii="宋体" w:hAnsi="宋体" w:eastAsia="宋体" w:cs="宋体"/>
          <w:color w:val="auto"/>
          <w:spacing w:val="20"/>
          <w:sz w:val="21"/>
          <w:szCs w:val="21"/>
          <w:highlight w:val="none"/>
          <w:u w:val="single" w:color="auto"/>
        </w:rPr>
        <w:t xml:space="preserve">     </w:t>
      </w:r>
      <w:r>
        <w:rPr>
          <w:rFonts w:ascii="宋体" w:hAnsi="宋体" w:eastAsia="宋体" w:cs="宋体"/>
          <w:color w:val="auto"/>
          <w:spacing w:val="-91"/>
          <w:sz w:val="21"/>
          <w:szCs w:val="21"/>
          <w:highlight w:val="none"/>
        </w:rPr>
        <w:t xml:space="preserve"> </w:t>
      </w:r>
      <w:r>
        <w:rPr>
          <w:rFonts w:ascii="宋体" w:hAnsi="宋体" w:eastAsia="宋体" w:cs="宋体"/>
          <w:color w:val="auto"/>
          <w:spacing w:val="-1"/>
          <w:sz w:val="21"/>
          <w:szCs w:val="21"/>
          <w:highlight w:val="none"/>
        </w:rPr>
        <w:t>人，营业收入为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8"/>
          <w:sz w:val="21"/>
          <w:szCs w:val="21"/>
          <w:highlight w:val="none"/>
        </w:rPr>
        <w:t xml:space="preserve"> </w:t>
      </w:r>
      <w:r>
        <w:rPr>
          <w:rFonts w:ascii="宋体" w:hAnsi="宋体" w:eastAsia="宋体" w:cs="宋体"/>
          <w:color w:val="auto"/>
          <w:spacing w:val="-1"/>
          <w:sz w:val="21"/>
          <w:szCs w:val="21"/>
          <w:highlight w:val="none"/>
        </w:rPr>
        <w:t>万元，资产总额为</w:t>
      </w:r>
      <w:r>
        <w:rPr>
          <w:rFonts w:ascii="宋体" w:hAnsi="宋体" w:eastAsia="宋体" w:cs="宋体"/>
          <w:color w:val="auto"/>
          <w:spacing w:val="-105"/>
          <w:sz w:val="21"/>
          <w:szCs w:val="21"/>
          <w:highlight w:val="none"/>
        </w:rPr>
        <w:t xml:space="preserve"> </w:t>
      </w:r>
      <w:r>
        <w:rPr>
          <w:rFonts w:ascii="宋体" w:hAnsi="宋体" w:eastAsia="宋体" w:cs="宋体"/>
          <w:color w:val="auto"/>
          <w:spacing w:val="17"/>
          <w:sz w:val="21"/>
          <w:szCs w:val="21"/>
          <w:highlight w:val="none"/>
          <w:u w:val="single" w:color="auto"/>
        </w:rPr>
        <w:t xml:space="preserve">      </w:t>
      </w:r>
      <w:r>
        <w:rPr>
          <w:rFonts w:ascii="宋体" w:hAnsi="宋体" w:eastAsia="宋体" w:cs="宋体"/>
          <w:color w:val="auto"/>
          <w:spacing w:val="-89"/>
          <w:sz w:val="21"/>
          <w:szCs w:val="21"/>
          <w:highlight w:val="none"/>
        </w:rPr>
        <w:t xml:space="preserve"> </w:t>
      </w:r>
      <w:r>
        <w:rPr>
          <w:rFonts w:ascii="宋体" w:hAnsi="宋体" w:eastAsia="宋体" w:cs="宋体"/>
          <w:color w:val="auto"/>
          <w:spacing w:val="-1"/>
          <w:sz w:val="21"/>
          <w:szCs w:val="21"/>
          <w:highlight w:val="none"/>
        </w:rPr>
        <w:t>万元，</w:t>
      </w:r>
      <w:r>
        <w:rPr>
          <w:rFonts w:ascii="宋体" w:hAnsi="宋体" w:eastAsia="宋体" w:cs="宋体"/>
          <w:color w:val="auto"/>
          <w:spacing w:val="-2"/>
          <w:sz w:val="21"/>
          <w:szCs w:val="21"/>
          <w:highlight w:val="none"/>
        </w:rPr>
        <w:t>属于</w:t>
      </w:r>
      <w:r>
        <w:rPr>
          <w:rFonts w:ascii="宋体" w:hAnsi="宋体" w:eastAsia="宋体" w:cs="宋体"/>
          <w:color w:val="auto"/>
          <w:spacing w:val="-2"/>
          <w:sz w:val="21"/>
          <w:szCs w:val="21"/>
          <w:highlight w:val="none"/>
          <w:u w:val="single" w:color="auto"/>
        </w:rPr>
        <w:t>（中型企业、小型企</w:t>
      </w:r>
      <w:r>
        <w:rPr>
          <w:rFonts w:ascii="宋体" w:hAnsi="宋体" w:eastAsia="宋体" w:cs="宋体"/>
          <w:color w:val="auto"/>
          <w:sz w:val="21"/>
          <w:szCs w:val="21"/>
          <w:highlight w:val="none"/>
        </w:rPr>
        <w:t xml:space="preserve"> </w:t>
      </w:r>
      <w:r>
        <w:rPr>
          <w:rFonts w:ascii="宋体" w:hAnsi="宋体" w:eastAsia="宋体" w:cs="宋体"/>
          <w:color w:val="auto"/>
          <w:spacing w:val="-1"/>
          <w:sz w:val="21"/>
          <w:szCs w:val="21"/>
          <w:highlight w:val="none"/>
          <w:u w:val="single" w:color="auto"/>
        </w:rPr>
        <w:t>业、微型企业</w:t>
      </w:r>
      <w:r>
        <w:rPr>
          <w:rFonts w:ascii="宋体" w:hAnsi="宋体" w:eastAsia="宋体" w:cs="宋体"/>
          <w:color w:val="auto"/>
          <w:sz w:val="21"/>
          <w:szCs w:val="21"/>
          <w:highlight w:val="none"/>
          <w:u w:val="single" w:color="auto"/>
        </w:rPr>
        <w:t>）</w:t>
      </w:r>
      <w:r>
        <w:rPr>
          <w:rFonts w:ascii="宋体" w:hAnsi="宋体" w:eastAsia="宋体" w:cs="宋体"/>
          <w:color w:val="auto"/>
          <w:sz w:val="21"/>
          <w:szCs w:val="21"/>
          <w:highlight w:val="none"/>
        </w:rPr>
        <w:t>；</w:t>
      </w:r>
    </w:p>
    <w:p w14:paraId="7809195B">
      <w:pPr>
        <w:shd w:val="clear"/>
        <w:spacing w:before="215" w:line="225" w:lineRule="auto"/>
        <w:ind w:left="473"/>
        <w:rPr>
          <w:rFonts w:ascii="宋体" w:hAnsi="宋体" w:eastAsia="宋体" w:cs="宋体"/>
          <w:color w:val="auto"/>
          <w:sz w:val="21"/>
          <w:szCs w:val="21"/>
          <w:highlight w:val="none"/>
        </w:rPr>
      </w:pPr>
      <w:r>
        <w:rPr>
          <w:rFonts w:ascii="宋体" w:hAnsi="宋体" w:eastAsia="宋体" w:cs="宋体"/>
          <w:color w:val="auto"/>
          <w:spacing w:val="39"/>
          <w:w w:val="153"/>
          <w:sz w:val="21"/>
          <w:szCs w:val="21"/>
          <w:highlight w:val="none"/>
        </w:rPr>
        <w:t>„„</w:t>
      </w:r>
    </w:p>
    <w:p w14:paraId="4AF5A88C">
      <w:pPr>
        <w:shd w:val="clear"/>
        <w:spacing w:before="213" w:line="403" w:lineRule="auto"/>
        <w:ind w:left="36" w:right="128" w:firstLine="447"/>
        <w:jc w:val="both"/>
        <w:rPr>
          <w:rFonts w:ascii="宋体" w:hAnsi="宋体" w:eastAsia="宋体" w:cs="宋体"/>
          <w:color w:val="auto"/>
          <w:sz w:val="21"/>
          <w:szCs w:val="21"/>
          <w:highlight w:val="none"/>
        </w:rPr>
      </w:pPr>
      <w:r>
        <w:rPr>
          <w:rFonts w:ascii="宋体" w:hAnsi="宋体" w:eastAsia="宋体" w:cs="宋体"/>
          <w:color w:val="auto"/>
          <w:spacing w:val="-1"/>
          <w:sz w:val="21"/>
          <w:szCs w:val="21"/>
          <w:highlight w:val="none"/>
        </w:rPr>
        <w:t>以上企业，不属于大企业的分支机构，不存在控股股东为大企业的情形，也不存在与大企业</w:t>
      </w:r>
      <w:r>
        <w:rPr>
          <w:rFonts w:ascii="宋体" w:hAnsi="宋体" w:eastAsia="宋体" w:cs="宋体"/>
          <w:color w:val="auto"/>
          <w:spacing w:val="11"/>
          <w:sz w:val="21"/>
          <w:szCs w:val="21"/>
          <w:highlight w:val="none"/>
        </w:rPr>
        <w:t xml:space="preserve"> </w:t>
      </w:r>
      <w:r>
        <w:rPr>
          <w:rFonts w:ascii="宋体" w:hAnsi="宋体" w:eastAsia="宋体" w:cs="宋体"/>
          <w:color w:val="auto"/>
          <w:sz w:val="21"/>
          <w:szCs w:val="21"/>
          <w:highlight w:val="none"/>
        </w:rPr>
        <w:t>的负责人为同一人的情形。本企业对上述声明内容的真实性负责。如有虚假，将</w:t>
      </w:r>
      <w:r>
        <w:rPr>
          <w:rFonts w:ascii="宋体" w:hAnsi="宋体" w:eastAsia="宋体" w:cs="宋体"/>
          <w:color w:val="auto"/>
          <w:spacing w:val="-1"/>
          <w:sz w:val="21"/>
          <w:szCs w:val="21"/>
          <w:highlight w:val="none"/>
        </w:rPr>
        <w:t>依法承担相应责</w:t>
      </w:r>
      <w:r>
        <w:rPr>
          <w:rFonts w:ascii="宋体" w:hAnsi="宋体" w:eastAsia="宋体" w:cs="宋体"/>
          <w:color w:val="auto"/>
          <w:sz w:val="21"/>
          <w:szCs w:val="21"/>
          <w:highlight w:val="none"/>
        </w:rPr>
        <w:t xml:space="preserve"> </w:t>
      </w:r>
      <w:r>
        <w:rPr>
          <w:rFonts w:ascii="宋体" w:hAnsi="宋体" w:eastAsia="宋体" w:cs="宋体"/>
          <w:color w:val="auto"/>
          <w:spacing w:val="-10"/>
          <w:sz w:val="21"/>
          <w:szCs w:val="21"/>
          <w:highlight w:val="none"/>
        </w:rPr>
        <w:t>任。</w:t>
      </w:r>
    </w:p>
    <w:p w14:paraId="142735B1">
      <w:pPr>
        <w:shd w:val="clear"/>
        <w:spacing w:before="29" w:line="400" w:lineRule="auto"/>
        <w:ind w:left="495" w:right="6685" w:hanging="32"/>
        <w:rPr>
          <w:rFonts w:ascii="宋体" w:hAnsi="宋体" w:eastAsia="宋体" w:cs="宋体"/>
          <w:color w:val="auto"/>
          <w:sz w:val="21"/>
          <w:szCs w:val="21"/>
          <w:highlight w:val="none"/>
        </w:rPr>
      </w:pPr>
      <w:r>
        <w:rPr>
          <w:rFonts w:ascii="宋体" w:hAnsi="宋体" w:eastAsia="宋体" w:cs="宋体"/>
          <w:color w:val="auto"/>
          <w:spacing w:val="-7"/>
          <w:sz w:val="21"/>
          <w:szCs w:val="21"/>
          <w:highlight w:val="none"/>
        </w:rPr>
        <w:t>企业名称（盖章</w:t>
      </w:r>
      <w:r>
        <w:rPr>
          <w:rFonts w:ascii="宋体" w:hAnsi="宋体" w:eastAsia="宋体" w:cs="宋体"/>
          <w:color w:val="auto"/>
          <w:spacing w:val="-4"/>
          <w:sz w:val="21"/>
          <w:szCs w:val="21"/>
          <w:highlight w:val="none"/>
        </w:rPr>
        <w:t>）：</w:t>
      </w:r>
      <w:r>
        <w:rPr>
          <w:rFonts w:ascii="宋体" w:hAnsi="宋体" w:eastAsia="宋体" w:cs="宋体"/>
          <w:color w:val="auto"/>
          <w:spacing w:val="1"/>
          <w:sz w:val="21"/>
          <w:szCs w:val="21"/>
          <w:highlight w:val="none"/>
        </w:rPr>
        <w:t xml:space="preserve"> </w:t>
      </w:r>
      <w:r>
        <w:rPr>
          <w:rFonts w:ascii="宋体" w:hAnsi="宋体" w:eastAsia="宋体" w:cs="宋体"/>
          <w:color w:val="auto"/>
          <w:spacing w:val="-25"/>
          <w:sz w:val="21"/>
          <w:szCs w:val="21"/>
          <w:highlight w:val="none"/>
        </w:rPr>
        <w:t>日</w:t>
      </w:r>
      <w:r>
        <w:rPr>
          <w:rFonts w:ascii="宋体" w:hAnsi="宋体" w:eastAsia="宋体" w:cs="宋体"/>
          <w:color w:val="auto"/>
          <w:spacing w:val="13"/>
          <w:sz w:val="21"/>
          <w:szCs w:val="21"/>
          <w:highlight w:val="none"/>
        </w:rPr>
        <w:t xml:space="preserve"> </w:t>
      </w:r>
      <w:r>
        <w:rPr>
          <w:rFonts w:ascii="宋体" w:hAnsi="宋体" w:eastAsia="宋体" w:cs="宋体"/>
          <w:color w:val="auto"/>
          <w:spacing w:val="-25"/>
          <w:sz w:val="21"/>
          <w:szCs w:val="21"/>
          <w:highlight w:val="none"/>
        </w:rPr>
        <w:t>期：</w:t>
      </w:r>
    </w:p>
    <w:p w14:paraId="0998B12A">
      <w:pPr>
        <w:shd w:val="clear"/>
        <w:spacing w:before="257" w:line="265" w:lineRule="auto"/>
        <w:ind w:left="39" w:right="128" w:firstLine="420"/>
        <w:jc w:val="both"/>
        <w:rPr>
          <w:rFonts w:ascii="宋体" w:hAnsi="宋体" w:eastAsia="宋体" w:cs="宋体"/>
          <w:color w:val="auto"/>
          <w:sz w:val="21"/>
          <w:szCs w:val="21"/>
          <w:highlight w:val="none"/>
        </w:rPr>
      </w:pPr>
      <w:r>
        <w:rPr>
          <w:rFonts w:ascii="宋体" w:hAnsi="宋体" w:eastAsia="宋体" w:cs="宋体"/>
          <w:color w:val="auto"/>
          <w:sz w:val="21"/>
          <w:szCs w:val="21"/>
          <w:highlight w:val="none"/>
        </w:rPr>
        <w:t>注：1.属于专门面向中小企业采购的政府采购货物类项目，投标人应按本声明函</w:t>
      </w:r>
      <w:r>
        <w:rPr>
          <w:rFonts w:ascii="宋体" w:hAnsi="宋体" w:eastAsia="宋体" w:cs="宋体"/>
          <w:color w:val="auto"/>
          <w:spacing w:val="-1"/>
          <w:sz w:val="21"/>
          <w:szCs w:val="21"/>
          <w:highlight w:val="none"/>
        </w:rPr>
        <w:t>内容和格式</w:t>
      </w:r>
      <w:r>
        <w:rPr>
          <w:rFonts w:ascii="宋体" w:hAnsi="宋体" w:eastAsia="宋体" w:cs="宋体"/>
          <w:color w:val="auto"/>
          <w:sz w:val="21"/>
          <w:szCs w:val="21"/>
          <w:highlight w:val="none"/>
        </w:rPr>
        <w:t xml:space="preserve"> 如实声明采购标的制造商的企业规模，未提供本声明函或不符合《政府采购</w:t>
      </w:r>
      <w:r>
        <w:rPr>
          <w:rFonts w:ascii="宋体" w:hAnsi="宋体" w:eastAsia="宋体" w:cs="宋体"/>
          <w:color w:val="auto"/>
          <w:spacing w:val="-1"/>
          <w:sz w:val="21"/>
          <w:szCs w:val="21"/>
          <w:highlight w:val="none"/>
        </w:rPr>
        <w:t>促进中小企业发展管</w:t>
      </w:r>
      <w:r>
        <w:rPr>
          <w:rFonts w:ascii="宋体" w:hAnsi="宋体" w:eastAsia="宋体" w:cs="宋体"/>
          <w:color w:val="auto"/>
          <w:sz w:val="21"/>
          <w:szCs w:val="21"/>
          <w:highlight w:val="none"/>
        </w:rPr>
        <w:t xml:space="preserve"> </w:t>
      </w:r>
      <w:r>
        <w:rPr>
          <w:rFonts w:ascii="宋体" w:hAnsi="宋体" w:eastAsia="宋体" w:cs="宋体"/>
          <w:color w:val="auto"/>
          <w:spacing w:val="-3"/>
          <w:sz w:val="21"/>
          <w:szCs w:val="21"/>
          <w:highlight w:val="none"/>
        </w:rPr>
        <w:t>理办法》（财库﹝</w:t>
      </w:r>
      <w:r>
        <w:rPr>
          <w:rFonts w:ascii="宋体" w:hAnsi="宋体" w:eastAsia="宋体" w:cs="宋体"/>
          <w:color w:val="auto"/>
          <w:spacing w:val="-64"/>
          <w:sz w:val="21"/>
          <w:szCs w:val="21"/>
          <w:highlight w:val="none"/>
        </w:rPr>
        <w:t xml:space="preserve"> </w:t>
      </w:r>
      <w:r>
        <w:rPr>
          <w:rFonts w:ascii="宋体" w:hAnsi="宋体" w:eastAsia="宋体" w:cs="宋体"/>
          <w:color w:val="auto"/>
          <w:spacing w:val="-3"/>
          <w:sz w:val="21"/>
          <w:szCs w:val="21"/>
          <w:highlight w:val="none"/>
        </w:rPr>
        <w:t>2020﹞46 号）规定的，其</w:t>
      </w:r>
      <w:r>
        <w:rPr>
          <w:rFonts w:ascii="宋体" w:hAnsi="宋体" w:eastAsia="宋体" w:cs="宋体"/>
          <w:b/>
          <w:bCs/>
          <w:color w:val="auto"/>
          <w:spacing w:val="-3"/>
          <w:sz w:val="21"/>
          <w:szCs w:val="21"/>
          <w:highlight w:val="none"/>
        </w:rPr>
        <w:t>投标无效。</w:t>
      </w:r>
    </w:p>
    <w:p w14:paraId="3561D883">
      <w:pPr>
        <w:shd w:val="clear"/>
        <w:spacing w:before="30" w:line="261" w:lineRule="auto"/>
        <w:ind w:left="35" w:right="126" w:firstLine="427"/>
        <w:rPr>
          <w:rFonts w:ascii="宋体" w:hAnsi="宋体" w:eastAsia="宋体" w:cs="宋体"/>
          <w:color w:val="auto"/>
          <w:sz w:val="21"/>
          <w:szCs w:val="21"/>
          <w:highlight w:val="none"/>
        </w:rPr>
      </w:pPr>
      <w:r>
        <w:rPr>
          <w:rFonts w:ascii="宋体" w:hAnsi="宋体" w:eastAsia="宋体" w:cs="宋体"/>
          <w:color w:val="auto"/>
          <w:sz w:val="21"/>
          <w:szCs w:val="21"/>
          <w:highlight w:val="none"/>
        </w:rPr>
        <w:t>2.从业人员、营业收入、资产总额填报上一年度数据，无上一年度数据的新成</w:t>
      </w:r>
      <w:r>
        <w:rPr>
          <w:rFonts w:ascii="宋体" w:hAnsi="宋体" w:eastAsia="宋体" w:cs="宋体"/>
          <w:color w:val="auto"/>
          <w:spacing w:val="-1"/>
          <w:sz w:val="21"/>
          <w:szCs w:val="21"/>
          <w:highlight w:val="none"/>
        </w:rPr>
        <w:t>立企业可不填</w:t>
      </w:r>
      <w:r>
        <w:rPr>
          <w:rFonts w:ascii="宋体" w:hAnsi="宋体" w:eastAsia="宋体" w:cs="宋体"/>
          <w:color w:val="auto"/>
          <w:sz w:val="21"/>
          <w:szCs w:val="21"/>
          <w:highlight w:val="none"/>
        </w:rPr>
        <w:t xml:space="preserve"> </w:t>
      </w:r>
      <w:r>
        <w:rPr>
          <w:rFonts w:ascii="宋体" w:hAnsi="宋体" w:eastAsia="宋体" w:cs="宋体"/>
          <w:color w:val="auto"/>
          <w:spacing w:val="-9"/>
          <w:sz w:val="21"/>
          <w:szCs w:val="21"/>
          <w:highlight w:val="none"/>
        </w:rPr>
        <w:t>报。</w:t>
      </w:r>
    </w:p>
    <w:p w14:paraId="5C40CA3E">
      <w:pPr>
        <w:shd w:val="clear"/>
        <w:spacing w:line="261" w:lineRule="auto"/>
        <w:rPr>
          <w:rFonts w:ascii="宋体" w:hAnsi="宋体" w:eastAsia="宋体" w:cs="宋体"/>
          <w:color w:val="auto"/>
          <w:sz w:val="21"/>
          <w:szCs w:val="21"/>
          <w:highlight w:val="none"/>
        </w:rPr>
        <w:sectPr>
          <w:headerReference r:id="rId10" w:type="default"/>
          <w:footerReference r:id="rId1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539ED62A">
      <w:pPr>
        <w:pStyle w:val="5"/>
        <w:shd w:val="clear"/>
        <w:adjustRightInd w:val="0"/>
        <w:snapToGrid w:val="0"/>
        <w:spacing w:before="156" w:beforeLines="50" w:after="0" w:line="360" w:lineRule="auto"/>
        <w:jc w:val="left"/>
        <w:rPr>
          <w:rFonts w:ascii="黑体" w:hAnsi="宋体"/>
          <w:b w:val="0"/>
          <w:color w:val="auto"/>
          <w:sz w:val="21"/>
          <w:szCs w:val="21"/>
          <w:highlight w:val="none"/>
        </w:rPr>
      </w:pPr>
      <w:bookmarkStart w:id="135" w:name="_Toc5695"/>
      <w:bookmarkStart w:id="136" w:name="_Toc88"/>
      <w:bookmarkStart w:id="137" w:name="_Toc10006"/>
      <w:bookmarkStart w:id="138" w:name="_Toc7976"/>
      <w:r>
        <w:rPr>
          <w:rFonts w:hint="eastAsia" w:ascii="黑体" w:hAnsi="华文中宋" w:cs="宋体"/>
          <w:b w:val="0"/>
          <w:bCs w:val="0"/>
          <w:color w:val="auto"/>
          <w:spacing w:val="6"/>
          <w:sz w:val="21"/>
          <w:szCs w:val="21"/>
          <w:highlight w:val="none"/>
        </w:rPr>
        <w:t>附页 1</w:t>
      </w:r>
      <w:r>
        <w:rPr>
          <w:rFonts w:hint="eastAsia" w:ascii="黑体" w:hAnsi="宋体"/>
          <w:b w:val="0"/>
          <w:color w:val="auto"/>
          <w:sz w:val="21"/>
          <w:szCs w:val="21"/>
          <w:highlight w:val="none"/>
        </w:rPr>
        <w:t>价格评审优惠清单</w:t>
      </w:r>
      <w:bookmarkEnd w:id="135"/>
      <w:bookmarkEnd w:id="136"/>
      <w:bookmarkEnd w:id="137"/>
      <w:bookmarkEnd w:id="138"/>
    </w:p>
    <w:p w14:paraId="6F43F879">
      <w:pPr>
        <w:shd w:val="clear"/>
        <w:adjustRightInd w:val="0"/>
        <w:snapToGrid w:val="0"/>
        <w:spacing w:before="50" w:line="360" w:lineRule="auto"/>
        <w:jc w:val="center"/>
        <w:rPr>
          <w:rFonts w:asciiTheme="minorEastAsia" w:hAnsiTheme="minorEastAsia" w:eastAsiaTheme="minorEastAsia"/>
          <w:color w:val="auto"/>
          <w:szCs w:val="21"/>
          <w:highlight w:val="none"/>
        </w:rPr>
      </w:pPr>
      <w:r>
        <w:rPr>
          <w:rFonts w:hint="eastAsia" w:ascii="黑体" w:hAnsi="宋体" w:eastAsia="黑体"/>
          <w:b/>
          <w:color w:val="auto"/>
          <w:sz w:val="28"/>
          <w:szCs w:val="28"/>
          <w:highlight w:val="none"/>
        </w:rPr>
        <w:t>价格评审优惠（配套货物）清单</w:t>
      </w:r>
    </w:p>
    <w:p w14:paraId="5359C582">
      <w:pPr>
        <w:shd w:val="clear"/>
        <w:adjustRightInd w:val="0"/>
        <w:snapToGrid w:val="0"/>
        <w:spacing w:before="50"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359EEFAA">
      <w:pPr>
        <w:shd w:val="clear"/>
        <w:adjustRightInd w:val="0"/>
        <w:snapToGrid w:val="0"/>
        <w:spacing w:before="50"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74ACD0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0174091D">
            <w:pPr>
              <w:widowControl/>
              <w:shd w:val="clear"/>
              <w:adjustRightInd w:val="0"/>
              <w:snapToGrid w:val="0"/>
              <w:spacing w:line="360" w:lineRule="auto"/>
              <w:ind w:firstLine="480" w:firstLineChars="200"/>
              <w:jc w:val="left"/>
              <w:rPr>
                <w:rFonts w:ascii="黑体" w:hAnsi="宋体" w:eastAsia="黑体"/>
                <w:color w:val="auto"/>
                <w:kern w:val="0"/>
                <w:sz w:val="24"/>
                <w:highlight w:val="none"/>
              </w:rPr>
            </w:pPr>
            <w:r>
              <w:rPr>
                <w:rFonts w:hint="eastAsia" w:ascii="黑体" w:hAnsi="宋体" w:eastAsia="黑体"/>
                <w:color w:val="auto"/>
                <w:kern w:val="0"/>
                <w:sz w:val="24"/>
                <w:highlight w:val="none"/>
              </w:rPr>
              <w:t>以下为投标人提供的享受价格评审优惠的货物，投标人对本表的真实性负责。如有虚假，将依法承担相应责任。</w:t>
            </w:r>
          </w:p>
        </w:tc>
      </w:tr>
      <w:tr w14:paraId="5F6F58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D40CB67">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134" w:type="dxa"/>
            <w:vAlign w:val="center"/>
          </w:tcPr>
          <w:p w14:paraId="5284385D">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134" w:type="dxa"/>
            <w:tcBorders>
              <w:right w:val="single" w:color="auto" w:sz="4" w:space="0"/>
            </w:tcBorders>
            <w:vAlign w:val="center"/>
          </w:tcPr>
          <w:p w14:paraId="5826774C">
            <w:pPr>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134" w:type="dxa"/>
            <w:tcBorders>
              <w:left w:val="single" w:color="auto" w:sz="4" w:space="0"/>
            </w:tcBorders>
            <w:vAlign w:val="center"/>
          </w:tcPr>
          <w:p w14:paraId="38D60EC8">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701" w:type="dxa"/>
            <w:vAlign w:val="center"/>
          </w:tcPr>
          <w:p w14:paraId="3513CF1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843" w:type="dxa"/>
            <w:vAlign w:val="center"/>
          </w:tcPr>
          <w:p w14:paraId="6C27595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134" w:type="dxa"/>
            <w:vAlign w:val="center"/>
          </w:tcPr>
          <w:p w14:paraId="1995153D">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r>
      <w:tr w14:paraId="2A147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5E551311">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134" w:type="dxa"/>
            <w:vAlign w:val="center"/>
          </w:tcPr>
          <w:p w14:paraId="1E87217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货物名称</w:t>
            </w:r>
          </w:p>
        </w:tc>
        <w:tc>
          <w:tcPr>
            <w:tcW w:w="1134" w:type="dxa"/>
            <w:tcBorders>
              <w:right w:val="single" w:color="auto" w:sz="4" w:space="0"/>
            </w:tcBorders>
            <w:vAlign w:val="center"/>
          </w:tcPr>
          <w:p w14:paraId="3503585F">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规格型号</w:t>
            </w:r>
          </w:p>
        </w:tc>
        <w:tc>
          <w:tcPr>
            <w:tcW w:w="1134" w:type="dxa"/>
            <w:tcBorders>
              <w:left w:val="single" w:color="auto" w:sz="4" w:space="0"/>
            </w:tcBorders>
            <w:vAlign w:val="center"/>
          </w:tcPr>
          <w:p w14:paraId="4B0DAF72">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价格（元）</w:t>
            </w:r>
          </w:p>
        </w:tc>
        <w:tc>
          <w:tcPr>
            <w:tcW w:w="1701" w:type="dxa"/>
            <w:vAlign w:val="center"/>
          </w:tcPr>
          <w:p w14:paraId="1692F09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货物制造商名称</w:t>
            </w:r>
          </w:p>
        </w:tc>
        <w:tc>
          <w:tcPr>
            <w:tcW w:w="1843" w:type="dxa"/>
            <w:vAlign w:val="center"/>
          </w:tcPr>
          <w:p w14:paraId="7F723759">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货物制造商类型</w:t>
            </w:r>
          </w:p>
        </w:tc>
        <w:tc>
          <w:tcPr>
            <w:tcW w:w="1134" w:type="dxa"/>
            <w:vAlign w:val="center"/>
          </w:tcPr>
          <w:p w14:paraId="21E615CC">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商标名称</w:t>
            </w:r>
          </w:p>
        </w:tc>
      </w:tr>
      <w:tr w14:paraId="1EC420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CF98469">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050C415">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4C2E245B">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3440E3B">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37479072">
            <w:pPr>
              <w:shd w:val="clear"/>
              <w:adjustRightInd w:val="0"/>
              <w:snapToGrid w:val="0"/>
              <w:spacing w:line="360" w:lineRule="auto"/>
              <w:jc w:val="center"/>
              <w:rPr>
                <w:rFonts w:ascii="宋体" w:hAnsi="宋体"/>
                <w:color w:val="auto"/>
                <w:szCs w:val="21"/>
                <w:highlight w:val="none"/>
              </w:rPr>
            </w:pPr>
          </w:p>
        </w:tc>
        <w:tc>
          <w:tcPr>
            <w:tcW w:w="1843" w:type="dxa"/>
          </w:tcPr>
          <w:p w14:paraId="348158A3">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5A5B717A">
            <w:pPr>
              <w:shd w:val="clear"/>
              <w:adjustRightInd w:val="0"/>
              <w:snapToGrid w:val="0"/>
              <w:spacing w:line="360" w:lineRule="auto"/>
              <w:jc w:val="center"/>
              <w:rPr>
                <w:rFonts w:ascii="宋体" w:hAnsi="宋体"/>
                <w:color w:val="auto"/>
                <w:szCs w:val="21"/>
                <w:highlight w:val="none"/>
              </w:rPr>
            </w:pPr>
          </w:p>
        </w:tc>
      </w:tr>
      <w:tr w14:paraId="13DF6F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9B5DD17">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2833D328">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13B0F777">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AF0B4C8">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71F4241C">
            <w:pPr>
              <w:shd w:val="clear"/>
              <w:adjustRightInd w:val="0"/>
              <w:snapToGrid w:val="0"/>
              <w:spacing w:line="360" w:lineRule="auto"/>
              <w:jc w:val="center"/>
              <w:rPr>
                <w:rFonts w:ascii="宋体" w:hAnsi="宋体"/>
                <w:color w:val="auto"/>
                <w:szCs w:val="21"/>
                <w:highlight w:val="none"/>
              </w:rPr>
            </w:pPr>
          </w:p>
        </w:tc>
        <w:tc>
          <w:tcPr>
            <w:tcW w:w="1843" w:type="dxa"/>
          </w:tcPr>
          <w:p w14:paraId="1706A6F6">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C607160">
            <w:pPr>
              <w:shd w:val="clear"/>
              <w:adjustRightInd w:val="0"/>
              <w:snapToGrid w:val="0"/>
              <w:spacing w:line="360" w:lineRule="auto"/>
              <w:jc w:val="center"/>
              <w:rPr>
                <w:rFonts w:ascii="宋体" w:hAnsi="宋体"/>
                <w:color w:val="auto"/>
                <w:szCs w:val="21"/>
                <w:highlight w:val="none"/>
              </w:rPr>
            </w:pPr>
          </w:p>
        </w:tc>
      </w:tr>
      <w:tr w14:paraId="16896B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B2ECD1A">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C13EEB5">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789CEAED">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4A96D201">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5CBB7577">
            <w:pPr>
              <w:shd w:val="clear"/>
              <w:adjustRightInd w:val="0"/>
              <w:snapToGrid w:val="0"/>
              <w:spacing w:line="360" w:lineRule="auto"/>
              <w:jc w:val="center"/>
              <w:rPr>
                <w:rFonts w:ascii="宋体" w:hAnsi="宋体"/>
                <w:color w:val="auto"/>
                <w:szCs w:val="21"/>
                <w:highlight w:val="none"/>
              </w:rPr>
            </w:pPr>
          </w:p>
        </w:tc>
        <w:tc>
          <w:tcPr>
            <w:tcW w:w="1843" w:type="dxa"/>
          </w:tcPr>
          <w:p w14:paraId="02879F29">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7C54A869">
            <w:pPr>
              <w:shd w:val="clear"/>
              <w:adjustRightInd w:val="0"/>
              <w:snapToGrid w:val="0"/>
              <w:spacing w:line="360" w:lineRule="auto"/>
              <w:jc w:val="center"/>
              <w:rPr>
                <w:rFonts w:ascii="宋体" w:hAnsi="宋体"/>
                <w:color w:val="auto"/>
                <w:szCs w:val="21"/>
                <w:highlight w:val="none"/>
              </w:rPr>
            </w:pPr>
          </w:p>
        </w:tc>
      </w:tr>
      <w:tr w14:paraId="7AAC18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3AF625C">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A1100BB">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40D64BCD">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55956726">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02F1C2C8">
            <w:pPr>
              <w:shd w:val="clear"/>
              <w:adjustRightInd w:val="0"/>
              <w:snapToGrid w:val="0"/>
              <w:spacing w:line="360" w:lineRule="auto"/>
              <w:jc w:val="center"/>
              <w:rPr>
                <w:rFonts w:ascii="宋体" w:hAnsi="宋体"/>
                <w:color w:val="auto"/>
                <w:szCs w:val="21"/>
                <w:highlight w:val="none"/>
              </w:rPr>
            </w:pPr>
          </w:p>
        </w:tc>
        <w:tc>
          <w:tcPr>
            <w:tcW w:w="1843" w:type="dxa"/>
          </w:tcPr>
          <w:p w14:paraId="425EDF73">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61B4C7BF">
            <w:pPr>
              <w:shd w:val="clear"/>
              <w:adjustRightInd w:val="0"/>
              <w:snapToGrid w:val="0"/>
              <w:spacing w:line="360" w:lineRule="auto"/>
              <w:jc w:val="center"/>
              <w:rPr>
                <w:rFonts w:ascii="宋体" w:hAnsi="宋体"/>
                <w:color w:val="auto"/>
                <w:szCs w:val="21"/>
                <w:highlight w:val="none"/>
              </w:rPr>
            </w:pPr>
          </w:p>
        </w:tc>
      </w:tr>
      <w:tr w14:paraId="26B33F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A88C8C7">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0B2924FE">
            <w:pPr>
              <w:shd w:val="clear"/>
              <w:adjustRightInd w:val="0"/>
              <w:snapToGrid w:val="0"/>
              <w:spacing w:line="360" w:lineRule="auto"/>
              <w:jc w:val="center"/>
              <w:rPr>
                <w:rFonts w:ascii="宋体" w:hAnsi="宋体"/>
                <w:color w:val="auto"/>
                <w:szCs w:val="21"/>
                <w:highlight w:val="none"/>
              </w:rPr>
            </w:pPr>
          </w:p>
        </w:tc>
        <w:tc>
          <w:tcPr>
            <w:tcW w:w="1134" w:type="dxa"/>
            <w:tcBorders>
              <w:right w:val="single" w:color="auto" w:sz="4" w:space="0"/>
            </w:tcBorders>
            <w:vAlign w:val="center"/>
          </w:tcPr>
          <w:p w14:paraId="749936D5">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432EA395">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1FD7E726">
            <w:pPr>
              <w:shd w:val="clear"/>
              <w:adjustRightInd w:val="0"/>
              <w:snapToGrid w:val="0"/>
              <w:spacing w:line="360" w:lineRule="auto"/>
              <w:jc w:val="center"/>
              <w:rPr>
                <w:rFonts w:ascii="宋体" w:hAnsi="宋体"/>
                <w:color w:val="auto"/>
                <w:szCs w:val="21"/>
                <w:highlight w:val="none"/>
              </w:rPr>
            </w:pPr>
          </w:p>
        </w:tc>
        <w:tc>
          <w:tcPr>
            <w:tcW w:w="1843" w:type="dxa"/>
          </w:tcPr>
          <w:p w14:paraId="5A4BC8AE">
            <w:pPr>
              <w:shd w:val="clear"/>
              <w:adjustRightInd w:val="0"/>
              <w:snapToGrid w:val="0"/>
              <w:spacing w:line="360" w:lineRule="auto"/>
              <w:jc w:val="center"/>
              <w:rPr>
                <w:rFonts w:ascii="宋体" w:hAnsi="宋体"/>
                <w:color w:val="auto"/>
                <w:szCs w:val="21"/>
                <w:highlight w:val="none"/>
              </w:rPr>
            </w:pPr>
          </w:p>
        </w:tc>
        <w:tc>
          <w:tcPr>
            <w:tcW w:w="1134" w:type="dxa"/>
            <w:vAlign w:val="center"/>
          </w:tcPr>
          <w:p w14:paraId="7F881E3E">
            <w:pPr>
              <w:shd w:val="clear"/>
              <w:adjustRightInd w:val="0"/>
              <w:snapToGrid w:val="0"/>
              <w:spacing w:line="360" w:lineRule="auto"/>
              <w:jc w:val="center"/>
              <w:rPr>
                <w:rFonts w:ascii="宋体" w:hAnsi="宋体"/>
                <w:color w:val="auto"/>
                <w:szCs w:val="21"/>
                <w:highlight w:val="none"/>
              </w:rPr>
            </w:pPr>
          </w:p>
        </w:tc>
      </w:tr>
      <w:tr w14:paraId="174629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0AFB84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134" w:type="dxa"/>
            <w:vAlign w:val="center"/>
          </w:tcPr>
          <w:p w14:paraId="49D72329">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134" w:type="dxa"/>
            <w:tcBorders>
              <w:right w:val="single" w:color="auto" w:sz="4" w:space="0"/>
            </w:tcBorders>
            <w:vAlign w:val="center"/>
          </w:tcPr>
          <w:p w14:paraId="3C454C87">
            <w:pPr>
              <w:shd w:val="clear"/>
              <w:adjustRightInd w:val="0"/>
              <w:snapToGrid w:val="0"/>
              <w:spacing w:line="360" w:lineRule="auto"/>
              <w:jc w:val="center"/>
              <w:rPr>
                <w:rFonts w:ascii="宋体" w:hAnsi="宋体"/>
                <w:color w:val="auto"/>
                <w:szCs w:val="21"/>
                <w:highlight w:val="none"/>
              </w:rPr>
            </w:pPr>
          </w:p>
        </w:tc>
        <w:tc>
          <w:tcPr>
            <w:tcW w:w="1134" w:type="dxa"/>
            <w:tcBorders>
              <w:left w:val="single" w:color="auto" w:sz="4" w:space="0"/>
            </w:tcBorders>
            <w:vAlign w:val="center"/>
          </w:tcPr>
          <w:p w14:paraId="3FAA04C6">
            <w:pPr>
              <w:shd w:val="clear"/>
              <w:adjustRightInd w:val="0"/>
              <w:snapToGrid w:val="0"/>
              <w:spacing w:line="360" w:lineRule="auto"/>
              <w:jc w:val="center"/>
              <w:rPr>
                <w:rFonts w:ascii="宋体" w:hAnsi="宋体"/>
                <w:color w:val="auto"/>
                <w:szCs w:val="21"/>
                <w:highlight w:val="none"/>
              </w:rPr>
            </w:pPr>
          </w:p>
        </w:tc>
        <w:tc>
          <w:tcPr>
            <w:tcW w:w="1701" w:type="dxa"/>
            <w:vAlign w:val="center"/>
          </w:tcPr>
          <w:p w14:paraId="604F038D">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843" w:type="dxa"/>
            <w:vAlign w:val="center"/>
          </w:tcPr>
          <w:p w14:paraId="0139E959">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c>
          <w:tcPr>
            <w:tcW w:w="1134" w:type="dxa"/>
            <w:vAlign w:val="center"/>
          </w:tcPr>
          <w:p w14:paraId="3A53FC8B">
            <w:pPr>
              <w:shd w:val="clear"/>
              <w:adjustRightInd w:val="0"/>
              <w:snapToGrid w:val="0"/>
              <w:spacing w:line="360" w:lineRule="auto"/>
              <w:jc w:val="center"/>
              <w:rPr>
                <w:rFonts w:ascii="宋体" w:hAnsi="宋体"/>
                <w:color w:val="auto"/>
                <w:szCs w:val="21"/>
                <w:highlight w:val="none"/>
              </w:rPr>
            </w:pPr>
            <w:r>
              <w:rPr>
                <w:rFonts w:hint="eastAsia" w:ascii="宋体" w:hAnsi="宋体"/>
                <w:b/>
                <w:color w:val="auto"/>
                <w:szCs w:val="21"/>
                <w:highlight w:val="none"/>
              </w:rPr>
              <w:t>/</w:t>
            </w:r>
          </w:p>
        </w:tc>
      </w:tr>
    </w:tbl>
    <w:p w14:paraId="6E166C5C">
      <w:pPr>
        <w:shd w:val="clear"/>
        <w:adjustRightInd w:val="0"/>
        <w:snapToGrid w:val="0"/>
        <w:spacing w:line="360" w:lineRule="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1、本清单用于计算政府采购价格评审优惠应享受的政府采购政策价格扣除。提供附件10-1、附件10-2的，且提供的货物为小型、微型企业制造的，包括视同小型、微型企业，享受评审中价格扣除的监狱企业、残疾人福利性单位制造的货物。货物制造商类型填写小型、微型企业或监狱企业或残疾人福利性单位。</w:t>
      </w:r>
    </w:p>
    <w:p w14:paraId="3B5C8C27">
      <w:pPr>
        <w:shd w:val="clear"/>
        <w:adjustRightInd w:val="0"/>
        <w:snapToGrid w:val="0"/>
        <w:spacing w:line="360" w:lineRule="auto"/>
        <w:ind w:firstLine="630" w:firstLineChars="300"/>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2、栏目4“价格”为综合单价，包含该货物所有隐含的内容，如运输费、保险费、安装调试费、管理费和利润等。</w:t>
      </w:r>
    </w:p>
    <w:p w14:paraId="0CE8A406">
      <w:pPr>
        <w:shd w:val="clear"/>
        <w:adjustRightInd w:val="0"/>
        <w:snapToGrid w:val="0"/>
        <w:spacing w:line="360" w:lineRule="auto"/>
        <w:ind w:firstLine="630" w:firstLineChars="300"/>
        <w:rPr>
          <w:rFonts w:asciiTheme="minorEastAsia" w:hAnsiTheme="minorEastAsia" w:eastAsiaTheme="minorEastAsia"/>
          <w:b/>
          <w:color w:val="auto"/>
          <w:szCs w:val="21"/>
          <w:highlight w:val="none"/>
        </w:rPr>
      </w:pPr>
      <w:r>
        <w:rPr>
          <w:rFonts w:hint="eastAsia" w:asciiTheme="minorEastAsia" w:hAnsiTheme="minorEastAsia" w:eastAsiaTheme="minorEastAsia"/>
          <w:color w:val="auto"/>
          <w:szCs w:val="21"/>
          <w:highlight w:val="none"/>
        </w:rPr>
        <w:t>3、</w:t>
      </w:r>
      <w:r>
        <w:rPr>
          <w:rFonts w:hint="eastAsia" w:asciiTheme="minorEastAsia" w:hAnsiTheme="minorEastAsia" w:eastAsiaTheme="minorEastAsia"/>
          <w:bCs/>
          <w:color w:val="auto"/>
          <w:szCs w:val="21"/>
          <w:highlight w:val="none"/>
        </w:rPr>
        <w:t>投标人在投标截止时间前修改“开标一览表”中的投标报价的，应按第二章第13.7款规定修改本表相应内容。否则，评审时涉及本表所有优惠不予以考虑。</w:t>
      </w:r>
    </w:p>
    <w:p w14:paraId="5F4C0CF5">
      <w:pPr>
        <w:shd w:val="clear"/>
        <w:adjustRightInd w:val="0"/>
        <w:snapToGrid w:val="0"/>
        <w:spacing w:line="360" w:lineRule="auto"/>
        <w:ind w:firstLine="630" w:firstLineChars="300"/>
        <w:rPr>
          <w:rFonts w:ascii="宋体" w:hAnsi="宋体"/>
          <w:color w:val="auto"/>
          <w:szCs w:val="21"/>
          <w:highlight w:val="none"/>
        </w:rPr>
      </w:pPr>
    </w:p>
    <w:p w14:paraId="730D4855">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1ABE0238">
      <w:pPr>
        <w:shd w:val="clear"/>
        <w:adjustRightInd w:val="0"/>
        <w:snapToGrid w:val="0"/>
        <w:spacing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或其委托代理人（电子签字或电子印章）：</w:t>
      </w:r>
    </w:p>
    <w:p w14:paraId="7EDA3120">
      <w:pPr>
        <w:shd w:val="clear"/>
        <w:adjustRightInd w:val="0"/>
        <w:snapToGrid w:val="0"/>
        <w:spacing w:line="360" w:lineRule="auto"/>
        <w:rPr>
          <w:rFonts w:ascii="黑体" w:hAnsi="华文中宋" w:eastAsia="黑体" w:cs="宋体"/>
          <w:color w:val="auto"/>
          <w:spacing w:val="6"/>
          <w:kern w:val="0"/>
          <w:szCs w:val="21"/>
          <w:highlight w:val="none"/>
        </w:rPr>
      </w:pPr>
      <w:r>
        <w:rPr>
          <w:rFonts w:hint="eastAsia" w:ascii="宋体" w:hAnsi="宋体"/>
          <w:color w:val="auto"/>
          <w:szCs w:val="21"/>
          <w:highlight w:val="none"/>
        </w:rPr>
        <w:t>日期：年月日</w:t>
      </w:r>
      <w:r>
        <w:rPr>
          <w:rFonts w:ascii="黑体" w:hAnsi="华文中宋" w:cs="宋体"/>
          <w:b/>
          <w:bCs/>
          <w:color w:val="auto"/>
          <w:spacing w:val="6"/>
          <w:kern w:val="0"/>
          <w:szCs w:val="21"/>
          <w:highlight w:val="none"/>
        </w:rPr>
        <w:br w:type="page"/>
      </w:r>
    </w:p>
    <w:p w14:paraId="7DEDC94E">
      <w:pPr>
        <w:pStyle w:val="5"/>
        <w:shd w:val="clear"/>
        <w:rPr>
          <w:rFonts w:hint="eastAsia" w:ascii="黑体" w:hAnsi="华文中宋" w:cs="宋体"/>
          <w:b w:val="0"/>
          <w:bCs w:val="0"/>
          <w:color w:val="auto"/>
          <w:spacing w:val="6"/>
          <w:sz w:val="21"/>
          <w:szCs w:val="21"/>
          <w:highlight w:val="none"/>
        </w:rPr>
      </w:pPr>
      <w:bookmarkStart w:id="139" w:name="_Toc7725"/>
      <w:bookmarkStart w:id="140" w:name="_Toc707"/>
      <w:bookmarkStart w:id="141" w:name="_Toc17823"/>
      <w:bookmarkStart w:id="142" w:name="_Toc21948"/>
    </w:p>
    <w:p w14:paraId="000D1C26">
      <w:pPr>
        <w:pStyle w:val="5"/>
        <w:shd w:val="clear"/>
        <w:rPr>
          <w:rFonts w:ascii="黑体" w:hAnsi="宋体"/>
          <w:b w:val="0"/>
          <w:color w:val="auto"/>
          <w:spacing w:val="6"/>
          <w:sz w:val="21"/>
          <w:szCs w:val="21"/>
          <w:highlight w:val="none"/>
        </w:rPr>
      </w:pPr>
      <w:r>
        <w:rPr>
          <w:rFonts w:hint="eastAsia" w:ascii="黑体" w:hAnsi="华文中宋" w:cs="宋体"/>
          <w:b w:val="0"/>
          <w:bCs w:val="0"/>
          <w:color w:val="auto"/>
          <w:spacing w:val="6"/>
          <w:sz w:val="21"/>
          <w:szCs w:val="21"/>
          <w:highlight w:val="none"/>
        </w:rPr>
        <w:t xml:space="preserve">附件10-2 </w:t>
      </w:r>
      <w:r>
        <w:rPr>
          <w:rFonts w:hint="eastAsia" w:ascii="黑体" w:hAnsi="宋体"/>
          <w:b w:val="0"/>
          <w:color w:val="auto"/>
          <w:spacing w:val="6"/>
          <w:sz w:val="21"/>
          <w:szCs w:val="21"/>
          <w:highlight w:val="none"/>
        </w:rPr>
        <w:t>残疾人福利性单位声明函</w:t>
      </w:r>
      <w:bookmarkEnd w:id="139"/>
      <w:bookmarkEnd w:id="140"/>
      <w:bookmarkEnd w:id="141"/>
      <w:bookmarkEnd w:id="142"/>
    </w:p>
    <w:p w14:paraId="7ABDA0FD">
      <w:pPr>
        <w:shd w:val="clear"/>
        <w:adjustRightInd w:val="0"/>
        <w:snapToGrid w:val="0"/>
        <w:spacing w:line="360" w:lineRule="auto"/>
        <w:jc w:val="center"/>
        <w:rPr>
          <w:rFonts w:ascii="黑体" w:hAnsi="黑体" w:eastAsia="黑体"/>
          <w:b/>
          <w:color w:val="auto"/>
          <w:spacing w:val="6"/>
          <w:sz w:val="28"/>
          <w:szCs w:val="28"/>
          <w:highlight w:val="none"/>
        </w:rPr>
      </w:pPr>
      <w:r>
        <w:rPr>
          <w:rFonts w:hint="eastAsia" w:ascii="黑体" w:hAnsi="黑体" w:eastAsia="黑体"/>
          <w:b/>
          <w:color w:val="auto"/>
          <w:spacing w:val="6"/>
          <w:sz w:val="28"/>
          <w:szCs w:val="28"/>
          <w:highlight w:val="none"/>
        </w:rPr>
        <w:t>残疾人福利性单位声明函</w:t>
      </w:r>
    </w:p>
    <w:p w14:paraId="5D8F0BA7">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(不属于残疾人福利性单位的无需填写)</w:t>
      </w:r>
    </w:p>
    <w:p w14:paraId="6CF350D2">
      <w:pPr>
        <w:shd w:val="clear"/>
        <w:adjustRightInd w:val="0"/>
        <w:snapToGrid w:val="0"/>
        <w:spacing w:line="360" w:lineRule="auto"/>
        <w:ind w:firstLine="444" w:firstLineChars="200"/>
        <w:rPr>
          <w:rFonts w:ascii="宋体" w:hAnsi="宋体"/>
          <w:color w:val="auto"/>
          <w:spacing w:val="6"/>
          <w:szCs w:val="21"/>
          <w:highlight w:val="none"/>
        </w:rPr>
      </w:pPr>
    </w:p>
    <w:p w14:paraId="35000AC0">
      <w:pPr>
        <w:shd w:val="clea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本单位郑重声明，根据《财政部 民政部 中国残疾人联合会关于促进残疾人就业政府采购政策的通知》（财库</w:t>
      </w:r>
      <w:r>
        <w:rPr>
          <w:rFonts w:hint="eastAsia" w:ascii="宋体" w:hAnsi="宋体"/>
          <w:color w:val="auto"/>
          <w:szCs w:val="21"/>
          <w:highlight w:val="none"/>
        </w:rPr>
        <w:t>〔2017〕141</w:t>
      </w:r>
      <w:r>
        <w:rPr>
          <w:rFonts w:hint="eastAsia" w:ascii="宋体" w:hAnsi="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AEFEE8D">
      <w:pPr>
        <w:shd w:val="clear"/>
        <w:adjustRightInd w:val="0"/>
        <w:snapToGrid w:val="0"/>
        <w:spacing w:line="360" w:lineRule="auto"/>
        <w:ind w:firstLine="444" w:firstLineChars="200"/>
        <w:rPr>
          <w:rFonts w:ascii="宋体" w:hAnsi="宋体"/>
          <w:color w:val="auto"/>
          <w:spacing w:val="6"/>
          <w:szCs w:val="21"/>
          <w:highlight w:val="none"/>
        </w:rPr>
      </w:pPr>
      <w:r>
        <w:rPr>
          <w:rFonts w:hint="eastAsia" w:ascii="宋体" w:hAnsi="宋体"/>
          <w:color w:val="auto"/>
          <w:spacing w:val="6"/>
          <w:szCs w:val="21"/>
          <w:highlight w:val="none"/>
        </w:rPr>
        <w:t>本单位对上述声明的真实性负责。如有虚假，将依法承担相应责任。</w:t>
      </w:r>
    </w:p>
    <w:p w14:paraId="6BC2E5C9">
      <w:pPr>
        <w:shd w:val="clear"/>
        <w:adjustRightInd w:val="0"/>
        <w:snapToGrid w:val="0"/>
        <w:spacing w:line="360" w:lineRule="auto"/>
        <w:ind w:firstLine="444" w:firstLineChars="200"/>
        <w:rPr>
          <w:rFonts w:ascii="宋体" w:hAnsi="宋体"/>
          <w:color w:val="auto"/>
          <w:spacing w:val="6"/>
          <w:szCs w:val="21"/>
          <w:highlight w:val="none"/>
        </w:rPr>
      </w:pPr>
    </w:p>
    <w:p w14:paraId="5CE1F749">
      <w:pPr>
        <w:shd w:val="clear"/>
        <w:adjustRightInd w:val="0"/>
        <w:snapToGrid w:val="0"/>
        <w:spacing w:line="360" w:lineRule="auto"/>
        <w:ind w:firstLine="444" w:firstLineChars="200"/>
        <w:rPr>
          <w:rFonts w:ascii="宋体" w:hAnsi="宋体"/>
          <w:color w:val="auto"/>
          <w:spacing w:val="6"/>
          <w:szCs w:val="21"/>
          <w:highlight w:val="none"/>
        </w:rPr>
      </w:pPr>
    </w:p>
    <w:p w14:paraId="28C4A621">
      <w:pPr>
        <w:shd w:val="clea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单位名称（盖单位电子章）：</w:t>
      </w:r>
    </w:p>
    <w:p w14:paraId="47045142">
      <w:pPr>
        <w:shd w:val="clear"/>
        <w:tabs>
          <w:tab w:val="left" w:pos="4860"/>
        </w:tabs>
        <w:adjustRightInd w:val="0"/>
        <w:snapToGrid w:val="0"/>
        <w:spacing w:line="360" w:lineRule="auto"/>
        <w:ind w:right="1560" w:firstLine="444" w:firstLineChars="200"/>
        <w:jc w:val="center"/>
        <w:rPr>
          <w:rFonts w:ascii="宋体" w:hAnsi="宋体"/>
          <w:color w:val="auto"/>
          <w:spacing w:val="6"/>
          <w:szCs w:val="21"/>
          <w:highlight w:val="none"/>
        </w:rPr>
      </w:pPr>
      <w:r>
        <w:rPr>
          <w:rFonts w:hint="eastAsia" w:ascii="宋体" w:hAnsi="宋体"/>
          <w:color w:val="auto"/>
          <w:spacing w:val="6"/>
          <w:szCs w:val="21"/>
          <w:highlight w:val="none"/>
        </w:rPr>
        <w:t xml:space="preserve">       日  期：</w:t>
      </w:r>
    </w:p>
    <w:p w14:paraId="2FA922A5">
      <w:pPr>
        <w:widowControl/>
        <w:shd w:val="clear"/>
        <w:adjustRightInd w:val="0"/>
        <w:snapToGrid w:val="0"/>
        <w:spacing w:line="360" w:lineRule="auto"/>
        <w:jc w:val="left"/>
        <w:rPr>
          <w:rFonts w:ascii="宋体" w:hAnsi="宋体" w:cs="宋体"/>
          <w:color w:val="auto"/>
          <w:kern w:val="0"/>
          <w:szCs w:val="21"/>
          <w:highlight w:val="none"/>
        </w:rPr>
      </w:pPr>
    </w:p>
    <w:p w14:paraId="0BC3CEA7">
      <w:pPr>
        <w:widowControl/>
        <w:shd w:val="clear"/>
        <w:jc w:val="left"/>
        <w:rPr>
          <w:rFonts w:ascii="黑体" w:hAnsi="华文中宋" w:eastAsia="黑体" w:cs="宋体"/>
          <w:color w:val="auto"/>
          <w:spacing w:val="6"/>
          <w:kern w:val="0"/>
          <w:szCs w:val="21"/>
          <w:highlight w:val="none"/>
        </w:rPr>
      </w:pPr>
      <w:r>
        <w:rPr>
          <w:rFonts w:ascii="黑体" w:hAnsi="华文中宋" w:cs="宋体"/>
          <w:b/>
          <w:bCs/>
          <w:color w:val="auto"/>
          <w:spacing w:val="6"/>
          <w:kern w:val="0"/>
          <w:szCs w:val="21"/>
          <w:highlight w:val="none"/>
        </w:rPr>
        <w:br w:type="page"/>
      </w:r>
    </w:p>
    <w:p w14:paraId="3892F710">
      <w:pPr>
        <w:pStyle w:val="5"/>
        <w:shd w:val="clear"/>
        <w:rPr>
          <w:rFonts w:hint="eastAsia" w:ascii="黑体" w:hAnsi="宋体" w:cs="宋体"/>
          <w:b w:val="0"/>
          <w:color w:val="auto"/>
          <w:sz w:val="21"/>
          <w:szCs w:val="21"/>
          <w:highlight w:val="none"/>
        </w:rPr>
      </w:pPr>
      <w:bookmarkStart w:id="143" w:name="_Toc16074"/>
      <w:bookmarkStart w:id="144" w:name="_Toc10865"/>
      <w:bookmarkStart w:id="145" w:name="_Toc7204"/>
      <w:bookmarkStart w:id="146" w:name="_Toc3948"/>
    </w:p>
    <w:p w14:paraId="63C33132">
      <w:pPr>
        <w:pStyle w:val="5"/>
        <w:shd w:val="clear"/>
        <w:rPr>
          <w:rFonts w:ascii="黑体" w:hAnsi="宋体"/>
          <w:b w:val="0"/>
          <w:color w:val="auto"/>
          <w:sz w:val="21"/>
          <w:szCs w:val="21"/>
          <w:highlight w:val="none"/>
        </w:rPr>
      </w:pPr>
      <w:r>
        <w:rPr>
          <w:rFonts w:hint="eastAsia" w:ascii="黑体" w:hAnsi="宋体" w:cs="宋体"/>
          <w:b w:val="0"/>
          <w:color w:val="auto"/>
          <w:sz w:val="21"/>
          <w:szCs w:val="21"/>
          <w:highlight w:val="none"/>
        </w:rPr>
        <w:t xml:space="preserve">附件10-3 </w:t>
      </w:r>
      <w:r>
        <w:rPr>
          <w:rFonts w:hint="eastAsia" w:ascii="黑体" w:hAnsi="宋体"/>
          <w:b w:val="0"/>
          <w:color w:val="auto"/>
          <w:sz w:val="21"/>
          <w:szCs w:val="21"/>
          <w:highlight w:val="none"/>
        </w:rPr>
        <w:t>监狱企业证明资料</w:t>
      </w:r>
      <w:bookmarkEnd w:id="143"/>
      <w:bookmarkEnd w:id="144"/>
      <w:bookmarkEnd w:id="145"/>
      <w:bookmarkEnd w:id="146"/>
    </w:p>
    <w:p w14:paraId="6F2838B0">
      <w:pPr>
        <w:shd w:val="clear"/>
        <w:adjustRightInd w:val="0"/>
        <w:snapToGrid w:val="0"/>
        <w:spacing w:line="360" w:lineRule="auto"/>
        <w:jc w:val="center"/>
        <w:rPr>
          <w:rFonts w:ascii="黑体" w:hAnsi="宋体"/>
          <w:b/>
          <w:color w:val="auto"/>
          <w:sz w:val="28"/>
          <w:szCs w:val="28"/>
          <w:highlight w:val="none"/>
        </w:rPr>
      </w:pPr>
      <w:r>
        <w:rPr>
          <w:rFonts w:hint="eastAsia" w:ascii="黑体" w:hAnsi="宋体"/>
          <w:b/>
          <w:color w:val="auto"/>
          <w:sz w:val="28"/>
          <w:szCs w:val="28"/>
          <w:highlight w:val="none"/>
        </w:rPr>
        <w:t>监狱企业证明资料</w:t>
      </w:r>
    </w:p>
    <w:p w14:paraId="65E16DA3">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(不属于监狱企业的无需提供)</w:t>
      </w:r>
    </w:p>
    <w:p w14:paraId="7191552E">
      <w:pPr>
        <w:shd w:val="clear"/>
        <w:adjustRightInd w:val="0"/>
        <w:snapToGrid w:val="0"/>
        <w:spacing w:line="360" w:lineRule="auto"/>
        <w:rPr>
          <w:rFonts w:asciiTheme="minorEastAsia" w:hAnsiTheme="minorEastAsia" w:eastAsiaTheme="minorEastAsia"/>
          <w:color w:val="auto"/>
          <w:szCs w:val="21"/>
          <w:highlight w:val="none"/>
        </w:rPr>
      </w:pPr>
    </w:p>
    <w:p w14:paraId="3F21C875">
      <w:pPr>
        <w:shd w:val="clear"/>
        <w:adjustRightInd w:val="0"/>
        <w:snapToGrid w:val="0"/>
        <w:spacing w:line="360" w:lineRule="auto"/>
        <w:ind w:firstLine="444"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bCs/>
          <w:color w:val="auto"/>
          <w:spacing w:val="6"/>
          <w:kern w:val="0"/>
          <w:szCs w:val="21"/>
          <w:highlight w:val="none"/>
        </w:rPr>
        <w:t>备注：</w:t>
      </w:r>
      <w:r>
        <w:rPr>
          <w:rFonts w:hint="eastAsia" w:asciiTheme="minorEastAsia" w:hAnsiTheme="minorEastAsia" w:eastAsiaTheme="minorEastAsia"/>
          <w:color w:val="auto"/>
          <w:szCs w:val="21"/>
          <w:highlight w:val="none"/>
        </w:rPr>
        <w:t>按</w:t>
      </w:r>
      <w:r>
        <w:rPr>
          <w:rFonts w:hint="eastAsia" w:ascii="宋体" w:hAnsi="宋体"/>
          <w:color w:val="auto"/>
          <w:spacing w:val="6"/>
          <w:szCs w:val="21"/>
          <w:highlight w:val="none"/>
        </w:rPr>
        <w:t>《</w:t>
      </w:r>
      <w:r>
        <w:rPr>
          <w:rFonts w:hint="eastAsia" w:asciiTheme="minorEastAsia" w:hAnsiTheme="minorEastAsia" w:eastAsiaTheme="minorEastAsia"/>
          <w:color w:val="auto"/>
          <w:szCs w:val="21"/>
          <w:highlight w:val="none"/>
        </w:rPr>
        <w:t>财政部 司法部关于政府采购支持监狱企业发展有关问题的通知</w:t>
      </w:r>
      <w:r>
        <w:rPr>
          <w:rFonts w:hint="eastAsia" w:ascii="宋体" w:hAnsi="宋体"/>
          <w:color w:val="auto"/>
          <w:spacing w:val="6"/>
          <w:szCs w:val="21"/>
          <w:highlight w:val="none"/>
        </w:rPr>
        <w:t>》</w:t>
      </w:r>
      <w:r>
        <w:rPr>
          <w:rFonts w:hint="eastAsia" w:asciiTheme="minorEastAsia" w:hAnsiTheme="minorEastAsia" w:eastAsiaTheme="minorEastAsia"/>
          <w:color w:val="auto"/>
          <w:szCs w:val="21"/>
          <w:highlight w:val="none"/>
        </w:rPr>
        <w:t>(财库〔2014〕68号)文件规定提供证明文件。</w:t>
      </w:r>
    </w:p>
    <w:p w14:paraId="55CA5C79">
      <w:pPr>
        <w:shd w:val="clear"/>
        <w:adjustRightInd w:val="0"/>
        <w:snapToGrid w:val="0"/>
        <w:spacing w:line="360" w:lineRule="auto"/>
        <w:rPr>
          <w:rFonts w:ascii="黑体" w:hAnsi="华文中宋" w:eastAsia="黑体" w:cs="宋体"/>
          <w:bCs/>
          <w:color w:val="auto"/>
          <w:spacing w:val="6"/>
          <w:kern w:val="0"/>
          <w:szCs w:val="21"/>
          <w:highlight w:val="none"/>
        </w:rPr>
      </w:pPr>
      <w:r>
        <w:rPr>
          <w:rFonts w:ascii="黑体" w:hAnsi="华文中宋" w:eastAsia="黑体" w:cs="宋体"/>
          <w:bCs/>
          <w:color w:val="auto"/>
          <w:spacing w:val="6"/>
          <w:kern w:val="0"/>
          <w:szCs w:val="21"/>
          <w:highlight w:val="none"/>
        </w:rPr>
        <w:br w:type="page"/>
      </w:r>
    </w:p>
    <w:p w14:paraId="24A411C2">
      <w:pPr>
        <w:pStyle w:val="5"/>
        <w:shd w:val="clear"/>
        <w:rPr>
          <w:rFonts w:hint="eastAsia" w:ascii="黑体" w:hAnsi="华文中宋" w:cs="宋体"/>
          <w:b w:val="0"/>
          <w:bCs w:val="0"/>
          <w:color w:val="auto"/>
          <w:spacing w:val="6"/>
          <w:sz w:val="21"/>
          <w:szCs w:val="21"/>
          <w:highlight w:val="none"/>
        </w:rPr>
      </w:pPr>
      <w:bookmarkStart w:id="147" w:name="_Toc21730"/>
      <w:bookmarkStart w:id="148" w:name="_Toc16602"/>
      <w:bookmarkStart w:id="149" w:name="_Toc28766"/>
      <w:bookmarkStart w:id="150" w:name="_Toc29074"/>
    </w:p>
    <w:p w14:paraId="7A092445">
      <w:pPr>
        <w:pStyle w:val="5"/>
        <w:shd w:val="clear"/>
        <w:rPr>
          <w:rFonts w:ascii="黑体" w:hAnsi="宋体"/>
          <w:b w:val="0"/>
          <w:color w:val="auto"/>
          <w:sz w:val="21"/>
          <w:szCs w:val="21"/>
          <w:highlight w:val="none"/>
        </w:rPr>
      </w:pPr>
      <w:r>
        <w:rPr>
          <w:rFonts w:hint="eastAsia" w:ascii="黑体" w:hAnsi="华文中宋" w:cs="宋体"/>
          <w:b w:val="0"/>
          <w:bCs w:val="0"/>
          <w:color w:val="auto"/>
          <w:spacing w:val="6"/>
          <w:sz w:val="21"/>
          <w:szCs w:val="21"/>
          <w:highlight w:val="none"/>
        </w:rPr>
        <w:t xml:space="preserve">附件10-4 </w:t>
      </w:r>
      <w:r>
        <w:rPr>
          <w:rFonts w:hint="eastAsia" w:ascii="黑体" w:hAnsi="宋体"/>
          <w:b w:val="0"/>
          <w:color w:val="auto"/>
          <w:sz w:val="21"/>
          <w:szCs w:val="21"/>
          <w:highlight w:val="none"/>
        </w:rPr>
        <w:t>强制采购或者优先采购产品</w:t>
      </w:r>
      <w:r>
        <w:rPr>
          <w:rFonts w:hint="eastAsia" w:ascii="黑体" w:hAnsi="宋体"/>
          <w:b w:val="0"/>
          <w:bCs w:val="0"/>
          <w:color w:val="auto"/>
          <w:sz w:val="21"/>
          <w:szCs w:val="21"/>
          <w:highlight w:val="none"/>
        </w:rPr>
        <w:t>的</w:t>
      </w:r>
      <w:r>
        <w:rPr>
          <w:rFonts w:hint="eastAsia" w:ascii="黑体" w:hAnsi="宋体"/>
          <w:b w:val="0"/>
          <w:color w:val="auto"/>
          <w:sz w:val="21"/>
          <w:szCs w:val="21"/>
          <w:highlight w:val="none"/>
        </w:rPr>
        <w:t>证明材料</w:t>
      </w:r>
      <w:bookmarkEnd w:id="147"/>
      <w:bookmarkEnd w:id="148"/>
      <w:bookmarkEnd w:id="149"/>
      <w:bookmarkEnd w:id="150"/>
    </w:p>
    <w:p w14:paraId="59A58BD0">
      <w:pPr>
        <w:shd w:val="clear"/>
        <w:adjustRightInd w:val="0"/>
        <w:snapToGrid w:val="0"/>
        <w:spacing w:line="360" w:lineRule="auto"/>
        <w:jc w:val="center"/>
        <w:rPr>
          <w:rFonts w:ascii="黑体" w:hAnsi="黑体" w:eastAsia="黑体"/>
          <w:b/>
          <w:color w:val="auto"/>
          <w:sz w:val="28"/>
          <w:szCs w:val="28"/>
          <w:highlight w:val="none"/>
        </w:rPr>
      </w:pPr>
      <w:r>
        <w:rPr>
          <w:rFonts w:hint="eastAsia" w:ascii="黑体" w:hAnsi="黑体" w:eastAsia="黑体"/>
          <w:b/>
          <w:color w:val="auto"/>
          <w:sz w:val="28"/>
          <w:szCs w:val="28"/>
          <w:highlight w:val="none"/>
        </w:rPr>
        <w:t>强制采购或者优先采购产品</w:t>
      </w:r>
      <w:r>
        <w:rPr>
          <w:rFonts w:hint="eastAsia" w:ascii="黑体" w:hAnsi="黑体" w:eastAsia="黑体"/>
          <w:b/>
          <w:bCs/>
          <w:color w:val="auto"/>
          <w:sz w:val="28"/>
          <w:szCs w:val="28"/>
          <w:highlight w:val="none"/>
        </w:rPr>
        <w:t>的</w:t>
      </w:r>
      <w:r>
        <w:rPr>
          <w:rFonts w:hint="eastAsia" w:ascii="黑体" w:hAnsi="黑体" w:eastAsia="黑体"/>
          <w:b/>
          <w:color w:val="auto"/>
          <w:sz w:val="28"/>
          <w:szCs w:val="28"/>
          <w:highlight w:val="none"/>
        </w:rPr>
        <w:t>证明材料</w:t>
      </w:r>
    </w:p>
    <w:p w14:paraId="0E4B75C8">
      <w:pPr>
        <w:shd w:val="clear"/>
        <w:adjustRightInd w:val="0"/>
        <w:snapToGrid w:val="0"/>
        <w:spacing w:line="360" w:lineRule="auto"/>
        <w:jc w:val="center"/>
        <w:rPr>
          <w:rFonts w:ascii="宋体" w:hAnsi="宋体"/>
          <w:b/>
          <w:color w:val="auto"/>
          <w:spacing w:val="6"/>
          <w:szCs w:val="21"/>
          <w:highlight w:val="none"/>
        </w:rPr>
      </w:pPr>
      <w:r>
        <w:rPr>
          <w:rFonts w:hint="eastAsia" w:ascii="宋体" w:hAnsi="宋体"/>
          <w:b/>
          <w:color w:val="auto"/>
          <w:spacing w:val="6"/>
          <w:szCs w:val="21"/>
          <w:highlight w:val="none"/>
        </w:rPr>
        <w:t>(不属于强制采购或者优先采购产品的无需提供)</w:t>
      </w:r>
    </w:p>
    <w:p w14:paraId="10E1D344">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p>
    <w:p w14:paraId="0A4658CF">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说明：投标人提供的产品</w:t>
      </w:r>
      <w:r>
        <w:rPr>
          <w:rFonts w:hint="eastAsia" w:asciiTheme="minorEastAsia" w:hAnsiTheme="minorEastAsia" w:eastAsiaTheme="minorEastAsia"/>
          <w:bCs/>
          <w:color w:val="auto"/>
          <w:szCs w:val="21"/>
          <w:highlight w:val="none"/>
        </w:rPr>
        <w:t>属于强制采购或者优先采购的</w:t>
      </w:r>
      <w:r>
        <w:rPr>
          <w:rFonts w:hint="eastAsia" w:asciiTheme="minorEastAsia" w:hAnsiTheme="minorEastAsia" w:eastAsiaTheme="minorEastAsia"/>
          <w:color w:val="auto"/>
          <w:szCs w:val="21"/>
          <w:highlight w:val="none"/>
        </w:rPr>
        <w:t>，应按第二章第33.6款规定提供证明材料和本章本节附页2“优先采购产品清单”，并加盖投标人单位电子章。</w:t>
      </w:r>
    </w:p>
    <w:p w14:paraId="12ACD667">
      <w:pPr>
        <w:shd w:val="clear"/>
        <w:adjustRightInd w:val="0"/>
        <w:snapToGrid w:val="0"/>
        <w:spacing w:line="360" w:lineRule="auto"/>
        <w:ind w:firstLine="420" w:firstLineChars="200"/>
        <w:jc w:val="left"/>
        <w:rPr>
          <w:rFonts w:asciiTheme="minorEastAsia" w:hAnsiTheme="minorEastAsia" w:eastAsiaTheme="minorEastAsia"/>
          <w:color w:val="auto"/>
          <w:szCs w:val="21"/>
          <w:highlight w:val="none"/>
        </w:rPr>
      </w:pPr>
    </w:p>
    <w:p w14:paraId="0EED5A53">
      <w:pPr>
        <w:shd w:val="clear"/>
        <w:adjustRightInd w:val="0"/>
        <w:snapToGrid w:val="0"/>
        <w:spacing w:line="360" w:lineRule="auto"/>
        <w:rPr>
          <w:rFonts w:ascii="黑体" w:hAnsi="宋体" w:eastAsia="黑体"/>
          <w:color w:val="auto"/>
          <w:szCs w:val="21"/>
          <w:highlight w:val="none"/>
        </w:rPr>
      </w:pPr>
      <w:r>
        <w:rPr>
          <w:rFonts w:ascii="黑体" w:hAnsi="宋体" w:eastAsia="黑体"/>
          <w:b/>
          <w:color w:val="auto"/>
          <w:sz w:val="28"/>
          <w:szCs w:val="28"/>
          <w:highlight w:val="none"/>
        </w:rPr>
        <w:br w:type="page"/>
      </w:r>
    </w:p>
    <w:p w14:paraId="7CBE5DA8">
      <w:pPr>
        <w:pStyle w:val="5"/>
        <w:shd w:val="clear"/>
        <w:jc w:val="left"/>
        <w:rPr>
          <w:rFonts w:ascii="黑体" w:hAnsi="宋体"/>
          <w:b w:val="0"/>
          <w:color w:val="auto"/>
          <w:sz w:val="21"/>
          <w:szCs w:val="21"/>
          <w:highlight w:val="none"/>
        </w:rPr>
      </w:pPr>
      <w:bookmarkStart w:id="151" w:name="_Toc10172"/>
      <w:bookmarkStart w:id="152" w:name="_Toc19271"/>
      <w:bookmarkStart w:id="153" w:name="_Toc2649"/>
      <w:bookmarkStart w:id="154" w:name="_Toc15663"/>
      <w:r>
        <w:rPr>
          <w:rFonts w:hint="eastAsia" w:ascii="黑体" w:hAnsi="华文中宋" w:cs="宋体"/>
          <w:b w:val="0"/>
          <w:bCs w:val="0"/>
          <w:color w:val="auto"/>
          <w:spacing w:val="6"/>
          <w:sz w:val="21"/>
          <w:szCs w:val="21"/>
          <w:highlight w:val="none"/>
        </w:rPr>
        <w:t xml:space="preserve">附页 2 </w:t>
      </w:r>
      <w:r>
        <w:rPr>
          <w:rFonts w:hint="eastAsia" w:ascii="黑体" w:hAnsi="宋体"/>
          <w:b w:val="0"/>
          <w:color w:val="auto"/>
          <w:sz w:val="21"/>
          <w:szCs w:val="21"/>
          <w:highlight w:val="none"/>
        </w:rPr>
        <w:t>优先采购产品清单</w:t>
      </w:r>
      <w:bookmarkEnd w:id="151"/>
      <w:bookmarkEnd w:id="152"/>
      <w:bookmarkEnd w:id="153"/>
      <w:bookmarkEnd w:id="154"/>
    </w:p>
    <w:p w14:paraId="17C034C7">
      <w:pPr>
        <w:shd w:val="clear"/>
        <w:adjustRightInd w:val="0"/>
        <w:snapToGrid w:val="0"/>
        <w:spacing w:line="360" w:lineRule="auto"/>
        <w:jc w:val="center"/>
        <w:rPr>
          <w:rFonts w:ascii="宋体" w:hAnsi="宋体"/>
          <w:b/>
          <w:color w:val="auto"/>
          <w:spacing w:val="6"/>
          <w:szCs w:val="21"/>
          <w:highlight w:val="none"/>
        </w:rPr>
      </w:pPr>
      <w:r>
        <w:rPr>
          <w:rFonts w:hint="eastAsia" w:ascii="黑体" w:hAnsi="宋体" w:eastAsia="黑体"/>
          <w:b/>
          <w:color w:val="auto"/>
          <w:sz w:val="28"/>
          <w:szCs w:val="28"/>
          <w:highlight w:val="none"/>
        </w:rPr>
        <w:t>优先采购产品清单</w:t>
      </w:r>
    </w:p>
    <w:p w14:paraId="4A17E24A">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采购代理编号：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项目名称：</w:t>
      </w:r>
      <w:r>
        <w:rPr>
          <w:rFonts w:hint="eastAsia" w:asciiTheme="minorEastAsia" w:hAnsiTheme="minorEastAsia" w:eastAsiaTheme="minorEastAsia"/>
          <w:color w:val="auto"/>
          <w:szCs w:val="21"/>
          <w:highlight w:val="none"/>
          <w:u w:val="single"/>
          <w:lang w:val="en-US" w:eastAsia="zh-CN"/>
        </w:rPr>
        <w:t xml:space="preserve">                   </w:t>
      </w:r>
    </w:p>
    <w:p w14:paraId="332F83B2">
      <w:pPr>
        <w:shd w:val="clear"/>
        <w:adjustRightInd w:val="0"/>
        <w:snapToGrid w:val="0"/>
        <w:spacing w:line="360" w:lineRule="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包       号：</w:t>
      </w:r>
      <w:r>
        <w:rPr>
          <w:rFonts w:hint="eastAsia" w:asciiTheme="minorEastAsia" w:hAnsiTheme="minorEastAsia" w:eastAsiaTheme="minorEastAsia"/>
          <w:color w:val="auto"/>
          <w:szCs w:val="21"/>
          <w:highlight w:val="none"/>
          <w:u w:val="single"/>
          <w:lang w:val="en-US" w:eastAsia="zh-CN"/>
        </w:rPr>
        <w:t xml:space="preserve">              </w:t>
      </w:r>
      <w:r>
        <w:rPr>
          <w:rFonts w:hint="eastAsia" w:asciiTheme="minorEastAsia" w:hAnsiTheme="minorEastAsia" w:eastAsiaTheme="minorEastAsia"/>
          <w:color w:val="auto"/>
          <w:szCs w:val="21"/>
          <w:highlight w:val="none"/>
        </w:rPr>
        <w:t xml:space="preserve">                      包名称：</w:t>
      </w:r>
      <w:r>
        <w:rPr>
          <w:rFonts w:hint="eastAsia" w:asciiTheme="minorEastAsia" w:hAnsiTheme="minorEastAsia" w:eastAsiaTheme="minorEastAsia"/>
          <w:color w:val="auto"/>
          <w:szCs w:val="21"/>
          <w:highlight w:val="none"/>
          <w:u w:val="single"/>
          <w:lang w:val="en-US" w:eastAsia="zh-CN"/>
        </w:rPr>
        <w:t xml:space="preserve">                    </w:t>
      </w:r>
    </w:p>
    <w:tbl>
      <w:tblPr>
        <w:tblStyle w:val="43"/>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826C5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04E33F1A">
            <w:pPr>
              <w:widowControl/>
              <w:shd w:val="clear"/>
              <w:adjustRightInd w:val="0"/>
              <w:snapToGrid w:val="0"/>
              <w:spacing w:line="360" w:lineRule="auto"/>
              <w:ind w:firstLine="480" w:firstLineChars="200"/>
              <w:jc w:val="left"/>
              <w:rPr>
                <w:rFonts w:ascii="黑体" w:hAnsi="黑体" w:eastAsia="黑体"/>
                <w:color w:val="auto"/>
                <w:kern w:val="0"/>
                <w:sz w:val="24"/>
                <w:highlight w:val="none"/>
              </w:rPr>
            </w:pPr>
            <w:r>
              <w:rPr>
                <w:rFonts w:hint="eastAsia" w:ascii="黑体" w:hAnsi="宋体" w:eastAsia="黑体"/>
                <w:color w:val="auto"/>
                <w:kern w:val="0"/>
                <w:sz w:val="24"/>
                <w:highlight w:val="none"/>
              </w:rPr>
              <w:t>以下为投标人提供的政府采购优先采购产品，投标人对本表的真实性负责。如有虚假，将依法承担相应责任。</w:t>
            </w:r>
          </w:p>
        </w:tc>
      </w:tr>
      <w:tr w14:paraId="7207BA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274628FE">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739" w:type="dxa"/>
            <w:vAlign w:val="center"/>
          </w:tcPr>
          <w:p w14:paraId="555074B8">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2</w:t>
            </w:r>
          </w:p>
        </w:tc>
        <w:tc>
          <w:tcPr>
            <w:tcW w:w="1134" w:type="dxa"/>
            <w:tcBorders>
              <w:right w:val="single" w:color="auto" w:sz="4" w:space="0"/>
            </w:tcBorders>
            <w:vAlign w:val="center"/>
          </w:tcPr>
          <w:p w14:paraId="414C5F5E">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3</w:t>
            </w:r>
          </w:p>
        </w:tc>
        <w:tc>
          <w:tcPr>
            <w:tcW w:w="1418" w:type="dxa"/>
            <w:tcBorders>
              <w:left w:val="single" w:color="auto" w:sz="4" w:space="0"/>
            </w:tcBorders>
            <w:vAlign w:val="center"/>
          </w:tcPr>
          <w:p w14:paraId="70F7912A">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4</w:t>
            </w:r>
          </w:p>
        </w:tc>
        <w:tc>
          <w:tcPr>
            <w:tcW w:w="1984" w:type="dxa"/>
            <w:vAlign w:val="center"/>
          </w:tcPr>
          <w:p w14:paraId="65A8382F">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5</w:t>
            </w:r>
          </w:p>
        </w:tc>
        <w:tc>
          <w:tcPr>
            <w:tcW w:w="1843" w:type="dxa"/>
            <w:vAlign w:val="center"/>
          </w:tcPr>
          <w:p w14:paraId="7A718B60">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6</w:t>
            </w:r>
          </w:p>
        </w:tc>
      </w:tr>
      <w:tr w14:paraId="14385A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363BFFB0">
            <w:pPr>
              <w:widowControl/>
              <w:shd w:val="clea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序号</w:t>
            </w:r>
          </w:p>
        </w:tc>
        <w:tc>
          <w:tcPr>
            <w:tcW w:w="1739" w:type="dxa"/>
            <w:vAlign w:val="center"/>
          </w:tcPr>
          <w:p w14:paraId="01A4F8D8">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货物名称</w:t>
            </w:r>
          </w:p>
        </w:tc>
        <w:tc>
          <w:tcPr>
            <w:tcW w:w="1134" w:type="dxa"/>
            <w:tcBorders>
              <w:right w:val="single" w:color="auto" w:sz="4" w:space="0"/>
            </w:tcBorders>
            <w:vAlign w:val="center"/>
          </w:tcPr>
          <w:p w14:paraId="4D319DBA">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规格型号</w:t>
            </w:r>
          </w:p>
        </w:tc>
        <w:tc>
          <w:tcPr>
            <w:tcW w:w="1418" w:type="dxa"/>
            <w:tcBorders>
              <w:left w:val="single" w:color="auto" w:sz="4" w:space="0"/>
            </w:tcBorders>
            <w:vAlign w:val="center"/>
          </w:tcPr>
          <w:p w14:paraId="24F98FFC">
            <w:pPr>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价格（元）</w:t>
            </w:r>
          </w:p>
        </w:tc>
        <w:tc>
          <w:tcPr>
            <w:tcW w:w="1984" w:type="dxa"/>
            <w:vAlign w:val="center"/>
          </w:tcPr>
          <w:p w14:paraId="1D131EFC">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货物制造商名称</w:t>
            </w:r>
          </w:p>
        </w:tc>
        <w:tc>
          <w:tcPr>
            <w:tcW w:w="1843" w:type="dxa"/>
            <w:vAlign w:val="center"/>
          </w:tcPr>
          <w:p w14:paraId="3C4F1DFC">
            <w:pPr>
              <w:widowControl/>
              <w:shd w:val="clear"/>
              <w:adjustRightInd w:val="0"/>
              <w:snapToGrid w:val="0"/>
              <w:spacing w:line="360" w:lineRule="auto"/>
              <w:jc w:val="center"/>
              <w:rPr>
                <w:rFonts w:asciiTheme="minorEastAsia" w:hAnsiTheme="minorEastAsia" w:eastAsiaTheme="minorEastAsia"/>
                <w:color w:val="auto"/>
                <w:kern w:val="0"/>
                <w:szCs w:val="21"/>
                <w:highlight w:val="none"/>
              </w:rPr>
            </w:pPr>
            <w:r>
              <w:rPr>
                <w:rFonts w:hint="eastAsia" w:asciiTheme="minorEastAsia" w:hAnsiTheme="minorEastAsia" w:eastAsiaTheme="minorEastAsia"/>
                <w:color w:val="auto"/>
                <w:kern w:val="0"/>
                <w:szCs w:val="21"/>
                <w:highlight w:val="none"/>
              </w:rPr>
              <w:t>政策功能编码</w:t>
            </w:r>
          </w:p>
        </w:tc>
      </w:tr>
      <w:tr w14:paraId="17DF5D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23D88142">
            <w:pPr>
              <w:shd w:val="clear"/>
              <w:adjustRightInd w:val="0"/>
              <w:snapToGrid w:val="0"/>
              <w:spacing w:line="360" w:lineRule="auto"/>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节能产品</w:t>
            </w:r>
          </w:p>
        </w:tc>
      </w:tr>
      <w:tr w14:paraId="30201F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4EE690CC">
            <w:pPr>
              <w:shd w:val="clear"/>
              <w:adjustRightInd w:val="0"/>
              <w:snapToGrid w:val="0"/>
              <w:spacing w:line="360" w:lineRule="auto"/>
              <w:jc w:val="center"/>
              <w:rPr>
                <w:rFonts w:ascii="宋体" w:hAnsi="宋体"/>
                <w:b/>
                <w:color w:val="auto"/>
                <w:szCs w:val="21"/>
                <w:highlight w:val="none"/>
              </w:rPr>
            </w:pPr>
          </w:p>
        </w:tc>
        <w:tc>
          <w:tcPr>
            <w:tcW w:w="1739" w:type="dxa"/>
            <w:vAlign w:val="center"/>
          </w:tcPr>
          <w:p w14:paraId="4FCF6C48">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134" w:type="dxa"/>
            <w:tcBorders>
              <w:right w:val="single" w:color="auto" w:sz="4" w:space="0"/>
            </w:tcBorders>
            <w:vAlign w:val="center"/>
          </w:tcPr>
          <w:p w14:paraId="3D572BA9">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4DCDABC5">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1E8AE566">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843" w:type="dxa"/>
          </w:tcPr>
          <w:p w14:paraId="66E52469">
            <w:pPr>
              <w:shd w:val="clear"/>
              <w:adjustRightInd w:val="0"/>
              <w:snapToGrid w:val="0"/>
              <w:spacing w:line="360" w:lineRule="auto"/>
              <w:jc w:val="center"/>
              <w:rPr>
                <w:rFonts w:asciiTheme="minorEastAsia" w:hAnsiTheme="minorEastAsia" w:eastAsiaTheme="minorEastAsia"/>
                <w:b/>
                <w:color w:val="auto"/>
                <w:szCs w:val="21"/>
                <w:highlight w:val="none"/>
              </w:rPr>
            </w:pPr>
          </w:p>
        </w:tc>
      </w:tr>
      <w:tr w14:paraId="019A2D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3A034FC">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39" w:type="dxa"/>
            <w:vAlign w:val="center"/>
          </w:tcPr>
          <w:p w14:paraId="742E83BA">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134" w:type="dxa"/>
            <w:tcBorders>
              <w:right w:val="single" w:color="auto" w:sz="4" w:space="0"/>
            </w:tcBorders>
            <w:vAlign w:val="center"/>
          </w:tcPr>
          <w:p w14:paraId="4B5021BC">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6662BF58">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7A6F0A57">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843" w:type="dxa"/>
          </w:tcPr>
          <w:p w14:paraId="286D62C2">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r>
      <w:tr w14:paraId="3850E9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3768DD60">
            <w:pPr>
              <w:shd w:val="clear"/>
              <w:adjustRightInd w:val="0"/>
              <w:snapToGrid w:val="0"/>
              <w:spacing w:line="360" w:lineRule="auto"/>
              <w:jc w:val="left"/>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环境标志产品</w:t>
            </w:r>
          </w:p>
        </w:tc>
      </w:tr>
      <w:tr w14:paraId="35657F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059DAAE7">
            <w:pPr>
              <w:shd w:val="clear"/>
              <w:adjustRightInd w:val="0"/>
              <w:snapToGrid w:val="0"/>
              <w:spacing w:line="360" w:lineRule="auto"/>
              <w:jc w:val="center"/>
              <w:rPr>
                <w:rFonts w:ascii="宋体" w:hAnsi="宋体"/>
                <w:b/>
                <w:color w:val="auto"/>
                <w:szCs w:val="21"/>
                <w:highlight w:val="none"/>
              </w:rPr>
            </w:pPr>
          </w:p>
        </w:tc>
        <w:tc>
          <w:tcPr>
            <w:tcW w:w="1739" w:type="dxa"/>
            <w:vAlign w:val="center"/>
          </w:tcPr>
          <w:p w14:paraId="508C5EB3">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134" w:type="dxa"/>
            <w:tcBorders>
              <w:right w:val="single" w:color="auto" w:sz="4" w:space="0"/>
            </w:tcBorders>
            <w:vAlign w:val="center"/>
          </w:tcPr>
          <w:p w14:paraId="4270EB1D">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71C29298">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3621C9A9">
            <w:pPr>
              <w:shd w:val="clear"/>
              <w:adjustRightInd w:val="0"/>
              <w:snapToGrid w:val="0"/>
              <w:spacing w:line="360" w:lineRule="auto"/>
              <w:jc w:val="center"/>
              <w:rPr>
                <w:rFonts w:asciiTheme="minorEastAsia" w:hAnsiTheme="minorEastAsia" w:eastAsiaTheme="minorEastAsia"/>
                <w:b/>
                <w:color w:val="auto"/>
                <w:szCs w:val="21"/>
                <w:highlight w:val="none"/>
              </w:rPr>
            </w:pPr>
          </w:p>
        </w:tc>
        <w:tc>
          <w:tcPr>
            <w:tcW w:w="1843" w:type="dxa"/>
          </w:tcPr>
          <w:p w14:paraId="5782E833">
            <w:pPr>
              <w:shd w:val="clear"/>
              <w:adjustRightInd w:val="0"/>
              <w:snapToGrid w:val="0"/>
              <w:spacing w:line="360" w:lineRule="auto"/>
              <w:jc w:val="center"/>
              <w:rPr>
                <w:rFonts w:asciiTheme="minorEastAsia" w:hAnsiTheme="minorEastAsia" w:eastAsiaTheme="minorEastAsia"/>
                <w:b/>
                <w:color w:val="auto"/>
                <w:szCs w:val="21"/>
                <w:highlight w:val="none"/>
              </w:rPr>
            </w:pPr>
          </w:p>
        </w:tc>
      </w:tr>
      <w:tr w14:paraId="0A0FEB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9D95F7F">
            <w:pPr>
              <w:shd w:val="clea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小计</w:t>
            </w:r>
          </w:p>
        </w:tc>
        <w:tc>
          <w:tcPr>
            <w:tcW w:w="1739" w:type="dxa"/>
            <w:vAlign w:val="center"/>
          </w:tcPr>
          <w:p w14:paraId="44F20845">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134" w:type="dxa"/>
            <w:tcBorders>
              <w:right w:val="single" w:color="auto" w:sz="4" w:space="0"/>
            </w:tcBorders>
            <w:vAlign w:val="center"/>
          </w:tcPr>
          <w:p w14:paraId="7F49FF60">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418" w:type="dxa"/>
            <w:tcBorders>
              <w:left w:val="single" w:color="auto" w:sz="4" w:space="0"/>
            </w:tcBorders>
            <w:vAlign w:val="center"/>
          </w:tcPr>
          <w:p w14:paraId="52313A41">
            <w:pPr>
              <w:shd w:val="clear"/>
              <w:adjustRightInd w:val="0"/>
              <w:snapToGrid w:val="0"/>
              <w:spacing w:line="360" w:lineRule="auto"/>
              <w:jc w:val="left"/>
              <w:rPr>
                <w:rFonts w:asciiTheme="minorEastAsia" w:hAnsiTheme="minorEastAsia" w:eastAsiaTheme="minorEastAsia"/>
                <w:b/>
                <w:color w:val="auto"/>
                <w:szCs w:val="21"/>
                <w:highlight w:val="none"/>
              </w:rPr>
            </w:pPr>
          </w:p>
        </w:tc>
        <w:tc>
          <w:tcPr>
            <w:tcW w:w="1984" w:type="dxa"/>
            <w:vAlign w:val="center"/>
          </w:tcPr>
          <w:p w14:paraId="0DC44A4E">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c>
          <w:tcPr>
            <w:tcW w:w="1843" w:type="dxa"/>
          </w:tcPr>
          <w:p w14:paraId="03CFA793">
            <w:pPr>
              <w:shd w:val="clear"/>
              <w:adjustRightInd w:val="0"/>
              <w:snapToGrid w:val="0"/>
              <w:spacing w:line="360" w:lineRule="auto"/>
              <w:jc w:val="center"/>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w:t>
            </w:r>
          </w:p>
        </w:tc>
      </w:tr>
    </w:tbl>
    <w:p w14:paraId="1D0478FE">
      <w:pPr>
        <w:shd w:val="clear"/>
        <w:adjustRightInd w:val="0"/>
        <w:snapToGrid w:val="0"/>
        <w:spacing w:line="360"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说明：</w:t>
      </w:r>
      <w:r>
        <w:rPr>
          <w:rFonts w:hint="eastAsia" w:asciiTheme="minorEastAsia" w:hAnsiTheme="minorEastAsia" w:eastAsiaTheme="minorEastAsia"/>
          <w:bCs/>
          <w:color w:val="auto"/>
          <w:szCs w:val="21"/>
          <w:highlight w:val="none"/>
        </w:rPr>
        <w:t>1、</w:t>
      </w:r>
      <w:r>
        <w:rPr>
          <w:rFonts w:hint="eastAsia" w:asciiTheme="minorEastAsia" w:hAnsiTheme="minorEastAsia" w:eastAsiaTheme="minorEastAsia"/>
          <w:color w:val="auto"/>
          <w:szCs w:val="21"/>
          <w:highlight w:val="none"/>
        </w:rPr>
        <w:t>本表用于计算政府采购优先采购产品（节能产品或环境标志产品）的政府采购政策加分或者价格扣除。</w:t>
      </w:r>
    </w:p>
    <w:p w14:paraId="13705039">
      <w:pPr>
        <w:shd w:val="clear"/>
        <w:adjustRightInd w:val="0"/>
        <w:snapToGrid w:val="0"/>
        <w:spacing w:line="360" w:lineRule="auto"/>
        <w:ind w:firstLine="630" w:firstLineChars="3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2、栏目4“价格”为综合单价，包含货物所有隐含的内容，如运输费、保险费、管理费和利润等。</w:t>
      </w:r>
    </w:p>
    <w:p w14:paraId="65A238BE">
      <w:pPr>
        <w:shd w:val="clear"/>
        <w:adjustRightInd w:val="0"/>
        <w:snapToGrid w:val="0"/>
        <w:spacing w:line="360" w:lineRule="auto"/>
        <w:ind w:firstLine="630" w:firstLineChars="300"/>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3、栏目6“政策功能编码”是指货物的中国环境标志认证证书编号、中国节能标志认证证书号（货物同时属于节能产品、环境标志产品的，只须填写一种）。</w:t>
      </w:r>
    </w:p>
    <w:p w14:paraId="05CA8363">
      <w:pPr>
        <w:shd w:val="clear"/>
        <w:adjustRightInd w:val="0"/>
        <w:snapToGrid w:val="0"/>
        <w:spacing w:line="360" w:lineRule="auto"/>
        <w:ind w:firstLine="630" w:firstLineChars="300"/>
        <w:rPr>
          <w:rFonts w:asciiTheme="minorEastAsia" w:hAnsiTheme="minorEastAsia" w:eastAsiaTheme="minorEastAsia"/>
          <w:bCs/>
          <w:color w:val="auto"/>
          <w:szCs w:val="21"/>
          <w:highlight w:val="none"/>
        </w:rPr>
      </w:pPr>
      <w:r>
        <w:rPr>
          <w:rFonts w:hint="eastAsia" w:asciiTheme="minorEastAsia" w:hAnsiTheme="minorEastAsia" w:eastAsiaTheme="minorEastAsia"/>
          <w:bCs/>
          <w:color w:val="auto"/>
          <w:szCs w:val="21"/>
          <w:highlight w:val="none"/>
        </w:rPr>
        <w:t>4、投标人在投标截止时间前修改“开标一览表”中的投标报价的，应按第二章第13.7款规定修改本表相应内容。否则，评审时涉及本表所有优惠不予以考虑。</w:t>
      </w:r>
    </w:p>
    <w:p w14:paraId="2DA205FB">
      <w:pPr>
        <w:shd w:val="clear"/>
        <w:adjustRightInd w:val="0"/>
        <w:snapToGrid w:val="0"/>
        <w:spacing w:line="360" w:lineRule="auto"/>
        <w:rPr>
          <w:rFonts w:ascii="宋体" w:hAnsi="宋体"/>
          <w:color w:val="auto"/>
          <w:szCs w:val="21"/>
          <w:highlight w:val="none"/>
        </w:rPr>
      </w:pPr>
    </w:p>
    <w:p w14:paraId="309F7DC3">
      <w:pPr>
        <w:shd w:val="clea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投标人名称（盖单位电子章）：</w:t>
      </w:r>
    </w:p>
    <w:p w14:paraId="5233E697">
      <w:pPr>
        <w:shd w:val="clear"/>
        <w:adjustRightInd w:val="0"/>
        <w:snapToGrid w:val="0"/>
        <w:spacing w:line="360" w:lineRule="auto"/>
        <w:rPr>
          <w:rFonts w:ascii="宋体" w:hAnsi="宋体"/>
          <w:color w:val="auto"/>
          <w:szCs w:val="21"/>
          <w:highlight w:val="none"/>
        </w:rPr>
      </w:pPr>
      <w:r>
        <w:rPr>
          <w:rFonts w:hint="eastAsia" w:cs="微软雅黑" w:asciiTheme="minorEastAsia" w:hAnsiTheme="minorEastAsia" w:eastAsiaTheme="minorEastAsia"/>
          <w:color w:val="auto"/>
          <w:spacing w:val="-2"/>
          <w:kern w:val="0"/>
          <w:szCs w:val="21"/>
          <w:highlight w:val="none"/>
        </w:rPr>
        <w:t>法</w:t>
      </w:r>
      <w:r>
        <w:rPr>
          <w:rFonts w:hint="eastAsia" w:cs="微软雅黑" w:asciiTheme="minorEastAsia" w:hAnsiTheme="minorEastAsia" w:eastAsiaTheme="minorEastAsia"/>
          <w:color w:val="auto"/>
          <w:kern w:val="0"/>
          <w:szCs w:val="21"/>
          <w:highlight w:val="none"/>
        </w:rPr>
        <w:t>定</w:t>
      </w:r>
      <w:r>
        <w:rPr>
          <w:rFonts w:hint="eastAsia" w:cs="微软雅黑" w:asciiTheme="minorEastAsia" w:hAnsiTheme="minorEastAsia" w:eastAsiaTheme="minorEastAsia"/>
          <w:color w:val="auto"/>
          <w:spacing w:val="-2"/>
          <w:kern w:val="0"/>
          <w:szCs w:val="21"/>
          <w:highlight w:val="none"/>
        </w:rPr>
        <w:t>代</w:t>
      </w:r>
      <w:r>
        <w:rPr>
          <w:rFonts w:hint="eastAsia" w:cs="微软雅黑" w:asciiTheme="minorEastAsia" w:hAnsiTheme="minorEastAsia" w:eastAsiaTheme="minorEastAsia"/>
          <w:color w:val="auto"/>
          <w:kern w:val="0"/>
          <w:szCs w:val="21"/>
          <w:highlight w:val="none"/>
        </w:rPr>
        <w:t>表</w:t>
      </w:r>
      <w:r>
        <w:rPr>
          <w:rFonts w:hint="eastAsia" w:cs="微软雅黑" w:asciiTheme="minorEastAsia" w:hAnsiTheme="minorEastAsia" w:eastAsiaTheme="minorEastAsia"/>
          <w:color w:val="auto"/>
          <w:spacing w:val="-2"/>
          <w:kern w:val="0"/>
          <w:szCs w:val="21"/>
          <w:highlight w:val="none"/>
        </w:rPr>
        <w:t>人</w:t>
      </w:r>
      <w:r>
        <w:rPr>
          <w:rFonts w:hint="eastAsia" w:cs="微软雅黑" w:asciiTheme="minorEastAsia" w:hAnsiTheme="minorEastAsia" w:eastAsiaTheme="minorEastAsia"/>
          <w:color w:val="auto"/>
          <w:kern w:val="0"/>
          <w:szCs w:val="21"/>
          <w:highlight w:val="none"/>
        </w:rPr>
        <w:t>（</w:t>
      </w:r>
      <w:r>
        <w:rPr>
          <w:rFonts w:hint="eastAsia" w:cs="微软雅黑" w:asciiTheme="minorEastAsia" w:hAnsiTheme="minorEastAsia" w:eastAsiaTheme="minorEastAsia"/>
          <w:color w:val="auto"/>
          <w:spacing w:val="-2"/>
          <w:kern w:val="0"/>
          <w:szCs w:val="21"/>
          <w:highlight w:val="none"/>
        </w:rPr>
        <w:t>单</w:t>
      </w:r>
      <w:r>
        <w:rPr>
          <w:rFonts w:hint="eastAsia" w:cs="微软雅黑" w:asciiTheme="minorEastAsia" w:hAnsiTheme="minorEastAsia" w:eastAsiaTheme="minorEastAsia"/>
          <w:color w:val="auto"/>
          <w:kern w:val="0"/>
          <w:szCs w:val="21"/>
          <w:highlight w:val="none"/>
        </w:rPr>
        <w:t>位</w:t>
      </w:r>
      <w:r>
        <w:rPr>
          <w:rFonts w:hint="eastAsia" w:cs="微软雅黑" w:asciiTheme="minorEastAsia" w:hAnsiTheme="minorEastAsia" w:eastAsiaTheme="minorEastAsia"/>
          <w:color w:val="auto"/>
          <w:spacing w:val="-2"/>
          <w:kern w:val="0"/>
          <w:szCs w:val="21"/>
          <w:highlight w:val="none"/>
        </w:rPr>
        <w:t>负</w:t>
      </w:r>
      <w:r>
        <w:rPr>
          <w:rFonts w:hint="eastAsia" w:cs="微软雅黑" w:asciiTheme="minorEastAsia" w:hAnsiTheme="minorEastAsia" w:eastAsiaTheme="minorEastAsia"/>
          <w:color w:val="auto"/>
          <w:kern w:val="0"/>
          <w:szCs w:val="21"/>
          <w:highlight w:val="none"/>
        </w:rPr>
        <w:t>责人</w:t>
      </w:r>
      <w:r>
        <w:rPr>
          <w:rFonts w:hint="eastAsia" w:cs="微软雅黑" w:asciiTheme="minorEastAsia" w:hAnsiTheme="minorEastAsia" w:eastAsiaTheme="minorEastAsia"/>
          <w:color w:val="auto"/>
          <w:spacing w:val="-2"/>
          <w:kern w:val="0"/>
          <w:szCs w:val="21"/>
          <w:highlight w:val="none"/>
        </w:rPr>
        <w:t>）</w:t>
      </w:r>
      <w:r>
        <w:rPr>
          <w:rFonts w:hint="eastAsia" w:ascii="宋体" w:hAnsi="宋体"/>
          <w:color w:val="auto"/>
          <w:szCs w:val="21"/>
          <w:highlight w:val="none"/>
        </w:rPr>
        <w:t>或其委托代理人（电子签字或电子印章）：</w:t>
      </w:r>
    </w:p>
    <w:p w14:paraId="559E6879">
      <w:pPr>
        <w:shd w:val="clear"/>
        <w:rPr>
          <w:rFonts w:ascii="宋体" w:hAnsi="宋体"/>
          <w:b/>
          <w:bCs/>
          <w:color w:val="auto"/>
          <w:sz w:val="32"/>
          <w:szCs w:val="21"/>
          <w:highlight w:val="none"/>
        </w:rPr>
      </w:pPr>
      <w:r>
        <w:rPr>
          <w:rFonts w:hint="eastAsia"/>
          <w:color w:val="auto"/>
          <w:highlight w:val="none"/>
        </w:rPr>
        <w:t>日期：年月日</w:t>
      </w:r>
      <w:r>
        <w:rPr>
          <w:rFonts w:ascii="宋体" w:hAnsi="宋体"/>
          <w:color w:val="auto"/>
          <w:szCs w:val="21"/>
          <w:highlight w:val="none"/>
        </w:rPr>
        <w:br w:type="page"/>
      </w:r>
    </w:p>
    <w:p w14:paraId="18861C66">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155" w:name="_Toc5404"/>
      <w:bookmarkStart w:id="156" w:name="_Toc13650"/>
      <w:bookmarkStart w:id="157" w:name="_Toc9432"/>
      <w:bookmarkStart w:id="158" w:name="_Toc15246"/>
    </w:p>
    <w:p w14:paraId="5072141E">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十一、投标货物符合招标文件规定的证明文件</w:t>
      </w:r>
      <w:bookmarkEnd w:id="155"/>
      <w:bookmarkEnd w:id="156"/>
      <w:bookmarkEnd w:id="157"/>
      <w:bookmarkEnd w:id="158"/>
    </w:p>
    <w:p w14:paraId="209A4033">
      <w:pPr>
        <w:shd w:val="clear"/>
        <w:adjustRightInd w:val="0"/>
        <w:snapToGrid w:val="0"/>
        <w:spacing w:line="360" w:lineRule="auto"/>
        <w:rPr>
          <w:rFonts w:asciiTheme="minorEastAsia" w:hAnsiTheme="minorEastAsia" w:eastAsiaTheme="minorEastAsia"/>
          <w:color w:val="auto"/>
          <w:szCs w:val="21"/>
          <w:highlight w:val="none"/>
        </w:rPr>
      </w:pPr>
    </w:p>
    <w:p w14:paraId="7AAA7DF7">
      <w:pPr>
        <w:shd w:val="clear"/>
        <w:adjustRightInd w:val="0"/>
        <w:snapToGrid w:val="0"/>
        <w:spacing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szCs w:val="21"/>
          <w:highlight w:val="none"/>
        </w:rPr>
        <w:t>备注：提供第五章规定的证明材料。</w:t>
      </w:r>
    </w:p>
    <w:p w14:paraId="70E84A7B">
      <w:pPr>
        <w:widowControl/>
        <w:shd w:val="clear"/>
        <w:jc w:val="left"/>
        <w:rPr>
          <w:rFonts w:ascii="黑体" w:eastAsia="黑体"/>
          <w:color w:val="auto"/>
          <w:sz w:val="28"/>
          <w:szCs w:val="28"/>
          <w:highlight w:val="none"/>
        </w:rPr>
      </w:pPr>
      <w:r>
        <w:rPr>
          <w:rFonts w:ascii="黑体" w:eastAsia="黑体"/>
          <w:b/>
          <w:bCs/>
          <w:color w:val="auto"/>
          <w:sz w:val="28"/>
          <w:szCs w:val="28"/>
          <w:highlight w:val="none"/>
        </w:rPr>
        <w:br w:type="page"/>
      </w:r>
    </w:p>
    <w:p w14:paraId="3F4B3C03">
      <w:pPr>
        <w:pStyle w:val="4"/>
        <w:shd w:val="clear"/>
        <w:adjustRightInd w:val="0"/>
        <w:snapToGrid w:val="0"/>
        <w:spacing w:before="0" w:after="0" w:line="360" w:lineRule="auto"/>
        <w:jc w:val="center"/>
        <w:rPr>
          <w:rFonts w:hint="eastAsia" w:ascii="黑体" w:hAnsi="宋体" w:eastAsia="黑体"/>
          <w:color w:val="auto"/>
          <w:sz w:val="28"/>
          <w:szCs w:val="28"/>
          <w:highlight w:val="none"/>
        </w:rPr>
      </w:pPr>
      <w:bookmarkStart w:id="159" w:name="_Toc28562"/>
      <w:bookmarkStart w:id="160" w:name="_Toc17311"/>
      <w:bookmarkStart w:id="161" w:name="_Toc27730"/>
      <w:bookmarkStart w:id="162" w:name="_Toc21779"/>
    </w:p>
    <w:p w14:paraId="6CBC6EE4">
      <w:pPr>
        <w:pStyle w:val="4"/>
        <w:shd w:val="clear"/>
        <w:adjustRightInd w:val="0"/>
        <w:snapToGrid w:val="0"/>
        <w:spacing w:before="0" w:after="0" w:line="360" w:lineRule="auto"/>
        <w:jc w:val="center"/>
        <w:rPr>
          <w:rFonts w:ascii="黑体" w:hAnsi="宋体" w:eastAsia="黑体"/>
          <w:color w:val="auto"/>
          <w:sz w:val="28"/>
          <w:szCs w:val="28"/>
          <w:highlight w:val="none"/>
        </w:rPr>
      </w:pPr>
      <w:r>
        <w:rPr>
          <w:rFonts w:hint="eastAsia" w:ascii="黑体" w:hAnsi="宋体" w:eastAsia="黑体"/>
          <w:color w:val="auto"/>
          <w:sz w:val="28"/>
          <w:szCs w:val="28"/>
          <w:highlight w:val="none"/>
        </w:rPr>
        <w:t>十二、投标人认为需提供的其他资料</w:t>
      </w:r>
      <w:bookmarkEnd w:id="159"/>
      <w:bookmarkEnd w:id="160"/>
      <w:bookmarkEnd w:id="161"/>
      <w:bookmarkEnd w:id="162"/>
    </w:p>
    <w:p w14:paraId="33EA775F">
      <w:pPr>
        <w:shd w:val="clear"/>
        <w:adjustRightInd w:val="0"/>
        <w:snapToGrid w:val="0"/>
        <w:spacing w:before="156" w:beforeLines="50" w:line="360" w:lineRule="auto"/>
        <w:rPr>
          <w:rFonts w:asciiTheme="minorEastAsia" w:hAnsiTheme="minorEastAsia" w:eastAsiaTheme="minorEastAsia"/>
          <w:color w:val="auto"/>
          <w:highlight w:val="none"/>
        </w:rPr>
      </w:pPr>
    </w:p>
    <w:p w14:paraId="26B404A5">
      <w:pPr>
        <w:shd w:val="clear"/>
        <w:adjustRightInd w:val="0"/>
        <w:snapToGrid w:val="0"/>
        <w:spacing w:before="156" w:beforeLines="50" w:line="360" w:lineRule="auto"/>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备注：投标人认为需提供的其他资料包括：</w:t>
      </w:r>
    </w:p>
    <w:p w14:paraId="002B03AF">
      <w:pPr>
        <w:shd w:val="clear"/>
        <w:adjustRightInd w:val="0"/>
        <w:snapToGrid w:val="0"/>
        <w:spacing w:before="156" w:beforeLines="50" w:line="360" w:lineRule="auto"/>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（1）招标文件第五章采购需求要求的其他资料；</w:t>
      </w:r>
    </w:p>
    <w:p w14:paraId="1DE80225">
      <w:pPr>
        <w:shd w:val="clear"/>
        <w:adjustRightInd w:val="0"/>
        <w:snapToGrid w:val="0"/>
        <w:spacing w:before="156" w:beforeLines="50" w:line="360" w:lineRule="auto"/>
        <w:ind w:firstLine="420" w:firstLineChars="200"/>
        <w:rPr>
          <w:color w:val="auto"/>
          <w:highlight w:val="none"/>
        </w:rPr>
      </w:pPr>
      <w:r>
        <w:rPr>
          <w:rFonts w:hint="eastAsia" w:asciiTheme="minorEastAsia" w:hAnsiTheme="minorEastAsia" w:eastAsiaTheme="minorEastAsia"/>
          <w:color w:val="auto"/>
          <w:highlight w:val="none"/>
        </w:rPr>
        <w:t>（2）招标文件第四章评标方法及标准要求的其他相关资料。</w:t>
      </w:r>
    </w:p>
    <w:sectPr>
      <w:headerReference r:id="rId12" w:type="default"/>
      <w:pgSz w:w="11906" w:h="16838"/>
      <w:pgMar w:top="1446" w:right="1157" w:bottom="1457" w:left="1015" w:header="850" w:footer="992" w:gutter="0"/>
      <w:pgBorders>
        <w:top w:val="none" w:sz="0" w:space="0"/>
        <w:left w:val="none" w:sz="0" w:space="0"/>
        <w:bottom w:val="none" w:sz="0" w:space="0"/>
        <w:right w:val="none" w:sz="0" w:space="0"/>
      </w:pgBorders>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蠡" w:date="2026-04-20T15:15:15Z" w:initials="">
    <w:p w14:paraId="47152846">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收否接收联合体投标由投标人资格要求移动至此处</w:t>
      </w:r>
    </w:p>
  </w:comment>
  <w:comment w:id="1" w:author="范蠡" w:date="2025-09-03T15:04:43Z" w:initials="">
    <w:p w14:paraId="7BAB0346">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按包填写采购需求内容</w:t>
      </w:r>
    </w:p>
  </w:comment>
  <w:comment w:id="2" w:author="范蠡" w:date="2026-04-20T15:08:35Z" w:initials="">
    <w:p w14:paraId="5B1C35E8">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投标人基本资格条件，固定文案进行调整</w:t>
      </w:r>
    </w:p>
  </w:comment>
  <w:comment w:id="3" w:author="范蠡" w:date="2026-04-20T15:10:19Z" w:initials="">
    <w:p w14:paraId="0DCC5527">
      <w:pPr>
        <w:rPr>
          <w:rFonts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更新政府采购政策资格要求</w:t>
      </w:r>
    </w:p>
  </w:comment>
  <w:comment w:id="4" w:author="范蠡" w:date="2025-09-03T15:07:16Z" w:initials="">
    <w:p w14:paraId="1A7E3587">
      <w:pPr>
        <w:rPr>
          <w:rFonts w:hint="default" w:ascii="宋体" w:hAnsi="宋体" w:eastAsia="宋体" w:cs="宋体"/>
          <w:color w:val="auto"/>
          <w:sz w:val="24"/>
          <w:szCs w:val="24"/>
          <w:lang w:val="en-US" w:eastAsia="zh-CN" w:bidi="ar-SA"/>
        </w:rPr>
      </w:pPr>
      <w:r>
        <w:rPr>
          <w:rFonts w:hint="eastAsia" w:ascii="宋体" w:hAnsi="宋体" w:eastAsia="宋体" w:cs="宋体"/>
          <w:color w:val="auto"/>
          <w:sz w:val="24"/>
          <w:szCs w:val="24"/>
          <w:lang w:val="en-US" w:eastAsia="zh-CN" w:bidi="ar-SA"/>
        </w:rPr>
        <w:t>按包填写</w:t>
      </w:r>
    </w:p>
  </w:comment>
  <w:comment w:id="5" w:author="范蠡" w:date="2025-09-03T15:12:57Z" w:initials="">
    <w:p w14:paraId="59A293BE">
      <w:pPr>
        <w:rPr>
          <w:rFonts w:ascii="宋体" w:hAnsi="宋体" w:eastAsia="宋体" w:cs="宋体"/>
          <w:color w:val="auto"/>
          <w:sz w:val="24"/>
          <w:szCs w:val="24"/>
          <w:lang w:val="en-US" w:eastAsia="zh-CN" w:bidi="ar-SA"/>
        </w:rPr>
      </w:pPr>
      <w:r>
        <w:rPr>
          <w:rFonts w:hint="eastAsia" w:ascii="宋体" w:hAnsi="宋体" w:eastAsia="宋体" w:cs="宋体"/>
          <w:color w:val="auto"/>
          <w:sz w:val="28"/>
          <w:szCs w:val="28"/>
          <w:u w:val="single"/>
          <w:lang w:val="en-US" w:eastAsia="zh-CN" w:bidi="ar-SA"/>
        </w:rPr>
        <w:t>（线上获取/线下获取）</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152846" w15:done="0"/>
  <w15:commentEx w15:paraId="7BAB0346" w15:done="0"/>
  <w15:commentEx w15:paraId="5B1C35E8" w15:done="0"/>
  <w15:commentEx w15:paraId="0DCC5527" w15:done="0"/>
  <w15:commentEx w15:paraId="1A7E3587" w15:done="0"/>
  <w15:commentEx w15:paraId="59A293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F733D32-2AD6-4541-9469-00F1D7C22D9D}"/>
  </w:font>
  <w:font w:name="黑体">
    <w:panose1 w:val="02010609060101010101"/>
    <w:charset w:val="86"/>
    <w:family w:val="auto"/>
    <w:pitch w:val="default"/>
    <w:sig w:usb0="800002BF" w:usb1="38CF7CFA" w:usb2="00000016" w:usb3="00000000" w:csb0="00040001" w:csb1="00000000"/>
    <w:embedRegular r:id="rId2" w:fontKey="{1058B7DF-320E-4FB4-B648-ED8E480614F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9D4B8193-693C-498B-BCFA-5C0B890B1F66}"/>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embedRegular r:id="rId4" w:fontKey="{9CFFED24-22E1-46E4-9C40-78AF291A2D8B}"/>
  </w:font>
  <w:font w:name="仿宋">
    <w:panose1 w:val="02010609060101010101"/>
    <w:charset w:val="86"/>
    <w:family w:val="auto"/>
    <w:pitch w:val="default"/>
    <w:sig w:usb0="800002BF" w:usb1="38CF7CFA" w:usb2="00000016" w:usb3="00000000" w:csb0="00040001" w:csb1="00000000"/>
    <w:embedRegular r:id="rId5" w:fontKey="{4324CB3D-4E76-42AD-92C8-9B00413DE5F9}"/>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FFFFFFF" w:usb1="E9FFFFFF" w:usb2="0000003F" w:usb3="00000000" w:csb0="603F01FF" w:csb1="FFFF0000"/>
    <w:embedRegular r:id="rId6" w:fontKey="{ABBE73C5-19C4-4DD3-903F-3EBCCB3768A2}"/>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embedRegular r:id="rId7" w:fontKey="{20F18DCF-E904-4BB3-AA82-5AFA566321AB}"/>
  </w:font>
  <w:font w:name="Wingdings 2">
    <w:panose1 w:val="05020102010507070707"/>
    <w:charset w:val="02"/>
    <w:family w:val="roman"/>
    <w:pitch w:val="default"/>
    <w:sig w:usb0="00000000" w:usb1="00000000" w:usb2="00000000" w:usb3="00000000" w:csb0="80000000" w:csb1="00000000"/>
    <w:embedRegular r:id="rId8" w:fontKey="{A541CF96-0DA4-43CD-B5EA-9B3F94663FAD}"/>
  </w:font>
  <w:font w:name="微软雅黑">
    <w:panose1 w:val="020B0503020204020204"/>
    <w:charset w:val="86"/>
    <w:family w:val="auto"/>
    <w:pitch w:val="default"/>
    <w:sig w:usb0="80000287" w:usb1="2ACF3C50" w:usb2="00000016" w:usb3="00000000" w:csb0="0004001F" w:csb1="00000000"/>
    <w:embedRegular r:id="rId9" w:fontKey="{CC74C3BB-1A7B-4D7C-87F6-F601386F3807}"/>
  </w:font>
  <w:font w:name="Microsoft YaHei UI">
    <w:panose1 w:val="020B0503020204020204"/>
    <w:charset w:val="86"/>
    <w:family w:val="auto"/>
    <w:pitch w:val="default"/>
    <w:sig w:usb0="80000287" w:usb1="2ACF3C50" w:usb2="00000016" w:usb3="00000000" w:csb0="0004001F" w:csb1="00000000"/>
    <w:embedRegular r:id="rId10" w:fontKey="{214C0949-C07E-404D-8AB2-8A505FAC66F9}"/>
  </w:font>
  <w:font w:name="Segoe UI">
    <w:panose1 w:val="020B0502040204020203"/>
    <w:charset w:val="00"/>
    <w:family w:val="auto"/>
    <w:pitch w:val="default"/>
    <w:sig w:usb0="E4002EFF" w:usb1="C000E47F" w:usb2="00000009" w:usb3="00000000" w:csb0="200001FF" w:csb1="00000000"/>
    <w:embedRegular r:id="rId11" w:fontKey="{C1A3733F-B2E6-404B-80A6-06085760A38F}"/>
  </w:font>
  <w:font w:name="华文宋体">
    <w:panose1 w:val="02010600040101010101"/>
    <w:charset w:val="86"/>
    <w:family w:val="auto"/>
    <w:pitch w:val="default"/>
    <w:sig w:usb0="00000287" w:usb1="080F0000" w:usb2="00000000" w:usb3="00000000" w:csb0="0004009F" w:csb1="DFD70000"/>
    <w:embedRegular r:id="rId12" w:fontKey="{7B8EE724-99DE-4E15-B50D-01AB6B37270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CC295">
    <w:pPr>
      <w:pStyle w:val="28"/>
    </w:pPr>
    <w:r>
      <w:pict>
        <v:shape id="文本框 3" o:spid="_x0000_s3073"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path/>
          <v:fill on="f" focussize="0,0"/>
          <v:stroke on="f" weight="0.5pt" joinstyle="miter"/>
          <v:imagedata o:title=""/>
          <o:lock v:ext="edit"/>
          <v:textbox inset="0mm,0mm,0mm,0mm" style="mso-fit-shape-to-text:t;">
            <w:txbxContent>
              <w:p w14:paraId="7E6FCE42">
                <w:pPr>
                  <w:pStyle w:val="28"/>
                </w:pPr>
                <w:r>
                  <w:fldChar w:fldCharType="begin"/>
                </w:r>
                <w:r>
                  <w:instrText xml:space="preserve"> PAGE  \* MERGEFORMAT </w:instrText>
                </w:r>
                <w:r>
                  <w:fldChar w:fldCharType="separate"/>
                </w:r>
                <w:r>
                  <w:t>38</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33319">
    <w:pPr>
      <w:pStyle w:val="28"/>
      <w:framePr w:wrap="around" w:vAnchor="text" w:hAnchor="margin" w:xAlign="right" w:y="1"/>
      <w:rPr>
        <w:rStyle w:val="47"/>
      </w:rPr>
    </w:pPr>
    <w:r>
      <w:fldChar w:fldCharType="begin"/>
    </w:r>
    <w:r>
      <w:rPr>
        <w:rStyle w:val="47"/>
      </w:rPr>
      <w:instrText xml:space="preserve">PAGE  </w:instrText>
    </w:r>
    <w:r>
      <w:fldChar w:fldCharType="end"/>
    </w:r>
  </w:p>
  <w:p w14:paraId="521B2586">
    <w:pPr>
      <w:pStyle w:val="2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D7A9">
    <w:pPr>
      <w:spacing w:line="176" w:lineRule="auto"/>
      <w:ind w:left="4381"/>
      <w:rPr>
        <w:rFonts w:ascii="Times New Roman" w:hAnsi="Times New Roman" w:eastAsia="Times New Roman" w:cs="Times New Roman"/>
        <w:sz w:val="18"/>
        <w:szCs w:val="18"/>
      </w:rPr>
    </w:pPr>
    <w:r>
      <w:rPr>
        <w:sz w:val="18"/>
      </w:rPr>
      <w:pict>
        <v:shape id="_x0000_s3074" o:spid="_x0000_s3074"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E2A8C41">
                <w:pPr>
                  <w:pStyle w:val="28"/>
                </w:pPr>
                <w:r>
                  <w:fldChar w:fldCharType="begin"/>
                </w:r>
                <w:r>
                  <w:instrText xml:space="preserve"> PAGE  \* MERGEFORMAT </w:instrText>
                </w:r>
                <w:r>
                  <w:fldChar w:fldCharType="separate"/>
                </w:r>
                <w:r>
                  <w:t>110</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7EE68">
    <w:pPr>
      <w:pStyle w:val="29"/>
      <w:pBdr>
        <w:top w:val="none" w:color="auto" w:sz="0" w:space="0"/>
        <w:left w:val="none" w:color="auto" w:sz="0" w:space="0"/>
        <w:bottom w:val="none" w:color="auto" w:sz="0" w:space="1"/>
        <w:right w:val="none" w:color="auto" w:sz="0" w:space="0"/>
        <w:between w:val="none" w:color="auto" w:sz="0" w:space="0"/>
      </w:pBdr>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C1AF7">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64509">
    <w:pPr>
      <w:pStyle w:val="2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9CD8A">
    <w:pPr>
      <w:pStyle w:val="17"/>
      <w:spacing w:line="46"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B1815">
    <w:pPr>
      <w:pStyle w:val="29"/>
      <w:jc w:val="both"/>
      <w:rPr>
        <w:rFonts w:ascii="宋体" w:hAnsi="宋体"/>
        <w:szCs w:val="21"/>
      </w:rPr>
    </w:pPr>
  </w:p>
  <w:p w14:paraId="119FAE27">
    <w:pPr>
      <w:pStyle w:val="29"/>
      <w:jc w:val="both"/>
      <w:rPr>
        <w:rFonts w:hint="eastAsia" w:eastAsia="宋体"/>
        <w:lang w:eastAsia="zh-CN"/>
      </w:rPr>
    </w:pPr>
    <w:r>
      <w:rPr>
        <w:rFonts w:hint="eastAsia" w:ascii="宋体" w:hAnsi="宋体"/>
        <w:szCs w:val="21"/>
        <w:lang w:eastAsia="zh-CN"/>
      </w:rPr>
      <w:t>岳阳市君山区人民医院无创呼吸机等设备采购项目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F8B7D"/>
    <w:multiLevelType w:val="singleLevel"/>
    <w:tmpl w:val="86EF8B7D"/>
    <w:lvl w:ilvl="0" w:tentative="0">
      <w:start w:val="3"/>
      <w:numFmt w:val="decimal"/>
      <w:suff w:val="nothing"/>
      <w:lvlText w:val="%1、"/>
      <w:lvlJc w:val="left"/>
    </w:lvl>
  </w:abstractNum>
  <w:abstractNum w:abstractNumId="1">
    <w:nsid w:val="90DAE1F9"/>
    <w:multiLevelType w:val="singleLevel"/>
    <w:tmpl w:val="90DAE1F9"/>
    <w:lvl w:ilvl="0" w:tentative="0">
      <w:start w:val="1"/>
      <w:numFmt w:val="chineseCounting"/>
      <w:suff w:val="space"/>
      <w:lvlText w:val="第%1部分"/>
      <w:lvlJc w:val="left"/>
      <w:rPr>
        <w:rFonts w:hint="eastAsia"/>
      </w:rPr>
    </w:lvl>
  </w:abstractNum>
  <w:abstractNum w:abstractNumId="2">
    <w:nsid w:val="C5D8CFDB"/>
    <w:multiLevelType w:val="multilevel"/>
    <w:tmpl w:val="C5D8CFDB"/>
    <w:lvl w:ilvl="0" w:tentative="0">
      <w:start w:val="1"/>
      <w:numFmt w:val="decimal"/>
      <w:lvlText w:val="%1."/>
      <w:lvlJc w:val="left"/>
      <w:pPr>
        <w:ind w:left="425" w:hanging="425"/>
      </w:pPr>
    </w:lvl>
    <w:lvl w:ilvl="1" w:tentative="0">
      <w:start w:val="1"/>
      <w:numFmt w:val="decimal"/>
      <w:lvlText w:val="%1.%2."/>
      <w:lvlJc w:val="left"/>
      <w:pPr>
        <w:ind w:left="850" w:hanging="453"/>
      </w:pPr>
    </w:lvl>
    <w:lvl w:ilvl="2" w:tentative="0">
      <w:start w:val="1"/>
      <w:numFmt w:val="decimal"/>
      <w:lvlText w:val="%1.%2.%3."/>
      <w:lvlJc w:val="left"/>
      <w:pPr>
        <w:ind w:left="1508" w:hanging="708"/>
      </w:pPr>
    </w:lvl>
    <w:lvl w:ilvl="3" w:tentative="0">
      <w:start w:val="1"/>
      <w:numFmt w:val="decimal"/>
      <w:lvlText w:val="%1.%2.%3.%4."/>
      <w:lvlJc w:val="left"/>
      <w:pPr>
        <w:ind w:left="2053" w:hanging="853"/>
      </w:pPr>
    </w:lvl>
    <w:lvl w:ilvl="4" w:tentative="0">
      <w:start w:val="1"/>
      <w:numFmt w:val="decimal"/>
      <w:lvlText w:val="%1.%2.%3.%4.%5."/>
      <w:lvlJc w:val="left"/>
      <w:pPr>
        <w:ind w:left="2495" w:hanging="895"/>
      </w:pPr>
    </w:lvl>
    <w:lvl w:ilvl="5" w:tentative="0">
      <w:start w:val="1"/>
      <w:numFmt w:val="decimal"/>
      <w:lvlText w:val="%1.%2.%3.%4.%5.%6."/>
      <w:lvlJc w:val="left"/>
      <w:pPr>
        <w:ind w:left="3136" w:hanging="1136"/>
      </w:pPr>
    </w:lvl>
    <w:lvl w:ilvl="6" w:tentative="0">
      <w:start w:val="1"/>
      <w:numFmt w:val="decimal"/>
      <w:lvlText w:val="%1.%2.%3.%4.%5.%6.%7."/>
      <w:lvlJc w:val="left"/>
      <w:pPr>
        <w:ind w:left="3673" w:hanging="1273"/>
      </w:pPr>
    </w:lvl>
    <w:lvl w:ilvl="7" w:tentative="0">
      <w:start w:val="1"/>
      <w:numFmt w:val="decimal"/>
      <w:lvlText w:val="%1.%2.%3.%4.%5.%6.%7.%8."/>
      <w:lvlJc w:val="left"/>
      <w:pPr>
        <w:ind w:left="4218" w:hanging="1418"/>
      </w:pPr>
    </w:lvl>
    <w:lvl w:ilvl="8" w:tentative="0">
      <w:start w:val="1"/>
      <w:numFmt w:val="decimal"/>
      <w:lvlText w:val="%1.%2.%3.%4.%5.%6.%7.%8.%9."/>
      <w:lvlJc w:val="left"/>
      <w:pPr>
        <w:ind w:left="4648" w:hanging="1448"/>
      </w:pPr>
    </w:lvl>
  </w:abstractNum>
  <w:abstractNum w:abstractNumId="3">
    <w:nsid w:val="CFD622DC"/>
    <w:multiLevelType w:val="singleLevel"/>
    <w:tmpl w:val="CFD622DC"/>
    <w:lvl w:ilvl="0" w:tentative="0">
      <w:start w:val="1"/>
      <w:numFmt w:val="decimal"/>
      <w:suff w:val="nothing"/>
      <w:lvlText w:val="%1、"/>
      <w:lvlJc w:val="left"/>
    </w:lvl>
  </w:abstractNum>
  <w:abstractNum w:abstractNumId="4">
    <w:nsid w:val="3BE2A245"/>
    <w:multiLevelType w:val="singleLevel"/>
    <w:tmpl w:val="3BE2A245"/>
    <w:lvl w:ilvl="0" w:tentative="0">
      <w:start w:val="1"/>
      <w:numFmt w:val="decimal"/>
      <w:suff w:val="nothing"/>
      <w:lvlText w:val="%1、"/>
      <w:lvlJc w:val="left"/>
    </w:lvl>
  </w:abstractNum>
  <w:abstractNum w:abstractNumId="5">
    <w:nsid w:val="7B5FF327"/>
    <w:multiLevelType w:val="singleLevel"/>
    <w:tmpl w:val="7B5FF327"/>
    <w:lvl w:ilvl="0" w:tentative="0">
      <w:start w:val="2"/>
      <w:numFmt w:val="chineseCounting"/>
      <w:suff w:val="nothing"/>
      <w:lvlText w:val="%1、"/>
      <w:lvlJc w:val="left"/>
      <w:rPr>
        <w:rFonts w:hint="eastAsia"/>
      </w:rPr>
    </w:lvl>
  </w:abstractNum>
  <w:num w:numId="1">
    <w:abstractNumId w:val="5"/>
  </w:num>
  <w:num w:numId="2">
    <w:abstractNumId w:val="0"/>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蠡">
    <w15:presenceInfo w15:providerId="WPS Office" w15:userId="60629744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TI4ZjcyYTBkZTZiMDBlMzg1YTg2ZWUzZWQyOWU2MzkifQ=="/>
  </w:docVars>
  <w:rsids>
    <w:rsidRoot w:val="007434B4"/>
    <w:rsid w:val="000013FE"/>
    <w:rsid w:val="0000186F"/>
    <w:rsid w:val="00001A03"/>
    <w:rsid w:val="000037DE"/>
    <w:rsid w:val="0001024D"/>
    <w:rsid w:val="00010382"/>
    <w:rsid w:val="0001087B"/>
    <w:rsid w:val="00011857"/>
    <w:rsid w:val="0001310B"/>
    <w:rsid w:val="00013466"/>
    <w:rsid w:val="00013574"/>
    <w:rsid w:val="00013923"/>
    <w:rsid w:val="0001686F"/>
    <w:rsid w:val="00017581"/>
    <w:rsid w:val="00017649"/>
    <w:rsid w:val="00017F9C"/>
    <w:rsid w:val="00022FDC"/>
    <w:rsid w:val="0002404C"/>
    <w:rsid w:val="000252F0"/>
    <w:rsid w:val="00025EED"/>
    <w:rsid w:val="000260CC"/>
    <w:rsid w:val="00031705"/>
    <w:rsid w:val="000333AE"/>
    <w:rsid w:val="000356C7"/>
    <w:rsid w:val="000358FA"/>
    <w:rsid w:val="00037B3D"/>
    <w:rsid w:val="00040247"/>
    <w:rsid w:val="00040313"/>
    <w:rsid w:val="00040E14"/>
    <w:rsid w:val="00043E01"/>
    <w:rsid w:val="0004524C"/>
    <w:rsid w:val="00045920"/>
    <w:rsid w:val="00045B4B"/>
    <w:rsid w:val="00045C73"/>
    <w:rsid w:val="00046881"/>
    <w:rsid w:val="000508AD"/>
    <w:rsid w:val="0005168D"/>
    <w:rsid w:val="00053BE1"/>
    <w:rsid w:val="00053C94"/>
    <w:rsid w:val="00057421"/>
    <w:rsid w:val="00061310"/>
    <w:rsid w:val="00061914"/>
    <w:rsid w:val="00063D23"/>
    <w:rsid w:val="00064B39"/>
    <w:rsid w:val="00065B0D"/>
    <w:rsid w:val="000662FC"/>
    <w:rsid w:val="000677C7"/>
    <w:rsid w:val="00067D62"/>
    <w:rsid w:val="00072573"/>
    <w:rsid w:val="0007343D"/>
    <w:rsid w:val="000745C1"/>
    <w:rsid w:val="0007473A"/>
    <w:rsid w:val="00074CB8"/>
    <w:rsid w:val="00076502"/>
    <w:rsid w:val="000775DD"/>
    <w:rsid w:val="00080119"/>
    <w:rsid w:val="00082346"/>
    <w:rsid w:val="000841E5"/>
    <w:rsid w:val="00085D83"/>
    <w:rsid w:val="00087CA6"/>
    <w:rsid w:val="00091751"/>
    <w:rsid w:val="000917F5"/>
    <w:rsid w:val="0009282A"/>
    <w:rsid w:val="00092E61"/>
    <w:rsid w:val="00093D94"/>
    <w:rsid w:val="0009483A"/>
    <w:rsid w:val="00094FEB"/>
    <w:rsid w:val="000A0601"/>
    <w:rsid w:val="000A0657"/>
    <w:rsid w:val="000A0CD6"/>
    <w:rsid w:val="000A2631"/>
    <w:rsid w:val="000A2B0D"/>
    <w:rsid w:val="000A4283"/>
    <w:rsid w:val="000A6AFA"/>
    <w:rsid w:val="000B07FC"/>
    <w:rsid w:val="000B150D"/>
    <w:rsid w:val="000B1637"/>
    <w:rsid w:val="000B1715"/>
    <w:rsid w:val="000B2722"/>
    <w:rsid w:val="000B320F"/>
    <w:rsid w:val="000B3A4F"/>
    <w:rsid w:val="000B538A"/>
    <w:rsid w:val="000B5D7D"/>
    <w:rsid w:val="000B67D9"/>
    <w:rsid w:val="000B6EA7"/>
    <w:rsid w:val="000B7DF1"/>
    <w:rsid w:val="000B7EF8"/>
    <w:rsid w:val="000C245B"/>
    <w:rsid w:val="000C2AE6"/>
    <w:rsid w:val="000C354A"/>
    <w:rsid w:val="000C3BCA"/>
    <w:rsid w:val="000C40DE"/>
    <w:rsid w:val="000C4FD9"/>
    <w:rsid w:val="000C52A0"/>
    <w:rsid w:val="000C6B2C"/>
    <w:rsid w:val="000C6F5A"/>
    <w:rsid w:val="000D04C8"/>
    <w:rsid w:val="000D0E5E"/>
    <w:rsid w:val="000D1018"/>
    <w:rsid w:val="000D2A3F"/>
    <w:rsid w:val="000D3510"/>
    <w:rsid w:val="000D5249"/>
    <w:rsid w:val="000D58F0"/>
    <w:rsid w:val="000D6421"/>
    <w:rsid w:val="000D6514"/>
    <w:rsid w:val="000E1791"/>
    <w:rsid w:val="000E3571"/>
    <w:rsid w:val="000E46D9"/>
    <w:rsid w:val="000E4E95"/>
    <w:rsid w:val="000E50DD"/>
    <w:rsid w:val="000E7417"/>
    <w:rsid w:val="000E741F"/>
    <w:rsid w:val="000F1A45"/>
    <w:rsid w:val="000F1AF9"/>
    <w:rsid w:val="000F21C8"/>
    <w:rsid w:val="000F2B29"/>
    <w:rsid w:val="000F2BB1"/>
    <w:rsid w:val="000F3139"/>
    <w:rsid w:val="000F4155"/>
    <w:rsid w:val="000F44CB"/>
    <w:rsid w:val="000F5099"/>
    <w:rsid w:val="000F5866"/>
    <w:rsid w:val="000F74AB"/>
    <w:rsid w:val="000F7F2A"/>
    <w:rsid w:val="001047E3"/>
    <w:rsid w:val="00105A9C"/>
    <w:rsid w:val="00106446"/>
    <w:rsid w:val="00110B4B"/>
    <w:rsid w:val="00111596"/>
    <w:rsid w:val="00111CC9"/>
    <w:rsid w:val="00112032"/>
    <w:rsid w:val="00113388"/>
    <w:rsid w:val="00113C61"/>
    <w:rsid w:val="00114318"/>
    <w:rsid w:val="0011569B"/>
    <w:rsid w:val="001228FD"/>
    <w:rsid w:val="001238BC"/>
    <w:rsid w:val="001239FE"/>
    <w:rsid w:val="00124410"/>
    <w:rsid w:val="0012510B"/>
    <w:rsid w:val="00125769"/>
    <w:rsid w:val="00125F48"/>
    <w:rsid w:val="00131028"/>
    <w:rsid w:val="0013172D"/>
    <w:rsid w:val="00132924"/>
    <w:rsid w:val="00134894"/>
    <w:rsid w:val="001413DF"/>
    <w:rsid w:val="00141BEE"/>
    <w:rsid w:val="0014220A"/>
    <w:rsid w:val="00144141"/>
    <w:rsid w:val="001443BC"/>
    <w:rsid w:val="0014699B"/>
    <w:rsid w:val="00146D14"/>
    <w:rsid w:val="00146EB7"/>
    <w:rsid w:val="00147238"/>
    <w:rsid w:val="00153C89"/>
    <w:rsid w:val="00160BD3"/>
    <w:rsid w:val="001617E9"/>
    <w:rsid w:val="00162366"/>
    <w:rsid w:val="00162F23"/>
    <w:rsid w:val="00163AAA"/>
    <w:rsid w:val="00164661"/>
    <w:rsid w:val="00167763"/>
    <w:rsid w:val="001708E8"/>
    <w:rsid w:val="001728CA"/>
    <w:rsid w:val="00173D83"/>
    <w:rsid w:val="00173FFE"/>
    <w:rsid w:val="00175FE2"/>
    <w:rsid w:val="0017741D"/>
    <w:rsid w:val="00181A2A"/>
    <w:rsid w:val="00181D2E"/>
    <w:rsid w:val="00182D9F"/>
    <w:rsid w:val="001846F2"/>
    <w:rsid w:val="001850A4"/>
    <w:rsid w:val="001851A9"/>
    <w:rsid w:val="00185B43"/>
    <w:rsid w:val="00187DB6"/>
    <w:rsid w:val="00190C8F"/>
    <w:rsid w:val="00192075"/>
    <w:rsid w:val="001924BD"/>
    <w:rsid w:val="00197153"/>
    <w:rsid w:val="00197441"/>
    <w:rsid w:val="001A053D"/>
    <w:rsid w:val="001A101A"/>
    <w:rsid w:val="001A2566"/>
    <w:rsid w:val="001A3AA5"/>
    <w:rsid w:val="001A3AFC"/>
    <w:rsid w:val="001A561A"/>
    <w:rsid w:val="001A58C6"/>
    <w:rsid w:val="001B2294"/>
    <w:rsid w:val="001B313B"/>
    <w:rsid w:val="001B4F01"/>
    <w:rsid w:val="001B5907"/>
    <w:rsid w:val="001B6F4A"/>
    <w:rsid w:val="001C274B"/>
    <w:rsid w:val="001C28D3"/>
    <w:rsid w:val="001C319E"/>
    <w:rsid w:val="001C3EC1"/>
    <w:rsid w:val="001C483D"/>
    <w:rsid w:val="001C5444"/>
    <w:rsid w:val="001D0919"/>
    <w:rsid w:val="001D0F5F"/>
    <w:rsid w:val="001D26DC"/>
    <w:rsid w:val="001D300D"/>
    <w:rsid w:val="001D302B"/>
    <w:rsid w:val="001D5B75"/>
    <w:rsid w:val="001E3D6A"/>
    <w:rsid w:val="001E4458"/>
    <w:rsid w:val="001E59F7"/>
    <w:rsid w:val="001E6451"/>
    <w:rsid w:val="001F1819"/>
    <w:rsid w:val="001F4878"/>
    <w:rsid w:val="001F513F"/>
    <w:rsid w:val="001F526E"/>
    <w:rsid w:val="001F5B18"/>
    <w:rsid w:val="001F7A1C"/>
    <w:rsid w:val="001F7AFA"/>
    <w:rsid w:val="002008A9"/>
    <w:rsid w:val="00200C39"/>
    <w:rsid w:val="002018AB"/>
    <w:rsid w:val="002023F0"/>
    <w:rsid w:val="0020308E"/>
    <w:rsid w:val="00203EA6"/>
    <w:rsid w:val="002049F8"/>
    <w:rsid w:val="00205025"/>
    <w:rsid w:val="00210F21"/>
    <w:rsid w:val="0021139E"/>
    <w:rsid w:val="002120B7"/>
    <w:rsid w:val="0021498F"/>
    <w:rsid w:val="0021548B"/>
    <w:rsid w:val="00215D98"/>
    <w:rsid w:val="00221240"/>
    <w:rsid w:val="00221BE4"/>
    <w:rsid w:val="00223541"/>
    <w:rsid w:val="002240A4"/>
    <w:rsid w:val="00226BA8"/>
    <w:rsid w:val="0023235C"/>
    <w:rsid w:val="00232836"/>
    <w:rsid w:val="00235123"/>
    <w:rsid w:val="0023554B"/>
    <w:rsid w:val="00236C48"/>
    <w:rsid w:val="0024057D"/>
    <w:rsid w:val="002414D4"/>
    <w:rsid w:val="002419D0"/>
    <w:rsid w:val="00242270"/>
    <w:rsid w:val="00242A62"/>
    <w:rsid w:val="002444EA"/>
    <w:rsid w:val="00245EF6"/>
    <w:rsid w:val="0025131F"/>
    <w:rsid w:val="00253669"/>
    <w:rsid w:val="00254043"/>
    <w:rsid w:val="00255AC7"/>
    <w:rsid w:val="00256069"/>
    <w:rsid w:val="00256A84"/>
    <w:rsid w:val="002579E4"/>
    <w:rsid w:val="00261AC6"/>
    <w:rsid w:val="00262EA5"/>
    <w:rsid w:val="00262FCB"/>
    <w:rsid w:val="00263878"/>
    <w:rsid w:val="002643E5"/>
    <w:rsid w:val="00264EB2"/>
    <w:rsid w:val="00265009"/>
    <w:rsid w:val="00265BE6"/>
    <w:rsid w:val="00265E1A"/>
    <w:rsid w:val="002663DF"/>
    <w:rsid w:val="0026705D"/>
    <w:rsid w:val="00267881"/>
    <w:rsid w:val="00267C83"/>
    <w:rsid w:val="002716ED"/>
    <w:rsid w:val="00271749"/>
    <w:rsid w:val="002721FF"/>
    <w:rsid w:val="00272498"/>
    <w:rsid w:val="00276AC4"/>
    <w:rsid w:val="0027767A"/>
    <w:rsid w:val="002815E4"/>
    <w:rsid w:val="0028240A"/>
    <w:rsid w:val="00283A43"/>
    <w:rsid w:val="0028486F"/>
    <w:rsid w:val="002855D4"/>
    <w:rsid w:val="00285A81"/>
    <w:rsid w:val="00285F61"/>
    <w:rsid w:val="002868A8"/>
    <w:rsid w:val="00287359"/>
    <w:rsid w:val="00290DAB"/>
    <w:rsid w:val="00291C24"/>
    <w:rsid w:val="00292441"/>
    <w:rsid w:val="00292F73"/>
    <w:rsid w:val="00293A07"/>
    <w:rsid w:val="00297284"/>
    <w:rsid w:val="00297B75"/>
    <w:rsid w:val="002A0C4E"/>
    <w:rsid w:val="002A1672"/>
    <w:rsid w:val="002A22D6"/>
    <w:rsid w:val="002A253A"/>
    <w:rsid w:val="002A3505"/>
    <w:rsid w:val="002A4598"/>
    <w:rsid w:val="002A65E2"/>
    <w:rsid w:val="002A7BBC"/>
    <w:rsid w:val="002B15AC"/>
    <w:rsid w:val="002B1662"/>
    <w:rsid w:val="002B33E8"/>
    <w:rsid w:val="002B3839"/>
    <w:rsid w:val="002B469A"/>
    <w:rsid w:val="002B51EA"/>
    <w:rsid w:val="002B61B1"/>
    <w:rsid w:val="002C0D89"/>
    <w:rsid w:val="002C1AB9"/>
    <w:rsid w:val="002C2061"/>
    <w:rsid w:val="002C2D6E"/>
    <w:rsid w:val="002C363B"/>
    <w:rsid w:val="002C465A"/>
    <w:rsid w:val="002C6E3F"/>
    <w:rsid w:val="002D0233"/>
    <w:rsid w:val="002D13DD"/>
    <w:rsid w:val="002D2F30"/>
    <w:rsid w:val="002D61AB"/>
    <w:rsid w:val="002D6A0A"/>
    <w:rsid w:val="002E236F"/>
    <w:rsid w:val="002E273F"/>
    <w:rsid w:val="002E28E9"/>
    <w:rsid w:val="002E36ED"/>
    <w:rsid w:val="002E61AD"/>
    <w:rsid w:val="002E7BC9"/>
    <w:rsid w:val="002F08D1"/>
    <w:rsid w:val="002F16E6"/>
    <w:rsid w:val="002F1C4E"/>
    <w:rsid w:val="002F4865"/>
    <w:rsid w:val="002F654F"/>
    <w:rsid w:val="002F7B60"/>
    <w:rsid w:val="003009CE"/>
    <w:rsid w:val="00300C8F"/>
    <w:rsid w:val="00304B00"/>
    <w:rsid w:val="00306A74"/>
    <w:rsid w:val="003107CD"/>
    <w:rsid w:val="00313325"/>
    <w:rsid w:val="00313A4D"/>
    <w:rsid w:val="00313F34"/>
    <w:rsid w:val="00314D70"/>
    <w:rsid w:val="00314DB9"/>
    <w:rsid w:val="00321E2F"/>
    <w:rsid w:val="0032557C"/>
    <w:rsid w:val="00331031"/>
    <w:rsid w:val="003350FF"/>
    <w:rsid w:val="00335CCE"/>
    <w:rsid w:val="00335FD1"/>
    <w:rsid w:val="003401C3"/>
    <w:rsid w:val="00340374"/>
    <w:rsid w:val="003405EA"/>
    <w:rsid w:val="00340A1C"/>
    <w:rsid w:val="00340B45"/>
    <w:rsid w:val="00342E44"/>
    <w:rsid w:val="00342EA3"/>
    <w:rsid w:val="00347DC8"/>
    <w:rsid w:val="00350118"/>
    <w:rsid w:val="00350642"/>
    <w:rsid w:val="0035087B"/>
    <w:rsid w:val="00352E5D"/>
    <w:rsid w:val="00353D3F"/>
    <w:rsid w:val="00354E41"/>
    <w:rsid w:val="003563EA"/>
    <w:rsid w:val="0035647A"/>
    <w:rsid w:val="00356C0C"/>
    <w:rsid w:val="0036003D"/>
    <w:rsid w:val="00361E5C"/>
    <w:rsid w:val="00363E91"/>
    <w:rsid w:val="00365849"/>
    <w:rsid w:val="0036754C"/>
    <w:rsid w:val="00367761"/>
    <w:rsid w:val="003716F6"/>
    <w:rsid w:val="00371F00"/>
    <w:rsid w:val="00372394"/>
    <w:rsid w:val="003723EC"/>
    <w:rsid w:val="00372E6F"/>
    <w:rsid w:val="00373228"/>
    <w:rsid w:val="00375879"/>
    <w:rsid w:val="003759A5"/>
    <w:rsid w:val="0037765F"/>
    <w:rsid w:val="0037789B"/>
    <w:rsid w:val="003779F0"/>
    <w:rsid w:val="00381353"/>
    <w:rsid w:val="003822E5"/>
    <w:rsid w:val="00382317"/>
    <w:rsid w:val="00383E27"/>
    <w:rsid w:val="00384F53"/>
    <w:rsid w:val="00385B02"/>
    <w:rsid w:val="00387315"/>
    <w:rsid w:val="00390203"/>
    <w:rsid w:val="00391805"/>
    <w:rsid w:val="003966A4"/>
    <w:rsid w:val="003A246B"/>
    <w:rsid w:val="003A2C11"/>
    <w:rsid w:val="003A4099"/>
    <w:rsid w:val="003A48A3"/>
    <w:rsid w:val="003A4D32"/>
    <w:rsid w:val="003A56B4"/>
    <w:rsid w:val="003A7D94"/>
    <w:rsid w:val="003B074C"/>
    <w:rsid w:val="003B099D"/>
    <w:rsid w:val="003B1302"/>
    <w:rsid w:val="003B652C"/>
    <w:rsid w:val="003B65C0"/>
    <w:rsid w:val="003B7843"/>
    <w:rsid w:val="003C0A14"/>
    <w:rsid w:val="003C1256"/>
    <w:rsid w:val="003C1404"/>
    <w:rsid w:val="003C193D"/>
    <w:rsid w:val="003C2F63"/>
    <w:rsid w:val="003C604E"/>
    <w:rsid w:val="003C7688"/>
    <w:rsid w:val="003C7A73"/>
    <w:rsid w:val="003D16A0"/>
    <w:rsid w:val="003D2368"/>
    <w:rsid w:val="003D2A6B"/>
    <w:rsid w:val="003D4669"/>
    <w:rsid w:val="003D475A"/>
    <w:rsid w:val="003D5168"/>
    <w:rsid w:val="003D5E2A"/>
    <w:rsid w:val="003D7E33"/>
    <w:rsid w:val="003E01DA"/>
    <w:rsid w:val="003E0880"/>
    <w:rsid w:val="003E3CBC"/>
    <w:rsid w:val="003E44E8"/>
    <w:rsid w:val="003E5316"/>
    <w:rsid w:val="003E587C"/>
    <w:rsid w:val="003E63DA"/>
    <w:rsid w:val="003E6E9A"/>
    <w:rsid w:val="003E77E5"/>
    <w:rsid w:val="003F0052"/>
    <w:rsid w:val="003F080A"/>
    <w:rsid w:val="003F1CA7"/>
    <w:rsid w:val="003F7A5C"/>
    <w:rsid w:val="00400ACB"/>
    <w:rsid w:val="00401681"/>
    <w:rsid w:val="00401EA9"/>
    <w:rsid w:val="00403331"/>
    <w:rsid w:val="004047E0"/>
    <w:rsid w:val="00405498"/>
    <w:rsid w:val="0040556F"/>
    <w:rsid w:val="00405C57"/>
    <w:rsid w:val="0040634B"/>
    <w:rsid w:val="0040642E"/>
    <w:rsid w:val="00406717"/>
    <w:rsid w:val="00406F15"/>
    <w:rsid w:val="0040769F"/>
    <w:rsid w:val="004112B7"/>
    <w:rsid w:val="004117C4"/>
    <w:rsid w:val="0041189C"/>
    <w:rsid w:val="004124B1"/>
    <w:rsid w:val="00412EDA"/>
    <w:rsid w:val="00413ED6"/>
    <w:rsid w:val="0041533B"/>
    <w:rsid w:val="00415978"/>
    <w:rsid w:val="004160F0"/>
    <w:rsid w:val="00416A2C"/>
    <w:rsid w:val="00417107"/>
    <w:rsid w:val="004237B8"/>
    <w:rsid w:val="00423AB0"/>
    <w:rsid w:val="004241CA"/>
    <w:rsid w:val="00426D1D"/>
    <w:rsid w:val="0043056E"/>
    <w:rsid w:val="00431DCD"/>
    <w:rsid w:val="00432EDE"/>
    <w:rsid w:val="004346A4"/>
    <w:rsid w:val="00434E74"/>
    <w:rsid w:val="00436879"/>
    <w:rsid w:val="00437DC8"/>
    <w:rsid w:val="0044006B"/>
    <w:rsid w:val="00440E17"/>
    <w:rsid w:val="00441DE0"/>
    <w:rsid w:val="004438EC"/>
    <w:rsid w:val="00444317"/>
    <w:rsid w:val="00446471"/>
    <w:rsid w:val="004470BD"/>
    <w:rsid w:val="00447F68"/>
    <w:rsid w:val="004545B3"/>
    <w:rsid w:val="004604E5"/>
    <w:rsid w:val="00460668"/>
    <w:rsid w:val="004611C1"/>
    <w:rsid w:val="0046306C"/>
    <w:rsid w:val="0046496F"/>
    <w:rsid w:val="00465AF5"/>
    <w:rsid w:val="004661B0"/>
    <w:rsid w:val="004674C3"/>
    <w:rsid w:val="00470775"/>
    <w:rsid w:val="00473A7F"/>
    <w:rsid w:val="00474576"/>
    <w:rsid w:val="00477E58"/>
    <w:rsid w:val="00481E00"/>
    <w:rsid w:val="00484599"/>
    <w:rsid w:val="00484DBE"/>
    <w:rsid w:val="004851C5"/>
    <w:rsid w:val="00485F0D"/>
    <w:rsid w:val="004929AF"/>
    <w:rsid w:val="00493879"/>
    <w:rsid w:val="00494A80"/>
    <w:rsid w:val="004950E9"/>
    <w:rsid w:val="004A774F"/>
    <w:rsid w:val="004A7AFF"/>
    <w:rsid w:val="004B501F"/>
    <w:rsid w:val="004B6A9B"/>
    <w:rsid w:val="004C0A57"/>
    <w:rsid w:val="004C3F0B"/>
    <w:rsid w:val="004C4320"/>
    <w:rsid w:val="004C4797"/>
    <w:rsid w:val="004C48CB"/>
    <w:rsid w:val="004C6C6E"/>
    <w:rsid w:val="004C780E"/>
    <w:rsid w:val="004D368B"/>
    <w:rsid w:val="004D4549"/>
    <w:rsid w:val="004D5ACE"/>
    <w:rsid w:val="004E0B8E"/>
    <w:rsid w:val="004E15FF"/>
    <w:rsid w:val="004E1894"/>
    <w:rsid w:val="004E1B32"/>
    <w:rsid w:val="004E2882"/>
    <w:rsid w:val="004E2CF6"/>
    <w:rsid w:val="004E651D"/>
    <w:rsid w:val="004E6F94"/>
    <w:rsid w:val="004E7578"/>
    <w:rsid w:val="004F3090"/>
    <w:rsid w:val="004F3836"/>
    <w:rsid w:val="004F4346"/>
    <w:rsid w:val="004F4D75"/>
    <w:rsid w:val="00502086"/>
    <w:rsid w:val="00504154"/>
    <w:rsid w:val="005057CC"/>
    <w:rsid w:val="00505858"/>
    <w:rsid w:val="00505F80"/>
    <w:rsid w:val="005064EC"/>
    <w:rsid w:val="005079EF"/>
    <w:rsid w:val="00507E86"/>
    <w:rsid w:val="005115F3"/>
    <w:rsid w:val="00512BF2"/>
    <w:rsid w:val="00515B9E"/>
    <w:rsid w:val="00515EB7"/>
    <w:rsid w:val="00520518"/>
    <w:rsid w:val="00520CD4"/>
    <w:rsid w:val="0052205A"/>
    <w:rsid w:val="00523D1E"/>
    <w:rsid w:val="0052537E"/>
    <w:rsid w:val="00525F48"/>
    <w:rsid w:val="0052611C"/>
    <w:rsid w:val="0053124A"/>
    <w:rsid w:val="00532CE9"/>
    <w:rsid w:val="00533FFC"/>
    <w:rsid w:val="0053539D"/>
    <w:rsid w:val="0053588E"/>
    <w:rsid w:val="005361E0"/>
    <w:rsid w:val="00540302"/>
    <w:rsid w:val="00540570"/>
    <w:rsid w:val="00545154"/>
    <w:rsid w:val="00547B5A"/>
    <w:rsid w:val="00550151"/>
    <w:rsid w:val="00550282"/>
    <w:rsid w:val="005550DD"/>
    <w:rsid w:val="00560F77"/>
    <w:rsid w:val="00563557"/>
    <w:rsid w:val="005635C8"/>
    <w:rsid w:val="00564B12"/>
    <w:rsid w:val="005665E1"/>
    <w:rsid w:val="005701BB"/>
    <w:rsid w:val="005709B5"/>
    <w:rsid w:val="00570BB9"/>
    <w:rsid w:val="00572418"/>
    <w:rsid w:val="00572EF3"/>
    <w:rsid w:val="00573BE5"/>
    <w:rsid w:val="00574301"/>
    <w:rsid w:val="00574806"/>
    <w:rsid w:val="00574963"/>
    <w:rsid w:val="005752A3"/>
    <w:rsid w:val="00575CB7"/>
    <w:rsid w:val="005771C5"/>
    <w:rsid w:val="005779C0"/>
    <w:rsid w:val="005805D9"/>
    <w:rsid w:val="005824F4"/>
    <w:rsid w:val="00583F70"/>
    <w:rsid w:val="00584D05"/>
    <w:rsid w:val="0058523D"/>
    <w:rsid w:val="00587C00"/>
    <w:rsid w:val="00587E4F"/>
    <w:rsid w:val="0059449D"/>
    <w:rsid w:val="005953E4"/>
    <w:rsid w:val="005A50A0"/>
    <w:rsid w:val="005A6D02"/>
    <w:rsid w:val="005A7B07"/>
    <w:rsid w:val="005B03C3"/>
    <w:rsid w:val="005B0840"/>
    <w:rsid w:val="005B0C96"/>
    <w:rsid w:val="005B1244"/>
    <w:rsid w:val="005B208A"/>
    <w:rsid w:val="005B252C"/>
    <w:rsid w:val="005B3314"/>
    <w:rsid w:val="005C043C"/>
    <w:rsid w:val="005C2305"/>
    <w:rsid w:val="005C2DE6"/>
    <w:rsid w:val="005C36C3"/>
    <w:rsid w:val="005C4C3C"/>
    <w:rsid w:val="005C5098"/>
    <w:rsid w:val="005C58EB"/>
    <w:rsid w:val="005C5C18"/>
    <w:rsid w:val="005C6A67"/>
    <w:rsid w:val="005C6B10"/>
    <w:rsid w:val="005D088D"/>
    <w:rsid w:val="005D0FB8"/>
    <w:rsid w:val="005D1F21"/>
    <w:rsid w:val="005D392F"/>
    <w:rsid w:val="005D4769"/>
    <w:rsid w:val="005D78A2"/>
    <w:rsid w:val="005E1C52"/>
    <w:rsid w:val="005E2E68"/>
    <w:rsid w:val="005E33D2"/>
    <w:rsid w:val="005E4BD2"/>
    <w:rsid w:val="005E50F3"/>
    <w:rsid w:val="005F1B70"/>
    <w:rsid w:val="005F2D4C"/>
    <w:rsid w:val="005F37D4"/>
    <w:rsid w:val="005F42D2"/>
    <w:rsid w:val="005F4DD9"/>
    <w:rsid w:val="005F6815"/>
    <w:rsid w:val="00601EF9"/>
    <w:rsid w:val="0060238A"/>
    <w:rsid w:val="00603AAF"/>
    <w:rsid w:val="00604E11"/>
    <w:rsid w:val="00605007"/>
    <w:rsid w:val="00605DEF"/>
    <w:rsid w:val="00607BBD"/>
    <w:rsid w:val="006108AB"/>
    <w:rsid w:val="00610DCD"/>
    <w:rsid w:val="00610E53"/>
    <w:rsid w:val="006119B8"/>
    <w:rsid w:val="00613245"/>
    <w:rsid w:val="00615990"/>
    <w:rsid w:val="00616BBC"/>
    <w:rsid w:val="00616BF1"/>
    <w:rsid w:val="00617730"/>
    <w:rsid w:val="00620808"/>
    <w:rsid w:val="006209E0"/>
    <w:rsid w:val="006217E3"/>
    <w:rsid w:val="00621A67"/>
    <w:rsid w:val="00621EDB"/>
    <w:rsid w:val="00623F7E"/>
    <w:rsid w:val="0062497C"/>
    <w:rsid w:val="00636643"/>
    <w:rsid w:val="00637F16"/>
    <w:rsid w:val="00640A47"/>
    <w:rsid w:val="0064267E"/>
    <w:rsid w:val="006430FF"/>
    <w:rsid w:val="00643967"/>
    <w:rsid w:val="00645CCF"/>
    <w:rsid w:val="006463AC"/>
    <w:rsid w:val="00647F9D"/>
    <w:rsid w:val="0065038B"/>
    <w:rsid w:val="00653B74"/>
    <w:rsid w:val="006569FD"/>
    <w:rsid w:val="0066096D"/>
    <w:rsid w:val="0066100B"/>
    <w:rsid w:val="00662EE0"/>
    <w:rsid w:val="00676087"/>
    <w:rsid w:val="00677156"/>
    <w:rsid w:val="006779A1"/>
    <w:rsid w:val="006807B3"/>
    <w:rsid w:val="006813A4"/>
    <w:rsid w:val="00681F77"/>
    <w:rsid w:val="00682BA0"/>
    <w:rsid w:val="00682E7A"/>
    <w:rsid w:val="0068390A"/>
    <w:rsid w:val="006855D3"/>
    <w:rsid w:val="00686D35"/>
    <w:rsid w:val="00690243"/>
    <w:rsid w:val="0069139A"/>
    <w:rsid w:val="0069219F"/>
    <w:rsid w:val="006944EB"/>
    <w:rsid w:val="0069459F"/>
    <w:rsid w:val="00694C2D"/>
    <w:rsid w:val="006A1B12"/>
    <w:rsid w:val="006A2D0E"/>
    <w:rsid w:val="006A34AC"/>
    <w:rsid w:val="006A50E4"/>
    <w:rsid w:val="006A713E"/>
    <w:rsid w:val="006A7371"/>
    <w:rsid w:val="006B1602"/>
    <w:rsid w:val="006B4795"/>
    <w:rsid w:val="006B5791"/>
    <w:rsid w:val="006B5C9A"/>
    <w:rsid w:val="006B7B54"/>
    <w:rsid w:val="006C0536"/>
    <w:rsid w:val="006C0F76"/>
    <w:rsid w:val="006C23C2"/>
    <w:rsid w:val="006C33AC"/>
    <w:rsid w:val="006C3D4B"/>
    <w:rsid w:val="006C5C39"/>
    <w:rsid w:val="006D2054"/>
    <w:rsid w:val="006D3A6D"/>
    <w:rsid w:val="006D4F91"/>
    <w:rsid w:val="006D6ADB"/>
    <w:rsid w:val="006D7341"/>
    <w:rsid w:val="006D7352"/>
    <w:rsid w:val="006E0419"/>
    <w:rsid w:val="006E2157"/>
    <w:rsid w:val="006E45CC"/>
    <w:rsid w:val="006E4AF5"/>
    <w:rsid w:val="006E5FA2"/>
    <w:rsid w:val="006E63DE"/>
    <w:rsid w:val="006E64C6"/>
    <w:rsid w:val="006E70D1"/>
    <w:rsid w:val="006F137B"/>
    <w:rsid w:val="006F1DC1"/>
    <w:rsid w:val="006F2292"/>
    <w:rsid w:val="006F33C0"/>
    <w:rsid w:val="006F3844"/>
    <w:rsid w:val="006F3B2C"/>
    <w:rsid w:val="006F4901"/>
    <w:rsid w:val="006F6D52"/>
    <w:rsid w:val="007001BB"/>
    <w:rsid w:val="00704082"/>
    <w:rsid w:val="00705B51"/>
    <w:rsid w:val="007068D1"/>
    <w:rsid w:val="00707DAE"/>
    <w:rsid w:val="00710C2B"/>
    <w:rsid w:val="00713C8C"/>
    <w:rsid w:val="0071593B"/>
    <w:rsid w:val="00715D5A"/>
    <w:rsid w:val="00722CFC"/>
    <w:rsid w:val="00723FF4"/>
    <w:rsid w:val="00725683"/>
    <w:rsid w:val="007257D4"/>
    <w:rsid w:val="00726F2B"/>
    <w:rsid w:val="007274D0"/>
    <w:rsid w:val="007328FB"/>
    <w:rsid w:val="00732F1A"/>
    <w:rsid w:val="007360FB"/>
    <w:rsid w:val="007369A0"/>
    <w:rsid w:val="00737DBF"/>
    <w:rsid w:val="00740E6A"/>
    <w:rsid w:val="0074150C"/>
    <w:rsid w:val="00741CCC"/>
    <w:rsid w:val="007434B4"/>
    <w:rsid w:val="00744360"/>
    <w:rsid w:val="00745685"/>
    <w:rsid w:val="00746586"/>
    <w:rsid w:val="0074731D"/>
    <w:rsid w:val="00747779"/>
    <w:rsid w:val="00747DDA"/>
    <w:rsid w:val="00747F03"/>
    <w:rsid w:val="00751F7C"/>
    <w:rsid w:val="007553E8"/>
    <w:rsid w:val="00755F77"/>
    <w:rsid w:val="007567BC"/>
    <w:rsid w:val="007568EE"/>
    <w:rsid w:val="007606C3"/>
    <w:rsid w:val="00760E64"/>
    <w:rsid w:val="00761F02"/>
    <w:rsid w:val="0076675E"/>
    <w:rsid w:val="0076684A"/>
    <w:rsid w:val="007677C8"/>
    <w:rsid w:val="007700B5"/>
    <w:rsid w:val="0077276B"/>
    <w:rsid w:val="00772BAC"/>
    <w:rsid w:val="007741AD"/>
    <w:rsid w:val="00775065"/>
    <w:rsid w:val="00776F52"/>
    <w:rsid w:val="00780CB0"/>
    <w:rsid w:val="00781B8D"/>
    <w:rsid w:val="00781BF2"/>
    <w:rsid w:val="00783119"/>
    <w:rsid w:val="00787713"/>
    <w:rsid w:val="00787B90"/>
    <w:rsid w:val="007936B7"/>
    <w:rsid w:val="007938A2"/>
    <w:rsid w:val="00793C99"/>
    <w:rsid w:val="0079531F"/>
    <w:rsid w:val="00795D1A"/>
    <w:rsid w:val="007967C8"/>
    <w:rsid w:val="00796F45"/>
    <w:rsid w:val="007972B8"/>
    <w:rsid w:val="007A3ABD"/>
    <w:rsid w:val="007A646C"/>
    <w:rsid w:val="007A69F1"/>
    <w:rsid w:val="007A6EC0"/>
    <w:rsid w:val="007A782E"/>
    <w:rsid w:val="007B2434"/>
    <w:rsid w:val="007B4A00"/>
    <w:rsid w:val="007B55DC"/>
    <w:rsid w:val="007B6DE9"/>
    <w:rsid w:val="007C0045"/>
    <w:rsid w:val="007C08E9"/>
    <w:rsid w:val="007C196E"/>
    <w:rsid w:val="007C2C9D"/>
    <w:rsid w:val="007C302F"/>
    <w:rsid w:val="007C4610"/>
    <w:rsid w:val="007C5C1F"/>
    <w:rsid w:val="007C76F3"/>
    <w:rsid w:val="007D071A"/>
    <w:rsid w:val="007D1483"/>
    <w:rsid w:val="007D23C8"/>
    <w:rsid w:val="007D3EE3"/>
    <w:rsid w:val="007D405F"/>
    <w:rsid w:val="007D460B"/>
    <w:rsid w:val="007D57AF"/>
    <w:rsid w:val="007D6528"/>
    <w:rsid w:val="007D6E84"/>
    <w:rsid w:val="007D7812"/>
    <w:rsid w:val="007E0993"/>
    <w:rsid w:val="007E0D44"/>
    <w:rsid w:val="007E1DC0"/>
    <w:rsid w:val="007E4969"/>
    <w:rsid w:val="007E4DB5"/>
    <w:rsid w:val="007E613F"/>
    <w:rsid w:val="007F11C4"/>
    <w:rsid w:val="007F29F7"/>
    <w:rsid w:val="007F5C7E"/>
    <w:rsid w:val="007F6ECA"/>
    <w:rsid w:val="007F7AC6"/>
    <w:rsid w:val="007F7E4E"/>
    <w:rsid w:val="00801A75"/>
    <w:rsid w:val="00802329"/>
    <w:rsid w:val="00802E2B"/>
    <w:rsid w:val="008031EC"/>
    <w:rsid w:val="008041E9"/>
    <w:rsid w:val="00805E68"/>
    <w:rsid w:val="00805FC8"/>
    <w:rsid w:val="00807527"/>
    <w:rsid w:val="00810E0C"/>
    <w:rsid w:val="008137E0"/>
    <w:rsid w:val="00813A91"/>
    <w:rsid w:val="00813B9C"/>
    <w:rsid w:val="00814F1A"/>
    <w:rsid w:val="00817C54"/>
    <w:rsid w:val="008203BE"/>
    <w:rsid w:val="008205E0"/>
    <w:rsid w:val="00820A0A"/>
    <w:rsid w:val="00820C24"/>
    <w:rsid w:val="00823905"/>
    <w:rsid w:val="00823DBE"/>
    <w:rsid w:val="00824B7E"/>
    <w:rsid w:val="00826A07"/>
    <w:rsid w:val="00831BEF"/>
    <w:rsid w:val="00832224"/>
    <w:rsid w:val="00833685"/>
    <w:rsid w:val="008348A7"/>
    <w:rsid w:val="00835778"/>
    <w:rsid w:val="008368A0"/>
    <w:rsid w:val="00837EB4"/>
    <w:rsid w:val="00840AB2"/>
    <w:rsid w:val="008417A5"/>
    <w:rsid w:val="00845390"/>
    <w:rsid w:val="00846C2C"/>
    <w:rsid w:val="00847408"/>
    <w:rsid w:val="0085129C"/>
    <w:rsid w:val="00852675"/>
    <w:rsid w:val="008526AF"/>
    <w:rsid w:val="00852853"/>
    <w:rsid w:val="00853659"/>
    <w:rsid w:val="00860E07"/>
    <w:rsid w:val="008613AD"/>
    <w:rsid w:val="00862AC9"/>
    <w:rsid w:val="00862E2B"/>
    <w:rsid w:val="00865FEB"/>
    <w:rsid w:val="00874C18"/>
    <w:rsid w:val="00874F0B"/>
    <w:rsid w:val="0088016F"/>
    <w:rsid w:val="008801ED"/>
    <w:rsid w:val="00880277"/>
    <w:rsid w:val="0088062D"/>
    <w:rsid w:val="008821CE"/>
    <w:rsid w:val="00882419"/>
    <w:rsid w:val="00882F88"/>
    <w:rsid w:val="00886FAE"/>
    <w:rsid w:val="00887570"/>
    <w:rsid w:val="008915B0"/>
    <w:rsid w:val="00892913"/>
    <w:rsid w:val="00892BA0"/>
    <w:rsid w:val="00892D2C"/>
    <w:rsid w:val="00893531"/>
    <w:rsid w:val="008961A9"/>
    <w:rsid w:val="00897720"/>
    <w:rsid w:val="008978AE"/>
    <w:rsid w:val="00897ACD"/>
    <w:rsid w:val="008A1CC1"/>
    <w:rsid w:val="008A558F"/>
    <w:rsid w:val="008A64F6"/>
    <w:rsid w:val="008A6C2A"/>
    <w:rsid w:val="008B064A"/>
    <w:rsid w:val="008B4C1D"/>
    <w:rsid w:val="008B4ECD"/>
    <w:rsid w:val="008B5942"/>
    <w:rsid w:val="008B5974"/>
    <w:rsid w:val="008B685F"/>
    <w:rsid w:val="008B6CB7"/>
    <w:rsid w:val="008C008E"/>
    <w:rsid w:val="008C2834"/>
    <w:rsid w:val="008C2C82"/>
    <w:rsid w:val="008C2DE1"/>
    <w:rsid w:val="008C33F3"/>
    <w:rsid w:val="008C3A07"/>
    <w:rsid w:val="008C41AF"/>
    <w:rsid w:val="008C47C2"/>
    <w:rsid w:val="008C52EB"/>
    <w:rsid w:val="008C5902"/>
    <w:rsid w:val="008C5988"/>
    <w:rsid w:val="008C5E6D"/>
    <w:rsid w:val="008C7DE5"/>
    <w:rsid w:val="008D0C02"/>
    <w:rsid w:val="008D25EE"/>
    <w:rsid w:val="008D2E07"/>
    <w:rsid w:val="008D3FC4"/>
    <w:rsid w:val="008D41FC"/>
    <w:rsid w:val="008D499A"/>
    <w:rsid w:val="008D4A08"/>
    <w:rsid w:val="008D5A64"/>
    <w:rsid w:val="008E1829"/>
    <w:rsid w:val="008E1B2E"/>
    <w:rsid w:val="008E3C1A"/>
    <w:rsid w:val="008E4017"/>
    <w:rsid w:val="008E6DFB"/>
    <w:rsid w:val="008F393A"/>
    <w:rsid w:val="008F587E"/>
    <w:rsid w:val="008F63FC"/>
    <w:rsid w:val="008F64D6"/>
    <w:rsid w:val="0090312E"/>
    <w:rsid w:val="00904B9A"/>
    <w:rsid w:val="00904FDD"/>
    <w:rsid w:val="009069C0"/>
    <w:rsid w:val="0090766C"/>
    <w:rsid w:val="00910FB9"/>
    <w:rsid w:val="0091102F"/>
    <w:rsid w:val="00914055"/>
    <w:rsid w:val="00915C2A"/>
    <w:rsid w:val="00916580"/>
    <w:rsid w:val="00917854"/>
    <w:rsid w:val="00917978"/>
    <w:rsid w:val="00917B30"/>
    <w:rsid w:val="0092010E"/>
    <w:rsid w:val="00920D81"/>
    <w:rsid w:val="00921556"/>
    <w:rsid w:val="0092181D"/>
    <w:rsid w:val="009225B9"/>
    <w:rsid w:val="009226FF"/>
    <w:rsid w:val="009256D8"/>
    <w:rsid w:val="00926E98"/>
    <w:rsid w:val="009276BC"/>
    <w:rsid w:val="0093049E"/>
    <w:rsid w:val="0093169F"/>
    <w:rsid w:val="0093245B"/>
    <w:rsid w:val="00932D24"/>
    <w:rsid w:val="00934C42"/>
    <w:rsid w:val="00941D78"/>
    <w:rsid w:val="009438E2"/>
    <w:rsid w:val="009471C8"/>
    <w:rsid w:val="009477E4"/>
    <w:rsid w:val="00951E05"/>
    <w:rsid w:val="00956364"/>
    <w:rsid w:val="00956792"/>
    <w:rsid w:val="009576E2"/>
    <w:rsid w:val="00957889"/>
    <w:rsid w:val="00957CF2"/>
    <w:rsid w:val="00960A4D"/>
    <w:rsid w:val="00960AEF"/>
    <w:rsid w:val="00962287"/>
    <w:rsid w:val="00964404"/>
    <w:rsid w:val="00966A87"/>
    <w:rsid w:val="00966D3E"/>
    <w:rsid w:val="00967FBE"/>
    <w:rsid w:val="009703A7"/>
    <w:rsid w:val="0097053B"/>
    <w:rsid w:val="009716E8"/>
    <w:rsid w:val="00974D37"/>
    <w:rsid w:val="009764A4"/>
    <w:rsid w:val="0098151F"/>
    <w:rsid w:val="009822F0"/>
    <w:rsid w:val="009864CF"/>
    <w:rsid w:val="009868D4"/>
    <w:rsid w:val="00986F14"/>
    <w:rsid w:val="009913D4"/>
    <w:rsid w:val="00991EB4"/>
    <w:rsid w:val="00992BAF"/>
    <w:rsid w:val="00993871"/>
    <w:rsid w:val="009942F0"/>
    <w:rsid w:val="00996B4D"/>
    <w:rsid w:val="00996D0D"/>
    <w:rsid w:val="0099752F"/>
    <w:rsid w:val="00997A86"/>
    <w:rsid w:val="00997CA1"/>
    <w:rsid w:val="009A30BF"/>
    <w:rsid w:val="009A3F9F"/>
    <w:rsid w:val="009A5E9C"/>
    <w:rsid w:val="009A74DD"/>
    <w:rsid w:val="009A7525"/>
    <w:rsid w:val="009B06BC"/>
    <w:rsid w:val="009B16DB"/>
    <w:rsid w:val="009B1F47"/>
    <w:rsid w:val="009B327E"/>
    <w:rsid w:val="009B339A"/>
    <w:rsid w:val="009B4683"/>
    <w:rsid w:val="009B511D"/>
    <w:rsid w:val="009B56E8"/>
    <w:rsid w:val="009B6335"/>
    <w:rsid w:val="009B6438"/>
    <w:rsid w:val="009C39BD"/>
    <w:rsid w:val="009C45B1"/>
    <w:rsid w:val="009C641A"/>
    <w:rsid w:val="009C773C"/>
    <w:rsid w:val="009D223D"/>
    <w:rsid w:val="009D3491"/>
    <w:rsid w:val="009D65FC"/>
    <w:rsid w:val="009D7095"/>
    <w:rsid w:val="009E1756"/>
    <w:rsid w:val="009E2415"/>
    <w:rsid w:val="009E2D32"/>
    <w:rsid w:val="009E4A6F"/>
    <w:rsid w:val="009E59E9"/>
    <w:rsid w:val="009E5BB5"/>
    <w:rsid w:val="009E6DBA"/>
    <w:rsid w:val="009F3C62"/>
    <w:rsid w:val="009F3F25"/>
    <w:rsid w:val="009F6627"/>
    <w:rsid w:val="00A0299A"/>
    <w:rsid w:val="00A0440E"/>
    <w:rsid w:val="00A05F7C"/>
    <w:rsid w:val="00A068BD"/>
    <w:rsid w:val="00A079C5"/>
    <w:rsid w:val="00A10DF5"/>
    <w:rsid w:val="00A121D3"/>
    <w:rsid w:val="00A14F25"/>
    <w:rsid w:val="00A2099A"/>
    <w:rsid w:val="00A20FB8"/>
    <w:rsid w:val="00A21F26"/>
    <w:rsid w:val="00A23F0B"/>
    <w:rsid w:val="00A27620"/>
    <w:rsid w:val="00A30F01"/>
    <w:rsid w:val="00A312B0"/>
    <w:rsid w:val="00A32EF8"/>
    <w:rsid w:val="00A33250"/>
    <w:rsid w:val="00A35162"/>
    <w:rsid w:val="00A35822"/>
    <w:rsid w:val="00A3740A"/>
    <w:rsid w:val="00A40786"/>
    <w:rsid w:val="00A40795"/>
    <w:rsid w:val="00A410EA"/>
    <w:rsid w:val="00A42EF0"/>
    <w:rsid w:val="00A44AA1"/>
    <w:rsid w:val="00A466A9"/>
    <w:rsid w:val="00A47B85"/>
    <w:rsid w:val="00A47D2E"/>
    <w:rsid w:val="00A47F0F"/>
    <w:rsid w:val="00A51B00"/>
    <w:rsid w:val="00A51D21"/>
    <w:rsid w:val="00A53A4C"/>
    <w:rsid w:val="00A560C6"/>
    <w:rsid w:val="00A572BD"/>
    <w:rsid w:val="00A57B0B"/>
    <w:rsid w:val="00A62B81"/>
    <w:rsid w:val="00A63272"/>
    <w:rsid w:val="00A64028"/>
    <w:rsid w:val="00A66442"/>
    <w:rsid w:val="00A67E2B"/>
    <w:rsid w:val="00A71D21"/>
    <w:rsid w:val="00A74B0D"/>
    <w:rsid w:val="00A74F07"/>
    <w:rsid w:val="00A76084"/>
    <w:rsid w:val="00A800B7"/>
    <w:rsid w:val="00A801A5"/>
    <w:rsid w:val="00A806A9"/>
    <w:rsid w:val="00A809FF"/>
    <w:rsid w:val="00A81C21"/>
    <w:rsid w:val="00A83F45"/>
    <w:rsid w:val="00A8567F"/>
    <w:rsid w:val="00A869D6"/>
    <w:rsid w:val="00A86ECE"/>
    <w:rsid w:val="00A905B1"/>
    <w:rsid w:val="00A90B18"/>
    <w:rsid w:val="00A92238"/>
    <w:rsid w:val="00A92883"/>
    <w:rsid w:val="00A93090"/>
    <w:rsid w:val="00A933B4"/>
    <w:rsid w:val="00A94CD4"/>
    <w:rsid w:val="00A96972"/>
    <w:rsid w:val="00A979CB"/>
    <w:rsid w:val="00AA2FFA"/>
    <w:rsid w:val="00AA353A"/>
    <w:rsid w:val="00AA4545"/>
    <w:rsid w:val="00AA4C3B"/>
    <w:rsid w:val="00AA5080"/>
    <w:rsid w:val="00AA5473"/>
    <w:rsid w:val="00AA57EE"/>
    <w:rsid w:val="00AB5225"/>
    <w:rsid w:val="00AB621A"/>
    <w:rsid w:val="00AC0DE4"/>
    <w:rsid w:val="00AC14AF"/>
    <w:rsid w:val="00AC25B2"/>
    <w:rsid w:val="00AC46E7"/>
    <w:rsid w:val="00AC7D32"/>
    <w:rsid w:val="00AD0017"/>
    <w:rsid w:val="00AD0343"/>
    <w:rsid w:val="00AD28A2"/>
    <w:rsid w:val="00AD44DC"/>
    <w:rsid w:val="00AD5A5C"/>
    <w:rsid w:val="00AD7759"/>
    <w:rsid w:val="00AE0EF8"/>
    <w:rsid w:val="00AE137E"/>
    <w:rsid w:val="00AE43C4"/>
    <w:rsid w:val="00AE4454"/>
    <w:rsid w:val="00AE4D65"/>
    <w:rsid w:val="00AE5041"/>
    <w:rsid w:val="00AE754C"/>
    <w:rsid w:val="00AF0141"/>
    <w:rsid w:val="00AF1B80"/>
    <w:rsid w:val="00AF6181"/>
    <w:rsid w:val="00AF78BA"/>
    <w:rsid w:val="00AF7B5E"/>
    <w:rsid w:val="00B00935"/>
    <w:rsid w:val="00B012BD"/>
    <w:rsid w:val="00B014E7"/>
    <w:rsid w:val="00B02A7E"/>
    <w:rsid w:val="00B02A8C"/>
    <w:rsid w:val="00B115CA"/>
    <w:rsid w:val="00B13996"/>
    <w:rsid w:val="00B15C5A"/>
    <w:rsid w:val="00B161D2"/>
    <w:rsid w:val="00B216C6"/>
    <w:rsid w:val="00B218D2"/>
    <w:rsid w:val="00B21BCE"/>
    <w:rsid w:val="00B221AB"/>
    <w:rsid w:val="00B22735"/>
    <w:rsid w:val="00B233A7"/>
    <w:rsid w:val="00B256F2"/>
    <w:rsid w:val="00B26607"/>
    <w:rsid w:val="00B27D90"/>
    <w:rsid w:val="00B31CB9"/>
    <w:rsid w:val="00B36AA3"/>
    <w:rsid w:val="00B37CD6"/>
    <w:rsid w:val="00B420B0"/>
    <w:rsid w:val="00B42258"/>
    <w:rsid w:val="00B42450"/>
    <w:rsid w:val="00B42C45"/>
    <w:rsid w:val="00B4323A"/>
    <w:rsid w:val="00B45413"/>
    <w:rsid w:val="00B46449"/>
    <w:rsid w:val="00B471AE"/>
    <w:rsid w:val="00B47A89"/>
    <w:rsid w:val="00B47F99"/>
    <w:rsid w:val="00B50B02"/>
    <w:rsid w:val="00B51F0D"/>
    <w:rsid w:val="00B53341"/>
    <w:rsid w:val="00B53D89"/>
    <w:rsid w:val="00B551D4"/>
    <w:rsid w:val="00B575F0"/>
    <w:rsid w:val="00B61172"/>
    <w:rsid w:val="00B61262"/>
    <w:rsid w:val="00B618A0"/>
    <w:rsid w:val="00B629EE"/>
    <w:rsid w:val="00B6426D"/>
    <w:rsid w:val="00B64897"/>
    <w:rsid w:val="00B65534"/>
    <w:rsid w:val="00B661D4"/>
    <w:rsid w:val="00B703A8"/>
    <w:rsid w:val="00B70C84"/>
    <w:rsid w:val="00B70D74"/>
    <w:rsid w:val="00B716F8"/>
    <w:rsid w:val="00B7326F"/>
    <w:rsid w:val="00B75EF6"/>
    <w:rsid w:val="00B75F93"/>
    <w:rsid w:val="00B762A9"/>
    <w:rsid w:val="00B76AC4"/>
    <w:rsid w:val="00B77BB6"/>
    <w:rsid w:val="00B80B41"/>
    <w:rsid w:val="00B82AE8"/>
    <w:rsid w:val="00B8333A"/>
    <w:rsid w:val="00B83403"/>
    <w:rsid w:val="00B8443F"/>
    <w:rsid w:val="00B902DA"/>
    <w:rsid w:val="00B924B9"/>
    <w:rsid w:val="00B93D7E"/>
    <w:rsid w:val="00B96203"/>
    <w:rsid w:val="00BA1190"/>
    <w:rsid w:val="00BA27AD"/>
    <w:rsid w:val="00BA2A64"/>
    <w:rsid w:val="00BA3DEF"/>
    <w:rsid w:val="00BB7E13"/>
    <w:rsid w:val="00BC23A2"/>
    <w:rsid w:val="00BC3413"/>
    <w:rsid w:val="00BC4CC0"/>
    <w:rsid w:val="00BC51EA"/>
    <w:rsid w:val="00BC5F46"/>
    <w:rsid w:val="00BC61E8"/>
    <w:rsid w:val="00BC62F1"/>
    <w:rsid w:val="00BC65C5"/>
    <w:rsid w:val="00BC6F2C"/>
    <w:rsid w:val="00BD3615"/>
    <w:rsid w:val="00BD4652"/>
    <w:rsid w:val="00BE0C22"/>
    <w:rsid w:val="00BE1802"/>
    <w:rsid w:val="00BE28ED"/>
    <w:rsid w:val="00BE3417"/>
    <w:rsid w:val="00BE3967"/>
    <w:rsid w:val="00BE4B06"/>
    <w:rsid w:val="00BE4EF1"/>
    <w:rsid w:val="00BE6CBA"/>
    <w:rsid w:val="00BF0168"/>
    <w:rsid w:val="00BF2869"/>
    <w:rsid w:val="00BF289E"/>
    <w:rsid w:val="00BF2A3D"/>
    <w:rsid w:val="00BF39C0"/>
    <w:rsid w:val="00BF39FE"/>
    <w:rsid w:val="00BF3DF7"/>
    <w:rsid w:val="00BF4C07"/>
    <w:rsid w:val="00BF7233"/>
    <w:rsid w:val="00BF79D5"/>
    <w:rsid w:val="00C00EE7"/>
    <w:rsid w:val="00C02977"/>
    <w:rsid w:val="00C0330A"/>
    <w:rsid w:val="00C04F00"/>
    <w:rsid w:val="00C0799A"/>
    <w:rsid w:val="00C10611"/>
    <w:rsid w:val="00C11D0C"/>
    <w:rsid w:val="00C11DB1"/>
    <w:rsid w:val="00C1232C"/>
    <w:rsid w:val="00C12F2F"/>
    <w:rsid w:val="00C16F75"/>
    <w:rsid w:val="00C17281"/>
    <w:rsid w:val="00C23D8A"/>
    <w:rsid w:val="00C23E80"/>
    <w:rsid w:val="00C251FE"/>
    <w:rsid w:val="00C2755A"/>
    <w:rsid w:val="00C30134"/>
    <w:rsid w:val="00C315B1"/>
    <w:rsid w:val="00C3302E"/>
    <w:rsid w:val="00C33EC6"/>
    <w:rsid w:val="00C343EE"/>
    <w:rsid w:val="00C345F2"/>
    <w:rsid w:val="00C35288"/>
    <w:rsid w:val="00C40DA5"/>
    <w:rsid w:val="00C4109D"/>
    <w:rsid w:val="00C469CD"/>
    <w:rsid w:val="00C46B5A"/>
    <w:rsid w:val="00C46CAF"/>
    <w:rsid w:val="00C475AC"/>
    <w:rsid w:val="00C5245A"/>
    <w:rsid w:val="00C53170"/>
    <w:rsid w:val="00C536AF"/>
    <w:rsid w:val="00C54739"/>
    <w:rsid w:val="00C54C6E"/>
    <w:rsid w:val="00C5696E"/>
    <w:rsid w:val="00C578FA"/>
    <w:rsid w:val="00C613C2"/>
    <w:rsid w:val="00C61777"/>
    <w:rsid w:val="00C62CE9"/>
    <w:rsid w:val="00C62FE6"/>
    <w:rsid w:val="00C63C78"/>
    <w:rsid w:val="00C63CB0"/>
    <w:rsid w:val="00C65169"/>
    <w:rsid w:val="00C67517"/>
    <w:rsid w:val="00C67694"/>
    <w:rsid w:val="00C67AF0"/>
    <w:rsid w:val="00C71CFA"/>
    <w:rsid w:val="00C71E43"/>
    <w:rsid w:val="00C75910"/>
    <w:rsid w:val="00C7696B"/>
    <w:rsid w:val="00C77DF9"/>
    <w:rsid w:val="00C814BA"/>
    <w:rsid w:val="00C81682"/>
    <w:rsid w:val="00C81B0F"/>
    <w:rsid w:val="00C8238D"/>
    <w:rsid w:val="00C82539"/>
    <w:rsid w:val="00C829F6"/>
    <w:rsid w:val="00C84BEE"/>
    <w:rsid w:val="00C84D95"/>
    <w:rsid w:val="00C859BE"/>
    <w:rsid w:val="00C86F99"/>
    <w:rsid w:val="00C91D4B"/>
    <w:rsid w:val="00C93184"/>
    <w:rsid w:val="00C94A69"/>
    <w:rsid w:val="00C9576D"/>
    <w:rsid w:val="00C957B6"/>
    <w:rsid w:val="00C9675F"/>
    <w:rsid w:val="00CA3F26"/>
    <w:rsid w:val="00CA6433"/>
    <w:rsid w:val="00CA752A"/>
    <w:rsid w:val="00CA7A3F"/>
    <w:rsid w:val="00CB003D"/>
    <w:rsid w:val="00CB0E79"/>
    <w:rsid w:val="00CB110F"/>
    <w:rsid w:val="00CB1BDE"/>
    <w:rsid w:val="00CB2E3C"/>
    <w:rsid w:val="00CB566F"/>
    <w:rsid w:val="00CB5AF2"/>
    <w:rsid w:val="00CB6099"/>
    <w:rsid w:val="00CB68B5"/>
    <w:rsid w:val="00CC1E37"/>
    <w:rsid w:val="00CC44EE"/>
    <w:rsid w:val="00CC479D"/>
    <w:rsid w:val="00CC4990"/>
    <w:rsid w:val="00CC60E8"/>
    <w:rsid w:val="00CC7237"/>
    <w:rsid w:val="00CC72C5"/>
    <w:rsid w:val="00CC754B"/>
    <w:rsid w:val="00CD13E8"/>
    <w:rsid w:val="00CD2906"/>
    <w:rsid w:val="00CD62B6"/>
    <w:rsid w:val="00CD770B"/>
    <w:rsid w:val="00CE1CB5"/>
    <w:rsid w:val="00CE20E6"/>
    <w:rsid w:val="00CF3E93"/>
    <w:rsid w:val="00CF5178"/>
    <w:rsid w:val="00CF51C7"/>
    <w:rsid w:val="00CF565F"/>
    <w:rsid w:val="00CF6927"/>
    <w:rsid w:val="00CF702A"/>
    <w:rsid w:val="00D0186B"/>
    <w:rsid w:val="00D045AB"/>
    <w:rsid w:val="00D05CC8"/>
    <w:rsid w:val="00D06806"/>
    <w:rsid w:val="00D102D4"/>
    <w:rsid w:val="00D10882"/>
    <w:rsid w:val="00D1130C"/>
    <w:rsid w:val="00D11C1D"/>
    <w:rsid w:val="00D13355"/>
    <w:rsid w:val="00D139BC"/>
    <w:rsid w:val="00D153C1"/>
    <w:rsid w:val="00D1657F"/>
    <w:rsid w:val="00D17CB4"/>
    <w:rsid w:val="00D20FE9"/>
    <w:rsid w:val="00D21663"/>
    <w:rsid w:val="00D22CC9"/>
    <w:rsid w:val="00D24163"/>
    <w:rsid w:val="00D25618"/>
    <w:rsid w:val="00D25B6D"/>
    <w:rsid w:val="00D27066"/>
    <w:rsid w:val="00D270CB"/>
    <w:rsid w:val="00D2732B"/>
    <w:rsid w:val="00D305EC"/>
    <w:rsid w:val="00D32A90"/>
    <w:rsid w:val="00D32D49"/>
    <w:rsid w:val="00D333A4"/>
    <w:rsid w:val="00D3360B"/>
    <w:rsid w:val="00D358A0"/>
    <w:rsid w:val="00D366FB"/>
    <w:rsid w:val="00D43543"/>
    <w:rsid w:val="00D44937"/>
    <w:rsid w:val="00D46917"/>
    <w:rsid w:val="00D479E7"/>
    <w:rsid w:val="00D539C8"/>
    <w:rsid w:val="00D5688F"/>
    <w:rsid w:val="00D62DC7"/>
    <w:rsid w:val="00D6347E"/>
    <w:rsid w:val="00D66DC1"/>
    <w:rsid w:val="00D66F25"/>
    <w:rsid w:val="00D67984"/>
    <w:rsid w:val="00D679C2"/>
    <w:rsid w:val="00D71866"/>
    <w:rsid w:val="00D774C7"/>
    <w:rsid w:val="00D82C72"/>
    <w:rsid w:val="00D835D3"/>
    <w:rsid w:val="00D83A2E"/>
    <w:rsid w:val="00D8453D"/>
    <w:rsid w:val="00D84D5F"/>
    <w:rsid w:val="00D854A2"/>
    <w:rsid w:val="00D85DC3"/>
    <w:rsid w:val="00D86957"/>
    <w:rsid w:val="00D86A93"/>
    <w:rsid w:val="00D87F54"/>
    <w:rsid w:val="00D90A72"/>
    <w:rsid w:val="00D94248"/>
    <w:rsid w:val="00D94FEB"/>
    <w:rsid w:val="00D962ED"/>
    <w:rsid w:val="00D96B28"/>
    <w:rsid w:val="00DA069D"/>
    <w:rsid w:val="00DA0D97"/>
    <w:rsid w:val="00DA2F07"/>
    <w:rsid w:val="00DA44C8"/>
    <w:rsid w:val="00DA4AC8"/>
    <w:rsid w:val="00DA5DC0"/>
    <w:rsid w:val="00DA788C"/>
    <w:rsid w:val="00DB2595"/>
    <w:rsid w:val="00DB65C0"/>
    <w:rsid w:val="00DB74B1"/>
    <w:rsid w:val="00DC144A"/>
    <w:rsid w:val="00DC181C"/>
    <w:rsid w:val="00DC1BB1"/>
    <w:rsid w:val="00DC44D3"/>
    <w:rsid w:val="00DC4A83"/>
    <w:rsid w:val="00DD33A0"/>
    <w:rsid w:val="00DD579B"/>
    <w:rsid w:val="00DD5965"/>
    <w:rsid w:val="00DD6272"/>
    <w:rsid w:val="00DD790D"/>
    <w:rsid w:val="00DE0220"/>
    <w:rsid w:val="00DE2D8D"/>
    <w:rsid w:val="00DE34D0"/>
    <w:rsid w:val="00DE6364"/>
    <w:rsid w:val="00DE7D7D"/>
    <w:rsid w:val="00DF39D2"/>
    <w:rsid w:val="00DF3E27"/>
    <w:rsid w:val="00DF53AF"/>
    <w:rsid w:val="00DF759D"/>
    <w:rsid w:val="00DF7BAE"/>
    <w:rsid w:val="00E01138"/>
    <w:rsid w:val="00E01802"/>
    <w:rsid w:val="00E0313A"/>
    <w:rsid w:val="00E05BA4"/>
    <w:rsid w:val="00E05EE8"/>
    <w:rsid w:val="00E06DA8"/>
    <w:rsid w:val="00E07EB2"/>
    <w:rsid w:val="00E1182D"/>
    <w:rsid w:val="00E12D3B"/>
    <w:rsid w:val="00E13BD4"/>
    <w:rsid w:val="00E14283"/>
    <w:rsid w:val="00E15A39"/>
    <w:rsid w:val="00E2031E"/>
    <w:rsid w:val="00E23EBF"/>
    <w:rsid w:val="00E25115"/>
    <w:rsid w:val="00E25F5E"/>
    <w:rsid w:val="00E2648E"/>
    <w:rsid w:val="00E26A16"/>
    <w:rsid w:val="00E26F87"/>
    <w:rsid w:val="00E3015C"/>
    <w:rsid w:val="00E309A4"/>
    <w:rsid w:val="00E3127B"/>
    <w:rsid w:val="00E31857"/>
    <w:rsid w:val="00E32F4F"/>
    <w:rsid w:val="00E3454D"/>
    <w:rsid w:val="00E34719"/>
    <w:rsid w:val="00E36870"/>
    <w:rsid w:val="00E372AE"/>
    <w:rsid w:val="00E42AE6"/>
    <w:rsid w:val="00E43872"/>
    <w:rsid w:val="00E43FD1"/>
    <w:rsid w:val="00E451F3"/>
    <w:rsid w:val="00E46551"/>
    <w:rsid w:val="00E50005"/>
    <w:rsid w:val="00E5009F"/>
    <w:rsid w:val="00E519F0"/>
    <w:rsid w:val="00E52BCA"/>
    <w:rsid w:val="00E54D53"/>
    <w:rsid w:val="00E554E8"/>
    <w:rsid w:val="00E55E77"/>
    <w:rsid w:val="00E60581"/>
    <w:rsid w:val="00E61894"/>
    <w:rsid w:val="00E630EB"/>
    <w:rsid w:val="00E63140"/>
    <w:rsid w:val="00E633DC"/>
    <w:rsid w:val="00E65CD8"/>
    <w:rsid w:val="00E66603"/>
    <w:rsid w:val="00E70838"/>
    <w:rsid w:val="00E711EA"/>
    <w:rsid w:val="00E71899"/>
    <w:rsid w:val="00E729EB"/>
    <w:rsid w:val="00E735A9"/>
    <w:rsid w:val="00E73ACF"/>
    <w:rsid w:val="00E80640"/>
    <w:rsid w:val="00E8157E"/>
    <w:rsid w:val="00E81736"/>
    <w:rsid w:val="00E8176E"/>
    <w:rsid w:val="00E81E3C"/>
    <w:rsid w:val="00E82BF0"/>
    <w:rsid w:val="00E82F1F"/>
    <w:rsid w:val="00E84D69"/>
    <w:rsid w:val="00E85C7C"/>
    <w:rsid w:val="00E85DC7"/>
    <w:rsid w:val="00E86488"/>
    <w:rsid w:val="00E912B1"/>
    <w:rsid w:val="00E9165A"/>
    <w:rsid w:val="00E9219E"/>
    <w:rsid w:val="00E979F7"/>
    <w:rsid w:val="00EA3000"/>
    <w:rsid w:val="00EA3936"/>
    <w:rsid w:val="00EA5CD1"/>
    <w:rsid w:val="00EA7CD0"/>
    <w:rsid w:val="00EB2020"/>
    <w:rsid w:val="00EB2E09"/>
    <w:rsid w:val="00EB62A9"/>
    <w:rsid w:val="00EC02BE"/>
    <w:rsid w:val="00EC3054"/>
    <w:rsid w:val="00EC35DE"/>
    <w:rsid w:val="00EC409F"/>
    <w:rsid w:val="00EC61F6"/>
    <w:rsid w:val="00EC6766"/>
    <w:rsid w:val="00EC7AE3"/>
    <w:rsid w:val="00EC7E08"/>
    <w:rsid w:val="00ED2563"/>
    <w:rsid w:val="00ED5FC2"/>
    <w:rsid w:val="00EE2D3E"/>
    <w:rsid w:val="00EE5590"/>
    <w:rsid w:val="00EE68FC"/>
    <w:rsid w:val="00EE7A5E"/>
    <w:rsid w:val="00EF11CE"/>
    <w:rsid w:val="00EF13FE"/>
    <w:rsid w:val="00EF1C07"/>
    <w:rsid w:val="00EF4F51"/>
    <w:rsid w:val="00EF5C95"/>
    <w:rsid w:val="00EF6960"/>
    <w:rsid w:val="00EF7D4C"/>
    <w:rsid w:val="00F01F0C"/>
    <w:rsid w:val="00F062AC"/>
    <w:rsid w:val="00F068A0"/>
    <w:rsid w:val="00F0745D"/>
    <w:rsid w:val="00F10886"/>
    <w:rsid w:val="00F10C63"/>
    <w:rsid w:val="00F121CB"/>
    <w:rsid w:val="00F17101"/>
    <w:rsid w:val="00F175F6"/>
    <w:rsid w:val="00F17AC1"/>
    <w:rsid w:val="00F20949"/>
    <w:rsid w:val="00F20A25"/>
    <w:rsid w:val="00F20D6E"/>
    <w:rsid w:val="00F23521"/>
    <w:rsid w:val="00F25E05"/>
    <w:rsid w:val="00F314CA"/>
    <w:rsid w:val="00F32A62"/>
    <w:rsid w:val="00F34039"/>
    <w:rsid w:val="00F35350"/>
    <w:rsid w:val="00F35E37"/>
    <w:rsid w:val="00F4022D"/>
    <w:rsid w:val="00F40A22"/>
    <w:rsid w:val="00F4164F"/>
    <w:rsid w:val="00F435DD"/>
    <w:rsid w:val="00F43806"/>
    <w:rsid w:val="00F44A54"/>
    <w:rsid w:val="00F46714"/>
    <w:rsid w:val="00F46DC9"/>
    <w:rsid w:val="00F504D0"/>
    <w:rsid w:val="00F55E9F"/>
    <w:rsid w:val="00F5645F"/>
    <w:rsid w:val="00F61F2B"/>
    <w:rsid w:val="00F632F0"/>
    <w:rsid w:val="00F650C6"/>
    <w:rsid w:val="00F65174"/>
    <w:rsid w:val="00F670C5"/>
    <w:rsid w:val="00F675A5"/>
    <w:rsid w:val="00F7197C"/>
    <w:rsid w:val="00F7266E"/>
    <w:rsid w:val="00F74487"/>
    <w:rsid w:val="00F86665"/>
    <w:rsid w:val="00F86924"/>
    <w:rsid w:val="00F87873"/>
    <w:rsid w:val="00F90FD1"/>
    <w:rsid w:val="00F92E0D"/>
    <w:rsid w:val="00F951A8"/>
    <w:rsid w:val="00F97276"/>
    <w:rsid w:val="00F973B8"/>
    <w:rsid w:val="00F97D34"/>
    <w:rsid w:val="00FA33EA"/>
    <w:rsid w:val="00FA41E0"/>
    <w:rsid w:val="00FA4E6A"/>
    <w:rsid w:val="00FA7041"/>
    <w:rsid w:val="00FB1F32"/>
    <w:rsid w:val="00FB38C1"/>
    <w:rsid w:val="00FB4EEC"/>
    <w:rsid w:val="00FB580A"/>
    <w:rsid w:val="00FC1165"/>
    <w:rsid w:val="00FC2BFC"/>
    <w:rsid w:val="00FC2FEF"/>
    <w:rsid w:val="00FC43F2"/>
    <w:rsid w:val="00FC4E0A"/>
    <w:rsid w:val="00FC65CF"/>
    <w:rsid w:val="00FC7688"/>
    <w:rsid w:val="00FD0107"/>
    <w:rsid w:val="00FD0552"/>
    <w:rsid w:val="00FD52A5"/>
    <w:rsid w:val="00FD5B9A"/>
    <w:rsid w:val="00FD5BAB"/>
    <w:rsid w:val="00FD6621"/>
    <w:rsid w:val="00FE0E17"/>
    <w:rsid w:val="00FE2EBF"/>
    <w:rsid w:val="00FE2FFD"/>
    <w:rsid w:val="00FE4CEE"/>
    <w:rsid w:val="00FF1535"/>
    <w:rsid w:val="00FF1921"/>
    <w:rsid w:val="00FF204F"/>
    <w:rsid w:val="00FF2ACC"/>
    <w:rsid w:val="00FF5CDC"/>
    <w:rsid w:val="00FF77B0"/>
    <w:rsid w:val="00FF77BF"/>
    <w:rsid w:val="00FF7E78"/>
    <w:rsid w:val="012627EC"/>
    <w:rsid w:val="012F044B"/>
    <w:rsid w:val="01380F70"/>
    <w:rsid w:val="013910A0"/>
    <w:rsid w:val="017559C7"/>
    <w:rsid w:val="0192398E"/>
    <w:rsid w:val="01B71576"/>
    <w:rsid w:val="01D55D76"/>
    <w:rsid w:val="020C40F2"/>
    <w:rsid w:val="02376E22"/>
    <w:rsid w:val="023C7FD4"/>
    <w:rsid w:val="02BB4F8D"/>
    <w:rsid w:val="02DE1638"/>
    <w:rsid w:val="02E14BB7"/>
    <w:rsid w:val="02F24C3D"/>
    <w:rsid w:val="030B2844"/>
    <w:rsid w:val="0353569A"/>
    <w:rsid w:val="04460984"/>
    <w:rsid w:val="045F0087"/>
    <w:rsid w:val="04B86BAD"/>
    <w:rsid w:val="04D32ECC"/>
    <w:rsid w:val="05043E59"/>
    <w:rsid w:val="052467E4"/>
    <w:rsid w:val="05595E26"/>
    <w:rsid w:val="05704DD8"/>
    <w:rsid w:val="05735443"/>
    <w:rsid w:val="058D40EB"/>
    <w:rsid w:val="05DB3D50"/>
    <w:rsid w:val="06305B70"/>
    <w:rsid w:val="06B33FE8"/>
    <w:rsid w:val="06B6038C"/>
    <w:rsid w:val="06DC5BA0"/>
    <w:rsid w:val="074A69F7"/>
    <w:rsid w:val="07651153"/>
    <w:rsid w:val="077B28FC"/>
    <w:rsid w:val="077D564B"/>
    <w:rsid w:val="07D4246E"/>
    <w:rsid w:val="08D631A4"/>
    <w:rsid w:val="08EF4AFC"/>
    <w:rsid w:val="0910075F"/>
    <w:rsid w:val="0922701E"/>
    <w:rsid w:val="0955113E"/>
    <w:rsid w:val="09561002"/>
    <w:rsid w:val="09BA6179"/>
    <w:rsid w:val="09E516E3"/>
    <w:rsid w:val="0A232D8A"/>
    <w:rsid w:val="0A375166"/>
    <w:rsid w:val="0A715A92"/>
    <w:rsid w:val="0AE02263"/>
    <w:rsid w:val="0B31791A"/>
    <w:rsid w:val="0B487BFD"/>
    <w:rsid w:val="0B97511A"/>
    <w:rsid w:val="0B9E091F"/>
    <w:rsid w:val="0BA15C34"/>
    <w:rsid w:val="0BFD6F80"/>
    <w:rsid w:val="0C193E4B"/>
    <w:rsid w:val="0C242407"/>
    <w:rsid w:val="0C4C440E"/>
    <w:rsid w:val="0CAC27FF"/>
    <w:rsid w:val="0DD423A8"/>
    <w:rsid w:val="0DD56AC6"/>
    <w:rsid w:val="0DE130FF"/>
    <w:rsid w:val="0DEF567D"/>
    <w:rsid w:val="0E580065"/>
    <w:rsid w:val="0E6E046F"/>
    <w:rsid w:val="0E77074F"/>
    <w:rsid w:val="0E9819E4"/>
    <w:rsid w:val="0F25216F"/>
    <w:rsid w:val="0F525FB7"/>
    <w:rsid w:val="0F5472DE"/>
    <w:rsid w:val="0F750D69"/>
    <w:rsid w:val="0F96740E"/>
    <w:rsid w:val="0FA230A8"/>
    <w:rsid w:val="0FA87ECE"/>
    <w:rsid w:val="0FAD0CC5"/>
    <w:rsid w:val="0FF52D01"/>
    <w:rsid w:val="0FFC7994"/>
    <w:rsid w:val="10083F3E"/>
    <w:rsid w:val="1008458B"/>
    <w:rsid w:val="100C12D6"/>
    <w:rsid w:val="1037024A"/>
    <w:rsid w:val="10D2645C"/>
    <w:rsid w:val="1136067B"/>
    <w:rsid w:val="118964D1"/>
    <w:rsid w:val="11C83CE9"/>
    <w:rsid w:val="121D1954"/>
    <w:rsid w:val="1224328A"/>
    <w:rsid w:val="12387762"/>
    <w:rsid w:val="123A6F6C"/>
    <w:rsid w:val="128B5E33"/>
    <w:rsid w:val="12AB3C15"/>
    <w:rsid w:val="12FF0ADE"/>
    <w:rsid w:val="131C63E3"/>
    <w:rsid w:val="131F4723"/>
    <w:rsid w:val="133C0147"/>
    <w:rsid w:val="137E5EFF"/>
    <w:rsid w:val="13D1527E"/>
    <w:rsid w:val="14207BC2"/>
    <w:rsid w:val="143E58E9"/>
    <w:rsid w:val="144C0CAA"/>
    <w:rsid w:val="14D85525"/>
    <w:rsid w:val="15036D14"/>
    <w:rsid w:val="150800C9"/>
    <w:rsid w:val="15750513"/>
    <w:rsid w:val="159A3457"/>
    <w:rsid w:val="15C714C2"/>
    <w:rsid w:val="16C6735C"/>
    <w:rsid w:val="170A457F"/>
    <w:rsid w:val="171A2C0D"/>
    <w:rsid w:val="17263DB6"/>
    <w:rsid w:val="17311FD8"/>
    <w:rsid w:val="177531A3"/>
    <w:rsid w:val="179476B3"/>
    <w:rsid w:val="17C612CE"/>
    <w:rsid w:val="17D0164A"/>
    <w:rsid w:val="180513B0"/>
    <w:rsid w:val="189C1D14"/>
    <w:rsid w:val="18B60AE0"/>
    <w:rsid w:val="18D002AB"/>
    <w:rsid w:val="18D23085"/>
    <w:rsid w:val="18DC4AAB"/>
    <w:rsid w:val="18E356FA"/>
    <w:rsid w:val="18E80CA3"/>
    <w:rsid w:val="18F02060"/>
    <w:rsid w:val="190D3B48"/>
    <w:rsid w:val="191A3199"/>
    <w:rsid w:val="191B5FB9"/>
    <w:rsid w:val="195B5901"/>
    <w:rsid w:val="19EC193E"/>
    <w:rsid w:val="1A223C5B"/>
    <w:rsid w:val="1A630069"/>
    <w:rsid w:val="1A87046A"/>
    <w:rsid w:val="1B052549"/>
    <w:rsid w:val="1B121246"/>
    <w:rsid w:val="1B202D65"/>
    <w:rsid w:val="1BB378F8"/>
    <w:rsid w:val="1BD702ED"/>
    <w:rsid w:val="1C27091F"/>
    <w:rsid w:val="1C7375CD"/>
    <w:rsid w:val="1C835628"/>
    <w:rsid w:val="1C984E41"/>
    <w:rsid w:val="1D0F4A92"/>
    <w:rsid w:val="1D10354F"/>
    <w:rsid w:val="1D181B85"/>
    <w:rsid w:val="1D2813EC"/>
    <w:rsid w:val="1DA115C5"/>
    <w:rsid w:val="1DE87E12"/>
    <w:rsid w:val="1E192F15"/>
    <w:rsid w:val="1E1B2B12"/>
    <w:rsid w:val="1EE021CA"/>
    <w:rsid w:val="1F4161BA"/>
    <w:rsid w:val="1F857BAC"/>
    <w:rsid w:val="200B3BED"/>
    <w:rsid w:val="2010515D"/>
    <w:rsid w:val="20196EDC"/>
    <w:rsid w:val="209B6913"/>
    <w:rsid w:val="20A718C3"/>
    <w:rsid w:val="20D57D40"/>
    <w:rsid w:val="20E93A54"/>
    <w:rsid w:val="212E2504"/>
    <w:rsid w:val="21737CC2"/>
    <w:rsid w:val="21C76432"/>
    <w:rsid w:val="221E0A69"/>
    <w:rsid w:val="2253090A"/>
    <w:rsid w:val="22BC4F06"/>
    <w:rsid w:val="22EF10CD"/>
    <w:rsid w:val="23C42CEA"/>
    <w:rsid w:val="23F23130"/>
    <w:rsid w:val="23F915EB"/>
    <w:rsid w:val="2417589A"/>
    <w:rsid w:val="247E2C16"/>
    <w:rsid w:val="24F0235C"/>
    <w:rsid w:val="24FD3C49"/>
    <w:rsid w:val="250E52B0"/>
    <w:rsid w:val="25333A00"/>
    <w:rsid w:val="25534B94"/>
    <w:rsid w:val="25643A69"/>
    <w:rsid w:val="25B05D4D"/>
    <w:rsid w:val="25C06FB5"/>
    <w:rsid w:val="260B6A4D"/>
    <w:rsid w:val="2625501D"/>
    <w:rsid w:val="263431F9"/>
    <w:rsid w:val="26980F33"/>
    <w:rsid w:val="26A4050D"/>
    <w:rsid w:val="26B32BB5"/>
    <w:rsid w:val="26B63325"/>
    <w:rsid w:val="26C70AE5"/>
    <w:rsid w:val="27683AA6"/>
    <w:rsid w:val="27C23147"/>
    <w:rsid w:val="27EC7B97"/>
    <w:rsid w:val="28250CC6"/>
    <w:rsid w:val="284C09E6"/>
    <w:rsid w:val="28741B2F"/>
    <w:rsid w:val="28766894"/>
    <w:rsid w:val="28EE7985"/>
    <w:rsid w:val="28FF0012"/>
    <w:rsid w:val="295604C2"/>
    <w:rsid w:val="297B49FB"/>
    <w:rsid w:val="299B3B6E"/>
    <w:rsid w:val="29B30E1A"/>
    <w:rsid w:val="29EE5B43"/>
    <w:rsid w:val="29EF2C20"/>
    <w:rsid w:val="29F32CAA"/>
    <w:rsid w:val="2A2306D6"/>
    <w:rsid w:val="2A36520C"/>
    <w:rsid w:val="2A390A83"/>
    <w:rsid w:val="2AA576F8"/>
    <w:rsid w:val="2AD519B7"/>
    <w:rsid w:val="2AD51C9E"/>
    <w:rsid w:val="2B1905BA"/>
    <w:rsid w:val="2B7807D7"/>
    <w:rsid w:val="2BB06763"/>
    <w:rsid w:val="2C137C81"/>
    <w:rsid w:val="2C155C0E"/>
    <w:rsid w:val="2C2F2ADC"/>
    <w:rsid w:val="2C476A7D"/>
    <w:rsid w:val="2C734225"/>
    <w:rsid w:val="2CC45BE0"/>
    <w:rsid w:val="2D052EB7"/>
    <w:rsid w:val="2D3175C2"/>
    <w:rsid w:val="2D3E0885"/>
    <w:rsid w:val="2D4F6FA0"/>
    <w:rsid w:val="2D57287B"/>
    <w:rsid w:val="2D723114"/>
    <w:rsid w:val="2D8C7A3F"/>
    <w:rsid w:val="2DED4844"/>
    <w:rsid w:val="2E1201A7"/>
    <w:rsid w:val="2E5408B1"/>
    <w:rsid w:val="2EB411CC"/>
    <w:rsid w:val="2EBA46DE"/>
    <w:rsid w:val="2EF96FED"/>
    <w:rsid w:val="2EFB2258"/>
    <w:rsid w:val="2F0F31E6"/>
    <w:rsid w:val="2F6674F4"/>
    <w:rsid w:val="2F84431E"/>
    <w:rsid w:val="2FD57AFF"/>
    <w:rsid w:val="300F6527"/>
    <w:rsid w:val="303247EE"/>
    <w:rsid w:val="30993AA1"/>
    <w:rsid w:val="30A8029B"/>
    <w:rsid w:val="30D34E0D"/>
    <w:rsid w:val="311A0EA5"/>
    <w:rsid w:val="311F1372"/>
    <w:rsid w:val="317163F2"/>
    <w:rsid w:val="31AB483D"/>
    <w:rsid w:val="32542B96"/>
    <w:rsid w:val="32676A97"/>
    <w:rsid w:val="32B54268"/>
    <w:rsid w:val="333F13F4"/>
    <w:rsid w:val="33533315"/>
    <w:rsid w:val="33975C9A"/>
    <w:rsid w:val="34000D04"/>
    <w:rsid w:val="340962A6"/>
    <w:rsid w:val="3417184D"/>
    <w:rsid w:val="344235D6"/>
    <w:rsid w:val="34A710DE"/>
    <w:rsid w:val="34E70363"/>
    <w:rsid w:val="34F634B6"/>
    <w:rsid w:val="34F807BD"/>
    <w:rsid w:val="353A1619"/>
    <w:rsid w:val="3572601A"/>
    <w:rsid w:val="35D36C38"/>
    <w:rsid w:val="35E132A1"/>
    <w:rsid w:val="35EB7732"/>
    <w:rsid w:val="36994677"/>
    <w:rsid w:val="36C14DBF"/>
    <w:rsid w:val="36C266C4"/>
    <w:rsid w:val="37336181"/>
    <w:rsid w:val="375D5510"/>
    <w:rsid w:val="378C2A74"/>
    <w:rsid w:val="379A14C2"/>
    <w:rsid w:val="379A68D8"/>
    <w:rsid w:val="37BE6E27"/>
    <w:rsid w:val="37E77E78"/>
    <w:rsid w:val="381415A9"/>
    <w:rsid w:val="386E6D0F"/>
    <w:rsid w:val="38AD3F07"/>
    <w:rsid w:val="38E47142"/>
    <w:rsid w:val="397E5A65"/>
    <w:rsid w:val="39BB14A5"/>
    <w:rsid w:val="39CE6A60"/>
    <w:rsid w:val="39F17CF6"/>
    <w:rsid w:val="39F93328"/>
    <w:rsid w:val="3A015ACD"/>
    <w:rsid w:val="3A0634DB"/>
    <w:rsid w:val="3A1F0811"/>
    <w:rsid w:val="3A570EB8"/>
    <w:rsid w:val="3A5D00FF"/>
    <w:rsid w:val="3A6E6089"/>
    <w:rsid w:val="3A905B51"/>
    <w:rsid w:val="3A912FB6"/>
    <w:rsid w:val="3AF91C16"/>
    <w:rsid w:val="3B216667"/>
    <w:rsid w:val="3B673A7D"/>
    <w:rsid w:val="3B7C4830"/>
    <w:rsid w:val="3B9F7BFE"/>
    <w:rsid w:val="3BA54BF1"/>
    <w:rsid w:val="3BC1394A"/>
    <w:rsid w:val="3BD72EE0"/>
    <w:rsid w:val="3C0A2499"/>
    <w:rsid w:val="3C343279"/>
    <w:rsid w:val="3C8C0CA5"/>
    <w:rsid w:val="3C9E3AD4"/>
    <w:rsid w:val="3CDD3B4E"/>
    <w:rsid w:val="3DB94316"/>
    <w:rsid w:val="3DDE08F9"/>
    <w:rsid w:val="3E2E252D"/>
    <w:rsid w:val="3E4E5B2B"/>
    <w:rsid w:val="3EB72977"/>
    <w:rsid w:val="3ED854DE"/>
    <w:rsid w:val="3F417922"/>
    <w:rsid w:val="3F5B064A"/>
    <w:rsid w:val="3F927702"/>
    <w:rsid w:val="3FA87CDA"/>
    <w:rsid w:val="3FB12EA5"/>
    <w:rsid w:val="3FC72D8E"/>
    <w:rsid w:val="401E2DB8"/>
    <w:rsid w:val="40763704"/>
    <w:rsid w:val="41041A87"/>
    <w:rsid w:val="414260C8"/>
    <w:rsid w:val="41903EBE"/>
    <w:rsid w:val="41DE6B9D"/>
    <w:rsid w:val="41E778F8"/>
    <w:rsid w:val="41F477D5"/>
    <w:rsid w:val="4223043C"/>
    <w:rsid w:val="42285333"/>
    <w:rsid w:val="422E64F3"/>
    <w:rsid w:val="42405B8F"/>
    <w:rsid w:val="42595963"/>
    <w:rsid w:val="427B0526"/>
    <w:rsid w:val="42A96F33"/>
    <w:rsid w:val="42B46AFE"/>
    <w:rsid w:val="42CF2AAA"/>
    <w:rsid w:val="42D601B6"/>
    <w:rsid w:val="42EB2FD6"/>
    <w:rsid w:val="43002F13"/>
    <w:rsid w:val="431C5C18"/>
    <w:rsid w:val="4373477F"/>
    <w:rsid w:val="43CB7D73"/>
    <w:rsid w:val="441A02B3"/>
    <w:rsid w:val="442D0617"/>
    <w:rsid w:val="44784DF2"/>
    <w:rsid w:val="44E82FA9"/>
    <w:rsid w:val="44E8359D"/>
    <w:rsid w:val="45857143"/>
    <w:rsid w:val="45EE4662"/>
    <w:rsid w:val="461B60BF"/>
    <w:rsid w:val="46741846"/>
    <w:rsid w:val="468F348A"/>
    <w:rsid w:val="46B42D12"/>
    <w:rsid w:val="46BA3358"/>
    <w:rsid w:val="46C52C66"/>
    <w:rsid w:val="46CF178A"/>
    <w:rsid w:val="46DC6915"/>
    <w:rsid w:val="47507AB4"/>
    <w:rsid w:val="47895A0A"/>
    <w:rsid w:val="478B35E3"/>
    <w:rsid w:val="47A20D04"/>
    <w:rsid w:val="48D2515B"/>
    <w:rsid w:val="48F74706"/>
    <w:rsid w:val="49343430"/>
    <w:rsid w:val="493B5356"/>
    <w:rsid w:val="493E1DAA"/>
    <w:rsid w:val="49431453"/>
    <w:rsid w:val="49477653"/>
    <w:rsid w:val="496D29C8"/>
    <w:rsid w:val="4972553E"/>
    <w:rsid w:val="49EF313E"/>
    <w:rsid w:val="49F2265D"/>
    <w:rsid w:val="4A2A54D9"/>
    <w:rsid w:val="4A5408FB"/>
    <w:rsid w:val="4A8A3813"/>
    <w:rsid w:val="4AC210F2"/>
    <w:rsid w:val="4ACE12CA"/>
    <w:rsid w:val="4B2D65BF"/>
    <w:rsid w:val="4B4F2061"/>
    <w:rsid w:val="4BB766B1"/>
    <w:rsid w:val="4BBD01DF"/>
    <w:rsid w:val="4C0C7771"/>
    <w:rsid w:val="4C42016C"/>
    <w:rsid w:val="4C5F6467"/>
    <w:rsid w:val="4C7A267F"/>
    <w:rsid w:val="4C8B75BA"/>
    <w:rsid w:val="4CA757A7"/>
    <w:rsid w:val="4D0B2CFA"/>
    <w:rsid w:val="4E4104D7"/>
    <w:rsid w:val="4E4E1AD3"/>
    <w:rsid w:val="4E6F7ED9"/>
    <w:rsid w:val="4E941A5E"/>
    <w:rsid w:val="4ED2744B"/>
    <w:rsid w:val="4EF7302E"/>
    <w:rsid w:val="4F630779"/>
    <w:rsid w:val="4F9A19D9"/>
    <w:rsid w:val="4FC36FBC"/>
    <w:rsid w:val="4FD66541"/>
    <w:rsid w:val="4FDB6FF1"/>
    <w:rsid w:val="501D7F57"/>
    <w:rsid w:val="50B30DEB"/>
    <w:rsid w:val="51190237"/>
    <w:rsid w:val="51235CA6"/>
    <w:rsid w:val="5126484D"/>
    <w:rsid w:val="51844B34"/>
    <w:rsid w:val="51871FF8"/>
    <w:rsid w:val="51D210B4"/>
    <w:rsid w:val="51EA0D86"/>
    <w:rsid w:val="51ED5106"/>
    <w:rsid w:val="51EE6435"/>
    <w:rsid w:val="51FB5FD8"/>
    <w:rsid w:val="52902630"/>
    <w:rsid w:val="52B04009"/>
    <w:rsid w:val="53D96043"/>
    <w:rsid w:val="54204707"/>
    <w:rsid w:val="54504294"/>
    <w:rsid w:val="54A13D14"/>
    <w:rsid w:val="54D576D6"/>
    <w:rsid w:val="5507617F"/>
    <w:rsid w:val="555013F6"/>
    <w:rsid w:val="5560764A"/>
    <w:rsid w:val="559A5D14"/>
    <w:rsid w:val="559D5EE4"/>
    <w:rsid w:val="55B41AF5"/>
    <w:rsid w:val="55BA1EB0"/>
    <w:rsid w:val="56384123"/>
    <w:rsid w:val="565222F5"/>
    <w:rsid w:val="56B15042"/>
    <w:rsid w:val="57296619"/>
    <w:rsid w:val="572C03D8"/>
    <w:rsid w:val="572F33BD"/>
    <w:rsid w:val="57773E2A"/>
    <w:rsid w:val="579D6B7D"/>
    <w:rsid w:val="57A145E1"/>
    <w:rsid w:val="57FE1198"/>
    <w:rsid w:val="581D7FA6"/>
    <w:rsid w:val="58332920"/>
    <w:rsid w:val="58465817"/>
    <w:rsid w:val="586D2561"/>
    <w:rsid w:val="58E9485F"/>
    <w:rsid w:val="58EB0C71"/>
    <w:rsid w:val="58EC3E34"/>
    <w:rsid w:val="596E1A64"/>
    <w:rsid w:val="59B71D6B"/>
    <w:rsid w:val="5A4831FC"/>
    <w:rsid w:val="5AC3711C"/>
    <w:rsid w:val="5B260D1C"/>
    <w:rsid w:val="5B583C84"/>
    <w:rsid w:val="5B7F68A0"/>
    <w:rsid w:val="5BDB6005"/>
    <w:rsid w:val="5C0C2CFA"/>
    <w:rsid w:val="5C12560E"/>
    <w:rsid w:val="5C441F61"/>
    <w:rsid w:val="5CEB3FD9"/>
    <w:rsid w:val="5CF039A9"/>
    <w:rsid w:val="5D0B568A"/>
    <w:rsid w:val="5D283554"/>
    <w:rsid w:val="5D42145A"/>
    <w:rsid w:val="5D4258D4"/>
    <w:rsid w:val="5DA6493D"/>
    <w:rsid w:val="5DAE73F2"/>
    <w:rsid w:val="5E776D86"/>
    <w:rsid w:val="5E7B2319"/>
    <w:rsid w:val="5E845E14"/>
    <w:rsid w:val="5E9C2DA1"/>
    <w:rsid w:val="5ED34064"/>
    <w:rsid w:val="5FA339A2"/>
    <w:rsid w:val="5FC548FB"/>
    <w:rsid w:val="5FD76A07"/>
    <w:rsid w:val="600E63A9"/>
    <w:rsid w:val="60232C7D"/>
    <w:rsid w:val="60375C2E"/>
    <w:rsid w:val="604A5FEF"/>
    <w:rsid w:val="611258D9"/>
    <w:rsid w:val="613719DF"/>
    <w:rsid w:val="613D0692"/>
    <w:rsid w:val="61CC600D"/>
    <w:rsid w:val="623B7475"/>
    <w:rsid w:val="62AC0FD1"/>
    <w:rsid w:val="63131CC4"/>
    <w:rsid w:val="632F5E66"/>
    <w:rsid w:val="63AD6357"/>
    <w:rsid w:val="63D80168"/>
    <w:rsid w:val="63EE43EA"/>
    <w:rsid w:val="63FB0D03"/>
    <w:rsid w:val="64145311"/>
    <w:rsid w:val="64361733"/>
    <w:rsid w:val="647E5958"/>
    <w:rsid w:val="64865018"/>
    <w:rsid w:val="649F7553"/>
    <w:rsid w:val="64BB63F8"/>
    <w:rsid w:val="64C9409E"/>
    <w:rsid w:val="64EF2844"/>
    <w:rsid w:val="650065D8"/>
    <w:rsid w:val="65050506"/>
    <w:rsid w:val="65622D19"/>
    <w:rsid w:val="656A3451"/>
    <w:rsid w:val="656F7304"/>
    <w:rsid w:val="65B708DE"/>
    <w:rsid w:val="65D5373C"/>
    <w:rsid w:val="65F02C91"/>
    <w:rsid w:val="66603836"/>
    <w:rsid w:val="6676702E"/>
    <w:rsid w:val="66CA52C9"/>
    <w:rsid w:val="671B7DE8"/>
    <w:rsid w:val="6751785F"/>
    <w:rsid w:val="675B6700"/>
    <w:rsid w:val="676254E9"/>
    <w:rsid w:val="6780567D"/>
    <w:rsid w:val="67C10C48"/>
    <w:rsid w:val="67CC1879"/>
    <w:rsid w:val="67DC66DC"/>
    <w:rsid w:val="680802C2"/>
    <w:rsid w:val="682942C8"/>
    <w:rsid w:val="68352BF1"/>
    <w:rsid w:val="68784033"/>
    <w:rsid w:val="68803037"/>
    <w:rsid w:val="68B458C4"/>
    <w:rsid w:val="68C012C7"/>
    <w:rsid w:val="69016C2F"/>
    <w:rsid w:val="69080BDE"/>
    <w:rsid w:val="69083ABB"/>
    <w:rsid w:val="69191A64"/>
    <w:rsid w:val="6987670C"/>
    <w:rsid w:val="69906697"/>
    <w:rsid w:val="69D507E2"/>
    <w:rsid w:val="6A0E546F"/>
    <w:rsid w:val="6A1F1550"/>
    <w:rsid w:val="6A2F4547"/>
    <w:rsid w:val="6A31291F"/>
    <w:rsid w:val="6A497BD1"/>
    <w:rsid w:val="6A595D36"/>
    <w:rsid w:val="6A817D97"/>
    <w:rsid w:val="6B5E15DB"/>
    <w:rsid w:val="6BAC4983"/>
    <w:rsid w:val="6BD76F6F"/>
    <w:rsid w:val="6C475649"/>
    <w:rsid w:val="6C6F4377"/>
    <w:rsid w:val="6C7E67E5"/>
    <w:rsid w:val="6CFA6255"/>
    <w:rsid w:val="6D3A6F3B"/>
    <w:rsid w:val="6DE77D9E"/>
    <w:rsid w:val="6E4B6440"/>
    <w:rsid w:val="6E6E0706"/>
    <w:rsid w:val="6EB87290"/>
    <w:rsid w:val="6EC008A6"/>
    <w:rsid w:val="6F0A4B97"/>
    <w:rsid w:val="6F4739A8"/>
    <w:rsid w:val="6F4E7959"/>
    <w:rsid w:val="6F894224"/>
    <w:rsid w:val="6FC82564"/>
    <w:rsid w:val="6FC869B5"/>
    <w:rsid w:val="700C3D3F"/>
    <w:rsid w:val="70383787"/>
    <w:rsid w:val="70695D62"/>
    <w:rsid w:val="70A55E24"/>
    <w:rsid w:val="70AC16AD"/>
    <w:rsid w:val="70C53F8B"/>
    <w:rsid w:val="70EA21D8"/>
    <w:rsid w:val="710664A7"/>
    <w:rsid w:val="71463A54"/>
    <w:rsid w:val="71704568"/>
    <w:rsid w:val="71791412"/>
    <w:rsid w:val="718F6178"/>
    <w:rsid w:val="721B7C23"/>
    <w:rsid w:val="728065BD"/>
    <w:rsid w:val="72891AEC"/>
    <w:rsid w:val="73015A3B"/>
    <w:rsid w:val="730211B9"/>
    <w:rsid w:val="7310276A"/>
    <w:rsid w:val="73181744"/>
    <w:rsid w:val="736C180D"/>
    <w:rsid w:val="73DD7CAA"/>
    <w:rsid w:val="741A2E52"/>
    <w:rsid w:val="744213FD"/>
    <w:rsid w:val="745F4D3E"/>
    <w:rsid w:val="749A62FC"/>
    <w:rsid w:val="74B14DAD"/>
    <w:rsid w:val="74ED70FF"/>
    <w:rsid w:val="750E30A4"/>
    <w:rsid w:val="75831CA0"/>
    <w:rsid w:val="75922DA4"/>
    <w:rsid w:val="760A4D90"/>
    <w:rsid w:val="766F509A"/>
    <w:rsid w:val="768E5753"/>
    <w:rsid w:val="76EA786F"/>
    <w:rsid w:val="76F92DF7"/>
    <w:rsid w:val="770208BC"/>
    <w:rsid w:val="773D55E5"/>
    <w:rsid w:val="782B1FEC"/>
    <w:rsid w:val="782F6BB0"/>
    <w:rsid w:val="7846721B"/>
    <w:rsid w:val="7849788F"/>
    <w:rsid w:val="78542439"/>
    <w:rsid w:val="78661195"/>
    <w:rsid w:val="788E35A3"/>
    <w:rsid w:val="78BE4AF8"/>
    <w:rsid w:val="78DF523C"/>
    <w:rsid w:val="78FB5758"/>
    <w:rsid w:val="793E5E52"/>
    <w:rsid w:val="794A2994"/>
    <w:rsid w:val="795036EB"/>
    <w:rsid w:val="79D22BA5"/>
    <w:rsid w:val="7A0F218E"/>
    <w:rsid w:val="7A19222E"/>
    <w:rsid w:val="7A361450"/>
    <w:rsid w:val="7A5F4DF4"/>
    <w:rsid w:val="7AE94317"/>
    <w:rsid w:val="7AFD44A3"/>
    <w:rsid w:val="7B887FA2"/>
    <w:rsid w:val="7C33173B"/>
    <w:rsid w:val="7C4514C4"/>
    <w:rsid w:val="7C681D0C"/>
    <w:rsid w:val="7C9931B0"/>
    <w:rsid w:val="7C9F1980"/>
    <w:rsid w:val="7CAD42D5"/>
    <w:rsid w:val="7CC3033B"/>
    <w:rsid w:val="7D082996"/>
    <w:rsid w:val="7D20072F"/>
    <w:rsid w:val="7D7209E8"/>
    <w:rsid w:val="7D9655B2"/>
    <w:rsid w:val="7D9C4B36"/>
    <w:rsid w:val="7DA4280D"/>
    <w:rsid w:val="7DAC2251"/>
    <w:rsid w:val="7DCE7058"/>
    <w:rsid w:val="7DF47138"/>
    <w:rsid w:val="7E3C33E1"/>
    <w:rsid w:val="7E80779E"/>
    <w:rsid w:val="7EB7131C"/>
    <w:rsid w:val="7EEE6EF0"/>
    <w:rsid w:val="7EFB397C"/>
    <w:rsid w:val="7F3D36B7"/>
    <w:rsid w:val="7F7E679B"/>
    <w:rsid w:val="7FD92A36"/>
    <w:rsid w:val="7FFD366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jc w:val="center"/>
      <w:outlineLvl w:val="0"/>
    </w:pPr>
    <w:rPr>
      <w:b/>
      <w:bCs/>
      <w:kern w:val="0"/>
      <w:sz w:val="24"/>
      <w:szCs w:val="20"/>
    </w:rPr>
  </w:style>
  <w:style w:type="paragraph" w:styleId="3">
    <w:name w:val="heading 2"/>
    <w:basedOn w:val="1"/>
    <w:next w:val="1"/>
    <w:link w:val="54"/>
    <w:qFormat/>
    <w:uiPriority w:val="9"/>
    <w:pPr>
      <w:keepNext/>
      <w:keepLines/>
      <w:spacing w:line="360" w:lineRule="auto"/>
      <w:outlineLvl w:val="1"/>
    </w:pPr>
    <w:rPr>
      <w:rFonts w:ascii="Arial" w:hAnsi="Arial"/>
      <w:b/>
      <w:bCs/>
      <w:kern w:val="0"/>
      <w:sz w:val="24"/>
      <w:szCs w:val="32"/>
    </w:rPr>
  </w:style>
  <w:style w:type="paragraph" w:styleId="4">
    <w:name w:val="heading 3"/>
    <w:basedOn w:val="1"/>
    <w:next w:val="1"/>
    <w:link w:val="55"/>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56"/>
    <w:qFormat/>
    <w:uiPriority w:val="9"/>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57"/>
    <w:qFormat/>
    <w:uiPriority w:val="9"/>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5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59"/>
    <w:qFormat/>
    <w:uiPriority w:val="9"/>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0"/>
    <w:qFormat/>
    <w:uiPriority w:val="9"/>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1"/>
    <w:qFormat/>
    <w:uiPriority w:val="9"/>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等线" w:hAnsi="等线" w:eastAsia="等线"/>
      <w:szCs w:val="22"/>
    </w:rPr>
  </w:style>
  <w:style w:type="paragraph" w:styleId="12">
    <w:name w:val="Normal Indent"/>
    <w:basedOn w:val="1"/>
    <w:next w:val="13"/>
    <w:qFormat/>
    <w:uiPriority w:val="0"/>
    <w:pPr>
      <w:widowControl/>
      <w:ind w:firstLine="420"/>
      <w:jc w:val="left"/>
    </w:pPr>
    <w:rPr>
      <w:kern w:val="0"/>
      <w:sz w:val="20"/>
      <w:szCs w:val="20"/>
    </w:rPr>
  </w:style>
  <w:style w:type="paragraph" w:styleId="13">
    <w:name w:val="toc 4"/>
    <w:basedOn w:val="1"/>
    <w:next w:val="1"/>
    <w:unhideWhenUsed/>
    <w:qFormat/>
    <w:uiPriority w:val="39"/>
    <w:pPr>
      <w:spacing w:before="12" w:after="12" w:line="360" w:lineRule="auto"/>
      <w:ind w:left="1260" w:leftChars="600" w:firstLine="200" w:firstLineChars="200"/>
    </w:pPr>
    <w:rPr>
      <w:rFonts w:ascii="等线" w:hAnsi="等线" w:eastAsia="等线"/>
      <w:szCs w:val="22"/>
    </w:rPr>
  </w:style>
  <w:style w:type="paragraph" w:styleId="14">
    <w:name w:val="Document Map"/>
    <w:basedOn w:val="1"/>
    <w:link w:val="62"/>
    <w:semiHidden/>
    <w:qFormat/>
    <w:uiPriority w:val="0"/>
    <w:pPr>
      <w:shd w:val="clear" w:color="auto" w:fill="000080"/>
    </w:pPr>
    <w:rPr>
      <w:kern w:val="0"/>
      <w:sz w:val="20"/>
    </w:rPr>
  </w:style>
  <w:style w:type="paragraph" w:styleId="15">
    <w:name w:val="annotation text"/>
    <w:basedOn w:val="1"/>
    <w:link w:val="63"/>
    <w:qFormat/>
    <w:uiPriority w:val="99"/>
    <w:pPr>
      <w:jc w:val="left"/>
    </w:pPr>
    <w:rPr>
      <w:kern w:val="0"/>
      <w:sz w:val="20"/>
    </w:rPr>
  </w:style>
  <w:style w:type="paragraph" w:styleId="16">
    <w:name w:val="Salutation"/>
    <w:basedOn w:val="1"/>
    <w:next w:val="1"/>
    <w:link w:val="64"/>
    <w:qFormat/>
    <w:uiPriority w:val="0"/>
    <w:rPr>
      <w:rFonts w:ascii="仿宋_GB2312" w:eastAsia="仿宋_GB2312"/>
      <w:kern w:val="0"/>
      <w:sz w:val="24"/>
    </w:rPr>
  </w:style>
  <w:style w:type="paragraph" w:styleId="17">
    <w:name w:val="Body Text"/>
    <w:basedOn w:val="1"/>
    <w:next w:val="1"/>
    <w:link w:val="65"/>
    <w:qFormat/>
    <w:uiPriority w:val="0"/>
    <w:pPr>
      <w:spacing w:after="120"/>
    </w:pPr>
    <w:rPr>
      <w:kern w:val="0"/>
      <w:sz w:val="20"/>
    </w:rPr>
  </w:style>
  <w:style w:type="paragraph" w:styleId="18">
    <w:name w:val="Body Text Indent"/>
    <w:basedOn w:val="1"/>
    <w:next w:val="19"/>
    <w:link w:val="66"/>
    <w:qFormat/>
    <w:uiPriority w:val="0"/>
    <w:pPr>
      <w:spacing w:after="120"/>
      <w:ind w:left="420" w:leftChars="200"/>
    </w:pPr>
    <w:rPr>
      <w:kern w:val="0"/>
      <w:sz w:val="20"/>
    </w:rPr>
  </w:style>
  <w:style w:type="paragraph" w:styleId="19">
    <w:name w:val="Body Text First Indent 2"/>
    <w:basedOn w:val="1"/>
    <w:next w:val="17"/>
    <w:link w:val="78"/>
    <w:unhideWhenUsed/>
    <w:qFormat/>
    <w:uiPriority w:val="0"/>
    <w:pPr>
      <w:ind w:firstLine="420" w:firstLineChars="200"/>
    </w:pPr>
    <w:rPr>
      <w:kern w:val="2"/>
      <w:sz w:val="21"/>
    </w:rPr>
  </w:style>
  <w:style w:type="paragraph" w:styleId="20">
    <w:name w:val="Block Text"/>
    <w:basedOn w:val="1"/>
    <w:qFormat/>
    <w:uiPriority w:val="0"/>
    <w:pPr>
      <w:ind w:left="1171" w:right="91" w:hanging="1080"/>
    </w:pPr>
    <w:rPr>
      <w:rFonts w:eastAsia="楷体_GB2312"/>
      <w:szCs w:val="20"/>
    </w:rPr>
  </w:style>
  <w:style w:type="paragraph" w:styleId="21">
    <w:name w:val="toc 5"/>
    <w:basedOn w:val="1"/>
    <w:next w:val="1"/>
    <w:unhideWhenUsed/>
    <w:qFormat/>
    <w:uiPriority w:val="39"/>
    <w:pPr>
      <w:ind w:left="1680" w:leftChars="800"/>
    </w:pPr>
    <w:rPr>
      <w:rFonts w:ascii="等线" w:hAnsi="等线" w:eastAsia="等线"/>
      <w:szCs w:val="22"/>
    </w:rPr>
  </w:style>
  <w:style w:type="paragraph" w:styleId="22">
    <w:name w:val="toc 3"/>
    <w:basedOn w:val="1"/>
    <w:next w:val="1"/>
    <w:unhideWhenUsed/>
    <w:qFormat/>
    <w:uiPriority w:val="39"/>
    <w:pPr>
      <w:spacing w:before="12" w:after="12" w:line="360" w:lineRule="auto"/>
    </w:pPr>
    <w:rPr>
      <w:rFonts w:ascii="等线" w:hAnsi="等线" w:eastAsia="等线"/>
      <w:szCs w:val="22"/>
    </w:rPr>
  </w:style>
  <w:style w:type="paragraph" w:styleId="23">
    <w:name w:val="Plain Text"/>
    <w:basedOn w:val="1"/>
    <w:link w:val="67"/>
    <w:qFormat/>
    <w:uiPriority w:val="0"/>
    <w:rPr>
      <w:rFonts w:ascii="宋体" w:hAnsi="Courier New"/>
      <w:kern w:val="0"/>
      <w:sz w:val="20"/>
      <w:szCs w:val="21"/>
    </w:rPr>
  </w:style>
  <w:style w:type="paragraph" w:styleId="24">
    <w:name w:val="toc 8"/>
    <w:basedOn w:val="1"/>
    <w:next w:val="1"/>
    <w:unhideWhenUsed/>
    <w:qFormat/>
    <w:uiPriority w:val="39"/>
    <w:pPr>
      <w:ind w:left="2940" w:leftChars="1400"/>
    </w:pPr>
    <w:rPr>
      <w:rFonts w:ascii="等线" w:hAnsi="等线" w:eastAsia="等线"/>
      <w:szCs w:val="22"/>
    </w:rPr>
  </w:style>
  <w:style w:type="paragraph" w:styleId="25">
    <w:name w:val="Date"/>
    <w:basedOn w:val="1"/>
    <w:next w:val="1"/>
    <w:link w:val="68"/>
    <w:qFormat/>
    <w:uiPriority w:val="0"/>
    <w:rPr>
      <w:kern w:val="0"/>
      <w:sz w:val="24"/>
      <w:szCs w:val="20"/>
    </w:rPr>
  </w:style>
  <w:style w:type="paragraph" w:styleId="26">
    <w:name w:val="Body Text Indent 2"/>
    <w:basedOn w:val="1"/>
    <w:link w:val="69"/>
    <w:qFormat/>
    <w:uiPriority w:val="0"/>
    <w:pPr>
      <w:spacing w:after="120" w:line="480" w:lineRule="auto"/>
      <w:ind w:left="420" w:leftChars="200"/>
    </w:pPr>
    <w:rPr>
      <w:kern w:val="0"/>
      <w:sz w:val="20"/>
    </w:rPr>
  </w:style>
  <w:style w:type="paragraph" w:styleId="27">
    <w:name w:val="Balloon Text"/>
    <w:basedOn w:val="1"/>
    <w:link w:val="70"/>
    <w:qFormat/>
    <w:uiPriority w:val="99"/>
    <w:rPr>
      <w:kern w:val="0"/>
      <w:sz w:val="18"/>
      <w:szCs w:val="18"/>
    </w:rPr>
  </w:style>
  <w:style w:type="paragraph" w:styleId="28">
    <w:name w:val="footer"/>
    <w:basedOn w:val="1"/>
    <w:link w:val="71"/>
    <w:qFormat/>
    <w:uiPriority w:val="99"/>
    <w:pPr>
      <w:tabs>
        <w:tab w:val="center" w:pos="4153"/>
        <w:tab w:val="right" w:pos="8306"/>
      </w:tabs>
      <w:snapToGrid w:val="0"/>
      <w:jc w:val="left"/>
    </w:pPr>
    <w:rPr>
      <w:kern w:val="0"/>
      <w:sz w:val="18"/>
      <w:szCs w:val="18"/>
    </w:rPr>
  </w:style>
  <w:style w:type="paragraph" w:styleId="29">
    <w:name w:val="header"/>
    <w:basedOn w:val="1"/>
    <w:link w:val="72"/>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qFormat/>
    <w:uiPriority w:val="39"/>
    <w:rPr>
      <w:rFonts w:ascii="宋体" w:hAnsi="宋体"/>
      <w:szCs w:val="21"/>
    </w:rPr>
  </w:style>
  <w:style w:type="paragraph" w:styleId="31">
    <w:name w:val="Subtitle"/>
    <w:basedOn w:val="1"/>
    <w:next w:val="1"/>
    <w:qFormat/>
    <w:uiPriority w:val="11"/>
    <w:pPr>
      <w:spacing w:before="240" w:after="60" w:line="312" w:lineRule="auto"/>
      <w:jc w:val="left"/>
      <w:outlineLvl w:val="1"/>
    </w:pPr>
    <w:rPr>
      <w:rFonts w:ascii="Cambria" w:hAnsi="Cambria"/>
      <w:b/>
      <w:bCs/>
      <w:kern w:val="28"/>
      <w:sz w:val="28"/>
      <w:szCs w:val="32"/>
    </w:rPr>
  </w:style>
  <w:style w:type="paragraph" w:styleId="32">
    <w:name w:val="toc 6"/>
    <w:basedOn w:val="1"/>
    <w:next w:val="1"/>
    <w:qFormat/>
    <w:uiPriority w:val="39"/>
    <w:pPr>
      <w:ind w:left="2100"/>
    </w:pPr>
    <w:rPr>
      <w:szCs w:val="20"/>
    </w:rPr>
  </w:style>
  <w:style w:type="paragraph" w:styleId="33">
    <w:name w:val="Body Text Indent 3"/>
    <w:basedOn w:val="1"/>
    <w:link w:val="73"/>
    <w:qFormat/>
    <w:uiPriority w:val="0"/>
    <w:pPr>
      <w:spacing w:after="120"/>
      <w:ind w:left="420" w:leftChars="200"/>
    </w:pPr>
    <w:rPr>
      <w:kern w:val="0"/>
      <w:sz w:val="16"/>
      <w:szCs w:val="16"/>
    </w:rPr>
  </w:style>
  <w:style w:type="paragraph" w:styleId="34">
    <w:name w:val="toc 2"/>
    <w:basedOn w:val="1"/>
    <w:next w:val="1"/>
    <w:unhideWhenUsed/>
    <w:qFormat/>
    <w:uiPriority w:val="39"/>
    <w:pPr>
      <w:spacing w:before="12" w:after="12" w:line="360" w:lineRule="auto"/>
    </w:pPr>
    <w:rPr>
      <w:rFonts w:ascii="等线" w:hAnsi="等线" w:eastAsia="等线"/>
      <w:b/>
      <w:szCs w:val="22"/>
    </w:rPr>
  </w:style>
  <w:style w:type="paragraph" w:styleId="35">
    <w:name w:val="toc 9"/>
    <w:basedOn w:val="1"/>
    <w:next w:val="1"/>
    <w:unhideWhenUsed/>
    <w:qFormat/>
    <w:uiPriority w:val="39"/>
    <w:pPr>
      <w:ind w:left="3360" w:leftChars="1600"/>
    </w:pPr>
    <w:rPr>
      <w:rFonts w:ascii="等线" w:hAnsi="等线" w:eastAsia="等线"/>
      <w:szCs w:val="22"/>
    </w:rPr>
  </w:style>
  <w:style w:type="paragraph" w:styleId="36">
    <w:name w:val="Body Text 2"/>
    <w:basedOn w:val="1"/>
    <w:link w:val="74"/>
    <w:qFormat/>
    <w:uiPriority w:val="0"/>
    <w:pPr>
      <w:spacing w:after="120" w:line="480" w:lineRule="auto"/>
    </w:pPr>
    <w:rPr>
      <w:kern w:val="0"/>
      <w:sz w:val="20"/>
    </w:rPr>
  </w:style>
  <w:style w:type="paragraph" w:styleId="37">
    <w:name w:val="HTML Preformatted"/>
    <w:basedOn w:val="1"/>
    <w:link w:val="7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3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9">
    <w:name w:val="index 1"/>
    <w:basedOn w:val="1"/>
    <w:next w:val="1"/>
    <w:qFormat/>
    <w:uiPriority w:val="0"/>
    <w:pPr>
      <w:spacing w:line="220" w:lineRule="exact"/>
      <w:jc w:val="center"/>
    </w:pPr>
    <w:rPr>
      <w:rFonts w:ascii="仿宋_GB2312" w:eastAsia="仿宋_GB2312"/>
      <w:szCs w:val="20"/>
    </w:rPr>
  </w:style>
  <w:style w:type="paragraph" w:styleId="40">
    <w:name w:val="Title"/>
    <w:basedOn w:val="1"/>
    <w:next w:val="1"/>
    <w:link w:val="76"/>
    <w:qFormat/>
    <w:uiPriority w:val="10"/>
    <w:pPr>
      <w:spacing w:before="240" w:after="60"/>
      <w:jc w:val="center"/>
      <w:outlineLvl w:val="0"/>
    </w:pPr>
    <w:rPr>
      <w:rFonts w:ascii="Cambria" w:hAnsi="Cambria"/>
      <w:b/>
      <w:bCs/>
      <w:sz w:val="32"/>
      <w:szCs w:val="32"/>
    </w:rPr>
  </w:style>
  <w:style w:type="paragraph" w:styleId="41">
    <w:name w:val="annotation subject"/>
    <w:basedOn w:val="15"/>
    <w:next w:val="15"/>
    <w:link w:val="77"/>
    <w:qFormat/>
    <w:uiPriority w:val="99"/>
    <w:rPr>
      <w:b/>
      <w:bCs/>
    </w:rPr>
  </w:style>
  <w:style w:type="paragraph" w:styleId="42">
    <w:name w:val="Body Text First Indent"/>
    <w:basedOn w:val="17"/>
    <w:qFormat/>
    <w:uiPriority w:val="0"/>
    <w:pPr>
      <w:ind w:firstLine="420" w:firstLineChars="100"/>
    </w:pPr>
  </w:style>
  <w:style w:type="table" w:styleId="44">
    <w:name w:val="Table Grid"/>
    <w:basedOn w:val="4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basedOn w:val="45"/>
    <w:qFormat/>
    <w:uiPriority w:val="0"/>
  </w:style>
  <w:style w:type="character" w:styleId="48">
    <w:name w:val="FollowedHyperlink"/>
    <w:basedOn w:val="45"/>
    <w:qFormat/>
    <w:uiPriority w:val="99"/>
    <w:rPr>
      <w:color w:val="5C5C5C"/>
      <w:u w:val="none"/>
    </w:rPr>
  </w:style>
  <w:style w:type="character" w:styleId="49">
    <w:name w:val="Emphasis"/>
    <w:qFormat/>
    <w:uiPriority w:val="20"/>
    <w:rPr>
      <w:color w:val="CC0000"/>
    </w:rPr>
  </w:style>
  <w:style w:type="character" w:styleId="50">
    <w:name w:val="Hyperlink"/>
    <w:qFormat/>
    <w:uiPriority w:val="99"/>
    <w:rPr>
      <w:color w:val="136EC2"/>
      <w:u w:val="single"/>
    </w:rPr>
  </w:style>
  <w:style w:type="character" w:styleId="51">
    <w:name w:val="annotation reference"/>
    <w:qFormat/>
    <w:uiPriority w:val="99"/>
    <w:rPr>
      <w:sz w:val="21"/>
      <w:szCs w:val="21"/>
    </w:rPr>
  </w:style>
  <w:style w:type="character" w:customStyle="1" w:styleId="52">
    <w:name w:val="标题 1 Char"/>
    <w:link w:val="2"/>
    <w:qFormat/>
    <w:uiPriority w:val="0"/>
    <w:rPr>
      <w:rFonts w:ascii="Times New Roman" w:hAnsi="Times New Roman" w:eastAsia="宋体" w:cs="Times New Roman"/>
      <w:b/>
      <w:bCs/>
      <w:sz w:val="24"/>
      <w:szCs w:val="20"/>
    </w:rPr>
  </w:style>
  <w:style w:type="paragraph" w:customStyle="1" w:styleId="5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4">
    <w:name w:val="标题 2 Char"/>
    <w:link w:val="3"/>
    <w:qFormat/>
    <w:uiPriority w:val="9"/>
    <w:rPr>
      <w:rFonts w:ascii="Arial" w:hAnsi="Arial" w:eastAsia="宋体" w:cs="Times New Roman"/>
      <w:b/>
      <w:bCs/>
      <w:sz w:val="24"/>
      <w:szCs w:val="32"/>
    </w:rPr>
  </w:style>
  <w:style w:type="character" w:customStyle="1" w:styleId="55">
    <w:name w:val="标题 3 Char"/>
    <w:link w:val="4"/>
    <w:qFormat/>
    <w:uiPriority w:val="0"/>
    <w:rPr>
      <w:rFonts w:ascii="Times New Roman" w:hAnsi="Times New Roman" w:eastAsia="宋体" w:cs="Times New Roman"/>
      <w:b/>
      <w:bCs/>
      <w:sz w:val="32"/>
      <w:szCs w:val="32"/>
    </w:rPr>
  </w:style>
  <w:style w:type="character" w:customStyle="1" w:styleId="56">
    <w:name w:val="标题 4 Char"/>
    <w:link w:val="5"/>
    <w:qFormat/>
    <w:uiPriority w:val="9"/>
    <w:rPr>
      <w:rFonts w:ascii="Arial" w:hAnsi="Arial" w:eastAsia="黑体" w:cs="Times New Roman"/>
      <w:b/>
      <w:bCs/>
      <w:sz w:val="28"/>
      <w:szCs w:val="28"/>
    </w:rPr>
  </w:style>
  <w:style w:type="character" w:customStyle="1" w:styleId="57">
    <w:name w:val="标题 5 Char"/>
    <w:link w:val="6"/>
    <w:qFormat/>
    <w:uiPriority w:val="9"/>
    <w:rPr>
      <w:rFonts w:ascii="Times New Roman" w:hAnsi="Times New Roman" w:eastAsia="宋体" w:cs="Times New Roman"/>
      <w:b/>
      <w:bCs/>
      <w:kern w:val="0"/>
      <w:sz w:val="28"/>
      <w:szCs w:val="28"/>
    </w:rPr>
  </w:style>
  <w:style w:type="character" w:customStyle="1" w:styleId="58">
    <w:name w:val="标题 6 Char"/>
    <w:link w:val="7"/>
    <w:qFormat/>
    <w:uiPriority w:val="0"/>
    <w:rPr>
      <w:rFonts w:ascii="Arial" w:hAnsi="Arial" w:eastAsia="黑体" w:cs="Times New Roman"/>
      <w:b/>
      <w:bCs/>
      <w:kern w:val="0"/>
      <w:sz w:val="24"/>
      <w:szCs w:val="24"/>
    </w:rPr>
  </w:style>
  <w:style w:type="character" w:customStyle="1" w:styleId="59">
    <w:name w:val="标题 7 Char"/>
    <w:link w:val="8"/>
    <w:qFormat/>
    <w:uiPriority w:val="9"/>
    <w:rPr>
      <w:rFonts w:ascii="Times New Roman" w:hAnsi="Times New Roman" w:eastAsia="宋体" w:cs="Times New Roman"/>
      <w:b/>
      <w:bCs/>
      <w:kern w:val="0"/>
      <w:sz w:val="24"/>
      <w:szCs w:val="24"/>
    </w:rPr>
  </w:style>
  <w:style w:type="character" w:customStyle="1" w:styleId="60">
    <w:name w:val="标题 8 Char"/>
    <w:link w:val="9"/>
    <w:qFormat/>
    <w:uiPriority w:val="9"/>
    <w:rPr>
      <w:rFonts w:ascii="Arial" w:hAnsi="Arial" w:eastAsia="黑体" w:cs="Times New Roman"/>
      <w:kern w:val="0"/>
      <w:sz w:val="24"/>
      <w:szCs w:val="24"/>
    </w:rPr>
  </w:style>
  <w:style w:type="character" w:customStyle="1" w:styleId="61">
    <w:name w:val="标题 9 Char"/>
    <w:link w:val="10"/>
    <w:qFormat/>
    <w:uiPriority w:val="9"/>
    <w:rPr>
      <w:rFonts w:ascii="Arial" w:hAnsi="Arial" w:eastAsia="黑体" w:cs="Times New Roman"/>
      <w:kern w:val="0"/>
      <w:szCs w:val="21"/>
    </w:rPr>
  </w:style>
  <w:style w:type="character" w:customStyle="1" w:styleId="62">
    <w:name w:val="文档结构图 Char"/>
    <w:link w:val="14"/>
    <w:semiHidden/>
    <w:qFormat/>
    <w:uiPriority w:val="0"/>
    <w:rPr>
      <w:rFonts w:ascii="Times New Roman" w:hAnsi="Times New Roman" w:eastAsia="宋体" w:cs="Times New Roman"/>
      <w:szCs w:val="24"/>
      <w:shd w:val="clear" w:color="auto" w:fill="000080"/>
    </w:rPr>
  </w:style>
  <w:style w:type="character" w:customStyle="1" w:styleId="63">
    <w:name w:val="批注文字 Char"/>
    <w:link w:val="15"/>
    <w:qFormat/>
    <w:uiPriority w:val="99"/>
    <w:rPr>
      <w:rFonts w:ascii="Times New Roman" w:hAnsi="Times New Roman" w:eastAsia="宋体" w:cs="Times New Roman"/>
      <w:szCs w:val="24"/>
    </w:rPr>
  </w:style>
  <w:style w:type="character" w:customStyle="1" w:styleId="64">
    <w:name w:val="称呼 Char"/>
    <w:link w:val="16"/>
    <w:qFormat/>
    <w:uiPriority w:val="0"/>
    <w:rPr>
      <w:rFonts w:ascii="仿宋_GB2312" w:hAnsi="Times New Roman" w:eastAsia="仿宋_GB2312" w:cs="Times New Roman"/>
      <w:sz w:val="24"/>
      <w:szCs w:val="24"/>
    </w:rPr>
  </w:style>
  <w:style w:type="character" w:customStyle="1" w:styleId="65">
    <w:name w:val="正文文本 Char"/>
    <w:link w:val="17"/>
    <w:qFormat/>
    <w:uiPriority w:val="0"/>
    <w:rPr>
      <w:rFonts w:ascii="Times New Roman" w:hAnsi="Times New Roman" w:eastAsia="宋体" w:cs="Times New Roman"/>
      <w:szCs w:val="24"/>
    </w:rPr>
  </w:style>
  <w:style w:type="character" w:customStyle="1" w:styleId="66">
    <w:name w:val="正文文本缩进 Char"/>
    <w:link w:val="18"/>
    <w:qFormat/>
    <w:uiPriority w:val="0"/>
    <w:rPr>
      <w:rFonts w:ascii="Times New Roman" w:hAnsi="Times New Roman" w:eastAsia="宋体" w:cs="Times New Roman"/>
      <w:szCs w:val="24"/>
    </w:rPr>
  </w:style>
  <w:style w:type="character" w:customStyle="1" w:styleId="67">
    <w:name w:val="纯文本 Char"/>
    <w:link w:val="23"/>
    <w:qFormat/>
    <w:uiPriority w:val="0"/>
    <w:rPr>
      <w:rFonts w:ascii="宋体" w:hAnsi="Courier New" w:eastAsia="宋体" w:cs="Courier New"/>
      <w:szCs w:val="21"/>
    </w:rPr>
  </w:style>
  <w:style w:type="character" w:customStyle="1" w:styleId="68">
    <w:name w:val="日期 Char"/>
    <w:link w:val="25"/>
    <w:qFormat/>
    <w:uiPriority w:val="0"/>
    <w:rPr>
      <w:rFonts w:ascii="Times New Roman" w:hAnsi="Times New Roman" w:eastAsia="宋体" w:cs="Times New Roman"/>
      <w:sz w:val="24"/>
      <w:szCs w:val="20"/>
    </w:rPr>
  </w:style>
  <w:style w:type="character" w:customStyle="1" w:styleId="69">
    <w:name w:val="正文文本缩进 2 Char"/>
    <w:link w:val="26"/>
    <w:qFormat/>
    <w:uiPriority w:val="0"/>
    <w:rPr>
      <w:rFonts w:ascii="Times New Roman" w:hAnsi="Times New Roman" w:eastAsia="宋体" w:cs="Times New Roman"/>
      <w:szCs w:val="24"/>
    </w:rPr>
  </w:style>
  <w:style w:type="character" w:customStyle="1" w:styleId="70">
    <w:name w:val="批注框文本 Char"/>
    <w:link w:val="27"/>
    <w:qFormat/>
    <w:uiPriority w:val="99"/>
    <w:rPr>
      <w:rFonts w:ascii="Times New Roman" w:hAnsi="Times New Roman" w:eastAsia="宋体" w:cs="Times New Roman"/>
      <w:sz w:val="18"/>
      <w:szCs w:val="18"/>
    </w:rPr>
  </w:style>
  <w:style w:type="character" w:customStyle="1" w:styleId="71">
    <w:name w:val="页脚 Char"/>
    <w:link w:val="28"/>
    <w:qFormat/>
    <w:uiPriority w:val="99"/>
    <w:rPr>
      <w:rFonts w:ascii="Times New Roman" w:hAnsi="Times New Roman" w:eastAsia="宋体" w:cs="Times New Roman"/>
      <w:sz w:val="18"/>
      <w:szCs w:val="18"/>
    </w:rPr>
  </w:style>
  <w:style w:type="character" w:customStyle="1" w:styleId="72">
    <w:name w:val="页眉 Char"/>
    <w:link w:val="29"/>
    <w:qFormat/>
    <w:uiPriority w:val="99"/>
    <w:rPr>
      <w:rFonts w:ascii="Times New Roman" w:hAnsi="Times New Roman" w:eastAsia="宋体" w:cs="Times New Roman"/>
      <w:sz w:val="18"/>
      <w:szCs w:val="18"/>
    </w:rPr>
  </w:style>
  <w:style w:type="character" w:customStyle="1" w:styleId="73">
    <w:name w:val="正文文本缩进 3 Char"/>
    <w:link w:val="33"/>
    <w:qFormat/>
    <w:uiPriority w:val="0"/>
    <w:rPr>
      <w:rFonts w:ascii="Times New Roman" w:hAnsi="Times New Roman" w:eastAsia="宋体" w:cs="Times New Roman"/>
      <w:sz w:val="16"/>
      <w:szCs w:val="16"/>
    </w:rPr>
  </w:style>
  <w:style w:type="character" w:customStyle="1" w:styleId="74">
    <w:name w:val="正文文本 2 Char"/>
    <w:link w:val="36"/>
    <w:qFormat/>
    <w:uiPriority w:val="0"/>
    <w:rPr>
      <w:rFonts w:ascii="Times New Roman" w:hAnsi="Times New Roman" w:eastAsia="宋体" w:cs="Times New Roman"/>
      <w:szCs w:val="24"/>
    </w:rPr>
  </w:style>
  <w:style w:type="character" w:customStyle="1" w:styleId="75">
    <w:name w:val="HTML 预设格式 Char"/>
    <w:link w:val="37"/>
    <w:qFormat/>
    <w:uiPriority w:val="0"/>
    <w:rPr>
      <w:rFonts w:ascii="Arial" w:hAnsi="Arial" w:eastAsia="宋体" w:cs="Arial"/>
      <w:kern w:val="0"/>
      <w:sz w:val="24"/>
      <w:szCs w:val="24"/>
    </w:rPr>
  </w:style>
  <w:style w:type="character" w:customStyle="1" w:styleId="76">
    <w:name w:val="标题 Char"/>
    <w:link w:val="40"/>
    <w:qFormat/>
    <w:uiPriority w:val="10"/>
    <w:rPr>
      <w:rFonts w:ascii="Cambria" w:hAnsi="Cambria"/>
      <w:b/>
      <w:bCs/>
      <w:kern w:val="2"/>
      <w:sz w:val="32"/>
      <w:szCs w:val="32"/>
    </w:rPr>
  </w:style>
  <w:style w:type="character" w:customStyle="1" w:styleId="77">
    <w:name w:val="批注主题 Char"/>
    <w:link w:val="41"/>
    <w:qFormat/>
    <w:uiPriority w:val="99"/>
    <w:rPr>
      <w:rFonts w:ascii="Times New Roman" w:hAnsi="Times New Roman" w:eastAsia="宋体" w:cs="Times New Roman"/>
      <w:b/>
      <w:bCs/>
      <w:szCs w:val="24"/>
    </w:rPr>
  </w:style>
  <w:style w:type="character" w:customStyle="1" w:styleId="78">
    <w:name w:val="正文首行缩进 2 Char"/>
    <w:link w:val="19"/>
    <w:qFormat/>
    <w:uiPriority w:val="0"/>
    <w:rPr>
      <w:rFonts w:ascii="Times New Roman" w:hAnsi="Times New Roman" w:eastAsia="宋体" w:cs="Times New Roman"/>
      <w:kern w:val="2"/>
      <w:sz w:val="21"/>
      <w:szCs w:val="24"/>
    </w:rPr>
  </w:style>
  <w:style w:type="paragraph" w:customStyle="1" w:styleId="79">
    <w:name w:val="UserStyle_0"/>
    <w:basedOn w:val="1"/>
    <w:qFormat/>
    <w:uiPriority w:val="0"/>
    <w:pPr>
      <w:jc w:val="left"/>
    </w:pPr>
    <w:rPr>
      <w:color w:val="000000"/>
      <w:sz w:val="24"/>
    </w:rPr>
  </w:style>
  <w:style w:type="character" w:customStyle="1" w:styleId="80">
    <w:name w:val="font11"/>
    <w:qFormat/>
    <w:uiPriority w:val="0"/>
    <w:rPr>
      <w:rFonts w:hint="eastAsia" w:ascii="新宋体" w:hAnsi="新宋体" w:eastAsia="新宋体" w:cs="新宋体"/>
      <w:color w:val="FF0000"/>
      <w:sz w:val="20"/>
      <w:szCs w:val="20"/>
      <w:u w:val="none"/>
    </w:rPr>
  </w:style>
  <w:style w:type="character" w:customStyle="1" w:styleId="81">
    <w:name w:val="无间隔 Char"/>
    <w:link w:val="82"/>
    <w:qFormat/>
    <w:locked/>
    <w:uiPriority w:val="1"/>
    <w:rPr>
      <w:sz w:val="22"/>
      <w:lang w:val="en-US" w:eastAsia="zh-CN" w:bidi="ar-SA"/>
    </w:rPr>
  </w:style>
  <w:style w:type="paragraph" w:styleId="82">
    <w:name w:val="No Spacing"/>
    <w:link w:val="81"/>
    <w:qFormat/>
    <w:uiPriority w:val="1"/>
    <w:rPr>
      <w:rFonts w:ascii="Times New Roman" w:hAnsi="Times New Roman" w:eastAsia="宋体" w:cs="Times New Roman"/>
      <w:sz w:val="22"/>
      <w:lang w:val="en-US" w:eastAsia="zh-CN" w:bidi="ar-SA"/>
    </w:rPr>
  </w:style>
  <w:style w:type="character" w:customStyle="1" w:styleId="83">
    <w:name w:val="未处理的提及1"/>
    <w:unhideWhenUsed/>
    <w:qFormat/>
    <w:uiPriority w:val="99"/>
    <w:rPr>
      <w:color w:val="605E5C"/>
      <w:shd w:val="clear" w:color="auto" w:fill="E1DFDD"/>
    </w:rPr>
  </w:style>
  <w:style w:type="character" w:customStyle="1" w:styleId="84">
    <w:name w:val="列出段落 Char"/>
    <w:link w:val="85"/>
    <w:qFormat/>
    <w:locked/>
    <w:uiPriority w:val="34"/>
    <w:rPr>
      <w:rFonts w:ascii="Times New Roman" w:hAnsi="Times New Roman"/>
      <w:kern w:val="2"/>
      <w:sz w:val="21"/>
      <w:szCs w:val="24"/>
    </w:rPr>
  </w:style>
  <w:style w:type="paragraph" w:styleId="85">
    <w:name w:val="List Paragraph"/>
    <w:basedOn w:val="1"/>
    <w:link w:val="84"/>
    <w:qFormat/>
    <w:uiPriority w:val="34"/>
    <w:pPr>
      <w:ind w:firstLine="420" w:firstLineChars="200"/>
    </w:pPr>
  </w:style>
  <w:style w:type="character" w:customStyle="1" w:styleId="86">
    <w:name w:val="font61"/>
    <w:qFormat/>
    <w:uiPriority w:val="0"/>
    <w:rPr>
      <w:rFonts w:hint="eastAsia" w:ascii="新宋体" w:hAnsi="新宋体" w:eastAsia="新宋体" w:cs="新宋体"/>
      <w:color w:val="000000"/>
      <w:sz w:val="20"/>
      <w:szCs w:val="20"/>
      <w:u w:val="none"/>
    </w:rPr>
  </w:style>
  <w:style w:type="character" w:customStyle="1" w:styleId="87">
    <w:name w:val="标题 Char1"/>
    <w:qFormat/>
    <w:uiPriority w:val="10"/>
    <w:rPr>
      <w:rFonts w:ascii="Cambria" w:hAnsi="Cambria" w:cs="Times New Roman"/>
      <w:b/>
      <w:bCs/>
      <w:kern w:val="2"/>
      <w:sz w:val="32"/>
      <w:szCs w:val="32"/>
    </w:rPr>
  </w:style>
  <w:style w:type="character" w:customStyle="1" w:styleId="88">
    <w:name w:val="H正文 字符"/>
    <w:link w:val="89"/>
    <w:qFormat/>
    <w:uiPriority w:val="0"/>
    <w:rPr>
      <w:kern w:val="2"/>
      <w:sz w:val="24"/>
      <w:szCs w:val="24"/>
    </w:rPr>
  </w:style>
  <w:style w:type="paragraph" w:customStyle="1" w:styleId="89">
    <w:name w:val="H正文"/>
    <w:basedOn w:val="1"/>
    <w:link w:val="88"/>
    <w:qFormat/>
    <w:uiPriority w:val="0"/>
    <w:pPr>
      <w:spacing w:before="60" w:after="60" w:line="360" w:lineRule="auto"/>
      <w:ind w:firstLine="480" w:firstLineChars="200"/>
    </w:pPr>
    <w:rPr>
      <w:sz w:val="24"/>
    </w:rPr>
  </w:style>
  <w:style w:type="character" w:customStyle="1" w:styleId="90">
    <w:name w:val="未处理的提及"/>
    <w:unhideWhenUsed/>
    <w:qFormat/>
    <w:uiPriority w:val="99"/>
    <w:rPr>
      <w:color w:val="605E5C"/>
      <w:shd w:val="clear" w:color="auto" w:fill="E1DFDD"/>
    </w:rPr>
  </w:style>
  <w:style w:type="character" w:customStyle="1" w:styleId="91">
    <w:name w:val="bjh-p"/>
    <w:qFormat/>
    <w:uiPriority w:val="0"/>
  </w:style>
  <w:style w:type="character" w:customStyle="1" w:styleId="92">
    <w:name w:val="3级标题3级 Char"/>
    <w:link w:val="93"/>
    <w:qFormat/>
    <w:uiPriority w:val="0"/>
    <w:rPr>
      <w:rFonts w:ascii="Arial" w:hAnsi="Arial" w:eastAsia="等线"/>
      <w:b/>
      <w:bCs/>
      <w:kern w:val="44"/>
      <w:sz w:val="28"/>
      <w:szCs w:val="44"/>
      <w:lang w:eastAsia="en-US" w:bidi="en-US"/>
    </w:rPr>
  </w:style>
  <w:style w:type="paragraph" w:customStyle="1" w:styleId="93">
    <w:name w:val="3级标题3级"/>
    <w:basedOn w:val="4"/>
    <w:link w:val="92"/>
    <w:qFormat/>
    <w:uiPriority w:val="0"/>
    <w:pPr>
      <w:widowControl/>
      <w:tabs>
        <w:tab w:val="left" w:pos="360"/>
        <w:tab w:val="left" w:pos="720"/>
      </w:tabs>
      <w:spacing w:before="120" w:after="120" w:line="288" w:lineRule="auto"/>
      <w:ind w:right="198"/>
    </w:pPr>
    <w:rPr>
      <w:rFonts w:ascii="Arial" w:hAnsi="Arial" w:eastAsia="等线"/>
      <w:kern w:val="44"/>
      <w:sz w:val="28"/>
      <w:szCs w:val="44"/>
      <w:lang w:eastAsia="en-US" w:bidi="en-US"/>
    </w:rPr>
  </w:style>
  <w:style w:type="character" w:customStyle="1" w:styleId="94">
    <w:name w:val="p0 Char"/>
    <w:link w:val="95"/>
    <w:qFormat/>
    <w:uiPriority w:val="0"/>
    <w:rPr>
      <w:rFonts w:eastAsia="宋体"/>
      <w:szCs w:val="21"/>
    </w:rPr>
  </w:style>
  <w:style w:type="paragraph" w:customStyle="1" w:styleId="95">
    <w:name w:val="p0"/>
    <w:basedOn w:val="1"/>
    <w:link w:val="94"/>
    <w:qFormat/>
    <w:uiPriority w:val="0"/>
    <w:pPr>
      <w:widowControl/>
    </w:pPr>
    <w:rPr>
      <w:kern w:val="0"/>
      <w:sz w:val="20"/>
      <w:szCs w:val="21"/>
    </w:rPr>
  </w:style>
  <w:style w:type="character" w:customStyle="1" w:styleId="96">
    <w:name w:val="2级标题2级 Char"/>
    <w:link w:val="97"/>
    <w:qFormat/>
    <w:uiPriority w:val="0"/>
    <w:rPr>
      <w:rFonts w:ascii="Arial" w:hAnsi="Arial"/>
      <w:b/>
      <w:bCs/>
      <w:kern w:val="44"/>
      <w:sz w:val="28"/>
      <w:szCs w:val="44"/>
      <w:lang w:eastAsia="en-US" w:bidi="en-US"/>
    </w:rPr>
  </w:style>
  <w:style w:type="paragraph" w:customStyle="1" w:styleId="97">
    <w:name w:val="2级标题2级"/>
    <w:basedOn w:val="3"/>
    <w:link w:val="96"/>
    <w:qFormat/>
    <w:uiPriority w:val="0"/>
    <w:pPr>
      <w:widowControl/>
      <w:tabs>
        <w:tab w:val="left" w:pos="720"/>
        <w:tab w:val="left" w:pos="1440"/>
      </w:tabs>
      <w:adjustRightInd w:val="0"/>
      <w:spacing w:before="120" w:after="120"/>
      <w:ind w:right="210"/>
    </w:pPr>
    <w:rPr>
      <w:kern w:val="44"/>
      <w:sz w:val="28"/>
      <w:szCs w:val="44"/>
      <w:lang w:eastAsia="en-US" w:bidi="en-US"/>
    </w:rPr>
  </w:style>
  <w:style w:type="character" w:customStyle="1" w:styleId="98">
    <w:name w:val="正文文本 Char1"/>
    <w:semiHidden/>
    <w:qFormat/>
    <w:uiPriority w:val="99"/>
    <w:rPr>
      <w:sz w:val="24"/>
    </w:rPr>
  </w:style>
  <w:style w:type="character" w:customStyle="1" w:styleId="99">
    <w:name w:val="1级标题 1级 Char"/>
    <w:link w:val="100"/>
    <w:qFormat/>
    <w:uiPriority w:val="0"/>
    <w:rPr>
      <w:rFonts w:ascii="宋体" w:hAnsi="宋体" w:eastAsia="等线"/>
      <w:kern w:val="2"/>
      <w:sz w:val="28"/>
      <w:szCs w:val="21"/>
      <w:lang w:eastAsia="en-US" w:bidi="en-US"/>
    </w:rPr>
  </w:style>
  <w:style w:type="paragraph" w:customStyle="1" w:styleId="100">
    <w:name w:val="1级标题 1级"/>
    <w:basedOn w:val="1"/>
    <w:next w:val="2"/>
    <w:link w:val="99"/>
    <w:qFormat/>
    <w:uiPriority w:val="0"/>
    <w:pPr>
      <w:keepLines/>
      <w:pageBreakBefore/>
      <w:tabs>
        <w:tab w:val="left" w:pos="360"/>
        <w:tab w:val="left" w:pos="425"/>
        <w:tab w:val="left" w:pos="1247"/>
      </w:tabs>
      <w:spacing w:before="240" w:after="240" w:line="360" w:lineRule="auto"/>
      <w:contextualSpacing/>
      <w:jc w:val="center"/>
      <w:outlineLvl w:val="0"/>
    </w:pPr>
    <w:rPr>
      <w:rFonts w:ascii="宋体" w:hAnsi="宋体" w:eastAsia="等线"/>
      <w:sz w:val="28"/>
      <w:szCs w:val="21"/>
      <w:lang w:eastAsia="en-US" w:bidi="en-US"/>
    </w:rPr>
  </w:style>
  <w:style w:type="character" w:customStyle="1" w:styleId="101">
    <w:name w:val="*正文 Char"/>
    <w:link w:val="102"/>
    <w:qFormat/>
    <w:uiPriority w:val="0"/>
    <w:rPr>
      <w:rFonts w:ascii="宋体" w:hAnsi="宋体"/>
      <w:kern w:val="2"/>
      <w:sz w:val="24"/>
      <w:szCs w:val="24"/>
    </w:rPr>
  </w:style>
  <w:style w:type="paragraph" w:customStyle="1" w:styleId="102">
    <w:name w:val="*正文"/>
    <w:basedOn w:val="1"/>
    <w:link w:val="101"/>
    <w:qFormat/>
    <w:uiPriority w:val="0"/>
    <w:pPr>
      <w:spacing w:line="480" w:lineRule="auto"/>
      <w:ind w:firstLine="340"/>
      <w:jc w:val="left"/>
    </w:pPr>
    <w:rPr>
      <w:rFonts w:ascii="宋体" w:hAnsi="宋体"/>
      <w:sz w:val="24"/>
    </w:rPr>
  </w:style>
  <w:style w:type="paragraph" w:customStyle="1" w:styleId="103">
    <w:name w:val="首行缩进"/>
    <w:basedOn w:val="1"/>
    <w:qFormat/>
    <w:uiPriority w:val="0"/>
    <w:pPr>
      <w:ind w:firstLine="720"/>
      <w:jc w:val="left"/>
    </w:pPr>
    <w:rPr>
      <w:sz w:val="24"/>
    </w:rPr>
  </w:style>
  <w:style w:type="paragraph" w:customStyle="1" w:styleId="10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0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06">
    <w:name w:val="Char1 Char Char Char 字元 Char Char 字元 Char 字元 Char1 Char Char Char"/>
    <w:basedOn w:val="1"/>
    <w:qFormat/>
    <w:uiPriority w:val="0"/>
    <w:rPr>
      <w:szCs w:val="20"/>
    </w:rPr>
  </w:style>
  <w:style w:type="paragraph" w:customStyle="1" w:styleId="107">
    <w:name w:val="_Style 7"/>
    <w:basedOn w:val="1"/>
    <w:qFormat/>
    <w:uiPriority w:val="0"/>
    <w:pPr>
      <w:ind w:firstLine="200" w:firstLineChars="200"/>
    </w:pPr>
    <w:rPr>
      <w:rFonts w:ascii="Calibri" w:hAnsi="Calibri"/>
      <w:szCs w:val="22"/>
    </w:rPr>
  </w:style>
  <w:style w:type="paragraph" w:customStyle="1" w:styleId="108">
    <w:name w:val="列表段落1"/>
    <w:basedOn w:val="1"/>
    <w:qFormat/>
    <w:uiPriority w:val="34"/>
    <w:pPr>
      <w:ind w:firstLine="420" w:firstLineChars="200"/>
    </w:pPr>
    <w:rPr>
      <w:rFonts w:ascii="等线" w:hAnsi="等线" w:eastAsia="仿宋"/>
      <w:szCs w:val="22"/>
    </w:rPr>
  </w:style>
  <w:style w:type="paragraph" w:customStyle="1" w:styleId="109">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10">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1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2">
    <w:name w:val="表格文字"/>
    <w:basedOn w:val="1"/>
    <w:next w:val="17"/>
    <w:qFormat/>
    <w:uiPriority w:val="0"/>
    <w:pPr>
      <w:adjustRightInd w:val="0"/>
      <w:spacing w:line="420" w:lineRule="atLeast"/>
      <w:jc w:val="left"/>
      <w:textAlignment w:val="baseline"/>
    </w:pPr>
    <w:rPr>
      <w:kern w:val="0"/>
      <w:szCs w:val="22"/>
    </w:rPr>
  </w:style>
  <w:style w:type="paragraph" w:customStyle="1" w:styleId="113">
    <w:name w:val="正文 A"/>
    <w:qFormat/>
    <w:uiPriority w:val="0"/>
    <w:pPr>
      <w:widowControl w:val="0"/>
      <w:jc w:val="both"/>
    </w:pPr>
    <w:rPr>
      <w:rFonts w:ascii="Arial Unicode MS" w:hAnsi="Arial Unicode MS" w:eastAsia="Times New Roman" w:cs="Arial Unicode MS"/>
      <w:color w:val="000000"/>
      <w:kern w:val="2"/>
      <w:sz w:val="21"/>
      <w:szCs w:val="21"/>
      <w:lang w:val="en-US" w:eastAsia="zh-CN" w:bidi="ar-SA"/>
    </w:rPr>
  </w:style>
  <w:style w:type="paragraph" w:customStyle="1" w:styleId="11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5">
    <w:name w:val="正文1"/>
    <w:basedOn w:val="1"/>
    <w:qFormat/>
    <w:uiPriority w:val="0"/>
    <w:pPr>
      <w:spacing w:line="360" w:lineRule="auto"/>
      <w:ind w:left="350" w:leftChars="350"/>
    </w:pPr>
    <w:rPr>
      <w:sz w:val="24"/>
    </w:rPr>
  </w:style>
  <w:style w:type="paragraph" w:customStyle="1" w:styleId="116">
    <w:name w:val="Char Char Char"/>
    <w:basedOn w:val="1"/>
    <w:qFormat/>
    <w:uiPriority w:val="0"/>
    <w:rPr>
      <w:rFonts w:ascii="宋体" w:hAnsi="宋体"/>
      <w:b/>
      <w:sz w:val="28"/>
      <w:szCs w:val="28"/>
    </w:rPr>
  </w:style>
  <w:style w:type="paragraph" w:customStyle="1" w:styleId="117">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8">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19">
    <w:name w:val="_Style 145"/>
    <w:basedOn w:val="1"/>
    <w:next w:val="1"/>
    <w:unhideWhenUsed/>
    <w:qFormat/>
    <w:uiPriority w:val="34"/>
    <w:rPr>
      <w:rFonts w:ascii="Calibri" w:hAnsi="Calibri"/>
      <w:szCs w:val="22"/>
    </w:rPr>
  </w:style>
  <w:style w:type="paragraph" w:customStyle="1" w:styleId="120">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21">
    <w:name w:val="TOC 标题1"/>
    <w:basedOn w:val="2"/>
    <w:next w:val="1"/>
    <w:unhideWhenUsed/>
    <w:qFormat/>
    <w:uiPriority w:val="39"/>
    <w:pPr>
      <w:keepLines/>
      <w:widowControl/>
      <w:spacing w:before="240" w:line="259" w:lineRule="auto"/>
      <w:jc w:val="left"/>
      <w:outlineLvl w:val="9"/>
    </w:pPr>
    <w:rPr>
      <w:rFonts w:ascii="等线 Light" w:hAnsi="等线 Light" w:eastAsia="等线 Light"/>
      <w:b w:val="0"/>
      <w:bCs w:val="0"/>
      <w:color w:val="2F5496"/>
      <w:sz w:val="32"/>
      <w:szCs w:val="32"/>
    </w:rPr>
  </w:style>
  <w:style w:type="paragraph" w:customStyle="1" w:styleId="12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23">
    <w:name w:val="列出段落1"/>
    <w:basedOn w:val="124"/>
    <w:qFormat/>
    <w:uiPriority w:val="0"/>
    <w:pPr>
      <w:ind w:firstLine="420" w:firstLineChars="200"/>
    </w:pPr>
  </w:style>
  <w:style w:type="paragraph" w:customStyle="1" w:styleId="124">
    <w:name w:val="纯文本1"/>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2"/>
      <w:sz w:val="21"/>
      <w:szCs w:val="21"/>
      <w:lang w:val="en-US" w:eastAsia="zh-CN" w:bidi="ar"/>
    </w:rPr>
  </w:style>
  <w:style w:type="paragraph" w:customStyle="1" w:styleId="125">
    <w:name w:val="列出段落2"/>
    <w:basedOn w:val="1"/>
    <w:qFormat/>
    <w:uiPriority w:val="0"/>
    <w:pPr>
      <w:ind w:firstLine="420" w:firstLineChars="200"/>
    </w:pPr>
    <w:rPr>
      <w:rFonts w:ascii="Calibri" w:hAnsi="Calibri"/>
    </w:rPr>
  </w:style>
  <w:style w:type="paragraph" w:customStyle="1" w:styleId="126">
    <w:name w:val="列出段落3"/>
    <w:basedOn w:val="1"/>
    <w:qFormat/>
    <w:uiPriority w:val="34"/>
    <w:pPr>
      <w:ind w:firstLine="420" w:firstLineChars="200"/>
    </w:pPr>
  </w:style>
  <w:style w:type="paragraph" w:customStyle="1" w:styleId="127">
    <w:name w:val="表格内容"/>
    <w:basedOn w:val="17"/>
    <w:qFormat/>
    <w:uiPriority w:val="0"/>
    <w:pPr>
      <w:suppressLineNumbers/>
      <w:suppressAutoHyphens/>
      <w:jc w:val="left"/>
    </w:pPr>
    <w:rPr>
      <w:rFonts w:cs="Tahoma"/>
      <w:sz w:val="24"/>
    </w:rPr>
  </w:style>
  <w:style w:type="paragraph" w:customStyle="1" w:styleId="128">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29">
    <w:name w:val="p16"/>
    <w:basedOn w:val="1"/>
    <w:qFormat/>
    <w:uiPriority w:val="0"/>
    <w:pPr>
      <w:widowControl/>
      <w:jc w:val="left"/>
    </w:pPr>
    <w:rPr>
      <w:kern w:val="0"/>
      <w:szCs w:val="21"/>
    </w:rPr>
  </w:style>
  <w:style w:type="paragraph" w:customStyle="1" w:styleId="130">
    <w:name w:val="ChinesePara"/>
    <w:basedOn w:val="1"/>
    <w:qFormat/>
    <w:uiPriority w:val="0"/>
    <w:pPr>
      <w:widowControl/>
      <w:adjustRightInd w:val="0"/>
      <w:spacing w:before="50" w:after="50" w:line="400" w:lineRule="exact"/>
      <w:jc w:val="left"/>
      <w:textAlignment w:val="baseline"/>
    </w:pPr>
    <w:rPr>
      <w:rFonts w:ascii="Arial" w:hAnsi="Arial" w:eastAsia="楷体"/>
      <w:color w:val="000000"/>
      <w:kern w:val="0"/>
      <w:sz w:val="24"/>
      <w:szCs w:val="20"/>
    </w:rPr>
  </w:style>
  <w:style w:type="paragraph" w:customStyle="1" w:styleId="13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32">
    <w:name w:val="正文格式"/>
    <w:basedOn w:val="17"/>
    <w:next w:val="17"/>
    <w:qFormat/>
    <w:uiPriority w:val="0"/>
    <w:pPr>
      <w:widowControl/>
      <w:adjustRightInd w:val="0"/>
      <w:snapToGrid w:val="0"/>
      <w:spacing w:line="400" w:lineRule="atLeast"/>
      <w:ind w:firstLine="482"/>
      <w:textAlignment w:val="baseline"/>
    </w:pPr>
    <w:rPr>
      <w:sz w:val="24"/>
    </w:rPr>
  </w:style>
  <w:style w:type="paragraph" w:customStyle="1" w:styleId="13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3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5">
    <w:name w:val="_Style 144"/>
    <w:basedOn w:val="1"/>
    <w:next w:val="85"/>
    <w:qFormat/>
    <w:uiPriority w:val="34"/>
    <w:pPr>
      <w:ind w:firstLine="420" w:firstLineChars="200"/>
    </w:pPr>
    <w:rPr>
      <w:rFonts w:ascii="Calibri" w:hAnsi="Calibri"/>
      <w:szCs w:val="22"/>
    </w:rPr>
  </w:style>
  <w:style w:type="paragraph" w:customStyle="1" w:styleId="136">
    <w:name w:val="Char Char1 Char Char Char Char Char1 Char Char Char Char"/>
    <w:basedOn w:val="14"/>
    <w:qFormat/>
    <w:uiPriority w:val="0"/>
    <w:rPr>
      <w:rFonts w:ascii="Tahoma" w:hAnsi="Tahoma"/>
    </w:rPr>
  </w:style>
  <w:style w:type="paragraph" w:customStyle="1" w:styleId="137">
    <w:name w:val="标题 1 +"/>
    <w:basedOn w:val="2"/>
    <w:next w:val="1"/>
    <w:qFormat/>
    <w:uiPriority w:val="0"/>
    <w:pPr>
      <w:keepLines/>
      <w:spacing w:line="600" w:lineRule="auto"/>
    </w:pPr>
    <w:rPr>
      <w:rFonts w:eastAsia="黑体"/>
      <w:sz w:val="32"/>
      <w:szCs w:val="32"/>
    </w:rPr>
  </w:style>
  <w:style w:type="paragraph" w:customStyle="1" w:styleId="138">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39">
    <w:name w:val="Char"/>
    <w:basedOn w:val="1"/>
    <w:qFormat/>
    <w:uiPriority w:val="0"/>
    <w:pPr>
      <w:tabs>
        <w:tab w:val="left" w:pos="360"/>
      </w:tabs>
      <w:ind w:left="360" w:hanging="360" w:hangingChars="200"/>
    </w:pPr>
    <w:rPr>
      <w:sz w:val="24"/>
    </w:rPr>
  </w:style>
  <w:style w:type="paragraph" w:customStyle="1" w:styleId="140">
    <w:name w:val="1"/>
    <w:basedOn w:val="1"/>
    <w:qFormat/>
    <w:uiPriority w:val="0"/>
    <w:pPr>
      <w:spacing w:afterLines="50" w:line="360" w:lineRule="auto"/>
    </w:pPr>
    <w:rPr>
      <w:rFonts w:ascii="宋体" w:hAnsi="宋体"/>
      <w:b/>
      <w:sz w:val="30"/>
      <w:szCs w:val="21"/>
    </w:rPr>
  </w:style>
  <w:style w:type="paragraph" w:customStyle="1" w:styleId="141">
    <w:name w:val="TOC 标题2"/>
    <w:basedOn w:val="2"/>
    <w:next w:val="1"/>
    <w:qFormat/>
    <w:uiPriority w:val="39"/>
    <w:pPr>
      <w:keepLines/>
      <w:widowControl/>
      <w:spacing w:before="480" w:line="276" w:lineRule="auto"/>
      <w:jc w:val="left"/>
      <w:outlineLvl w:val="9"/>
    </w:pPr>
    <w:rPr>
      <w:rFonts w:ascii="Cambria" w:hAnsi="Cambria"/>
      <w:color w:val="365F91"/>
      <w:sz w:val="28"/>
      <w:szCs w:val="28"/>
    </w:rPr>
  </w:style>
  <w:style w:type="paragraph" w:customStyle="1" w:styleId="142">
    <w:name w:val="Table Paragraph"/>
    <w:basedOn w:val="1"/>
    <w:qFormat/>
    <w:uiPriority w:val="1"/>
    <w:pPr>
      <w:autoSpaceDE w:val="0"/>
      <w:autoSpaceDN w:val="0"/>
      <w:jc w:val="left"/>
    </w:pPr>
    <w:rPr>
      <w:rFonts w:ascii="宋体" w:hAnsi="宋体" w:cs="宋体"/>
      <w:kern w:val="0"/>
      <w:sz w:val="22"/>
      <w:lang w:val="zh-CN" w:bidi="zh-CN"/>
    </w:rPr>
  </w:style>
  <w:style w:type="character" w:customStyle="1" w:styleId="143">
    <w:name w:val="l-btn-empty"/>
    <w:basedOn w:val="45"/>
    <w:qFormat/>
    <w:uiPriority w:val="0"/>
  </w:style>
  <w:style w:type="character" w:customStyle="1" w:styleId="144">
    <w:name w:val="l-btn-left"/>
    <w:basedOn w:val="45"/>
    <w:qFormat/>
    <w:uiPriority w:val="0"/>
  </w:style>
  <w:style w:type="character" w:customStyle="1" w:styleId="145">
    <w:name w:val="l-btn-left1"/>
    <w:basedOn w:val="45"/>
    <w:qFormat/>
    <w:uiPriority w:val="0"/>
  </w:style>
  <w:style w:type="character" w:customStyle="1" w:styleId="146">
    <w:name w:val="l-btn-left2"/>
    <w:basedOn w:val="45"/>
    <w:qFormat/>
    <w:uiPriority w:val="0"/>
  </w:style>
  <w:style w:type="character" w:customStyle="1" w:styleId="147">
    <w:name w:val="l-btn-left3"/>
    <w:basedOn w:val="45"/>
    <w:qFormat/>
    <w:uiPriority w:val="0"/>
  </w:style>
  <w:style w:type="character" w:customStyle="1" w:styleId="148">
    <w:name w:val="l-btn-text"/>
    <w:basedOn w:val="45"/>
    <w:qFormat/>
    <w:uiPriority w:val="0"/>
    <w:rPr>
      <w:sz w:val="18"/>
      <w:szCs w:val="18"/>
      <w:vertAlign w:val="baseline"/>
    </w:rPr>
  </w:style>
  <w:style w:type="character" w:customStyle="1" w:styleId="149">
    <w:name w:val="l-btn-icon-right"/>
    <w:basedOn w:val="45"/>
    <w:qFormat/>
    <w:uiPriority w:val="0"/>
  </w:style>
  <w:style w:type="character" w:customStyle="1" w:styleId="150">
    <w:name w:val="l-btn-icon-left"/>
    <w:basedOn w:val="45"/>
    <w:qFormat/>
    <w:uiPriority w:val="0"/>
  </w:style>
  <w:style w:type="paragraph" w:customStyle="1" w:styleId="151">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52">
    <w:name w:val="font6"/>
    <w:basedOn w:val="1"/>
    <w:qFormat/>
    <w:uiPriority w:val="0"/>
    <w:pPr>
      <w:widowControl/>
      <w:spacing w:before="100" w:beforeAutospacing="1" w:after="100" w:afterAutospacing="1"/>
      <w:jc w:val="left"/>
    </w:pPr>
    <w:rPr>
      <w:rFonts w:ascii="??" w:hAnsi="??" w:cs="宋体"/>
      <w:kern w:val="0"/>
      <w:sz w:val="18"/>
      <w:szCs w:val="18"/>
    </w:rPr>
  </w:style>
  <w:style w:type="paragraph" w:customStyle="1" w:styleId="153">
    <w:name w:val="font7"/>
    <w:basedOn w:val="1"/>
    <w:qFormat/>
    <w:uiPriority w:val="0"/>
    <w:pPr>
      <w:widowControl/>
      <w:spacing w:before="100" w:beforeAutospacing="1" w:after="100" w:afterAutospacing="1"/>
      <w:jc w:val="left"/>
    </w:pPr>
    <w:rPr>
      <w:rFonts w:ascii="宋体" w:hAnsi="宋体" w:cs="宋体"/>
      <w:color w:val="FF0000"/>
      <w:kern w:val="0"/>
      <w:sz w:val="18"/>
      <w:szCs w:val="18"/>
    </w:rPr>
  </w:style>
  <w:style w:type="paragraph" w:customStyle="1" w:styleId="154">
    <w:name w:val="font8"/>
    <w:basedOn w:val="1"/>
    <w:qFormat/>
    <w:uiPriority w:val="0"/>
    <w:pPr>
      <w:widowControl/>
      <w:spacing w:before="100" w:beforeAutospacing="1" w:after="100" w:afterAutospacing="1"/>
      <w:jc w:val="left"/>
    </w:pPr>
    <w:rPr>
      <w:rFonts w:ascii="宋体" w:hAnsi="宋体" w:cs="宋体"/>
      <w:b/>
      <w:bCs/>
      <w:color w:val="FF0000"/>
      <w:kern w:val="0"/>
      <w:sz w:val="18"/>
      <w:szCs w:val="18"/>
    </w:rPr>
  </w:style>
  <w:style w:type="paragraph" w:customStyle="1" w:styleId="155">
    <w:name w:val="xl64"/>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7">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58">
    <w:name w:val="xl67"/>
    <w:basedOn w:val="1"/>
    <w:qFormat/>
    <w:uiPriority w:val="0"/>
    <w:pPr>
      <w:widowControl/>
      <w:pBdr>
        <w:top w:val="single" w:color="000000" w:sz="4" w:space="0"/>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59">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color w:val="FF0000"/>
      <w:kern w:val="0"/>
      <w:sz w:val="24"/>
    </w:rPr>
  </w:style>
  <w:style w:type="paragraph" w:customStyle="1" w:styleId="160">
    <w:name w:val="xl69"/>
    <w:basedOn w:val="1"/>
    <w:qFormat/>
    <w:uiPriority w:val="0"/>
    <w:pPr>
      <w:widowControl/>
      <w:pBdr>
        <w:top w:val="single" w:color="000000" w:sz="4" w:space="0"/>
        <w:left w:val="single" w:color="000000" w:sz="4" w:space="0"/>
        <w:bottom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1">
    <w:name w:val="xl70"/>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24"/>
    </w:rPr>
  </w:style>
  <w:style w:type="paragraph" w:customStyle="1" w:styleId="162">
    <w:name w:val="xl71"/>
    <w:basedOn w:val="1"/>
    <w:qFormat/>
    <w:uiPriority w:val="0"/>
    <w:pPr>
      <w:widowControl/>
      <w:pBdr>
        <w:top w:val="single" w:color="000000" w:sz="4" w:space="0"/>
        <w:left w:val="single" w:color="000000" w:sz="4" w:space="0"/>
        <w:bottom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63">
    <w:name w:val="xl72"/>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64">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65">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left"/>
      <w:textAlignment w:val="center"/>
    </w:pPr>
    <w:rPr>
      <w:rFonts w:ascii="宋体" w:hAnsi="宋体" w:cs="宋体"/>
      <w:kern w:val="0"/>
      <w:sz w:val="16"/>
      <w:szCs w:val="16"/>
    </w:rPr>
  </w:style>
  <w:style w:type="paragraph" w:customStyle="1" w:styleId="166">
    <w:name w:val="xl75"/>
    <w:basedOn w:val="1"/>
    <w:qFormat/>
    <w:uiPriority w:val="0"/>
    <w:pPr>
      <w:widowControl/>
      <w:pBdr>
        <w:top w:val="single" w:color="000000" w:sz="8" w:space="0"/>
        <w:left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7">
    <w:name w:val="xl76"/>
    <w:basedOn w:val="1"/>
    <w:qFormat/>
    <w:uiPriority w:val="0"/>
    <w:pPr>
      <w:widowControl/>
      <w:pBdr>
        <w:left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8">
    <w:name w:val="xl77"/>
    <w:basedOn w:val="1"/>
    <w:qFormat/>
    <w:uiPriority w:val="0"/>
    <w:pPr>
      <w:widowControl/>
      <w:pBdr>
        <w:left w:val="single" w:color="000000" w:sz="8"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69">
    <w:name w:val="xl7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right"/>
      <w:textAlignment w:val="center"/>
    </w:pPr>
    <w:rPr>
      <w:rFonts w:ascii="宋体" w:hAnsi="宋体" w:cs="宋体"/>
      <w:kern w:val="0"/>
      <w:sz w:val="24"/>
    </w:rPr>
  </w:style>
  <w:style w:type="paragraph" w:customStyle="1" w:styleId="170">
    <w:name w:val="xl79"/>
    <w:basedOn w:val="1"/>
    <w:qFormat/>
    <w:uiPriority w:val="0"/>
    <w:pPr>
      <w:widowControl/>
      <w:pBdr>
        <w:top w:val="single" w:color="000000" w:sz="8" w:space="0"/>
        <w:left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1">
    <w:name w:val="xl80"/>
    <w:basedOn w:val="1"/>
    <w:qFormat/>
    <w:uiPriority w:val="0"/>
    <w:pPr>
      <w:widowControl/>
      <w:pBdr>
        <w:left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2">
    <w:name w:val="xl81"/>
    <w:basedOn w:val="1"/>
    <w:qFormat/>
    <w:uiPriority w:val="0"/>
    <w:pPr>
      <w:widowControl/>
      <w:pBdr>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3">
    <w:name w:val="xl82"/>
    <w:basedOn w:val="1"/>
    <w:qFormat/>
    <w:uiPriority w:val="0"/>
    <w:pPr>
      <w:widowControl/>
      <w:pBdr>
        <w:top w:val="single" w:color="000000" w:sz="8" w:space="0"/>
        <w:lef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4">
    <w:name w:val="xl83"/>
    <w:basedOn w:val="1"/>
    <w:qFormat/>
    <w:uiPriority w:val="0"/>
    <w:pPr>
      <w:widowControl/>
      <w:pBdr>
        <w:top w:val="single" w:color="000000" w:sz="8"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5">
    <w:name w:val="xl84"/>
    <w:basedOn w:val="1"/>
    <w:qFormat/>
    <w:uiPriority w:val="0"/>
    <w:pPr>
      <w:widowControl/>
      <w:pBdr>
        <w:lef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6">
    <w:name w:val="xl85"/>
    <w:basedOn w:val="1"/>
    <w:qFormat/>
    <w:uiPriority w:val="0"/>
    <w:pPr>
      <w:widowControl/>
      <w:pBdr>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7">
    <w:name w:val="xl86"/>
    <w:basedOn w:val="1"/>
    <w:qFormat/>
    <w:uiPriority w:val="0"/>
    <w:pPr>
      <w:widowControl/>
      <w:pBdr>
        <w:left w:val="single" w:color="000000" w:sz="4" w:space="0"/>
        <w:bottom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8">
    <w:name w:val="xl87"/>
    <w:basedOn w:val="1"/>
    <w:qFormat/>
    <w:uiPriority w:val="0"/>
    <w:pPr>
      <w:widowControl/>
      <w:pBdr>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cs="宋体"/>
      <w:kern w:val="0"/>
      <w:sz w:val="24"/>
    </w:rPr>
  </w:style>
  <w:style w:type="paragraph" w:customStyle="1" w:styleId="179">
    <w:name w:val="xl88"/>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kern w:val="0"/>
      <w:sz w:val="24"/>
    </w:rPr>
  </w:style>
  <w:style w:type="paragraph" w:customStyle="1" w:styleId="180">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181">
    <w:name w:val="xl90"/>
    <w:basedOn w:val="1"/>
    <w:qFormat/>
    <w:uiPriority w:val="0"/>
    <w:pPr>
      <w:widowControl/>
      <w:pBdr>
        <w:top w:val="single" w:color="000000" w:sz="4" w:space="0"/>
        <w:left w:val="single" w:color="000000" w:sz="4" w:space="0"/>
        <w:bottom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82">
    <w:name w:val="xl91"/>
    <w:basedOn w:val="1"/>
    <w:qFormat/>
    <w:uiPriority w:val="0"/>
    <w:pPr>
      <w:widowControl/>
      <w:pBdr>
        <w:top w:val="single" w:color="000000" w:sz="4" w:space="0"/>
        <w:bottom w:val="single" w:color="000000" w:sz="4" w:space="0"/>
        <w:right w:val="single" w:color="000000" w:sz="4" w:space="0"/>
      </w:pBdr>
      <w:shd w:val="clear" w:color="FFFFFF" w:fill="FFFF00"/>
      <w:spacing w:before="100" w:beforeAutospacing="1" w:after="100" w:afterAutospacing="1"/>
      <w:jc w:val="left"/>
      <w:textAlignment w:val="center"/>
    </w:pPr>
    <w:rPr>
      <w:rFonts w:ascii="宋体" w:hAnsi="宋体" w:cs="宋体"/>
      <w:color w:val="FF0000"/>
      <w:kern w:val="0"/>
      <w:sz w:val="24"/>
    </w:rPr>
  </w:style>
  <w:style w:type="paragraph" w:customStyle="1" w:styleId="183">
    <w:name w:val="xl9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00"/>
      <w:spacing w:before="100" w:beforeAutospacing="1" w:after="100" w:afterAutospacing="1"/>
      <w:jc w:val="left"/>
      <w:textAlignment w:val="center"/>
    </w:pPr>
    <w:rPr>
      <w:rFonts w:ascii="宋体" w:hAnsi="宋体" w:cs="宋体"/>
      <w:color w:val="FF0000"/>
      <w:kern w:val="0"/>
      <w:sz w:val="24"/>
    </w:rPr>
  </w:style>
  <w:style w:type="paragraph" w:customStyle="1" w:styleId="184">
    <w:name w:val="正文首行缩进两字符"/>
    <w:basedOn w:val="1"/>
    <w:qFormat/>
    <w:uiPriority w:val="0"/>
    <w:pPr>
      <w:spacing w:line="360" w:lineRule="auto"/>
      <w:ind w:firstLine="200" w:firstLineChars="200"/>
    </w:pPr>
  </w:style>
  <w:style w:type="paragraph" w:customStyle="1" w:styleId="185">
    <w:name w:val="正文文本首行缩进 2"/>
    <w:basedOn w:val="18"/>
    <w:qFormat/>
    <w:uiPriority w:val="99"/>
    <w:pPr>
      <w:spacing w:after="0" w:line="200" w:lineRule="atLeast"/>
      <w:ind w:left="0" w:leftChars="0" w:firstLine="420" w:firstLineChars="200"/>
    </w:pPr>
    <w:rPr>
      <w:rFonts w:ascii="宋体" w:hAnsi="Courier New"/>
      <w:color w:val="000000"/>
      <w:spacing w:val="-4"/>
      <w:kern w:val="2"/>
      <w:sz w:val="18"/>
    </w:rPr>
  </w:style>
  <w:style w:type="table" w:customStyle="1" w:styleId="186">
    <w:name w:val="Table Normal"/>
    <w:basedOn w:val="43"/>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187">
    <w:name w:val="目录 81"/>
    <w:basedOn w:val="1"/>
    <w:qFormat/>
    <w:uiPriority w:val="0"/>
    <w:pPr>
      <w:keepNext w:val="0"/>
      <w:keepLines w:val="0"/>
      <w:widowControl w:val="0"/>
      <w:suppressLineNumbers w:val="0"/>
      <w:ind w:left="2940"/>
      <w:jc w:val="both"/>
    </w:pPr>
    <w:rPr>
      <w:rFonts w:hint="default" w:ascii="Calibri" w:hAnsi="Times New Roman" w:eastAsia="宋体" w:cs="Times New Roman"/>
      <w:kern w:val="2"/>
      <w:sz w:val="21"/>
      <w:szCs w:val="21"/>
      <w:lang w:val="en-US" w:eastAsia="zh-CN" w:bidi="ar"/>
    </w:rPr>
  </w:style>
  <w:style w:type="paragraph" w:customStyle="1" w:styleId="188">
    <w:name w:val="_Style 2"/>
    <w:qFormat/>
    <w:uiPriority w:val="1"/>
    <w:pPr>
      <w:widowControl w:val="0"/>
      <w:jc w:val="both"/>
    </w:pPr>
    <w:rPr>
      <w:rFonts w:hint="eastAsia" w:ascii="Calibri" w:hAnsi="Calibri" w:eastAsia="宋体" w:cs="Times New Roman"/>
      <w:kern w:val="2"/>
      <w:sz w:val="21"/>
      <w:szCs w:val="22"/>
      <w:lang w:val="en-US" w:eastAsia="zh-CN" w:bidi="ar-SA"/>
    </w:rPr>
  </w:style>
  <w:style w:type="paragraph" w:customStyle="1" w:styleId="189">
    <w:name w:val="Normal_0"/>
    <w:qFormat/>
    <w:uiPriority w:val="0"/>
    <w:rPr>
      <w:rFonts w:ascii="Times New Roman" w:hAnsi="Times New Roman" w:eastAsia="Times New Roman" w:cs="Times New Roman"/>
      <w:sz w:val="24"/>
      <w:szCs w:val="24"/>
    </w:rPr>
  </w:style>
  <w:style w:type="table" w:customStyle="1" w:styleId="190">
    <w:name w:val="Plain Table 1"/>
    <w:qFormat/>
    <w:uiPriority w:val="41"/>
    <w:tblPr>
      <w:tblBorders>
        <w:top w:val="single" w:color="BEBEBE" w:sz="4" w:space="0"/>
        <w:left w:val="single" w:color="BEBEBE" w:sz="4" w:space="0"/>
        <w:bottom w:val="single" w:color="BEBEBE" w:sz="4" w:space="0"/>
        <w:right w:val="single" w:color="BEBEBE" w:sz="4" w:space="0"/>
        <w:insideH w:val="single" w:color="BEBEBE" w:sz="4" w:space="0"/>
        <w:insideV w:val="single" w:color="BEBEBE" w:sz="4" w:space="0"/>
      </w:tblBorders>
    </w:tblPr>
    <w:tblStylePr w:type="firstRow">
      <w:rPr>
        <w:b/>
        <w:bCs/>
      </w:rPr>
    </w:tblStylePr>
    <w:tblStylePr w:type="lastRow">
      <w:rPr>
        <w:b/>
        <w:bCs/>
      </w:rPr>
      <w:tcPr>
        <w:tcBorders>
          <w:top w:val="double" w:color="BEBEBE" w:sz="4" w:space="0"/>
        </w:tcBorders>
      </w:tcPr>
    </w:tblStylePr>
    <w:tblStylePr w:type="firstCol">
      <w:rPr>
        <w:b/>
        <w:bCs/>
      </w:rPr>
    </w:tblStylePr>
    <w:tblStylePr w:type="lastCol">
      <w:rPr>
        <w:b/>
        <w:bCs/>
      </w:rPr>
    </w:tblStylePr>
    <w:tblStylePr w:type="band1Vert">
      <w:tcPr>
        <w:shd w:val="clear" w:color="auto" w:fill="F1F1F1"/>
      </w:tcPr>
    </w:tblStylePr>
    <w:tblStylePr w:type="band1Horz">
      <w:tcPr>
        <w:shd w:val="clear" w:color="auto" w:fill="F1F1F1"/>
      </w:tcPr>
    </w:tblStyle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5.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3"/>
    <customShpInfo spid="_x0000_s3074"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ntractReview xmlns="http://schemas.wps.cn/vas-ai-hub/contract-review">
  <reviewItems>
    <reviewItem>
      <errorID>200ab5c4-e2bd-4476-93ea-1e67cc7cea99</errorID>
      <errorWord>之日起至</errorWord>
      <group>L1_Word</group>
      <groupName>字词问题</groupName>
      <ability>L2_Typo</ability>
      <abilityName>字词错误</abilityName>
      <candidateList>
        <item>之日起</item>
      </candidateList>
      <explain/>
      <paraID>423DBA6E</paraID>
      <start>14</start>
      <end>18</end>
      <status>unmodified</status>
      <modifiedWord/>
      <trackRevisions>false</trackRevisions>
    </reviewItem>
    <reviewItem>
      <errorID>1639e705-4de0-465a-9e35-5866776f561f</errorID>
      <errorWord>天</errorWord>
      <group>L1_Word</group>
      <groupName>字词问题</groupName>
      <ability>L2_Typo</ability>
      <abilityName>字词错误</abilityName>
      <candidateList>
        <item>天内</item>
      </candidateList>
      <explain/>
      <paraID>423DBA6E</paraID>
      <start>20</start>
      <end>21</end>
      <status>unmodified</status>
      <modifiedWord/>
      <trackRevisions>false</trackRevisions>
    </reviewItem>
    <reviewItem>
      <errorID>ec2b8ac8-ea10-4f7c-8a9c-eca54e3349d8</errorID>
      <errorWord>完成</errorWord>
      <group>L1_Word</group>
      <groupName>字词问题</groupName>
      <ability>L2_Typo</ability>
      <abilityName>字词错误</abilityName>
      <candidateList>
        <item>内完成</item>
      </candidateList>
      <explain/>
      <paraID>423DBA6E</paraID>
      <start>21</start>
      <end>23</end>
      <status>unmodified</status>
      <modifiedWord/>
      <trackRevisions>false</trackRevisions>
    </reviewItem>
    <reviewItem>
      <errorID>0070b8ce-bc36-4e20-98b9-911b23dd2d2b</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4E9E6DFE</paraID>
      <start>39</start>
      <end>41</end>
      <status>unmodified</status>
      <modifiedWord/>
      <trackRevisions>false</trackRevisions>
    </reviewItem>
    <reviewItem>
      <errorID>2ba17a96-bb54-4f30-9927-43a13791fa20</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4E9E6DFE</paraID>
      <start>60</start>
      <end>62</end>
      <status>unmodified</status>
      <modifiedWord/>
      <trackRevisions>false</trackRevisions>
    </reviewItem>
    <reviewItem>
      <errorID>04cfb4ca-0e6f-4b40-8235-e8a78760875a</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7E2A24BE</paraID>
      <start>39</start>
      <end>41</end>
      <status>unmodified</status>
      <modifiedWord/>
      <trackRevisions>false</trackRevisions>
    </reviewItem>
    <reviewItem>
      <errorID>3facea69-75fa-49ef-97ed-15fdbad8856b</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7E2A24BE</paraID>
      <start>60</start>
      <end>62</end>
      <status>unmodified</status>
      <modifiedWord/>
      <trackRevisions>false</trackRevisions>
    </reviewItem>
    <reviewItem>
      <errorID>b1d30f89-4a98-41c9-a26a-ae078fb546e4</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6940F81E</paraID>
      <start>39</start>
      <end>41</end>
      <status>unmodified</status>
      <modifiedWord/>
      <trackRevisions>false</trackRevisions>
    </reviewItem>
    <reviewItem>
      <errorID>a663d029-0864-4c81-bfa1-8dd6cb6e6256</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6940F81E</paraID>
      <start>60</start>
      <end>62</end>
      <status>unmodified</status>
      <modifiedWord/>
      <trackRevisions>false</trackRevisions>
    </reviewItem>
    <reviewItem>
      <errorID>c7feeef3-4066-4deb-9d18-0a60f56de261</errorID>
      <errorWord>【2022】17号</errorWord>
      <group>L1_Knowledge</group>
      <groupName>知识性问题</groupName>
      <ability>L2_Knowledge</ability>
      <abilityName>其他知识</abilityName>
      <candidateList>
        <item>〔2022〕17号</item>
      </candidateList>
      <explain>发文字号格式错误。</explain>
      <paraID>36DD3DE1</paraID>
      <start>40</start>
      <end>49</end>
      <status>unmodified</status>
      <modifiedWord/>
      <trackRevisions>false</trackRevisions>
    </reviewItem>
    <reviewItem>
      <errorID>04aeb0d9-003f-4402-8976-2da02cec13ee</errorID>
      <errorWord>登录“</errorWord>
      <group>L1_Word</group>
      <groupName>字词问题</groupName>
      <ability>L2_Typo</ability>
      <abilityName>字词错误</abilityName>
      <candidateList>
        <item>，登录</item>
      </candidateList>
      <explain/>
      <paraID>6ED24FC4</paraID>
      <start>60</start>
      <end>63</end>
      <status>unmodified</status>
      <modifiedWord/>
      <trackRevisions>false</trackRevisions>
    </reviewItem>
    <reviewItem>
      <errorID>67299614-7eed-44f8-a763-aa4e89e047e5</errorID>
      <errorWord>【2020】46号</errorWord>
      <group>L1_Knowledge</group>
      <groupName>知识性问题</groupName>
      <ability>L2_Knowledge</ability>
      <abilityName>其他知识</abilityName>
      <candidateList>
        <item>〔2020〕46号</item>
      </candidateList>
      <explain>发文字号格式错误。</explain>
      <paraID>22D131E3</paraID>
      <start>5</start>
      <end>14</end>
      <status>unmodified</status>
      <modifiedWord/>
      <trackRevisions>false</trackRevisions>
    </reviewItem>
    <reviewItem>
      <errorID>b9848a7a-c4b5-496e-9ef1-17a6baadc6c4</errorID>
      <errorWord>视频的</errorWord>
      <group>L1_Word</group>
      <groupName>字词问题</groupName>
      <ability>L2_Typo</ability>
      <abilityName>字词错误</abilityName>
      <candidateList>
        <item>视频</item>
      </candidateList>
      <explain/>
      <paraID>40537374</paraID>
      <start>16</start>
      <end>19</end>
      <status>unmodified</status>
      <modifiedWord/>
      <trackRevisions>false</trackRevisions>
    </reviewItem>
    <reviewItem>
      <errorID>c20770c3-a1da-4c1e-b35c-bda9ed94282d</errorID>
      <errorWord>u盘形式提交（投标人自行保证u盘</errorWord>
      <group>L1_Word</group>
      <groupName>字词问题</groupName>
      <ability>L2_Typo</ability>
      <abilityName>字词错误</abilityName>
      <candidateList>
        <item>U盘形式提交（投标人自行保证U盘</item>
      </candidateList>
      <explain/>
      <paraID>40537374</paraID>
      <start>93</start>
      <end>109</end>
      <status>unmodified</status>
      <modifiedWord/>
      <trackRevisions>false</trackRevisions>
    </reviewItem>
    <reviewItem>
      <errorID>cc0c7cb3-2129-41d9-bb9f-3896cfbef16f</errorID>
      <errorWord>u盘损坏或数据损坏造成u盘</errorWord>
      <group>L1_Word</group>
      <groupName>字词问题</groupName>
      <ability>L2_Typo</ability>
      <abilityName>字词错误</abilityName>
      <candidateList>
        <item>U盘损坏或数据损坏造成U盘</item>
      </candidateList>
      <explain/>
      <paraID>40537374</paraID>
      <start>114</start>
      <end>127</end>
      <status>unmodified</status>
      <modifiedWord/>
      <trackRevisions>false</trackRevisions>
    </reviewItem>
    <reviewItem>
      <errorID>92b95323-e6a7-49fb-bc00-77b77ea4a0cd</errorID>
      <errorWord>u盘</errorWord>
      <group>L1_Word</group>
      <groupName>字词问题</groupName>
      <ability>L2_Typo</ability>
      <abilityName>字词错误</abilityName>
      <candidateList>
        <item>U盘</item>
      </candidateList>
      <explain/>
      <paraID>40537374</paraID>
      <start>231</start>
      <end>233</end>
      <status>unmodified</status>
      <modifiedWord/>
      <trackRevisions>false</trackRevisions>
    </reviewItem>
    <reviewItem>
      <errorID>6bc42c36-9a29-40f6-bdc0-85082c5c0672</errorID>
      <errorWord>成份</errorWord>
      <group>L1_Word</group>
      <groupName>字词问题</groupName>
      <ability>L2_Typo</ability>
      <abilityName>字词错误</abilityName>
      <candidateList>
        <item>成分</item>
      </candidateList>
      <explain/>
      <paraID>1783E081</paraID>
      <start>88</start>
      <end>90</end>
      <status>unmodified</status>
      <modifiedWord/>
      <trackRevisions>false</trackRevisions>
    </reviewItem>
    <reviewItem>
      <errorID>4595b8c1-cb2e-4894-a7c2-e87190eb5855</errorID>
      <errorWord>法律、法规</errorWord>
      <group>L1_Word</group>
      <groupName>字词问题</groupName>
      <ability>L2_Typo</ability>
      <abilityName>字词错误</abilityName>
      <candidateList>
        <item>法律法规</item>
      </candidateList>
      <explain/>
      <paraID> C5D39FE</paraID>
      <start>26</start>
      <end>31</end>
      <status>unmodified</status>
      <modifiedWord/>
      <trackRevisions>false</trackRevisions>
    </reviewItem>
    <reviewItem>
      <errorID>addf2e00-4cb5-4ad3-8a5e-4d42a5221dd1</errorID>
      <errorWord>[2007]119号</errorWord>
      <group>L1_Knowledge</group>
      <groupName>知识性问题</groupName>
      <ability>L2_Knowledge</ability>
      <abilityName>其他知识</abilityName>
      <candidateList>
        <item>〔2007〕119号</item>
      </candidateList>
      <explain>发文字号格式错误。</explain>
      <paraID>73866335</paraID>
      <start>61</start>
      <end>71</end>
      <status>unmodified</status>
      <modifiedWord/>
      <trackRevisions>false</trackRevisions>
    </reviewItem>
    <reviewItem>
      <errorID>85e63706-049f-49e8-95dc-e01cb63a0d49</errorID>
      <errorWord>l</errorWord>
      <group>L1_Word</group>
      <groupName>字词问题</groupName>
      <ability>L2_Typo</ability>
      <abilityName>字词错误</abilityName>
      <candidateList>
        <item>1</item>
      </candidateList>
      <explain/>
      <paraID> 9903480</paraID>
      <start>1</start>
      <end>2</end>
      <status>modified</status>
      <modifiedWord>1</modifiedWord>
      <trackRevisions>false</trackRevisions>
    </reviewItem>
    <reviewItem>
      <errorID>3081818d-59f9-43e4-bffe-130b89dd3e9b</errorID>
      <errorWord>l</errorWord>
      <group>L1_Word</group>
      <groupName>字词问题</groupName>
      <ability>L2_Typo</ability>
      <abilityName>字词错误</abilityName>
      <candidateList>
        <item>1</item>
      </candidateList>
      <explain/>
      <paraID>29E22D87</paraID>
      <start>1</start>
      <end>2</end>
      <status>modified</status>
      <modifiedWord>1</modifiedWord>
      <trackRevisions>false</trackRevisions>
    </reviewItem>
    <reviewItem>
      <errorID>9c8348a2-9cf7-4bb8-b6a0-2b1d7d8dda9e</errorID>
      <errorWord>法律、法规</errorWord>
      <group>L1_Word</group>
      <groupName>字词问题</groupName>
      <ability>L2_Typo</ability>
      <abilityName>字词错误</abilityName>
      <candidateList>
        <item>法律法规</item>
      </candidateList>
      <explain/>
      <paraID>55056729</paraID>
      <start>4</start>
      <end>9</end>
      <status>unmodified</status>
      <modifiedWord/>
      <trackRevisions>false</trackRevisions>
    </reviewItem>
    <reviewItem>
      <errorID>8835d89d-28fe-49e1-9a90-7a2e8561f127</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28553BFE</paraID>
      <start>57</start>
      <end>61</end>
      <status>unmodified</status>
      <modifiedWord/>
      <trackRevisions>false</trackRevisions>
    </reviewItem>
    <reviewItem>
      <errorID>3fc75202-e21e-46a5-9cca-e99dfd202659</errorID>
      <errorWord>和</errorWord>
      <group>L1_Word</group>
      <groupName>字词问题</groupName>
      <ability>L2_Typo</ability>
      <abilityName>字词错误</abilityName>
      <candidateList>
        <item>、</item>
      </candidateList>
      <explain/>
      <paraID>3FA74256</paraID>
      <start>92</start>
      <end>93</end>
      <status>unmodified</status>
      <modifiedWord/>
      <trackRevisions>false</trackRevisions>
    </reviewItem>
    <reviewItem>
      <errorID>2c64f84f-1b8a-4244-91d6-f180552d7093</errorID>
      <errorWord>位</errorWord>
      <group>L1_Word</group>
      <groupName>字词问题</groupName>
      <ability>L2_Typo</ability>
      <abilityName>字词错误</abilityName>
      <candidateList>
        <item>位公</item>
      </candidateList>
      <explain/>
      <paraID>55271EA4</paraID>
      <start>28</start>
      <end>29</end>
      <status>unmodified</status>
      <modifiedWord/>
      <trackRevisions>false</trackRevisions>
    </reviewItem>
    <reviewItem>
      <errorID>0d3ebc7d-c0d4-4850-aaf3-1f0a884c0c9c</errorID>
      <errorWord>拟</errorWord>
      <group>L1_Word</group>
      <groupName>字词问题</groupName>
      <ability>L2_Typo</ability>
      <abilityName>字词错误</abilityName>
      <candidateList>
        <item>拟提</item>
      </candidateList>
      <explain/>
      <paraID>6447641B</paraID>
      <start>13</start>
      <end>14</end>
      <status>unmodified</status>
      <modifiedWord/>
      <trackRevisions>false</trackRevisions>
    </reviewItem>
    <reviewItem>
      <errorID>0ab0c535-c59a-4745-ae32-749e7fef163b</errorID>
      <errorWord>期期</errorWord>
      <group>L1_Word</group>
      <groupName>字词问题</groupName>
      <ability>L2_Typo</ability>
      <abilityName>字词错误</abilityName>
      <candidateList>
        <item>期</item>
      </candidateList>
      <explain/>
      <paraID>5807B4C3</paraID>
      <start>92</start>
      <end>94</end>
      <status>unmodified</status>
      <modifiedWord/>
      <trackRevisions>false</trackRevisions>
    </reviewItem>
    <reviewItem>
      <errorID>f9ba4869-8905-4e0c-8925-3f1e583e407e</errorID>
      <errorWord>．</errorWord>
      <group>L1_Word</group>
      <groupName>字词问题</groupName>
      <ability>L2_Typo</ability>
      <abilityName>字词错误</abilityName>
      <candidateList>
        <item>. </item>
      </candidateList>
      <explain/>
      <paraID> BE6DC1F</paraID>
      <start>2</start>
      <end>3</end>
      <status>unmodified</status>
      <modifiedWord/>
      <trackRevisions>false</trackRevisions>
    </reviewItem>
    <reviewItem>
      <errorID>0c6ec6ed-ee5d-44a0-af3f-0e65b0efd271</errorID>
      <errorWord>office2010</errorWord>
      <group>L1_Word</group>
      <groupName>字词问题</groupName>
      <ability>L2_Typo</ability>
      <abilityName>字词错误</abilityName>
      <candidateList>
        <item>Office 2010</item>
      </candidateList>
      <explain/>
      <paraID> BE6DC1F</paraID>
      <start>160</start>
      <end>171</end>
      <status>modified</status>
      <modifiedWord>Office 2010</modifiedWord>
      <trackRevisions>false</trackRevisions>
    </reviewItem>
    <reviewItem>
      <errorID>379b8d7c-004e-4fe5-8b2e-29ce36f8fad2</errorID>
      <errorWord>投标人应当使用岳阳市公共资源交易中心电子交易平台认可的“新点投标文件制作软件（湖南版）”制作投标文件（ </errorWord>
      <group>L1_Word</group>
      <groupName>字词问题</groupName>
      <ability>L2_Typo</ability>
      <abilityName>字词错误</abilityName>
      <candidateList>
        <item> 投标人应当使用岳阳市公共资源交易中心电子交易平台认可的“新点投标文件制作软件（湖南版）”制作投标文件（</item>
      </candidateList>
      <explain/>
      <paraID>75CB172D</paraID>
      <start>6</start>
      <end>58</end>
      <status>unmodified</status>
      <modifiedWord/>
      <trackRevisions>false</trackRevisions>
    </reviewItem>
    <reviewItem>
      <errorID>0166c491-cef6-48d4-9f1b-88bad66ce6eb</errorID>
      <errorWord>“电子标书软件加密锁” </errorWord>
      <group>L1_Word</group>
      <groupName>字词问题</groupName>
      <ability>L2_Typo</ability>
      <abilityName>字词错误</abilityName>
      <candidateList>
        <item> “电子标书软件加密锁”</item>
      </candidateList>
      <explain/>
      <paraID>73F5B224</paraID>
      <start>6</start>
      <end>18</end>
      <status>unmodified</status>
      <modifiedWord/>
      <trackRevisions>false</trackRevisions>
    </reviewItem>
    <reviewItem>
      <errorID>f3f0c2f8-e850-4396-ba68-4cd77ba8daad</errorID>
      <errorWord>请投标人注意压缩文件</errorWord>
      <group>L1_Word</group>
      <groupName>字词问题</groupName>
      <ability>L2_Typo</ability>
      <abilityName>字词错误</abilityName>
      <candidateList>
        <item>并注意将文件进行压缩</item>
      </candidateList>
      <explain/>
      <paraID>27BBB102</paraID>
      <start>42</start>
      <end>52</end>
      <status>unmodified</status>
      <modifiedWord/>
      <trackRevisions>false</trackRevisions>
    </reviewItem>
    <reviewItem>
      <errorID>1228f643-6372-4e19-aee3-13194bd4099b</errorID>
      <errorWord>电子</errorWord>
      <group>L1_Word</group>
      <groupName>字词问题</groupName>
      <ability>L2_Typo</ability>
      <abilityName>字词错误</abilityName>
      <candidateList>
        <item> 电子</item>
      </candidateList>
      <explain/>
      <paraID>3B71F3A4</paraID>
      <start>4</start>
      <end>6</end>
      <status>unmodified</status>
      <modifiedWord/>
      <trackRevisions>false</trackRevisions>
    </reviewItem>
    <reviewItem>
      <errorID>35ea9855-04ba-4314-9e3f-cb16dcb63226</errorID>
      <errorWord>在</errorWord>
      <group>L1_Word</group>
      <groupName>字词问题</groupName>
      <ability>L2_Typo</ability>
      <abilityName>字词错误</abilityName>
      <candidateList>
        <item>登录</item>
      </candidateList>
      <explain/>
      <paraID>3B71F3A4</paraID>
      <start>39</start>
      <end>40</end>
      <status>unmodified</status>
      <modifiedWord/>
      <trackRevisions>false</trackRevisions>
    </reviewItem>
    <reviewItem>
      <errorID>7b2968a1-6a20-4ab2-9a21-75e603fa7ce8</errorID>
      <errorWord>按</errorWord>
      <group>L1_Word</group>
      <groupName>字词问题</groupName>
      <ability>L2_Typo</ability>
      <abilityName>字词错误</abilityName>
      <candidateList>
        <item> 按</item>
      </candidateList>
      <explain/>
      <paraID>7A511218</paraID>
      <start>6</start>
      <end>7</end>
      <status>unmodified</status>
      <modifiedWord/>
      <trackRevisions>false</trackRevisions>
    </reviewItem>
    <reviewItem>
      <errorID>1dd502bc-51e9-483c-b838-3cfdb0d46c3d</errorID>
      <errorWord>投标</errorWord>
      <group>L1_Word</group>
      <groupName>字词问题</groupName>
      <ability>L2_Typo</ability>
      <abilityName>字词错误</abilityName>
      <candidateList>
        <item> 投标</item>
      </candidateList>
      <explain/>
      <paraID>162E7D07</paraID>
      <start>4</start>
      <end>6</end>
      <status>unmodified</status>
      <modifiedWord/>
      <trackRevisions>false</trackRevisions>
    </reviewItem>
    <reviewItem>
      <errorID>15eeacf0-11d3-4671-a203-08f7ab4b053a</errorID>
      <errorWord>投标</errorWord>
      <group>L1_Word</group>
      <groupName>字词问题</groupName>
      <ability>L2_Typo</ability>
      <abilityName>字词错误</abilityName>
      <candidateList>
        <item> 投标</item>
      </candidateList>
      <explain/>
      <paraID> 6167D32</paraID>
      <start>4</start>
      <end>6</end>
      <status>unmodified</status>
      <modifiedWord/>
      <trackRevisions>false</trackRevisions>
    </reviewItem>
    <reviewItem>
      <errorID>d58c9ac7-1d29-4c75-b89d-1b8af91bd84e</errorID>
      <errorWord>投标人</errorWord>
      <group>L1_Word</group>
      <groupName>字词问题</groupName>
      <ability>L2_Typo</ability>
      <abilityName>字词错误</abilityName>
      <candidateList>
        <item> 投标人</item>
      </candidateList>
      <explain/>
      <paraID>1B33AFD5</paraID>
      <start>4</start>
      <end>7</end>
      <status>unmodified</status>
      <modifiedWord/>
      <trackRevisions>false</trackRevisions>
    </reviewItem>
    <reviewItem>
      <errorID>1f2b5745-7790-468d-ab39-be8b268ec3c8</errorID>
      <errorWord>有</errorWord>
      <group>L1_Word</group>
      <groupName>字词问题</groupName>
      <ability>L2_Typo</ability>
      <abilityName>字词错误</abilityName>
      <candidateList>
        <item> 有</item>
      </candidateList>
      <explain/>
      <paraID> D73032B</paraID>
      <start>4</start>
      <end>5</end>
      <status>unmodified</status>
      <modifiedWord/>
      <trackRevisions>false</trackRevisions>
    </reviewItem>
    <reviewItem>
      <errorID>1d2ee895-888f-4a8a-80a6-08be77ad9757</errorID>
      <errorWord>有</errorWord>
      <group>L1_Word</group>
      <groupName>字词问题</groupName>
      <ability>L2_Typo</ability>
      <abilityName>字词错误</abilityName>
      <candidateList>
        <item> 有</item>
      </candidateList>
      <explain/>
      <paraID>5DDCCA6B</paraID>
      <start>4</start>
      <end>5</end>
      <status>unmodified</status>
      <modifiedWord/>
      <trackRevisions>false</trackRevisions>
    </reviewItem>
    <reviewItem>
      <errorID>368ef3ce-a12a-4d50-894a-c2d8182c7815</errorID>
      <errorWord>采购</errorWord>
      <group>L1_Word</group>
      <groupName>字词问题</groupName>
      <ability>L2_Typo</ability>
      <abilityName>字词错误</abilityName>
      <candidateList>
        <item> 采购</item>
      </candidateList>
      <explain/>
      <paraID> 5B5A683</paraID>
      <start>4</start>
      <end>6</end>
      <status>unmodified</status>
      <modifiedWord/>
      <trackRevisions>false</trackRevisions>
    </reviewItem>
    <reviewItem>
      <errorID>8e5e3b44-b68f-4c52-baf6-c9af04d70d66</errorID>
      <errorWord>投标</errorWord>
      <group>L1_Word</group>
      <groupName>字词问题</groupName>
      <ability>L2_Typo</ability>
      <abilityName>字词错误</abilityName>
      <candidateList>
        <item> 投标</item>
      </candidateList>
      <explain/>
      <paraID>4138DA14</paraID>
      <start>4</start>
      <end>6</end>
      <status>unmodified</status>
      <modifiedWord/>
      <trackRevisions>false</trackRevisions>
    </reviewItem>
    <reviewItem>
      <errorID>76765d3d-14b5-40aa-b2c7-a167405a6170</errorID>
      <errorWord>并在网上进行</errorWord>
      <group>L1_Word</group>
      <groupName>字词问题</groupName>
      <ability>L2_Typo</ability>
      <abilityName>字词错误</abilityName>
      <candidateList>
        <item>，参与网上</item>
      </candidateList>
      <explain/>
      <paraID>4138DA14</paraID>
      <start>35</start>
      <end>41</end>
      <status>unmodified</status>
      <modifiedWord/>
      <trackRevisions>false</trackRevisions>
    </reviewItem>
    <reviewItem>
      <errorID>2220ba09-3f09-4202-8d67-a0e2759f341c</errorID>
      <errorWord>同步</errorWord>
      <group>L1_Word</group>
      <groupName>字词问题</groupName>
      <ability>L2_Typo</ability>
      <abilityName>字词错误</abilityName>
      <candidateList>
        <item>并同步</item>
      </candidateList>
      <explain/>
      <paraID>4138DA14</paraID>
      <start>47</start>
      <end>49</end>
      <status>unmodified</status>
      <modifiedWord/>
      <trackRevisions>false</trackRevisions>
    </reviewItem>
    <reviewItem>
      <errorID>27ec87d7-cb4c-4c33-b028-f682533b4bc0</errorID>
      <errorWord>开标</errorWord>
      <group>L1_Word</group>
      <groupName>字词问题</groupName>
      <ability>L2_Typo</ability>
      <abilityName>字词错误</abilityName>
      <candidateList>
        <item> 开标</item>
      </candidateList>
      <explain/>
      <paraID>65B1D8A0</paraID>
      <start>4</start>
      <end>6</end>
      <status>unmodified</status>
      <modifiedWord/>
      <trackRevisions>false</trackRevisions>
    </reviewItem>
    <reviewItem>
      <errorID>bfbe93b7-007b-4f38-976c-00d1fc5a029d</errorID>
      <errorWord>资格</errorWord>
      <group>L1_Word</group>
      <groupName>字词问题</groupName>
      <ability>L2_Typo</ability>
      <abilityName>字词错误</abilityName>
      <candidateList>
        <item> 资格</item>
      </candidateList>
      <explain/>
      <paraID>55FE9555</paraID>
      <start>3</start>
      <end>5</end>
      <status>unmodified</status>
      <modifiedWord/>
      <trackRevisions>false</trackRevisions>
    </reviewItem>
    <reviewItem>
      <errorID>161438a6-1cb8-4a40-b572-a0248287b19d</errorID>
      <errorWord>开标</errorWord>
      <group>L1_Word</group>
      <groupName>字词问题</groupName>
      <ability>L2_Typo</ability>
      <abilityName>字词错误</abilityName>
      <candidateList>
        <item> 开标</item>
      </candidateList>
      <explain/>
      <paraID> 9479F85</paraID>
      <start>4</start>
      <end>6</end>
      <status>unmodified</status>
      <modifiedWord/>
      <trackRevisions>false</trackRevisions>
    </reviewItem>
    <reviewItem>
      <errorID>1ed473cd-ca5e-4912-856b-159c7ba50730</errorID>
      <errorWord>投标</errorWord>
      <group>L1_Word</group>
      <groupName>字词问题</groupName>
      <ability>L2_Typo</ability>
      <abilityName>字词错误</abilityName>
      <candidateList>
        <item> 投标</item>
      </candidateList>
      <explain/>
      <paraID>4BC74430</paraID>
      <start>4</start>
      <end>6</end>
      <status>unmodified</status>
      <modifiedWord/>
      <trackRevisions>false</trackRevisions>
    </reviewItem>
    <reviewItem>
      <errorID>9d2f526b-d009-476a-85a7-a4bf2d02e2e9</errorID>
      <errorWord>法律、法规</errorWord>
      <group>L1_Word</group>
      <groupName>字词问题</groupName>
      <ability>L2_Typo</ability>
      <abilityName>字词错误</abilityName>
      <candidateList>
        <item>法律法规</item>
      </candidateList>
      <explain/>
      <paraID>741B80E7</paraID>
      <start>6</start>
      <end>11</end>
      <status>unmodified</status>
      <modifiedWord/>
      <trackRevisions>false</trackRevisions>
    </reviewItem>
    <reviewItem>
      <errorID>602b43be-ced4-4b4b-974d-a5cff2f59902</errorID>
      <errorWord>法律、法规</errorWord>
      <group>L1_Word</group>
      <groupName>字词问题</groupName>
      <ability>L2_Typo</ability>
      <abilityName>字词错误</abilityName>
      <candidateList>
        <item>法律法规</item>
      </candidateList>
      <explain/>
      <paraID>5E7DE92C</paraID>
      <start>44</start>
      <end>49</end>
      <status>unmodified</status>
      <modifiedWord/>
      <trackRevisions>false</trackRevisions>
    </reviewItem>
    <reviewItem>
      <errorID>ac88f18f-9ebd-44a1-895b-53031b73fd31</errorID>
      <errorWord>５</errorWord>
      <group>L1_Word</group>
      <groupName>字词问题</groupName>
      <ability>L2_Typo</ability>
      <abilityName>字词错误</abilityName>
      <candidateList>
        <item>5</item>
      </candidateList>
      <explain/>
      <paraID> FD7164F</paraID>
      <start>26</start>
      <end>27</end>
      <status>unmodified</status>
      <modifiedWord/>
      <trackRevisions>false</trackRevisions>
    </reviewItem>
    <reviewItem>
      <errorID>ca4faaa1-3cdf-468d-8b0f-894547488a78</errorID>
      <errorWord>１</errorWord>
      <group>L1_Word</group>
      <groupName>字词问题</groupName>
      <ability>L2_Typo</ability>
      <abilityName>字词错误</abilityName>
      <candidateList>
        <item>1</item>
      </candidateList>
      <explain/>
      <paraID>46FCC930</paraID>
      <start>82</start>
      <end>83</end>
      <status>unmodified</status>
      <modifiedWord/>
      <trackRevisions>false</trackRevisions>
    </reviewItem>
    <reviewItem>
      <errorID>93992460-0c4f-426f-a64c-c564c846aec1</errorID>
      <errorWord>规</errorWord>
      <group>L1_Word</group>
      <groupName>字词问题</groupName>
      <ability>L2_Typo</ability>
      <abilityName>字词错误</abilityName>
      <candidateList>
        <item>规和</item>
      </candidateList>
      <explain/>
      <paraID>2DE0BAC3</paraID>
      <start>74</start>
      <end>75</end>
      <status>unmodified</status>
      <modifiedWord/>
      <trackRevisions>false</trackRevisions>
    </reviewItem>
    <reviewItem>
      <errorID>06b9e1a5-0dd8-45a3-b1a9-cb49cef0cb1f</errorID>
      <errorWord>中标</errorWord>
      <group>L1_Word</group>
      <groupName>字词问题</groupName>
      <ability>L2_Typo</ability>
      <abilityName>字词错误</abilityName>
      <candidateList>
        <item> 中标</item>
      </candidateList>
      <explain/>
      <paraID>4BDBD3F9</paraID>
      <start>4</start>
      <end>6</end>
      <status>unmodified</status>
      <modifiedWord/>
      <trackRevisions>false</trackRevisions>
    </reviewItem>
    <reviewItem>
      <errorID>57e30f1e-a1b9-43a6-a577-4fbd1ee3f59d</errorID>
      <errorWord>中标人</errorWord>
      <group>L1_Word</group>
      <groupName>字词问题</groupName>
      <ability>L2_Typo</ability>
      <abilityName>字词错误</abilityName>
      <candidateList>
        <item> 中标人</item>
      </candidateList>
      <explain/>
      <paraID>7DD30F8B</paraID>
      <start>4</start>
      <end>7</end>
      <status>unmodified</status>
      <modifiedWord/>
      <trackRevisions>false</trackRevisions>
    </reviewItem>
    <reviewItem>
      <errorID>a8b9fcc5-7518-4f6f-b872-a313e20d2669</errorID>
      <errorWord>优先</errorWord>
      <group>L1_Word</group>
      <groupName>字词问题</groupName>
      <ability>L2_Typo</ability>
      <abilityName>字词错误</abilityName>
      <candidateList>
        <item> 优先</item>
      </candidateList>
      <explain/>
      <paraID>445EE020</paraID>
      <start>4</start>
      <end>6</end>
      <status>unmodified</status>
      <modifiedWord/>
      <trackRevisions>false</trackRevisions>
    </reviewItem>
    <reviewItem>
      <errorID>86c32cca-190b-44de-b77a-d2e44d43be21</errorID>
      <errorWord>法律、法规</errorWord>
      <group>L1_Word</group>
      <groupName>字词问题</groupName>
      <ability>L2_Typo</ability>
      <abilityName>字词错误</abilityName>
      <candidateList>
        <item>法律法规</item>
      </candidateList>
      <explain/>
      <paraID>1C689D2B</paraID>
      <start>3</start>
      <end>8</end>
      <status>unmodified</status>
      <modifiedWord/>
      <trackRevisions>false</trackRevisions>
    </reviewItem>
    <reviewItem>
      <errorID>1dadac13-1b6f-4450-b673-8f56a071221e</errorID>
      <errorWord>情形的</errorWord>
      <group>L1_Word</group>
      <groupName>字词问题</groupName>
      <ability>L2_Typo</ability>
      <abilityName>字词错误</abilityName>
      <candidateList>
        <item>情形</item>
      </candidateList>
      <explain/>
      <paraID>1C689D2B</paraID>
      <start>22</start>
      <end>25</end>
      <status>unmodified</status>
      <modifiedWord/>
      <trackRevisions>false</trackRevisions>
    </reviewItem>
    <reviewItem>
      <errorID>f35b4083-be62-4432-843e-046398316b35</errorID>
      <errorWord>）</errorWord>
      <group>L1_Word</group>
      <groupName>字词问题</groupName>
      <ability>L2_Typo</ability>
      <abilityName>字词错误</abilityName>
      <candidateList>
        <item>）以</item>
      </candidateList>
      <explain/>
      <paraID>288B9797</paraID>
      <start>2</start>
      <end>3</end>
      <status>unmodified</status>
      <modifiedWord/>
      <trackRevisions>false</trackRevisions>
    </reviewItem>
    <reviewItem>
      <errorID>1b22857d-5546-4bdc-8f84-0fb5bbbd2e55</errorID>
      <errorWord>联合体</errorWord>
      <group>L1_Word</group>
      <groupName>字词问题</groupName>
      <ability>L2_Typo</ability>
      <abilityName>字词错误</abilityName>
      <candidateList>
        <item>以联合体</item>
      </candidateList>
      <explain/>
      <paraID>288B9797</paraID>
      <start>3</start>
      <end>6</end>
      <status>unmodified</status>
      <modifiedWord/>
      <trackRevisions>false</trackRevisions>
    </reviewItem>
    <reviewItem>
      <errorID>a2e2ea9e-56b4-4ceb-bb03-0f3e818348d7</errorID>
      <errorWord>联合体</errorWord>
      <group>L1_Word</group>
      <groupName>字词问题</groupName>
      <ability>L2_Typo</ability>
      <abilityName>字词错误</abilityName>
      <candidateList>
        <item>若联合体</item>
      </candidateList>
      <explain/>
      <paraID>288B9797</paraID>
      <start>12</start>
      <end>15</end>
      <status>unmodified</status>
      <modifiedWord/>
      <trackRevisions>false</trackRevisions>
    </reviewItem>
    <reviewItem>
      <errorID>f9a5f8a3-9233-4939-847c-30a521a32476</errorID>
      <errorWord>的，</errorWord>
      <group>L1_Word</group>
      <groupName>字词问题</groupName>
      <ability>L2_Typo</ability>
      <abilityName>字词错误</abilityName>
      <candidateList>
        <item>，则</item>
      </candidateList>
      <explain/>
      <paraID>288B9797</paraID>
      <start>25</start>
      <end>27</end>
      <status>unmodified</status>
      <modifiedWord/>
      <trackRevisions>false</trackRevisions>
    </reviewItem>
    <reviewItem>
      <errorID>b938077e-f9d2-4610-8ecd-f1f8163804d5</errorID>
      <errorWord>将</errorWord>
      <group>L1_Word</group>
      <groupName>字词问题</groupName>
      <ability>L2_Typo</ability>
      <abilityName>字词错误</abilityName>
      <candidateList>
        <item>应</item>
      </candidateList>
      <explain/>
      <paraID>46FD7D53</paraID>
      <start>86</start>
      <end>87</end>
      <status>unmodified</status>
      <modifiedWord/>
      <trackRevisions>false</trackRevisions>
    </reviewItem>
    <reviewItem>
      <errorID>dd44302a-eff1-49d2-86e1-9a0450c60947</errorID>
      <errorWord>具体</errorWord>
      <group>L1_Word</group>
      <groupName>字词问题</groupName>
      <ability>L2_Typo</ability>
      <abilityName>字词错误</abilityName>
      <candidateList>
        <item>的具体</item>
      </candidateList>
      <explain/>
      <paraID> 33466DD</paraID>
      <start>16</start>
      <end>18</end>
      <status>unmodified</status>
      <modifiedWord/>
      <trackRevisions>false</trackRevisions>
    </reviewItem>
    <reviewItem>
      <errorID>97f67f7b-f03a-4a97-8e33-dde45c0a008d</errorID>
      <errorWord>查询</errorWord>
      <group>L1_Word</group>
      <groupName>字词问题</groupName>
      <ability>L2_Typo</ability>
      <abilityName>字词错误</abilityName>
      <candidateList>
        <item>将查询</item>
      </candidateList>
      <explain/>
      <paraID> 33466DD</paraID>
      <start>21</start>
      <end>23</end>
      <status>unmodified</status>
      <modifiedWord/>
      <trackRevisions>false</trackRevisions>
    </reviewItem>
    <reviewItem>
      <errorID>22b11448-4c00-4ce6-96bd-c780942ad1be</errorID>
      <errorWord>【2022】17号</errorWord>
      <group>L1_Knowledge</group>
      <groupName>知识性问题</groupName>
      <ability>L2_Knowledge</ability>
      <abilityName>其他知识</abilityName>
      <candidateList>
        <item>〔2022〕17号</item>
      </candidateList>
      <explain>发文字号格式错误。</explain>
      <paraID>250994E7</paraID>
      <start>37</start>
      <end>46</end>
      <status>unmodified</status>
      <modifiedWord/>
      <trackRevisions>false</trackRevisions>
    </reviewItem>
    <reviewItem>
      <errorID>4d5f8a94-05e2-4e0b-b0a5-be64a8174966</errorID>
      <errorWord>评标评标</errorWord>
      <group>L1_Word</group>
      <groupName>字词问题</groupName>
      <ability>L2_Typo</ability>
      <abilityName>字词错误</abilityName>
      <candidateList>
        <item>评标</item>
      </candidateList>
      <explain/>
      <paraID>7B0715B1</paraID>
      <start>19</start>
      <end>23</end>
      <status>unmodified</status>
      <modifiedWord/>
      <trackRevisions>false</trackRevisions>
    </reviewItem>
    <reviewItem>
      <errorID>91284f5a-f1a3-47c7-a57f-0c0d0e58a42c</errorID>
      <errorWord>限价的</errorWord>
      <group>L1_Word</group>
      <groupName>字词问题</groupName>
      <ability>L2_Typo</ability>
      <abilityName>字词错误</abilityName>
      <candidateList>
        <item>限价</item>
      </candidateList>
      <explain/>
      <paraID>1B5D79FE</paraID>
      <start>20</start>
      <end>23</end>
      <status>unmodified</status>
      <modifiedWord/>
      <trackRevisions>false</trackRevisions>
    </reviewItem>
    <reviewItem>
      <errorID>78062b11-698e-472a-bbf9-510c65d504ca</errorID>
      <errorWord>法律、法规</errorWord>
      <group>L1_Word</group>
      <groupName>字词问题</groupName>
      <ability>L2_Typo</ability>
      <abilityName>字词错误</abilityName>
      <candidateList>
        <item>法律法规</item>
      </candidateList>
      <explain/>
      <paraID>2341B2B9</paraID>
      <start>6</start>
      <end>11</end>
      <status>unmodified</status>
      <modifiedWord/>
      <trackRevisions>false</trackRevisions>
    </reviewItem>
    <reviewItem>
      <errorID>927924f9-032f-43c4-940d-9b8140c09fef</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 DD6A6F7</paraID>
      <start>18</start>
      <end>25</end>
      <status>unmodified</status>
      <modifiedWord/>
      <trackRevisions>false</trackRevisions>
    </reviewItem>
    <reviewItem>
      <errorID>9f682c65-9cb9-40c5-b1e6-abbdfdc21380</errorID>
      <errorWord> ％</errorWord>
      <group>L1_Word</group>
      <groupName>字词问题</groupName>
      <ability>L2_Typo</ability>
      <abilityName>字词错误</abilityName>
      <candidateList>
        <item>%</item>
      </candidateList>
      <explain/>
      <paraID> DD6A6F7</paraID>
      <start>55</start>
      <end>57</end>
      <status>unmodified</status>
      <modifiedWord/>
      <trackRevisions>false</trackRevisions>
    </reviewItem>
    <reviewItem>
      <errorID>91347974-a4f9-418a-9e52-5b729926bcb6</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52449EF7</paraID>
      <start>7</start>
      <end>12</end>
      <status>unmodified</status>
      <modifiedWord/>
      <trackRevisions>false</trackRevisions>
    </reviewItem>
    <reviewItem>
      <errorID>7d719a7b-52e5-481a-b03c-d7e2dd55cd63</errorID>
      <errorWord> ％</errorWord>
      <group>L1_Word</group>
      <groupName>字词问题</groupName>
      <ability>L2_Typo</ability>
      <abilityName>字词错误</abilityName>
      <candidateList>
        <item>%</item>
      </candidateList>
      <explain/>
      <paraID>52449EF7</paraID>
      <start>43</start>
      <end>45</end>
      <status>unmodified</status>
      <modifiedWord/>
      <trackRevisions>false</trackRevisions>
    </reviewItem>
    <reviewItem>
      <errorID>09504e42-bf46-444a-88a0-4b028fb6cdf3</errorID>
      <errorWord>采购非</errorWord>
      <group>L1_Word</group>
      <groupName>字词问题</groupName>
      <ability>L2_Typo</ability>
      <abilityName>字词错误</abilityName>
      <candidateList>
        <item>采购</item>
      </candidateList>
      <explain/>
      <paraID>4D5E5BEA</paraID>
      <start>8</start>
      <end>11</end>
      <status>unmodified</status>
      <modifiedWord/>
      <trackRevisions>false</trackRevisions>
    </reviewItem>
    <reviewItem>
      <errorID>32e72090-191a-4108-99f4-3b20aae520cd</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3E6987AC</paraID>
      <start>16</start>
      <end>22</end>
      <status>unmodified</status>
      <modifiedWord/>
      <trackRevisions>false</trackRevisions>
    </reviewItem>
    <reviewItem>
      <errorID>2431dd91-781c-4ec7-a70a-8b5b8f059997</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7B52F016</paraID>
      <start>29</start>
      <end>34</end>
      <status>unmodified</status>
      <modifiedWord/>
      <trackRevisions>false</trackRevisions>
    </reviewItem>
    <reviewItem>
      <errorID>9fcd5de0-7af0-4cf2-b41a-23d3c4a8f97b</errorID>
      <errorWord>5%-10%</errorWord>
      <group>L1_Knowledge</group>
      <groupName>知识性问题</groupName>
      <ability>L2_Knowledge</ability>
      <abilityName>其他知识</abilityName>
      <candidateList>
        <item>5%—10%</item>
      </candidateList>
      <explain>1. “5%-10%”中的单位“%”仅出现在后一个数字上，容易引起歧义；根据《现代汉语标点符号数字用法规范手册》，数字表示范围两边需要使用统一的格式。2. 根据标点国标 4.13 中的规则，数字、时间或地域连接符应使用（视觉上更长的）“—”或“～”。</explain>
      <paraID>21229745</paraID>
      <start>16</start>
      <end>22</end>
      <status>unmodified</status>
      <modifiedWord/>
      <trackRevisions>false</trackRevisions>
    </reviewItem>
    <reviewItem>
      <errorID>f3c33d8f-8cf9-4e16-96d7-736698c97e05</errorID>
      <errorWord>4%-8%</errorWord>
      <group>L1_Knowledge</group>
      <groupName>知识性问题</groupName>
      <ability>L2_Knowledge</ability>
      <abilityName>其他知识</abilityName>
      <candidateList>
        <item>4%—8%</item>
      </candidateList>
      <explain>1. “4%-8%”中的单位“%”仅出现在后一个数字上，容易引起歧义；根据《现代汉语标点符号数字用法规范手册》，数字表示范围两边需要使用统一的格式。2. 根据标点国标 4.13 中的规则，数字、时间或地域连接符应使用（视觉上更长的）“—”或“～”。</explain>
      <paraID>414A5EEC</paraID>
      <start>29</start>
      <end>34</end>
      <status>unmodified</status>
      <modifiedWord/>
      <trackRevisions>false</trackRevisions>
    </reviewItem>
    <reviewItem>
      <errorID>fe166fd6-95eb-4365-a633-87140feb2646</errorID>
      <errorWord>具备提供</errorWord>
      <group>L1_Word</group>
      <groupName>字词问题</groupName>
      <ability>L2_Typo</ability>
      <abilityName>字词错误</abilityName>
      <candidateList>
        <item>应具备</item>
      </candidateList>
      <explain/>
      <paraID>6FC8C15C</paraID>
      <start>10</start>
      <end>14</end>
      <status>unmodified</status>
      <modifiedWord/>
      <trackRevisions>false</trackRevisions>
    </reviewItem>
    <reviewItem>
      <errorID>9010d22c-1d0f-476f-9fca-ad7aefa79843</errorID>
      <errorWord>评</errorWord>
      <group>L1_Word</group>
      <groupName>字词问题</groupName>
      <ability>L2_Typo</ability>
      <abilityName>字词错误</abilityName>
      <candidateList>
        <item> 评</item>
      </candidateList>
      <explain/>
      <paraID> 430B372</paraID>
      <start>3</start>
      <end>4</end>
      <status>unmodified</status>
      <modifiedWord/>
      <trackRevisions>false</trackRevisions>
    </reviewItem>
    <reviewItem>
      <errorID>06d1830a-165d-4cde-a07c-c04462968904</errorID>
      <errorWord>指</errorWord>
      <group>L1_Word</group>
      <groupName>字词问题</groupName>
      <ability>L2_Typo</ability>
      <abilityName>字词错误</abilityName>
      <candidateList>
        <item>是指</item>
      </candidateList>
      <explain/>
      <paraID> 430B372</paraID>
      <start>14</start>
      <end>15</end>
      <status>unmodified</status>
      <modifiedWord/>
      <trackRevisions>false</trackRevisions>
    </reviewItem>
    <reviewItem>
      <errorID>6074d875-95c3-4720-a8ed-223e5e508333</errorID>
      <errorWord>评</errorWord>
      <group>L1_Word</group>
      <groupName>字词问题</groupName>
      <ability>L2_Typo</ability>
      <abilityName>字词错误</abilityName>
      <candidateList>
        <item> 评</item>
      </candidateList>
      <explain/>
      <paraID>51C3A305</paraID>
      <start>3</start>
      <end>4</end>
      <status>unmodified</status>
      <modifiedWord/>
      <trackRevisions>false</trackRevisions>
    </reviewItem>
    <reviewItem>
      <errorID>03c5ec61-c80c-4939-9d3b-68f7bca5ecb8</errorID>
      <errorWord>评</errorWord>
      <group>L1_Word</group>
      <groupName>字词问题</groupName>
      <ability>L2_Typo</ability>
      <abilityName>字词错误</abilityName>
      <candidateList>
        <item> 评</item>
      </candidateList>
      <explain/>
      <paraID>27248DE5</paraID>
      <start>3</start>
      <end>4</end>
      <status>unmodified</status>
      <modifiedWord/>
      <trackRevisions>false</trackRevisions>
    </reviewItem>
    <reviewItem>
      <errorID>b0a3caf8-a56e-4c69-bd36-0377b99ae6d7</errorID>
      <errorWord>不</errorWord>
      <group>L1_Word</group>
      <groupName>字词问题</groupName>
      <ability>L2_Typo</ability>
      <abilityName>字词错误</abilityName>
      <candidateList>
        <item>不符</item>
      </candidateList>
      <explain/>
      <paraID>7422CA65</paraID>
      <start>15</start>
      <end>16</end>
      <status>unmodified</status>
      <modifiedWord/>
      <trackRevisions>false</trackRevisions>
    </reviewItem>
    <reviewItem>
      <errorID>8c222738-170c-4629-b437-cc9881480eb6</errorID>
      <errorWord>投标人</errorWord>
      <group>L1_Word</group>
      <groupName>字词问题</groupName>
      <ability>L2_Typo</ability>
      <abilityName>字词错误</abilityName>
      <candidateList>
        <item> 投标人</item>
      </candidateList>
      <explain/>
      <paraID>55AC2F93</paraID>
      <start>3</start>
      <end>6</end>
      <status>unmodified</status>
      <modifiedWord/>
      <trackRevisions>false</trackRevisions>
    </reviewItem>
    <reviewItem>
      <errorID>8625f818-7bc8-497f-b62c-b65bc32d9e18</errorID>
      <errorWord>法律、法规</errorWord>
      <group>L1_Word</group>
      <groupName>字词问题</groupName>
      <ability>L2_Typo</ability>
      <abilityName>字词错误</abilityName>
      <candidateList>
        <item>法律法规</item>
      </candidateList>
      <explain/>
      <paraID>6A63361B</paraID>
      <start>3</start>
      <end>8</end>
      <status>unmodified</status>
      <modifiedWord/>
      <trackRevisions>false</trackRevisions>
    </reviewItem>
    <reviewItem>
      <errorID>318e2ca9-8725-4e2d-bc7e-21d85971dd42</errorID>
      <errorWord>在</errorWord>
      <group>L1_Word</group>
      <groupName>字词问题</groupName>
      <ability>L2_Typo</ability>
      <abilityName>字词错误</abilityName>
      <candidateList>
        <item> 在</item>
      </candidateList>
      <explain/>
      <paraID>68E21DD4</paraID>
      <start>3</start>
      <end>4</end>
      <status>unmodified</status>
      <modifiedWord/>
      <trackRevisions>false</trackRevisions>
    </reviewItem>
    <reviewItem>
      <errorID>521134ba-81c5-462a-ba4a-b993b335e7b3</errorID>
      <errorWord>对于</errorWord>
      <group>L1_Word</group>
      <groupName>字词问题</groupName>
      <ability>L2_Typo</ability>
      <abilityName>字词错误</abilityName>
      <candidateList>
        <item> 对于</item>
      </candidateList>
      <explain/>
      <paraID> B7E85FF</paraID>
      <start>3</start>
      <end>5</end>
      <status>unmodified</status>
      <modifiedWord/>
      <trackRevisions>false</trackRevisions>
    </reviewItem>
    <reviewItem>
      <errorID>5ad7100d-5d1a-4979-8efa-9f8857fc3ca6</errorID>
      <errorWord>投标</errorWord>
      <group>L1_Word</group>
      <groupName>字词问题</groupName>
      <ability>L2_Typo</ability>
      <abilityName>字词错误</abilityName>
      <candidateList>
        <item> 投标</item>
      </candidateList>
      <explain/>
      <paraID>702EC4C6</paraID>
      <start>3</start>
      <end>5</end>
      <status>unmodified</status>
      <modifiedWord/>
      <trackRevisions>false</trackRevisions>
    </reviewItem>
    <reviewItem>
      <errorID>a39e5954-108a-46a2-8b6b-6e019e4d6022</errorID>
      <errorWord>投标</errorWord>
      <group>L1_Word</group>
      <groupName>字词问题</groupName>
      <ability>L2_Typo</ability>
      <abilityName>字词错误</abilityName>
      <candidateList>
        <item> 投标</item>
      </candidateList>
      <explain/>
      <paraID>724A594B</paraID>
      <start>3</start>
      <end>5</end>
      <status>unmodified</status>
      <modifiedWord/>
      <trackRevisions>false</trackRevisions>
    </reviewItem>
    <reviewItem>
      <errorID>e4585bce-bb09-413c-a099-73f8873f06ae</errorID>
      <errorWord>位</errorWord>
      <group>L1_Word</group>
      <groupName>字词问题</groupName>
      <ability>L2_Typo</ability>
      <abilityName>字词错误</abilityName>
      <candidateList>
        <item>位公</item>
      </candidateList>
      <explain/>
      <paraID>724A594B</paraID>
      <start>53</start>
      <end>54</end>
      <status>unmodified</status>
      <modifiedWord/>
      <trackRevisions>false</trackRevisions>
    </reviewItem>
    <reviewItem>
      <errorID>e8708600-887d-4eca-97cf-f8f401a84a0a</errorID>
      <errorWord>投标人</errorWord>
      <group>L1_Word</group>
      <groupName>字词问题</groupName>
      <ability>L2_Typo</ability>
      <abilityName>字词错误</abilityName>
      <candidateList>
        <item> 投标人</item>
      </candidateList>
      <explain/>
      <paraID>2CC1D243</paraID>
      <start>3</start>
      <end>6</end>
      <status>unmodified</status>
      <modifiedWord/>
      <trackRevisions>false</trackRevisions>
    </reviewItem>
    <reviewItem>
      <errorID>3498b048-ce70-43a9-970b-b458ee73f74b</errorID>
      <errorWord>有效</errorWord>
      <group>L1_Word</group>
      <groupName>字词问题</groupName>
      <ability>L2_Typo</ability>
      <abilityName>字词错误</abilityName>
      <candidateList>
        <item> 有效</item>
      </candidateList>
      <explain/>
      <paraID>6A72480C</paraID>
      <start>3</start>
      <end>5</end>
      <status>unmodified</status>
      <modifiedWord/>
      <trackRevisions>false</trackRevisions>
    </reviewItem>
    <reviewItem>
      <errorID>6a1689a5-dada-4c6d-81e3-40f2488194fa</errorID>
      <errorWord>评</errorWord>
      <group>L1_Word</group>
      <groupName>字词问题</groupName>
      <ability>L2_Typo</ability>
      <abilityName>字词错误</abilityName>
      <candidateList>
        <item> 评</item>
      </candidateList>
      <explain/>
      <paraID>59521E96</paraID>
      <start>3</start>
      <end>4</end>
      <status>unmodified</status>
      <modifiedWord/>
      <trackRevisions>false</trackRevisions>
    </reviewItem>
    <reviewItem>
      <errorID>e4e4023d-4c31-4a69-b7f7-d73de6f01df5</errorID>
      <errorWord>评</errorWord>
      <group>L1_Word</group>
      <groupName>字词问题</groupName>
      <ability>L2_Typo</ability>
      <abilityName>字词错误</abilityName>
      <candidateList>
        <item> 评</item>
      </candidateList>
      <explain/>
      <paraID>48BFAF13</paraID>
      <start>3</start>
      <end>4</end>
      <status>unmodified</status>
      <modifiedWord/>
      <trackRevisions>false</trackRevisions>
    </reviewItem>
    <reviewItem>
      <errorID>363b015f-18cf-4d7e-8bf3-954afff680a0</errorID>
      <errorWord>投标</errorWord>
      <group>L1_Word</group>
      <groupName>字词问题</groupName>
      <ability>L2_Typo</ability>
      <abilityName>字词错误</abilityName>
      <candidateList>
        <item> 投标</item>
      </candidateList>
      <explain/>
      <paraID>66CEDAC2</paraID>
      <start>3</start>
      <end>5</end>
      <status>unmodified</status>
      <modifiedWord/>
      <trackRevisions>false</trackRevisions>
    </reviewItem>
    <reviewItem>
      <errorID>e5683d7c-cd82-4d7a-9afa-61be7da458e8</errorID>
      <errorWord>投标</errorWord>
      <group>L1_Word</group>
      <groupName>字词问题</groupName>
      <ability>L2_Typo</ability>
      <abilityName>字词错误</abilityName>
      <candidateList>
        <item> 投标</item>
      </candidateList>
      <explain/>
      <paraID>3C7345E0</paraID>
      <start>3</start>
      <end>5</end>
      <status>unmodified</status>
      <modifiedWord/>
      <trackRevisions>false</trackRevisions>
    </reviewItem>
    <reviewItem>
      <errorID>5aedc57c-209a-4d6c-bf43-574aa874b23e</errorID>
      <errorWord>技术</errorWord>
      <group>L1_Word</group>
      <groupName>字词问题</groupName>
      <ability>L2_Typo</ability>
      <abilityName>字词错误</abilityName>
      <candidateList>
        <item> 技术</item>
      </candidateList>
      <explain/>
      <paraID>60003B47</paraID>
      <start>3</start>
      <end>5</end>
      <status>unmodified</status>
      <modifiedWord/>
      <trackRevisions>false</trackRevisions>
    </reviewItem>
    <reviewItem>
      <errorID>13d23445-4afc-49a9-a3ad-86fe0707c29b</errorID>
      <errorWord>评</errorWord>
      <group>L1_Word</group>
      <groupName>字词问题</groupName>
      <ability>L2_Typo</ability>
      <abilityName>字词错误</abilityName>
      <candidateList>
        <item> 评</item>
      </candidateList>
      <explain/>
      <paraID>19F622CB</paraID>
      <start>3</start>
      <end>4</end>
      <status>unmodified</status>
      <modifiedWord/>
      <trackRevisions>false</trackRevisions>
    </reviewItem>
    <reviewItem>
      <errorID>bd8e951a-5e2e-4628-9553-19833a92e535</errorID>
      <errorWord>中文翻释</errorWord>
      <group>L1_Word</group>
      <groupName>字词问题</groupName>
      <ability>L2_Typo</ability>
      <abilityName>字词错误</abilityName>
      <candidateList>
        <item>中文翻译</item>
      </candidateList>
      <explain/>
      <paraID>69165884</paraID>
      <start>28</start>
      <end>32</end>
      <status>unmodified</status>
      <modifiedWord/>
      <trackRevisions>false</trackRevisions>
    </reviewItem>
    <reviewItem>
      <errorID>4ac8f707-df27-482b-acb3-82e3ab071d39</errorID>
      <errorWord>一但</errorWord>
      <group>L1_Word</group>
      <groupName>字词问题</groupName>
      <ability>L2_Typo</ability>
      <abilityName>字词错误</abilityName>
      <candidateList>
        <item>一旦</item>
      </candidateList>
      <explain>❶〈名〉一天之间（形容时间短）：毁于～。❷〈副〉指不确定的时间，表示有一天。a）用于已然，表示“忽然有一天”：相处三年，～离别，怎么能不想念呢？b）用于未然，表示“要是有一天”：理论～为群众所掌握，就会产生巨大的物质力量。</explain>
      <paraID>7BA90A44</paraID>
      <start>45</start>
      <end>47</end>
      <status>unmodified</status>
      <modifiedWord/>
      <trackRevisions>false</trackRevisions>
    </reviewItem>
    <reviewItem>
      <errorID>1dd0de9a-52dd-40f0-a313-0712d7877e1d</errorID>
      <errorWord>谋取</errorWord>
      <group>L1_Word</group>
      <groupName>字词问题</groupName>
      <ability>L2_Typo</ability>
      <abilityName>字词错误</abilityName>
      <candidateList>
        <item>牟取</item>
      </candidateList>
      <explain/>
      <paraID>7BA90A44</paraID>
      <start>55</start>
      <end>57</end>
      <status>unmodified</status>
      <modifiedWord/>
      <trackRevisions>false</trackRevisions>
    </reviewItem>
    <reviewItem>
      <errorID>bb94dd25-6ceb-415e-9ed2-80adb51d2ba2</errorID>
      <errorWord>英寸</errorWord>
      <group>L1_Knowledge</group>
      <groupName>知识性问题</groupName>
      <ability>L2_Unit</ability>
      <abilityName>计量单位</abilityName>
      <candidateList/>
      <explain>英制单位属非法定计量单位。</explain>
      <paraID>425CC40D</paraID>
      <start>9</start>
      <end>11</end>
      <status>unmodified</status>
      <modifiedWord/>
      <trackRevisions>false</trackRevisions>
    </reviewItem>
    <reviewItem>
      <errorID>5112e7fa-0260-4cee-bec9-62da8f264f08</errorID>
      <errorWord>英寸</errorWord>
      <group>L1_Knowledge</group>
      <groupName>知识性问题</groupName>
      <ability>L2_Unit</ability>
      <abilityName>计量单位</abilityName>
      <candidateList/>
      <explain>英制单位属非法定计量单位。</explain>
      <paraID>4109DDAF</paraID>
      <start>11</start>
      <end>13</end>
      <status>unmodified</status>
      <modifiedWord/>
      <trackRevisions>false</trackRevisions>
    </reviewItem>
    <reviewItem>
      <errorID>b7586ef5-cf58-479a-b65e-72a8140975e5</errorID>
      <errorWord>具有有</errorWord>
      <group>L1_Word</group>
      <groupName>字词问题</groupName>
      <ability>L2_Typo</ability>
      <abilityName>字词错误</abilityName>
      <candidateList>
        <item>具有</item>
      </candidateList>
      <explain>〈动〉有（多用于抽象事物）：～信心｜～伟大的意义。</explain>
      <paraID>7337F6E4</paraID>
      <start>2</start>
      <end>5</end>
      <status>unmodified</status>
      <modifiedWord/>
      <trackRevisions>false</trackRevisions>
    </reviewItem>
    <reviewItem>
      <errorID>ae1ac6cd-bc3e-4c52-86ca-61287a410fc2</errorID>
      <errorWord>1-85%</errorWord>
      <group>L1_Knowledge</group>
      <groupName>知识性问题</groupName>
      <ability>L2_Knowledge</ability>
      <abilityName>其他知识</abilityName>
      <candidateList>
        <item>1%—85%</item>
      </candidateList>
      <explain>1. “1-85%”中的单位“%”仅出现在后一个数字上，容易引起歧义；根据《现代汉语标点符号数字用法规范手册》，数字表示范围两边需要使用统一的格式。2. 根据标点国标 4.13 中的规则，数字、时间或地域连接符应使用（视觉上更长的）“—”或“～”。</explain>
      <paraID>23DDF113</paraID>
      <start>16</start>
      <end>21</end>
      <status>unmodified</status>
      <modifiedWord/>
      <trackRevisions>false</trackRevisions>
    </reviewItem>
    <reviewItem>
      <errorID>284e4b6d-9d1d-48e9-bfa3-aa0359118101</errorID>
      <errorWord>成入</errorWord>
      <group>L1_Word</group>
      <groupName>字词问题</groupName>
      <ability>L2_Typo</ability>
      <abilityName>字词错误</abilityName>
      <candidateList>
        <item>成人</item>
      </candidateList>
      <explain/>
      <paraID>401D34A4</paraID>
      <start>7</start>
      <end>9</end>
      <status>unmodified</status>
      <modifiedWord/>
      <trackRevisions>false</trackRevisions>
    </reviewItem>
    <reviewItem>
      <errorID>b6ace60b-aafb-4e81-ba74-dbfb9fd050ad</errorID>
      <errorWord>英寸</errorWord>
      <group>L1_Knowledge</group>
      <groupName>知识性问题</groupName>
      <ability>L2_Unit</ability>
      <abilityName>计量单位</abilityName>
      <candidateList/>
      <explain>英制单位属非法定计量单位。</explain>
      <paraID>24C48DD5</paraID>
      <start>12</start>
      <end>14</end>
      <status>unmodified</status>
      <modifiedWord/>
      <trackRevisions>false</trackRevisions>
    </reviewItem>
    <reviewItem>
      <errorID>666ef212-d03b-4ca2-b953-d9a14ac49c3e</errorID>
      <errorWord>具有有</errorWord>
      <group>L1_Word</group>
      <groupName>字词问题</groupName>
      <ability>L2_Typo</ability>
      <abilityName>字词错误</abilityName>
      <candidateList>
        <item>具有</item>
      </candidateList>
      <explain>〈动〉有（多用于抽象事物）：～信心｜～伟大的意义。</explain>
      <paraID>66DE9287</paraID>
      <start>3</start>
      <end>6</end>
      <status>unmodified</status>
      <modifiedWord/>
      <trackRevisions>false</trackRevisions>
    </reviewItem>
    <reviewItem>
      <errorID>4da0911f-cbf5-4575-b029-36d25a703209</errorID>
      <errorWord>1-85%</errorWord>
      <group>L1_Knowledge</group>
      <groupName>知识性问题</groupName>
      <ability>L2_Knowledge</ability>
      <abilityName>其他知识</abilityName>
      <candidateList>
        <item>1%—85%</item>
      </candidateList>
      <explain>1. “1-85%”中的单位“%”仅出现在后一个数字上，容易引起歧义；根据《现代汉语标点符号数字用法规范手册》，数字表示范围两边需要使用统一的格式。2. 根据标点国标 4.13 中的规则，数字、时间或地域连接符应使用（视觉上更长的）“—”或“～”。</explain>
      <paraID>438DF229</paraID>
      <start>29</start>
      <end>34</end>
      <status>unmodified</status>
      <modifiedWord/>
      <trackRevisions>false</trackRevisions>
    </reviewItem>
    <reviewItem>
      <errorID>2d61e1b7-1848-43ed-a7d5-821b585e8f98</errorID>
      <errorWord>25-350%</errorWord>
      <group>L1_Knowledge</group>
      <groupName>知识性问题</groupName>
      <ability>L2_Knowledge</ability>
      <abilityName>其他知识</abilityName>
      <candidateList>
        <item>25%—350%</item>
      </candidateList>
      <explain>1. “25-350%”中的单位“%”仅出现在后一个数字上，容易引起歧义；根据《现代汉语标点符号数字用法规范手册》，数字表示范围两边需要使用统一的格式。2. 根据标点国标 4.13 中的规则，数字、时间或地域连接符应使用（视觉上更长的）“—”或“～”。</explain>
      <paraID> 204A01C</paraID>
      <start>27</start>
      <end>34</end>
      <status>unmodified</status>
      <modifiedWord/>
      <trackRevisions>false</trackRevisions>
    </reviewItem>
    <reviewItem>
      <errorID>a334464d-3bc9-4c8f-ac31-866ed7eacb9b</errorID>
      <errorWord>选</errorWord>
      <group>L1_Word</group>
      <groupName>字词问题</groupName>
      <ability>L2_Typo</ability>
      <abilityName>字词错误</abilityName>
      <candidateList>
        <item>选择</item>
      </candidateList>
      <explain>〈动〉挑选：～对象｜～地点。</explain>
      <paraID>703DB754</paraID>
      <start>50</start>
      <end>51</end>
      <status>unmodified</status>
      <modifiedWord/>
      <trackRevisions>false</trackRevisions>
    </reviewItem>
    <reviewItem>
      <errorID>1c639df9-01f0-438b-88f8-a3d9e59bc808</errorID>
      <errorWord>WIFI</errorWord>
      <group>L1_Word</group>
      <groupName>字词问题</groupName>
      <ability>L2_Typo</ability>
      <abilityName>字词错误</abilityName>
      <candidateList>
        <item>Wi-Fi</item>
      </candidateList>
      <explain/>
      <paraID>77F0447C</paraID>
      <start>40</start>
      <end>44</end>
      <status>unmodified</status>
      <modifiedWord/>
      <trackRevisions>false</trackRevisions>
    </reviewItem>
    <reviewItem>
      <errorID>f7f15238-7051-4b9f-a833-970b70998e74</errorID>
      <errorWord>英寸</errorWord>
      <group>L1_Knowledge</group>
      <groupName>知识性问题</groupName>
      <ability>L2_Unit</ability>
      <abilityName>计量单位</abilityName>
      <candidateList/>
      <explain>英制单位属非法定计量单位。</explain>
      <paraID>206BD69D</paraID>
      <start>15</start>
      <end>17</end>
      <status>unmodified</status>
      <modifiedWord/>
      <trackRevisions>false</trackRevisions>
    </reviewItem>
    <reviewItem>
      <errorID>dc772184-5186-425a-90e9-5e0d8262e0cf</errorID>
      <errorWord>，</errorWord>
      <group>L1_Word</group>
      <groupName>字词问题</groupName>
      <ability>L2_Typo</ability>
      <abilityName>字词错误</abilityName>
      <candidateList>
        <item>，具</item>
      </candidateList>
      <explain/>
      <paraID>206BD69D</paraID>
      <start>42</start>
      <end>43</end>
      <status>unmodified</status>
      <modifiedWord/>
      <trackRevisions>false</trackRevisions>
    </reviewItem>
    <reviewItem>
      <errorID>e7761526-56b5-4118-afe0-71df936a071f</errorID>
      <errorWord>心脏骤停</errorWord>
      <group>L1_Knowledge</group>
      <groupName>知识性问题</groupName>
      <ability>L2_Term</ability>
      <abilityName>专业术语</abilityName>
      <candidateList>
        <item>心搏骤停</item>
      </candidateList>
      <explain>医学名词[心脏骤停]为不规范表述或旧称，其规范书面表述为[心搏骤停]。</explain>
      <paraID> 1AC0BA5</paraID>
      <start>8</start>
      <end>12</end>
      <status>unmodified</status>
      <modifiedWord/>
      <trackRevisions>false</trackRevisions>
    </reviewItem>
    <reviewItem>
      <errorID>af949faf-6d31-41a9-87b3-918f859ff3fe</errorID>
      <errorWord>英寸</errorWord>
      <group>L1_Knowledge</group>
      <groupName>知识性问题</groupName>
      <ability>L2_Unit</ability>
      <abilityName>计量单位</abilityName>
      <candidateList/>
      <explain>英制单位属非法定计量单位。</explain>
      <paraID>102F770B</paraID>
      <start>18</start>
      <end>20</end>
      <status>unmodified</status>
      <modifiedWord/>
      <trackRevisions>false</trackRevisions>
    </reviewItem>
    <reviewItem>
      <errorID>9adcf30c-3b4a-4ca9-9e9c-2fe9659161e9</errorID>
      <errorWord>英寸</errorWord>
      <group>L1_Knowledge</group>
      <groupName>知识性问题</groupName>
      <ability>L2_Unit</ability>
      <abilityName>计量单位</abilityName>
      <candidateList/>
      <explain>英制单位属非法定计量单位。</explain>
      <paraID>3051D15D</paraID>
      <start>12</start>
      <end>14</end>
      <status>unmodified</status>
      <modifiedWord/>
      <trackRevisions>false</trackRevisions>
    </reviewItem>
    <reviewItem>
      <errorID>8c44a028-b33c-4775-ae0d-4c463427fa22</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33DA5DE6</paraID>
      <start>3</start>
      <end>4</end>
      <status>unmodified</status>
      <modifiedWord/>
      <trackRevisions>false</trackRevisions>
    </reviewItem>
    <reviewItem>
      <errorID>d6680fc5-20f4-42e9-8ebb-1c21cbc722e2</errorID>
      <errorWord>噪音</errorWord>
      <group>L1_Word</group>
      <groupName>字词问题</groupName>
      <ability>L2_Alias</ability>
      <abilityName>也作/曾用词</abilityName>
      <candidateList>
        <item>噪声</item>
      </candidateList>
      <explain>词汇[噪音]为不规范表述或旧称，其规范书面表述为[噪声]。</explain>
      <paraID>2D7E2AB0</paraID>
      <start>23</start>
      <end>25</end>
      <status>unmodified</status>
      <modifiedWord/>
      <trackRevisions>false</trackRevisions>
    </reviewItem>
    <reviewItem>
      <errorID>f7e9bdef-89e1-465b-b65d-99c3ebf6261c</errorID>
      <errorWord>英寸</errorWord>
      <group>L1_Knowledge</group>
      <groupName>知识性问题</groupName>
      <ability>L2_Unit</ability>
      <abilityName>计量单位</abilityName>
      <candidateList/>
      <explain>英制单位属非法定计量单位。</explain>
      <paraID>493E659C</paraID>
      <start>8</start>
      <end>10</end>
      <status>unmodified</status>
      <modifiedWord/>
      <trackRevisions>false</trackRevisions>
    </reviewItem>
    <reviewItem>
      <errorID>95a30734-5638-4444-a430-551de768e310</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7B46B5C9</paraID>
      <start>10</start>
      <end>17</end>
      <status>unmodified</status>
      <modifiedWord/>
      <trackRevisions>false</trackRevisions>
    </reviewItem>
    <reviewItem>
      <errorID>0df5596e-1f3c-43d0-99c6-a63e38ce4527</errorID>
      <errorWord>0.05-20%</errorWord>
      <group>L1_Knowledge</group>
      <groupName>知识性问题</groupName>
      <ability>L2_Knowledge</ability>
      <abilityName>其他知识</abilityName>
      <candidateList>
        <item>0.05%—20%</item>
      </candidateList>
      <explain>1. “0.05-20%”中的单位“%”仅出现在后一个数字上，容易引起歧义；根据《现代汉语标点符号数字用法规范手册》，数字表示范围两边需要使用统一的格式。2. 根据标点国标 4.13 中的规则，数字、时间或地域连接符应使用（视觉上更长的）“—”或“～”。</explain>
      <paraID>7AF353C1</paraID>
      <start>40</start>
      <end>48</end>
      <status>unmodified</status>
      <modifiedWord/>
      <trackRevisions>false</trackRevisions>
    </reviewItem>
    <reviewItem>
      <errorID>d1c4e4e9-b82d-4e9d-a0b6-036a94b93376</errorID>
      <errorWord>噪音</errorWord>
      <group>L1_Word</group>
      <groupName>字词问题</groupName>
      <ability>L2_Alias</ability>
      <abilityName>也作/曾用词</abilityName>
      <candidateList>
        <item>噪声</item>
      </candidateList>
      <explain>词汇[噪音]为不规范表述或旧称，其规范书面表述为[噪声]。</explain>
      <paraID>161D1A30</paraID>
      <start>23</start>
      <end>25</end>
      <status>unmodified</status>
      <modifiedWord/>
      <trackRevisions>false</trackRevisions>
    </reviewItem>
    <reviewItem>
      <errorID>6ad8e5a9-e7a9-437a-9677-aa7fcd0c4e79</errorID>
      <errorWord>英寸</errorWord>
      <group>L1_Knowledge</group>
      <groupName>知识性问题</groupName>
      <ability>L2_Unit</ability>
      <abilityName>计量单位</abilityName>
      <candidateList/>
      <explain>英制单位属非法定计量单位。</explain>
      <paraID>25F2DDD9</paraID>
      <start>7</start>
      <end>9</end>
      <status>unmodified</status>
      <modifiedWord/>
      <trackRevisions>false</trackRevisions>
    </reviewItem>
    <reviewItem>
      <errorID>fbe2a38f-a162-4ba2-b114-66eaa2244693</errorID>
      <errorWord>脉博</errorWord>
      <group>L1_Word</group>
      <groupName>字词问题</groupName>
      <ability>L2_Typo</ability>
      <abilityName>字词错误</abilityName>
      <candidateList>
        <item>脉搏</item>
      </candidateList>
      <explain>〈名〉❶心脏收缩时，由于输出血液的冲击引起的动脉的跳动。医生可根据脉搏来诊断疾病。❷比喻社会、生活等发展、变化的情况或趋势：时代的～｜把握生活的～。</explain>
      <paraID>624FE288</paraID>
      <start>10</start>
      <end>12</end>
      <status>unmodified</status>
      <modifiedWord/>
      <trackRevisions>false</trackRevisions>
    </reviewItem>
    <reviewItem>
      <errorID>28f7a67e-cc28-452f-b28a-5d8deb7e162c</errorID>
      <errorWord>db</errorWord>
      <group>L1_Knowledge</group>
      <groupName>知识性问题</groupName>
      <ability>L2_Unit</ability>
      <abilityName>计量单位</abilityName>
      <candidateList>
        <item>dB</item>
      </candidateList>
      <explain>不规范的计量单位表示符号书写方式。</explain>
      <paraID>5324D81D</paraID>
      <start>13</start>
      <end>15</end>
      <status>unmodified</status>
      <modifiedWord/>
      <trackRevisions>false</trackRevisions>
    </reviewItem>
    <reviewItem>
      <errorID>0432937e-3c6c-4806-a7a9-84dfdbf2a308</errorID>
      <errorWord>0%-100%</errorWord>
      <group>L1_Knowledge</group>
      <groupName>知识性问题</groupName>
      <ability>L2_Knowledge</ability>
      <abilityName>其他知识</abilityName>
      <candidateList>
        <item>0%—100%</item>
      </candidateList>
      <explain>1. “0%-100%”中的单位“%”仅出现在后一个数字上，容易引起歧义；根据《现代汉语标点符号数字用法规范手册》，数字表示范围两边需要使用统一的格式。2. 根据标点国标 4.13 中的规则，数字、时间或地域连接符应使用（视觉上更长的）“—”或“～”。</explain>
      <paraID>2813AFAD</paraID>
      <start>10</start>
      <end>17</end>
      <status>unmodified</status>
      <modifiedWord/>
      <trackRevisions>false</trackRevisions>
    </reviewItem>
    <reviewItem>
      <errorID>12530d43-9876-483f-88ce-6a1235c6ab67</errorID>
      <errorWord>0.05%-20%</errorWord>
      <group>L1_Knowledge</group>
      <groupName>知识性问题</groupName>
      <ability>L2_Knowledge</ability>
      <abilityName>其他知识</abilityName>
      <candidateList>
        <item>0.05%—20%</item>
      </candidateList>
      <explain>1. “0.05%-20%”中的单位“%”仅出现在后一个数字上，容易引起歧义；根据《现代汉语标点符号数字用法规范手册》，数字表示范围两边需要使用统一的格式。2. 根据标点国标 4.13 中的规则，数字、时间或地域连接符应使用（视觉上更长的）“—”或“～”。</explain>
      <paraID> F0E21A2</paraID>
      <start>19</start>
      <end>28</end>
      <status>unmodified</status>
      <modifiedWord/>
      <trackRevisions>false</trackRevisions>
    </reviewItem>
    <reviewItem>
      <errorID>70fd1b8e-441d-4a4a-9075-5ad0c72f9858</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1349E99F</paraID>
      <start>4</start>
      <end>5</end>
      <status>unmodified</status>
      <modifiedWord/>
      <trackRevisions>false</trackRevisions>
    </reviewItem>
    <reviewItem>
      <errorID>d3477eb4-2af0-47fa-a044-90621d9800fa</errorID>
      <errorWord>III类</errorWord>
      <group>L1_Knowledge</group>
      <groupName>知识性问题</groupName>
      <ability>L2_Knowledge</ability>
      <abilityName>其他知识</abilityName>
      <candidateList>
        <item>Ⅲ类</item>
      </candidateList>
      <explain/>
      <paraID>35CDA4EE</paraID>
      <start>16</start>
      <end>20</end>
      <status>unmodified</status>
      <modifiedWord/>
      <trackRevisions>false</trackRevisions>
    </reviewItem>
    <reviewItem>
      <errorID>189a8240-b781-45cb-a8e8-c08a5ed822b7</errorID>
      <errorWord>英寸</errorWord>
      <group>L1_Knowledge</group>
      <groupName>知识性问题</groupName>
      <ability>L2_Unit</ability>
      <abilityName>计量单位</abilityName>
      <candidateList/>
      <explain>英制单位属非法定计量单位。</explain>
      <paraID> 4139CEB</paraID>
      <start>7</start>
      <end>9</end>
      <status>unmodified</status>
      <modifiedWord/>
      <trackRevisions>false</trackRevisions>
    </reviewItem>
    <reviewItem>
      <errorID>fd473f28-b8a5-457f-a92a-d0ecfb90d5c0</errorID>
      <errorWord>脉博</errorWord>
      <group>L1_Word</group>
      <groupName>字词问题</groupName>
      <ability>L2_Typo</ability>
      <abilityName>字词错误</abilityName>
      <candidateList>
        <item>脉搏</item>
      </candidateList>
      <explain>〈名〉❶心脏收缩时，由于输出血液的冲击引起的动脉的跳动。医生可根据脉搏来诊断疾病。❷比喻社会、生活等发展、变化的情况或趋势：时代的～｜把握生活的～。</explain>
      <paraID>72F12265</paraID>
      <start>12</start>
      <end>14</end>
      <status>unmodified</status>
      <modifiedWord/>
      <trackRevisions>false</trackRevisions>
    </reviewItem>
    <reviewItem>
      <errorID>795ad048-7174-4a6b-9803-72cd0ce1040e</errorID>
      <errorWord>db</errorWord>
      <group>L1_Knowledge</group>
      <groupName>知识性问题</groupName>
      <ability>L2_Unit</ability>
      <abilityName>计量单位</abilityName>
      <candidateList>
        <item>dB</item>
      </candidateList>
      <explain>不规范的计量单位表示符号书写方式。</explain>
      <paraID>496BF49B</paraID>
      <start>44</start>
      <end>46</end>
      <status>unmodified</status>
      <modifiedWord/>
      <trackRevisions>false</trackRevisions>
    </reviewItem>
    <reviewItem>
      <errorID>8b8c88d7-dc20-4077-83a8-aaff4a32c5bd</errorID>
      <errorWord>它床</errorWord>
      <group>L1_Word</group>
      <groupName>字词问题</groupName>
      <ability>L2_Typo</ability>
      <abilityName>字词错误</abilityName>
      <candidateList>
        <item>卧床</item>
      </candidateList>
      <explain/>
      <paraID>61F5F994</paraID>
      <start>29</start>
      <end>31</end>
      <status>unmodified</status>
      <modifiedWord/>
      <trackRevisions>false</trackRevisions>
    </reviewItem>
    <reviewItem>
      <errorID>6ffea0f2-d8f3-4692-a88f-b199faad55a1</errorID>
      <errorWord>具备有</errorWord>
      <group>L1_Word</group>
      <groupName>字词问题</groupName>
      <ability>L2_Typo</ability>
      <abilityName>字词错误</abilityName>
      <candidateList>
        <item>具备</item>
      </candidateList>
      <explain/>
      <paraID>12A524B9</paraID>
      <start>4</start>
      <end>7</end>
      <status>unmodified</status>
      <modifiedWord/>
      <trackRevisions>false</trackRevisions>
    </reviewItem>
    <reviewItem>
      <errorID>98d78e41-e419-4115-bd51-46a2e95fb123</errorID>
      <errorWord>来自于</errorWord>
      <group>L1_Word</group>
      <groupName>字词问题</groupName>
      <ability>L2_Typo</ability>
      <abilityName>字词错误</abilityName>
      <candidateList>
        <item>来自</item>
      </candidateList>
      <explain/>
      <paraID>12A790A4</paraID>
      <start>23</start>
      <end>26</end>
      <status>unmodified</status>
      <modifiedWord/>
      <trackRevisions>false</trackRevisions>
    </reviewItem>
    <reviewItem>
      <errorID>dec3a71a-61cb-4d43-a0cc-64c96575c700</errorID>
      <errorWord>来自于</errorWord>
      <group>L1_Word</group>
      <groupName>字词问题</groupName>
      <ability>L2_Typo</ability>
      <abilityName>字词错误</abilityName>
      <candidateList>
        <item>来自</item>
      </candidateList>
      <explain/>
      <paraID> DACAEEA</paraID>
      <start>4</start>
      <end>7</end>
      <status>unmodified</status>
      <modifiedWord/>
      <trackRevisions>false</trackRevisions>
    </reviewItem>
    <reviewItem>
      <errorID>b5949586-d168-4baa-b42c-a622e6146353</errorID>
      <errorWord>英寸</errorWord>
      <group>L1_Knowledge</group>
      <groupName>知识性问题</groupName>
      <ability>L2_Unit</ability>
      <abilityName>计量单位</abilityName>
      <candidateList/>
      <explain>英制单位属非法定计量单位。</explain>
      <paraID>2923DCFB</paraID>
      <start>8</start>
      <end>10</end>
      <status>unmodified</status>
      <modifiedWord/>
      <trackRevisions>false</trackRevisions>
    </reviewItem>
    <reviewItem>
      <errorID>b624cc3b-4403-43ed-9ca2-9fc2384342d1</errorID>
      <errorWord>英寸</errorWord>
      <group>L1_Knowledge</group>
      <groupName>知识性问题</groupName>
      <ability>L2_Unit</ability>
      <abilityName>计量单位</abilityName>
      <candidateList/>
      <explain>英制单位属非法定计量单位。</explain>
      <paraID>5B11C9A5</paraID>
      <start>8</start>
      <end>10</end>
      <status>unmodified</status>
      <modifiedWord/>
      <trackRevisions>false</trackRevisions>
    </reviewItem>
    <reviewItem>
      <errorID>df985ab1-4ada-439a-a00d-5292200cc259</errorID>
      <errorWord>英寸</errorWord>
      <group>L1_Knowledge</group>
      <groupName>知识性问题</groupName>
      <ability>L2_Unit</ability>
      <abilityName>计量单位</abilityName>
      <candidateList/>
      <explain>英制单位属非法定计量单位。</explain>
      <paraID>40891C36</paraID>
      <start>10</start>
      <end>12</end>
      <status>unmodified</status>
      <modifiedWord/>
      <trackRevisions>false</trackRevisions>
    </reviewItem>
    <reviewItem>
      <errorID>75202dd6-35e4-4d44-a893-7e9750920617</errorID>
      <errorWord>英寸</errorWord>
      <group>L1_Knowledge</group>
      <groupName>知识性问题</groupName>
      <ability>L2_Unit</ability>
      <abilityName>计量单位</abilityName>
      <candidateList/>
      <explain>英制单位属非法定计量单位。</explain>
      <paraID>3F7D2695</paraID>
      <start>8</start>
      <end>10</end>
      <status>unmodified</status>
      <modifiedWord/>
      <trackRevisions>false</trackRevisions>
    </reviewItem>
    <reviewItem>
      <errorID>f10c41f6-eeda-45f0-b7c6-5a3081b28430</errorID>
      <errorWord>需具备</errorWord>
      <group>L1_Word</group>
      <groupName>字词问题</groupName>
      <ability>L2_Typo</ability>
      <abilityName>字词错误</abilityName>
      <candidateList>
        <item>须具备</item>
      </candidateList>
      <explain/>
      <paraID>73556BC6</paraID>
      <start>5</start>
      <end>8</end>
      <status>unmodified</status>
      <modifiedWord/>
      <trackRevisions>false</trackRevisions>
    </reviewItem>
    <reviewItem>
      <errorID>9dd1384e-1ade-4367-a9fa-3ccd8b2fcfae</errorID>
      <errorWord>0-200%</errorWord>
      <group>L1_Knowledge</group>
      <groupName>知识性问题</groupName>
      <ability>L2_Knowledge</ability>
      <abilityName>其他知识</abilityName>
      <candidateList>
        <item>0—200%</item>
      </candidateList>
      <explain>1. “0-200%”中的单位“%”仅出现在后一个数字上，容易引起歧义；根据《现代汉语标点符号数字用法规范手册》，数字表示范围两边需要使用统一的格式。2. 根据标点国标 4.13 中的规则，数字、时间或地域连接符应使用（视觉上更长的）“—”或“～”。</explain>
      <paraID> C926BAA</paraID>
      <start>18</start>
      <end>24</end>
      <status>unmodified</status>
      <modifiedWord/>
      <trackRevisions>false</trackRevisions>
    </reviewItem>
    <reviewItem>
      <errorID>33099e1f-4013-4383-929c-bab4ae1f8cbf</errorID>
      <errorWord>需具备</errorWord>
      <group>L1_Word</group>
      <groupName>字词问题</groupName>
      <ability>L2_Typo</ability>
      <abilityName>字词错误</abilityName>
      <candidateList>
        <item>须具备</item>
      </candidateList>
      <explain/>
      <paraID>367EB878</paraID>
      <start>3</start>
      <end>6</end>
      <status>unmodified</status>
      <modifiedWord/>
      <trackRevisions>false</trackRevisions>
    </reviewItem>
    <reviewItem>
      <errorID>a1d3b90a-e156-4b8e-b0da-4590d5c66ba8</errorID>
      <errorWord>需具备</errorWord>
      <group>L1_Word</group>
      <groupName>字词问题</groupName>
      <ability>L2_Typo</ability>
      <abilityName>字词错误</abilityName>
      <candidateList>
        <item>须具备</item>
      </candidateList>
      <explain/>
      <paraID>7FF51C50</paraID>
      <start>3</start>
      <end>6</end>
      <status>unmodified</status>
      <modifiedWord/>
      <trackRevisions>false</trackRevisions>
    </reviewItem>
    <reviewItem>
      <errorID>1f071c13-af7f-4f78-bb8d-6ae0c3811083</errorID>
      <errorWord>需具备</errorWord>
      <group>L1_Word</group>
      <groupName>字词问题</groupName>
      <ability>L2_Typo</ability>
      <abilityName>字词错误</abilityName>
      <candidateList>
        <item>须具备</item>
      </candidateList>
      <explain/>
      <paraID>34948A1E</paraID>
      <start>3</start>
      <end>6</end>
      <status>unmodified</status>
      <modifiedWord/>
      <trackRevisions>false</trackRevisions>
    </reviewItem>
    <reviewItem>
      <errorID>50275a6a-88ba-4560-baf5-0f5f832c504a</errorID>
      <errorWord>英寸</errorWord>
      <group>L1_Knowledge</group>
      <groupName>知识性问题</groupName>
      <ability>L2_Unit</ability>
      <abilityName>计量单位</abilityName>
      <candidateList/>
      <explain>英制单位属非法定计量单位。</explain>
      <paraID>53AC83CB</paraID>
      <start>10</start>
      <end>12</end>
      <status>unmodified</status>
      <modifiedWord/>
      <trackRevisions>false</trackRevisions>
    </reviewItem>
    <reviewItem>
      <errorID>b2393481-508d-46ee-9129-589ea6e6b221</errorID>
      <errorWord>0.02%-20%</errorWord>
      <group>L1_Knowledge</group>
      <groupName>知识性问题</groupName>
      <ability>L2_Knowledge</ability>
      <abilityName>其他知识</abilityName>
      <candidateList>
        <item>0.02%—20%</item>
      </candidateList>
      <explain>1. “0.02%-20%”中的单位“%”仅出现在后一个数字上，容易引起歧义；根据《现代汉语标点符号数字用法规范手册》，数字表示范围两边需要使用统一的格式。2. 根据标点国标 4.13 中的规则，数字、时间或地域连接符应使用（视觉上更长的）“—”或“～”。</explain>
      <paraID> FECA031</paraID>
      <start>15</start>
      <end>24</end>
      <status>unmodified</status>
      <modifiedWord/>
      <trackRevisions>false</trackRevisions>
    </reviewItem>
    <reviewItem>
      <errorID>b46b73a3-3569-404a-918d-4561dee0f967</errorID>
      <errorWord>报警限</errorWord>
      <group>L1_Word</group>
      <groupName>字词问题</groupName>
      <ability>L2_Typo</ability>
      <abilityName>字词错误</abilityName>
      <candidateList>
        <item>报警</item>
      </candidateList>
      <explain/>
      <paraID>  130911</paraID>
      <start>15</start>
      <end>18</end>
      <status>unmodified</status>
      <modifiedWord/>
      <trackRevisions>false</trackRevisions>
    </reviewItem>
    <reviewItem>
      <errorID>77a26f58-f21e-4dc4-9ec6-848c5567e3fa</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3950142F</paraID>
      <start>4</start>
      <end>5</end>
      <status>unmodified</status>
      <modifiedWord/>
      <trackRevisions>false</trackRevisions>
    </reviewItem>
    <reviewItem>
      <errorID>2c6e5951-11aa-4f1c-b330-0027b579d058</errorID>
      <errorWord>之日起至</errorWord>
      <group>L1_Word</group>
      <groupName>字词问题</groupName>
      <ability>L2_Typo</ability>
      <abilityName>字词错误</abilityName>
      <candidateList>
        <item>之日起</item>
      </candidateList>
      <explain/>
      <paraID>24FA20BA</paraID>
      <start>61</start>
      <end>65</end>
      <status>unmodified</status>
      <modifiedWord/>
      <trackRevisions>false</trackRevisions>
    </reviewItem>
    <reviewItem>
      <errorID>f8f452ef-4309-40a3-9933-10085fcc0e0c</errorID>
      <errorWord>六</errorWord>
      <group>L1_Word</group>
      <groupName>字词问题</groupName>
      <ability>L2_Typo</ability>
      <abilityName>字词错误</abilityName>
      <candidateList>
        <item>六个</item>
      </candidateList>
      <explain/>
      <paraID>7CB2B928</paraID>
      <start>67</start>
      <end>68</end>
      <status>unmodified</status>
      <modifiedWord/>
      <trackRevisions>false</trackRevisions>
    </reviewItem>
    <reviewItem>
      <errorID>729103d0-8fb0-4fdb-8efb-dc331d278ed0</errorID>
      <errorWord>其它设备</errorWord>
      <group>L1_Word</group>
      <groupName>字词问题</groupName>
      <ability>L2_Alias</ability>
      <abilityName>也作/曾用词</abilityName>
      <candidateList>
        <item>其他设备</item>
      </candidateList>
      <explain>词汇[其它设备]为不规范表述或旧称，其规范书面表述为[其他设备]。</explain>
      <paraID>20627AFF</paraID>
      <start>26</start>
      <end>30</end>
      <status>unmodified</status>
      <modifiedWord/>
      <trackRevisions>false</trackRevisions>
    </reviewItem>
    <reviewItem>
      <errorID>ce32bf44-bb8e-4e57-9ed0-78b534eb3b81</errorID>
      <errorWord>以外保险</errorWord>
      <group>L1_Word</group>
      <groupName>字词问题</groupName>
      <ability>L2_Typo</ability>
      <abilityName>字词错误</abilityName>
      <candidateList>
        <item>意外保险</item>
      </candidateList>
      <explain/>
      <paraID> D9C2EFC</paraID>
      <start>16</start>
      <end>20</end>
      <status>unmodified</status>
      <modifiedWord/>
      <trackRevisions>false</trackRevisions>
    </reviewItem>
    <reviewItem>
      <errorID>f4b39b73-7ace-4a59-811a-bdfe2c5bf1a8</errorID>
      <errorWord>权力</errorWord>
      <group>L1_Word</group>
      <groupName>字词问题</groupName>
      <ability>L2_Typo</ability>
      <abilityName>字词错误</abilityName>
      <candidateList>
        <item>权利</item>
      </candidateList>
      <explain/>
      <paraID>2E4283DD</paraID>
      <start>70</start>
      <end>72</end>
      <status>unmodified</status>
      <modifiedWord/>
      <trackRevisions>false</trackRevisions>
    </reviewItem>
    <reviewItem>
      <errorID>c15c2d54-aa87-4465-ad7c-6bdcb1b604c1</errorID>
      <errorWord>法律、法规</errorWord>
      <group>L1_Word</group>
      <groupName>字词问题</groupName>
      <ability>L2_Typo</ability>
      <abilityName>字词错误</abilityName>
      <candidateList>
        <item>法律法规</item>
      </candidateList>
      <explain/>
      <paraID>438E9833</paraID>
      <start>50</start>
      <end>55</end>
      <status>unmodified</status>
      <modifiedWord/>
      <trackRevisions>false</trackRevisions>
    </reviewItem>
    <reviewItem>
      <errorID>d72cd1ee-bf61-4ee8-ab0d-89008f430008</errorID>
      <errorWord>帐       号</errorWord>
      <group>L1_Word</group>
      <groupName>字词问题</groupName>
      <ability>L2_Typo</ability>
      <abilityName>字词错误</abilityName>
      <candidateList>
        <item>账       号</item>
      </candidateList>
      <explain/>
      <paraID>1A9683C8</paraID>
      <start>12</start>
      <end>21</end>
      <status>unmodified</status>
      <modifiedWord/>
      <trackRevisions>false</trackRevisions>
    </reviewItem>
    <reviewItem>
      <errorID>5750d87d-ec0d-4173-ab6c-56cf3af1d497</errorID>
      <errorWord>下</errorWord>
      <group>L1_Word</group>
      <groupName>字词问题</groupName>
      <ability>L2_Typo</ability>
      <abilityName>字词错误</abilityName>
      <candidateList>
        <item>下简</item>
      </candidateList>
      <explain/>
      <paraID>317FEC5B</paraID>
      <start>8</start>
      <end>9</end>
      <status>unmodified</status>
      <modifiedWord/>
      <trackRevisions>false</trackRevisions>
    </reviewItem>
    <reviewItem>
      <errorID>2a312f32-aa8a-4c72-94a3-0d3f66bc37fb</errorID>
      <errorWord>下</errorWord>
      <group>L1_Word</group>
      <groupName>字词问题</groupName>
      <ability>L2_Typo</ability>
      <abilityName>字词错误</abilityName>
      <candidateList>
        <item>下简</item>
      </candidateList>
      <explain/>
      <paraID>58F4E86A</paraID>
      <start>8</start>
      <end>9</end>
      <status>unmodified</status>
      <modifiedWord/>
      <trackRevisions>false</trackRevisions>
    </reviewItem>
    <reviewItem>
      <errorID>102a8a43-b7aa-4110-aa46-11b9ad6e5753</errorID>
      <errorWord>其</errorWord>
      <group>L1_Word</group>
      <groupName>字词问题</groupName>
      <ability>L2_Typo</ability>
      <abilityName>字词错误</abilityName>
      <candidateList>
        <item>其他</item>
      </candidateList>
      <explain>〈代〉指示代词。别的：今天的文娱晚会，除了京剧、曲艺以外，还有～精彩节目。</explain>
      <paraID>1058F47F</paraID>
      <start>57</start>
      <end>58</end>
      <status>unmodified</status>
      <modifiedWord/>
      <trackRevisions>false</trackRevisions>
    </reviewItem>
    <reviewItem>
      <errorID>f6c6a200-90ee-407f-ac1e-5659d37dee17</errorID>
      <errorWord>其它</errorWord>
      <group>L1_Word</group>
      <groupName>字词问题</groupName>
      <ability>L2_Alias</ability>
      <abilityName>也作/曾用词</abilityName>
      <candidateList>
        <item>其他</item>
      </candidateList>
      <explain>词汇[其它]为不规范表述或旧称，其规范书面表述为[其他]。</explain>
      <paraID>2FDA71F4</paraID>
      <start>41</start>
      <end>43</end>
      <status>unmodified</status>
      <modifiedWord/>
      <trackRevisions>false</trackRevisions>
    </reviewItem>
    <reviewItem>
      <errorID>d8a72ea7-b5d9-4c8c-968f-56f44c482a5f</errorID>
      <errorWord>其它</errorWord>
      <group>L1_Word</group>
      <groupName>字词问题</groupName>
      <ability>L2_Alias</ability>
      <abilityName>也作/曾用词</abilityName>
      <candidateList>
        <item>其他</item>
      </candidateList>
      <explain>词汇[其它]为不规范表述或旧称，其规范书面表述为[其他]。</explain>
      <paraID>40A85C90</paraID>
      <start>54</start>
      <end>56</end>
      <status>unmodified</status>
      <modifiedWord/>
      <trackRevisions>false</trackRevisions>
    </reviewItem>
    <reviewItem>
      <errorID>b0ae3519-0c8f-465f-8979-b37b1355c799</errorID>
      <errorWord>服务的</errorWord>
      <group>L1_Word</group>
      <groupName>字词问题</groupName>
      <ability>L2_Typo</ability>
      <abilityName>字词错误</abilityName>
      <candidateList>
        <item>服务</item>
      </candidateList>
      <explain>〈动〉为集体（或别人的）利益或为某种事业而工作：～行业｜为人民～｜科学为生产～｜他在邮局～了三十年。</explain>
      <paraID>170A8050</paraID>
      <start>8</start>
      <end>11</end>
      <status>unmodified</status>
      <modifiedWord/>
      <trackRevisions>false</trackRevisions>
    </reviewItem>
    <reviewItem>
      <errorID>7d04c226-d650-4164-b40b-67ecf280e308</errorID>
      <errorWord>按《中华人民共和国</errorWord>
      <group>L1_Word</group>
      <groupName>字词问题</groupName>
      <ability>L2_Typo</ability>
      <abilityName>字词错误</abilityName>
      <candidateList>
        <item>按照《中华人民共和国</item>
      </candidateList>
      <explain/>
      <paraID> F3641DC</paraID>
      <start>34</start>
      <end>43</end>
      <status>unmodified</status>
      <modifiedWord/>
      <trackRevisions>false</trackRevisions>
    </reviewItem>
    <reviewItem>
      <errorID>acac3b70-8ada-4575-a734-73e58658e5a7</errorID>
      <errorWord>如从</errorWord>
      <group>L1_Word</group>
      <groupName>字词问题</groupName>
      <ability>L2_Typo</ability>
      <abilityName>字词错误</abilityName>
      <candidateList>
        <item>如</item>
      </candidateList>
      <explain/>
      <paraID> 5DEED17</paraID>
      <start>43</start>
      <end>45</end>
      <status>unmodified</status>
      <modifiedWord/>
      <trackRevisions>false</trackRevisions>
    </reviewItem>
    <reviewItem>
      <errorID>c25933f6-0549-4280-87f9-f89bf1a19bf0</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571F85D1</paraID>
      <start>18</start>
      <end>22</end>
      <status>unmodified</status>
      <modifiedWord/>
      <trackRevisions>false</trackRevisions>
    </reviewItem>
    <reviewItem>
      <errorID>b93d4763-6a96-4386-a445-d2b21d3398ae</errorID>
      <errorWord>的其它部分</errorWord>
      <group>L1_Word</group>
      <groupName>字词问题</groupName>
      <ability>L2_Alias</ability>
      <abilityName>也作/曾用词</abilityName>
      <candidateList>
        <item>的其他部分</item>
      </candidateList>
      <explain>词汇[的其它部分]为不规范表述或旧称，其规范书面表述为[的其他部分]。</explain>
      <paraID>571F85D1</paraID>
      <start>53</start>
      <end>58</end>
      <status>unmodified</status>
      <modifiedWord/>
      <trackRevisions>false</trackRevisions>
    </reviewItem>
    <reviewItem>
      <errorID>aa2993cd-139e-425c-b6fa-ddc2f5e7b491</errorID>
      <errorWord>送到</errorWord>
      <group>L1_Word</group>
      <groupName>字词问题</groupName>
      <ability>L2_Typo</ability>
      <abilityName>字词错误</abilityName>
      <candidateList>
        <item>送达</item>
      </candidateList>
      <explain>存在发音相近字词的误用。</explain>
      <paraID> FFF4B61</paraID>
      <start>7</start>
      <end>9</end>
      <status>unmodified</status>
      <modifiedWord/>
      <trackRevisions>false</trackRevisions>
    </reviewItem>
    <reviewItem>
      <errorID>d38cbd97-daca-4d98-887f-0aceeb039c43</errorID>
      <errorWord>之日起至</errorWord>
      <group>L1_Word</group>
      <groupName>字词问题</groupName>
      <ability>L2_Typo</ability>
      <abilityName>字词错误</abilityName>
      <candidateList>
        <item>之日起</item>
      </candidateList>
      <explain/>
      <paraID>5F5E11B5</paraID>
      <start>10</start>
      <end>14</end>
      <status>unmodified</status>
      <modifiedWord/>
      <trackRevisions>false</trackRevisions>
    </reviewItem>
    <reviewItem>
      <errorID>1aefa2f9-199a-4f3f-847f-e706de4ad158</errorID>
      <errorWord>、或者</errorWord>
      <group>L1_Word</group>
      <groupName>字词问题</groupName>
      <ability>L2_Typo</ability>
      <abilityName>字词错误</abilityName>
      <candidateList>
        <item>，或者</item>
      </candidateList>
      <explain/>
      <paraID>3FAD12B6</paraID>
      <start>2</start>
      <end>5</end>
      <status>unmodified</status>
      <modifiedWord/>
      <trackRevisions>false</trackRevisions>
    </reviewItem>
    <reviewItem>
      <errorID>0be56f42-bd61-4b4e-8dbf-18571d4bc097</errorID>
      <errorWord>证</errorWord>
      <group>L1_Word</group>
      <groupName>字词问题</groupName>
      <ability>L2_Typo</ability>
      <abilityName>字词错误</abilityName>
      <candidateList>
        <item>证金</item>
      </candidateList>
      <explain/>
      <paraID>380F31F4</paraID>
      <start>70</start>
      <end>71</end>
      <status>unmodified</status>
      <modifiedWord/>
      <trackRevisions>false</trackRevisions>
    </reviewItem>
    <reviewItem>
      <errorID>2cf2ba71-0908-42fa-aa4a-355f1bde5d24</errorID>
      <errorWord>予以考虑</errorWord>
      <group>L1_Word</group>
      <groupName>字词问题</groupName>
      <ability>L2_Typo</ability>
      <abilityName>字词错误</abilityName>
      <candidateList>
        <item>予考虑</item>
      </candidateList>
      <explain/>
      <paraID>255C7308</paraID>
      <start>71</start>
      <end>75</end>
      <status>unmodified</status>
      <modifiedWord/>
      <trackRevisions>false</trackRevisions>
    </reviewItem>
    <reviewItem>
      <errorID>697b22eb-a75a-430c-9e71-c7f06e2ead11</errorID>
      <errorWord>-览</errorWord>
      <group>L1_Word</group>
      <groupName>字词问题</groupName>
      <ability>L2_Typo</ability>
      <abilityName>字词错误</abilityName>
      <candidateList>
        <item>一览</item>
      </candidateList>
      <explain/>
      <paraID>62CC6FAA</paraID>
      <start>8</start>
      <end>10</end>
      <status>unmodified</status>
      <modifiedWord/>
      <trackRevisions>false</trackRevisions>
    </reviewItem>
    <reviewItem>
      <errorID>56b979ff-bb08-45b7-b49a-86f17db6b46d</errorID>
      <errorWord>予以考虑</errorWord>
      <group>L1_Word</group>
      <groupName>字词问题</groupName>
      <ability>L2_Typo</ability>
      <abilityName>字词错误</abilityName>
      <candidateList>
        <item>予考虑</item>
      </candidateList>
      <explain/>
      <paraID>6136BA70</paraID>
      <start>43</start>
      <end>47</end>
      <status>unmodified</status>
      <modifiedWord/>
      <trackRevisions>false</trackRevisions>
    </reviewItem>
    <reviewItem>
      <errorID>75ec8bf2-d2a6-41f3-98bd-c79b758c0676</errorID>
      <errorWord>予以考虑</errorWord>
      <group>L1_Word</group>
      <groupName>字词问题</groupName>
      <ability>L2_Typo</ability>
      <abilityName>字词错误</abilityName>
      <candidateList>
        <item>予考虑</item>
      </candidateList>
      <explain/>
      <paraID> CE8A406</paraID>
      <start>67</start>
      <end>71</end>
      <status>unmodified</status>
      <modifiedWord/>
      <trackRevisions>false</trackRevisions>
    </reviewItem>
    <reviewItem>
      <errorID>2792bbe2-800d-469e-8c65-c0dcafd0c4fa</errorID>
      <errorWord>须</errorWord>
      <group>L1_Word</group>
      <groupName>字词问题</groupName>
      <ability>L2_Typo</ability>
      <abilityName>字词错误</abilityName>
      <candidateList>
        <item>需</item>
      </candidateList>
      <explain>存在发音相同字词的误用。</explain>
      <paraID>65A238BE</paraID>
      <start>63</start>
      <end>64</end>
      <status>unmodified</status>
      <modifiedWord/>
      <trackRevisions>false</trackRevisions>
    </reviewItem>
    <reviewItem>
      <errorID>abdcbda4-b59b-4c1d-af1f-4e1802553655</errorID>
      <errorWord>予以考虑</errorWord>
      <group>L1_Word</group>
      <groupName>字词问题</groupName>
      <ability>L2_Typo</ability>
      <abilityName>字词错误</abilityName>
      <candidateList>
        <item>予考虑</item>
      </candidateList>
      <explain/>
      <paraID> 5CA8363</paraID>
      <start>67</start>
      <end>71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DEBF44-3A95-40F7-8F67-3AE228CAEFFF}">
  <ds:schemaRefs/>
</ds:datastoreItem>
</file>

<file path=customXml/itemProps3.xml><?xml version="1.0" encoding="utf-8"?>
<ds:datastoreItem xmlns:ds="http://schemas.openxmlformats.org/officeDocument/2006/customXml" ds:itemID="{932f0945-86e0-4e11-b736-da9b11cf0391}">
  <ds:schemaRefs/>
</ds:datastoreItem>
</file>

<file path=docProps/app.xml><?xml version="1.0" encoding="utf-8"?>
<Properties xmlns="http://schemas.openxmlformats.org/officeDocument/2006/extended-properties" xmlns:vt="http://schemas.openxmlformats.org/officeDocument/2006/docPropsVTypes">
  <Template>Normal</Template>
  <Pages>95</Pages>
  <Words>4310</Words>
  <Characters>5072</Characters>
  <Lines>72</Lines>
  <Paragraphs>121</Paragraphs>
  <TotalTime>2</TotalTime>
  <ScaleCrop>false</ScaleCrop>
  <LinksUpToDate>false</LinksUpToDate>
  <CharactersWithSpaces>5226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2021-08-03T08:59:00Z</dcterms:created>
  <dc:creator>admin</dc:creator>
  <cp:lastModifiedBy>葛元辉</cp:lastModifiedBy>
  <cp:lastPrinted>2026-08-31T06:08:00Z</cp:lastPrinted>
  <dcterms:modified xsi:type="dcterms:W3CDTF">2026-09-03T06:23:59Z</dcterms:modified>
  <cp:revision>134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762675F7342B42A3ADD36CA3E0F8CF01</vt:lpwstr>
  </property>
  <property fmtid="{D5CDD505-2E9C-101B-9397-08002B2CF9AE}" pid="4" name="KSOTemplateDocerSaveRecord">
    <vt:lpwstr>eyJoZGlkIjoiYjM3NjgxYjMyYzI2YjA0OGE0NzczMmRiMzE1MjM4NWIiLCJ1c2VySWQiOiI0ODQ4OTYzNTYifQ==</vt:lpwstr>
  </property>
</Properties>
</file>