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4DE98">
      <w:pPr>
        <w:pStyle w:val="2"/>
        <w:spacing w:before="273" w:line="218" w:lineRule="auto"/>
        <w:ind w:left="3084"/>
        <w:rPr>
          <w:rFonts w:hint="eastAsia" w:ascii="宋体" w:hAnsi="宋体" w:eastAsia="宋体" w:cs="宋体"/>
          <w:spacing w:val="-11"/>
          <w:sz w:val="84"/>
          <w:szCs w:val="84"/>
          <w:lang w:eastAsia="zh-CN"/>
        </w:rPr>
      </w:pPr>
    </w:p>
    <w:p w14:paraId="5D692E43">
      <w:pPr>
        <w:pStyle w:val="2"/>
        <w:spacing w:before="273" w:line="218" w:lineRule="auto"/>
        <w:ind w:left="3084"/>
        <w:rPr>
          <w:rFonts w:ascii="宋体" w:hAnsi="宋体" w:eastAsia="宋体" w:cs="宋体"/>
          <w:sz w:val="84"/>
          <w:szCs w:val="84"/>
          <w:lang w:eastAsia="zh-CN"/>
        </w:rPr>
      </w:pPr>
      <w:r>
        <w:rPr>
          <w:rFonts w:hint="eastAsia" w:ascii="宋体" w:hAnsi="宋体" w:eastAsia="宋体" w:cs="宋体"/>
          <w:spacing w:val="-11"/>
          <w:sz w:val="84"/>
          <w:szCs w:val="84"/>
          <w:lang w:eastAsia="zh-CN"/>
        </w:rPr>
        <w:t>政府采购</w:t>
      </w:r>
    </w:p>
    <w:p w14:paraId="180E9C81">
      <w:pPr>
        <w:pStyle w:val="2"/>
        <w:spacing w:before="256" w:line="218" w:lineRule="auto"/>
        <w:ind w:left="2449" w:firstLine="760" w:firstLineChars="100"/>
        <w:rPr>
          <w:rFonts w:ascii="宋体" w:hAnsi="宋体" w:eastAsia="宋体" w:cs="宋体"/>
          <w:sz w:val="84"/>
          <w:szCs w:val="84"/>
          <w:lang w:eastAsia="zh-CN"/>
        </w:rPr>
      </w:pPr>
      <w:r>
        <w:rPr>
          <w:rFonts w:hint="eastAsia" w:ascii="宋体" w:hAnsi="宋体" w:eastAsia="宋体" w:cs="宋体"/>
          <w:spacing w:val="-40"/>
          <w:sz w:val="84"/>
          <w:szCs w:val="84"/>
          <w:lang w:eastAsia="zh-CN"/>
        </w:rPr>
        <w:t>招标文件</w:t>
      </w:r>
    </w:p>
    <w:p w14:paraId="73EF414E">
      <w:pPr>
        <w:spacing w:line="282" w:lineRule="auto"/>
        <w:rPr>
          <w:rFonts w:ascii="宋体" w:hAnsi="宋体" w:eastAsia="宋体" w:cs="宋体"/>
          <w:lang w:eastAsia="zh-CN"/>
        </w:rPr>
      </w:pPr>
    </w:p>
    <w:p w14:paraId="48F4F323">
      <w:pPr>
        <w:spacing w:line="283" w:lineRule="auto"/>
        <w:rPr>
          <w:rFonts w:ascii="宋体" w:hAnsi="宋体" w:eastAsia="宋体" w:cs="宋体"/>
          <w:lang w:eastAsia="zh-CN"/>
        </w:rPr>
      </w:pPr>
    </w:p>
    <w:p w14:paraId="1D3293C2">
      <w:pPr>
        <w:pStyle w:val="2"/>
        <w:spacing w:before="165" w:line="221" w:lineRule="auto"/>
        <w:ind w:left="2919"/>
        <w:rPr>
          <w:rFonts w:ascii="宋体" w:hAnsi="宋体" w:eastAsia="宋体" w:cs="宋体"/>
          <w:sz w:val="51"/>
          <w:szCs w:val="51"/>
          <w:lang w:eastAsia="zh-CN"/>
        </w:rPr>
      </w:pPr>
      <w:r>
        <w:rPr>
          <w:rFonts w:hint="eastAsia" w:ascii="宋体" w:hAnsi="宋体" w:eastAsia="宋体" w:cs="宋体"/>
          <w:b/>
          <w:bCs/>
          <w:spacing w:val="-2"/>
          <w:sz w:val="51"/>
          <w:szCs w:val="51"/>
          <w:lang w:eastAsia="zh-CN"/>
        </w:rPr>
        <w:t>（综合评分法）</w:t>
      </w:r>
    </w:p>
    <w:p w14:paraId="26A5B4A0">
      <w:pPr>
        <w:pStyle w:val="2"/>
        <w:tabs>
          <w:tab w:val="left" w:pos="8088"/>
        </w:tabs>
        <w:spacing w:before="324" w:line="220" w:lineRule="auto"/>
        <w:ind w:left="3967"/>
        <w:rPr>
          <w:rFonts w:ascii="宋体" w:hAnsi="宋体" w:eastAsia="宋体" w:cs="宋体"/>
          <w:sz w:val="51"/>
          <w:szCs w:val="51"/>
          <w:lang w:eastAsia="zh-CN"/>
        </w:rPr>
      </w:pPr>
      <w:r>
        <w:rPr>
          <w:rFonts w:hint="eastAsia" w:ascii="宋体" w:hAnsi="宋体" w:eastAsia="宋体" w:cs="宋体"/>
          <w:b/>
          <w:bCs/>
          <w:spacing w:val="-8"/>
          <w:sz w:val="51"/>
          <w:szCs w:val="51"/>
          <w:lang w:eastAsia="zh-CN"/>
        </w:rPr>
        <w:t>货物类</w:t>
      </w:r>
      <w:r>
        <w:rPr>
          <w:rFonts w:hint="eastAsia" w:cs="宋体"/>
          <w:b/>
          <w:bCs/>
          <w:spacing w:val="-8"/>
          <w:sz w:val="51"/>
          <w:szCs w:val="51"/>
          <w:lang w:eastAsia="zh-CN"/>
        </w:rPr>
        <w:tab/>
      </w:r>
    </w:p>
    <w:p w14:paraId="5C9AF34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DEEB62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FD33393">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2948" w:leftChars="304" w:hanging="2310" w:hangingChars="700"/>
        <w:textAlignment w:val="baseline"/>
        <w:rPr>
          <w:rFonts w:hint="default" w:ascii="宋体" w:hAnsi="宋体" w:eastAsia="宋体" w:cs="宋体"/>
          <w:b w:val="0"/>
          <w:bCs w:val="0"/>
          <w:spacing w:val="10"/>
          <w:sz w:val="31"/>
          <w:szCs w:val="31"/>
          <w:u w:val="none"/>
          <w:lang w:val="en-US" w:eastAsia="zh-CN"/>
        </w:rPr>
      </w:pPr>
      <w:r>
        <w:rPr>
          <w:rFonts w:hint="eastAsia" w:ascii="宋体" w:hAnsi="宋体" w:eastAsia="宋体" w:cs="宋体"/>
          <w:b w:val="0"/>
          <w:bCs w:val="0"/>
          <w:spacing w:val="10"/>
          <w:sz w:val="31"/>
          <w:szCs w:val="31"/>
          <w:u w:val="none"/>
          <w:lang w:eastAsia="zh-CN"/>
        </w:rPr>
        <w:t>采购项目名称：保靖县白云山自然保护区片区城镇垃圾收集转运设施设备采购项目（</w:t>
      </w:r>
      <w:r>
        <w:rPr>
          <w:rFonts w:hint="eastAsia" w:cs="宋体"/>
          <w:b w:val="0"/>
          <w:bCs w:val="0"/>
          <w:spacing w:val="10"/>
          <w:sz w:val="31"/>
          <w:szCs w:val="31"/>
          <w:u w:val="none"/>
          <w:lang w:eastAsia="zh-CN"/>
        </w:rPr>
        <w:t>第四批</w:t>
      </w:r>
      <w:r>
        <w:rPr>
          <w:rFonts w:hint="eastAsia" w:ascii="宋体" w:hAnsi="宋体" w:eastAsia="宋体" w:cs="宋体"/>
          <w:b w:val="0"/>
          <w:bCs w:val="0"/>
          <w:spacing w:val="10"/>
          <w:sz w:val="31"/>
          <w:szCs w:val="31"/>
          <w:u w:val="none"/>
          <w:lang w:eastAsia="zh-CN"/>
        </w:rPr>
        <w:t>）</w:t>
      </w:r>
    </w:p>
    <w:p w14:paraId="641B6FC3">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textAlignment w:val="baseline"/>
        <w:rPr>
          <w:rFonts w:hint="default" w:ascii="宋体" w:hAnsi="宋体" w:eastAsia="宋体" w:cs="宋体"/>
          <w:b w:val="0"/>
          <w:bCs w:val="0"/>
          <w:color w:val="FF0000"/>
          <w:spacing w:val="10"/>
          <w:sz w:val="31"/>
          <w:szCs w:val="31"/>
          <w:u w:val="none"/>
          <w:lang w:val="en-US" w:eastAsia="zh-CN"/>
        </w:rPr>
      </w:pPr>
      <w:r>
        <w:rPr>
          <w:rFonts w:hint="eastAsia" w:ascii="宋体" w:hAnsi="宋体" w:eastAsia="宋体" w:cs="宋体"/>
          <w:b w:val="0"/>
          <w:bCs w:val="0"/>
          <w:color w:val="auto"/>
          <w:spacing w:val="10"/>
          <w:sz w:val="31"/>
          <w:szCs w:val="31"/>
          <w:u w:val="none"/>
          <w:lang w:eastAsia="zh-CN"/>
        </w:rPr>
        <w:t>政府采购编号：</w:t>
      </w:r>
      <w:r>
        <w:rPr>
          <w:rFonts w:hint="eastAsia" w:ascii="宋体" w:hAnsi="宋体" w:eastAsia="宋体" w:cs="宋体"/>
          <w:b w:val="0"/>
          <w:bCs w:val="0"/>
          <w:spacing w:val="10"/>
          <w:sz w:val="31"/>
          <w:szCs w:val="31"/>
          <w:u w:val="none"/>
          <w:lang w:eastAsia="zh-CN"/>
        </w:rPr>
        <w:t>(2026)433125000008-1</w:t>
      </w:r>
    </w:p>
    <w:p w14:paraId="75B058E0">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textAlignment w:val="baseline"/>
        <w:rPr>
          <w:rFonts w:hint="default" w:ascii="宋体" w:hAnsi="宋体" w:eastAsia="宋体" w:cs="宋体"/>
          <w:b w:val="0"/>
          <w:bCs w:val="0"/>
          <w:spacing w:val="10"/>
          <w:sz w:val="31"/>
          <w:szCs w:val="31"/>
          <w:u w:val="none"/>
          <w:lang w:val="en-US" w:eastAsia="zh-CN"/>
        </w:rPr>
      </w:pPr>
      <w:r>
        <w:rPr>
          <w:rFonts w:hint="eastAsia" w:ascii="宋体" w:hAnsi="宋体" w:eastAsia="宋体" w:cs="宋体"/>
          <w:b w:val="0"/>
          <w:bCs w:val="0"/>
          <w:spacing w:val="10"/>
          <w:sz w:val="31"/>
          <w:szCs w:val="31"/>
          <w:u w:val="none"/>
          <w:lang w:eastAsia="zh-CN"/>
        </w:rPr>
        <w:t>采购代</w:t>
      </w:r>
      <w:r>
        <w:rPr>
          <w:rFonts w:hint="eastAsia" w:ascii="宋体" w:hAnsi="宋体" w:eastAsia="宋体" w:cs="宋体"/>
          <w:b w:val="0"/>
          <w:bCs w:val="0"/>
          <w:color w:val="auto"/>
          <w:spacing w:val="10"/>
          <w:sz w:val="31"/>
          <w:szCs w:val="31"/>
          <w:u w:val="none"/>
          <w:lang w:eastAsia="zh-CN"/>
        </w:rPr>
        <w:t>理编号：</w:t>
      </w:r>
      <w:r>
        <w:rPr>
          <w:rFonts w:hint="eastAsia" w:ascii="宋体" w:hAnsi="宋体" w:eastAsia="宋体" w:cs="宋体"/>
          <w:b w:val="0"/>
          <w:bCs w:val="0"/>
          <w:color w:val="auto"/>
          <w:spacing w:val="10"/>
          <w:sz w:val="31"/>
          <w:szCs w:val="31"/>
          <w:u w:val="none"/>
          <w:lang w:val="en-US" w:eastAsia="zh-CN"/>
        </w:rPr>
        <w:t>HNTR-ZB-2026-7017</w:t>
      </w:r>
    </w:p>
    <w:p w14:paraId="75749632">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textAlignment w:val="baseline"/>
        <w:rPr>
          <w:rFonts w:hint="default" w:ascii="宋体" w:hAnsi="宋体" w:eastAsia="宋体" w:cs="宋体"/>
          <w:b w:val="0"/>
          <w:bCs w:val="0"/>
          <w:spacing w:val="10"/>
          <w:sz w:val="31"/>
          <w:szCs w:val="31"/>
          <w:u w:val="none"/>
          <w:lang w:val="en-US" w:eastAsia="zh-CN"/>
        </w:rPr>
      </w:pPr>
      <w:r>
        <w:rPr>
          <w:rFonts w:hint="eastAsia" w:ascii="宋体" w:hAnsi="宋体" w:eastAsia="宋体" w:cs="宋体"/>
          <w:b w:val="0"/>
          <w:bCs w:val="0"/>
          <w:spacing w:val="10"/>
          <w:sz w:val="31"/>
          <w:szCs w:val="31"/>
          <w:u w:val="none"/>
          <w:lang w:eastAsia="zh-CN"/>
        </w:rPr>
        <w:t>采购人：白云山国家级自然保护区管理局</w:t>
      </w:r>
    </w:p>
    <w:p w14:paraId="76C7D383">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textAlignment w:val="baseline"/>
        <w:rPr>
          <w:rFonts w:hint="default" w:ascii="宋体" w:hAnsi="宋体" w:eastAsia="宋体" w:cs="宋体"/>
          <w:b w:val="0"/>
          <w:bCs w:val="0"/>
          <w:spacing w:val="10"/>
          <w:sz w:val="31"/>
          <w:szCs w:val="31"/>
          <w:u w:val="none"/>
          <w:lang w:val="en-US" w:eastAsia="zh-CN"/>
        </w:rPr>
      </w:pPr>
      <w:r>
        <w:rPr>
          <w:rFonts w:hint="eastAsia" w:ascii="宋体" w:hAnsi="宋体" w:eastAsia="宋体" w:cs="宋体"/>
          <w:b w:val="0"/>
          <w:bCs w:val="0"/>
          <w:spacing w:val="10"/>
          <w:sz w:val="31"/>
          <w:szCs w:val="31"/>
          <w:u w:val="none"/>
          <w:lang w:eastAsia="zh-CN"/>
        </w:rPr>
        <w:t>采购代理机构：湖南天润招标咨询有限公司</w:t>
      </w:r>
    </w:p>
    <w:p w14:paraId="473919E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DD6579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DB732F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4C4ED5E">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textAlignment w:val="baseline"/>
        <w:rPr>
          <w:rFonts w:hint="eastAsia" w:ascii="宋体" w:hAnsi="宋体" w:eastAsia="宋体" w:cs="宋体"/>
          <w:b w:val="0"/>
          <w:bCs w:val="0"/>
          <w:spacing w:val="10"/>
          <w:sz w:val="31"/>
          <w:szCs w:val="31"/>
          <w:u w:val="none"/>
          <w:lang w:eastAsia="zh-CN"/>
        </w:rPr>
      </w:pPr>
    </w:p>
    <w:p w14:paraId="65809088">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38" w:leftChars="304" w:firstLine="0" w:firstLineChars="0"/>
        <w:jc w:val="center"/>
        <w:textAlignment w:val="baseline"/>
        <w:rPr>
          <w:rFonts w:hint="eastAsia" w:ascii="宋体" w:hAnsi="宋体" w:eastAsia="宋体" w:cs="宋体"/>
          <w:b w:val="0"/>
          <w:bCs w:val="0"/>
          <w:spacing w:val="10"/>
          <w:sz w:val="31"/>
          <w:szCs w:val="31"/>
          <w:u w:val="none"/>
          <w:lang w:eastAsia="zh-CN"/>
        </w:rPr>
      </w:pPr>
      <w:r>
        <w:rPr>
          <w:rFonts w:hint="eastAsia" w:ascii="宋体" w:hAnsi="宋体" w:eastAsia="宋体" w:cs="宋体"/>
          <w:b w:val="0"/>
          <w:bCs w:val="0"/>
          <w:spacing w:val="10"/>
          <w:sz w:val="31"/>
          <w:szCs w:val="31"/>
          <w:u w:val="none"/>
          <w:lang w:eastAsia="zh-CN"/>
        </w:rPr>
        <w:t>二</w:t>
      </w:r>
      <w:r>
        <w:rPr>
          <w:rFonts w:hint="eastAsia" w:cs="宋体"/>
          <w:b w:val="0"/>
          <w:bCs w:val="0"/>
          <w:spacing w:val="10"/>
          <w:sz w:val="31"/>
          <w:szCs w:val="31"/>
          <w:u w:val="none"/>
          <w:lang w:val="en-US" w:eastAsia="zh-CN"/>
        </w:rPr>
        <w:t>〇</w:t>
      </w:r>
      <w:r>
        <w:rPr>
          <w:rFonts w:hint="eastAsia" w:ascii="宋体" w:hAnsi="宋体" w:eastAsia="宋体" w:cs="宋体"/>
          <w:b w:val="0"/>
          <w:bCs w:val="0"/>
          <w:spacing w:val="10"/>
          <w:sz w:val="31"/>
          <w:szCs w:val="31"/>
          <w:u w:val="none"/>
          <w:lang w:eastAsia="zh-CN"/>
        </w:rPr>
        <w:t>二</w:t>
      </w:r>
      <w:r>
        <w:rPr>
          <w:rFonts w:hint="eastAsia" w:cs="宋体"/>
          <w:b w:val="0"/>
          <w:bCs w:val="0"/>
          <w:spacing w:val="10"/>
          <w:sz w:val="31"/>
          <w:szCs w:val="31"/>
          <w:u w:val="none"/>
          <w:lang w:val="en-US" w:eastAsia="zh-CN"/>
        </w:rPr>
        <w:t>六</w:t>
      </w:r>
      <w:r>
        <w:rPr>
          <w:rFonts w:hint="eastAsia" w:ascii="宋体" w:hAnsi="宋体" w:eastAsia="宋体" w:cs="宋体"/>
          <w:b w:val="0"/>
          <w:bCs w:val="0"/>
          <w:spacing w:val="10"/>
          <w:sz w:val="31"/>
          <w:szCs w:val="31"/>
          <w:u w:val="none"/>
          <w:lang w:eastAsia="zh-CN"/>
        </w:rPr>
        <w:t>年</w:t>
      </w:r>
      <w:r>
        <w:rPr>
          <w:rFonts w:hint="eastAsia" w:cs="宋体"/>
          <w:b w:val="0"/>
          <w:bCs w:val="0"/>
          <w:spacing w:val="10"/>
          <w:sz w:val="31"/>
          <w:szCs w:val="31"/>
          <w:u w:val="none"/>
          <w:lang w:val="en-US" w:eastAsia="zh-CN"/>
        </w:rPr>
        <w:t>九</w:t>
      </w:r>
      <w:r>
        <w:rPr>
          <w:rFonts w:hint="eastAsia" w:ascii="宋体" w:hAnsi="宋体" w:eastAsia="宋体" w:cs="宋体"/>
          <w:b w:val="0"/>
          <w:bCs w:val="0"/>
          <w:spacing w:val="10"/>
          <w:sz w:val="31"/>
          <w:szCs w:val="31"/>
          <w:u w:val="none"/>
          <w:lang w:eastAsia="zh-CN"/>
        </w:rPr>
        <w:t>月</w:t>
      </w:r>
    </w:p>
    <w:p w14:paraId="315A272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8"/>
          <w:highlight w:val="none"/>
        </w:rPr>
      </w:pPr>
      <w:r>
        <w:rPr>
          <w:b/>
          <w:bCs/>
          <w:spacing w:val="8"/>
          <w:highlight w:val="none"/>
        </w:rPr>
        <w:br w:type="page"/>
      </w:r>
    </w:p>
    <w:sdt>
      <w:sdtPr>
        <w:rPr>
          <w:rFonts w:ascii="宋体" w:hAnsi="宋体" w:eastAsia="宋体" w:cs="Arial"/>
          <w:b/>
          <w:bCs/>
          <w:snapToGrid w:val="0"/>
          <w:color w:val="000000"/>
          <w:kern w:val="0"/>
          <w:sz w:val="32"/>
          <w:szCs w:val="32"/>
          <w:lang w:val="en-US" w:eastAsia="en-US" w:bidi="ar-SA"/>
        </w:rPr>
        <w:id w:val="147470310"/>
        <w15:color w:val="DBDBDB"/>
        <w:docPartObj>
          <w:docPartGallery w:val="Table of Contents"/>
          <w:docPartUnique/>
        </w:docPartObj>
      </w:sdtPr>
      <w:sdtEndPr>
        <w:rPr>
          <w:rFonts w:ascii="Arial" w:hAnsi="Arial" w:eastAsia="Arial" w:cs="Arial"/>
          <w:b/>
          <w:bCs/>
          <w:snapToGrid w:val="0"/>
          <w:color w:val="000000"/>
          <w:spacing w:val="6"/>
          <w:kern w:val="0"/>
          <w:sz w:val="21"/>
          <w:szCs w:val="21"/>
          <w:highlight w:val="none"/>
          <w:lang w:val="en-US" w:eastAsia="en-US" w:bidi="ar-SA"/>
        </w:rPr>
      </w:sdtEndPr>
      <w:sdtContent>
        <w:p w14:paraId="36323FA0">
          <w:pPr>
            <w:spacing w:before="0" w:beforeLines="0" w:after="0" w:afterLines="0" w:line="360" w:lineRule="auto"/>
            <w:ind w:left="0" w:leftChars="0" w:right="0" w:rightChars="0" w:firstLine="0" w:firstLineChars="0"/>
            <w:jc w:val="center"/>
            <w:rPr>
              <w:b/>
              <w:bCs/>
              <w:sz w:val="32"/>
              <w:szCs w:val="32"/>
            </w:rPr>
          </w:pPr>
          <w:r>
            <w:rPr>
              <w:rFonts w:ascii="宋体" w:hAnsi="宋体" w:eastAsia="宋体"/>
              <w:b/>
              <w:bCs/>
              <w:sz w:val="32"/>
              <w:szCs w:val="32"/>
            </w:rPr>
            <w:t>目</w:t>
          </w:r>
          <w:r>
            <w:rPr>
              <w:rFonts w:hint="eastAsia" w:ascii="宋体" w:hAnsi="宋体" w:eastAsia="宋体"/>
              <w:b/>
              <w:bCs/>
              <w:sz w:val="32"/>
              <w:szCs w:val="32"/>
              <w:lang w:val="en-US" w:eastAsia="zh-CN"/>
            </w:rPr>
            <w:t xml:space="preserve">    </w:t>
          </w:r>
          <w:r>
            <w:rPr>
              <w:rFonts w:ascii="宋体" w:hAnsi="宋体" w:eastAsia="宋体"/>
              <w:b/>
              <w:bCs/>
              <w:sz w:val="32"/>
              <w:szCs w:val="32"/>
            </w:rPr>
            <w:t>录</w:t>
          </w:r>
        </w:p>
        <w:p w14:paraId="389D6324">
          <w:pPr>
            <w:pStyle w:val="13"/>
            <w:tabs>
              <w:tab w:val="right" w:leader="dot" w:pos="9299"/>
            </w:tabs>
          </w:pPr>
          <w:r>
            <w:rPr>
              <w:rFonts w:hint="eastAsia" w:ascii="宋体" w:hAnsi="宋体" w:eastAsia="宋体" w:cs="宋体"/>
              <w:b/>
              <w:bCs/>
              <w:spacing w:val="6"/>
              <w:sz w:val="24"/>
              <w:szCs w:val="24"/>
              <w:highlight w:val="none"/>
            </w:rPr>
            <w:fldChar w:fldCharType="begin"/>
          </w:r>
          <w:r>
            <w:rPr>
              <w:rFonts w:hint="eastAsia" w:ascii="宋体" w:hAnsi="宋体" w:eastAsia="宋体" w:cs="宋体"/>
              <w:b/>
              <w:bCs/>
              <w:spacing w:val="6"/>
              <w:sz w:val="24"/>
              <w:szCs w:val="24"/>
              <w:highlight w:val="none"/>
            </w:rPr>
            <w:instrText xml:space="preserve">TOC \o "1-3" \h \u </w:instrText>
          </w:r>
          <w:r>
            <w:rPr>
              <w:rFonts w:hint="eastAsia" w:ascii="宋体" w:hAnsi="宋体" w:eastAsia="宋体" w:cs="宋体"/>
              <w:b/>
              <w:bCs/>
              <w:spacing w:val="6"/>
              <w:sz w:val="24"/>
              <w:szCs w:val="24"/>
              <w:highlight w:val="none"/>
            </w:rPr>
            <w:fldChar w:fldCharType="separate"/>
          </w: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_Toc21444 </w:instrText>
          </w:r>
          <w:r>
            <w:rPr>
              <w:rFonts w:hint="eastAsia" w:ascii="宋体" w:hAnsi="宋体" w:eastAsia="宋体" w:cs="宋体"/>
              <w:bCs/>
              <w:spacing w:val="6"/>
              <w:szCs w:val="24"/>
              <w:highlight w:val="none"/>
            </w:rPr>
            <w:fldChar w:fldCharType="separate"/>
          </w:r>
          <w:r>
            <w:t>第一章投标邀请</w:t>
          </w:r>
          <w:r>
            <w:tab/>
          </w:r>
          <w:r>
            <w:fldChar w:fldCharType="begin"/>
          </w:r>
          <w:r>
            <w:instrText xml:space="preserve"> PAGEREF _Toc21444 \h </w:instrText>
          </w:r>
          <w:r>
            <w:fldChar w:fldCharType="separate"/>
          </w:r>
          <w:r>
            <w:t>4</w:t>
          </w:r>
          <w:r>
            <w:fldChar w:fldCharType="end"/>
          </w:r>
          <w:r>
            <w:rPr>
              <w:rFonts w:hint="eastAsia" w:ascii="宋体" w:hAnsi="宋体" w:eastAsia="宋体" w:cs="宋体"/>
              <w:bCs/>
              <w:spacing w:val="6"/>
              <w:szCs w:val="24"/>
              <w:highlight w:val="none"/>
            </w:rPr>
            <w:fldChar w:fldCharType="end"/>
          </w:r>
        </w:p>
        <w:p w14:paraId="50324444">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_Toc31709 </w:instrText>
          </w:r>
          <w:r>
            <w:rPr>
              <w:rFonts w:hint="eastAsia" w:ascii="宋体" w:hAnsi="宋体" w:eastAsia="宋体" w:cs="宋体"/>
              <w:bCs/>
              <w:spacing w:val="6"/>
              <w:szCs w:val="24"/>
              <w:highlight w:val="none"/>
            </w:rPr>
            <w:fldChar w:fldCharType="separate"/>
          </w:r>
          <w:r>
            <w:t>第二章投标须知</w:t>
          </w:r>
          <w:r>
            <w:tab/>
          </w:r>
          <w:r>
            <w:fldChar w:fldCharType="begin"/>
          </w:r>
          <w:r>
            <w:instrText xml:space="preserve"> PAGEREF _Toc31709 \h </w:instrText>
          </w:r>
          <w:r>
            <w:fldChar w:fldCharType="separate"/>
          </w:r>
          <w:r>
            <w:t>10</w:t>
          </w:r>
          <w:r>
            <w:fldChar w:fldCharType="end"/>
          </w:r>
          <w:r>
            <w:rPr>
              <w:rFonts w:hint="eastAsia" w:ascii="宋体" w:hAnsi="宋体" w:eastAsia="宋体" w:cs="宋体"/>
              <w:bCs/>
              <w:spacing w:val="6"/>
              <w:szCs w:val="24"/>
              <w:highlight w:val="none"/>
            </w:rPr>
            <w:fldChar w:fldCharType="end"/>
          </w:r>
        </w:p>
        <w:p w14:paraId="6F15B4E1">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_Toc32064 </w:instrText>
          </w:r>
          <w:r>
            <w:rPr>
              <w:rFonts w:hint="eastAsia" w:ascii="宋体" w:hAnsi="宋体" w:eastAsia="宋体" w:cs="宋体"/>
              <w:bCs/>
              <w:spacing w:val="6"/>
              <w:szCs w:val="24"/>
              <w:highlight w:val="none"/>
            </w:rPr>
            <w:fldChar w:fldCharType="separate"/>
          </w:r>
          <w:r>
            <w:t>投标须知前附表</w:t>
          </w:r>
          <w:r>
            <w:tab/>
          </w:r>
          <w:r>
            <w:fldChar w:fldCharType="begin"/>
          </w:r>
          <w:r>
            <w:instrText xml:space="preserve"> PAGEREF _Toc32064 \h </w:instrText>
          </w:r>
          <w:r>
            <w:fldChar w:fldCharType="separate"/>
          </w:r>
          <w:r>
            <w:t>10</w:t>
          </w:r>
          <w:r>
            <w:fldChar w:fldCharType="end"/>
          </w:r>
          <w:r>
            <w:rPr>
              <w:rFonts w:hint="eastAsia" w:ascii="宋体" w:hAnsi="宋体" w:eastAsia="宋体" w:cs="宋体"/>
              <w:bCs/>
              <w:spacing w:val="6"/>
              <w:szCs w:val="24"/>
              <w:highlight w:val="none"/>
            </w:rPr>
            <w:fldChar w:fldCharType="end"/>
          </w:r>
        </w:p>
        <w:p w14:paraId="18AAD2C4">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_Toc22781 </w:instrText>
          </w:r>
          <w:r>
            <w:rPr>
              <w:rFonts w:hint="eastAsia" w:ascii="宋体" w:hAnsi="宋体" w:eastAsia="宋体" w:cs="宋体"/>
              <w:bCs/>
              <w:spacing w:val="6"/>
              <w:szCs w:val="24"/>
              <w:highlight w:val="none"/>
            </w:rPr>
            <w:fldChar w:fldCharType="separate"/>
          </w:r>
          <w:r>
            <w:t>投标须知正文</w:t>
          </w:r>
          <w:r>
            <w:tab/>
          </w:r>
          <w:r>
            <w:fldChar w:fldCharType="begin"/>
          </w:r>
          <w:r>
            <w:instrText xml:space="preserve"> PAGEREF _Toc22781 \h </w:instrText>
          </w:r>
          <w:r>
            <w:fldChar w:fldCharType="separate"/>
          </w:r>
          <w:r>
            <w:t>14</w:t>
          </w:r>
          <w:r>
            <w:fldChar w:fldCharType="end"/>
          </w:r>
          <w:r>
            <w:rPr>
              <w:rFonts w:hint="eastAsia" w:ascii="宋体" w:hAnsi="宋体" w:eastAsia="宋体" w:cs="宋体"/>
              <w:bCs/>
              <w:spacing w:val="6"/>
              <w:szCs w:val="24"/>
              <w:highlight w:val="none"/>
            </w:rPr>
            <w:fldChar w:fldCharType="end"/>
          </w:r>
        </w:p>
        <w:p w14:paraId="04AD4C2A">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_Toc32586 </w:instrText>
          </w:r>
          <w:r>
            <w:rPr>
              <w:rFonts w:hint="eastAsia" w:ascii="宋体" w:hAnsi="宋体" w:eastAsia="宋体" w:cs="宋体"/>
              <w:bCs/>
              <w:spacing w:val="6"/>
              <w:szCs w:val="24"/>
              <w:highlight w:val="none"/>
            </w:rPr>
            <w:fldChar w:fldCharType="separate"/>
          </w:r>
          <w:r>
            <w:t>一、总则</w:t>
          </w:r>
          <w:r>
            <w:tab/>
          </w:r>
          <w:r>
            <w:fldChar w:fldCharType="begin"/>
          </w:r>
          <w:r>
            <w:instrText xml:space="preserve"> PAGEREF _Toc32586 \h </w:instrText>
          </w:r>
          <w:r>
            <w:fldChar w:fldCharType="separate"/>
          </w:r>
          <w:r>
            <w:t>14</w:t>
          </w:r>
          <w:r>
            <w:fldChar w:fldCharType="end"/>
          </w:r>
          <w:r>
            <w:rPr>
              <w:rFonts w:hint="eastAsia" w:ascii="宋体" w:hAnsi="宋体" w:eastAsia="宋体" w:cs="宋体"/>
              <w:bCs/>
              <w:spacing w:val="6"/>
              <w:szCs w:val="24"/>
              <w:highlight w:val="none"/>
            </w:rPr>
            <w:fldChar w:fldCharType="end"/>
          </w:r>
        </w:p>
        <w:p w14:paraId="212058E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_Toc5195 </w:instrText>
          </w:r>
          <w:r>
            <w:rPr>
              <w:rFonts w:hint="eastAsia" w:ascii="宋体" w:hAnsi="宋体" w:eastAsia="宋体" w:cs="宋体"/>
              <w:bCs/>
              <w:spacing w:val="6"/>
              <w:szCs w:val="24"/>
              <w:highlight w:val="none"/>
            </w:rPr>
            <w:fldChar w:fldCharType="separate"/>
          </w:r>
          <w:r>
            <w:rPr>
              <w:szCs w:val="24"/>
            </w:rPr>
            <w:t>1.适用范围</w:t>
          </w:r>
          <w:r>
            <w:tab/>
          </w:r>
          <w:r>
            <w:fldChar w:fldCharType="begin"/>
          </w:r>
          <w:r>
            <w:instrText xml:space="preserve"> PAGEREF _Toc5195 \h </w:instrText>
          </w:r>
          <w:r>
            <w:fldChar w:fldCharType="separate"/>
          </w:r>
          <w:r>
            <w:t>14</w:t>
          </w:r>
          <w:r>
            <w:fldChar w:fldCharType="end"/>
          </w:r>
          <w:r>
            <w:rPr>
              <w:rFonts w:hint="eastAsia" w:ascii="宋体" w:hAnsi="宋体" w:eastAsia="宋体" w:cs="宋体"/>
              <w:bCs/>
              <w:spacing w:val="6"/>
              <w:szCs w:val="24"/>
              <w:highlight w:val="none"/>
            </w:rPr>
            <w:fldChar w:fldCharType="end"/>
          </w:r>
        </w:p>
        <w:p w14:paraId="21EAF5BA">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_Toc24636 </w:instrText>
          </w:r>
          <w:r>
            <w:rPr>
              <w:rFonts w:hint="eastAsia" w:ascii="宋体" w:hAnsi="宋体" w:eastAsia="宋体" w:cs="宋体"/>
              <w:bCs/>
              <w:spacing w:val="6"/>
              <w:szCs w:val="24"/>
              <w:highlight w:val="none"/>
            </w:rPr>
            <w:fldChar w:fldCharType="separate"/>
          </w:r>
          <w:r>
            <w:rPr>
              <w:szCs w:val="24"/>
            </w:rPr>
            <w:t>2.定义</w:t>
          </w:r>
          <w:r>
            <w:tab/>
          </w:r>
          <w:r>
            <w:fldChar w:fldCharType="begin"/>
          </w:r>
          <w:r>
            <w:instrText xml:space="preserve"> PAGEREF _Toc24636 \h </w:instrText>
          </w:r>
          <w:r>
            <w:fldChar w:fldCharType="separate"/>
          </w:r>
          <w:r>
            <w:t>14</w:t>
          </w:r>
          <w:r>
            <w:fldChar w:fldCharType="end"/>
          </w:r>
          <w:r>
            <w:rPr>
              <w:rFonts w:hint="eastAsia" w:ascii="宋体" w:hAnsi="宋体" w:eastAsia="宋体" w:cs="宋体"/>
              <w:bCs/>
              <w:spacing w:val="6"/>
              <w:szCs w:val="24"/>
              <w:highlight w:val="none"/>
            </w:rPr>
            <w:fldChar w:fldCharType="end"/>
          </w:r>
        </w:p>
        <w:p w14:paraId="48503C1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_Toc13177 </w:instrText>
          </w:r>
          <w:r>
            <w:rPr>
              <w:rFonts w:hint="eastAsia" w:ascii="宋体" w:hAnsi="宋体" w:eastAsia="宋体" w:cs="宋体"/>
              <w:bCs/>
              <w:spacing w:val="6"/>
              <w:szCs w:val="24"/>
              <w:highlight w:val="none"/>
            </w:rPr>
            <w:fldChar w:fldCharType="separate"/>
          </w:r>
          <w:r>
            <w:rPr>
              <w:szCs w:val="24"/>
            </w:rPr>
            <w:t>3.投标供应商的资格要求</w:t>
          </w:r>
          <w:r>
            <w:tab/>
          </w:r>
          <w:r>
            <w:fldChar w:fldCharType="begin"/>
          </w:r>
          <w:r>
            <w:instrText xml:space="preserve"> PAGEREF _Toc13177 \h </w:instrText>
          </w:r>
          <w:r>
            <w:fldChar w:fldCharType="separate"/>
          </w:r>
          <w:r>
            <w:t>14</w:t>
          </w:r>
          <w:r>
            <w:fldChar w:fldCharType="end"/>
          </w:r>
          <w:r>
            <w:rPr>
              <w:rFonts w:hint="eastAsia" w:ascii="宋体" w:hAnsi="宋体" w:eastAsia="宋体" w:cs="宋体"/>
              <w:bCs/>
              <w:spacing w:val="6"/>
              <w:szCs w:val="24"/>
              <w:highlight w:val="none"/>
            </w:rPr>
            <w:fldChar w:fldCharType="end"/>
          </w:r>
        </w:p>
        <w:p w14:paraId="1E308A6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_Toc19649 </w:instrText>
          </w:r>
          <w:r>
            <w:rPr>
              <w:rFonts w:hint="eastAsia" w:ascii="宋体" w:hAnsi="宋体" w:eastAsia="宋体" w:cs="宋体"/>
              <w:bCs/>
              <w:spacing w:val="6"/>
              <w:szCs w:val="24"/>
              <w:highlight w:val="none"/>
            </w:rPr>
            <w:fldChar w:fldCharType="separate"/>
          </w:r>
          <w:r>
            <w:rPr>
              <w:szCs w:val="24"/>
            </w:rPr>
            <w:t>4.投标费用</w:t>
          </w:r>
          <w:r>
            <w:tab/>
          </w:r>
          <w:r>
            <w:fldChar w:fldCharType="begin"/>
          </w:r>
          <w:r>
            <w:instrText xml:space="preserve"> PAGEREF _Toc19649 \h </w:instrText>
          </w:r>
          <w:r>
            <w:fldChar w:fldCharType="separate"/>
          </w:r>
          <w:r>
            <w:t>15</w:t>
          </w:r>
          <w:r>
            <w:fldChar w:fldCharType="end"/>
          </w:r>
          <w:r>
            <w:rPr>
              <w:rFonts w:hint="eastAsia" w:ascii="宋体" w:hAnsi="宋体" w:eastAsia="宋体" w:cs="宋体"/>
              <w:bCs/>
              <w:spacing w:val="6"/>
              <w:szCs w:val="24"/>
              <w:highlight w:val="none"/>
            </w:rPr>
            <w:fldChar w:fldCharType="end"/>
          </w:r>
        </w:p>
        <w:p w14:paraId="13CE1497">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_Toc24412 </w:instrText>
          </w:r>
          <w:r>
            <w:rPr>
              <w:rFonts w:hint="eastAsia" w:ascii="宋体" w:hAnsi="宋体" w:eastAsia="宋体" w:cs="宋体"/>
              <w:bCs/>
              <w:spacing w:val="6"/>
              <w:szCs w:val="24"/>
              <w:highlight w:val="none"/>
            </w:rPr>
            <w:fldChar w:fldCharType="separate"/>
          </w:r>
          <w:r>
            <w:rPr>
              <w:szCs w:val="24"/>
            </w:rPr>
            <w:t>5.保密</w:t>
          </w:r>
          <w:r>
            <w:tab/>
          </w:r>
          <w:r>
            <w:fldChar w:fldCharType="begin"/>
          </w:r>
          <w:r>
            <w:instrText xml:space="preserve"> PAGEREF _Toc24412 \h </w:instrText>
          </w:r>
          <w:r>
            <w:fldChar w:fldCharType="separate"/>
          </w:r>
          <w:r>
            <w:t>15</w:t>
          </w:r>
          <w:r>
            <w:fldChar w:fldCharType="end"/>
          </w:r>
          <w:r>
            <w:rPr>
              <w:rFonts w:hint="eastAsia" w:ascii="宋体" w:hAnsi="宋体" w:eastAsia="宋体" w:cs="宋体"/>
              <w:bCs/>
              <w:spacing w:val="6"/>
              <w:szCs w:val="24"/>
              <w:highlight w:val="none"/>
            </w:rPr>
            <w:fldChar w:fldCharType="end"/>
          </w:r>
        </w:p>
        <w:p w14:paraId="326331C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_Toc1506 </w:instrText>
          </w:r>
          <w:r>
            <w:rPr>
              <w:rFonts w:hint="eastAsia" w:ascii="宋体" w:hAnsi="宋体" w:eastAsia="宋体" w:cs="宋体"/>
              <w:bCs/>
              <w:spacing w:val="6"/>
              <w:szCs w:val="24"/>
              <w:highlight w:val="none"/>
            </w:rPr>
            <w:fldChar w:fldCharType="separate"/>
          </w:r>
          <w:r>
            <w:rPr>
              <w:szCs w:val="24"/>
            </w:rPr>
            <w:t>6．组织现场考察或者召开答疑会</w:t>
          </w:r>
          <w:r>
            <w:tab/>
          </w:r>
          <w:r>
            <w:fldChar w:fldCharType="begin"/>
          </w:r>
          <w:r>
            <w:instrText xml:space="preserve"> PAGEREF _Toc1506 \h </w:instrText>
          </w:r>
          <w:r>
            <w:fldChar w:fldCharType="separate"/>
          </w:r>
          <w:r>
            <w:t>15</w:t>
          </w:r>
          <w:r>
            <w:fldChar w:fldCharType="end"/>
          </w:r>
          <w:r>
            <w:rPr>
              <w:rFonts w:hint="eastAsia" w:ascii="宋体" w:hAnsi="宋体" w:eastAsia="宋体" w:cs="宋体"/>
              <w:bCs/>
              <w:spacing w:val="6"/>
              <w:szCs w:val="24"/>
              <w:highlight w:val="none"/>
            </w:rPr>
            <w:fldChar w:fldCharType="end"/>
          </w:r>
        </w:p>
        <w:p w14:paraId="74D967E6">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_Toc19001 </w:instrText>
          </w:r>
          <w:r>
            <w:rPr>
              <w:rFonts w:hint="eastAsia" w:ascii="宋体" w:hAnsi="宋体" w:eastAsia="宋体" w:cs="宋体"/>
              <w:bCs/>
              <w:spacing w:val="6"/>
              <w:szCs w:val="24"/>
              <w:highlight w:val="none"/>
            </w:rPr>
            <w:fldChar w:fldCharType="separate"/>
          </w:r>
          <w:r>
            <w:t>二、招标文件</w:t>
          </w:r>
          <w:r>
            <w:tab/>
          </w:r>
          <w:r>
            <w:fldChar w:fldCharType="begin"/>
          </w:r>
          <w:r>
            <w:instrText xml:space="preserve"> PAGEREF _Toc19001 \h </w:instrText>
          </w:r>
          <w:r>
            <w:fldChar w:fldCharType="separate"/>
          </w:r>
          <w:r>
            <w:t>15</w:t>
          </w:r>
          <w:r>
            <w:fldChar w:fldCharType="end"/>
          </w:r>
          <w:r>
            <w:rPr>
              <w:rFonts w:hint="eastAsia" w:ascii="宋体" w:hAnsi="宋体" w:eastAsia="宋体" w:cs="宋体"/>
              <w:bCs/>
              <w:spacing w:val="6"/>
              <w:szCs w:val="24"/>
              <w:highlight w:val="none"/>
            </w:rPr>
            <w:fldChar w:fldCharType="end"/>
          </w:r>
        </w:p>
        <w:p w14:paraId="7D85346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_Toc7341 </w:instrText>
          </w:r>
          <w:r>
            <w:rPr>
              <w:rFonts w:hint="eastAsia" w:ascii="宋体" w:hAnsi="宋体" w:eastAsia="宋体" w:cs="宋体"/>
              <w:bCs/>
              <w:spacing w:val="6"/>
              <w:szCs w:val="24"/>
              <w:highlight w:val="none"/>
            </w:rPr>
            <w:fldChar w:fldCharType="separate"/>
          </w:r>
          <w:r>
            <w:rPr>
              <w:szCs w:val="24"/>
            </w:rPr>
            <w:t>7.招标文件的构成</w:t>
          </w:r>
          <w:r>
            <w:tab/>
          </w:r>
          <w:r>
            <w:fldChar w:fldCharType="begin"/>
          </w:r>
          <w:r>
            <w:instrText xml:space="preserve"> PAGEREF _Toc7341 \h </w:instrText>
          </w:r>
          <w:r>
            <w:fldChar w:fldCharType="separate"/>
          </w:r>
          <w:r>
            <w:t>15</w:t>
          </w:r>
          <w:r>
            <w:fldChar w:fldCharType="end"/>
          </w:r>
          <w:r>
            <w:rPr>
              <w:rFonts w:hint="eastAsia" w:ascii="宋体" w:hAnsi="宋体" w:eastAsia="宋体" w:cs="宋体"/>
              <w:bCs/>
              <w:spacing w:val="6"/>
              <w:szCs w:val="24"/>
              <w:highlight w:val="none"/>
            </w:rPr>
            <w:fldChar w:fldCharType="end"/>
          </w:r>
        </w:p>
        <w:p w14:paraId="43377D1A">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_Toc12632 </w:instrText>
          </w:r>
          <w:r>
            <w:rPr>
              <w:rFonts w:hint="eastAsia" w:ascii="宋体" w:hAnsi="宋体" w:eastAsia="宋体" w:cs="宋体"/>
              <w:bCs/>
              <w:spacing w:val="6"/>
              <w:szCs w:val="24"/>
              <w:highlight w:val="none"/>
            </w:rPr>
            <w:fldChar w:fldCharType="separate"/>
          </w:r>
          <w:r>
            <w:rPr>
              <w:szCs w:val="24"/>
            </w:rPr>
            <w:t>8．偏离与实质性响应</w:t>
          </w:r>
          <w:r>
            <w:tab/>
          </w:r>
          <w:r>
            <w:fldChar w:fldCharType="begin"/>
          </w:r>
          <w:r>
            <w:instrText xml:space="preserve"> PAGEREF _Toc12632 \h </w:instrText>
          </w:r>
          <w:r>
            <w:fldChar w:fldCharType="separate"/>
          </w:r>
          <w:r>
            <w:t>16</w:t>
          </w:r>
          <w:r>
            <w:fldChar w:fldCharType="end"/>
          </w:r>
          <w:r>
            <w:rPr>
              <w:rFonts w:hint="eastAsia" w:ascii="宋体" w:hAnsi="宋体" w:eastAsia="宋体" w:cs="宋体"/>
              <w:bCs/>
              <w:spacing w:val="6"/>
              <w:szCs w:val="24"/>
              <w:highlight w:val="none"/>
            </w:rPr>
            <w:fldChar w:fldCharType="end"/>
          </w:r>
        </w:p>
        <w:p w14:paraId="27BA4CE9">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_Toc20463 </w:instrText>
          </w:r>
          <w:r>
            <w:rPr>
              <w:rFonts w:hint="eastAsia" w:ascii="宋体" w:hAnsi="宋体" w:eastAsia="宋体" w:cs="宋体"/>
              <w:bCs/>
              <w:spacing w:val="6"/>
              <w:szCs w:val="24"/>
              <w:highlight w:val="none"/>
            </w:rPr>
            <w:fldChar w:fldCharType="separate"/>
          </w:r>
          <w:r>
            <w:rPr>
              <w:szCs w:val="24"/>
            </w:rPr>
            <w:t>9.询问</w:t>
          </w:r>
          <w:r>
            <w:tab/>
          </w:r>
          <w:r>
            <w:fldChar w:fldCharType="begin"/>
          </w:r>
          <w:r>
            <w:instrText xml:space="preserve"> PAGEREF _Toc20463 \h </w:instrText>
          </w:r>
          <w:r>
            <w:fldChar w:fldCharType="separate"/>
          </w:r>
          <w:r>
            <w:t>16</w:t>
          </w:r>
          <w:r>
            <w:fldChar w:fldCharType="end"/>
          </w:r>
          <w:r>
            <w:rPr>
              <w:rFonts w:hint="eastAsia" w:ascii="宋体" w:hAnsi="宋体" w:eastAsia="宋体" w:cs="宋体"/>
              <w:bCs/>
              <w:spacing w:val="6"/>
              <w:szCs w:val="24"/>
              <w:highlight w:val="none"/>
            </w:rPr>
            <w:fldChar w:fldCharType="end"/>
          </w:r>
        </w:p>
        <w:p w14:paraId="71CD0F3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_Toc7252 </w:instrText>
          </w:r>
          <w:r>
            <w:rPr>
              <w:rFonts w:hint="eastAsia" w:ascii="宋体" w:hAnsi="宋体" w:eastAsia="宋体" w:cs="宋体"/>
              <w:bCs/>
              <w:spacing w:val="6"/>
              <w:szCs w:val="24"/>
              <w:highlight w:val="none"/>
            </w:rPr>
            <w:fldChar w:fldCharType="separate"/>
          </w:r>
          <w:r>
            <w:rPr>
              <w:szCs w:val="24"/>
            </w:rPr>
            <w:t>10.招标文件的澄清或者修改</w:t>
          </w:r>
          <w:r>
            <w:tab/>
          </w:r>
          <w:r>
            <w:fldChar w:fldCharType="begin"/>
          </w:r>
          <w:r>
            <w:instrText xml:space="preserve"> PAGEREF _Toc7252 \h </w:instrText>
          </w:r>
          <w:r>
            <w:fldChar w:fldCharType="separate"/>
          </w:r>
          <w:r>
            <w:t>16</w:t>
          </w:r>
          <w:r>
            <w:fldChar w:fldCharType="end"/>
          </w:r>
          <w:r>
            <w:rPr>
              <w:rFonts w:hint="eastAsia" w:ascii="宋体" w:hAnsi="宋体" w:eastAsia="宋体" w:cs="宋体"/>
              <w:bCs/>
              <w:spacing w:val="6"/>
              <w:szCs w:val="24"/>
              <w:highlight w:val="none"/>
            </w:rPr>
            <w:fldChar w:fldCharType="end"/>
          </w:r>
        </w:p>
        <w:p w14:paraId="7E161A10">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_Toc17618 </w:instrText>
          </w:r>
          <w:r>
            <w:rPr>
              <w:rFonts w:hint="eastAsia" w:ascii="宋体" w:hAnsi="宋体" w:eastAsia="宋体" w:cs="宋体"/>
              <w:bCs/>
              <w:spacing w:val="6"/>
              <w:szCs w:val="24"/>
              <w:highlight w:val="none"/>
            </w:rPr>
            <w:fldChar w:fldCharType="separate"/>
          </w:r>
          <w:r>
            <w:t>三、投标文件</w:t>
          </w:r>
          <w:r>
            <w:tab/>
          </w:r>
          <w:r>
            <w:fldChar w:fldCharType="begin"/>
          </w:r>
          <w:r>
            <w:instrText xml:space="preserve"> PAGEREF _Toc17618 \h </w:instrText>
          </w:r>
          <w:r>
            <w:fldChar w:fldCharType="separate"/>
          </w:r>
          <w:r>
            <w:t>17</w:t>
          </w:r>
          <w:r>
            <w:fldChar w:fldCharType="end"/>
          </w:r>
          <w:r>
            <w:rPr>
              <w:rFonts w:hint="eastAsia" w:ascii="宋体" w:hAnsi="宋体" w:eastAsia="宋体" w:cs="宋体"/>
              <w:bCs/>
              <w:spacing w:val="6"/>
              <w:szCs w:val="24"/>
              <w:highlight w:val="none"/>
            </w:rPr>
            <w:fldChar w:fldCharType="end"/>
          </w:r>
        </w:p>
        <w:p w14:paraId="7686F313">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_Toc20419 </w:instrText>
          </w:r>
          <w:r>
            <w:rPr>
              <w:rFonts w:hint="eastAsia" w:ascii="宋体" w:hAnsi="宋体" w:eastAsia="宋体" w:cs="宋体"/>
              <w:bCs/>
              <w:spacing w:val="6"/>
              <w:szCs w:val="24"/>
              <w:highlight w:val="none"/>
            </w:rPr>
            <w:fldChar w:fldCharType="separate"/>
          </w:r>
          <w:r>
            <w:rPr>
              <w:szCs w:val="24"/>
            </w:rPr>
            <w:t>11.投标语言</w:t>
          </w:r>
          <w:r>
            <w:tab/>
          </w:r>
          <w:r>
            <w:fldChar w:fldCharType="begin"/>
          </w:r>
          <w:r>
            <w:instrText xml:space="preserve"> PAGEREF _Toc20419 \h </w:instrText>
          </w:r>
          <w:r>
            <w:fldChar w:fldCharType="separate"/>
          </w:r>
          <w:r>
            <w:t>17</w:t>
          </w:r>
          <w:r>
            <w:fldChar w:fldCharType="end"/>
          </w:r>
          <w:r>
            <w:rPr>
              <w:rFonts w:hint="eastAsia" w:ascii="宋体" w:hAnsi="宋体" w:eastAsia="宋体" w:cs="宋体"/>
              <w:bCs/>
              <w:spacing w:val="6"/>
              <w:szCs w:val="24"/>
              <w:highlight w:val="none"/>
            </w:rPr>
            <w:fldChar w:fldCharType="end"/>
          </w:r>
        </w:p>
        <w:p w14:paraId="5963190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_Toc22883 </w:instrText>
          </w:r>
          <w:r>
            <w:rPr>
              <w:rFonts w:hint="eastAsia" w:ascii="宋体" w:hAnsi="宋体" w:eastAsia="宋体" w:cs="宋体"/>
              <w:bCs/>
              <w:spacing w:val="6"/>
              <w:szCs w:val="24"/>
              <w:highlight w:val="none"/>
            </w:rPr>
            <w:fldChar w:fldCharType="separate"/>
          </w:r>
          <w:r>
            <w:rPr>
              <w:szCs w:val="24"/>
            </w:rPr>
            <w:t>12.计量单位</w:t>
          </w:r>
          <w:r>
            <w:tab/>
          </w:r>
          <w:r>
            <w:fldChar w:fldCharType="begin"/>
          </w:r>
          <w:r>
            <w:instrText xml:space="preserve"> PAGEREF _Toc22883 \h </w:instrText>
          </w:r>
          <w:r>
            <w:fldChar w:fldCharType="separate"/>
          </w:r>
          <w:r>
            <w:t>17</w:t>
          </w:r>
          <w:r>
            <w:fldChar w:fldCharType="end"/>
          </w:r>
          <w:r>
            <w:rPr>
              <w:rFonts w:hint="eastAsia" w:ascii="宋体" w:hAnsi="宋体" w:eastAsia="宋体" w:cs="宋体"/>
              <w:bCs/>
              <w:spacing w:val="6"/>
              <w:szCs w:val="24"/>
              <w:highlight w:val="none"/>
            </w:rPr>
            <w:fldChar w:fldCharType="end"/>
          </w:r>
        </w:p>
        <w:p w14:paraId="5F9381C3">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_Toc22047 </w:instrText>
          </w:r>
          <w:r>
            <w:rPr>
              <w:rFonts w:hint="eastAsia" w:ascii="宋体" w:hAnsi="宋体" w:eastAsia="宋体" w:cs="宋体"/>
              <w:bCs/>
              <w:spacing w:val="6"/>
              <w:szCs w:val="24"/>
              <w:highlight w:val="none"/>
            </w:rPr>
            <w:fldChar w:fldCharType="separate"/>
          </w:r>
          <w:r>
            <w:rPr>
              <w:szCs w:val="24"/>
            </w:rPr>
            <w:t>13.投标文件的组成</w:t>
          </w:r>
          <w:r>
            <w:tab/>
          </w:r>
          <w:r>
            <w:fldChar w:fldCharType="begin"/>
          </w:r>
          <w:r>
            <w:instrText xml:space="preserve"> PAGEREF _Toc22047 \h </w:instrText>
          </w:r>
          <w:r>
            <w:fldChar w:fldCharType="separate"/>
          </w:r>
          <w:r>
            <w:t>17</w:t>
          </w:r>
          <w:r>
            <w:fldChar w:fldCharType="end"/>
          </w:r>
          <w:r>
            <w:rPr>
              <w:rFonts w:hint="eastAsia" w:ascii="宋体" w:hAnsi="宋体" w:eastAsia="宋体" w:cs="宋体"/>
              <w:bCs/>
              <w:spacing w:val="6"/>
              <w:szCs w:val="24"/>
              <w:highlight w:val="none"/>
            </w:rPr>
            <w:fldChar w:fldCharType="end"/>
          </w:r>
        </w:p>
        <w:p w14:paraId="34DDA26F">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_Toc21964 </w:instrText>
          </w:r>
          <w:r>
            <w:rPr>
              <w:rFonts w:hint="eastAsia" w:ascii="宋体" w:hAnsi="宋体" w:eastAsia="宋体" w:cs="宋体"/>
              <w:bCs/>
              <w:spacing w:val="6"/>
              <w:szCs w:val="24"/>
              <w:highlight w:val="none"/>
            </w:rPr>
            <w:fldChar w:fldCharType="separate"/>
          </w:r>
          <w:r>
            <w:rPr>
              <w:szCs w:val="24"/>
            </w:rPr>
            <w:t>14.投标报价</w:t>
          </w:r>
          <w:r>
            <w:tab/>
          </w:r>
          <w:r>
            <w:fldChar w:fldCharType="begin"/>
          </w:r>
          <w:r>
            <w:instrText xml:space="preserve"> PAGEREF _Toc21964 \h </w:instrText>
          </w:r>
          <w:r>
            <w:fldChar w:fldCharType="separate"/>
          </w:r>
          <w:r>
            <w:t>18</w:t>
          </w:r>
          <w:r>
            <w:fldChar w:fldCharType="end"/>
          </w:r>
          <w:r>
            <w:rPr>
              <w:rFonts w:hint="eastAsia" w:ascii="宋体" w:hAnsi="宋体" w:eastAsia="宋体" w:cs="宋体"/>
              <w:bCs/>
              <w:spacing w:val="6"/>
              <w:szCs w:val="24"/>
              <w:highlight w:val="none"/>
            </w:rPr>
            <w:fldChar w:fldCharType="end"/>
          </w:r>
        </w:p>
        <w:p w14:paraId="05D489B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_Toc23059 </w:instrText>
          </w:r>
          <w:r>
            <w:rPr>
              <w:rFonts w:hint="eastAsia" w:ascii="宋体" w:hAnsi="宋体" w:eastAsia="宋体" w:cs="宋体"/>
              <w:bCs/>
              <w:spacing w:val="6"/>
              <w:szCs w:val="24"/>
              <w:highlight w:val="none"/>
            </w:rPr>
            <w:fldChar w:fldCharType="separate"/>
          </w:r>
          <w:r>
            <w:rPr>
              <w:szCs w:val="24"/>
            </w:rPr>
            <w:t>15.投标供应商的资格证明文件</w:t>
          </w:r>
          <w:r>
            <w:tab/>
          </w:r>
          <w:r>
            <w:fldChar w:fldCharType="begin"/>
          </w:r>
          <w:r>
            <w:instrText xml:space="preserve"> PAGEREF _Toc23059 \h </w:instrText>
          </w:r>
          <w:r>
            <w:fldChar w:fldCharType="separate"/>
          </w:r>
          <w:r>
            <w:t>18</w:t>
          </w:r>
          <w:r>
            <w:fldChar w:fldCharType="end"/>
          </w:r>
          <w:r>
            <w:rPr>
              <w:rFonts w:hint="eastAsia" w:ascii="宋体" w:hAnsi="宋体" w:eastAsia="宋体" w:cs="宋体"/>
              <w:bCs/>
              <w:spacing w:val="6"/>
              <w:szCs w:val="24"/>
              <w:highlight w:val="none"/>
            </w:rPr>
            <w:fldChar w:fldCharType="end"/>
          </w:r>
        </w:p>
        <w:p w14:paraId="4D0E805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_Toc16698 </w:instrText>
          </w:r>
          <w:r>
            <w:rPr>
              <w:rFonts w:hint="eastAsia" w:ascii="宋体" w:hAnsi="宋体" w:eastAsia="宋体" w:cs="宋体"/>
              <w:bCs/>
              <w:spacing w:val="6"/>
              <w:szCs w:val="24"/>
              <w:highlight w:val="none"/>
            </w:rPr>
            <w:fldChar w:fldCharType="separate"/>
          </w:r>
          <w:r>
            <w:rPr>
              <w:szCs w:val="24"/>
            </w:rPr>
            <w:t>16.投标</w:t>
          </w:r>
          <w:r>
            <w:rPr>
              <w:rFonts w:hint="eastAsia"/>
              <w:szCs w:val="24"/>
              <w:lang w:eastAsia="zh-CN"/>
            </w:rPr>
            <w:t>货物</w:t>
          </w:r>
          <w:r>
            <w:rPr>
              <w:szCs w:val="24"/>
            </w:rPr>
            <w:t>及服务符合招标文件规定的证明文件</w:t>
          </w:r>
          <w:r>
            <w:tab/>
          </w:r>
          <w:r>
            <w:fldChar w:fldCharType="begin"/>
          </w:r>
          <w:r>
            <w:instrText xml:space="preserve"> PAGEREF _Toc16698 \h </w:instrText>
          </w:r>
          <w:r>
            <w:fldChar w:fldCharType="separate"/>
          </w:r>
          <w:r>
            <w:t>19</w:t>
          </w:r>
          <w:r>
            <w:fldChar w:fldCharType="end"/>
          </w:r>
          <w:r>
            <w:rPr>
              <w:rFonts w:hint="eastAsia" w:ascii="宋体" w:hAnsi="宋体" w:eastAsia="宋体" w:cs="宋体"/>
              <w:bCs/>
              <w:spacing w:val="6"/>
              <w:szCs w:val="24"/>
              <w:highlight w:val="none"/>
            </w:rPr>
            <w:fldChar w:fldCharType="end"/>
          </w:r>
        </w:p>
        <w:p w14:paraId="1B27AFF4">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_Toc20162 </w:instrText>
          </w:r>
          <w:r>
            <w:rPr>
              <w:rFonts w:hint="eastAsia" w:ascii="宋体" w:hAnsi="宋体" w:eastAsia="宋体" w:cs="宋体"/>
              <w:bCs/>
              <w:spacing w:val="6"/>
              <w:szCs w:val="24"/>
              <w:highlight w:val="none"/>
            </w:rPr>
            <w:fldChar w:fldCharType="separate"/>
          </w:r>
          <w:r>
            <w:rPr>
              <w:szCs w:val="24"/>
            </w:rPr>
            <w:t>17.投标有效期</w:t>
          </w:r>
          <w:r>
            <w:tab/>
          </w:r>
          <w:r>
            <w:fldChar w:fldCharType="begin"/>
          </w:r>
          <w:r>
            <w:instrText xml:space="preserve"> PAGEREF _Toc20162 \h </w:instrText>
          </w:r>
          <w:r>
            <w:fldChar w:fldCharType="separate"/>
          </w:r>
          <w:r>
            <w:t>19</w:t>
          </w:r>
          <w:r>
            <w:fldChar w:fldCharType="end"/>
          </w:r>
          <w:r>
            <w:rPr>
              <w:rFonts w:hint="eastAsia" w:ascii="宋体" w:hAnsi="宋体" w:eastAsia="宋体" w:cs="宋体"/>
              <w:bCs/>
              <w:spacing w:val="6"/>
              <w:szCs w:val="24"/>
              <w:highlight w:val="none"/>
            </w:rPr>
            <w:fldChar w:fldCharType="end"/>
          </w:r>
        </w:p>
        <w:p w14:paraId="1DA3009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_Toc16477 </w:instrText>
          </w:r>
          <w:r>
            <w:rPr>
              <w:rFonts w:hint="eastAsia" w:ascii="宋体" w:hAnsi="宋体" w:eastAsia="宋体" w:cs="宋体"/>
              <w:bCs/>
              <w:spacing w:val="6"/>
              <w:szCs w:val="24"/>
              <w:highlight w:val="none"/>
            </w:rPr>
            <w:fldChar w:fldCharType="separate"/>
          </w:r>
          <w:r>
            <w:rPr>
              <w:szCs w:val="24"/>
            </w:rPr>
            <w:t>18.投标保证金</w:t>
          </w:r>
          <w:r>
            <w:tab/>
          </w:r>
          <w:r>
            <w:fldChar w:fldCharType="begin"/>
          </w:r>
          <w:r>
            <w:instrText xml:space="preserve"> PAGEREF _Toc16477 \h </w:instrText>
          </w:r>
          <w:r>
            <w:fldChar w:fldCharType="separate"/>
          </w:r>
          <w:r>
            <w:t>20</w:t>
          </w:r>
          <w:r>
            <w:fldChar w:fldCharType="end"/>
          </w:r>
          <w:r>
            <w:rPr>
              <w:rFonts w:hint="eastAsia" w:ascii="宋体" w:hAnsi="宋体" w:eastAsia="宋体" w:cs="宋体"/>
              <w:bCs/>
              <w:spacing w:val="6"/>
              <w:szCs w:val="24"/>
              <w:highlight w:val="none"/>
            </w:rPr>
            <w:fldChar w:fldCharType="end"/>
          </w:r>
        </w:p>
        <w:p w14:paraId="027F2D52">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_Toc13155 </w:instrText>
          </w:r>
          <w:r>
            <w:rPr>
              <w:rFonts w:hint="eastAsia" w:ascii="宋体" w:hAnsi="宋体" w:eastAsia="宋体" w:cs="宋体"/>
              <w:bCs/>
              <w:spacing w:val="6"/>
              <w:szCs w:val="24"/>
              <w:highlight w:val="none"/>
            </w:rPr>
            <w:fldChar w:fldCharType="separate"/>
          </w:r>
          <w:r>
            <w:rPr>
              <w:szCs w:val="24"/>
            </w:rPr>
            <w:t>19.分包</w:t>
          </w:r>
          <w:r>
            <w:tab/>
          </w:r>
          <w:r>
            <w:fldChar w:fldCharType="begin"/>
          </w:r>
          <w:r>
            <w:instrText xml:space="preserve"> PAGEREF _Toc13155 \h </w:instrText>
          </w:r>
          <w:r>
            <w:fldChar w:fldCharType="separate"/>
          </w:r>
          <w:r>
            <w:t>20</w:t>
          </w:r>
          <w:r>
            <w:fldChar w:fldCharType="end"/>
          </w:r>
          <w:r>
            <w:rPr>
              <w:rFonts w:hint="eastAsia" w:ascii="宋体" w:hAnsi="宋体" w:eastAsia="宋体" w:cs="宋体"/>
              <w:bCs/>
              <w:spacing w:val="6"/>
              <w:szCs w:val="24"/>
              <w:highlight w:val="none"/>
            </w:rPr>
            <w:fldChar w:fldCharType="end"/>
          </w:r>
        </w:p>
        <w:p w14:paraId="368C921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_Toc32636 </w:instrText>
          </w:r>
          <w:r>
            <w:rPr>
              <w:rFonts w:hint="eastAsia" w:ascii="宋体" w:hAnsi="宋体" w:eastAsia="宋体" w:cs="宋体"/>
              <w:bCs/>
              <w:spacing w:val="6"/>
              <w:szCs w:val="24"/>
              <w:highlight w:val="none"/>
            </w:rPr>
            <w:fldChar w:fldCharType="separate"/>
          </w:r>
          <w:r>
            <w:rPr>
              <w:szCs w:val="24"/>
            </w:rPr>
            <w:t>20.投标文件的签署</w:t>
          </w:r>
          <w:r>
            <w:tab/>
          </w:r>
          <w:r>
            <w:fldChar w:fldCharType="begin"/>
          </w:r>
          <w:r>
            <w:instrText xml:space="preserve"> PAGEREF _Toc32636 \h </w:instrText>
          </w:r>
          <w:r>
            <w:fldChar w:fldCharType="separate"/>
          </w:r>
          <w:r>
            <w:t>20</w:t>
          </w:r>
          <w:r>
            <w:fldChar w:fldCharType="end"/>
          </w:r>
          <w:r>
            <w:rPr>
              <w:rFonts w:hint="eastAsia" w:ascii="宋体" w:hAnsi="宋体" w:eastAsia="宋体" w:cs="宋体"/>
              <w:bCs/>
              <w:spacing w:val="6"/>
              <w:szCs w:val="24"/>
              <w:highlight w:val="none"/>
            </w:rPr>
            <w:fldChar w:fldCharType="end"/>
          </w:r>
        </w:p>
        <w:p w14:paraId="047FD330">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_Toc30115 </w:instrText>
          </w:r>
          <w:r>
            <w:rPr>
              <w:rFonts w:hint="eastAsia" w:ascii="宋体" w:hAnsi="宋体" w:eastAsia="宋体" w:cs="宋体"/>
              <w:bCs/>
              <w:spacing w:val="6"/>
              <w:szCs w:val="24"/>
              <w:highlight w:val="none"/>
            </w:rPr>
            <w:fldChar w:fldCharType="separate"/>
          </w:r>
          <w:r>
            <w:t>四、投标</w:t>
          </w:r>
          <w:r>
            <w:tab/>
          </w:r>
          <w:r>
            <w:fldChar w:fldCharType="begin"/>
          </w:r>
          <w:r>
            <w:instrText xml:space="preserve"> PAGEREF _Toc30115 \h </w:instrText>
          </w:r>
          <w:r>
            <w:fldChar w:fldCharType="separate"/>
          </w:r>
          <w:r>
            <w:t>21</w:t>
          </w:r>
          <w:r>
            <w:fldChar w:fldCharType="end"/>
          </w:r>
          <w:r>
            <w:rPr>
              <w:rFonts w:hint="eastAsia" w:ascii="宋体" w:hAnsi="宋体" w:eastAsia="宋体" w:cs="宋体"/>
              <w:bCs/>
              <w:spacing w:val="6"/>
              <w:szCs w:val="24"/>
              <w:highlight w:val="none"/>
            </w:rPr>
            <w:fldChar w:fldCharType="end"/>
          </w:r>
        </w:p>
        <w:p w14:paraId="14F21700">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_Toc26120 </w:instrText>
          </w:r>
          <w:r>
            <w:rPr>
              <w:rFonts w:hint="eastAsia" w:ascii="宋体" w:hAnsi="宋体" w:eastAsia="宋体" w:cs="宋体"/>
              <w:bCs/>
              <w:spacing w:val="6"/>
              <w:szCs w:val="24"/>
              <w:highlight w:val="none"/>
            </w:rPr>
            <w:fldChar w:fldCharType="separate"/>
          </w:r>
          <w:r>
            <w:rPr>
              <w:szCs w:val="24"/>
            </w:rPr>
            <w:t>21.1电子投标文件的提交</w:t>
          </w:r>
          <w:r>
            <w:tab/>
          </w:r>
          <w:r>
            <w:fldChar w:fldCharType="begin"/>
          </w:r>
          <w:r>
            <w:instrText xml:space="preserve"> PAGEREF _Toc26120 \h </w:instrText>
          </w:r>
          <w:r>
            <w:fldChar w:fldCharType="separate"/>
          </w:r>
          <w:r>
            <w:t>21</w:t>
          </w:r>
          <w:r>
            <w:fldChar w:fldCharType="end"/>
          </w:r>
          <w:r>
            <w:rPr>
              <w:rFonts w:hint="eastAsia" w:ascii="宋体" w:hAnsi="宋体" w:eastAsia="宋体" w:cs="宋体"/>
              <w:bCs/>
              <w:spacing w:val="6"/>
              <w:szCs w:val="24"/>
              <w:highlight w:val="none"/>
            </w:rPr>
            <w:fldChar w:fldCharType="end"/>
          </w:r>
        </w:p>
        <w:p w14:paraId="56189FBD">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_Toc13762 </w:instrText>
          </w:r>
          <w:r>
            <w:rPr>
              <w:rFonts w:hint="eastAsia" w:ascii="宋体" w:hAnsi="宋体" w:eastAsia="宋体" w:cs="宋体"/>
              <w:bCs/>
              <w:spacing w:val="6"/>
              <w:szCs w:val="24"/>
              <w:highlight w:val="none"/>
            </w:rPr>
            <w:fldChar w:fldCharType="separate"/>
          </w:r>
          <w:r>
            <w:rPr>
              <w:szCs w:val="24"/>
            </w:rPr>
            <w:t>22.投标截止期</w:t>
          </w:r>
          <w:r>
            <w:tab/>
          </w:r>
          <w:r>
            <w:fldChar w:fldCharType="begin"/>
          </w:r>
          <w:r>
            <w:instrText xml:space="preserve"> PAGEREF _Toc13762 \h </w:instrText>
          </w:r>
          <w:r>
            <w:fldChar w:fldCharType="separate"/>
          </w:r>
          <w:r>
            <w:t>21</w:t>
          </w:r>
          <w:r>
            <w:fldChar w:fldCharType="end"/>
          </w:r>
          <w:r>
            <w:rPr>
              <w:rFonts w:hint="eastAsia" w:ascii="宋体" w:hAnsi="宋体" w:eastAsia="宋体" w:cs="宋体"/>
              <w:bCs/>
              <w:spacing w:val="6"/>
              <w:szCs w:val="24"/>
              <w:highlight w:val="none"/>
            </w:rPr>
            <w:fldChar w:fldCharType="end"/>
          </w:r>
        </w:p>
        <w:p w14:paraId="1F6754C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_Toc22407 </w:instrText>
          </w:r>
          <w:r>
            <w:rPr>
              <w:rFonts w:hint="eastAsia" w:ascii="宋体" w:hAnsi="宋体" w:eastAsia="宋体" w:cs="宋体"/>
              <w:bCs/>
              <w:spacing w:val="6"/>
              <w:szCs w:val="24"/>
              <w:highlight w:val="none"/>
            </w:rPr>
            <w:fldChar w:fldCharType="separate"/>
          </w:r>
          <w:r>
            <w:rPr>
              <w:szCs w:val="24"/>
            </w:rPr>
            <w:t>23.投标文件的修改和撤回</w:t>
          </w:r>
          <w:r>
            <w:tab/>
          </w:r>
          <w:r>
            <w:fldChar w:fldCharType="begin"/>
          </w:r>
          <w:r>
            <w:instrText xml:space="preserve"> PAGEREF _Toc22407 \h </w:instrText>
          </w:r>
          <w:r>
            <w:fldChar w:fldCharType="separate"/>
          </w:r>
          <w:r>
            <w:t>22</w:t>
          </w:r>
          <w:r>
            <w:fldChar w:fldCharType="end"/>
          </w:r>
          <w:r>
            <w:rPr>
              <w:rFonts w:hint="eastAsia" w:ascii="宋体" w:hAnsi="宋体" w:eastAsia="宋体" w:cs="宋体"/>
              <w:bCs/>
              <w:spacing w:val="6"/>
              <w:szCs w:val="24"/>
              <w:highlight w:val="none"/>
            </w:rPr>
            <w:fldChar w:fldCharType="end"/>
          </w:r>
        </w:p>
        <w:p w14:paraId="1CE21E43">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_Toc9290 </w:instrText>
          </w:r>
          <w:r>
            <w:rPr>
              <w:rFonts w:hint="eastAsia" w:ascii="宋体" w:hAnsi="宋体" w:eastAsia="宋体" w:cs="宋体"/>
              <w:bCs/>
              <w:spacing w:val="6"/>
              <w:szCs w:val="24"/>
              <w:highlight w:val="none"/>
            </w:rPr>
            <w:fldChar w:fldCharType="separate"/>
          </w:r>
          <w:r>
            <w:rPr>
              <w:szCs w:val="24"/>
            </w:rPr>
            <w:t>24.串通投标行为</w:t>
          </w:r>
          <w:r>
            <w:tab/>
          </w:r>
          <w:r>
            <w:fldChar w:fldCharType="begin"/>
          </w:r>
          <w:r>
            <w:instrText xml:space="preserve"> PAGEREF _Toc9290 \h </w:instrText>
          </w:r>
          <w:r>
            <w:fldChar w:fldCharType="separate"/>
          </w:r>
          <w:r>
            <w:t>22</w:t>
          </w:r>
          <w:r>
            <w:fldChar w:fldCharType="end"/>
          </w:r>
          <w:r>
            <w:rPr>
              <w:rFonts w:hint="eastAsia" w:ascii="宋体" w:hAnsi="宋体" w:eastAsia="宋体" w:cs="宋体"/>
              <w:bCs/>
              <w:spacing w:val="6"/>
              <w:szCs w:val="24"/>
              <w:highlight w:val="none"/>
            </w:rPr>
            <w:fldChar w:fldCharType="end"/>
          </w:r>
        </w:p>
        <w:p w14:paraId="2F823995">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_Toc14587 </w:instrText>
          </w:r>
          <w:r>
            <w:rPr>
              <w:rFonts w:hint="eastAsia" w:ascii="宋体" w:hAnsi="宋体" w:eastAsia="宋体" w:cs="宋体"/>
              <w:bCs/>
              <w:spacing w:val="6"/>
              <w:szCs w:val="24"/>
              <w:highlight w:val="none"/>
            </w:rPr>
            <w:fldChar w:fldCharType="separate"/>
          </w:r>
          <w:r>
            <w:t>五、开标，资格审查和评标</w:t>
          </w:r>
          <w:r>
            <w:tab/>
          </w:r>
          <w:r>
            <w:fldChar w:fldCharType="begin"/>
          </w:r>
          <w:r>
            <w:instrText xml:space="preserve"> PAGEREF _Toc14587 \h </w:instrText>
          </w:r>
          <w:r>
            <w:fldChar w:fldCharType="separate"/>
          </w:r>
          <w:r>
            <w:t>23</w:t>
          </w:r>
          <w:r>
            <w:fldChar w:fldCharType="end"/>
          </w:r>
          <w:r>
            <w:rPr>
              <w:rFonts w:hint="eastAsia" w:ascii="宋体" w:hAnsi="宋体" w:eastAsia="宋体" w:cs="宋体"/>
              <w:bCs/>
              <w:spacing w:val="6"/>
              <w:szCs w:val="24"/>
              <w:highlight w:val="none"/>
            </w:rPr>
            <w:fldChar w:fldCharType="end"/>
          </w:r>
        </w:p>
        <w:p w14:paraId="1D1392DF">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_Toc5742 </w:instrText>
          </w:r>
          <w:r>
            <w:rPr>
              <w:rFonts w:hint="eastAsia" w:ascii="宋体" w:hAnsi="宋体" w:eastAsia="宋体" w:cs="宋体"/>
              <w:bCs/>
              <w:spacing w:val="6"/>
              <w:szCs w:val="24"/>
              <w:highlight w:val="none"/>
            </w:rPr>
            <w:fldChar w:fldCharType="separate"/>
          </w:r>
          <w:r>
            <w:rPr>
              <w:szCs w:val="24"/>
            </w:rPr>
            <w:t>25.开标</w:t>
          </w:r>
          <w:r>
            <w:tab/>
          </w:r>
          <w:r>
            <w:fldChar w:fldCharType="begin"/>
          </w:r>
          <w:r>
            <w:instrText xml:space="preserve"> PAGEREF _Toc5742 \h </w:instrText>
          </w:r>
          <w:r>
            <w:fldChar w:fldCharType="separate"/>
          </w:r>
          <w:r>
            <w:t>23</w:t>
          </w:r>
          <w:r>
            <w:fldChar w:fldCharType="end"/>
          </w:r>
          <w:r>
            <w:rPr>
              <w:rFonts w:hint="eastAsia" w:ascii="宋体" w:hAnsi="宋体" w:eastAsia="宋体" w:cs="宋体"/>
              <w:bCs/>
              <w:spacing w:val="6"/>
              <w:szCs w:val="24"/>
              <w:highlight w:val="none"/>
            </w:rPr>
            <w:fldChar w:fldCharType="end"/>
          </w:r>
        </w:p>
        <w:p w14:paraId="28A60BF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_Toc17969 </w:instrText>
          </w:r>
          <w:r>
            <w:rPr>
              <w:rFonts w:hint="eastAsia" w:ascii="宋体" w:hAnsi="宋体" w:eastAsia="宋体" w:cs="宋体"/>
              <w:bCs/>
              <w:spacing w:val="6"/>
              <w:szCs w:val="24"/>
              <w:highlight w:val="none"/>
            </w:rPr>
            <w:fldChar w:fldCharType="separate"/>
          </w:r>
          <w:r>
            <w:rPr>
              <w:szCs w:val="24"/>
            </w:rPr>
            <w:t>26.资格审查</w:t>
          </w:r>
          <w:r>
            <w:tab/>
          </w:r>
          <w:r>
            <w:fldChar w:fldCharType="begin"/>
          </w:r>
          <w:r>
            <w:instrText xml:space="preserve"> PAGEREF _Toc17969 \h </w:instrText>
          </w:r>
          <w:r>
            <w:fldChar w:fldCharType="separate"/>
          </w:r>
          <w:r>
            <w:t>24</w:t>
          </w:r>
          <w:r>
            <w:fldChar w:fldCharType="end"/>
          </w:r>
          <w:r>
            <w:rPr>
              <w:rFonts w:hint="eastAsia" w:ascii="宋体" w:hAnsi="宋体" w:eastAsia="宋体" w:cs="宋体"/>
              <w:bCs/>
              <w:spacing w:val="6"/>
              <w:szCs w:val="24"/>
              <w:highlight w:val="none"/>
            </w:rPr>
            <w:fldChar w:fldCharType="end"/>
          </w:r>
        </w:p>
        <w:p w14:paraId="75B3BA9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_Toc20100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27.评标委员会</w:t>
          </w:r>
          <w:r>
            <w:tab/>
          </w:r>
          <w:r>
            <w:fldChar w:fldCharType="begin"/>
          </w:r>
          <w:r>
            <w:instrText xml:space="preserve"> PAGEREF _Toc20100 \h </w:instrText>
          </w:r>
          <w:r>
            <w:fldChar w:fldCharType="separate"/>
          </w:r>
          <w:r>
            <w:t>24</w:t>
          </w:r>
          <w:r>
            <w:fldChar w:fldCharType="end"/>
          </w:r>
          <w:r>
            <w:rPr>
              <w:rFonts w:hint="eastAsia" w:ascii="宋体" w:hAnsi="宋体" w:eastAsia="宋体" w:cs="宋体"/>
              <w:bCs/>
              <w:spacing w:val="6"/>
              <w:szCs w:val="24"/>
              <w:highlight w:val="none"/>
            </w:rPr>
            <w:fldChar w:fldCharType="end"/>
          </w:r>
        </w:p>
        <w:p w14:paraId="600ECA00">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_Toc24289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28.评标</w:t>
          </w:r>
          <w:r>
            <w:tab/>
          </w:r>
          <w:r>
            <w:fldChar w:fldCharType="begin"/>
          </w:r>
          <w:r>
            <w:instrText xml:space="preserve"> PAGEREF _Toc24289 \h </w:instrText>
          </w:r>
          <w:r>
            <w:fldChar w:fldCharType="separate"/>
          </w:r>
          <w:r>
            <w:t>25</w:t>
          </w:r>
          <w:r>
            <w:fldChar w:fldCharType="end"/>
          </w:r>
          <w:r>
            <w:rPr>
              <w:rFonts w:hint="eastAsia" w:ascii="宋体" w:hAnsi="宋体" w:eastAsia="宋体" w:cs="宋体"/>
              <w:bCs/>
              <w:spacing w:val="6"/>
              <w:szCs w:val="24"/>
              <w:highlight w:val="none"/>
            </w:rPr>
            <w:fldChar w:fldCharType="end"/>
          </w:r>
        </w:p>
        <w:p w14:paraId="1BC8688B">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_Toc8507 </w:instrText>
          </w:r>
          <w:r>
            <w:rPr>
              <w:rFonts w:hint="eastAsia" w:ascii="宋体" w:hAnsi="宋体" w:eastAsia="宋体" w:cs="宋体"/>
              <w:bCs/>
              <w:spacing w:val="6"/>
              <w:szCs w:val="24"/>
              <w:highlight w:val="none"/>
            </w:rPr>
            <w:fldChar w:fldCharType="separate"/>
          </w:r>
          <w:r>
            <w:t>六、中标信息公布</w:t>
          </w:r>
          <w:r>
            <w:tab/>
          </w:r>
          <w:r>
            <w:fldChar w:fldCharType="begin"/>
          </w:r>
          <w:r>
            <w:instrText xml:space="preserve"> PAGEREF _Toc8507 \h </w:instrText>
          </w:r>
          <w:r>
            <w:fldChar w:fldCharType="separate"/>
          </w:r>
          <w:r>
            <w:t>25</w:t>
          </w:r>
          <w:r>
            <w:fldChar w:fldCharType="end"/>
          </w:r>
          <w:r>
            <w:rPr>
              <w:rFonts w:hint="eastAsia" w:ascii="宋体" w:hAnsi="宋体" w:eastAsia="宋体" w:cs="宋体"/>
              <w:bCs/>
              <w:spacing w:val="6"/>
              <w:szCs w:val="24"/>
              <w:highlight w:val="none"/>
            </w:rPr>
            <w:fldChar w:fldCharType="end"/>
          </w:r>
        </w:p>
        <w:p w14:paraId="14645C74">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_Toc29067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29.中标通知书与中标信息公布</w:t>
          </w:r>
          <w:r>
            <w:tab/>
          </w:r>
          <w:r>
            <w:fldChar w:fldCharType="begin"/>
          </w:r>
          <w:r>
            <w:instrText xml:space="preserve"> PAGEREF _Toc29067 \h </w:instrText>
          </w:r>
          <w:r>
            <w:fldChar w:fldCharType="separate"/>
          </w:r>
          <w:r>
            <w:t>25</w:t>
          </w:r>
          <w:r>
            <w:fldChar w:fldCharType="end"/>
          </w:r>
          <w:r>
            <w:rPr>
              <w:rFonts w:hint="eastAsia" w:ascii="宋体" w:hAnsi="宋体" w:eastAsia="宋体" w:cs="宋体"/>
              <w:bCs/>
              <w:spacing w:val="6"/>
              <w:szCs w:val="24"/>
              <w:highlight w:val="none"/>
            </w:rPr>
            <w:fldChar w:fldCharType="end"/>
          </w:r>
        </w:p>
        <w:p w14:paraId="394698F3">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_Toc9585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30.投标供应商询问及质疑</w:t>
          </w:r>
          <w:r>
            <w:tab/>
          </w:r>
          <w:r>
            <w:fldChar w:fldCharType="begin"/>
          </w:r>
          <w:r>
            <w:instrText xml:space="preserve"> PAGEREF _Toc9585 \h </w:instrText>
          </w:r>
          <w:r>
            <w:fldChar w:fldCharType="separate"/>
          </w:r>
          <w:r>
            <w:t>25</w:t>
          </w:r>
          <w:r>
            <w:fldChar w:fldCharType="end"/>
          </w:r>
          <w:r>
            <w:rPr>
              <w:rFonts w:hint="eastAsia" w:ascii="宋体" w:hAnsi="宋体" w:eastAsia="宋体" w:cs="宋体"/>
              <w:bCs/>
              <w:spacing w:val="6"/>
              <w:szCs w:val="24"/>
              <w:highlight w:val="none"/>
            </w:rPr>
            <w:fldChar w:fldCharType="end"/>
          </w:r>
        </w:p>
        <w:p w14:paraId="5D8B2A7E">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_Toc6767 </w:instrText>
          </w:r>
          <w:r>
            <w:rPr>
              <w:rFonts w:hint="eastAsia" w:ascii="宋体" w:hAnsi="宋体" w:eastAsia="宋体" w:cs="宋体"/>
              <w:bCs/>
              <w:spacing w:val="6"/>
              <w:szCs w:val="24"/>
              <w:highlight w:val="none"/>
            </w:rPr>
            <w:fldChar w:fldCharType="separate"/>
          </w:r>
          <w:r>
            <w:t>七、合同签订</w:t>
          </w:r>
          <w:r>
            <w:tab/>
          </w:r>
          <w:r>
            <w:fldChar w:fldCharType="begin"/>
          </w:r>
          <w:r>
            <w:instrText xml:space="preserve"> PAGEREF _Toc6767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495CB37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_Toc19419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31.签订合同</w:t>
          </w:r>
          <w:r>
            <w:tab/>
          </w:r>
          <w:r>
            <w:fldChar w:fldCharType="begin"/>
          </w:r>
          <w:r>
            <w:instrText xml:space="preserve"> PAGEREF _Toc19419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32A6298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_Toc32532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32.履约担保</w:t>
          </w:r>
          <w:r>
            <w:tab/>
          </w:r>
          <w:r>
            <w:fldChar w:fldCharType="begin"/>
          </w:r>
          <w:r>
            <w:instrText xml:space="preserve"> PAGEREF _Toc32532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5E9E4636">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_Toc25826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33.政府采购合同履行中数量的变更</w:t>
          </w:r>
          <w:r>
            <w:tab/>
          </w:r>
          <w:r>
            <w:fldChar w:fldCharType="begin"/>
          </w:r>
          <w:r>
            <w:instrText xml:space="preserve"> PAGEREF _Toc25826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036BBE78">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_Toc29497 </w:instrText>
          </w:r>
          <w:r>
            <w:rPr>
              <w:rFonts w:hint="eastAsia" w:ascii="宋体" w:hAnsi="宋体" w:eastAsia="宋体" w:cs="宋体"/>
              <w:bCs/>
              <w:spacing w:val="6"/>
              <w:szCs w:val="24"/>
              <w:highlight w:val="none"/>
            </w:rPr>
            <w:fldChar w:fldCharType="separate"/>
          </w:r>
          <w:r>
            <w:t>八、其他规定</w:t>
          </w:r>
          <w:r>
            <w:tab/>
          </w:r>
          <w:r>
            <w:fldChar w:fldCharType="begin"/>
          </w:r>
          <w:r>
            <w:instrText xml:space="preserve"> PAGEREF _Toc29497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44ECCB5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_Toc3676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34.政府采购政策</w:t>
          </w:r>
          <w:r>
            <w:tab/>
          </w:r>
          <w:r>
            <w:fldChar w:fldCharType="begin"/>
          </w:r>
          <w:r>
            <w:instrText xml:space="preserve"> PAGEREF _Toc3676 \h </w:instrText>
          </w:r>
          <w:r>
            <w:fldChar w:fldCharType="separate"/>
          </w:r>
          <w:r>
            <w:t>27</w:t>
          </w:r>
          <w:r>
            <w:fldChar w:fldCharType="end"/>
          </w:r>
          <w:r>
            <w:rPr>
              <w:rFonts w:hint="eastAsia" w:ascii="宋体" w:hAnsi="宋体" w:eastAsia="宋体" w:cs="宋体"/>
              <w:bCs/>
              <w:spacing w:val="6"/>
              <w:szCs w:val="24"/>
              <w:highlight w:val="none"/>
            </w:rPr>
            <w:fldChar w:fldCharType="end"/>
          </w:r>
        </w:p>
        <w:p w14:paraId="3A651276">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_Toc6700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35.招标不足三家处理</w:t>
          </w:r>
          <w:r>
            <w:tab/>
          </w:r>
          <w:r>
            <w:fldChar w:fldCharType="begin"/>
          </w:r>
          <w:r>
            <w:instrText xml:space="preserve"> PAGEREF _Toc6700 \h </w:instrText>
          </w:r>
          <w:r>
            <w:fldChar w:fldCharType="separate"/>
          </w:r>
          <w:r>
            <w:t>29</w:t>
          </w:r>
          <w:r>
            <w:fldChar w:fldCharType="end"/>
          </w:r>
          <w:r>
            <w:rPr>
              <w:rFonts w:hint="eastAsia" w:ascii="宋体" w:hAnsi="宋体" w:eastAsia="宋体" w:cs="宋体"/>
              <w:bCs/>
              <w:spacing w:val="6"/>
              <w:szCs w:val="24"/>
              <w:highlight w:val="none"/>
            </w:rPr>
            <w:fldChar w:fldCharType="end"/>
          </w:r>
        </w:p>
        <w:p w14:paraId="12C5E62F">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_Toc4102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36.需要补充的其他内容</w:t>
          </w:r>
          <w:r>
            <w:tab/>
          </w:r>
          <w:r>
            <w:fldChar w:fldCharType="begin"/>
          </w:r>
          <w:r>
            <w:instrText xml:space="preserve"> PAGEREF _Toc4102 \h </w:instrText>
          </w:r>
          <w:r>
            <w:fldChar w:fldCharType="separate"/>
          </w:r>
          <w:r>
            <w:t>30</w:t>
          </w:r>
          <w:r>
            <w:fldChar w:fldCharType="end"/>
          </w:r>
          <w:r>
            <w:rPr>
              <w:rFonts w:hint="eastAsia" w:ascii="宋体" w:hAnsi="宋体" w:eastAsia="宋体" w:cs="宋体"/>
              <w:bCs/>
              <w:spacing w:val="6"/>
              <w:szCs w:val="24"/>
              <w:highlight w:val="none"/>
            </w:rPr>
            <w:fldChar w:fldCharType="end"/>
          </w:r>
        </w:p>
        <w:p w14:paraId="463088AF">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_Toc4043 </w:instrText>
          </w:r>
          <w:r>
            <w:rPr>
              <w:rFonts w:hint="eastAsia" w:ascii="宋体" w:hAnsi="宋体" w:eastAsia="宋体" w:cs="宋体"/>
              <w:bCs/>
              <w:spacing w:val="6"/>
              <w:szCs w:val="24"/>
              <w:highlight w:val="none"/>
            </w:rPr>
            <w:fldChar w:fldCharType="separate"/>
          </w:r>
          <w:r>
            <w:t>第三章资格审查</w:t>
          </w:r>
          <w:r>
            <w:tab/>
          </w:r>
          <w:r>
            <w:fldChar w:fldCharType="begin"/>
          </w:r>
          <w:r>
            <w:instrText xml:space="preserve"> PAGEREF _Toc4043 \h </w:instrText>
          </w:r>
          <w:r>
            <w:fldChar w:fldCharType="separate"/>
          </w:r>
          <w:r>
            <w:t>31</w:t>
          </w:r>
          <w:r>
            <w:fldChar w:fldCharType="end"/>
          </w:r>
          <w:r>
            <w:rPr>
              <w:rFonts w:hint="eastAsia" w:ascii="宋体" w:hAnsi="宋体" w:eastAsia="宋体" w:cs="宋体"/>
              <w:bCs/>
              <w:spacing w:val="6"/>
              <w:szCs w:val="24"/>
              <w:highlight w:val="none"/>
            </w:rPr>
            <w:fldChar w:fldCharType="end"/>
          </w:r>
        </w:p>
        <w:p w14:paraId="37A2F6F6">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_Toc9458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1．资格审查主体</w:t>
          </w:r>
          <w:r>
            <w:tab/>
          </w:r>
          <w:r>
            <w:fldChar w:fldCharType="begin"/>
          </w:r>
          <w:r>
            <w:instrText xml:space="preserve"> PAGEREF _Toc9458 \h </w:instrText>
          </w:r>
          <w:r>
            <w:fldChar w:fldCharType="separate"/>
          </w:r>
          <w:r>
            <w:t>31</w:t>
          </w:r>
          <w:r>
            <w:fldChar w:fldCharType="end"/>
          </w:r>
          <w:r>
            <w:rPr>
              <w:rFonts w:hint="eastAsia" w:ascii="宋体" w:hAnsi="宋体" w:eastAsia="宋体" w:cs="宋体"/>
              <w:bCs/>
              <w:spacing w:val="6"/>
              <w:szCs w:val="24"/>
              <w:highlight w:val="none"/>
            </w:rPr>
            <w:fldChar w:fldCharType="end"/>
          </w:r>
        </w:p>
        <w:p w14:paraId="44393D3D">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_Toc16075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2．资格审查</w:t>
          </w:r>
          <w:r>
            <w:tab/>
          </w:r>
          <w:r>
            <w:fldChar w:fldCharType="begin"/>
          </w:r>
          <w:r>
            <w:instrText xml:space="preserve"> PAGEREF _Toc16075 \h </w:instrText>
          </w:r>
          <w:r>
            <w:fldChar w:fldCharType="separate"/>
          </w:r>
          <w:r>
            <w:t>31</w:t>
          </w:r>
          <w:r>
            <w:fldChar w:fldCharType="end"/>
          </w:r>
          <w:r>
            <w:rPr>
              <w:rFonts w:hint="eastAsia" w:ascii="宋体" w:hAnsi="宋体" w:eastAsia="宋体" w:cs="宋体"/>
              <w:bCs/>
              <w:spacing w:val="6"/>
              <w:szCs w:val="24"/>
              <w:highlight w:val="none"/>
            </w:rPr>
            <w:fldChar w:fldCharType="end"/>
          </w:r>
        </w:p>
        <w:p w14:paraId="0F96EDD6">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_Toc24902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3．资格审查结果</w:t>
          </w:r>
          <w:r>
            <w:tab/>
          </w:r>
          <w:r>
            <w:fldChar w:fldCharType="begin"/>
          </w:r>
          <w:r>
            <w:instrText xml:space="preserve"> PAGEREF _Toc24902 \h </w:instrText>
          </w:r>
          <w:r>
            <w:fldChar w:fldCharType="separate"/>
          </w:r>
          <w:r>
            <w:t>32</w:t>
          </w:r>
          <w:r>
            <w:fldChar w:fldCharType="end"/>
          </w:r>
          <w:r>
            <w:rPr>
              <w:rFonts w:hint="eastAsia" w:ascii="宋体" w:hAnsi="宋体" w:eastAsia="宋体" w:cs="宋体"/>
              <w:bCs/>
              <w:spacing w:val="6"/>
              <w:szCs w:val="24"/>
              <w:highlight w:val="none"/>
            </w:rPr>
            <w:fldChar w:fldCharType="end"/>
          </w:r>
        </w:p>
        <w:p w14:paraId="639EC7D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_Toc30197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4．其他</w:t>
          </w:r>
          <w:r>
            <w:tab/>
          </w:r>
          <w:r>
            <w:fldChar w:fldCharType="begin"/>
          </w:r>
          <w:r>
            <w:instrText xml:space="preserve"> PAGEREF _Toc30197 \h </w:instrText>
          </w:r>
          <w:r>
            <w:fldChar w:fldCharType="separate"/>
          </w:r>
          <w:r>
            <w:t>32</w:t>
          </w:r>
          <w:r>
            <w:fldChar w:fldCharType="end"/>
          </w:r>
          <w:r>
            <w:rPr>
              <w:rFonts w:hint="eastAsia" w:ascii="宋体" w:hAnsi="宋体" w:eastAsia="宋体" w:cs="宋体"/>
              <w:bCs/>
              <w:spacing w:val="6"/>
              <w:szCs w:val="24"/>
              <w:highlight w:val="none"/>
            </w:rPr>
            <w:fldChar w:fldCharType="end"/>
          </w:r>
        </w:p>
        <w:p w14:paraId="091C486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_Toc7927 </w:instrText>
          </w:r>
          <w:r>
            <w:rPr>
              <w:rFonts w:hint="eastAsia" w:ascii="宋体" w:hAnsi="宋体" w:eastAsia="宋体" w:cs="宋体"/>
              <w:bCs/>
              <w:spacing w:val="6"/>
              <w:szCs w:val="24"/>
              <w:highlight w:val="none"/>
            </w:rPr>
            <w:fldChar w:fldCharType="separate"/>
          </w:r>
          <w:r>
            <w:t>附表1资格审查表</w:t>
          </w:r>
          <w:r>
            <w:tab/>
          </w:r>
          <w:r>
            <w:fldChar w:fldCharType="begin"/>
          </w:r>
          <w:r>
            <w:instrText xml:space="preserve"> PAGEREF _Toc7927 \h </w:instrText>
          </w:r>
          <w:r>
            <w:fldChar w:fldCharType="separate"/>
          </w:r>
          <w:r>
            <w:t>33</w:t>
          </w:r>
          <w:r>
            <w:fldChar w:fldCharType="end"/>
          </w:r>
          <w:r>
            <w:rPr>
              <w:rFonts w:hint="eastAsia" w:ascii="宋体" w:hAnsi="宋体" w:eastAsia="宋体" w:cs="宋体"/>
              <w:bCs/>
              <w:spacing w:val="6"/>
              <w:szCs w:val="24"/>
              <w:highlight w:val="none"/>
            </w:rPr>
            <w:fldChar w:fldCharType="end"/>
          </w:r>
        </w:p>
        <w:p w14:paraId="2415A5EB">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_Toc7282 </w:instrText>
          </w:r>
          <w:r>
            <w:rPr>
              <w:rFonts w:hint="eastAsia" w:ascii="宋体" w:hAnsi="宋体" w:eastAsia="宋体" w:cs="宋体"/>
              <w:bCs/>
              <w:spacing w:val="6"/>
              <w:szCs w:val="24"/>
              <w:highlight w:val="none"/>
            </w:rPr>
            <w:fldChar w:fldCharType="separate"/>
          </w:r>
          <w:r>
            <w:t>附表2资格审查结果一览表</w:t>
          </w:r>
          <w:r>
            <w:tab/>
          </w:r>
          <w:r>
            <w:fldChar w:fldCharType="begin"/>
          </w:r>
          <w:r>
            <w:instrText xml:space="preserve"> PAGEREF _Toc7282 \h </w:instrText>
          </w:r>
          <w:r>
            <w:fldChar w:fldCharType="separate"/>
          </w:r>
          <w:r>
            <w:t>35</w:t>
          </w:r>
          <w:r>
            <w:fldChar w:fldCharType="end"/>
          </w:r>
          <w:r>
            <w:rPr>
              <w:rFonts w:hint="eastAsia" w:ascii="宋体" w:hAnsi="宋体" w:eastAsia="宋体" w:cs="宋体"/>
              <w:bCs/>
              <w:spacing w:val="6"/>
              <w:szCs w:val="24"/>
              <w:highlight w:val="none"/>
            </w:rPr>
            <w:fldChar w:fldCharType="end"/>
          </w:r>
        </w:p>
        <w:p w14:paraId="497D7169">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_Toc29037 </w:instrText>
          </w:r>
          <w:r>
            <w:rPr>
              <w:rFonts w:hint="eastAsia" w:ascii="宋体" w:hAnsi="宋体" w:eastAsia="宋体" w:cs="宋体"/>
              <w:bCs/>
              <w:spacing w:val="6"/>
              <w:szCs w:val="24"/>
              <w:highlight w:val="none"/>
            </w:rPr>
            <w:fldChar w:fldCharType="separate"/>
          </w:r>
          <w:r>
            <w:t>附表3资格审查合格投标供应商名单</w:t>
          </w:r>
          <w:r>
            <w:tab/>
          </w:r>
          <w:r>
            <w:fldChar w:fldCharType="begin"/>
          </w:r>
          <w:r>
            <w:instrText xml:space="preserve"> PAGEREF _Toc29037 \h </w:instrText>
          </w:r>
          <w:r>
            <w:fldChar w:fldCharType="separate"/>
          </w:r>
          <w:r>
            <w:t>36</w:t>
          </w:r>
          <w:r>
            <w:fldChar w:fldCharType="end"/>
          </w:r>
          <w:r>
            <w:rPr>
              <w:rFonts w:hint="eastAsia" w:ascii="宋体" w:hAnsi="宋体" w:eastAsia="宋体" w:cs="宋体"/>
              <w:bCs/>
              <w:spacing w:val="6"/>
              <w:szCs w:val="24"/>
              <w:highlight w:val="none"/>
            </w:rPr>
            <w:fldChar w:fldCharType="end"/>
          </w:r>
        </w:p>
        <w:p w14:paraId="6C928185">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_Toc9574 </w:instrText>
          </w:r>
          <w:r>
            <w:rPr>
              <w:rFonts w:hint="eastAsia" w:ascii="宋体" w:hAnsi="宋体" w:eastAsia="宋体" w:cs="宋体"/>
              <w:bCs/>
              <w:spacing w:val="6"/>
              <w:szCs w:val="24"/>
              <w:highlight w:val="none"/>
            </w:rPr>
            <w:fldChar w:fldCharType="separate"/>
          </w:r>
          <w:r>
            <w:t>第四章评标方法及标准（综合评分法）</w:t>
          </w:r>
          <w:r>
            <w:tab/>
          </w:r>
          <w:r>
            <w:fldChar w:fldCharType="begin"/>
          </w:r>
          <w:r>
            <w:instrText xml:space="preserve"> PAGEREF _Toc9574 \h </w:instrText>
          </w:r>
          <w:r>
            <w:fldChar w:fldCharType="separate"/>
          </w:r>
          <w:r>
            <w:t>37</w:t>
          </w:r>
          <w:r>
            <w:fldChar w:fldCharType="end"/>
          </w:r>
          <w:r>
            <w:rPr>
              <w:rFonts w:hint="eastAsia" w:ascii="宋体" w:hAnsi="宋体" w:eastAsia="宋体" w:cs="宋体"/>
              <w:bCs/>
              <w:spacing w:val="6"/>
              <w:szCs w:val="24"/>
              <w:highlight w:val="none"/>
            </w:rPr>
            <w:fldChar w:fldCharType="end"/>
          </w:r>
        </w:p>
        <w:p w14:paraId="30E20F4D">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_Toc24368 </w:instrText>
          </w:r>
          <w:r>
            <w:rPr>
              <w:rFonts w:hint="eastAsia" w:ascii="宋体" w:hAnsi="宋体" w:eastAsia="宋体" w:cs="宋体"/>
              <w:bCs/>
              <w:spacing w:val="6"/>
              <w:szCs w:val="24"/>
              <w:highlight w:val="none"/>
            </w:rPr>
            <w:fldChar w:fldCharType="separate"/>
          </w:r>
          <w:r>
            <w:t>第一节评标方法及标准前附表</w:t>
          </w:r>
          <w:r>
            <w:tab/>
          </w:r>
          <w:r>
            <w:fldChar w:fldCharType="begin"/>
          </w:r>
          <w:r>
            <w:instrText xml:space="preserve"> PAGEREF _Toc24368 \h </w:instrText>
          </w:r>
          <w:r>
            <w:fldChar w:fldCharType="separate"/>
          </w:r>
          <w:r>
            <w:t>37</w:t>
          </w:r>
          <w:r>
            <w:fldChar w:fldCharType="end"/>
          </w:r>
          <w:r>
            <w:rPr>
              <w:rFonts w:hint="eastAsia" w:ascii="宋体" w:hAnsi="宋体" w:eastAsia="宋体" w:cs="宋体"/>
              <w:bCs/>
              <w:spacing w:val="6"/>
              <w:szCs w:val="24"/>
              <w:highlight w:val="none"/>
            </w:rPr>
            <w:fldChar w:fldCharType="end"/>
          </w:r>
        </w:p>
        <w:p w14:paraId="17487F3C">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_Toc9570 </w:instrText>
          </w:r>
          <w:r>
            <w:rPr>
              <w:rFonts w:hint="eastAsia" w:ascii="宋体" w:hAnsi="宋体" w:eastAsia="宋体" w:cs="宋体"/>
              <w:bCs/>
              <w:spacing w:val="6"/>
              <w:szCs w:val="24"/>
              <w:highlight w:val="none"/>
            </w:rPr>
            <w:fldChar w:fldCharType="separate"/>
          </w:r>
          <w:r>
            <w:t>第二节评标方法及标准</w:t>
          </w:r>
          <w:r>
            <w:tab/>
          </w:r>
          <w:r>
            <w:fldChar w:fldCharType="begin"/>
          </w:r>
          <w:r>
            <w:instrText xml:space="preserve"> PAGEREF _Toc9570 \h </w:instrText>
          </w:r>
          <w:r>
            <w:fldChar w:fldCharType="separate"/>
          </w:r>
          <w:r>
            <w:t>40</w:t>
          </w:r>
          <w:r>
            <w:fldChar w:fldCharType="end"/>
          </w:r>
          <w:r>
            <w:rPr>
              <w:rFonts w:hint="eastAsia" w:ascii="宋体" w:hAnsi="宋体" w:eastAsia="宋体" w:cs="宋体"/>
              <w:bCs/>
              <w:spacing w:val="6"/>
              <w:szCs w:val="24"/>
              <w:highlight w:val="none"/>
            </w:rPr>
            <w:fldChar w:fldCharType="end"/>
          </w:r>
        </w:p>
        <w:p w14:paraId="42EA8E9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_Toc23052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1．评标方法</w:t>
          </w:r>
          <w:r>
            <w:tab/>
          </w:r>
          <w:r>
            <w:fldChar w:fldCharType="begin"/>
          </w:r>
          <w:r>
            <w:instrText xml:space="preserve"> PAGEREF _Toc23052 \h </w:instrText>
          </w:r>
          <w:r>
            <w:fldChar w:fldCharType="separate"/>
          </w:r>
          <w:r>
            <w:t>40</w:t>
          </w:r>
          <w:r>
            <w:fldChar w:fldCharType="end"/>
          </w:r>
          <w:r>
            <w:rPr>
              <w:rFonts w:hint="eastAsia" w:ascii="宋体" w:hAnsi="宋体" w:eastAsia="宋体" w:cs="宋体"/>
              <w:bCs/>
              <w:spacing w:val="6"/>
              <w:szCs w:val="24"/>
              <w:highlight w:val="none"/>
            </w:rPr>
            <w:fldChar w:fldCharType="end"/>
          </w:r>
        </w:p>
        <w:p w14:paraId="183CCFC7">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_Toc16508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2．评标程序</w:t>
          </w:r>
          <w:r>
            <w:tab/>
          </w:r>
          <w:r>
            <w:fldChar w:fldCharType="begin"/>
          </w:r>
          <w:r>
            <w:instrText xml:space="preserve"> PAGEREF _Toc16508 \h </w:instrText>
          </w:r>
          <w:r>
            <w:fldChar w:fldCharType="separate"/>
          </w:r>
          <w:r>
            <w:t>40</w:t>
          </w:r>
          <w:r>
            <w:fldChar w:fldCharType="end"/>
          </w:r>
          <w:r>
            <w:rPr>
              <w:rFonts w:hint="eastAsia" w:ascii="宋体" w:hAnsi="宋体" w:eastAsia="宋体" w:cs="宋体"/>
              <w:bCs/>
              <w:spacing w:val="6"/>
              <w:szCs w:val="24"/>
              <w:highlight w:val="none"/>
            </w:rPr>
            <w:fldChar w:fldCharType="end"/>
          </w:r>
        </w:p>
        <w:p w14:paraId="38EC3100">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_Toc29010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3．投标文件的符合性审查</w:t>
          </w:r>
          <w:r>
            <w:tab/>
          </w:r>
          <w:r>
            <w:fldChar w:fldCharType="begin"/>
          </w:r>
          <w:r>
            <w:instrText xml:space="preserve"> PAGEREF _Toc29010 \h </w:instrText>
          </w:r>
          <w:r>
            <w:fldChar w:fldCharType="separate"/>
          </w:r>
          <w:r>
            <w:t>40</w:t>
          </w:r>
          <w:r>
            <w:fldChar w:fldCharType="end"/>
          </w:r>
          <w:r>
            <w:rPr>
              <w:rFonts w:hint="eastAsia" w:ascii="宋体" w:hAnsi="宋体" w:eastAsia="宋体" w:cs="宋体"/>
              <w:bCs/>
              <w:spacing w:val="6"/>
              <w:szCs w:val="24"/>
              <w:highlight w:val="none"/>
            </w:rPr>
            <w:fldChar w:fldCharType="end"/>
          </w:r>
        </w:p>
        <w:p w14:paraId="45A5D487">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_Toc7693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4．投标文件的澄清</w:t>
          </w:r>
          <w:r>
            <w:tab/>
          </w:r>
          <w:r>
            <w:fldChar w:fldCharType="begin"/>
          </w:r>
          <w:r>
            <w:instrText xml:space="preserve"> PAGEREF _Toc7693 \h </w:instrText>
          </w:r>
          <w:r>
            <w:fldChar w:fldCharType="separate"/>
          </w:r>
          <w:r>
            <w:t>40</w:t>
          </w:r>
          <w:r>
            <w:fldChar w:fldCharType="end"/>
          </w:r>
          <w:r>
            <w:rPr>
              <w:rFonts w:hint="eastAsia" w:ascii="宋体" w:hAnsi="宋体" w:eastAsia="宋体" w:cs="宋体"/>
              <w:bCs/>
              <w:spacing w:val="6"/>
              <w:szCs w:val="24"/>
              <w:highlight w:val="none"/>
            </w:rPr>
            <w:fldChar w:fldCharType="end"/>
          </w:r>
        </w:p>
        <w:p w14:paraId="6DF6DE14">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_Toc22301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5．投标文件的比较与评价</w:t>
          </w:r>
          <w:r>
            <w:tab/>
          </w:r>
          <w:r>
            <w:fldChar w:fldCharType="begin"/>
          </w:r>
          <w:r>
            <w:instrText xml:space="preserve"> PAGEREF _Toc22301 \h </w:instrText>
          </w:r>
          <w:r>
            <w:fldChar w:fldCharType="separate"/>
          </w:r>
          <w:r>
            <w:t>41</w:t>
          </w:r>
          <w:r>
            <w:fldChar w:fldCharType="end"/>
          </w:r>
          <w:r>
            <w:rPr>
              <w:rFonts w:hint="eastAsia" w:ascii="宋体" w:hAnsi="宋体" w:eastAsia="宋体" w:cs="宋体"/>
              <w:bCs/>
              <w:spacing w:val="6"/>
              <w:szCs w:val="24"/>
              <w:highlight w:val="none"/>
            </w:rPr>
            <w:fldChar w:fldCharType="end"/>
          </w:r>
        </w:p>
        <w:p w14:paraId="7BB3F57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_Toc14171 </w:instrText>
          </w:r>
          <w:r>
            <w:rPr>
              <w:rFonts w:hint="eastAsia" w:ascii="宋体" w:hAnsi="宋体" w:eastAsia="宋体" w:cs="宋体"/>
              <w:bCs/>
              <w:spacing w:val="6"/>
              <w:szCs w:val="24"/>
              <w:highlight w:val="none"/>
            </w:rPr>
            <w:fldChar w:fldCharType="separate"/>
          </w:r>
          <w:r>
            <w:rPr>
              <w:rFonts w:ascii="宋体" w:hAnsi="宋体" w:eastAsia="宋体" w:cs="宋体"/>
              <w:bCs/>
              <w:spacing w:val="-2"/>
              <w:szCs w:val="24"/>
              <w:highlight w:val="none"/>
            </w:rPr>
            <w:t>6．推荐中标候选人</w:t>
          </w:r>
          <w:r>
            <w:tab/>
          </w:r>
          <w:r>
            <w:fldChar w:fldCharType="begin"/>
          </w:r>
          <w:r>
            <w:instrText xml:space="preserve"> PAGEREF _Toc14171 \h </w:instrText>
          </w:r>
          <w:r>
            <w:fldChar w:fldCharType="separate"/>
          </w:r>
          <w:r>
            <w:t>42</w:t>
          </w:r>
          <w:r>
            <w:fldChar w:fldCharType="end"/>
          </w:r>
          <w:r>
            <w:rPr>
              <w:rFonts w:hint="eastAsia" w:ascii="宋体" w:hAnsi="宋体" w:eastAsia="宋体" w:cs="宋体"/>
              <w:bCs/>
              <w:spacing w:val="6"/>
              <w:szCs w:val="24"/>
              <w:highlight w:val="none"/>
            </w:rPr>
            <w:fldChar w:fldCharType="end"/>
          </w:r>
        </w:p>
        <w:p w14:paraId="7B6BC5F7">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_Toc22724 </w:instrText>
          </w:r>
          <w:r>
            <w:rPr>
              <w:rFonts w:hint="eastAsia" w:ascii="宋体" w:hAnsi="宋体" w:eastAsia="宋体" w:cs="宋体"/>
              <w:bCs/>
              <w:spacing w:val="6"/>
              <w:szCs w:val="24"/>
              <w:highlight w:val="none"/>
            </w:rPr>
            <w:fldChar w:fldCharType="separate"/>
          </w:r>
          <w:r>
            <w:rPr>
              <w:bCs/>
              <w:spacing w:val="-7"/>
              <w:szCs w:val="24"/>
              <w:highlight w:val="none"/>
            </w:rPr>
            <w:t>7．编写评标报告</w:t>
          </w:r>
          <w:r>
            <w:tab/>
          </w:r>
          <w:r>
            <w:fldChar w:fldCharType="begin"/>
          </w:r>
          <w:r>
            <w:instrText xml:space="preserve"> PAGEREF _Toc22724 \h </w:instrText>
          </w:r>
          <w:r>
            <w:fldChar w:fldCharType="separate"/>
          </w:r>
          <w:r>
            <w:t>42</w:t>
          </w:r>
          <w:r>
            <w:fldChar w:fldCharType="end"/>
          </w:r>
          <w:r>
            <w:rPr>
              <w:rFonts w:hint="eastAsia" w:ascii="宋体" w:hAnsi="宋体" w:eastAsia="宋体" w:cs="宋体"/>
              <w:bCs/>
              <w:spacing w:val="6"/>
              <w:szCs w:val="24"/>
              <w:highlight w:val="none"/>
            </w:rPr>
            <w:fldChar w:fldCharType="end"/>
          </w:r>
        </w:p>
        <w:p w14:paraId="5CFD7C33">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_Toc16586 </w:instrText>
          </w:r>
          <w:r>
            <w:rPr>
              <w:rFonts w:hint="eastAsia" w:ascii="宋体" w:hAnsi="宋体" w:eastAsia="宋体" w:cs="宋体"/>
              <w:bCs/>
              <w:spacing w:val="6"/>
              <w:szCs w:val="24"/>
              <w:highlight w:val="none"/>
            </w:rPr>
            <w:fldChar w:fldCharType="separate"/>
          </w:r>
          <w:r>
            <w:rPr>
              <w:bCs/>
              <w:spacing w:val="-7"/>
              <w:szCs w:val="24"/>
              <w:highlight w:val="none"/>
            </w:rPr>
            <w:t>8．评标报告复核</w:t>
          </w:r>
          <w:r>
            <w:tab/>
          </w:r>
          <w:r>
            <w:fldChar w:fldCharType="begin"/>
          </w:r>
          <w:r>
            <w:instrText xml:space="preserve"> PAGEREF _Toc16586 \h </w:instrText>
          </w:r>
          <w:r>
            <w:fldChar w:fldCharType="separate"/>
          </w:r>
          <w:r>
            <w:t>42</w:t>
          </w:r>
          <w:r>
            <w:fldChar w:fldCharType="end"/>
          </w:r>
          <w:r>
            <w:rPr>
              <w:rFonts w:hint="eastAsia" w:ascii="宋体" w:hAnsi="宋体" w:eastAsia="宋体" w:cs="宋体"/>
              <w:bCs/>
              <w:spacing w:val="6"/>
              <w:szCs w:val="24"/>
              <w:highlight w:val="none"/>
            </w:rPr>
            <w:fldChar w:fldCharType="end"/>
          </w:r>
        </w:p>
        <w:p w14:paraId="324ADC5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_Toc11238 </w:instrText>
          </w:r>
          <w:r>
            <w:rPr>
              <w:rFonts w:hint="eastAsia" w:ascii="宋体" w:hAnsi="宋体" w:eastAsia="宋体" w:cs="宋体"/>
              <w:bCs/>
              <w:spacing w:val="6"/>
              <w:szCs w:val="24"/>
              <w:highlight w:val="none"/>
            </w:rPr>
            <w:fldChar w:fldCharType="separate"/>
          </w:r>
          <w:r>
            <w:rPr>
              <w:bCs/>
              <w:spacing w:val="-7"/>
              <w:szCs w:val="24"/>
              <w:highlight w:val="none"/>
            </w:rPr>
            <w:t>9．停止评标</w:t>
          </w:r>
          <w:r>
            <w:tab/>
          </w:r>
          <w:r>
            <w:fldChar w:fldCharType="begin"/>
          </w:r>
          <w:r>
            <w:instrText xml:space="preserve"> PAGEREF _Toc11238 \h </w:instrText>
          </w:r>
          <w:r>
            <w:fldChar w:fldCharType="separate"/>
          </w:r>
          <w:r>
            <w:t>43</w:t>
          </w:r>
          <w:r>
            <w:fldChar w:fldCharType="end"/>
          </w:r>
          <w:r>
            <w:rPr>
              <w:rFonts w:hint="eastAsia" w:ascii="宋体" w:hAnsi="宋体" w:eastAsia="宋体" w:cs="宋体"/>
              <w:bCs/>
              <w:spacing w:val="6"/>
              <w:szCs w:val="24"/>
              <w:highlight w:val="none"/>
            </w:rPr>
            <w:fldChar w:fldCharType="end"/>
          </w:r>
        </w:p>
        <w:p w14:paraId="661CCDF2">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_Toc15527 </w:instrText>
          </w:r>
          <w:r>
            <w:rPr>
              <w:rFonts w:hint="eastAsia" w:ascii="宋体" w:hAnsi="宋体" w:eastAsia="宋体" w:cs="宋体"/>
              <w:bCs/>
              <w:spacing w:val="6"/>
              <w:szCs w:val="24"/>
              <w:highlight w:val="none"/>
            </w:rPr>
            <w:fldChar w:fldCharType="separate"/>
          </w:r>
          <w:r>
            <w:rPr>
              <w:bCs/>
              <w:spacing w:val="-7"/>
              <w:szCs w:val="24"/>
              <w:highlight w:val="none"/>
            </w:rPr>
            <w:t>10.废标</w:t>
          </w:r>
          <w:r>
            <w:tab/>
          </w:r>
          <w:r>
            <w:fldChar w:fldCharType="begin"/>
          </w:r>
          <w:r>
            <w:instrText xml:space="preserve"> PAGEREF _Toc15527 \h </w:instrText>
          </w:r>
          <w:r>
            <w:fldChar w:fldCharType="separate"/>
          </w:r>
          <w:r>
            <w:t>43</w:t>
          </w:r>
          <w:r>
            <w:fldChar w:fldCharType="end"/>
          </w:r>
          <w:r>
            <w:rPr>
              <w:rFonts w:hint="eastAsia" w:ascii="宋体" w:hAnsi="宋体" w:eastAsia="宋体" w:cs="宋体"/>
              <w:bCs/>
              <w:spacing w:val="6"/>
              <w:szCs w:val="24"/>
              <w:highlight w:val="none"/>
            </w:rPr>
            <w:fldChar w:fldCharType="end"/>
          </w:r>
        </w:p>
        <w:p w14:paraId="281DE5C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_Toc18892 </w:instrText>
          </w:r>
          <w:r>
            <w:rPr>
              <w:rFonts w:hint="eastAsia" w:ascii="宋体" w:hAnsi="宋体" w:eastAsia="宋体" w:cs="宋体"/>
              <w:bCs/>
              <w:spacing w:val="6"/>
              <w:szCs w:val="24"/>
              <w:highlight w:val="none"/>
            </w:rPr>
            <w:fldChar w:fldCharType="separate"/>
          </w:r>
          <w:r>
            <w:rPr>
              <w:bCs/>
              <w:spacing w:val="-7"/>
              <w:szCs w:val="24"/>
              <w:highlight w:val="none"/>
            </w:rPr>
            <w:t>11．重新组建评标委员会进行评标</w:t>
          </w:r>
          <w:r>
            <w:tab/>
          </w:r>
          <w:r>
            <w:fldChar w:fldCharType="begin"/>
          </w:r>
          <w:r>
            <w:instrText xml:space="preserve"> PAGEREF _Toc18892 \h </w:instrText>
          </w:r>
          <w:r>
            <w:fldChar w:fldCharType="separate"/>
          </w:r>
          <w:r>
            <w:t>43</w:t>
          </w:r>
          <w:r>
            <w:fldChar w:fldCharType="end"/>
          </w:r>
          <w:r>
            <w:rPr>
              <w:rFonts w:hint="eastAsia" w:ascii="宋体" w:hAnsi="宋体" w:eastAsia="宋体" w:cs="宋体"/>
              <w:bCs/>
              <w:spacing w:val="6"/>
              <w:szCs w:val="24"/>
              <w:highlight w:val="none"/>
            </w:rPr>
            <w:fldChar w:fldCharType="end"/>
          </w:r>
        </w:p>
        <w:p w14:paraId="7313442D">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_Toc20256 </w:instrText>
          </w:r>
          <w:r>
            <w:rPr>
              <w:rFonts w:hint="eastAsia" w:ascii="宋体" w:hAnsi="宋体" w:eastAsia="宋体" w:cs="宋体"/>
              <w:bCs/>
              <w:spacing w:val="6"/>
              <w:szCs w:val="24"/>
              <w:highlight w:val="none"/>
            </w:rPr>
            <w:fldChar w:fldCharType="separate"/>
          </w:r>
          <w:r>
            <w:t>第三节投标文件的符合性审查</w:t>
          </w:r>
          <w:r>
            <w:tab/>
          </w:r>
          <w:r>
            <w:fldChar w:fldCharType="begin"/>
          </w:r>
          <w:r>
            <w:instrText xml:space="preserve"> PAGEREF _Toc20256 \h </w:instrText>
          </w:r>
          <w:r>
            <w:fldChar w:fldCharType="separate"/>
          </w:r>
          <w:r>
            <w:t>44</w:t>
          </w:r>
          <w:r>
            <w:fldChar w:fldCharType="end"/>
          </w:r>
          <w:r>
            <w:rPr>
              <w:rFonts w:hint="eastAsia" w:ascii="宋体" w:hAnsi="宋体" w:eastAsia="宋体" w:cs="宋体"/>
              <w:bCs/>
              <w:spacing w:val="6"/>
              <w:szCs w:val="24"/>
              <w:highlight w:val="none"/>
            </w:rPr>
            <w:fldChar w:fldCharType="end"/>
          </w:r>
        </w:p>
        <w:p w14:paraId="593F4D24">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_Toc28681 </w:instrText>
          </w:r>
          <w:r>
            <w:rPr>
              <w:rFonts w:hint="eastAsia" w:ascii="宋体" w:hAnsi="宋体" w:eastAsia="宋体" w:cs="宋体"/>
              <w:bCs/>
              <w:spacing w:val="6"/>
              <w:szCs w:val="24"/>
              <w:highlight w:val="none"/>
            </w:rPr>
            <w:fldChar w:fldCharType="separate"/>
          </w:r>
          <w:r>
            <w:rPr>
              <w:bCs/>
              <w:spacing w:val="-7"/>
              <w:szCs w:val="24"/>
              <w:highlight w:val="none"/>
            </w:rPr>
            <w:t>1.符合性审查</w:t>
          </w:r>
          <w:r>
            <w:tab/>
          </w:r>
          <w:r>
            <w:fldChar w:fldCharType="begin"/>
          </w:r>
          <w:r>
            <w:instrText xml:space="preserve"> PAGEREF _Toc28681 \h </w:instrText>
          </w:r>
          <w:r>
            <w:fldChar w:fldCharType="separate"/>
          </w:r>
          <w:r>
            <w:t>44</w:t>
          </w:r>
          <w:r>
            <w:fldChar w:fldCharType="end"/>
          </w:r>
          <w:r>
            <w:rPr>
              <w:rFonts w:hint="eastAsia" w:ascii="宋体" w:hAnsi="宋体" w:eastAsia="宋体" w:cs="宋体"/>
              <w:bCs/>
              <w:spacing w:val="6"/>
              <w:szCs w:val="24"/>
              <w:highlight w:val="none"/>
            </w:rPr>
            <w:fldChar w:fldCharType="end"/>
          </w:r>
        </w:p>
        <w:p w14:paraId="4BE00DA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_Toc5396 </w:instrText>
          </w:r>
          <w:r>
            <w:rPr>
              <w:rFonts w:hint="eastAsia" w:ascii="宋体" w:hAnsi="宋体" w:eastAsia="宋体" w:cs="宋体"/>
              <w:bCs/>
              <w:spacing w:val="6"/>
              <w:szCs w:val="24"/>
              <w:highlight w:val="none"/>
            </w:rPr>
            <w:fldChar w:fldCharType="separate"/>
          </w:r>
          <w:r>
            <w:rPr>
              <w:bCs/>
              <w:spacing w:val="-7"/>
              <w:szCs w:val="24"/>
              <w:highlight w:val="none"/>
            </w:rPr>
            <w:t>2.投标无效</w:t>
          </w:r>
          <w:r>
            <w:tab/>
          </w:r>
          <w:r>
            <w:fldChar w:fldCharType="begin"/>
          </w:r>
          <w:r>
            <w:instrText xml:space="preserve"> PAGEREF _Toc5396 \h </w:instrText>
          </w:r>
          <w:r>
            <w:fldChar w:fldCharType="separate"/>
          </w:r>
          <w:r>
            <w:t>44</w:t>
          </w:r>
          <w:r>
            <w:fldChar w:fldCharType="end"/>
          </w:r>
          <w:r>
            <w:rPr>
              <w:rFonts w:hint="eastAsia" w:ascii="宋体" w:hAnsi="宋体" w:eastAsia="宋体" w:cs="宋体"/>
              <w:bCs/>
              <w:spacing w:val="6"/>
              <w:szCs w:val="24"/>
              <w:highlight w:val="none"/>
            </w:rPr>
            <w:fldChar w:fldCharType="end"/>
          </w:r>
        </w:p>
        <w:p w14:paraId="4110B66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_Toc32597 </w:instrText>
          </w:r>
          <w:r>
            <w:rPr>
              <w:rFonts w:hint="eastAsia" w:ascii="宋体" w:hAnsi="宋体" w:eastAsia="宋体" w:cs="宋体"/>
              <w:bCs/>
              <w:spacing w:val="6"/>
              <w:szCs w:val="24"/>
              <w:highlight w:val="none"/>
            </w:rPr>
            <w:fldChar w:fldCharType="separate"/>
          </w:r>
          <w:r>
            <w:t>附表1符合性审查表</w:t>
          </w:r>
          <w:r>
            <w:tab/>
          </w:r>
          <w:r>
            <w:fldChar w:fldCharType="begin"/>
          </w:r>
          <w:r>
            <w:instrText xml:space="preserve"> PAGEREF _Toc32597 \h </w:instrText>
          </w:r>
          <w:r>
            <w:fldChar w:fldCharType="separate"/>
          </w:r>
          <w:r>
            <w:t>45</w:t>
          </w:r>
          <w:r>
            <w:fldChar w:fldCharType="end"/>
          </w:r>
          <w:r>
            <w:rPr>
              <w:rFonts w:hint="eastAsia" w:ascii="宋体" w:hAnsi="宋体" w:eastAsia="宋体" w:cs="宋体"/>
              <w:bCs/>
              <w:spacing w:val="6"/>
              <w:szCs w:val="24"/>
              <w:highlight w:val="none"/>
            </w:rPr>
            <w:fldChar w:fldCharType="end"/>
          </w:r>
        </w:p>
        <w:p w14:paraId="6774B78E">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_Toc8793 </w:instrText>
          </w:r>
          <w:r>
            <w:rPr>
              <w:rFonts w:hint="eastAsia" w:ascii="宋体" w:hAnsi="宋体" w:eastAsia="宋体" w:cs="宋体"/>
              <w:bCs/>
              <w:spacing w:val="6"/>
              <w:szCs w:val="24"/>
              <w:highlight w:val="none"/>
            </w:rPr>
            <w:fldChar w:fldCharType="separate"/>
          </w:r>
          <w:r>
            <w:t>附表2符合性审查结果一览表</w:t>
          </w:r>
          <w:r>
            <w:tab/>
          </w:r>
          <w:r>
            <w:fldChar w:fldCharType="begin"/>
          </w:r>
          <w:r>
            <w:instrText xml:space="preserve"> PAGEREF _Toc8793 \h </w:instrText>
          </w:r>
          <w:r>
            <w:fldChar w:fldCharType="separate"/>
          </w:r>
          <w:r>
            <w:t>46</w:t>
          </w:r>
          <w:r>
            <w:fldChar w:fldCharType="end"/>
          </w:r>
          <w:r>
            <w:rPr>
              <w:rFonts w:hint="eastAsia" w:ascii="宋体" w:hAnsi="宋体" w:eastAsia="宋体" w:cs="宋体"/>
              <w:bCs/>
              <w:spacing w:val="6"/>
              <w:szCs w:val="24"/>
              <w:highlight w:val="none"/>
            </w:rPr>
            <w:fldChar w:fldCharType="end"/>
          </w:r>
        </w:p>
        <w:p w14:paraId="50DF26A0">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_Toc2598 </w:instrText>
          </w:r>
          <w:r>
            <w:rPr>
              <w:rFonts w:hint="eastAsia" w:ascii="宋体" w:hAnsi="宋体" w:eastAsia="宋体" w:cs="宋体"/>
              <w:bCs/>
              <w:spacing w:val="6"/>
              <w:szCs w:val="24"/>
              <w:highlight w:val="none"/>
            </w:rPr>
            <w:fldChar w:fldCharType="separate"/>
          </w:r>
          <w:r>
            <w:t>附表3符合性审查合格投标供应商名单</w:t>
          </w:r>
          <w:r>
            <w:tab/>
          </w:r>
          <w:r>
            <w:fldChar w:fldCharType="begin"/>
          </w:r>
          <w:r>
            <w:instrText xml:space="preserve"> PAGEREF _Toc2598 \h </w:instrText>
          </w:r>
          <w:r>
            <w:fldChar w:fldCharType="separate"/>
          </w:r>
          <w:r>
            <w:t>47</w:t>
          </w:r>
          <w:r>
            <w:fldChar w:fldCharType="end"/>
          </w:r>
          <w:r>
            <w:rPr>
              <w:rFonts w:hint="eastAsia" w:ascii="宋体" w:hAnsi="宋体" w:eastAsia="宋体" w:cs="宋体"/>
              <w:bCs/>
              <w:spacing w:val="6"/>
              <w:szCs w:val="24"/>
              <w:highlight w:val="none"/>
            </w:rPr>
            <w:fldChar w:fldCharType="end"/>
          </w:r>
        </w:p>
        <w:p w14:paraId="49192B91">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_Toc15780 </w:instrText>
          </w:r>
          <w:r>
            <w:rPr>
              <w:rFonts w:hint="eastAsia" w:ascii="宋体" w:hAnsi="宋体" w:eastAsia="宋体" w:cs="宋体"/>
              <w:bCs/>
              <w:spacing w:val="6"/>
              <w:szCs w:val="24"/>
              <w:highlight w:val="none"/>
            </w:rPr>
            <w:fldChar w:fldCharType="separate"/>
          </w:r>
          <w:r>
            <w:t>第四节投标文件的比较与评价（综合评分法）</w:t>
          </w:r>
          <w:r>
            <w:tab/>
          </w:r>
          <w:r>
            <w:fldChar w:fldCharType="begin"/>
          </w:r>
          <w:r>
            <w:instrText xml:space="preserve"> PAGEREF _Toc15780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2BEC7338">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_Toc2599 </w:instrText>
          </w:r>
          <w:r>
            <w:rPr>
              <w:rFonts w:hint="eastAsia" w:ascii="宋体" w:hAnsi="宋体" w:eastAsia="宋体" w:cs="宋体"/>
              <w:bCs/>
              <w:spacing w:val="6"/>
              <w:szCs w:val="24"/>
              <w:highlight w:val="none"/>
            </w:rPr>
            <w:fldChar w:fldCharType="separate"/>
          </w:r>
          <w:r>
            <w:rPr>
              <w:bCs/>
              <w:spacing w:val="-7"/>
              <w:szCs w:val="24"/>
              <w:highlight w:val="none"/>
            </w:rPr>
            <w:t>1.综合评分法</w:t>
          </w:r>
          <w:r>
            <w:tab/>
          </w:r>
          <w:r>
            <w:fldChar w:fldCharType="begin"/>
          </w:r>
          <w:r>
            <w:instrText xml:space="preserve"> PAGEREF _Toc2599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022F8C32">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_Toc14487 </w:instrText>
          </w:r>
          <w:r>
            <w:rPr>
              <w:rFonts w:hint="eastAsia" w:ascii="宋体" w:hAnsi="宋体" w:eastAsia="宋体" w:cs="宋体"/>
              <w:bCs/>
              <w:spacing w:val="6"/>
              <w:szCs w:val="24"/>
              <w:highlight w:val="none"/>
            </w:rPr>
            <w:fldChar w:fldCharType="separate"/>
          </w:r>
          <w:r>
            <w:rPr>
              <w:bCs/>
              <w:spacing w:val="-7"/>
              <w:szCs w:val="24"/>
              <w:highlight w:val="none"/>
            </w:rPr>
            <w:t>2.投标报价的算术修正及政府采购政策调整</w:t>
          </w:r>
          <w:r>
            <w:tab/>
          </w:r>
          <w:r>
            <w:fldChar w:fldCharType="begin"/>
          </w:r>
          <w:r>
            <w:instrText xml:space="preserve"> PAGEREF _Toc14487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50ECDFF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_Toc22161 </w:instrText>
          </w:r>
          <w:r>
            <w:rPr>
              <w:rFonts w:hint="eastAsia" w:ascii="宋体" w:hAnsi="宋体" w:eastAsia="宋体" w:cs="宋体"/>
              <w:bCs/>
              <w:spacing w:val="6"/>
              <w:szCs w:val="24"/>
              <w:highlight w:val="none"/>
            </w:rPr>
            <w:fldChar w:fldCharType="separate"/>
          </w:r>
          <w:r>
            <w:rPr>
              <w:bCs/>
              <w:spacing w:val="-7"/>
              <w:szCs w:val="24"/>
              <w:highlight w:val="none"/>
            </w:rPr>
            <w:t>3.投标报价评价</w:t>
          </w:r>
          <w:r>
            <w:tab/>
          </w:r>
          <w:r>
            <w:fldChar w:fldCharType="begin"/>
          </w:r>
          <w:r>
            <w:instrText xml:space="preserve"> PAGEREF _Toc22161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377A00C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_Toc4406 </w:instrText>
          </w:r>
          <w:r>
            <w:rPr>
              <w:rFonts w:hint="eastAsia" w:ascii="宋体" w:hAnsi="宋体" w:eastAsia="宋体" w:cs="宋体"/>
              <w:bCs/>
              <w:spacing w:val="6"/>
              <w:szCs w:val="24"/>
              <w:highlight w:val="none"/>
            </w:rPr>
            <w:fldChar w:fldCharType="separate"/>
          </w:r>
          <w:r>
            <w:rPr>
              <w:bCs/>
              <w:spacing w:val="-7"/>
              <w:szCs w:val="24"/>
              <w:highlight w:val="none"/>
            </w:rPr>
            <w:t>4.技术、商务等评分项响应评价及政府采购政策加分</w:t>
          </w:r>
          <w:r>
            <w:tab/>
          </w:r>
          <w:r>
            <w:fldChar w:fldCharType="begin"/>
          </w:r>
          <w:r>
            <w:instrText xml:space="preserve"> PAGEREF _Toc4406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55E751C6">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_Toc12860 </w:instrText>
          </w:r>
          <w:r>
            <w:rPr>
              <w:rFonts w:hint="eastAsia" w:ascii="宋体" w:hAnsi="宋体" w:eastAsia="宋体" w:cs="宋体"/>
              <w:bCs/>
              <w:spacing w:val="6"/>
              <w:szCs w:val="24"/>
              <w:highlight w:val="none"/>
            </w:rPr>
            <w:fldChar w:fldCharType="separate"/>
          </w:r>
          <w:r>
            <w:rPr>
              <w:bCs/>
              <w:spacing w:val="-7"/>
              <w:szCs w:val="24"/>
              <w:highlight w:val="none"/>
            </w:rPr>
            <w:t>5.评标总得分</w:t>
          </w:r>
          <w:r>
            <w:tab/>
          </w:r>
          <w:r>
            <w:fldChar w:fldCharType="begin"/>
          </w:r>
          <w:r>
            <w:instrText xml:space="preserve"> PAGEREF _Toc12860 \h </w:instrText>
          </w:r>
          <w:r>
            <w:fldChar w:fldCharType="separate"/>
          </w:r>
          <w:r>
            <w:t>48</w:t>
          </w:r>
          <w:r>
            <w:fldChar w:fldCharType="end"/>
          </w:r>
          <w:r>
            <w:rPr>
              <w:rFonts w:hint="eastAsia" w:ascii="宋体" w:hAnsi="宋体" w:eastAsia="宋体" w:cs="宋体"/>
              <w:bCs/>
              <w:spacing w:val="6"/>
              <w:szCs w:val="24"/>
              <w:highlight w:val="none"/>
            </w:rPr>
            <w:fldChar w:fldCharType="end"/>
          </w:r>
        </w:p>
        <w:p w14:paraId="534D6E6C">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_Toc28734 </w:instrText>
          </w:r>
          <w:r>
            <w:rPr>
              <w:rFonts w:hint="eastAsia" w:ascii="宋体" w:hAnsi="宋体" w:eastAsia="宋体" w:cs="宋体"/>
              <w:bCs/>
              <w:spacing w:val="6"/>
              <w:szCs w:val="24"/>
              <w:highlight w:val="none"/>
            </w:rPr>
            <w:fldChar w:fldCharType="separate"/>
          </w:r>
          <w:r>
            <w:rPr>
              <w:bCs/>
              <w:spacing w:val="-7"/>
              <w:szCs w:val="24"/>
              <w:highlight w:val="none"/>
            </w:rPr>
            <w:t>6.中标候选人的推荐方法</w:t>
          </w:r>
          <w:r>
            <w:tab/>
          </w:r>
          <w:r>
            <w:fldChar w:fldCharType="begin"/>
          </w:r>
          <w:r>
            <w:instrText xml:space="preserve"> PAGEREF _Toc28734 \h </w:instrText>
          </w:r>
          <w:r>
            <w:fldChar w:fldCharType="separate"/>
          </w:r>
          <w:r>
            <w:t>49</w:t>
          </w:r>
          <w:r>
            <w:fldChar w:fldCharType="end"/>
          </w:r>
          <w:r>
            <w:rPr>
              <w:rFonts w:hint="eastAsia" w:ascii="宋体" w:hAnsi="宋体" w:eastAsia="宋体" w:cs="宋体"/>
              <w:bCs/>
              <w:spacing w:val="6"/>
              <w:szCs w:val="24"/>
              <w:highlight w:val="none"/>
            </w:rPr>
            <w:fldChar w:fldCharType="end"/>
          </w:r>
        </w:p>
        <w:p w14:paraId="0FDE5DF1">
          <w:pPr>
            <w:pStyle w:val="9"/>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_Toc22317 </w:instrText>
          </w:r>
          <w:r>
            <w:rPr>
              <w:rFonts w:hint="eastAsia" w:ascii="宋体" w:hAnsi="宋体" w:eastAsia="宋体" w:cs="宋体"/>
              <w:bCs/>
              <w:spacing w:val="6"/>
              <w:szCs w:val="24"/>
              <w:highlight w:val="none"/>
            </w:rPr>
            <w:fldChar w:fldCharType="separate"/>
          </w:r>
          <w:r>
            <w:t>附页1评标方法及标准表</w:t>
          </w:r>
          <w:r>
            <w:tab/>
          </w:r>
          <w:r>
            <w:fldChar w:fldCharType="begin"/>
          </w:r>
          <w:r>
            <w:instrText xml:space="preserve"> PAGEREF _Toc22317 \h </w:instrText>
          </w:r>
          <w:r>
            <w:fldChar w:fldCharType="separate"/>
          </w:r>
          <w:r>
            <w:t>50</w:t>
          </w:r>
          <w:r>
            <w:fldChar w:fldCharType="end"/>
          </w:r>
          <w:r>
            <w:rPr>
              <w:rFonts w:hint="eastAsia" w:ascii="宋体" w:hAnsi="宋体" w:eastAsia="宋体" w:cs="宋体"/>
              <w:bCs/>
              <w:spacing w:val="6"/>
              <w:szCs w:val="24"/>
              <w:highlight w:val="none"/>
            </w:rPr>
            <w:fldChar w:fldCharType="end"/>
          </w:r>
        </w:p>
        <w:p w14:paraId="6BB3CE72">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_Toc29420 </w:instrText>
          </w:r>
          <w:r>
            <w:rPr>
              <w:rFonts w:hint="eastAsia" w:ascii="宋体" w:hAnsi="宋体" w:eastAsia="宋体" w:cs="宋体"/>
              <w:bCs/>
              <w:spacing w:val="6"/>
              <w:szCs w:val="24"/>
              <w:highlight w:val="none"/>
            </w:rPr>
            <w:fldChar w:fldCharType="separate"/>
          </w:r>
          <w:r>
            <w:t>第五章</w:t>
          </w:r>
          <w:r>
            <w:rPr>
              <w:rFonts w:hint="eastAsia"/>
              <w:lang w:val="en-US" w:eastAsia="zh-CN"/>
            </w:rPr>
            <w:t xml:space="preserve"> </w:t>
          </w:r>
          <w:r>
            <w:t>采购需求</w:t>
          </w:r>
          <w:r>
            <w:tab/>
          </w:r>
          <w:r>
            <w:fldChar w:fldCharType="begin"/>
          </w:r>
          <w:r>
            <w:instrText xml:space="preserve"> PAGEREF _Toc29420 \h </w:instrText>
          </w:r>
          <w:r>
            <w:fldChar w:fldCharType="separate"/>
          </w:r>
          <w:r>
            <w:t>57</w:t>
          </w:r>
          <w:r>
            <w:fldChar w:fldCharType="end"/>
          </w:r>
          <w:r>
            <w:rPr>
              <w:rFonts w:hint="eastAsia" w:ascii="宋体" w:hAnsi="宋体" w:eastAsia="宋体" w:cs="宋体"/>
              <w:bCs/>
              <w:spacing w:val="6"/>
              <w:szCs w:val="24"/>
              <w:highlight w:val="none"/>
            </w:rPr>
            <w:fldChar w:fldCharType="end"/>
          </w:r>
        </w:p>
        <w:p w14:paraId="36CFFFF5">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_Toc25651 </w:instrText>
          </w:r>
          <w:r>
            <w:rPr>
              <w:rFonts w:hint="eastAsia" w:ascii="宋体" w:hAnsi="宋体" w:eastAsia="宋体" w:cs="宋体"/>
              <w:bCs/>
              <w:spacing w:val="6"/>
              <w:szCs w:val="24"/>
              <w:highlight w:val="none"/>
            </w:rPr>
            <w:fldChar w:fldCharType="separate"/>
          </w:r>
          <w:r>
            <w:rPr>
              <w:highlight w:val="none"/>
            </w:rPr>
            <w:t>第六章</w:t>
          </w:r>
          <w:r>
            <w:rPr>
              <w:rFonts w:hint="eastAsia"/>
              <w:highlight w:val="none"/>
              <w:lang w:val="en-US" w:eastAsia="zh-CN"/>
            </w:rPr>
            <w:t xml:space="preserve"> </w:t>
          </w:r>
          <w:r>
            <w:rPr>
              <w:highlight w:val="none"/>
            </w:rPr>
            <w:t>政府采购合同</w:t>
          </w:r>
          <w:r>
            <w:tab/>
          </w:r>
          <w:r>
            <w:fldChar w:fldCharType="begin"/>
          </w:r>
          <w:r>
            <w:instrText xml:space="preserve"> PAGEREF _Toc25651 \h </w:instrText>
          </w:r>
          <w:r>
            <w:fldChar w:fldCharType="separate"/>
          </w:r>
          <w:r>
            <w:t>61</w:t>
          </w:r>
          <w:r>
            <w:fldChar w:fldCharType="end"/>
          </w:r>
          <w:r>
            <w:rPr>
              <w:rFonts w:hint="eastAsia" w:ascii="宋体" w:hAnsi="宋体" w:eastAsia="宋体" w:cs="宋体"/>
              <w:bCs/>
              <w:spacing w:val="6"/>
              <w:szCs w:val="24"/>
              <w:highlight w:val="none"/>
            </w:rPr>
            <w:fldChar w:fldCharType="end"/>
          </w:r>
        </w:p>
        <w:p w14:paraId="1EECDE2E">
          <w:pPr>
            <w:pStyle w:val="13"/>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_Toc32696 </w:instrText>
          </w:r>
          <w:r>
            <w:rPr>
              <w:rFonts w:hint="eastAsia" w:ascii="宋体" w:hAnsi="宋体" w:eastAsia="宋体" w:cs="宋体"/>
              <w:bCs/>
              <w:spacing w:val="6"/>
              <w:szCs w:val="24"/>
              <w:highlight w:val="none"/>
            </w:rPr>
            <w:fldChar w:fldCharType="separate"/>
          </w:r>
          <w:r>
            <w:t>第七章</w:t>
          </w:r>
          <w:r>
            <w:rPr>
              <w:rFonts w:hint="eastAsia"/>
              <w:lang w:val="en-US" w:eastAsia="zh-CN"/>
            </w:rPr>
            <w:t xml:space="preserve"> </w:t>
          </w:r>
          <w:r>
            <w:t>投标文件的组成</w:t>
          </w:r>
          <w:r>
            <w:tab/>
          </w:r>
          <w:r>
            <w:fldChar w:fldCharType="begin"/>
          </w:r>
          <w:r>
            <w:instrText xml:space="preserve"> PAGEREF _Toc32696 \h </w:instrText>
          </w:r>
          <w:r>
            <w:fldChar w:fldCharType="separate"/>
          </w:r>
          <w:r>
            <w:t>72</w:t>
          </w:r>
          <w:r>
            <w:fldChar w:fldCharType="end"/>
          </w:r>
          <w:r>
            <w:rPr>
              <w:rFonts w:hint="eastAsia" w:ascii="宋体" w:hAnsi="宋体" w:eastAsia="宋体" w:cs="宋体"/>
              <w:bCs/>
              <w:spacing w:val="6"/>
              <w:szCs w:val="24"/>
              <w:highlight w:val="none"/>
            </w:rPr>
            <w:fldChar w:fldCharType="end"/>
          </w:r>
        </w:p>
        <w:p w14:paraId="0F68EDC8">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_Toc24722 </w:instrText>
          </w:r>
          <w:r>
            <w:rPr>
              <w:rFonts w:hint="eastAsia" w:ascii="宋体" w:hAnsi="宋体" w:eastAsia="宋体" w:cs="宋体"/>
              <w:bCs/>
              <w:spacing w:val="6"/>
              <w:szCs w:val="24"/>
              <w:highlight w:val="none"/>
            </w:rPr>
            <w:fldChar w:fldCharType="separate"/>
          </w:r>
          <w:r>
            <w:t>一、开标一览表</w:t>
          </w:r>
          <w:r>
            <w:tab/>
          </w:r>
          <w:r>
            <w:fldChar w:fldCharType="begin"/>
          </w:r>
          <w:r>
            <w:instrText xml:space="preserve"> PAGEREF _Toc24722 \h </w:instrText>
          </w:r>
          <w:r>
            <w:fldChar w:fldCharType="separate"/>
          </w:r>
          <w:r>
            <w:t>74</w:t>
          </w:r>
          <w:r>
            <w:fldChar w:fldCharType="end"/>
          </w:r>
          <w:r>
            <w:rPr>
              <w:rFonts w:hint="eastAsia" w:ascii="宋体" w:hAnsi="宋体" w:eastAsia="宋体" w:cs="宋体"/>
              <w:bCs/>
              <w:spacing w:val="6"/>
              <w:szCs w:val="24"/>
              <w:highlight w:val="none"/>
            </w:rPr>
            <w:fldChar w:fldCharType="end"/>
          </w:r>
        </w:p>
        <w:p w14:paraId="43CB5CF7">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_Toc18647 </w:instrText>
          </w:r>
          <w:r>
            <w:rPr>
              <w:rFonts w:hint="eastAsia" w:ascii="宋体" w:hAnsi="宋体" w:eastAsia="宋体" w:cs="宋体"/>
              <w:bCs/>
              <w:spacing w:val="6"/>
              <w:szCs w:val="24"/>
              <w:highlight w:val="none"/>
            </w:rPr>
            <w:fldChar w:fldCharType="separate"/>
          </w:r>
          <w:r>
            <w:t>二、法定代表人（单位负责人）身份证明</w:t>
          </w:r>
          <w:r>
            <w:tab/>
          </w:r>
          <w:r>
            <w:fldChar w:fldCharType="begin"/>
          </w:r>
          <w:r>
            <w:instrText xml:space="preserve"> PAGEREF _Toc18647 \h </w:instrText>
          </w:r>
          <w:r>
            <w:fldChar w:fldCharType="separate"/>
          </w:r>
          <w:r>
            <w:t>75</w:t>
          </w:r>
          <w:r>
            <w:fldChar w:fldCharType="end"/>
          </w:r>
          <w:r>
            <w:rPr>
              <w:rFonts w:hint="eastAsia" w:ascii="宋体" w:hAnsi="宋体" w:eastAsia="宋体" w:cs="宋体"/>
              <w:bCs/>
              <w:spacing w:val="6"/>
              <w:szCs w:val="24"/>
              <w:highlight w:val="none"/>
            </w:rPr>
            <w:fldChar w:fldCharType="end"/>
          </w:r>
        </w:p>
        <w:p w14:paraId="679E1AA9">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_Toc25958 </w:instrText>
          </w:r>
          <w:r>
            <w:rPr>
              <w:rFonts w:hint="eastAsia" w:ascii="宋体" w:hAnsi="宋体" w:eastAsia="宋体" w:cs="宋体"/>
              <w:bCs/>
              <w:spacing w:val="6"/>
              <w:szCs w:val="24"/>
              <w:highlight w:val="none"/>
            </w:rPr>
            <w:fldChar w:fldCharType="separate"/>
          </w:r>
          <w:r>
            <w:t>三、投标供应商提供的资格证明文件</w:t>
          </w:r>
          <w:r>
            <w:tab/>
          </w:r>
          <w:r>
            <w:fldChar w:fldCharType="begin"/>
          </w:r>
          <w:r>
            <w:instrText xml:space="preserve"> PAGEREF _Toc25958 \h </w:instrText>
          </w:r>
          <w:r>
            <w:fldChar w:fldCharType="separate"/>
          </w:r>
          <w:r>
            <w:t>77</w:t>
          </w:r>
          <w:r>
            <w:fldChar w:fldCharType="end"/>
          </w:r>
          <w:r>
            <w:rPr>
              <w:rFonts w:hint="eastAsia" w:ascii="宋体" w:hAnsi="宋体" w:eastAsia="宋体" w:cs="宋体"/>
              <w:bCs/>
              <w:spacing w:val="6"/>
              <w:szCs w:val="24"/>
              <w:highlight w:val="none"/>
            </w:rPr>
            <w:fldChar w:fldCharType="end"/>
          </w:r>
        </w:p>
        <w:p w14:paraId="217BAAA2">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_Toc14219 </w:instrText>
          </w:r>
          <w:r>
            <w:rPr>
              <w:rFonts w:hint="eastAsia" w:ascii="宋体" w:hAnsi="宋体" w:eastAsia="宋体" w:cs="宋体"/>
              <w:bCs/>
              <w:spacing w:val="6"/>
              <w:szCs w:val="24"/>
              <w:highlight w:val="none"/>
            </w:rPr>
            <w:fldChar w:fldCharType="separate"/>
          </w:r>
          <w:r>
            <w:t>四、投标函</w:t>
          </w:r>
          <w:r>
            <w:tab/>
          </w:r>
          <w:r>
            <w:fldChar w:fldCharType="begin"/>
          </w:r>
          <w:r>
            <w:instrText xml:space="preserve"> PAGEREF _Toc14219 \h </w:instrText>
          </w:r>
          <w:r>
            <w:fldChar w:fldCharType="separate"/>
          </w:r>
          <w:r>
            <w:t>83</w:t>
          </w:r>
          <w:r>
            <w:fldChar w:fldCharType="end"/>
          </w:r>
          <w:r>
            <w:rPr>
              <w:rFonts w:hint="eastAsia" w:ascii="宋体" w:hAnsi="宋体" w:eastAsia="宋体" w:cs="宋体"/>
              <w:bCs/>
              <w:spacing w:val="6"/>
              <w:szCs w:val="24"/>
              <w:highlight w:val="none"/>
            </w:rPr>
            <w:fldChar w:fldCharType="end"/>
          </w:r>
        </w:p>
        <w:p w14:paraId="711BDE6A">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_Toc21156 </w:instrText>
          </w:r>
          <w:r>
            <w:rPr>
              <w:rFonts w:hint="eastAsia" w:ascii="宋体" w:hAnsi="宋体" w:eastAsia="宋体" w:cs="宋体"/>
              <w:bCs/>
              <w:spacing w:val="6"/>
              <w:szCs w:val="24"/>
              <w:highlight w:val="none"/>
            </w:rPr>
            <w:fldChar w:fldCharType="separate"/>
          </w:r>
          <w:r>
            <w:rPr>
              <w:rFonts w:eastAsia="宋体"/>
            </w:rPr>
            <w:t>五、</w:t>
          </w:r>
          <w:r>
            <w:rPr>
              <w:rFonts w:hint="eastAsia" w:eastAsia="宋体"/>
              <w:lang w:eastAsia="zh-CN"/>
            </w:rPr>
            <w:t>分项报价</w:t>
          </w:r>
          <w:r>
            <w:tab/>
          </w:r>
          <w:r>
            <w:fldChar w:fldCharType="begin"/>
          </w:r>
          <w:r>
            <w:instrText xml:space="preserve"> PAGEREF _Toc21156 \h </w:instrText>
          </w:r>
          <w:r>
            <w:fldChar w:fldCharType="separate"/>
          </w:r>
          <w:r>
            <w:t>85</w:t>
          </w:r>
          <w:r>
            <w:fldChar w:fldCharType="end"/>
          </w:r>
          <w:r>
            <w:rPr>
              <w:rFonts w:hint="eastAsia" w:ascii="宋体" w:hAnsi="宋体" w:eastAsia="宋体" w:cs="宋体"/>
              <w:bCs/>
              <w:spacing w:val="6"/>
              <w:szCs w:val="24"/>
              <w:highlight w:val="none"/>
            </w:rPr>
            <w:fldChar w:fldCharType="end"/>
          </w:r>
        </w:p>
        <w:p w14:paraId="69977811">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_Toc25794 </w:instrText>
          </w:r>
          <w:r>
            <w:rPr>
              <w:rFonts w:hint="eastAsia" w:ascii="宋体" w:hAnsi="宋体" w:eastAsia="宋体" w:cs="宋体"/>
              <w:bCs/>
              <w:spacing w:val="6"/>
              <w:szCs w:val="24"/>
              <w:highlight w:val="none"/>
            </w:rPr>
            <w:fldChar w:fldCharType="separate"/>
          </w:r>
          <w:r>
            <w:t>六、商务、合同条款偏离表</w:t>
          </w:r>
          <w:r>
            <w:tab/>
          </w:r>
          <w:r>
            <w:fldChar w:fldCharType="begin"/>
          </w:r>
          <w:r>
            <w:instrText xml:space="preserve"> PAGEREF _Toc25794 \h </w:instrText>
          </w:r>
          <w:r>
            <w:fldChar w:fldCharType="separate"/>
          </w:r>
          <w:r>
            <w:t>87</w:t>
          </w:r>
          <w:r>
            <w:fldChar w:fldCharType="end"/>
          </w:r>
          <w:r>
            <w:rPr>
              <w:rFonts w:hint="eastAsia" w:ascii="宋体" w:hAnsi="宋体" w:eastAsia="宋体" w:cs="宋体"/>
              <w:bCs/>
              <w:spacing w:val="6"/>
              <w:szCs w:val="24"/>
              <w:highlight w:val="none"/>
            </w:rPr>
            <w:fldChar w:fldCharType="end"/>
          </w:r>
        </w:p>
        <w:p w14:paraId="3018186B">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_Toc9594 </w:instrText>
          </w:r>
          <w:r>
            <w:rPr>
              <w:rFonts w:hint="eastAsia" w:ascii="宋体" w:hAnsi="宋体" w:eastAsia="宋体" w:cs="宋体"/>
              <w:bCs/>
              <w:spacing w:val="6"/>
              <w:szCs w:val="24"/>
              <w:highlight w:val="none"/>
            </w:rPr>
            <w:fldChar w:fldCharType="separate"/>
          </w:r>
          <w:r>
            <w:t>七、享受政府采购政策优惠的证明资料</w:t>
          </w:r>
          <w:r>
            <w:tab/>
          </w:r>
          <w:r>
            <w:fldChar w:fldCharType="begin"/>
          </w:r>
          <w:r>
            <w:instrText xml:space="preserve"> PAGEREF _Toc9594 \h </w:instrText>
          </w:r>
          <w:r>
            <w:fldChar w:fldCharType="separate"/>
          </w:r>
          <w:r>
            <w:t>88</w:t>
          </w:r>
          <w:r>
            <w:fldChar w:fldCharType="end"/>
          </w:r>
          <w:r>
            <w:rPr>
              <w:rFonts w:hint="eastAsia" w:ascii="宋体" w:hAnsi="宋体" w:eastAsia="宋体" w:cs="宋体"/>
              <w:bCs/>
              <w:spacing w:val="6"/>
              <w:szCs w:val="24"/>
              <w:highlight w:val="none"/>
            </w:rPr>
            <w:fldChar w:fldCharType="end"/>
          </w:r>
        </w:p>
        <w:p w14:paraId="728A8B61">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_Toc21441 </w:instrText>
          </w:r>
          <w:r>
            <w:rPr>
              <w:rFonts w:hint="eastAsia" w:ascii="宋体" w:hAnsi="宋体" w:eastAsia="宋体" w:cs="宋体"/>
              <w:bCs/>
              <w:spacing w:val="6"/>
              <w:szCs w:val="24"/>
              <w:highlight w:val="none"/>
            </w:rPr>
            <w:fldChar w:fldCharType="separate"/>
          </w:r>
          <w:r>
            <w:t>八、投标供应商认为需提供的其他资料</w:t>
          </w:r>
          <w:r>
            <w:tab/>
          </w:r>
          <w:r>
            <w:fldChar w:fldCharType="begin"/>
          </w:r>
          <w:r>
            <w:instrText xml:space="preserve"> PAGEREF _Toc21441 \h </w:instrText>
          </w:r>
          <w:r>
            <w:fldChar w:fldCharType="separate"/>
          </w:r>
          <w:r>
            <w:t>95</w:t>
          </w:r>
          <w:r>
            <w:fldChar w:fldCharType="end"/>
          </w:r>
          <w:r>
            <w:rPr>
              <w:rFonts w:hint="eastAsia" w:ascii="宋体" w:hAnsi="宋体" w:eastAsia="宋体" w:cs="宋体"/>
              <w:bCs/>
              <w:spacing w:val="6"/>
              <w:szCs w:val="24"/>
              <w:highlight w:val="none"/>
            </w:rPr>
            <w:fldChar w:fldCharType="end"/>
          </w:r>
        </w:p>
        <w:p w14:paraId="371B0B57">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_Toc22683 </w:instrText>
          </w:r>
          <w:r>
            <w:rPr>
              <w:rFonts w:hint="eastAsia" w:ascii="宋体" w:hAnsi="宋体" w:eastAsia="宋体" w:cs="宋体"/>
              <w:bCs/>
              <w:spacing w:val="6"/>
              <w:szCs w:val="24"/>
              <w:highlight w:val="none"/>
            </w:rPr>
            <w:fldChar w:fldCharType="separate"/>
          </w:r>
          <w:r>
            <w:t>九、采购需求响应</w:t>
          </w:r>
          <w:r>
            <w:tab/>
          </w:r>
          <w:r>
            <w:fldChar w:fldCharType="begin"/>
          </w:r>
          <w:r>
            <w:instrText xml:space="preserve"> PAGEREF _Toc22683 \h </w:instrText>
          </w:r>
          <w:r>
            <w:fldChar w:fldCharType="separate"/>
          </w:r>
          <w:r>
            <w:t>97</w:t>
          </w:r>
          <w:r>
            <w:fldChar w:fldCharType="end"/>
          </w:r>
          <w:r>
            <w:rPr>
              <w:rFonts w:hint="eastAsia" w:ascii="宋体" w:hAnsi="宋体" w:eastAsia="宋体" w:cs="宋体"/>
              <w:bCs/>
              <w:spacing w:val="6"/>
              <w:szCs w:val="24"/>
              <w:highlight w:val="none"/>
            </w:rPr>
            <w:fldChar w:fldCharType="end"/>
          </w:r>
        </w:p>
        <w:p w14:paraId="7EB5FA69">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_Toc20337 </w:instrText>
          </w:r>
          <w:r>
            <w:rPr>
              <w:rFonts w:hint="eastAsia" w:ascii="宋体" w:hAnsi="宋体" w:eastAsia="宋体" w:cs="宋体"/>
              <w:bCs/>
              <w:spacing w:val="6"/>
              <w:szCs w:val="24"/>
              <w:highlight w:val="none"/>
            </w:rPr>
            <w:fldChar w:fldCharType="separate"/>
          </w:r>
          <w:r>
            <w:t>十、采购需求偏离表</w:t>
          </w:r>
          <w:r>
            <w:tab/>
          </w:r>
          <w:r>
            <w:fldChar w:fldCharType="begin"/>
          </w:r>
          <w:r>
            <w:instrText xml:space="preserve"> PAGEREF _Toc20337 \h </w:instrText>
          </w:r>
          <w:r>
            <w:fldChar w:fldCharType="separate"/>
          </w:r>
          <w:r>
            <w:t>99</w:t>
          </w:r>
          <w:r>
            <w:fldChar w:fldCharType="end"/>
          </w:r>
          <w:r>
            <w:rPr>
              <w:rFonts w:hint="eastAsia" w:ascii="宋体" w:hAnsi="宋体" w:eastAsia="宋体" w:cs="宋体"/>
              <w:bCs/>
              <w:spacing w:val="6"/>
              <w:szCs w:val="24"/>
              <w:highlight w:val="none"/>
            </w:rPr>
            <w:fldChar w:fldCharType="end"/>
          </w:r>
        </w:p>
        <w:p w14:paraId="50EC49B9">
          <w:pPr>
            <w:pStyle w:val="14"/>
            <w:tabs>
              <w:tab w:val="right" w:leader="dot" w:pos="9299"/>
            </w:tabs>
          </w:pPr>
          <w:r>
            <w:rPr>
              <w:rFonts w:hint="eastAsia" w:ascii="宋体" w:hAnsi="宋体" w:eastAsia="宋体" w:cs="宋体"/>
              <w:bCs/>
              <w:spacing w:val="6"/>
              <w:szCs w:val="24"/>
              <w:highlight w:val="none"/>
            </w:rPr>
            <w:fldChar w:fldCharType="begin"/>
          </w:r>
          <w:r>
            <w:rPr>
              <w:rFonts w:hint="eastAsia" w:ascii="宋体" w:hAnsi="宋体" w:eastAsia="宋体" w:cs="宋体"/>
              <w:bCs/>
              <w:spacing w:val="6"/>
              <w:szCs w:val="24"/>
              <w:highlight w:val="none"/>
            </w:rPr>
            <w:instrText xml:space="preserve"> HYPERLINK \l _Toc21620 </w:instrText>
          </w:r>
          <w:r>
            <w:rPr>
              <w:rFonts w:hint="eastAsia" w:ascii="宋体" w:hAnsi="宋体" w:eastAsia="宋体" w:cs="宋体"/>
              <w:bCs/>
              <w:spacing w:val="6"/>
              <w:szCs w:val="24"/>
              <w:highlight w:val="none"/>
            </w:rPr>
            <w:fldChar w:fldCharType="separate"/>
          </w:r>
          <w:r>
            <w:t>十一、投标货物符合招标文件规定的证明文件</w:t>
          </w:r>
          <w:r>
            <w:tab/>
          </w:r>
          <w:r>
            <w:fldChar w:fldCharType="begin"/>
          </w:r>
          <w:r>
            <w:instrText xml:space="preserve"> PAGEREF _Toc21620 \h </w:instrText>
          </w:r>
          <w:r>
            <w:fldChar w:fldCharType="separate"/>
          </w:r>
          <w:r>
            <w:t>100</w:t>
          </w:r>
          <w:r>
            <w:fldChar w:fldCharType="end"/>
          </w:r>
          <w:r>
            <w:rPr>
              <w:rFonts w:hint="eastAsia" w:ascii="宋体" w:hAnsi="宋体" w:eastAsia="宋体" w:cs="宋体"/>
              <w:bCs/>
              <w:spacing w:val="6"/>
              <w:szCs w:val="24"/>
              <w:highlight w:val="none"/>
            </w:rPr>
            <w:fldChar w:fldCharType="end"/>
          </w:r>
        </w:p>
        <w:p w14:paraId="6F499C83">
          <w:pPr>
            <w:keepNext w:val="0"/>
            <w:keepLines w:val="0"/>
            <w:pageBreakBefore w:val="0"/>
            <w:widowControl/>
            <w:kinsoku/>
            <w:wordWrap w:val="0"/>
            <w:overflowPunct/>
            <w:topLinePunct w:val="0"/>
            <w:autoSpaceDE/>
            <w:autoSpaceDN/>
            <w:bidi w:val="0"/>
            <w:adjustRightInd w:val="0"/>
            <w:snapToGrid w:val="0"/>
            <w:spacing w:line="240" w:lineRule="auto"/>
            <w:textAlignment w:val="baseline"/>
            <w:rPr>
              <w:rFonts w:ascii="Arial" w:hAnsi="Arial" w:eastAsia="Arial" w:cs="Arial"/>
              <w:bCs/>
              <w:snapToGrid w:val="0"/>
              <w:color w:val="000000"/>
              <w:spacing w:val="6"/>
              <w:kern w:val="0"/>
              <w:sz w:val="21"/>
              <w:szCs w:val="21"/>
              <w:highlight w:val="none"/>
              <w:lang w:val="en-US" w:eastAsia="en-US" w:bidi="ar-SA"/>
            </w:rPr>
          </w:pPr>
          <w:r>
            <w:rPr>
              <w:rFonts w:hint="eastAsia" w:ascii="宋体" w:hAnsi="宋体" w:eastAsia="宋体" w:cs="宋体"/>
              <w:bCs/>
              <w:spacing w:val="6"/>
              <w:szCs w:val="24"/>
              <w:highlight w:val="none"/>
            </w:rPr>
            <w:fldChar w:fldCharType="end"/>
          </w:r>
        </w:p>
      </w:sdtContent>
    </w:sdt>
    <w:p w14:paraId="05A2AAD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hAnsi="Arial" w:eastAsia="Arial" w:cs="Arial"/>
          <w:bCs/>
          <w:snapToGrid w:val="0"/>
          <w:color w:val="000000"/>
          <w:spacing w:val="6"/>
          <w:kern w:val="0"/>
          <w:sz w:val="21"/>
          <w:szCs w:val="21"/>
          <w:highlight w:val="none"/>
          <w:lang w:val="en-US" w:eastAsia="en-US" w:bidi="ar-SA"/>
        </w:rPr>
      </w:pPr>
    </w:p>
    <w:p w14:paraId="29E4D7C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6"/>
          <w:highlight w:val="none"/>
        </w:rPr>
      </w:pPr>
      <w:r>
        <w:rPr>
          <w:b/>
          <w:bCs/>
          <w:spacing w:val="6"/>
          <w:highlight w:val="none"/>
        </w:rPr>
        <w:br w:type="page"/>
      </w:r>
    </w:p>
    <w:p w14:paraId="06DBE2B7">
      <w:pPr>
        <w:pStyle w:val="4"/>
        <w:bidi w:val="0"/>
      </w:pPr>
      <w:bookmarkStart w:id="0" w:name="_Toc21444"/>
      <w:r>
        <w:t>第一章投标邀请</w:t>
      </w:r>
      <w:bookmarkEnd w:id="0"/>
    </w:p>
    <w:p w14:paraId="75FF3D1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highlight w:val="none"/>
        </w:rPr>
      </w:pPr>
    </w:p>
    <w:tbl>
      <w:tblPr>
        <w:tblStyle w:val="20"/>
        <w:tblW w:w="9367" w:type="dxa"/>
        <w:tblInd w:w="1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67"/>
      </w:tblGrid>
      <w:tr w14:paraId="214DD02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97" w:hRule="atLeast"/>
        </w:trPr>
        <w:tc>
          <w:tcPr>
            <w:tcW w:w="9367" w:type="dxa"/>
            <w:vAlign w:val="top"/>
          </w:tcPr>
          <w:p w14:paraId="048E9447">
            <w:pPr>
              <w:pStyle w:val="21"/>
              <w:keepNext w:val="0"/>
              <w:keepLines w:val="0"/>
              <w:pageBreakBefore w:val="0"/>
              <w:widowControl/>
              <w:kinsoku/>
              <w:wordWrap w:val="0"/>
              <w:overflowPunct/>
              <w:topLinePunct w:val="0"/>
              <w:autoSpaceDE/>
              <w:autoSpaceDN/>
              <w:bidi w:val="0"/>
              <w:adjustRightInd w:val="0"/>
              <w:snapToGrid w:val="0"/>
              <w:spacing w:before="133" w:line="360" w:lineRule="auto"/>
              <w:ind w:left="29"/>
              <w:textAlignment w:val="baseline"/>
              <w:rPr>
                <w:highlight w:val="none"/>
              </w:rPr>
            </w:pPr>
            <w:r>
              <w:rPr>
                <w:b/>
                <w:bCs/>
                <w:spacing w:val="-8"/>
                <w:highlight w:val="none"/>
              </w:rPr>
              <w:t>项目概况：</w:t>
            </w:r>
          </w:p>
          <w:p w14:paraId="1B17430C">
            <w:pPr>
              <w:pStyle w:val="21"/>
              <w:keepNext w:val="0"/>
              <w:keepLines w:val="0"/>
              <w:pageBreakBefore w:val="0"/>
              <w:widowControl/>
              <w:tabs>
                <w:tab w:val="left" w:pos="624"/>
                <w:tab w:val="left" w:pos="9232"/>
              </w:tabs>
              <w:kinsoku/>
              <w:wordWrap w:val="0"/>
              <w:overflowPunct/>
              <w:topLinePunct w:val="0"/>
              <w:autoSpaceDE/>
              <w:autoSpaceDN/>
              <w:bidi w:val="0"/>
              <w:adjustRightInd w:val="0"/>
              <w:snapToGrid w:val="0"/>
              <w:spacing w:line="360" w:lineRule="auto"/>
              <w:ind w:left="0" w:leftChars="0" w:right="0" w:firstLine="640" w:firstLineChars="0"/>
              <w:jc w:val="both"/>
              <w:textAlignment w:val="baseline"/>
              <w:rPr>
                <w:highlight w:val="none"/>
              </w:rPr>
            </w:pPr>
            <w:r>
              <w:rPr>
                <w:rFonts w:hint="eastAsia"/>
                <w:color w:val="auto"/>
                <w:spacing w:val="-3"/>
                <w:u w:val="single"/>
                <w:lang w:eastAsia="zh-CN"/>
              </w:rPr>
              <w:t>保靖县白云山自然保护区片区城镇垃圾收集转运设施设备采购项目（第四批）</w:t>
            </w:r>
            <w:r>
              <w:rPr>
                <w:spacing w:val="1"/>
              </w:rPr>
              <w:t>的潜在供应商应在《中国湖南政府</w:t>
            </w:r>
            <w:r>
              <w:rPr>
                <w:spacing w:val="-8"/>
              </w:rPr>
              <w:t>采购网</w:t>
            </w:r>
            <w:r>
              <w:rPr>
                <w:spacing w:val="-30"/>
              </w:rPr>
              <w:t xml:space="preserve"> </w:t>
            </w:r>
            <w:r>
              <w:rPr>
                <w:spacing w:val="-8"/>
              </w:rPr>
              <w:t xml:space="preserve">》（ </w:t>
            </w:r>
            <w:r>
              <w:rPr>
                <w:color w:val="auto"/>
              </w:rPr>
              <w:fldChar w:fldCharType="begin"/>
            </w:r>
            <w:r>
              <w:rPr>
                <w:color w:val="auto"/>
              </w:rPr>
              <w:instrText xml:space="preserve"> HYPERLINK "http://www.ccgp-hunan.gov.cn/" </w:instrText>
            </w:r>
            <w:r>
              <w:rPr>
                <w:color w:val="auto"/>
              </w:rPr>
              <w:fldChar w:fldCharType="separate"/>
            </w:r>
            <w:r>
              <w:rPr>
                <w:color w:val="auto"/>
                <w:spacing w:val="-8"/>
              </w:rPr>
              <w:t>http://www.ccgp-hunan.gov.cn/</w:t>
            </w:r>
            <w:r>
              <w:rPr>
                <w:color w:val="auto"/>
                <w:spacing w:val="-8"/>
              </w:rPr>
              <w:fldChar w:fldCharType="end"/>
            </w:r>
            <w:r>
              <w:rPr>
                <w:color w:val="auto"/>
                <w:spacing w:val="-8"/>
              </w:rPr>
              <w:t>）</w:t>
            </w:r>
            <w:r>
              <w:rPr>
                <w:color w:val="auto"/>
                <w:spacing w:val="-40"/>
              </w:rPr>
              <w:t xml:space="preserve"> </w:t>
            </w:r>
            <w:r>
              <w:rPr>
                <w:color w:val="auto"/>
                <w:spacing w:val="-8"/>
              </w:rPr>
              <w:t>或</w:t>
            </w:r>
            <w:r>
              <w:rPr>
                <w:color w:val="auto"/>
                <w:spacing w:val="-44"/>
              </w:rPr>
              <w:t xml:space="preserve"> </w:t>
            </w:r>
            <w:r>
              <w:rPr>
                <w:color w:val="auto"/>
                <w:spacing w:val="-8"/>
              </w:rPr>
              <w:t>者</w:t>
            </w:r>
            <w:r>
              <w:rPr>
                <w:color w:val="auto"/>
                <w:spacing w:val="-53"/>
              </w:rPr>
              <w:t xml:space="preserve"> </w:t>
            </w:r>
            <w:r>
              <w:rPr>
                <w:color w:val="auto"/>
                <w:spacing w:val="-9"/>
                <w:lang w:eastAsia="zh-CN"/>
              </w:rPr>
              <w:t>《</w:t>
            </w:r>
            <w:r>
              <w:rPr>
                <w:rFonts w:hint="eastAsia"/>
                <w:color w:val="auto"/>
                <w:spacing w:val="-9"/>
                <w:lang w:eastAsia="zh-CN"/>
              </w:rPr>
              <w:t>湘西土家族苗族自治州公共资源交易中心</w:t>
            </w:r>
            <w:r>
              <w:rPr>
                <w:color w:val="auto"/>
                <w:spacing w:val="-9"/>
                <w:lang w:eastAsia="zh-CN"/>
              </w:rPr>
              <w:t>》</w:t>
            </w:r>
            <w:r>
              <w:rPr>
                <w:color w:val="auto"/>
                <w:spacing w:val="-1"/>
              </w:rPr>
              <w:t>获取电子招标文件，并</w:t>
            </w:r>
            <w:r>
              <w:rPr>
                <w:color w:val="auto"/>
                <w:spacing w:val="-2"/>
              </w:rPr>
              <w:t>于</w:t>
            </w:r>
            <w:r>
              <w:rPr>
                <w:color w:val="auto"/>
                <w:spacing w:val="-43"/>
              </w:rPr>
              <w:t xml:space="preserve"> </w:t>
            </w:r>
            <w:r>
              <w:rPr>
                <w:color w:val="auto"/>
                <w:spacing w:val="-2"/>
                <w:u w:val="single" w:color="auto"/>
              </w:rPr>
              <w:t>2O2</w:t>
            </w:r>
            <w:r>
              <w:rPr>
                <w:rFonts w:hint="eastAsia"/>
                <w:color w:val="auto"/>
                <w:spacing w:val="-2"/>
                <w:u w:val="single" w:color="auto"/>
                <w:lang w:val="en-US" w:eastAsia="zh-CN"/>
              </w:rPr>
              <w:t>6</w:t>
            </w:r>
            <w:r>
              <w:rPr>
                <w:color w:val="auto"/>
                <w:spacing w:val="-2"/>
              </w:rPr>
              <w:t>年</w:t>
            </w:r>
            <w:r>
              <w:rPr>
                <w:rFonts w:hint="eastAsia"/>
                <w:color w:val="auto"/>
                <w:spacing w:val="37"/>
                <w:u w:val="single" w:color="auto"/>
                <w:lang w:val="en-US" w:eastAsia="zh-CN"/>
              </w:rPr>
              <w:t>9</w:t>
            </w:r>
            <w:r>
              <w:rPr>
                <w:color w:val="auto"/>
                <w:spacing w:val="-2"/>
              </w:rPr>
              <w:t>月</w:t>
            </w:r>
            <w:r>
              <w:rPr>
                <w:rFonts w:hint="eastAsia"/>
                <w:color w:val="auto"/>
                <w:spacing w:val="-2"/>
                <w:u w:val="single" w:color="auto"/>
                <w:lang w:val="en-US" w:eastAsia="zh-CN"/>
              </w:rPr>
              <w:t>29</w:t>
            </w:r>
            <w:r>
              <w:rPr>
                <w:color w:val="auto"/>
                <w:spacing w:val="-2"/>
              </w:rPr>
              <w:t>日</w:t>
            </w:r>
            <w:r>
              <w:rPr>
                <w:color w:val="auto"/>
                <w:spacing w:val="-45"/>
              </w:rPr>
              <w:t xml:space="preserve"> </w:t>
            </w:r>
            <w:r>
              <w:rPr>
                <w:color w:val="auto"/>
                <w:spacing w:val="-2"/>
                <w:u w:val="single" w:color="auto"/>
              </w:rPr>
              <w:t>9</w:t>
            </w:r>
            <w:r>
              <w:rPr>
                <w:color w:val="auto"/>
                <w:spacing w:val="-34"/>
                <w:u w:val="single" w:color="auto"/>
              </w:rPr>
              <w:t xml:space="preserve"> </w:t>
            </w:r>
            <w:r>
              <w:rPr>
                <w:color w:val="auto"/>
                <w:spacing w:val="-2"/>
              </w:rPr>
              <w:t>时</w:t>
            </w:r>
            <w:r>
              <w:rPr>
                <w:color w:val="auto"/>
                <w:spacing w:val="-44"/>
              </w:rPr>
              <w:t xml:space="preserve"> </w:t>
            </w:r>
            <w:r>
              <w:rPr>
                <w:color w:val="auto"/>
                <w:spacing w:val="-2"/>
              </w:rPr>
              <w:t>00</w:t>
            </w:r>
            <w:r>
              <w:rPr>
                <w:color w:val="auto"/>
                <w:spacing w:val="-1"/>
              </w:rPr>
              <w:t>分（北京时间）前登录</w:t>
            </w:r>
            <w:r>
              <w:rPr>
                <w:color w:val="auto"/>
                <w:spacing w:val="-9"/>
                <w:lang w:eastAsia="zh-CN"/>
              </w:rPr>
              <w:t>《</w:t>
            </w:r>
            <w:r>
              <w:rPr>
                <w:rFonts w:hint="eastAsia"/>
                <w:color w:val="auto"/>
                <w:spacing w:val="-9"/>
                <w:lang w:eastAsia="zh-CN"/>
              </w:rPr>
              <w:t>湘西土家族苗族自治州公共资源交易中心</w:t>
            </w:r>
            <w:r>
              <w:rPr>
                <w:color w:val="auto"/>
                <w:spacing w:val="-9"/>
                <w:lang w:eastAsia="zh-CN"/>
              </w:rPr>
              <w:t>》</w:t>
            </w:r>
            <w:r>
              <w:rPr>
                <w:b w:val="0"/>
                <w:bCs w:val="0"/>
                <w:spacing w:val="-1"/>
              </w:rPr>
              <w:t>上传电子投标文件。</w:t>
            </w:r>
          </w:p>
        </w:tc>
      </w:tr>
    </w:tbl>
    <w:p w14:paraId="1BAEABE0">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firstLine="472" w:firstLineChars="200"/>
        <w:textAlignment w:val="baseline"/>
        <w:rPr>
          <w:rFonts w:hint="eastAsia"/>
          <w:spacing w:val="-2"/>
          <w:sz w:val="24"/>
          <w:szCs w:val="24"/>
          <w:highlight w:val="none"/>
          <w:u w:val="single"/>
          <w:lang w:eastAsia="zh-CN"/>
        </w:rPr>
      </w:pPr>
    </w:p>
    <w:p w14:paraId="5436EEAA">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firstLine="472" w:firstLineChars="200"/>
        <w:textAlignment w:val="baseline"/>
        <w:rPr>
          <w:spacing w:val="-2"/>
          <w:sz w:val="24"/>
          <w:szCs w:val="24"/>
          <w:highlight w:val="none"/>
        </w:rPr>
      </w:pPr>
      <w:r>
        <w:rPr>
          <w:rFonts w:hint="eastAsia"/>
          <w:spacing w:val="-2"/>
          <w:sz w:val="24"/>
          <w:szCs w:val="24"/>
          <w:highlight w:val="none"/>
          <w:u w:val="single"/>
          <w:lang w:eastAsia="zh-CN"/>
        </w:rPr>
        <w:t>白云山国家级自然保护区管理局</w:t>
      </w:r>
      <w:r>
        <w:rPr>
          <w:spacing w:val="-2"/>
          <w:sz w:val="24"/>
          <w:szCs w:val="24"/>
          <w:highlight w:val="none"/>
        </w:rPr>
        <w:t>的</w:t>
      </w:r>
      <w:r>
        <w:rPr>
          <w:rFonts w:hint="eastAsia"/>
          <w:spacing w:val="-2"/>
          <w:sz w:val="24"/>
          <w:szCs w:val="24"/>
          <w:highlight w:val="none"/>
          <w:u w:val="single"/>
          <w:lang w:eastAsia="zh-CN"/>
        </w:rPr>
        <w:t>保靖县白云山自然保护区片区城镇垃圾收集转运设施设备采购项目（第四批）</w:t>
      </w:r>
      <w:r>
        <w:rPr>
          <w:spacing w:val="-2"/>
          <w:sz w:val="24"/>
          <w:szCs w:val="24"/>
          <w:highlight w:val="none"/>
        </w:rPr>
        <w:t>进行公开招标采购，现邀请合格投标供应商参加投标。</w:t>
      </w:r>
    </w:p>
    <w:p w14:paraId="3A24ABD4">
      <w:pPr>
        <w:pStyle w:val="2"/>
        <w:keepNext w:val="0"/>
        <w:keepLines w:val="0"/>
        <w:pageBreakBefore w:val="0"/>
        <w:widowControl/>
        <w:kinsoku/>
        <w:wordWrap w:val="0"/>
        <w:overflowPunct/>
        <w:topLinePunct w:val="0"/>
        <w:autoSpaceDE/>
        <w:autoSpaceDN/>
        <w:bidi w:val="0"/>
        <w:adjustRightInd w:val="0"/>
        <w:snapToGrid w:val="0"/>
        <w:spacing w:before="180" w:afterAutospacing="0" w:line="360" w:lineRule="auto"/>
        <w:ind w:left="405"/>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一、采购项目基本信息：</w:t>
      </w:r>
    </w:p>
    <w:p w14:paraId="5000DD70">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textAlignment w:val="baseline"/>
        <w:rPr>
          <w:rFonts w:hint="eastAsia"/>
          <w:spacing w:val="-2"/>
          <w:sz w:val="24"/>
          <w:szCs w:val="24"/>
          <w:highlight w:val="none"/>
          <w:lang w:eastAsia="zh-CN"/>
        </w:rPr>
      </w:pPr>
      <w:r>
        <w:rPr>
          <w:spacing w:val="-2"/>
          <w:sz w:val="24"/>
          <w:szCs w:val="24"/>
          <w:highlight w:val="none"/>
        </w:rPr>
        <w:t>1、采购项目名称：</w:t>
      </w:r>
      <w:r>
        <w:rPr>
          <w:rFonts w:hint="eastAsia"/>
          <w:spacing w:val="-2"/>
          <w:sz w:val="24"/>
          <w:szCs w:val="24"/>
          <w:highlight w:val="none"/>
          <w:lang w:eastAsia="zh-CN"/>
        </w:rPr>
        <w:t>保靖县白云山自然保护区片区城镇垃圾收集转运设施设备采购项目（第四批）</w:t>
      </w:r>
      <w:r>
        <w:rPr>
          <w:rFonts w:hint="eastAsia"/>
          <w:spacing w:val="-2"/>
          <w:sz w:val="24"/>
          <w:szCs w:val="24"/>
          <w:highlight w:val="none"/>
          <w:lang w:val="en-US" w:eastAsia="zh-CN"/>
        </w:rPr>
        <w:t xml:space="preserve"> </w:t>
      </w:r>
    </w:p>
    <w:p w14:paraId="11C739C4">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textAlignment w:val="baseline"/>
        <w:rPr>
          <w:rFonts w:hint="eastAsia"/>
          <w:spacing w:val="-2"/>
          <w:sz w:val="24"/>
          <w:szCs w:val="24"/>
          <w:highlight w:val="none"/>
          <w:lang w:eastAsia="zh-CN"/>
        </w:rPr>
      </w:pPr>
      <w:r>
        <w:rPr>
          <w:rFonts w:hint="eastAsia"/>
          <w:spacing w:val="-2"/>
          <w:sz w:val="24"/>
          <w:szCs w:val="24"/>
          <w:highlight w:val="none"/>
          <w:lang w:eastAsia="zh-CN"/>
        </w:rPr>
        <w:t>2、政府采购编号：(2026)433125000008-1</w:t>
      </w:r>
    </w:p>
    <w:p w14:paraId="6A26AB16">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textAlignment w:val="baseline"/>
        <w:rPr>
          <w:rFonts w:hint="eastAsia"/>
          <w:spacing w:val="-2"/>
          <w:sz w:val="24"/>
          <w:szCs w:val="24"/>
          <w:highlight w:val="none"/>
          <w:lang w:eastAsia="zh-CN"/>
        </w:rPr>
      </w:pPr>
      <w:r>
        <w:rPr>
          <w:spacing w:val="-2"/>
          <w:sz w:val="24"/>
          <w:szCs w:val="24"/>
          <w:highlight w:val="none"/>
        </w:rPr>
        <w:t>3、采购代理编号：</w:t>
      </w:r>
      <w:r>
        <w:rPr>
          <w:rFonts w:hint="eastAsia"/>
          <w:spacing w:val="-2"/>
          <w:sz w:val="24"/>
          <w:szCs w:val="24"/>
          <w:highlight w:val="none"/>
          <w:lang w:val="en-US" w:eastAsia="zh-CN"/>
        </w:rPr>
        <w:t>HNTR-ZB-2026-7017</w:t>
      </w:r>
    </w:p>
    <w:p w14:paraId="2160F115">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textAlignment w:val="baseline"/>
        <w:rPr>
          <w:color w:val="auto"/>
          <w:spacing w:val="-2"/>
          <w:sz w:val="24"/>
          <w:szCs w:val="24"/>
          <w:highlight w:val="none"/>
        </w:rPr>
      </w:pPr>
      <w:r>
        <w:rPr>
          <w:color w:val="auto"/>
          <w:spacing w:val="-2"/>
          <w:sz w:val="24"/>
          <w:szCs w:val="24"/>
          <w:highlight w:val="none"/>
        </w:rPr>
        <w:t>4、采购项目预算：</w:t>
      </w:r>
      <w:r>
        <w:rPr>
          <w:rFonts w:hint="eastAsia"/>
          <w:color w:val="auto"/>
          <w:spacing w:val="-2"/>
          <w:sz w:val="24"/>
          <w:szCs w:val="24"/>
          <w:highlight w:val="none"/>
          <w:u w:val="single"/>
          <w:lang w:val="en-US" w:eastAsia="zh-CN"/>
        </w:rPr>
        <w:t>44.66</w:t>
      </w:r>
      <w:r>
        <w:rPr>
          <w:color w:val="auto"/>
          <w:spacing w:val="-2"/>
          <w:sz w:val="24"/>
          <w:szCs w:val="24"/>
          <w:highlight w:val="none"/>
          <w:lang w:eastAsia="zh-CN"/>
        </w:rPr>
        <w:t>万元</w:t>
      </w:r>
      <w:r>
        <w:rPr>
          <w:color w:val="auto"/>
          <w:spacing w:val="-2"/>
          <w:sz w:val="24"/>
          <w:szCs w:val="24"/>
          <w:highlight w:val="none"/>
        </w:rPr>
        <w:t>；最高限价：</w:t>
      </w:r>
      <w:r>
        <w:rPr>
          <w:rFonts w:hint="eastAsia"/>
          <w:color w:val="auto"/>
          <w:spacing w:val="-2"/>
          <w:sz w:val="24"/>
          <w:szCs w:val="24"/>
          <w:highlight w:val="none"/>
          <w:u w:val="single"/>
          <w:lang w:val="en-US" w:eastAsia="zh-CN"/>
        </w:rPr>
        <w:t>44.66</w:t>
      </w:r>
      <w:r>
        <w:rPr>
          <w:color w:val="auto"/>
          <w:spacing w:val="-2"/>
          <w:sz w:val="24"/>
          <w:szCs w:val="24"/>
          <w:highlight w:val="none"/>
          <w:lang w:eastAsia="zh-CN"/>
        </w:rPr>
        <w:t>万元</w:t>
      </w:r>
    </w:p>
    <w:p w14:paraId="74E76CCA">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571"/>
        <w:textAlignment w:val="baseline"/>
        <w:rPr>
          <w:rFonts w:hint="default" w:eastAsia="宋体"/>
          <w:color w:val="auto"/>
          <w:sz w:val="24"/>
          <w:szCs w:val="24"/>
          <w:highlight w:val="none"/>
          <w:lang w:val="en-US" w:eastAsia="zh-CN"/>
        </w:rPr>
      </w:pPr>
      <w:r>
        <w:rPr>
          <w:rFonts w:ascii="Wingdings" w:hAnsi="Wingdings" w:eastAsia="Wingdings" w:cs="Wingdings"/>
          <w:color w:val="auto"/>
          <w:spacing w:val="-4"/>
          <w:sz w:val="24"/>
          <w:szCs w:val="24"/>
          <w:highlight w:val="none"/>
        </w:rPr>
        <w:sym w:font="Wingdings" w:char="00FE"/>
      </w:r>
      <w:r>
        <w:rPr>
          <w:color w:val="auto"/>
          <w:spacing w:val="-4"/>
          <w:sz w:val="24"/>
          <w:szCs w:val="24"/>
          <w:highlight w:val="none"/>
        </w:rPr>
        <w:t>支持预付款，预付比例：</w:t>
      </w:r>
      <w:r>
        <w:rPr>
          <w:rFonts w:hint="eastAsia"/>
          <w:color w:val="auto"/>
          <w:spacing w:val="-4"/>
          <w:sz w:val="24"/>
          <w:szCs w:val="24"/>
          <w:highlight w:val="none"/>
          <w:u w:val="single" w:color="auto"/>
          <w:lang w:val="en-US" w:eastAsia="zh-CN"/>
        </w:rPr>
        <w:t xml:space="preserve">  20%  </w:t>
      </w:r>
    </w:p>
    <w:p w14:paraId="1AB8A772">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ind w:left="378"/>
        <w:textAlignment w:val="baseline"/>
        <w:rPr>
          <w:rFonts w:hint="default" w:eastAsia="宋体"/>
          <w:color w:val="auto"/>
          <w:sz w:val="24"/>
          <w:szCs w:val="24"/>
          <w:highlight w:val="none"/>
          <w:lang w:val="en-US" w:eastAsia="zh-CN"/>
        </w:rPr>
      </w:pPr>
      <w:r>
        <w:rPr>
          <w:color w:val="auto"/>
          <w:spacing w:val="-2"/>
          <w:sz w:val="24"/>
          <w:szCs w:val="24"/>
          <w:highlight w:val="none"/>
        </w:rPr>
        <w:t>5、本项目对应的中小企业划分标准所属行业：</w:t>
      </w:r>
      <w:r>
        <w:rPr>
          <w:rFonts w:hint="eastAsia"/>
          <w:color w:val="auto"/>
          <w:spacing w:val="-2"/>
          <w:sz w:val="24"/>
          <w:szCs w:val="24"/>
          <w:highlight w:val="none"/>
          <w:u w:val="single" w:color="auto"/>
          <w:lang w:val="en-US" w:eastAsia="zh-CN"/>
        </w:rPr>
        <w:t xml:space="preserve">  </w:t>
      </w:r>
      <w:r>
        <w:rPr>
          <w:color w:val="auto"/>
          <w:spacing w:val="-2"/>
          <w:sz w:val="24"/>
          <w:szCs w:val="24"/>
          <w:highlight w:val="none"/>
          <w:u w:val="single" w:color="auto"/>
        </w:rPr>
        <w:t>工业</w:t>
      </w:r>
      <w:r>
        <w:rPr>
          <w:rFonts w:hint="eastAsia"/>
          <w:color w:val="auto"/>
          <w:spacing w:val="-2"/>
          <w:sz w:val="24"/>
          <w:szCs w:val="24"/>
          <w:highlight w:val="none"/>
          <w:u w:val="single" w:color="auto"/>
          <w:lang w:val="en-US" w:eastAsia="zh-CN"/>
        </w:rPr>
        <w:t xml:space="preserve">  </w:t>
      </w:r>
    </w:p>
    <w:p w14:paraId="76FD8C9B">
      <w:pPr>
        <w:pStyle w:val="2"/>
        <w:keepNext w:val="0"/>
        <w:keepLines w:val="0"/>
        <w:pageBreakBefore w:val="0"/>
        <w:widowControl/>
        <w:kinsoku/>
        <w:wordWrap w:val="0"/>
        <w:overflowPunct/>
        <w:topLinePunct w:val="0"/>
        <w:autoSpaceDE/>
        <w:autoSpaceDN/>
        <w:bidi w:val="0"/>
        <w:adjustRightInd w:val="0"/>
        <w:snapToGrid w:val="0"/>
        <w:spacing w:before="181" w:afterAutospacing="0" w:line="360" w:lineRule="auto"/>
        <w:ind w:left="375"/>
        <w:textAlignment w:val="baseline"/>
        <w:rPr>
          <w:color w:val="auto"/>
          <w:sz w:val="24"/>
          <w:szCs w:val="24"/>
          <w:highlight w:val="none"/>
        </w:rPr>
      </w:pPr>
      <w:r>
        <w:rPr>
          <w:color w:val="auto"/>
          <w:spacing w:val="-2"/>
          <w:sz w:val="24"/>
          <w:szCs w:val="24"/>
          <w:highlight w:val="none"/>
        </w:rPr>
        <w:t>6、评标方法：</w:t>
      </w:r>
      <w:r>
        <w:rPr>
          <w:color w:val="auto"/>
          <w:sz w:val="24"/>
          <w:szCs w:val="24"/>
          <w:highlight w:val="none"/>
        </w:rPr>
        <w:drawing>
          <wp:inline distT="0" distB="0" distL="0" distR="0">
            <wp:extent cx="121920" cy="11684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4"/>
                    <a:stretch>
                      <a:fillRect/>
                    </a:stretch>
                  </pic:blipFill>
                  <pic:spPr>
                    <a:xfrm>
                      <a:off x="0" y="0"/>
                      <a:ext cx="121920" cy="117347"/>
                    </a:xfrm>
                    <a:prstGeom prst="rect">
                      <a:avLst/>
                    </a:prstGeom>
                  </pic:spPr>
                </pic:pic>
              </a:graphicData>
            </a:graphic>
          </wp:inline>
        </w:drawing>
      </w:r>
      <w:r>
        <w:rPr>
          <w:color w:val="auto"/>
          <w:spacing w:val="-2"/>
          <w:sz w:val="24"/>
          <w:szCs w:val="24"/>
          <w:highlight w:val="none"/>
        </w:rPr>
        <w:t>综合评分法</w:t>
      </w:r>
      <w:r>
        <w:rPr>
          <w:rFonts w:ascii="Wingdings" w:hAnsi="Wingdings" w:eastAsia="Wingdings" w:cs="Wingdings"/>
          <w:color w:val="auto"/>
          <w:spacing w:val="-2"/>
          <w:sz w:val="24"/>
          <w:szCs w:val="24"/>
          <w:highlight w:val="none"/>
        </w:rPr>
        <w:t>o</w:t>
      </w:r>
      <w:r>
        <w:rPr>
          <w:color w:val="auto"/>
          <w:spacing w:val="-2"/>
          <w:sz w:val="24"/>
          <w:szCs w:val="24"/>
          <w:highlight w:val="none"/>
        </w:rPr>
        <w:t>最低评标价法</w:t>
      </w:r>
    </w:p>
    <w:p w14:paraId="4BC52D74">
      <w:pPr>
        <w:pStyle w:val="2"/>
        <w:keepNext w:val="0"/>
        <w:keepLines w:val="0"/>
        <w:pageBreakBefore w:val="0"/>
        <w:widowControl/>
        <w:kinsoku/>
        <w:wordWrap w:val="0"/>
        <w:overflowPunct/>
        <w:topLinePunct w:val="0"/>
        <w:autoSpaceDE/>
        <w:autoSpaceDN/>
        <w:bidi w:val="0"/>
        <w:adjustRightInd w:val="0"/>
        <w:snapToGrid w:val="0"/>
        <w:spacing w:before="181" w:afterAutospacing="0" w:line="360" w:lineRule="auto"/>
        <w:ind w:left="375"/>
        <w:textAlignment w:val="baseline"/>
        <w:rPr>
          <w:color w:val="auto"/>
          <w:spacing w:val="-2"/>
          <w:sz w:val="24"/>
          <w:szCs w:val="24"/>
          <w:highlight w:val="none"/>
        </w:rPr>
      </w:pPr>
      <w:r>
        <w:rPr>
          <w:color w:val="auto"/>
          <w:spacing w:val="-2"/>
          <w:sz w:val="24"/>
          <w:szCs w:val="24"/>
          <w:highlight w:val="none"/>
        </w:rPr>
        <w:t>7、合同定价方式：</w:t>
      </w:r>
      <w:r>
        <w:rPr>
          <w:color w:val="auto"/>
          <w:spacing w:val="-2"/>
          <w:sz w:val="24"/>
          <w:szCs w:val="24"/>
          <w:highlight w:val="none"/>
        </w:rPr>
        <w:sym w:font="Wingdings" w:char="00FE"/>
      </w:r>
      <w:r>
        <w:rPr>
          <w:color w:val="auto"/>
          <w:spacing w:val="-2"/>
          <w:sz w:val="24"/>
          <w:szCs w:val="24"/>
          <w:highlight w:val="none"/>
        </w:rPr>
        <w:t>固定总价</w:t>
      </w:r>
      <w:r>
        <w:rPr>
          <w:rFonts w:ascii="Wingdings" w:hAnsi="Wingdings" w:eastAsia="Wingdings" w:cs="Wingdings"/>
          <w:color w:val="auto"/>
          <w:spacing w:val="-2"/>
          <w:sz w:val="24"/>
          <w:szCs w:val="24"/>
          <w:highlight w:val="none"/>
        </w:rPr>
        <w:t>o</w:t>
      </w:r>
      <w:r>
        <w:rPr>
          <w:color w:val="auto"/>
          <w:spacing w:val="-2"/>
          <w:sz w:val="24"/>
          <w:szCs w:val="24"/>
          <w:highlight w:val="none"/>
        </w:rPr>
        <w:t>固定单价</w:t>
      </w:r>
      <w:r>
        <w:rPr>
          <w:rFonts w:ascii="Wingdings" w:hAnsi="Wingdings" w:eastAsia="Wingdings" w:cs="Wingdings"/>
          <w:color w:val="auto"/>
          <w:spacing w:val="-2"/>
          <w:sz w:val="24"/>
          <w:szCs w:val="24"/>
          <w:highlight w:val="none"/>
        </w:rPr>
        <w:t>o</w:t>
      </w:r>
      <w:r>
        <w:rPr>
          <w:color w:val="auto"/>
          <w:spacing w:val="-2"/>
          <w:sz w:val="24"/>
          <w:szCs w:val="24"/>
          <w:highlight w:val="none"/>
        </w:rPr>
        <w:t>成本补偿</w:t>
      </w:r>
      <w:r>
        <w:rPr>
          <w:rFonts w:ascii="Wingdings" w:hAnsi="Wingdings" w:eastAsia="Wingdings" w:cs="Wingdings"/>
          <w:color w:val="auto"/>
          <w:spacing w:val="-2"/>
          <w:sz w:val="24"/>
          <w:szCs w:val="24"/>
          <w:highlight w:val="none"/>
        </w:rPr>
        <w:t>o</w:t>
      </w:r>
      <w:r>
        <w:rPr>
          <w:color w:val="auto"/>
          <w:spacing w:val="-2"/>
          <w:sz w:val="24"/>
          <w:szCs w:val="24"/>
          <w:highlight w:val="none"/>
        </w:rPr>
        <w:t>绩效激励</w:t>
      </w:r>
    </w:p>
    <w:p w14:paraId="02816062">
      <w:pPr>
        <w:pStyle w:val="2"/>
        <w:keepNext w:val="0"/>
        <w:keepLines w:val="0"/>
        <w:pageBreakBefore w:val="0"/>
        <w:widowControl/>
        <w:kinsoku/>
        <w:wordWrap w:val="0"/>
        <w:overflowPunct/>
        <w:topLinePunct w:val="0"/>
        <w:autoSpaceDE/>
        <w:autoSpaceDN/>
        <w:bidi w:val="0"/>
        <w:adjustRightInd w:val="0"/>
        <w:snapToGrid w:val="0"/>
        <w:spacing w:before="181" w:afterAutospacing="0" w:line="360" w:lineRule="auto"/>
        <w:ind w:left="375"/>
        <w:textAlignment w:val="baseline"/>
        <w:rPr>
          <w:color w:val="auto"/>
          <w:spacing w:val="-2"/>
          <w:sz w:val="24"/>
          <w:szCs w:val="24"/>
          <w:highlight w:val="none"/>
          <w:u w:val="single"/>
        </w:rPr>
      </w:pPr>
      <w:r>
        <w:rPr>
          <w:color w:val="auto"/>
          <w:spacing w:val="-2"/>
          <w:sz w:val="24"/>
          <w:szCs w:val="24"/>
          <w:highlight w:val="none"/>
        </w:rPr>
        <w:t>8、交货时间：</w:t>
      </w:r>
      <w:r>
        <w:rPr>
          <w:color w:val="auto"/>
          <w:spacing w:val="-2"/>
          <w:sz w:val="24"/>
          <w:szCs w:val="24"/>
          <w:highlight w:val="none"/>
          <w:u w:val="single"/>
          <w:lang w:eastAsia="zh-CN"/>
        </w:rPr>
        <w:t>合同签订之日起</w:t>
      </w:r>
      <w:r>
        <w:rPr>
          <w:rFonts w:hint="eastAsia"/>
          <w:color w:val="auto"/>
          <w:spacing w:val="-2"/>
          <w:sz w:val="24"/>
          <w:szCs w:val="24"/>
          <w:highlight w:val="none"/>
          <w:u w:val="single"/>
          <w:lang w:val="en-US" w:eastAsia="zh-CN"/>
        </w:rPr>
        <w:t>30日历天</w:t>
      </w:r>
      <w:r>
        <w:rPr>
          <w:color w:val="auto"/>
          <w:spacing w:val="-2"/>
          <w:sz w:val="24"/>
          <w:szCs w:val="24"/>
          <w:highlight w:val="none"/>
          <w:u w:val="single"/>
          <w:lang w:eastAsia="zh-CN"/>
        </w:rPr>
        <w:t>内完成交付及验收</w:t>
      </w:r>
      <w:r>
        <w:rPr>
          <w:color w:val="auto"/>
          <w:spacing w:val="-2"/>
          <w:sz w:val="24"/>
          <w:szCs w:val="24"/>
          <w:highlight w:val="none"/>
          <w:u w:val="single"/>
        </w:rPr>
        <w:t>。</w:t>
      </w:r>
    </w:p>
    <w:p w14:paraId="4A97A804">
      <w:pPr>
        <w:pStyle w:val="2"/>
        <w:keepNext w:val="0"/>
        <w:keepLines w:val="0"/>
        <w:pageBreakBefore w:val="0"/>
        <w:widowControl/>
        <w:kinsoku/>
        <w:wordWrap w:val="0"/>
        <w:overflowPunct/>
        <w:topLinePunct w:val="0"/>
        <w:autoSpaceDE/>
        <w:autoSpaceDN/>
        <w:bidi w:val="0"/>
        <w:adjustRightInd w:val="0"/>
        <w:snapToGrid w:val="0"/>
        <w:spacing w:before="181" w:afterAutospacing="0" w:line="360" w:lineRule="auto"/>
        <w:ind w:left="375"/>
        <w:textAlignment w:val="baseline"/>
        <w:rPr>
          <w:color w:val="auto"/>
          <w:spacing w:val="-2"/>
          <w:sz w:val="24"/>
          <w:szCs w:val="24"/>
          <w:highlight w:val="none"/>
        </w:rPr>
      </w:pPr>
      <w:r>
        <w:rPr>
          <w:color w:val="auto"/>
          <w:spacing w:val="-2"/>
          <w:sz w:val="24"/>
          <w:szCs w:val="24"/>
          <w:highlight w:val="none"/>
        </w:rPr>
        <w:t>9、本项目分阶段要求投标供应商提供以下保证：</w:t>
      </w:r>
    </w:p>
    <w:p w14:paraId="0954DB77">
      <w:pPr>
        <w:pStyle w:val="2"/>
        <w:keepNext w:val="0"/>
        <w:keepLines w:val="0"/>
        <w:pageBreakBefore w:val="0"/>
        <w:widowControl/>
        <w:tabs>
          <w:tab w:val="left" w:pos="8213"/>
        </w:tabs>
        <w:kinsoku/>
        <w:wordWrap w:val="0"/>
        <w:overflowPunct/>
        <w:topLinePunct w:val="0"/>
        <w:autoSpaceDE/>
        <w:autoSpaceDN/>
        <w:bidi w:val="0"/>
        <w:adjustRightInd w:val="0"/>
        <w:snapToGrid w:val="0"/>
        <w:spacing w:before="182" w:afterAutospacing="0" w:line="360" w:lineRule="auto"/>
        <w:ind w:left="1111"/>
        <w:textAlignment w:val="baseline"/>
        <w:rPr>
          <w:rFonts w:hint="eastAsia" w:eastAsia="宋体"/>
          <w:sz w:val="24"/>
          <w:szCs w:val="24"/>
          <w:highlight w:val="none"/>
          <w:lang w:eastAsia="zh-CN"/>
        </w:rPr>
      </w:pPr>
      <w:r>
        <w:rPr>
          <w:rFonts w:ascii="Wingdings" w:hAnsi="Wingdings" w:eastAsia="Wingdings" w:cs="Wingdings"/>
          <w:spacing w:val="-3"/>
          <w:sz w:val="24"/>
          <w:szCs w:val="24"/>
          <w:highlight w:val="none"/>
        </w:rPr>
        <w:t>o</w:t>
      </w:r>
      <w:r>
        <w:rPr>
          <w:spacing w:val="-3"/>
          <w:sz w:val="24"/>
          <w:szCs w:val="24"/>
          <w:highlight w:val="none"/>
        </w:rPr>
        <w:t>投标保证金：采购项目预算的</w:t>
      </w:r>
      <w:r>
        <w:rPr>
          <w:rFonts w:hint="eastAsia"/>
          <w:spacing w:val="-3"/>
          <w:sz w:val="24"/>
          <w:szCs w:val="24"/>
          <w:highlight w:val="none"/>
          <w:u w:val="single" w:color="auto"/>
          <w:lang w:val="en-US" w:eastAsia="zh-CN"/>
        </w:rPr>
        <w:t xml:space="preserve">  </w:t>
      </w:r>
      <w:r>
        <w:rPr>
          <w:spacing w:val="-3"/>
          <w:sz w:val="24"/>
          <w:szCs w:val="24"/>
          <w:highlight w:val="none"/>
          <w:u w:val="single" w:color="auto"/>
        </w:rPr>
        <w:t>/</w:t>
      </w:r>
      <w:r>
        <w:rPr>
          <w:rFonts w:hint="eastAsia"/>
          <w:spacing w:val="-3"/>
          <w:sz w:val="24"/>
          <w:szCs w:val="24"/>
          <w:highlight w:val="none"/>
          <w:u w:val="single" w:color="auto"/>
          <w:lang w:val="en-US" w:eastAsia="zh-CN"/>
        </w:rPr>
        <w:t xml:space="preserve">  </w:t>
      </w:r>
      <w:r>
        <w:rPr>
          <w:spacing w:val="-3"/>
          <w:sz w:val="24"/>
          <w:szCs w:val="24"/>
          <w:highlight w:val="none"/>
        </w:rPr>
        <w:t>%；</w:t>
      </w:r>
      <w:r>
        <w:rPr>
          <w:rFonts w:hint="eastAsia"/>
          <w:spacing w:val="-3"/>
          <w:sz w:val="24"/>
          <w:szCs w:val="24"/>
          <w:highlight w:val="none"/>
          <w:lang w:eastAsia="zh-CN"/>
        </w:rPr>
        <w:tab/>
      </w:r>
    </w:p>
    <w:p w14:paraId="68FDA564">
      <w:pPr>
        <w:pStyle w:val="2"/>
        <w:keepNext w:val="0"/>
        <w:keepLines w:val="0"/>
        <w:pageBreakBefore w:val="0"/>
        <w:widowControl/>
        <w:kinsoku/>
        <w:wordWrap w:val="0"/>
        <w:overflowPunct/>
        <w:topLinePunct w:val="0"/>
        <w:autoSpaceDE/>
        <w:autoSpaceDN/>
        <w:bidi w:val="0"/>
        <w:adjustRightInd w:val="0"/>
        <w:snapToGrid w:val="0"/>
        <w:spacing w:before="158" w:afterAutospacing="0" w:line="360" w:lineRule="auto"/>
        <w:ind w:left="1111"/>
        <w:textAlignment w:val="baseline"/>
        <w:rPr>
          <w:color w:val="auto"/>
          <w:sz w:val="24"/>
          <w:szCs w:val="24"/>
          <w:highlight w:val="none"/>
        </w:rPr>
      </w:pPr>
      <w:r>
        <w:rPr>
          <w:color w:val="auto"/>
          <w:sz w:val="24"/>
          <w:szCs w:val="24"/>
          <w:highlight w:val="none"/>
        </w:rPr>
        <w:drawing>
          <wp:inline distT="0" distB="0" distL="0" distR="0">
            <wp:extent cx="121285" cy="116840"/>
            <wp:effectExtent l="0" t="0" r="12065" b="16510"/>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icPr>
                  <pic:blipFill>
                    <a:blip r:embed="rId14"/>
                    <a:stretch>
                      <a:fillRect/>
                    </a:stretch>
                  </pic:blipFill>
                  <pic:spPr>
                    <a:xfrm>
                      <a:off x="0" y="0"/>
                      <a:ext cx="121919" cy="117347"/>
                    </a:xfrm>
                    <a:prstGeom prst="rect">
                      <a:avLst/>
                    </a:prstGeom>
                  </pic:spPr>
                </pic:pic>
              </a:graphicData>
            </a:graphic>
          </wp:inline>
        </w:drawing>
      </w:r>
      <w:r>
        <w:rPr>
          <w:color w:val="auto"/>
          <w:spacing w:val="-4"/>
          <w:sz w:val="24"/>
          <w:szCs w:val="24"/>
          <w:highlight w:val="none"/>
        </w:rPr>
        <w:t>履约保证金：</w:t>
      </w:r>
      <w:r>
        <w:rPr>
          <w:rFonts w:hint="eastAsia" w:ascii="宋体" w:hAnsi="宋体" w:eastAsia="宋体" w:cs="宋体"/>
          <w:color w:val="auto"/>
          <w:spacing w:val="-2"/>
          <w:sz w:val="24"/>
          <w:szCs w:val="24"/>
          <w:lang w:eastAsia="zh-CN"/>
        </w:rPr>
        <w:t>合同金额的</w:t>
      </w:r>
      <w:r>
        <w:rPr>
          <w:rFonts w:hint="eastAsia" w:ascii="宋体" w:hAnsi="宋体" w:eastAsia="宋体" w:cs="宋体"/>
          <w:color w:val="auto"/>
          <w:spacing w:val="-2"/>
          <w:sz w:val="24"/>
          <w:szCs w:val="24"/>
          <w:u w:val="single"/>
          <w:lang w:eastAsia="zh-CN"/>
        </w:rPr>
        <w:t>10%</w:t>
      </w:r>
      <w:r>
        <w:rPr>
          <w:color w:val="auto"/>
          <w:spacing w:val="-4"/>
          <w:sz w:val="24"/>
          <w:szCs w:val="24"/>
          <w:highlight w:val="none"/>
        </w:rPr>
        <w:t>；</w:t>
      </w:r>
    </w:p>
    <w:p w14:paraId="1AE08A3B">
      <w:pPr>
        <w:pStyle w:val="2"/>
        <w:keepNext w:val="0"/>
        <w:keepLines w:val="0"/>
        <w:pageBreakBefore w:val="0"/>
        <w:widowControl/>
        <w:kinsoku/>
        <w:wordWrap w:val="0"/>
        <w:overflowPunct/>
        <w:topLinePunct w:val="0"/>
        <w:autoSpaceDE/>
        <w:autoSpaceDN/>
        <w:bidi w:val="0"/>
        <w:adjustRightInd w:val="0"/>
        <w:snapToGrid w:val="0"/>
        <w:spacing w:before="154" w:afterAutospacing="0" w:line="360" w:lineRule="auto"/>
        <w:ind w:left="1091" w:right="172" w:rightChars="0" w:firstLine="20"/>
        <w:textAlignment w:val="baseline"/>
        <w:rPr>
          <w:spacing w:val="-6"/>
          <w:sz w:val="24"/>
          <w:szCs w:val="24"/>
          <w:highlight w:val="none"/>
        </w:rPr>
      </w:pPr>
      <w:r>
        <w:rPr>
          <w:rFonts w:ascii="Wingdings" w:hAnsi="Wingdings" w:eastAsia="Wingdings" w:cs="Wingdings"/>
          <w:spacing w:val="-6"/>
          <w:sz w:val="24"/>
          <w:szCs w:val="24"/>
          <w:highlight w:val="none"/>
        </w:rPr>
        <w:t>o</w:t>
      </w:r>
      <w:r>
        <w:rPr>
          <w:spacing w:val="-6"/>
          <w:sz w:val="24"/>
          <w:szCs w:val="24"/>
          <w:highlight w:val="none"/>
        </w:rPr>
        <w:t>预付款保证金：预付款的</w:t>
      </w:r>
      <w:r>
        <w:rPr>
          <w:rFonts w:hint="eastAsia"/>
          <w:spacing w:val="-3"/>
          <w:sz w:val="24"/>
          <w:szCs w:val="24"/>
          <w:highlight w:val="none"/>
          <w:u w:val="single" w:color="auto"/>
          <w:lang w:val="en-US" w:eastAsia="zh-CN"/>
        </w:rPr>
        <w:t xml:space="preserve">  </w:t>
      </w:r>
      <w:r>
        <w:rPr>
          <w:spacing w:val="-3"/>
          <w:sz w:val="24"/>
          <w:szCs w:val="24"/>
          <w:highlight w:val="none"/>
          <w:u w:val="single" w:color="auto"/>
        </w:rPr>
        <w:t>/</w:t>
      </w:r>
      <w:r>
        <w:rPr>
          <w:rFonts w:hint="eastAsia"/>
          <w:spacing w:val="-3"/>
          <w:sz w:val="24"/>
          <w:szCs w:val="24"/>
          <w:highlight w:val="none"/>
          <w:u w:val="single" w:color="auto"/>
          <w:lang w:val="en-US" w:eastAsia="zh-CN"/>
        </w:rPr>
        <w:t xml:space="preserve">  </w:t>
      </w:r>
      <w:r>
        <w:rPr>
          <w:spacing w:val="-6"/>
          <w:sz w:val="24"/>
          <w:szCs w:val="24"/>
          <w:highlight w:val="none"/>
        </w:rPr>
        <w:t>%；</w:t>
      </w:r>
    </w:p>
    <w:p w14:paraId="194EB280">
      <w:pPr>
        <w:pStyle w:val="2"/>
        <w:keepNext w:val="0"/>
        <w:keepLines w:val="0"/>
        <w:pageBreakBefore w:val="0"/>
        <w:widowControl/>
        <w:kinsoku/>
        <w:wordWrap w:val="0"/>
        <w:overflowPunct/>
        <w:topLinePunct w:val="0"/>
        <w:autoSpaceDE/>
        <w:autoSpaceDN/>
        <w:bidi w:val="0"/>
        <w:adjustRightInd w:val="0"/>
        <w:snapToGrid w:val="0"/>
        <w:spacing w:before="154" w:afterAutospacing="0" w:line="360" w:lineRule="auto"/>
        <w:ind w:left="1091" w:right="172" w:rightChars="0" w:firstLine="20"/>
        <w:textAlignment w:val="baseline"/>
        <w:rPr>
          <w:color w:val="auto"/>
          <w:sz w:val="24"/>
          <w:szCs w:val="24"/>
          <w:highlight w:val="none"/>
        </w:rPr>
      </w:pPr>
      <w:r>
        <w:rPr>
          <w:rFonts w:ascii="Wingdings" w:hAnsi="Wingdings" w:eastAsia="Wingdings" w:cs="Wingdings"/>
          <w:spacing w:val="-6"/>
          <w:sz w:val="24"/>
          <w:szCs w:val="24"/>
          <w:highlight w:val="none"/>
        </w:rPr>
        <w:t>o</w:t>
      </w:r>
      <w:r>
        <w:rPr>
          <w:color w:val="auto"/>
          <w:spacing w:val="-4"/>
          <w:sz w:val="24"/>
          <w:szCs w:val="24"/>
          <w:highlight w:val="none"/>
        </w:rPr>
        <w:t>质量保证金：合同金额的</w:t>
      </w:r>
      <w:r>
        <w:rPr>
          <w:rFonts w:hint="eastAsia"/>
          <w:spacing w:val="-3"/>
          <w:sz w:val="24"/>
          <w:szCs w:val="24"/>
          <w:highlight w:val="none"/>
          <w:u w:val="single" w:color="auto"/>
          <w:lang w:val="en-US" w:eastAsia="zh-CN"/>
        </w:rPr>
        <w:t xml:space="preserve"> </w:t>
      </w:r>
      <w:r>
        <w:rPr>
          <w:spacing w:val="-3"/>
          <w:sz w:val="24"/>
          <w:szCs w:val="24"/>
          <w:highlight w:val="none"/>
          <w:u w:val="single" w:color="auto"/>
        </w:rPr>
        <w:t>/</w:t>
      </w:r>
      <w:r>
        <w:rPr>
          <w:rFonts w:hint="eastAsia"/>
          <w:spacing w:val="-3"/>
          <w:sz w:val="24"/>
          <w:szCs w:val="24"/>
          <w:highlight w:val="none"/>
          <w:u w:val="single" w:color="auto"/>
          <w:lang w:val="en-US" w:eastAsia="zh-CN"/>
        </w:rPr>
        <w:t xml:space="preserve"> </w:t>
      </w:r>
      <w:r>
        <w:rPr>
          <w:color w:val="auto"/>
          <w:spacing w:val="-4"/>
          <w:sz w:val="24"/>
          <w:szCs w:val="24"/>
          <w:highlight w:val="none"/>
        </w:rPr>
        <w:t>%。</w:t>
      </w:r>
    </w:p>
    <w:p w14:paraId="23B51F89">
      <w:pPr>
        <w:pStyle w:val="2"/>
        <w:keepNext w:val="0"/>
        <w:keepLines w:val="0"/>
        <w:pageBreakBefore w:val="0"/>
        <w:widowControl/>
        <w:kinsoku/>
        <w:wordWrap w:val="0"/>
        <w:overflowPunct/>
        <w:topLinePunct w:val="0"/>
        <w:autoSpaceDE/>
        <w:autoSpaceDN/>
        <w:bidi w:val="0"/>
        <w:adjustRightInd w:val="0"/>
        <w:snapToGrid w:val="0"/>
        <w:spacing w:before="180" w:afterAutospacing="0" w:line="360" w:lineRule="auto"/>
        <w:ind w:left="137"/>
        <w:textAlignment w:val="baseline"/>
        <w:rPr>
          <w:highlight w:val="none"/>
        </w:rPr>
      </w:pPr>
      <w:r>
        <w:rPr>
          <w:b/>
          <w:bCs/>
          <w:spacing w:val="-6"/>
          <w:sz w:val="24"/>
          <w:szCs w:val="24"/>
          <w:highlight w:val="none"/>
        </w:rPr>
        <w:t>二、采购人的采购需求：</w:t>
      </w:r>
    </w:p>
    <w:tbl>
      <w:tblPr>
        <w:tblStyle w:val="20"/>
        <w:tblW w:w="97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
        <w:gridCol w:w="1742"/>
        <w:gridCol w:w="1472"/>
        <w:gridCol w:w="710"/>
        <w:gridCol w:w="1450"/>
        <w:gridCol w:w="1661"/>
        <w:gridCol w:w="1177"/>
        <w:gridCol w:w="1079"/>
      </w:tblGrid>
      <w:tr w14:paraId="20C20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 w:hRule="atLeast"/>
        </w:trPr>
        <w:tc>
          <w:tcPr>
            <w:tcW w:w="463" w:type="dxa"/>
            <w:vAlign w:val="center"/>
          </w:tcPr>
          <w:p w14:paraId="22549BDE">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sz w:val="21"/>
                <w:szCs w:val="21"/>
                <w:highlight w:val="none"/>
              </w:rPr>
            </w:pPr>
            <w:r>
              <w:rPr>
                <w:b w:val="0"/>
                <w:bCs w:val="0"/>
                <w:sz w:val="21"/>
                <w:szCs w:val="21"/>
                <w:highlight w:val="none"/>
              </w:rPr>
              <w:t>包号</w:t>
            </w:r>
          </w:p>
        </w:tc>
        <w:tc>
          <w:tcPr>
            <w:tcW w:w="1742" w:type="dxa"/>
            <w:vAlign w:val="center"/>
          </w:tcPr>
          <w:p w14:paraId="3E9E890B">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标的名称</w:t>
            </w:r>
          </w:p>
        </w:tc>
        <w:tc>
          <w:tcPr>
            <w:tcW w:w="1472" w:type="dxa"/>
            <w:vAlign w:val="center"/>
          </w:tcPr>
          <w:p w14:paraId="288F8B85">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简要技术要求</w:t>
            </w:r>
          </w:p>
        </w:tc>
        <w:tc>
          <w:tcPr>
            <w:tcW w:w="710" w:type="dxa"/>
            <w:vAlign w:val="center"/>
          </w:tcPr>
          <w:p w14:paraId="0208CB70">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数量</w:t>
            </w:r>
          </w:p>
        </w:tc>
        <w:tc>
          <w:tcPr>
            <w:tcW w:w="1450" w:type="dxa"/>
            <w:vAlign w:val="center"/>
          </w:tcPr>
          <w:p w14:paraId="7CBE4945">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预算（</w:t>
            </w:r>
            <w:r>
              <w:rPr>
                <w:rFonts w:hint="eastAsia" w:eastAsia="宋体"/>
                <w:b w:val="0"/>
                <w:bCs w:val="0"/>
                <w:color w:val="auto"/>
                <w:sz w:val="21"/>
                <w:szCs w:val="21"/>
                <w:highlight w:val="none"/>
                <w:lang w:val="en-US" w:eastAsia="zh-CN"/>
              </w:rPr>
              <w:t>万</w:t>
            </w:r>
            <w:r>
              <w:rPr>
                <w:b w:val="0"/>
                <w:bCs w:val="0"/>
                <w:color w:val="auto"/>
                <w:sz w:val="21"/>
                <w:szCs w:val="21"/>
                <w:highlight w:val="none"/>
              </w:rPr>
              <w:t>元）</w:t>
            </w:r>
          </w:p>
        </w:tc>
        <w:tc>
          <w:tcPr>
            <w:tcW w:w="1661" w:type="dxa"/>
            <w:vAlign w:val="center"/>
          </w:tcPr>
          <w:p w14:paraId="44C119B3">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最高限价（</w:t>
            </w:r>
            <w:r>
              <w:rPr>
                <w:rFonts w:hint="eastAsia" w:eastAsia="宋体"/>
                <w:b w:val="0"/>
                <w:bCs w:val="0"/>
                <w:color w:val="auto"/>
                <w:sz w:val="21"/>
                <w:szCs w:val="21"/>
                <w:highlight w:val="none"/>
                <w:lang w:val="en-US" w:eastAsia="zh-CN"/>
              </w:rPr>
              <w:t>万</w:t>
            </w:r>
            <w:r>
              <w:rPr>
                <w:b w:val="0"/>
                <w:bCs w:val="0"/>
                <w:color w:val="auto"/>
                <w:sz w:val="21"/>
                <w:szCs w:val="21"/>
                <w:highlight w:val="none"/>
              </w:rPr>
              <w:t>元）</w:t>
            </w:r>
          </w:p>
        </w:tc>
        <w:tc>
          <w:tcPr>
            <w:tcW w:w="1177" w:type="dxa"/>
            <w:vAlign w:val="center"/>
          </w:tcPr>
          <w:p w14:paraId="1209CBB4">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节能产品</w:t>
            </w:r>
          </w:p>
        </w:tc>
        <w:tc>
          <w:tcPr>
            <w:tcW w:w="1079" w:type="dxa"/>
            <w:vAlign w:val="center"/>
          </w:tcPr>
          <w:p w14:paraId="01018F3E">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进口产品</w:t>
            </w:r>
          </w:p>
        </w:tc>
      </w:tr>
      <w:tr w14:paraId="58C33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 w:hRule="atLeast"/>
        </w:trPr>
        <w:tc>
          <w:tcPr>
            <w:tcW w:w="463" w:type="dxa"/>
            <w:vAlign w:val="center"/>
          </w:tcPr>
          <w:p w14:paraId="56B016A0">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rFonts w:hint="eastAsia" w:eastAsia="宋体"/>
                <w:b w:val="0"/>
                <w:bCs w:val="0"/>
                <w:sz w:val="21"/>
                <w:szCs w:val="21"/>
                <w:highlight w:val="none"/>
                <w:lang w:val="en-US" w:eastAsia="zh-CN"/>
              </w:rPr>
            </w:pPr>
            <w:r>
              <w:rPr>
                <w:rFonts w:hint="eastAsia" w:eastAsia="宋体"/>
                <w:b w:val="0"/>
                <w:bCs w:val="0"/>
                <w:sz w:val="21"/>
                <w:szCs w:val="21"/>
                <w:highlight w:val="none"/>
                <w:lang w:val="en-US" w:eastAsia="zh-CN"/>
              </w:rPr>
              <w:t>1</w:t>
            </w:r>
          </w:p>
        </w:tc>
        <w:tc>
          <w:tcPr>
            <w:tcW w:w="1742" w:type="dxa"/>
            <w:vAlign w:val="center"/>
          </w:tcPr>
          <w:p w14:paraId="4D87B2E4">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textAlignment w:val="baseline"/>
              <w:rPr>
                <w:b w:val="0"/>
                <w:bCs w:val="0"/>
                <w:color w:val="auto"/>
                <w:sz w:val="21"/>
                <w:szCs w:val="21"/>
                <w:highlight w:val="none"/>
              </w:rPr>
            </w:pPr>
            <w:r>
              <w:rPr>
                <w:rFonts w:hint="eastAsia"/>
                <w:b w:val="0"/>
                <w:bCs w:val="0"/>
                <w:color w:val="auto"/>
                <w:spacing w:val="-2"/>
                <w:sz w:val="21"/>
                <w:szCs w:val="21"/>
                <w:highlight w:val="none"/>
                <w:lang w:eastAsia="zh-CN"/>
              </w:rPr>
              <w:t>保靖县白云山自然保护区片区城镇垃圾收集转运设施设备采购项目（第四批）</w:t>
            </w:r>
            <w:r>
              <w:rPr>
                <w:rFonts w:hint="eastAsia"/>
                <w:b w:val="0"/>
                <w:bCs w:val="0"/>
                <w:color w:val="auto"/>
                <w:spacing w:val="-2"/>
                <w:sz w:val="21"/>
                <w:szCs w:val="21"/>
                <w:highlight w:val="none"/>
                <w:lang w:val="en-US" w:eastAsia="zh-CN"/>
              </w:rPr>
              <w:t xml:space="preserve"> </w:t>
            </w:r>
          </w:p>
        </w:tc>
        <w:tc>
          <w:tcPr>
            <w:tcW w:w="1472" w:type="dxa"/>
            <w:vAlign w:val="center"/>
          </w:tcPr>
          <w:p w14:paraId="0EF09F44">
            <w:pPr>
              <w:pStyle w:val="2"/>
              <w:keepNext w:val="0"/>
              <w:keepLines w:val="0"/>
              <w:pageBreakBefore w:val="0"/>
              <w:widowControl/>
              <w:kinsoku/>
              <w:wordWrap w:val="0"/>
              <w:overflowPunct/>
              <w:topLinePunct w:val="0"/>
              <w:autoSpaceDE/>
              <w:autoSpaceDN/>
              <w:bidi w:val="0"/>
              <w:adjustRightInd w:val="0"/>
              <w:snapToGrid w:val="0"/>
              <w:spacing w:before="156" w:afterAutospacing="0" w:line="360" w:lineRule="auto"/>
              <w:jc w:val="center"/>
              <w:textAlignment w:val="baseline"/>
              <w:rPr>
                <w:rFonts w:hint="eastAsia"/>
                <w:b w:val="0"/>
                <w:bCs w:val="0"/>
                <w:color w:val="auto"/>
                <w:spacing w:val="-2"/>
                <w:sz w:val="21"/>
                <w:szCs w:val="21"/>
                <w:highlight w:val="none"/>
                <w:lang w:eastAsia="zh-CN"/>
              </w:rPr>
            </w:pPr>
            <w:r>
              <w:rPr>
                <w:rFonts w:hint="eastAsia"/>
                <w:b w:val="0"/>
                <w:bCs w:val="0"/>
                <w:color w:val="auto"/>
                <w:spacing w:val="-2"/>
                <w:sz w:val="21"/>
                <w:szCs w:val="21"/>
                <w:highlight w:val="none"/>
                <w:lang w:eastAsia="zh-CN"/>
              </w:rPr>
              <w:t>详见第五章采购需求</w:t>
            </w:r>
          </w:p>
          <w:p w14:paraId="79940A39">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p>
        </w:tc>
        <w:tc>
          <w:tcPr>
            <w:tcW w:w="710" w:type="dxa"/>
            <w:vAlign w:val="center"/>
          </w:tcPr>
          <w:p w14:paraId="66A0A6A9">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rFonts w:hint="default" w:eastAsia="宋体"/>
                <w:b w:val="0"/>
                <w:bCs w:val="0"/>
                <w:color w:val="auto"/>
                <w:sz w:val="21"/>
                <w:szCs w:val="21"/>
                <w:highlight w:val="none"/>
                <w:lang w:val="en-US" w:eastAsia="zh-CN"/>
              </w:rPr>
            </w:pPr>
            <w:r>
              <w:rPr>
                <w:rFonts w:hint="eastAsia" w:ascii="Times New Roman" w:hAnsi="Times New Roman" w:cs="Times New Roman"/>
                <w:color w:val="auto"/>
                <w:spacing w:val="-10"/>
                <w:lang w:val="en-US" w:eastAsia="zh-CN"/>
              </w:rPr>
              <w:t xml:space="preserve">  1批</w:t>
            </w:r>
          </w:p>
        </w:tc>
        <w:tc>
          <w:tcPr>
            <w:tcW w:w="1450" w:type="dxa"/>
            <w:vAlign w:val="center"/>
          </w:tcPr>
          <w:p w14:paraId="61A49325">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rFonts w:hint="default" w:eastAsia="宋体"/>
                <w:b w:val="0"/>
                <w:bCs w:val="0"/>
                <w:color w:val="auto"/>
                <w:sz w:val="21"/>
                <w:szCs w:val="21"/>
                <w:highlight w:val="none"/>
                <w:lang w:val="en-US" w:eastAsia="zh-CN"/>
              </w:rPr>
            </w:pPr>
            <w:r>
              <w:rPr>
                <w:rFonts w:hint="eastAsia" w:eastAsia="宋体"/>
                <w:b w:val="0"/>
                <w:bCs w:val="0"/>
                <w:color w:val="auto"/>
                <w:sz w:val="21"/>
                <w:szCs w:val="21"/>
                <w:highlight w:val="none"/>
                <w:lang w:val="en-US" w:eastAsia="zh-CN"/>
              </w:rPr>
              <w:t>44.66</w:t>
            </w:r>
          </w:p>
        </w:tc>
        <w:tc>
          <w:tcPr>
            <w:tcW w:w="1661" w:type="dxa"/>
            <w:vAlign w:val="center"/>
          </w:tcPr>
          <w:p w14:paraId="663DFC27">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rFonts w:hint="default" w:eastAsia="宋体"/>
                <w:b w:val="0"/>
                <w:bCs w:val="0"/>
                <w:color w:val="auto"/>
                <w:sz w:val="21"/>
                <w:szCs w:val="21"/>
                <w:highlight w:val="none"/>
                <w:lang w:val="en-US" w:eastAsia="zh-CN"/>
              </w:rPr>
            </w:pPr>
            <w:r>
              <w:rPr>
                <w:rFonts w:hint="eastAsia" w:eastAsia="宋体"/>
                <w:b w:val="0"/>
                <w:bCs w:val="0"/>
                <w:color w:val="auto"/>
                <w:sz w:val="21"/>
                <w:szCs w:val="21"/>
                <w:highlight w:val="none"/>
                <w:lang w:val="en-US" w:eastAsia="zh-CN"/>
              </w:rPr>
              <w:t>44.66</w:t>
            </w:r>
          </w:p>
        </w:tc>
        <w:tc>
          <w:tcPr>
            <w:tcW w:w="1177" w:type="dxa"/>
            <w:vAlign w:val="center"/>
          </w:tcPr>
          <w:p w14:paraId="33F8CCA2">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否</w:t>
            </w:r>
          </w:p>
        </w:tc>
        <w:tc>
          <w:tcPr>
            <w:tcW w:w="1079" w:type="dxa"/>
            <w:vAlign w:val="center"/>
          </w:tcPr>
          <w:p w14:paraId="6813E4F2">
            <w:pPr>
              <w:keepNext w:val="0"/>
              <w:keepLines w:val="0"/>
              <w:pageBreakBefore w:val="0"/>
              <w:widowControl/>
              <w:kinsoku/>
              <w:wordWrap w:val="0"/>
              <w:overflowPunct/>
              <w:topLinePunct w:val="0"/>
              <w:autoSpaceDE/>
              <w:autoSpaceDN/>
              <w:bidi w:val="0"/>
              <w:adjustRightInd w:val="0"/>
              <w:snapToGrid w:val="0"/>
              <w:spacing w:afterAutospacing="0" w:line="360" w:lineRule="auto"/>
              <w:jc w:val="center"/>
              <w:textAlignment w:val="baseline"/>
              <w:rPr>
                <w:b w:val="0"/>
                <w:bCs w:val="0"/>
                <w:color w:val="auto"/>
                <w:sz w:val="21"/>
                <w:szCs w:val="21"/>
                <w:highlight w:val="none"/>
              </w:rPr>
            </w:pPr>
            <w:r>
              <w:rPr>
                <w:b w:val="0"/>
                <w:bCs w:val="0"/>
                <w:color w:val="auto"/>
                <w:sz w:val="21"/>
                <w:szCs w:val="21"/>
                <w:highlight w:val="none"/>
              </w:rPr>
              <w:t>否</w:t>
            </w:r>
          </w:p>
        </w:tc>
      </w:tr>
    </w:tbl>
    <w:p w14:paraId="26988C0C">
      <w:pPr>
        <w:pStyle w:val="2"/>
        <w:keepNext w:val="0"/>
        <w:keepLines w:val="0"/>
        <w:pageBreakBefore w:val="0"/>
        <w:widowControl/>
        <w:kinsoku/>
        <w:wordWrap w:val="0"/>
        <w:overflowPunct/>
        <w:topLinePunct w:val="0"/>
        <w:autoSpaceDE/>
        <w:autoSpaceDN/>
        <w:bidi w:val="0"/>
        <w:adjustRightInd w:val="0"/>
        <w:snapToGrid w:val="0"/>
        <w:spacing w:before="78" w:afterAutospacing="0" w:line="360" w:lineRule="auto"/>
        <w:ind w:left="131"/>
        <w:textAlignment w:val="baseline"/>
        <w:rPr>
          <w:sz w:val="24"/>
          <w:szCs w:val="24"/>
          <w:highlight w:val="none"/>
        </w:rPr>
      </w:pPr>
      <w:r>
        <w:rPr>
          <w:b/>
          <w:bCs/>
          <w:spacing w:val="-5"/>
          <w:sz w:val="24"/>
          <w:szCs w:val="24"/>
          <w:highlight w:val="none"/>
        </w:rPr>
        <w:t>三、采购项目需落实的政府采购政策</w:t>
      </w:r>
    </w:p>
    <w:p w14:paraId="3F1000E1">
      <w:pPr>
        <w:keepNext w:val="0"/>
        <w:keepLines w:val="0"/>
        <w:pageBreakBefore w:val="0"/>
        <w:overflowPunct/>
        <w:topLinePunct w:val="0"/>
        <w:bidi w:val="0"/>
        <w:adjustRightInd w:val="0"/>
        <w:snapToGrid w:val="0"/>
        <w:spacing w:before="185" w:line="360" w:lineRule="auto"/>
        <w:ind w:left="535"/>
        <w:textAlignment w:val="baseline"/>
        <w:rPr>
          <w:rFonts w:ascii="宋体" w:hAnsi="宋体" w:eastAsia="宋体" w:cs="宋体"/>
          <w:sz w:val="24"/>
          <w:szCs w:val="24"/>
          <w:lang w:eastAsia="zh-CN"/>
        </w:rPr>
      </w:pPr>
      <w:r>
        <w:rPr>
          <w:rFonts w:ascii="宋体" w:hAnsi="宋体" w:eastAsia="宋体" w:cs="宋体"/>
          <w:spacing w:val="-3"/>
          <w:sz w:val="24"/>
          <w:szCs w:val="24"/>
          <w:lang w:eastAsia="zh-CN"/>
        </w:rPr>
        <w:t>1、强制采购：政府采购实行强制采购的节能产品。</w:t>
      </w:r>
    </w:p>
    <w:p w14:paraId="195BC0C4">
      <w:pPr>
        <w:keepNext w:val="0"/>
        <w:keepLines w:val="0"/>
        <w:pageBreakBefore w:val="0"/>
        <w:overflowPunct/>
        <w:topLinePunct w:val="0"/>
        <w:bidi w:val="0"/>
        <w:adjustRightInd w:val="0"/>
        <w:snapToGrid w:val="0"/>
        <w:spacing w:before="181" w:line="360" w:lineRule="auto"/>
        <w:ind w:left="521"/>
        <w:textAlignment w:val="baseline"/>
        <w:rPr>
          <w:rFonts w:ascii="宋体" w:hAnsi="宋体" w:eastAsia="宋体" w:cs="宋体"/>
          <w:sz w:val="24"/>
          <w:szCs w:val="24"/>
          <w:lang w:eastAsia="zh-CN"/>
        </w:rPr>
      </w:pPr>
      <w:r>
        <w:rPr>
          <w:rFonts w:ascii="宋体" w:hAnsi="宋体" w:eastAsia="宋体" w:cs="宋体"/>
          <w:spacing w:val="-2"/>
          <w:sz w:val="24"/>
          <w:szCs w:val="24"/>
          <w:lang w:eastAsia="zh-CN"/>
        </w:rPr>
        <w:t>2、优先采购：政府采购鼓励采购节能环保产品。</w:t>
      </w:r>
    </w:p>
    <w:p w14:paraId="6380F33D">
      <w:pPr>
        <w:keepNext w:val="0"/>
        <w:keepLines w:val="0"/>
        <w:pageBreakBefore w:val="0"/>
        <w:overflowPunct/>
        <w:topLinePunct w:val="0"/>
        <w:bidi w:val="0"/>
        <w:adjustRightInd w:val="0"/>
        <w:snapToGrid w:val="0"/>
        <w:spacing w:before="182" w:line="360" w:lineRule="auto"/>
        <w:ind w:left="36" w:right="31" w:firstLine="486"/>
        <w:textAlignment w:val="baseline"/>
        <w:rPr>
          <w:rFonts w:ascii="宋体" w:hAnsi="宋体" w:eastAsia="宋体" w:cs="宋体"/>
          <w:sz w:val="24"/>
          <w:szCs w:val="24"/>
          <w:lang w:eastAsia="zh-CN"/>
        </w:rPr>
      </w:pPr>
      <w:r>
        <w:rPr>
          <w:rFonts w:ascii="宋体" w:hAnsi="宋体" w:eastAsia="宋体" w:cs="宋体"/>
          <w:spacing w:val="-1"/>
          <w:sz w:val="24"/>
          <w:szCs w:val="24"/>
          <w:lang w:eastAsia="zh-CN"/>
        </w:rPr>
        <w:t>3、支持中小企业：政府采购促进中小企业发展（包括政府采</w:t>
      </w:r>
      <w:r>
        <w:rPr>
          <w:rFonts w:ascii="宋体" w:hAnsi="宋体" w:eastAsia="宋体" w:cs="宋体"/>
          <w:spacing w:val="-2"/>
          <w:sz w:val="24"/>
          <w:szCs w:val="24"/>
          <w:lang w:eastAsia="zh-CN"/>
        </w:rPr>
        <w:t>购支持监狱企业发展、政府采</w:t>
      </w:r>
      <w:r>
        <w:rPr>
          <w:rFonts w:ascii="宋体" w:hAnsi="宋体" w:eastAsia="宋体" w:cs="宋体"/>
          <w:spacing w:val="-1"/>
          <w:sz w:val="24"/>
          <w:szCs w:val="24"/>
          <w:lang w:eastAsia="zh-CN"/>
        </w:rPr>
        <w:t>购促进残疾人就业）。</w:t>
      </w:r>
    </w:p>
    <w:p w14:paraId="078C19F8">
      <w:pPr>
        <w:keepNext w:val="0"/>
        <w:keepLines w:val="0"/>
        <w:pageBreakBefore w:val="0"/>
        <w:overflowPunct/>
        <w:topLinePunct w:val="0"/>
        <w:bidi w:val="0"/>
        <w:adjustRightInd w:val="0"/>
        <w:snapToGrid w:val="0"/>
        <w:spacing w:before="181" w:line="360" w:lineRule="auto"/>
        <w:ind w:left="517"/>
        <w:textAlignment w:val="baseline"/>
        <w:rPr>
          <w:rFonts w:ascii="宋体" w:hAnsi="宋体" w:eastAsia="宋体" w:cs="宋体"/>
          <w:sz w:val="24"/>
          <w:szCs w:val="24"/>
          <w:lang w:eastAsia="zh-CN"/>
        </w:rPr>
      </w:pPr>
      <w:r>
        <w:rPr>
          <w:rFonts w:ascii="宋体" w:hAnsi="宋体" w:eastAsia="宋体" w:cs="宋体"/>
          <w:spacing w:val="-3"/>
          <w:sz w:val="24"/>
          <w:szCs w:val="24"/>
          <w:lang w:eastAsia="zh-CN"/>
        </w:rPr>
        <w:t>4、采购进口产品：本采购项目</w:t>
      </w:r>
      <w:r>
        <w:rPr>
          <w:rFonts w:ascii="宋体" w:hAnsi="宋体" w:eastAsia="宋体" w:cs="宋体"/>
          <w:spacing w:val="-3"/>
          <w:sz w:val="24"/>
          <w:szCs w:val="24"/>
          <w:u w:val="single"/>
          <w:lang w:eastAsia="zh-CN"/>
        </w:rPr>
        <w:t xml:space="preserve">   拒绝    </w:t>
      </w:r>
      <w:r>
        <w:rPr>
          <w:rFonts w:ascii="宋体" w:hAnsi="宋体" w:eastAsia="宋体" w:cs="宋体"/>
          <w:spacing w:val="-3"/>
          <w:sz w:val="24"/>
          <w:szCs w:val="24"/>
          <w:lang w:eastAsia="zh-CN"/>
        </w:rPr>
        <w:t>进口产品投标。</w:t>
      </w:r>
    </w:p>
    <w:p w14:paraId="653118BA">
      <w:pPr>
        <w:pStyle w:val="2"/>
        <w:keepNext w:val="0"/>
        <w:keepLines w:val="0"/>
        <w:pageBreakBefore w:val="0"/>
        <w:widowControl/>
        <w:kinsoku/>
        <w:wordWrap w:val="0"/>
        <w:overflowPunct/>
        <w:topLinePunct w:val="0"/>
        <w:autoSpaceDE/>
        <w:autoSpaceDN/>
        <w:bidi w:val="0"/>
        <w:adjustRightInd w:val="0"/>
        <w:snapToGrid w:val="0"/>
        <w:spacing w:before="261" w:afterAutospacing="0" w:line="360" w:lineRule="auto"/>
        <w:ind w:left="175"/>
        <w:textAlignment w:val="baseline"/>
        <w:rPr>
          <w:sz w:val="24"/>
          <w:szCs w:val="24"/>
          <w:highlight w:val="none"/>
        </w:rPr>
      </w:pPr>
      <w:r>
        <w:rPr>
          <w:b/>
          <w:bCs/>
          <w:spacing w:val="-9"/>
          <w:sz w:val="24"/>
          <w:szCs w:val="24"/>
          <w:highlight w:val="none"/>
        </w:rPr>
        <w:t>四、投标供应商的资格要求：</w:t>
      </w:r>
    </w:p>
    <w:p w14:paraId="5F27729A">
      <w:pPr>
        <w:pStyle w:val="2"/>
        <w:keepNext w:val="0"/>
        <w:keepLines w:val="0"/>
        <w:pageBreakBefore w:val="0"/>
        <w:widowControl/>
        <w:kinsoku/>
        <w:wordWrap w:val="0"/>
        <w:overflowPunct/>
        <w:topLinePunct w:val="0"/>
        <w:autoSpaceDE/>
        <w:autoSpaceDN/>
        <w:bidi w:val="0"/>
        <w:adjustRightInd w:val="0"/>
        <w:snapToGrid w:val="0"/>
        <w:spacing w:before="183" w:afterAutospacing="0" w:line="360" w:lineRule="auto"/>
        <w:ind w:left="645"/>
        <w:textAlignment w:val="baseline"/>
        <w:rPr>
          <w:sz w:val="24"/>
          <w:szCs w:val="24"/>
          <w:highlight w:val="none"/>
        </w:rPr>
      </w:pPr>
      <w:r>
        <w:rPr>
          <w:b/>
          <w:bCs/>
          <w:spacing w:val="-5"/>
          <w:sz w:val="24"/>
          <w:szCs w:val="24"/>
          <w:highlight w:val="none"/>
        </w:rPr>
        <w:t>1、满足《中华人民共和国政府采购法》第</w:t>
      </w:r>
      <w:r>
        <w:rPr>
          <w:b/>
          <w:bCs/>
          <w:spacing w:val="-6"/>
          <w:sz w:val="24"/>
          <w:szCs w:val="24"/>
          <w:highlight w:val="none"/>
        </w:rPr>
        <w:t>二十二条第一款规定；即：</w:t>
      </w:r>
    </w:p>
    <w:p w14:paraId="2DA39612">
      <w:pPr>
        <w:pStyle w:val="2"/>
        <w:keepNext w:val="0"/>
        <w:keepLines w:val="0"/>
        <w:pageBreakBefore w:val="0"/>
        <w:widowControl/>
        <w:kinsoku/>
        <w:wordWrap w:val="0"/>
        <w:overflowPunct/>
        <w:topLinePunct w:val="0"/>
        <w:autoSpaceDE/>
        <w:autoSpaceDN/>
        <w:bidi w:val="0"/>
        <w:adjustRightInd w:val="0"/>
        <w:snapToGrid w:val="0"/>
        <w:spacing w:before="105" w:afterAutospacing="0" w:line="360" w:lineRule="auto"/>
        <w:ind w:left="632"/>
        <w:textAlignment w:val="baseline"/>
        <w:rPr>
          <w:sz w:val="24"/>
          <w:szCs w:val="24"/>
          <w:highlight w:val="none"/>
        </w:rPr>
      </w:pPr>
      <w:r>
        <w:rPr>
          <w:spacing w:val="-3"/>
          <w:sz w:val="24"/>
          <w:szCs w:val="24"/>
          <w:highlight w:val="none"/>
        </w:rPr>
        <w:t>（1）具有独立承担民事责任的能力；</w:t>
      </w:r>
    </w:p>
    <w:p w14:paraId="44C2EFA4">
      <w:pPr>
        <w:pStyle w:val="2"/>
        <w:keepNext w:val="0"/>
        <w:keepLines w:val="0"/>
        <w:pageBreakBefore w:val="0"/>
        <w:widowControl/>
        <w:kinsoku/>
        <w:wordWrap w:val="0"/>
        <w:overflowPunct/>
        <w:topLinePunct w:val="0"/>
        <w:autoSpaceDE/>
        <w:autoSpaceDN/>
        <w:bidi w:val="0"/>
        <w:adjustRightInd w:val="0"/>
        <w:snapToGrid w:val="0"/>
        <w:spacing w:before="179" w:afterAutospacing="0" w:line="360" w:lineRule="auto"/>
        <w:ind w:left="632"/>
        <w:textAlignment w:val="baseline"/>
        <w:rPr>
          <w:sz w:val="24"/>
          <w:szCs w:val="24"/>
          <w:highlight w:val="none"/>
        </w:rPr>
      </w:pPr>
      <w:r>
        <w:rPr>
          <w:spacing w:val="-2"/>
          <w:sz w:val="24"/>
          <w:szCs w:val="24"/>
          <w:highlight w:val="none"/>
        </w:rPr>
        <w:t>（2）具有良好的商业信誉和健全的财务会计制度；</w:t>
      </w:r>
    </w:p>
    <w:p w14:paraId="719AB869">
      <w:pPr>
        <w:pStyle w:val="2"/>
        <w:keepNext w:val="0"/>
        <w:keepLines w:val="0"/>
        <w:pageBreakBefore w:val="0"/>
        <w:widowControl/>
        <w:kinsoku/>
        <w:wordWrap w:val="0"/>
        <w:overflowPunct/>
        <w:topLinePunct w:val="0"/>
        <w:autoSpaceDE/>
        <w:autoSpaceDN/>
        <w:bidi w:val="0"/>
        <w:adjustRightInd w:val="0"/>
        <w:snapToGrid w:val="0"/>
        <w:spacing w:before="182" w:afterAutospacing="0" w:line="360" w:lineRule="auto"/>
        <w:ind w:left="632"/>
        <w:textAlignment w:val="baseline"/>
        <w:rPr>
          <w:sz w:val="24"/>
          <w:szCs w:val="24"/>
          <w:highlight w:val="none"/>
        </w:rPr>
      </w:pPr>
      <w:r>
        <w:rPr>
          <w:spacing w:val="-2"/>
          <w:sz w:val="24"/>
          <w:szCs w:val="24"/>
          <w:highlight w:val="none"/>
        </w:rPr>
        <w:t>（3）具有履行合同所必需的设备和专业技术能力；</w:t>
      </w:r>
    </w:p>
    <w:p w14:paraId="32582664">
      <w:pPr>
        <w:pStyle w:val="2"/>
        <w:keepNext w:val="0"/>
        <w:keepLines w:val="0"/>
        <w:pageBreakBefore w:val="0"/>
        <w:widowControl/>
        <w:kinsoku/>
        <w:wordWrap w:val="0"/>
        <w:overflowPunct/>
        <w:topLinePunct w:val="0"/>
        <w:autoSpaceDE/>
        <w:autoSpaceDN/>
        <w:bidi w:val="0"/>
        <w:adjustRightInd w:val="0"/>
        <w:snapToGrid w:val="0"/>
        <w:spacing w:before="180" w:afterAutospacing="0" w:line="360" w:lineRule="auto"/>
        <w:ind w:left="632"/>
        <w:textAlignment w:val="baseline"/>
        <w:rPr>
          <w:sz w:val="24"/>
          <w:szCs w:val="24"/>
          <w:highlight w:val="none"/>
        </w:rPr>
      </w:pPr>
      <w:r>
        <w:rPr>
          <w:spacing w:val="-2"/>
          <w:sz w:val="24"/>
          <w:szCs w:val="24"/>
          <w:highlight w:val="none"/>
        </w:rPr>
        <w:t>（4）有依法缴纳税收和社会保障资金的良好记录；</w:t>
      </w:r>
    </w:p>
    <w:p w14:paraId="7233B99E">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632"/>
        <w:textAlignment w:val="baseline"/>
        <w:rPr>
          <w:sz w:val="24"/>
          <w:szCs w:val="24"/>
          <w:highlight w:val="none"/>
        </w:rPr>
      </w:pPr>
      <w:r>
        <w:rPr>
          <w:spacing w:val="-2"/>
          <w:sz w:val="24"/>
          <w:szCs w:val="24"/>
          <w:highlight w:val="none"/>
        </w:rPr>
        <w:t>（5）参加政府采购活动前三年内，在经营活动中没有重大违法记录；</w:t>
      </w:r>
    </w:p>
    <w:p w14:paraId="0370B44A">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632"/>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（6）法律、行政法规规定的其他条件。</w:t>
      </w:r>
    </w:p>
    <w:p w14:paraId="1B977872">
      <w:pPr>
        <w:pStyle w:val="2"/>
        <w:keepNext w:val="0"/>
        <w:keepLines w:val="0"/>
        <w:pageBreakBefore w:val="0"/>
        <w:widowControl/>
        <w:kinsoku/>
        <w:wordWrap w:val="0"/>
        <w:overflowPunct/>
        <w:topLinePunct w:val="0"/>
        <w:autoSpaceDE/>
        <w:autoSpaceDN/>
        <w:bidi w:val="0"/>
        <w:adjustRightInd w:val="0"/>
        <w:snapToGrid w:val="0"/>
        <w:spacing w:before="183" w:afterAutospacing="0" w:line="360" w:lineRule="auto"/>
        <w:ind w:left="616"/>
        <w:textAlignment w:val="baseline"/>
        <w:rPr>
          <w:sz w:val="24"/>
          <w:szCs w:val="24"/>
          <w:highlight w:val="none"/>
        </w:rPr>
      </w:pPr>
      <w:r>
        <w:rPr>
          <w:spacing w:val="-2"/>
          <w:sz w:val="24"/>
          <w:szCs w:val="24"/>
          <w:highlight w:val="none"/>
        </w:rPr>
        <w:t>2、落实政府采购政策需满足的资格要求：</w:t>
      </w:r>
    </w:p>
    <w:p w14:paraId="5CB51680">
      <w:pPr>
        <w:pStyle w:val="2"/>
        <w:keepNext w:val="0"/>
        <w:keepLines w:val="0"/>
        <w:pageBreakBefore w:val="0"/>
        <w:widowControl/>
        <w:kinsoku/>
        <w:wordWrap w:val="0"/>
        <w:overflowPunct/>
        <w:topLinePunct w:val="0"/>
        <w:autoSpaceDE/>
        <w:autoSpaceDN/>
        <w:bidi w:val="0"/>
        <w:adjustRightInd w:val="0"/>
        <w:snapToGrid w:val="0"/>
        <w:spacing w:before="180" w:afterAutospacing="0" w:line="360" w:lineRule="auto"/>
        <w:ind w:left="871"/>
        <w:textAlignment w:val="baseline"/>
        <w:rPr>
          <w:sz w:val="24"/>
          <w:szCs w:val="24"/>
          <w:highlight w:val="none"/>
        </w:rPr>
      </w:pPr>
      <w:r>
        <w:rPr>
          <w:rFonts w:ascii="Wingdings" w:hAnsi="Wingdings" w:eastAsia="Wingdings" w:cs="Wingdings"/>
          <w:spacing w:val="-3"/>
          <w:sz w:val="24"/>
          <w:szCs w:val="24"/>
          <w:highlight w:val="none"/>
        </w:rPr>
        <w:t>o</w:t>
      </w:r>
      <w:r>
        <w:rPr>
          <w:spacing w:val="-3"/>
          <w:sz w:val="24"/>
          <w:szCs w:val="24"/>
          <w:highlight w:val="none"/>
        </w:rPr>
        <w:t>专门面向：</w:t>
      </w:r>
      <w:r>
        <w:rPr>
          <w:rFonts w:ascii="Wingdings" w:hAnsi="Wingdings" w:eastAsia="Wingdings" w:cs="Wingdings"/>
          <w:spacing w:val="-3"/>
          <w:sz w:val="24"/>
          <w:szCs w:val="24"/>
          <w:highlight w:val="none"/>
        </w:rPr>
        <w:t>o</w:t>
      </w:r>
      <w:r>
        <w:rPr>
          <w:spacing w:val="-3"/>
          <w:sz w:val="24"/>
          <w:szCs w:val="24"/>
          <w:highlight w:val="none"/>
        </w:rPr>
        <w:t>中小企业</w:t>
      </w:r>
      <w:r>
        <w:rPr>
          <w:rFonts w:hint="eastAsia"/>
          <w:spacing w:val="-3"/>
          <w:sz w:val="24"/>
          <w:szCs w:val="24"/>
          <w:highlight w:val="none"/>
          <w:lang w:val="en-US" w:eastAsia="zh-CN"/>
        </w:rPr>
        <w:t xml:space="preserve">  </w:t>
      </w:r>
      <w:r>
        <w:rPr>
          <w:rFonts w:ascii="Wingdings" w:hAnsi="Wingdings" w:eastAsia="Wingdings" w:cs="Wingdings"/>
          <w:spacing w:val="-3"/>
          <w:sz w:val="24"/>
          <w:szCs w:val="24"/>
          <w:highlight w:val="none"/>
        </w:rPr>
        <w:t>o</w:t>
      </w:r>
      <w:r>
        <w:rPr>
          <w:spacing w:val="-3"/>
          <w:sz w:val="24"/>
          <w:szCs w:val="24"/>
          <w:highlight w:val="none"/>
        </w:rPr>
        <w:t>小微企业</w:t>
      </w:r>
      <w:r>
        <w:rPr>
          <w:rFonts w:hint="eastAsia"/>
          <w:spacing w:val="-3"/>
          <w:sz w:val="24"/>
          <w:szCs w:val="24"/>
          <w:highlight w:val="none"/>
          <w:lang w:val="en-US" w:eastAsia="zh-CN"/>
        </w:rPr>
        <w:t xml:space="preserve">  </w:t>
      </w:r>
      <w:r>
        <w:rPr>
          <w:rFonts w:ascii="Wingdings" w:hAnsi="Wingdings" w:eastAsia="Wingdings" w:cs="Wingdings"/>
          <w:spacing w:val="-3"/>
          <w:sz w:val="24"/>
          <w:szCs w:val="24"/>
          <w:highlight w:val="none"/>
        </w:rPr>
        <w:t>o</w:t>
      </w:r>
      <w:r>
        <w:rPr>
          <w:spacing w:val="-3"/>
          <w:sz w:val="24"/>
          <w:szCs w:val="24"/>
          <w:highlight w:val="none"/>
        </w:rPr>
        <w:t>监狱企业</w:t>
      </w:r>
      <w:r>
        <w:rPr>
          <w:rFonts w:hint="eastAsia"/>
          <w:spacing w:val="-3"/>
          <w:sz w:val="24"/>
          <w:szCs w:val="24"/>
          <w:highlight w:val="none"/>
          <w:lang w:val="en-US" w:eastAsia="zh-CN"/>
        </w:rPr>
        <w:t xml:space="preserve">  </w:t>
      </w:r>
      <w:r>
        <w:rPr>
          <w:rFonts w:ascii="Wingdings" w:hAnsi="Wingdings" w:eastAsia="Wingdings" w:cs="Wingdings"/>
          <w:spacing w:val="-3"/>
          <w:sz w:val="24"/>
          <w:szCs w:val="24"/>
          <w:highlight w:val="none"/>
        </w:rPr>
        <w:t>o</w:t>
      </w:r>
      <w:r>
        <w:rPr>
          <w:spacing w:val="-3"/>
          <w:sz w:val="24"/>
          <w:szCs w:val="24"/>
          <w:highlight w:val="none"/>
        </w:rPr>
        <w:t>福利性单位。</w:t>
      </w:r>
    </w:p>
    <w:p w14:paraId="708FC5EE">
      <w:pPr>
        <w:pStyle w:val="2"/>
        <w:keepNext w:val="0"/>
        <w:keepLines w:val="0"/>
        <w:pageBreakBefore w:val="0"/>
        <w:widowControl/>
        <w:kinsoku/>
        <w:wordWrap w:val="0"/>
        <w:overflowPunct/>
        <w:topLinePunct w:val="0"/>
        <w:autoSpaceDE/>
        <w:autoSpaceDN/>
        <w:bidi w:val="0"/>
        <w:adjustRightInd w:val="0"/>
        <w:snapToGrid w:val="0"/>
        <w:spacing w:before="154" w:afterAutospacing="0" w:line="360" w:lineRule="auto"/>
        <w:ind w:left="871"/>
        <w:textAlignment w:val="baseline"/>
        <w:rPr>
          <w:sz w:val="24"/>
          <w:szCs w:val="24"/>
          <w:highlight w:val="none"/>
        </w:rPr>
      </w:pPr>
      <w:r>
        <w:rPr>
          <w:rFonts w:ascii="Wingdings" w:hAnsi="Wingdings" w:eastAsia="Wingdings" w:cs="Wingdings"/>
          <w:spacing w:val="-2"/>
          <w:sz w:val="24"/>
          <w:szCs w:val="24"/>
          <w:highlight w:val="none"/>
        </w:rPr>
        <w:t>o</w:t>
      </w:r>
      <w:r>
        <w:rPr>
          <w:spacing w:val="-2"/>
          <w:sz w:val="24"/>
          <w:szCs w:val="24"/>
          <w:highlight w:val="none"/>
        </w:rPr>
        <w:t>强制分包：大型企业应将采购份额的</w:t>
      </w:r>
      <w:r>
        <w:rPr>
          <w:rFonts w:hint="eastAsia"/>
          <w:spacing w:val="-2"/>
          <w:sz w:val="24"/>
          <w:szCs w:val="24"/>
          <w:highlight w:val="none"/>
          <w:u w:val="single" w:color="auto"/>
          <w:lang w:val="en-US" w:eastAsia="zh-CN"/>
        </w:rPr>
        <w:t xml:space="preserve">  </w:t>
      </w:r>
      <w:r>
        <w:rPr>
          <w:spacing w:val="-2"/>
          <w:sz w:val="24"/>
          <w:szCs w:val="24"/>
          <w:highlight w:val="none"/>
          <w:u w:val="single" w:color="auto"/>
        </w:rPr>
        <w:t>/</w:t>
      </w:r>
      <w:r>
        <w:rPr>
          <w:rFonts w:hint="eastAsia"/>
          <w:spacing w:val="-2"/>
          <w:sz w:val="24"/>
          <w:szCs w:val="24"/>
          <w:highlight w:val="none"/>
          <w:u w:val="single" w:color="auto"/>
          <w:lang w:val="en-US" w:eastAsia="zh-CN"/>
        </w:rPr>
        <w:t xml:space="preserve">  </w:t>
      </w:r>
      <w:r>
        <w:rPr>
          <w:spacing w:val="-2"/>
          <w:sz w:val="24"/>
          <w:szCs w:val="24"/>
          <w:highlight w:val="none"/>
        </w:rPr>
        <w:t>%分包给中小企业。</w:t>
      </w:r>
    </w:p>
    <w:p w14:paraId="0FECE2F2">
      <w:pPr>
        <w:pStyle w:val="2"/>
        <w:keepNext w:val="0"/>
        <w:keepLines w:val="0"/>
        <w:pageBreakBefore w:val="0"/>
        <w:widowControl/>
        <w:kinsoku/>
        <w:wordWrap w:val="0"/>
        <w:overflowPunct/>
        <w:topLinePunct w:val="0"/>
        <w:autoSpaceDE/>
        <w:autoSpaceDN/>
        <w:bidi w:val="0"/>
        <w:adjustRightInd w:val="0"/>
        <w:snapToGrid w:val="0"/>
        <w:spacing w:before="236" w:afterAutospacing="0" w:line="360" w:lineRule="auto"/>
        <w:ind w:left="618"/>
        <w:textAlignment w:val="baseline"/>
        <w:rPr>
          <w:b w:val="0"/>
          <w:bCs w:val="0"/>
          <w:sz w:val="24"/>
          <w:szCs w:val="24"/>
          <w:highlight w:val="none"/>
        </w:rPr>
      </w:pPr>
      <w:r>
        <w:rPr>
          <w:b w:val="0"/>
          <w:bCs w:val="0"/>
          <w:spacing w:val="-4"/>
          <w:sz w:val="24"/>
          <w:szCs w:val="24"/>
          <w:highlight w:val="none"/>
        </w:rPr>
        <w:t>3、本项目的特定资格要求：</w:t>
      </w:r>
      <w:r>
        <w:rPr>
          <w:rFonts w:hint="eastAsia"/>
          <w:b w:val="0"/>
          <w:bCs w:val="0"/>
          <w:spacing w:val="-4"/>
          <w:sz w:val="24"/>
          <w:szCs w:val="24"/>
          <w:highlight w:val="none"/>
          <w:u w:val="single" w:color="auto"/>
          <w:lang w:val="en-US" w:eastAsia="zh-CN"/>
        </w:rPr>
        <w:t xml:space="preserve">  </w:t>
      </w:r>
      <w:r>
        <w:rPr>
          <w:b w:val="0"/>
          <w:bCs w:val="0"/>
          <w:spacing w:val="-4"/>
          <w:sz w:val="24"/>
          <w:szCs w:val="24"/>
          <w:highlight w:val="none"/>
          <w:u w:val="single" w:color="auto"/>
        </w:rPr>
        <w:t>无</w:t>
      </w:r>
      <w:r>
        <w:rPr>
          <w:rFonts w:hint="eastAsia"/>
          <w:b w:val="0"/>
          <w:bCs w:val="0"/>
          <w:spacing w:val="-4"/>
          <w:sz w:val="24"/>
          <w:szCs w:val="24"/>
          <w:highlight w:val="none"/>
          <w:u w:val="single" w:color="auto"/>
          <w:lang w:val="en-US" w:eastAsia="zh-CN"/>
        </w:rPr>
        <w:t xml:space="preserve">  </w:t>
      </w:r>
      <w:r>
        <w:rPr>
          <w:b w:val="0"/>
          <w:bCs w:val="0"/>
          <w:spacing w:val="-4"/>
          <w:sz w:val="24"/>
          <w:szCs w:val="24"/>
          <w:highlight w:val="none"/>
        </w:rPr>
        <w:t>。</w:t>
      </w:r>
    </w:p>
    <w:p w14:paraId="4E8D1EA3">
      <w:pPr>
        <w:pStyle w:val="2"/>
        <w:keepNext w:val="0"/>
        <w:keepLines w:val="0"/>
        <w:pageBreakBefore w:val="0"/>
        <w:widowControl/>
        <w:kinsoku/>
        <w:wordWrap w:val="0"/>
        <w:overflowPunct/>
        <w:topLinePunct w:val="0"/>
        <w:autoSpaceDE/>
        <w:autoSpaceDN/>
        <w:bidi w:val="0"/>
        <w:adjustRightInd w:val="0"/>
        <w:snapToGrid w:val="0"/>
        <w:spacing w:before="124" w:afterAutospacing="0" w:line="360" w:lineRule="auto"/>
        <w:ind w:left="222" w:right="294" w:firstLine="385"/>
        <w:textAlignment w:val="baseline"/>
        <w:rPr>
          <w:sz w:val="24"/>
          <w:szCs w:val="24"/>
          <w:highlight w:val="none"/>
        </w:rPr>
      </w:pPr>
      <w:r>
        <w:rPr>
          <w:spacing w:val="3"/>
          <w:sz w:val="24"/>
          <w:szCs w:val="24"/>
          <w:highlight w:val="none"/>
        </w:rPr>
        <w:t>4、单位负责人为同一人或者存在直接控股、管理</w:t>
      </w:r>
      <w:r>
        <w:rPr>
          <w:spacing w:val="2"/>
          <w:sz w:val="24"/>
          <w:szCs w:val="24"/>
          <w:highlight w:val="none"/>
        </w:rPr>
        <w:t>关系的不同供应商，不得参加本项</w:t>
      </w:r>
      <w:r>
        <w:rPr>
          <w:spacing w:val="-8"/>
          <w:sz w:val="24"/>
          <w:szCs w:val="24"/>
          <w:highlight w:val="none"/>
        </w:rPr>
        <w:t>目同一合同项下的政府采购活动。</w:t>
      </w:r>
    </w:p>
    <w:p w14:paraId="2B5BB143">
      <w:pPr>
        <w:pStyle w:val="2"/>
        <w:keepNext w:val="0"/>
        <w:keepLines w:val="0"/>
        <w:pageBreakBefore w:val="0"/>
        <w:widowControl/>
        <w:kinsoku/>
        <w:wordWrap w:val="0"/>
        <w:overflowPunct/>
        <w:topLinePunct w:val="0"/>
        <w:autoSpaceDE/>
        <w:autoSpaceDN/>
        <w:bidi w:val="0"/>
        <w:adjustRightInd w:val="0"/>
        <w:snapToGrid w:val="0"/>
        <w:spacing w:before="273" w:afterAutospacing="0" w:line="360" w:lineRule="auto"/>
        <w:ind w:left="132" w:right="294" w:firstLine="486"/>
        <w:textAlignment w:val="baseline"/>
        <w:rPr>
          <w:sz w:val="24"/>
          <w:szCs w:val="24"/>
          <w:highlight w:val="none"/>
        </w:rPr>
      </w:pPr>
      <w:r>
        <w:rPr>
          <w:spacing w:val="2"/>
          <w:sz w:val="24"/>
          <w:szCs w:val="24"/>
          <w:highlight w:val="none"/>
        </w:rPr>
        <w:t>5、为本采购项目提供整体设计、规范编制或者项目管理、监理、检测等服务的，不</w:t>
      </w:r>
      <w:r>
        <w:rPr>
          <w:spacing w:val="-2"/>
          <w:sz w:val="24"/>
          <w:szCs w:val="24"/>
          <w:highlight w:val="none"/>
        </w:rPr>
        <w:t>得再参加本项目的其他招标采购活动。</w:t>
      </w:r>
    </w:p>
    <w:p w14:paraId="47FB3EAF">
      <w:pPr>
        <w:pStyle w:val="2"/>
        <w:keepNext w:val="0"/>
        <w:keepLines w:val="0"/>
        <w:pageBreakBefore w:val="0"/>
        <w:widowControl/>
        <w:kinsoku/>
        <w:wordWrap w:val="0"/>
        <w:overflowPunct/>
        <w:topLinePunct w:val="0"/>
        <w:autoSpaceDE/>
        <w:autoSpaceDN/>
        <w:bidi w:val="0"/>
        <w:adjustRightInd w:val="0"/>
        <w:snapToGrid w:val="0"/>
        <w:spacing w:before="270" w:afterAutospacing="0" w:line="360" w:lineRule="auto"/>
        <w:ind w:left="131" w:right="294" w:firstLine="481"/>
        <w:textAlignment w:val="baseline"/>
        <w:rPr>
          <w:sz w:val="24"/>
          <w:szCs w:val="24"/>
          <w:highlight w:val="none"/>
        </w:rPr>
      </w:pPr>
      <w:r>
        <w:rPr>
          <w:spacing w:val="2"/>
          <w:sz w:val="24"/>
          <w:szCs w:val="24"/>
          <w:highlight w:val="none"/>
        </w:rPr>
        <w:t>6、未被列入失信被执行人、重大税收违法案件当事人名单，未被列入政府采购严重</w:t>
      </w:r>
      <w:r>
        <w:rPr>
          <w:spacing w:val="-2"/>
          <w:sz w:val="24"/>
          <w:szCs w:val="24"/>
          <w:highlight w:val="none"/>
        </w:rPr>
        <w:t>违法失信行为记录名单。</w:t>
      </w:r>
    </w:p>
    <w:p w14:paraId="1B9E570D">
      <w:pPr>
        <w:pStyle w:val="2"/>
        <w:keepNext w:val="0"/>
        <w:keepLines w:val="0"/>
        <w:pageBreakBefore w:val="0"/>
        <w:widowControl/>
        <w:kinsoku/>
        <w:wordWrap w:val="0"/>
        <w:overflowPunct/>
        <w:topLinePunct w:val="0"/>
        <w:autoSpaceDE/>
        <w:autoSpaceDN/>
        <w:bidi w:val="0"/>
        <w:adjustRightInd w:val="0"/>
        <w:snapToGrid w:val="0"/>
        <w:spacing w:before="249" w:afterAutospacing="0" w:line="360" w:lineRule="auto"/>
        <w:ind w:left="621"/>
        <w:textAlignment w:val="baseline"/>
        <w:rPr>
          <w:sz w:val="24"/>
          <w:szCs w:val="24"/>
          <w:highlight w:val="none"/>
        </w:rPr>
      </w:pPr>
      <w:r>
        <w:rPr>
          <w:spacing w:val="-2"/>
          <w:sz w:val="24"/>
          <w:szCs w:val="24"/>
          <w:highlight w:val="none"/>
        </w:rPr>
        <w:t>7、本项目</w:t>
      </w:r>
      <w:r>
        <w:rPr>
          <w:rFonts w:hint="eastAsia"/>
          <w:spacing w:val="-2"/>
          <w:sz w:val="24"/>
          <w:szCs w:val="24"/>
          <w:highlight w:val="none"/>
          <w:u w:val="single" w:color="auto"/>
          <w:lang w:val="en-US" w:eastAsia="zh-CN"/>
        </w:rPr>
        <w:t xml:space="preserve">  </w:t>
      </w:r>
      <w:r>
        <w:rPr>
          <w:spacing w:val="-2"/>
          <w:sz w:val="24"/>
          <w:szCs w:val="24"/>
          <w:highlight w:val="none"/>
          <w:u w:val="single" w:color="auto"/>
        </w:rPr>
        <w:t>不接受</w:t>
      </w:r>
      <w:r>
        <w:rPr>
          <w:rFonts w:hint="eastAsia"/>
          <w:spacing w:val="-2"/>
          <w:sz w:val="24"/>
          <w:szCs w:val="24"/>
          <w:highlight w:val="none"/>
          <w:u w:val="single" w:color="auto"/>
          <w:lang w:val="en-US" w:eastAsia="zh-CN"/>
        </w:rPr>
        <w:t xml:space="preserve">  </w:t>
      </w:r>
      <w:r>
        <w:rPr>
          <w:spacing w:val="-2"/>
          <w:sz w:val="24"/>
          <w:szCs w:val="24"/>
          <w:highlight w:val="none"/>
        </w:rPr>
        <w:t>联合体投标。</w:t>
      </w:r>
    </w:p>
    <w:p w14:paraId="481EDF9A">
      <w:pPr>
        <w:pStyle w:val="2"/>
        <w:keepNext w:val="0"/>
        <w:keepLines w:val="0"/>
        <w:pageBreakBefore w:val="0"/>
        <w:widowControl/>
        <w:kinsoku/>
        <w:wordWrap w:val="0"/>
        <w:overflowPunct/>
        <w:topLinePunct w:val="0"/>
        <w:autoSpaceDE/>
        <w:autoSpaceDN/>
        <w:bidi w:val="0"/>
        <w:adjustRightInd w:val="0"/>
        <w:snapToGrid w:val="0"/>
        <w:spacing w:before="206" w:afterAutospacing="0" w:line="360" w:lineRule="auto"/>
        <w:ind w:left="131" w:right="364" w:firstLine="480"/>
        <w:textAlignment w:val="baseline"/>
        <w:rPr>
          <w:sz w:val="24"/>
          <w:szCs w:val="24"/>
          <w:highlight w:val="none"/>
        </w:rPr>
      </w:pPr>
      <w:r>
        <w:rPr>
          <w:b/>
          <w:bCs/>
          <w:spacing w:val="-2"/>
          <w:sz w:val="24"/>
          <w:szCs w:val="24"/>
          <w:highlight w:val="none"/>
        </w:rPr>
        <w:t>8、投标供应商所提供的资格证明文件如模糊不清无法辨认导致无效投标的，由投标</w:t>
      </w:r>
      <w:r>
        <w:rPr>
          <w:b/>
          <w:bCs/>
          <w:spacing w:val="-7"/>
          <w:sz w:val="24"/>
          <w:szCs w:val="24"/>
          <w:highlight w:val="none"/>
        </w:rPr>
        <w:t>供应商自行负责。</w:t>
      </w:r>
    </w:p>
    <w:p w14:paraId="15300CA1">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五、获取招标文件</w:t>
      </w:r>
    </w:p>
    <w:p w14:paraId="149934CF">
      <w:pPr>
        <w:keepNext w:val="0"/>
        <w:keepLines w:val="0"/>
        <w:pageBreakBefore w:val="0"/>
        <w:widowControl/>
        <w:overflowPunct/>
        <w:topLinePunct w:val="0"/>
        <w:bidi w:val="0"/>
        <w:adjustRightInd w:val="0"/>
        <w:snapToGrid w:val="0"/>
        <w:spacing w:afterAutospacing="0" w:line="360" w:lineRule="auto"/>
        <w:ind w:left="152" w:firstLine="480" w:firstLineChars="200"/>
        <w:jc w:val="both"/>
        <w:textAlignment w:val="baseline"/>
        <w:rPr>
          <w:rFonts w:ascii="宋体" w:hAnsi="宋体" w:eastAsia="宋体" w:cs="宋体"/>
          <w:color w:val="auto"/>
          <w:sz w:val="24"/>
          <w:szCs w:val="24"/>
        </w:rPr>
      </w:pPr>
      <w:r>
        <w:rPr>
          <w:rFonts w:hint="eastAsia" w:ascii="宋体" w:hAnsi="宋体" w:eastAsia="宋体" w:cs="宋体"/>
          <w:sz w:val="24"/>
          <w:szCs w:val="24"/>
          <w:lang w:eastAsia="zh-CN"/>
        </w:rPr>
        <w:t>1、本项目为</w:t>
      </w:r>
      <w:r>
        <w:rPr>
          <w:rFonts w:hint="eastAsia" w:ascii="宋体" w:hAnsi="宋体" w:eastAsia="宋体" w:cs="宋体"/>
          <w:b/>
          <w:bCs/>
          <w:sz w:val="24"/>
          <w:szCs w:val="24"/>
          <w:lang w:eastAsia="zh-CN"/>
        </w:rPr>
        <w:t>电子招投标</w:t>
      </w:r>
      <w:r>
        <w:rPr>
          <w:rFonts w:hint="eastAsia" w:ascii="宋体" w:hAnsi="宋体" w:eastAsia="宋体" w:cs="宋体"/>
          <w:sz w:val="24"/>
          <w:szCs w:val="24"/>
          <w:lang w:eastAsia="zh-CN"/>
        </w:rPr>
        <w:t>项目，投标人应当在</w:t>
      </w:r>
      <w:r>
        <w:rPr>
          <w:rFonts w:ascii="宋体" w:hAnsi="宋体" w:eastAsia="宋体" w:cs="宋体"/>
          <w:spacing w:val="-9"/>
          <w:sz w:val="24"/>
          <w:szCs w:val="24"/>
        </w:rPr>
        <w:t>《</w:t>
      </w:r>
      <w:r>
        <w:rPr>
          <w:rFonts w:hint="eastAsia" w:ascii="宋体" w:hAnsi="宋体" w:eastAsia="宋体" w:cs="宋体"/>
          <w:spacing w:val="-9"/>
          <w:sz w:val="24"/>
          <w:szCs w:val="24"/>
          <w:lang w:eastAsia="zh-CN"/>
        </w:rPr>
        <w:t>湘西土家族苗族自治州公共资源交易中心</w:t>
      </w:r>
      <w:r>
        <w:rPr>
          <w:rFonts w:ascii="宋体" w:hAnsi="宋体" w:eastAsia="宋体" w:cs="宋体"/>
          <w:spacing w:val="-9"/>
          <w:sz w:val="24"/>
          <w:szCs w:val="24"/>
        </w:rPr>
        <w:t>》（</w:t>
      </w:r>
      <w:r>
        <w:fldChar w:fldCharType="begin"/>
      </w:r>
      <w:r>
        <w:instrText xml:space="preserve"> HYPERLINK "http://ggzyjy.xxz.gov.cn" </w:instrText>
      </w:r>
      <w:r>
        <w:fldChar w:fldCharType="separate"/>
      </w:r>
      <w:r>
        <w:rPr>
          <w:rFonts w:ascii="宋体" w:hAnsi="宋体" w:eastAsia="宋体" w:cs="宋体"/>
          <w:spacing w:val="-9"/>
          <w:sz w:val="24"/>
          <w:szCs w:val="24"/>
        </w:rPr>
        <w:t>http://ggzyjy.xxz.gov.cn</w:t>
      </w:r>
      <w:r>
        <w:rPr>
          <w:rFonts w:ascii="宋体" w:hAnsi="宋体" w:eastAsia="宋体" w:cs="宋体"/>
          <w:spacing w:val="-9"/>
          <w:sz w:val="24"/>
          <w:szCs w:val="24"/>
        </w:rPr>
        <w:fldChar w:fldCharType="end"/>
      </w:r>
      <w:r>
        <w:rPr>
          <w:rFonts w:hint="eastAsia" w:ascii="宋体" w:hAnsi="宋体" w:eastAsia="宋体" w:cs="宋体"/>
          <w:spacing w:val="-9"/>
          <w:sz w:val="24"/>
          <w:szCs w:val="24"/>
          <w:lang w:eastAsia="zh-CN"/>
        </w:rPr>
        <w:t>/</w:t>
      </w:r>
      <w:r>
        <w:rPr>
          <w:rFonts w:ascii="宋体" w:hAnsi="宋体" w:eastAsia="宋体" w:cs="宋体"/>
          <w:spacing w:val="-9"/>
          <w:sz w:val="24"/>
          <w:szCs w:val="24"/>
        </w:rPr>
        <w:t>）</w:t>
      </w:r>
      <w:r>
        <w:rPr>
          <w:rFonts w:hint="eastAsia" w:ascii="宋体" w:hAnsi="宋体" w:eastAsia="宋体" w:cs="宋体"/>
          <w:sz w:val="24"/>
          <w:szCs w:val="24"/>
          <w:lang w:eastAsia="zh-CN"/>
        </w:rPr>
        <w:t>进行注册登记和CA认证，须在规定时间内通过“</w:t>
      </w:r>
      <w:r>
        <w:rPr>
          <w:rFonts w:hint="eastAsia" w:ascii="宋体" w:hAnsi="宋体" w:eastAsia="宋体" w:cs="宋体"/>
          <w:spacing w:val="-9"/>
          <w:sz w:val="24"/>
          <w:szCs w:val="24"/>
          <w:lang w:eastAsia="zh-CN"/>
        </w:rPr>
        <w:t>湘西土家族苗族自治州公共资源交易中心</w:t>
      </w:r>
      <w:r>
        <w:rPr>
          <w:rFonts w:hint="eastAsia" w:ascii="宋体" w:hAnsi="宋体" w:eastAsia="宋体" w:cs="宋体"/>
          <w:sz w:val="24"/>
          <w:szCs w:val="24"/>
          <w:lang w:eastAsia="zh-CN"/>
        </w:rPr>
        <w:t>”会员端下载采购文件，否则无法进行电子投标文件制作及进行</w:t>
      </w:r>
      <w:r>
        <w:rPr>
          <w:rFonts w:hint="eastAsia" w:ascii="宋体" w:hAnsi="宋体" w:eastAsia="宋体" w:cs="宋体"/>
          <w:color w:val="auto"/>
          <w:sz w:val="24"/>
          <w:szCs w:val="24"/>
          <w:lang w:eastAsia="zh-CN"/>
        </w:rPr>
        <w:t>电子投标。</w:t>
      </w:r>
    </w:p>
    <w:p w14:paraId="73A9AE60">
      <w:pPr>
        <w:keepNext w:val="0"/>
        <w:keepLines w:val="0"/>
        <w:pageBreakBefore w:val="0"/>
        <w:widowControl/>
        <w:overflowPunct/>
        <w:topLinePunct w:val="0"/>
        <w:bidi w:val="0"/>
        <w:adjustRightInd w:val="0"/>
        <w:snapToGrid w:val="0"/>
        <w:spacing w:afterAutospacing="0" w:line="360" w:lineRule="auto"/>
        <w:ind w:left="152" w:firstLine="480" w:firstLineChars="200"/>
        <w:jc w:val="both"/>
        <w:textAlignment w:val="baseline"/>
        <w:rPr>
          <w:rFonts w:ascii="宋体" w:hAnsi="宋体" w:eastAsia="宋体" w:cs="宋体"/>
          <w:sz w:val="24"/>
          <w:szCs w:val="24"/>
          <w:lang w:eastAsia="zh-CN"/>
        </w:rPr>
      </w:pPr>
      <w:r>
        <w:rPr>
          <w:rFonts w:hint="eastAsia" w:ascii="宋体" w:hAnsi="宋体" w:eastAsia="宋体" w:cs="宋体"/>
          <w:color w:val="auto"/>
          <w:sz w:val="24"/>
          <w:szCs w:val="24"/>
          <w:lang w:eastAsia="zh-CN"/>
        </w:rPr>
        <w:t>2、有意参加投标者，请于</w:t>
      </w:r>
      <w:r>
        <w:rPr>
          <w:rFonts w:hint="eastAsia" w:ascii="宋体" w:hAnsi="宋体" w:eastAsia="宋体" w:cs="宋体"/>
          <w:b/>
          <w:bCs/>
          <w:color w:val="auto"/>
          <w:sz w:val="24"/>
          <w:szCs w:val="24"/>
          <w:lang w:eastAsia="zh-CN"/>
        </w:rPr>
        <w:t>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eastAsia="zh-CN"/>
        </w:rPr>
        <w:t>年</w:t>
      </w: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eastAsia="zh-CN"/>
        </w:rPr>
        <w:t>月</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eastAsia="zh-CN"/>
        </w:rPr>
        <w:t>日至202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lang w:eastAsia="zh-CN"/>
        </w:rPr>
        <w:t>年</w:t>
      </w:r>
      <w:r>
        <w:rPr>
          <w:rFonts w:hint="eastAsia" w:ascii="宋体" w:hAnsi="宋体" w:eastAsia="宋体" w:cs="宋体"/>
          <w:b/>
          <w:bCs/>
          <w:color w:val="auto"/>
          <w:sz w:val="24"/>
          <w:szCs w:val="24"/>
          <w:lang w:val="en-US" w:eastAsia="zh-CN"/>
        </w:rPr>
        <w:t>9</w:t>
      </w:r>
      <w:r>
        <w:rPr>
          <w:rFonts w:hint="eastAsia" w:ascii="宋体" w:hAnsi="宋体" w:eastAsia="宋体" w:cs="宋体"/>
          <w:b/>
          <w:bCs/>
          <w:color w:val="auto"/>
          <w:sz w:val="24"/>
          <w:szCs w:val="24"/>
          <w:lang w:eastAsia="zh-CN"/>
        </w:rPr>
        <w:t>月</w:t>
      </w: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lang w:eastAsia="zh-CN"/>
        </w:rPr>
        <w:t>日</w:t>
      </w:r>
      <w:r>
        <w:rPr>
          <w:rFonts w:hint="eastAsia" w:ascii="宋体" w:hAnsi="宋体" w:eastAsia="宋体" w:cs="宋体"/>
          <w:b/>
          <w:bCs/>
          <w:color w:val="auto"/>
          <w:sz w:val="24"/>
          <w:szCs w:val="24"/>
          <w:lang w:eastAsia="zh-CN"/>
        </w:rPr>
        <w:t>17:00时</w:t>
      </w:r>
      <w:r>
        <w:rPr>
          <w:rFonts w:hint="eastAsia" w:ascii="宋体" w:hAnsi="宋体" w:eastAsia="宋体" w:cs="宋体"/>
          <w:color w:val="auto"/>
          <w:sz w:val="24"/>
          <w:szCs w:val="24"/>
          <w:lang w:eastAsia="zh-CN"/>
        </w:rPr>
        <w:t>止(北京时间，下同),登录中国湖南政府采购网（www.ccgp-hunan.gov.cn）→查看政府采购</w:t>
      </w:r>
      <w:r>
        <w:rPr>
          <w:rFonts w:hint="eastAsia" w:ascii="宋体" w:hAnsi="宋体" w:eastAsia="宋体" w:cs="宋体"/>
          <w:sz w:val="24"/>
          <w:szCs w:val="24"/>
          <w:lang w:eastAsia="zh-CN"/>
        </w:rPr>
        <w:t>公告→附件→下载招标文件，或者登陆</w:t>
      </w:r>
      <w:r>
        <w:rPr>
          <w:rFonts w:ascii="宋体" w:hAnsi="宋体" w:eastAsia="宋体" w:cs="宋体"/>
          <w:spacing w:val="-9"/>
          <w:sz w:val="24"/>
          <w:szCs w:val="24"/>
          <w:lang w:eastAsia="zh-CN"/>
        </w:rPr>
        <w:t>《</w:t>
      </w:r>
      <w:r>
        <w:rPr>
          <w:rFonts w:hint="eastAsia" w:ascii="宋体" w:hAnsi="宋体" w:eastAsia="宋体" w:cs="宋体"/>
          <w:spacing w:val="-9"/>
          <w:sz w:val="24"/>
          <w:szCs w:val="24"/>
          <w:lang w:eastAsia="zh-CN"/>
        </w:rPr>
        <w:t>湘西土家族苗族自治州公共资源交易中心</w:t>
      </w:r>
      <w:r>
        <w:rPr>
          <w:rFonts w:ascii="宋体" w:hAnsi="宋体" w:eastAsia="宋体" w:cs="宋体"/>
          <w:spacing w:val="-9"/>
          <w:sz w:val="24"/>
          <w:szCs w:val="24"/>
          <w:lang w:eastAsia="zh-CN"/>
        </w:rPr>
        <w:t>》（</w:t>
      </w:r>
      <w:r>
        <w:fldChar w:fldCharType="begin"/>
      </w:r>
      <w:r>
        <w:instrText xml:space="preserve"> HYPERLINK "http://ggzyjy.xxz.gov.cn" </w:instrText>
      </w:r>
      <w:r>
        <w:fldChar w:fldCharType="separate"/>
      </w:r>
      <w:r>
        <w:rPr>
          <w:rFonts w:ascii="宋体" w:hAnsi="宋体" w:eastAsia="宋体" w:cs="宋体"/>
          <w:spacing w:val="-9"/>
          <w:sz w:val="24"/>
          <w:szCs w:val="24"/>
          <w:lang w:eastAsia="zh-CN"/>
        </w:rPr>
        <w:t>http://ggzyjy.xxz.gov.cn</w:t>
      </w:r>
      <w:r>
        <w:rPr>
          <w:rFonts w:ascii="宋体" w:hAnsi="宋体" w:eastAsia="宋体" w:cs="宋体"/>
          <w:spacing w:val="-9"/>
          <w:sz w:val="24"/>
          <w:szCs w:val="24"/>
          <w:lang w:eastAsia="zh-CN"/>
        </w:rPr>
        <w:fldChar w:fldCharType="end"/>
      </w:r>
      <w:r>
        <w:rPr>
          <w:rFonts w:hint="eastAsia" w:ascii="宋体" w:hAnsi="宋体" w:eastAsia="宋体" w:cs="宋体"/>
          <w:spacing w:val="-9"/>
          <w:sz w:val="24"/>
          <w:szCs w:val="24"/>
          <w:lang w:eastAsia="zh-CN"/>
        </w:rPr>
        <w:t>/</w:t>
      </w:r>
      <w:r>
        <w:rPr>
          <w:rFonts w:ascii="宋体" w:hAnsi="宋体" w:eastAsia="宋体" w:cs="宋体"/>
          <w:spacing w:val="-9"/>
          <w:sz w:val="24"/>
          <w:szCs w:val="24"/>
          <w:lang w:eastAsia="zh-CN"/>
        </w:rPr>
        <w:t>）</w:t>
      </w:r>
      <w:r>
        <w:rPr>
          <w:rFonts w:hint="eastAsia" w:ascii="宋体" w:hAnsi="宋体" w:eastAsia="宋体" w:cs="宋体"/>
          <w:sz w:val="24"/>
          <w:szCs w:val="24"/>
          <w:lang w:eastAsia="zh-CN"/>
        </w:rPr>
        <w:t>→点击“一站式综合服务系统”→点击“投标人/供应商/竞买方登录”→证书 Key登录）→点击“采购业务-填写投标信息”菜单，进入页面→点击“操作”按钮，进入到投标信息完善详情页面：填写项目负责人，点击我要投标→点击“采购业务-采购公告及文件下载”菜单，进入页面→点击“领取”下载按钮，进入详细页面→点击“下载招标文件”按钮，进入文件详细页面进行交易文件下载。</w:t>
      </w:r>
    </w:p>
    <w:p w14:paraId="1E860BAB">
      <w:pPr>
        <w:keepNext w:val="0"/>
        <w:keepLines w:val="0"/>
        <w:pageBreakBefore w:val="0"/>
        <w:widowControl/>
        <w:overflowPunct/>
        <w:topLinePunct w:val="0"/>
        <w:bidi w:val="0"/>
        <w:adjustRightInd w:val="0"/>
        <w:snapToGrid w:val="0"/>
        <w:spacing w:afterAutospacing="0" w:line="360" w:lineRule="auto"/>
        <w:ind w:left="152" w:firstLine="482" w:firstLineChars="200"/>
        <w:jc w:val="both"/>
        <w:textAlignment w:val="baseline"/>
        <w:rPr>
          <w:rFonts w:ascii="宋体" w:hAnsi="宋体" w:eastAsia="宋体" w:cs="宋体"/>
          <w:sz w:val="24"/>
          <w:szCs w:val="24"/>
          <w:lang w:eastAsia="zh-CN"/>
        </w:rPr>
      </w:pPr>
      <w:r>
        <w:rPr>
          <w:rFonts w:hint="eastAsia" w:ascii="宋体" w:hAnsi="宋体" w:eastAsia="宋体" w:cs="宋体"/>
          <w:b/>
          <w:sz w:val="24"/>
          <w:szCs w:val="24"/>
          <w:lang w:eastAsia="zh-CN"/>
        </w:rPr>
        <w:t>（备注：以上2种途径均可获取招标文件，但投标人必须登陆《湘西土家族苗族自治州公共资源交易中心》完成点击我要投标阶段的操作，否则将会影响其投标,投标人自行</w:t>
      </w:r>
      <w:r>
        <w:rPr>
          <w:rFonts w:hint="eastAsia" w:ascii="宋体" w:hAnsi="宋体" w:eastAsia="宋体" w:cs="宋体"/>
          <w:b/>
          <w:bCs/>
          <w:kern w:val="2"/>
          <w:sz w:val="24"/>
          <w:szCs w:val="24"/>
          <w:lang w:eastAsia="zh-CN"/>
        </w:rPr>
        <w:t>负责</w:t>
      </w:r>
      <w:r>
        <w:rPr>
          <w:rFonts w:hint="eastAsia" w:ascii="宋体" w:hAnsi="宋体" w:eastAsia="宋体" w:cs="宋体"/>
          <w:b/>
          <w:sz w:val="24"/>
          <w:szCs w:val="24"/>
          <w:lang w:eastAsia="zh-CN"/>
        </w:rPr>
        <w:t>）。</w:t>
      </w:r>
    </w:p>
    <w:p w14:paraId="35AB6CB5">
      <w:pPr>
        <w:keepNext w:val="0"/>
        <w:keepLines w:val="0"/>
        <w:pageBreakBefore w:val="0"/>
        <w:widowControl/>
        <w:overflowPunct/>
        <w:topLinePunct w:val="0"/>
        <w:bidi w:val="0"/>
        <w:adjustRightInd w:val="0"/>
        <w:snapToGrid w:val="0"/>
        <w:spacing w:afterAutospacing="0" w:line="360" w:lineRule="auto"/>
        <w:ind w:left="152" w:firstLine="480" w:firstLineChars="200"/>
        <w:jc w:val="both"/>
        <w:textAlignment w:val="baseline"/>
        <w:rPr>
          <w:rFonts w:ascii="宋体" w:hAnsi="宋体" w:eastAsia="宋体" w:cs="宋体"/>
          <w:kern w:val="2"/>
          <w:sz w:val="24"/>
          <w:szCs w:val="24"/>
          <w:lang w:eastAsia="zh-CN"/>
        </w:rPr>
      </w:pPr>
      <w:r>
        <w:rPr>
          <w:rFonts w:hint="eastAsia" w:ascii="宋体" w:hAnsi="宋体" w:eastAsia="宋体" w:cs="宋体"/>
          <w:kern w:val="2"/>
          <w:sz w:val="24"/>
          <w:szCs w:val="24"/>
          <w:lang w:eastAsia="zh-CN"/>
        </w:rPr>
        <w:t>3、请投标人登录</w:t>
      </w:r>
      <w:r>
        <w:rPr>
          <w:rFonts w:ascii="宋体" w:hAnsi="宋体" w:eastAsia="宋体" w:cs="宋体"/>
          <w:spacing w:val="-9"/>
          <w:sz w:val="24"/>
          <w:szCs w:val="24"/>
        </w:rPr>
        <w:t>《</w:t>
      </w:r>
      <w:r>
        <w:rPr>
          <w:rFonts w:hint="eastAsia" w:ascii="宋体" w:hAnsi="宋体" w:eastAsia="宋体" w:cs="宋体"/>
          <w:spacing w:val="-9"/>
          <w:sz w:val="24"/>
          <w:szCs w:val="24"/>
          <w:lang w:eastAsia="zh-CN"/>
        </w:rPr>
        <w:t>湘西土家族苗族自治州公共资源交易中心</w:t>
      </w:r>
      <w:r>
        <w:rPr>
          <w:rFonts w:ascii="宋体" w:hAnsi="宋体" w:eastAsia="宋体" w:cs="宋体"/>
          <w:spacing w:val="-9"/>
          <w:sz w:val="24"/>
          <w:szCs w:val="24"/>
        </w:rPr>
        <w:t>》（</w:t>
      </w:r>
      <w:r>
        <w:fldChar w:fldCharType="begin"/>
      </w:r>
      <w:r>
        <w:instrText xml:space="preserve"> HYPERLINK "http://ggzyjy.xxz.gov.cn" </w:instrText>
      </w:r>
      <w:r>
        <w:fldChar w:fldCharType="separate"/>
      </w:r>
      <w:r>
        <w:rPr>
          <w:rFonts w:ascii="宋体" w:hAnsi="宋体" w:eastAsia="宋体" w:cs="宋体"/>
          <w:spacing w:val="-9"/>
          <w:sz w:val="24"/>
          <w:szCs w:val="24"/>
        </w:rPr>
        <w:t>http://ggzyjy.xxz.gov.cn</w:t>
      </w:r>
      <w:r>
        <w:rPr>
          <w:rFonts w:ascii="宋体" w:hAnsi="宋体" w:eastAsia="宋体" w:cs="宋体"/>
          <w:spacing w:val="-9"/>
          <w:sz w:val="24"/>
          <w:szCs w:val="24"/>
        </w:rPr>
        <w:fldChar w:fldCharType="end"/>
      </w:r>
      <w:r>
        <w:rPr>
          <w:rFonts w:hint="eastAsia" w:ascii="宋体" w:hAnsi="宋体" w:eastAsia="宋体" w:cs="宋体"/>
          <w:spacing w:val="-9"/>
          <w:sz w:val="24"/>
          <w:szCs w:val="24"/>
          <w:lang w:eastAsia="zh-CN"/>
        </w:rPr>
        <w:t>/</w:t>
      </w:r>
      <w:r>
        <w:rPr>
          <w:rFonts w:ascii="宋体" w:hAnsi="宋体" w:eastAsia="宋体" w:cs="宋体"/>
          <w:spacing w:val="-9"/>
          <w:sz w:val="24"/>
          <w:szCs w:val="24"/>
        </w:rPr>
        <w:t>）</w:t>
      </w:r>
      <w:r>
        <w:rPr>
          <w:rFonts w:hint="eastAsia" w:ascii="宋体" w:hAnsi="宋体" w:eastAsia="宋体" w:cs="宋体"/>
          <w:kern w:val="2"/>
          <w:sz w:val="24"/>
          <w:szCs w:val="24"/>
          <w:lang w:eastAsia="zh-CN"/>
        </w:rPr>
        <w:t>下载电子投标文件制作工具编制投标文件，投标人应在投标截止时间前通过电子招标投标交易平台递交数据电文形式的投标文件。逾期送达的投标文件，电子招标投标交易平台予以拒收。</w:t>
      </w:r>
    </w:p>
    <w:p w14:paraId="237DCB10">
      <w:pPr>
        <w:keepNext w:val="0"/>
        <w:keepLines w:val="0"/>
        <w:pageBreakBefore w:val="0"/>
        <w:widowControl/>
        <w:overflowPunct/>
        <w:topLinePunct w:val="0"/>
        <w:bidi w:val="0"/>
        <w:adjustRightInd w:val="0"/>
        <w:snapToGrid w:val="0"/>
        <w:spacing w:afterAutospacing="0" w:line="360" w:lineRule="auto"/>
        <w:ind w:left="152" w:firstLine="480" w:firstLineChars="200"/>
        <w:jc w:val="both"/>
        <w:textAlignment w:val="baseline"/>
        <w:rPr>
          <w:rFonts w:ascii="宋体" w:hAnsi="宋体" w:eastAsia="宋体" w:cs="宋体"/>
          <w:sz w:val="24"/>
          <w:szCs w:val="24"/>
          <w:lang w:eastAsia="zh-CN"/>
        </w:rPr>
      </w:pPr>
      <w:r>
        <w:rPr>
          <w:rFonts w:hint="eastAsia" w:ascii="宋体" w:hAnsi="宋体" w:eastAsia="宋体" w:cs="宋体"/>
          <w:kern w:val="2"/>
          <w:sz w:val="24"/>
          <w:szCs w:val="24"/>
          <w:lang w:eastAsia="zh-CN"/>
        </w:rPr>
        <w:t>4、各投标人自行在以上网站下载或查阅招标相关文件和资料等，恕不另行通知，如有遗漏采购代理机构概不负责。</w:t>
      </w:r>
    </w:p>
    <w:p w14:paraId="405AD0A5">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六、提交投标文件截止时间、开标时间和地点</w:t>
      </w:r>
    </w:p>
    <w:p w14:paraId="35B46E2C">
      <w:pPr>
        <w:pStyle w:val="15"/>
        <w:keepNext w:val="0"/>
        <w:keepLines w:val="0"/>
        <w:pageBreakBefore w:val="0"/>
        <w:widowControl w:val="0"/>
        <w:overflowPunct/>
        <w:topLinePunct w:val="0"/>
        <w:bidi w:val="0"/>
        <w:adjustRightInd w:val="0"/>
        <w:snapToGrid w:val="0"/>
        <w:spacing w:before="152" w:beforeAutospacing="0" w:after="0" w:afterAutospacing="0" w:line="360" w:lineRule="auto"/>
        <w:ind w:left="152" w:firstLine="480" w:firstLineChars="200"/>
        <w:jc w:val="both"/>
        <w:textAlignment w:val="baseline"/>
        <w:rPr>
          <w:rFonts w:hint="eastAsia" w:ascii="宋体" w:hAnsi="宋体" w:eastAsia="宋体" w:cs="宋体"/>
          <w:color w:val="auto"/>
          <w:szCs w:val="24"/>
          <w:lang w:eastAsia="zh-CN"/>
        </w:rPr>
      </w:pPr>
      <w:r>
        <w:rPr>
          <w:rFonts w:hint="eastAsia" w:ascii="宋体" w:hAnsi="宋体" w:eastAsia="宋体" w:cs="宋体"/>
          <w:szCs w:val="24"/>
          <w:lang w:eastAsia="zh-CN"/>
        </w:rPr>
        <w:t>1、提交电子投</w:t>
      </w:r>
      <w:r>
        <w:rPr>
          <w:rFonts w:hint="eastAsia" w:ascii="宋体" w:hAnsi="宋体" w:eastAsia="宋体" w:cs="宋体"/>
          <w:color w:val="auto"/>
          <w:szCs w:val="24"/>
          <w:lang w:eastAsia="zh-CN"/>
        </w:rPr>
        <w:t>标文件的截止时间</w:t>
      </w:r>
      <w:r>
        <w:rPr>
          <w:rFonts w:hint="eastAsia" w:ascii="宋体" w:hAnsi="宋体" w:eastAsia="宋体" w:cs="宋体"/>
          <w:color w:val="auto"/>
          <w:szCs w:val="24"/>
          <w:lang w:eastAsia="zh-CN"/>
        </w:rPr>
        <w:t>：</w:t>
      </w:r>
      <w:r>
        <w:rPr>
          <w:rFonts w:hint="eastAsia" w:ascii="宋体" w:hAnsi="宋体" w:eastAsia="宋体" w:cs="宋体"/>
          <w:b/>
          <w:bCs/>
          <w:snapToGrid w:val="0"/>
          <w:color w:val="auto"/>
          <w:kern w:val="0"/>
          <w:sz w:val="24"/>
          <w:szCs w:val="24"/>
          <w:lang w:val="en-US" w:eastAsia="zh-CN" w:bidi="ar-SA"/>
        </w:rPr>
        <w:t>2026年9月29日</w:t>
      </w:r>
      <w:r>
        <w:rPr>
          <w:rFonts w:hint="eastAsia" w:ascii="宋体" w:hAnsi="宋体" w:eastAsia="宋体" w:cs="宋体"/>
          <w:color w:val="auto"/>
          <w:szCs w:val="24"/>
          <w:lang w:eastAsia="zh-CN"/>
        </w:rPr>
        <w:t>9时00分（北京时间）</w:t>
      </w:r>
    </w:p>
    <w:p w14:paraId="04DD9A8B">
      <w:pPr>
        <w:pStyle w:val="15"/>
        <w:keepNext w:val="0"/>
        <w:keepLines w:val="0"/>
        <w:pageBreakBefore w:val="0"/>
        <w:widowControl w:val="0"/>
        <w:overflowPunct/>
        <w:topLinePunct w:val="0"/>
        <w:bidi w:val="0"/>
        <w:adjustRightInd w:val="0"/>
        <w:snapToGrid w:val="0"/>
        <w:spacing w:before="152" w:beforeAutospacing="0" w:after="0" w:afterAutospacing="0" w:line="360" w:lineRule="auto"/>
        <w:ind w:left="152" w:firstLine="480" w:firstLineChars="200"/>
        <w:jc w:val="both"/>
        <w:textAlignment w:val="baseline"/>
        <w:rPr>
          <w:rFonts w:hint="eastAsia" w:ascii="宋体" w:hAnsi="宋体" w:eastAsia="宋体" w:cs="宋体"/>
          <w:color w:val="auto"/>
          <w:szCs w:val="24"/>
        </w:rPr>
      </w:pPr>
      <w:r>
        <w:rPr>
          <w:rFonts w:hint="eastAsia" w:ascii="宋体" w:hAnsi="宋体" w:eastAsia="宋体" w:cs="宋体"/>
          <w:color w:val="auto"/>
          <w:szCs w:val="24"/>
        </w:rPr>
        <w:t>2、投标地点：湘西公共资源电子招标投标交易平台</w:t>
      </w:r>
    </w:p>
    <w:p w14:paraId="16B7CD11">
      <w:pPr>
        <w:pStyle w:val="15"/>
        <w:keepNext w:val="0"/>
        <w:keepLines w:val="0"/>
        <w:pageBreakBefore w:val="0"/>
        <w:widowControl w:val="0"/>
        <w:overflowPunct/>
        <w:topLinePunct w:val="0"/>
        <w:bidi w:val="0"/>
        <w:adjustRightInd w:val="0"/>
        <w:snapToGrid w:val="0"/>
        <w:spacing w:before="152" w:beforeAutospacing="0" w:after="0" w:afterAutospacing="0" w:line="360" w:lineRule="auto"/>
        <w:ind w:left="152" w:firstLine="480" w:firstLineChars="200"/>
        <w:jc w:val="both"/>
        <w:textAlignment w:val="baseline"/>
        <w:rPr>
          <w:rFonts w:hint="eastAsia" w:ascii="宋体" w:hAnsi="宋体" w:eastAsia="宋体" w:cs="宋体"/>
          <w:color w:val="auto"/>
          <w:szCs w:val="24"/>
          <w:lang w:eastAsia="zh-CN"/>
        </w:rPr>
      </w:pPr>
      <w:r>
        <w:rPr>
          <w:rFonts w:hint="eastAsia" w:ascii="宋体" w:hAnsi="宋体" w:eastAsia="宋体" w:cs="宋体"/>
          <w:color w:val="auto"/>
          <w:szCs w:val="24"/>
          <w:lang w:eastAsia="zh-CN"/>
        </w:rPr>
        <w:t>3、开标时间：</w:t>
      </w:r>
      <w:r>
        <w:rPr>
          <w:rFonts w:hint="eastAsia" w:ascii="宋体" w:hAnsi="宋体" w:eastAsia="宋体" w:cs="宋体"/>
          <w:b/>
          <w:bCs/>
          <w:snapToGrid w:val="0"/>
          <w:color w:val="auto"/>
          <w:kern w:val="0"/>
          <w:sz w:val="24"/>
          <w:szCs w:val="24"/>
          <w:lang w:val="en-US" w:eastAsia="zh-CN" w:bidi="ar-SA"/>
        </w:rPr>
        <w:t>2026年9月29日</w:t>
      </w:r>
      <w:r>
        <w:rPr>
          <w:rFonts w:hint="eastAsia" w:ascii="宋体" w:hAnsi="宋体" w:eastAsia="宋体" w:cs="宋体"/>
          <w:color w:val="auto"/>
          <w:szCs w:val="24"/>
          <w:lang w:eastAsia="zh-CN"/>
        </w:rPr>
        <w:t>9时00分（北京时间）</w:t>
      </w:r>
    </w:p>
    <w:p w14:paraId="4802F15A">
      <w:pPr>
        <w:pStyle w:val="15"/>
        <w:keepNext w:val="0"/>
        <w:keepLines w:val="0"/>
        <w:pageBreakBefore w:val="0"/>
        <w:widowControl w:val="0"/>
        <w:overflowPunct/>
        <w:topLinePunct w:val="0"/>
        <w:bidi w:val="0"/>
        <w:adjustRightInd w:val="0"/>
        <w:snapToGrid w:val="0"/>
        <w:spacing w:before="152" w:beforeAutospacing="0" w:after="0" w:afterAutospacing="0" w:line="360" w:lineRule="auto"/>
        <w:ind w:left="152" w:firstLine="480" w:firstLineChars="200"/>
        <w:jc w:val="both"/>
        <w:textAlignment w:val="baseline"/>
        <w:rPr>
          <w:rFonts w:hint="eastAsia" w:ascii="宋体" w:hAnsi="宋体" w:eastAsia="宋体" w:cs="宋体"/>
          <w:color w:val="auto"/>
          <w:szCs w:val="24"/>
          <w:lang w:eastAsia="zh-CN"/>
        </w:rPr>
      </w:pPr>
      <w:r>
        <w:rPr>
          <w:rFonts w:hint="eastAsia" w:ascii="宋体" w:hAnsi="宋体" w:eastAsia="宋体" w:cs="宋体"/>
          <w:color w:val="auto"/>
          <w:szCs w:val="24"/>
          <w:lang w:eastAsia="zh-CN"/>
        </w:rPr>
        <w:t>4、开标地点：湘西自治州公共资源交易中</w:t>
      </w:r>
      <w:r>
        <w:rPr>
          <w:rFonts w:hint="eastAsia" w:ascii="宋体" w:hAnsi="宋体" w:eastAsia="宋体" w:cs="宋体"/>
          <w:color w:val="auto"/>
          <w:szCs w:val="24"/>
          <w:lang w:eastAsia="zh-CN"/>
        </w:rPr>
        <w:t>心不见面开标室</w:t>
      </w:r>
      <w:r>
        <w:rPr>
          <w:rFonts w:hint="eastAsia" w:ascii="宋体" w:hAnsi="宋体" w:eastAsia="宋体" w:cs="宋体"/>
          <w:color w:val="auto"/>
          <w:szCs w:val="24"/>
          <w:lang w:val="en-US" w:eastAsia="zh-CN"/>
        </w:rPr>
        <w:t>二</w:t>
      </w:r>
      <w:r>
        <w:rPr>
          <w:rFonts w:hint="eastAsia" w:ascii="宋体" w:hAnsi="宋体" w:eastAsia="宋体" w:cs="宋体"/>
          <w:color w:val="auto"/>
          <w:szCs w:val="24"/>
          <w:lang w:eastAsia="zh-CN"/>
        </w:rPr>
        <w:t>（吉首市吉凤街道州行政中心政务服务大楼四楼）</w:t>
      </w:r>
    </w:p>
    <w:p w14:paraId="5E31F7BD">
      <w:pPr>
        <w:pStyle w:val="15"/>
        <w:keepNext w:val="0"/>
        <w:keepLines w:val="0"/>
        <w:pageBreakBefore w:val="0"/>
        <w:widowControl w:val="0"/>
        <w:overflowPunct/>
        <w:topLinePunct w:val="0"/>
        <w:bidi w:val="0"/>
        <w:adjustRightInd w:val="0"/>
        <w:snapToGrid w:val="0"/>
        <w:spacing w:before="152" w:beforeAutospacing="0" w:after="0" w:afterAutospacing="0" w:line="360" w:lineRule="auto"/>
        <w:ind w:left="152" w:firstLine="480" w:firstLineChars="200"/>
        <w:jc w:val="both"/>
        <w:textAlignment w:val="baseline"/>
        <w:rPr>
          <w:rFonts w:hint="eastAsia" w:ascii="宋体" w:hAnsi="宋体" w:eastAsia="宋体" w:cs="宋体"/>
          <w:szCs w:val="24"/>
          <w:lang w:eastAsia="zh-CN"/>
        </w:rPr>
      </w:pPr>
      <w:r>
        <w:rPr>
          <w:rFonts w:hint="eastAsia" w:ascii="宋体" w:hAnsi="宋体" w:eastAsia="宋体" w:cs="宋体"/>
          <w:color w:val="auto"/>
          <w:szCs w:val="24"/>
          <w:lang w:eastAsia="zh-CN"/>
        </w:rPr>
        <w:t>5、电子投标文件的解密截止时间为（发出解密指令后30分钟）。请投标人</w:t>
      </w:r>
      <w:r>
        <w:rPr>
          <w:rFonts w:hint="eastAsia" w:ascii="宋体" w:hAnsi="宋体" w:eastAsia="宋体" w:cs="宋体"/>
          <w:szCs w:val="24"/>
          <w:lang w:eastAsia="zh-CN"/>
        </w:rPr>
        <w:t>确保投标文件如期解密。在开标现场解密的，请投标人自备解密电脑和网络。投标文件在解密时限内未解密或解密失败，视为撤销其投标文件，开标继续进行。（如因交易平台出现系统故障，导致解密无法完成的，由采购代理机构酌情延长解密时间）</w:t>
      </w:r>
    </w:p>
    <w:p w14:paraId="6777E66F">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七、公告期限：</w:t>
      </w:r>
    </w:p>
    <w:p w14:paraId="4A1C0A4E">
      <w:pPr>
        <w:pStyle w:val="2"/>
        <w:keepNext w:val="0"/>
        <w:keepLines w:val="0"/>
        <w:pageBreakBefore w:val="0"/>
        <w:widowControl/>
        <w:kinsoku/>
        <w:wordWrap w:val="0"/>
        <w:overflowPunct/>
        <w:topLinePunct w:val="0"/>
        <w:autoSpaceDE/>
        <w:autoSpaceDN/>
        <w:bidi w:val="0"/>
        <w:adjustRightInd w:val="0"/>
        <w:snapToGrid w:val="0"/>
        <w:spacing w:before="92" w:afterAutospacing="0" w:line="360" w:lineRule="auto"/>
        <w:ind w:left="15" w:right="75" w:firstLine="517"/>
        <w:textAlignment w:val="baseline"/>
        <w:rPr>
          <w:sz w:val="24"/>
          <w:szCs w:val="24"/>
          <w:highlight w:val="none"/>
        </w:rPr>
      </w:pPr>
      <w:r>
        <w:rPr>
          <w:spacing w:val="-1"/>
          <w:sz w:val="24"/>
          <w:szCs w:val="24"/>
          <w:highlight w:val="none"/>
        </w:rPr>
        <w:t>1、本招标公告在中国湖南政府采购网（</w:t>
      </w:r>
      <w:r>
        <w:rPr>
          <w:highlight w:val="none"/>
        </w:rPr>
        <w:fldChar w:fldCharType="begin"/>
      </w:r>
      <w:r>
        <w:rPr>
          <w:highlight w:val="none"/>
        </w:rPr>
        <w:instrText xml:space="preserve"> HYPERLINK "https://www.ccgp-hunan.gov.cn" </w:instrText>
      </w:r>
      <w:r>
        <w:rPr>
          <w:highlight w:val="none"/>
        </w:rPr>
        <w:fldChar w:fldCharType="separate"/>
      </w:r>
      <w:r>
        <w:rPr>
          <w:spacing w:val="-1"/>
          <w:sz w:val="24"/>
          <w:szCs w:val="24"/>
          <w:highlight w:val="none"/>
        </w:rPr>
        <w:t>www.</w:t>
      </w:r>
      <w:r>
        <w:rPr>
          <w:spacing w:val="-2"/>
          <w:sz w:val="24"/>
          <w:szCs w:val="24"/>
          <w:highlight w:val="none"/>
        </w:rPr>
        <w:t>ccgp-hunan.gov.cn</w:t>
      </w:r>
      <w:r>
        <w:rPr>
          <w:spacing w:val="-2"/>
          <w:sz w:val="24"/>
          <w:szCs w:val="24"/>
          <w:highlight w:val="none"/>
        </w:rPr>
        <w:fldChar w:fldCharType="end"/>
      </w:r>
      <w:r>
        <w:rPr>
          <w:spacing w:val="-2"/>
          <w:sz w:val="24"/>
          <w:szCs w:val="24"/>
          <w:highlight w:val="none"/>
        </w:rPr>
        <w:t>）及《湘西土家族苗</w:t>
      </w:r>
      <w:r>
        <w:rPr>
          <w:sz w:val="24"/>
          <w:szCs w:val="24"/>
          <w:highlight w:val="none"/>
        </w:rPr>
        <w:t>族自治州公共资源交易中心》（</w:t>
      </w:r>
      <w:r>
        <w:rPr>
          <w:highlight w:val="none"/>
        </w:rPr>
        <w:fldChar w:fldCharType="begin"/>
      </w:r>
      <w:r>
        <w:rPr>
          <w:highlight w:val="none"/>
        </w:rPr>
        <w:instrText xml:space="preserve"> HYPERLINK "http://ggzyjy.xxz.gov.cn" </w:instrText>
      </w:r>
      <w:r>
        <w:rPr>
          <w:highlight w:val="none"/>
        </w:rPr>
        <w:fldChar w:fldCharType="separate"/>
      </w:r>
      <w:r>
        <w:rPr>
          <w:sz w:val="24"/>
          <w:szCs w:val="24"/>
          <w:highlight w:val="none"/>
        </w:rPr>
        <w:t>http://ggzyjy</w:t>
      </w:r>
      <w:r>
        <w:rPr>
          <w:spacing w:val="-1"/>
          <w:sz w:val="24"/>
          <w:szCs w:val="24"/>
          <w:highlight w:val="none"/>
        </w:rPr>
        <w:t>.xxz.gov.cn</w:t>
      </w:r>
      <w:r>
        <w:rPr>
          <w:spacing w:val="-1"/>
          <w:sz w:val="24"/>
          <w:szCs w:val="24"/>
          <w:highlight w:val="none"/>
        </w:rPr>
        <w:fldChar w:fldCharType="end"/>
      </w:r>
      <w:r>
        <w:rPr>
          <w:spacing w:val="-1"/>
          <w:sz w:val="24"/>
          <w:szCs w:val="24"/>
          <w:highlight w:val="none"/>
        </w:rPr>
        <w:t>）上发布。公告期限从本招标</w:t>
      </w:r>
      <w:r>
        <w:rPr>
          <w:spacing w:val="-5"/>
          <w:sz w:val="24"/>
          <w:szCs w:val="24"/>
          <w:highlight w:val="none"/>
        </w:rPr>
        <w:t>公告发布之日起5个工作日。</w:t>
      </w:r>
    </w:p>
    <w:p w14:paraId="034F819E">
      <w:pPr>
        <w:pStyle w:val="2"/>
        <w:keepNext w:val="0"/>
        <w:keepLines w:val="0"/>
        <w:pageBreakBefore w:val="0"/>
        <w:widowControl/>
        <w:kinsoku/>
        <w:wordWrap w:val="0"/>
        <w:overflowPunct/>
        <w:topLinePunct w:val="0"/>
        <w:autoSpaceDE/>
        <w:autoSpaceDN/>
        <w:bidi w:val="0"/>
        <w:adjustRightInd w:val="0"/>
        <w:snapToGrid w:val="0"/>
        <w:spacing w:before="79" w:afterAutospacing="0" w:line="360" w:lineRule="auto"/>
        <w:ind w:left="34" w:right="-48" w:rightChars="0" w:firstLine="471"/>
        <w:textAlignment w:val="baseline"/>
        <w:rPr>
          <w:sz w:val="24"/>
          <w:szCs w:val="24"/>
          <w:highlight w:val="none"/>
        </w:rPr>
      </w:pPr>
      <w:r>
        <w:rPr>
          <w:spacing w:val="-1"/>
          <w:sz w:val="24"/>
          <w:szCs w:val="24"/>
          <w:highlight w:val="none"/>
        </w:rPr>
        <w:t>2、在其他媒体发布的招标公告，公告内容以本招标公告指定媒体发布的公告为</w:t>
      </w:r>
      <w:r>
        <w:rPr>
          <w:spacing w:val="-2"/>
          <w:sz w:val="24"/>
          <w:szCs w:val="24"/>
          <w:highlight w:val="none"/>
        </w:rPr>
        <w:t>准；公告期限自本招标公告指定媒体最先发布公告之日起算。</w:t>
      </w:r>
    </w:p>
    <w:p w14:paraId="470E7609">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八、其他补充事宜：</w:t>
      </w:r>
    </w:p>
    <w:p w14:paraId="6C47712E">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1、CA数字证书办理：</w:t>
      </w:r>
    </w:p>
    <w:p w14:paraId="4DF89DD0">
      <w:pPr>
        <w:keepNext w:val="0"/>
        <w:keepLines w:val="0"/>
        <w:pageBreakBefore w:val="0"/>
        <w:widowControl/>
        <w:kinsoku/>
        <w:wordWrap w:val="0"/>
        <w:overflowPunct/>
        <w:topLinePunct w:val="0"/>
        <w:autoSpaceDE/>
        <w:autoSpaceDN/>
        <w:bidi w:val="0"/>
        <w:adjustRightInd w:val="0"/>
        <w:snapToGrid w:val="0"/>
        <w:spacing w:afterAutospacing="0" w:line="360" w:lineRule="auto"/>
        <w:ind w:left="0" w:leftChars="0" w:firstLine="420" w:firstLineChars="175"/>
        <w:textAlignment w:val="baseline"/>
        <w:rPr>
          <w:rFonts w:hint="eastAsia" w:ascii="宋体" w:hAnsi="宋体" w:eastAsia="宋体" w:cs="宋体"/>
          <w:sz w:val="24"/>
          <w:szCs w:val="24"/>
        </w:rPr>
      </w:pPr>
      <w:r>
        <w:rPr>
          <w:rFonts w:hint="eastAsia" w:ascii="宋体" w:hAnsi="宋体" w:eastAsia="宋体" w:cs="宋体"/>
          <w:sz w:val="24"/>
          <w:szCs w:val="24"/>
        </w:rPr>
        <w:t>本项目为电子招投标项目，参与投标均须使用CA数字证书登陆进行操作，具体办理流程详见《湖南省CA证书与电子签章资源共享平台》（</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"https://casign.hnsggzy.com:7080/ca-hunanplatform/operation/main" </w:instrText>
      </w:r>
      <w:r>
        <w:rPr>
          <w:rFonts w:hint="eastAsia" w:ascii="宋体" w:hAnsi="宋体" w:eastAsia="宋体" w:cs="宋体"/>
          <w:sz w:val="24"/>
          <w:szCs w:val="24"/>
        </w:rPr>
        <w:fldChar w:fldCharType="separate"/>
      </w:r>
      <w:r>
        <w:rPr>
          <w:rFonts w:hint="eastAsia" w:ascii="宋体" w:hAnsi="宋体" w:eastAsia="宋体" w:cs="宋体"/>
          <w:sz w:val="24"/>
          <w:szCs w:val="24"/>
        </w:rPr>
        <w:t>https://casign.hnsggzy.com:</w:t>
      </w:r>
      <w:r>
        <w:rPr>
          <w:rFonts w:hint="eastAsia" w:ascii="宋体" w:hAnsi="宋体" w:eastAsia="宋体" w:cs="宋体"/>
          <w:sz w:val="24"/>
          <w:szCs w:val="24"/>
        </w:rPr>
        <w:fldChar w:fldCharType="end"/>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"https://casign.hnsggzy.com:7080/ca-hunanplatform/operation/main" </w:instrText>
      </w:r>
      <w:r>
        <w:rPr>
          <w:rFonts w:hint="eastAsia" w:ascii="宋体" w:hAnsi="宋体" w:eastAsia="宋体" w:cs="宋体"/>
          <w:sz w:val="24"/>
          <w:szCs w:val="24"/>
        </w:rPr>
        <w:fldChar w:fldCharType="separate"/>
      </w:r>
      <w:r>
        <w:rPr>
          <w:rFonts w:hint="eastAsia" w:ascii="宋体" w:hAnsi="宋体" w:eastAsia="宋体" w:cs="宋体"/>
          <w:sz w:val="24"/>
          <w:szCs w:val="24"/>
        </w:rPr>
        <w:t>7080/ca-hunanplatform/operation/main</w:t>
      </w:r>
      <w:r>
        <w:rPr>
          <w:rFonts w:hint="eastAsia" w:ascii="宋体" w:hAnsi="宋体" w:eastAsia="宋体" w:cs="宋体"/>
          <w:sz w:val="24"/>
          <w:szCs w:val="24"/>
        </w:rPr>
        <w:fldChar w:fldCharType="end"/>
      </w:r>
      <w:r>
        <w:rPr>
          <w:rFonts w:hint="eastAsia" w:ascii="宋体" w:hAnsi="宋体" w:eastAsia="宋体" w:cs="宋体"/>
          <w:sz w:val="24"/>
          <w:szCs w:val="24"/>
        </w:rPr>
        <w:t>），电话咨询：4009197888。</w:t>
      </w:r>
    </w:p>
    <w:p w14:paraId="25A4EDCB">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2、注意事项：</w:t>
      </w:r>
    </w:p>
    <w:p w14:paraId="1EC1A9F2">
      <w:pPr>
        <w:pStyle w:val="2"/>
        <w:keepNext w:val="0"/>
        <w:keepLines w:val="0"/>
        <w:pageBreakBefore w:val="0"/>
        <w:widowControl/>
        <w:kinsoku/>
        <w:wordWrap w:val="0"/>
        <w:overflowPunct/>
        <w:topLinePunct w:val="0"/>
        <w:autoSpaceDE/>
        <w:autoSpaceDN/>
        <w:bidi w:val="0"/>
        <w:adjustRightInd w:val="0"/>
        <w:snapToGrid w:val="0"/>
        <w:spacing w:before="204" w:afterAutospacing="0" w:line="360" w:lineRule="auto"/>
        <w:ind w:left="39" w:right="55" w:firstLine="464"/>
        <w:textAlignment w:val="baseline"/>
        <w:rPr>
          <w:sz w:val="24"/>
          <w:szCs w:val="24"/>
          <w:highlight w:val="none"/>
          <w:u w:val="none" w:color="auto"/>
        </w:rPr>
      </w:pPr>
      <w:r>
        <w:rPr>
          <w:spacing w:val="-1"/>
          <w:sz w:val="24"/>
          <w:szCs w:val="24"/>
          <w:highlight w:val="none"/>
          <w:u w:val="none" w:color="auto"/>
        </w:rPr>
        <w:t>2.1由于对网上招投标操作不熟悉或自身电脑、个人</w:t>
      </w:r>
      <w:r>
        <w:rPr>
          <w:spacing w:val="-2"/>
          <w:sz w:val="24"/>
          <w:szCs w:val="24"/>
          <w:highlight w:val="none"/>
          <w:u w:val="none" w:color="auto"/>
        </w:rPr>
        <w:t>网络等原因导致不能在投标截止时间之前完成电子投标文件上传的，相应责任由供应商自行承担。在使用系统过程中有疑</w:t>
      </w:r>
      <w:r>
        <w:rPr>
          <w:spacing w:val="2"/>
          <w:sz w:val="24"/>
          <w:szCs w:val="24"/>
          <w:highlight w:val="none"/>
          <w:u w:val="none" w:color="auto"/>
        </w:rPr>
        <w:t>问或困难请及时进行咨询。</w:t>
      </w:r>
    </w:p>
    <w:p w14:paraId="32E517C3">
      <w:pPr>
        <w:pStyle w:val="2"/>
        <w:keepNext w:val="0"/>
        <w:keepLines w:val="0"/>
        <w:pageBreakBefore w:val="0"/>
        <w:widowControl/>
        <w:kinsoku/>
        <w:wordWrap w:val="0"/>
        <w:overflowPunct/>
        <w:topLinePunct w:val="0"/>
        <w:autoSpaceDE/>
        <w:autoSpaceDN/>
        <w:bidi w:val="0"/>
        <w:adjustRightInd w:val="0"/>
        <w:snapToGrid w:val="0"/>
        <w:spacing w:before="299" w:afterAutospacing="0" w:line="360" w:lineRule="auto"/>
        <w:ind w:left="18" w:firstLine="485"/>
        <w:textAlignment w:val="baseline"/>
        <w:rPr>
          <w:b w:val="0"/>
          <w:bCs w:val="0"/>
          <w:sz w:val="24"/>
          <w:szCs w:val="24"/>
          <w:highlight w:val="none"/>
          <w:u w:val="none" w:color="auto"/>
        </w:rPr>
      </w:pPr>
      <w:r>
        <w:rPr>
          <w:b w:val="0"/>
          <w:bCs w:val="0"/>
          <w:sz w:val="24"/>
          <w:szCs w:val="24"/>
          <w:highlight w:val="none"/>
          <w:u w:val="none" w:color="auto"/>
        </w:rPr>
        <w:t>2.2如果开标时出现网络故障、技术故障等情形而影响招投标活动，采购人可</w:t>
      </w:r>
      <w:r>
        <w:rPr>
          <w:b w:val="0"/>
          <w:bCs w:val="0"/>
          <w:spacing w:val="-1"/>
          <w:sz w:val="24"/>
          <w:szCs w:val="24"/>
          <w:highlight w:val="none"/>
          <w:u w:val="none" w:color="auto"/>
        </w:rPr>
        <w:t>采取项</w:t>
      </w:r>
      <w:r>
        <w:rPr>
          <w:b w:val="0"/>
          <w:bCs w:val="0"/>
          <w:spacing w:val="-5"/>
          <w:sz w:val="24"/>
          <w:szCs w:val="24"/>
          <w:highlight w:val="none"/>
          <w:u w:val="none" w:color="auto"/>
        </w:rPr>
        <w:t>目延期、延长电子投标文件解密时间等相应措施，以保障招投标</w:t>
      </w:r>
      <w:r>
        <w:rPr>
          <w:b w:val="0"/>
          <w:bCs w:val="0"/>
          <w:spacing w:val="-6"/>
          <w:sz w:val="24"/>
          <w:szCs w:val="24"/>
          <w:highlight w:val="none"/>
          <w:u w:val="none" w:color="auto"/>
        </w:rPr>
        <w:t>活动的公开、公平和公正，</w:t>
      </w:r>
      <w:r>
        <w:rPr>
          <w:b w:val="0"/>
          <w:bCs w:val="0"/>
          <w:spacing w:val="2"/>
          <w:sz w:val="24"/>
          <w:szCs w:val="24"/>
          <w:highlight w:val="none"/>
          <w:u w:val="none" w:color="auto"/>
        </w:rPr>
        <w:t>供应商不得对此持有异议。</w:t>
      </w:r>
    </w:p>
    <w:p w14:paraId="3CEA682F">
      <w:pPr>
        <w:pStyle w:val="2"/>
        <w:keepNext w:val="0"/>
        <w:keepLines w:val="0"/>
        <w:pageBreakBefore w:val="0"/>
        <w:widowControl/>
        <w:kinsoku/>
        <w:wordWrap w:val="0"/>
        <w:overflowPunct/>
        <w:topLinePunct w:val="0"/>
        <w:autoSpaceDE/>
        <w:autoSpaceDN/>
        <w:bidi w:val="0"/>
        <w:adjustRightInd w:val="0"/>
        <w:snapToGrid w:val="0"/>
        <w:spacing w:before="310" w:afterAutospacing="0" w:line="360" w:lineRule="auto"/>
        <w:ind w:left="19" w:right="60" w:firstLine="484"/>
        <w:textAlignment w:val="baseline"/>
        <w:rPr>
          <w:b w:val="0"/>
          <w:bCs w:val="0"/>
          <w:sz w:val="24"/>
          <w:szCs w:val="24"/>
          <w:highlight w:val="none"/>
          <w:u w:val="none" w:color="auto"/>
        </w:rPr>
      </w:pPr>
      <w:r>
        <w:rPr>
          <w:b w:val="0"/>
          <w:bCs w:val="0"/>
          <w:spacing w:val="-1"/>
          <w:sz w:val="24"/>
          <w:szCs w:val="24"/>
          <w:highlight w:val="none"/>
          <w:u w:val="none" w:color="auto"/>
        </w:rPr>
        <w:t>2.3开标注意事项：供应商自行完成电子投标文件解密，因供应商自身原因未在规定</w:t>
      </w:r>
      <w:r>
        <w:rPr>
          <w:b w:val="0"/>
          <w:bCs w:val="0"/>
          <w:spacing w:val="5"/>
          <w:sz w:val="24"/>
          <w:szCs w:val="24"/>
          <w:highlight w:val="none"/>
          <w:u w:val="none" w:color="auto"/>
        </w:rPr>
        <w:t>时间内完成解密或无法解密的投标文件视为撤销其投标文件，相应责任由供应商自行承</w:t>
      </w:r>
      <w:r>
        <w:rPr>
          <w:b w:val="0"/>
          <w:bCs w:val="0"/>
          <w:spacing w:val="17"/>
          <w:sz w:val="24"/>
          <w:szCs w:val="24"/>
          <w:highlight w:val="none"/>
          <w:u w:val="none" w:color="auto"/>
        </w:rPr>
        <w:t>担。</w:t>
      </w:r>
    </w:p>
    <w:p w14:paraId="617B92A2">
      <w:pPr>
        <w:pStyle w:val="2"/>
        <w:keepNext w:val="0"/>
        <w:keepLines w:val="0"/>
        <w:pageBreakBefore w:val="0"/>
        <w:widowControl/>
        <w:kinsoku/>
        <w:wordWrap w:val="0"/>
        <w:overflowPunct/>
        <w:topLinePunct w:val="0"/>
        <w:autoSpaceDE/>
        <w:autoSpaceDN/>
        <w:bidi w:val="0"/>
        <w:adjustRightInd w:val="0"/>
        <w:snapToGrid w:val="0"/>
        <w:spacing w:before="301" w:afterAutospacing="0" w:line="360" w:lineRule="auto"/>
        <w:ind w:left="19" w:right="55" w:firstLine="484"/>
        <w:textAlignment w:val="baseline"/>
        <w:rPr>
          <w:b w:val="0"/>
          <w:bCs w:val="0"/>
          <w:sz w:val="24"/>
          <w:szCs w:val="24"/>
          <w:highlight w:val="none"/>
          <w:u w:val="none" w:color="auto"/>
        </w:rPr>
      </w:pPr>
      <w:r>
        <w:rPr>
          <w:b w:val="0"/>
          <w:bCs w:val="0"/>
          <w:sz w:val="24"/>
          <w:szCs w:val="24"/>
          <w:highlight w:val="none"/>
          <w:u w:val="none" w:color="auto"/>
        </w:rPr>
        <w:t>2.4各投标供应商提交的投标文件本身含有计算机病毒或非完整文件等无法参与</w:t>
      </w:r>
      <w:r>
        <w:rPr>
          <w:b w:val="0"/>
          <w:bCs w:val="0"/>
          <w:spacing w:val="-1"/>
          <w:sz w:val="24"/>
          <w:szCs w:val="24"/>
          <w:highlight w:val="none"/>
          <w:u w:val="none" w:color="auto"/>
        </w:rPr>
        <w:t>开评</w:t>
      </w:r>
      <w:r>
        <w:rPr>
          <w:b w:val="0"/>
          <w:bCs w:val="0"/>
          <w:spacing w:val="-2"/>
          <w:sz w:val="24"/>
          <w:szCs w:val="24"/>
          <w:highlight w:val="none"/>
          <w:u w:val="none" w:color="auto"/>
        </w:rPr>
        <w:t>标等招投标活动的，后果自负。</w:t>
      </w:r>
    </w:p>
    <w:p w14:paraId="465178C9">
      <w:pPr>
        <w:pStyle w:val="2"/>
        <w:keepNext w:val="0"/>
        <w:keepLines w:val="0"/>
        <w:pageBreakBefore w:val="0"/>
        <w:widowControl/>
        <w:kinsoku/>
        <w:wordWrap w:val="0"/>
        <w:overflowPunct/>
        <w:topLinePunct w:val="0"/>
        <w:autoSpaceDE/>
        <w:autoSpaceDN/>
        <w:bidi w:val="0"/>
        <w:adjustRightInd w:val="0"/>
        <w:snapToGrid w:val="0"/>
        <w:spacing w:before="276" w:afterAutospacing="0" w:line="360" w:lineRule="auto"/>
        <w:ind w:left="0" w:leftChars="0" w:right="106" w:firstLine="420" w:firstLineChars="0"/>
        <w:textAlignment w:val="baseline"/>
        <w:rPr>
          <w:b w:val="0"/>
          <w:bCs w:val="0"/>
          <w:sz w:val="24"/>
          <w:szCs w:val="24"/>
          <w:highlight w:val="none"/>
          <w:u w:val="none" w:color="auto"/>
        </w:rPr>
      </w:pPr>
      <w:r>
        <w:rPr>
          <w:b w:val="0"/>
          <w:bCs w:val="0"/>
          <w:spacing w:val="-4"/>
          <w:sz w:val="24"/>
          <w:szCs w:val="24"/>
          <w:highlight w:val="none"/>
          <w:u w:val="none" w:color="auto"/>
        </w:rPr>
        <w:t>3、询问：本项目投标过程中，电子系统使用操作遇到任何问题及时向软件公司咨</w:t>
      </w:r>
      <w:r>
        <w:rPr>
          <w:b w:val="0"/>
          <w:bCs w:val="0"/>
          <w:spacing w:val="-5"/>
          <w:sz w:val="24"/>
          <w:szCs w:val="24"/>
          <w:highlight w:val="none"/>
          <w:u w:val="none" w:color="auto"/>
        </w:rPr>
        <w:t>询，</w:t>
      </w:r>
      <w:r>
        <w:rPr>
          <w:b w:val="0"/>
          <w:bCs w:val="0"/>
          <w:spacing w:val="-2"/>
          <w:sz w:val="24"/>
          <w:szCs w:val="24"/>
          <w:highlight w:val="none"/>
          <w:u w:val="none" w:color="auto"/>
        </w:rPr>
        <w:t>咨询联系方式：0743-8523902。</w:t>
      </w:r>
    </w:p>
    <w:p w14:paraId="65843712">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九、疑问及质疑：</w:t>
      </w:r>
    </w:p>
    <w:p w14:paraId="4DB8A301">
      <w:pPr>
        <w:pStyle w:val="2"/>
        <w:keepNext w:val="0"/>
        <w:keepLines w:val="0"/>
        <w:pageBreakBefore w:val="0"/>
        <w:widowControl/>
        <w:kinsoku/>
        <w:wordWrap w:val="0"/>
        <w:overflowPunct/>
        <w:topLinePunct w:val="0"/>
        <w:autoSpaceDE/>
        <w:autoSpaceDN/>
        <w:bidi w:val="0"/>
        <w:adjustRightInd w:val="0"/>
        <w:snapToGrid w:val="0"/>
        <w:spacing w:before="202" w:afterAutospacing="0" w:line="360" w:lineRule="auto"/>
        <w:ind w:left="18" w:right="69" w:firstLine="514"/>
        <w:textAlignment w:val="baseline"/>
        <w:rPr>
          <w:sz w:val="24"/>
          <w:szCs w:val="24"/>
          <w:highlight w:val="none"/>
        </w:rPr>
      </w:pPr>
      <w:r>
        <w:rPr>
          <w:spacing w:val="1"/>
          <w:sz w:val="24"/>
          <w:szCs w:val="24"/>
          <w:highlight w:val="none"/>
        </w:rPr>
        <w:t>1、投标供应商对政府采购活动事项如有疑问的，可以向采购人、采购代理机构提出</w:t>
      </w:r>
      <w:r>
        <w:rPr>
          <w:spacing w:val="-4"/>
          <w:sz w:val="24"/>
          <w:szCs w:val="24"/>
          <w:highlight w:val="none"/>
        </w:rPr>
        <w:t>询问。采购人、采购代理机构将在3个工作日内作出答复。</w:t>
      </w:r>
    </w:p>
    <w:p w14:paraId="02EA7F49">
      <w:pPr>
        <w:pStyle w:val="2"/>
        <w:keepNext w:val="0"/>
        <w:keepLines w:val="0"/>
        <w:pageBreakBefore w:val="0"/>
        <w:widowControl/>
        <w:kinsoku/>
        <w:wordWrap w:val="0"/>
        <w:overflowPunct/>
        <w:topLinePunct w:val="0"/>
        <w:autoSpaceDE/>
        <w:autoSpaceDN/>
        <w:bidi w:val="0"/>
        <w:adjustRightInd w:val="0"/>
        <w:snapToGrid w:val="0"/>
        <w:spacing w:before="272" w:afterAutospacing="0" w:line="360" w:lineRule="auto"/>
        <w:ind w:left="24" w:right="55" w:firstLine="480"/>
        <w:textAlignment w:val="baseline"/>
        <w:rPr>
          <w:sz w:val="24"/>
          <w:szCs w:val="24"/>
          <w:highlight w:val="none"/>
        </w:rPr>
      </w:pPr>
      <w:r>
        <w:rPr>
          <w:spacing w:val="2"/>
          <w:sz w:val="24"/>
          <w:szCs w:val="24"/>
          <w:highlight w:val="none"/>
        </w:rPr>
        <w:t>2、潜在投标供应商认为招标文件或招标公告使自己的合法权益受到损害的，可以在</w:t>
      </w:r>
      <w:r>
        <w:rPr>
          <w:spacing w:val="-2"/>
          <w:sz w:val="24"/>
          <w:szCs w:val="24"/>
          <w:highlight w:val="none"/>
        </w:rPr>
        <w:t>收到招标文件之日或招标公告期限届满之日起7个工作日内，按《湖南省财政厅关于印发</w:t>
      </w:r>
      <w:r>
        <w:rPr>
          <w:spacing w:val="-1"/>
          <w:sz w:val="24"/>
          <w:szCs w:val="24"/>
          <w:highlight w:val="none"/>
        </w:rPr>
        <w:t>&lt;政府采购质疑答复和投诉处理操作规程＞的通知》(湘财购</w:t>
      </w:r>
      <w:r>
        <w:rPr>
          <w:spacing w:val="-2"/>
          <w:sz w:val="24"/>
          <w:szCs w:val="24"/>
          <w:highlight w:val="none"/>
        </w:rPr>
        <w:t>〔2019〕20号)规定，以书面形式向采购人、采购代理机构提出质疑。</w:t>
      </w:r>
    </w:p>
    <w:p w14:paraId="2F135ED7">
      <w:pPr>
        <w:pStyle w:val="2"/>
        <w:keepNext w:val="0"/>
        <w:keepLines w:val="0"/>
        <w:pageBreakBefore w:val="0"/>
        <w:widowControl/>
        <w:kinsoku/>
        <w:wordWrap w:val="0"/>
        <w:overflowPunct/>
        <w:topLinePunct w:val="0"/>
        <w:autoSpaceDE/>
        <w:autoSpaceDN/>
        <w:bidi w:val="0"/>
        <w:adjustRightInd w:val="0"/>
        <w:snapToGrid w:val="0"/>
        <w:spacing w:before="294" w:afterAutospacing="0" w:line="360" w:lineRule="auto"/>
        <w:ind w:left="19"/>
        <w:textAlignment w:val="baseline"/>
        <w:rPr>
          <w:sz w:val="24"/>
          <w:szCs w:val="24"/>
          <w:highlight w:val="none"/>
        </w:rPr>
      </w:pPr>
      <w:r>
        <w:rPr>
          <w:b/>
          <w:bCs/>
          <w:spacing w:val="-6"/>
          <w:sz w:val="24"/>
          <w:szCs w:val="24"/>
          <w:highlight w:val="none"/>
        </w:rPr>
        <w:t>十、本公告选项：</w:t>
      </w:r>
    </w:p>
    <w:p w14:paraId="55E2A7CE">
      <w:pPr>
        <w:pStyle w:val="2"/>
        <w:keepNext w:val="0"/>
        <w:keepLines w:val="0"/>
        <w:pageBreakBefore w:val="0"/>
        <w:widowControl/>
        <w:kinsoku/>
        <w:wordWrap w:val="0"/>
        <w:overflowPunct/>
        <w:topLinePunct w:val="0"/>
        <w:autoSpaceDE/>
        <w:autoSpaceDN/>
        <w:bidi w:val="0"/>
        <w:adjustRightInd w:val="0"/>
        <w:snapToGrid w:val="0"/>
        <w:spacing w:before="185" w:afterAutospacing="0" w:line="360" w:lineRule="auto"/>
        <w:ind w:left="499"/>
        <w:textAlignment w:val="baseline"/>
        <w:rPr>
          <w:sz w:val="24"/>
          <w:szCs w:val="24"/>
          <w:highlight w:val="none"/>
        </w:rPr>
      </w:pPr>
      <w:r>
        <w:rPr>
          <w:sz w:val="24"/>
          <w:szCs w:val="24"/>
          <w:highlight w:val="none"/>
        </w:rPr>
        <w:drawing>
          <wp:inline distT="0" distB="0" distL="0" distR="0">
            <wp:extent cx="121285" cy="11684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4"/>
                    <a:stretch>
                      <a:fillRect/>
                    </a:stretch>
                  </pic:blipFill>
                  <pic:spPr>
                    <a:xfrm>
                      <a:off x="0" y="0"/>
                      <a:ext cx="121919" cy="117348"/>
                    </a:xfrm>
                    <a:prstGeom prst="rect">
                      <a:avLst/>
                    </a:prstGeom>
                  </pic:spPr>
                </pic:pic>
              </a:graphicData>
            </a:graphic>
          </wp:inline>
        </w:drawing>
      </w:r>
      <w:r>
        <w:rPr>
          <w:spacing w:val="-1"/>
          <w:sz w:val="24"/>
          <w:szCs w:val="24"/>
          <w:highlight w:val="none"/>
        </w:rPr>
        <w:t>表示选择</w:t>
      </w:r>
      <w:r>
        <w:rPr>
          <w:rFonts w:hint="eastAsia"/>
          <w:spacing w:val="-1"/>
          <w:sz w:val="24"/>
          <w:szCs w:val="24"/>
          <w:highlight w:val="none"/>
          <w:lang w:val="en-US" w:eastAsia="zh-CN"/>
        </w:rPr>
        <w:t xml:space="preserve">    </w:t>
      </w:r>
      <w:r>
        <w:rPr>
          <w:rFonts w:ascii="Wingdings" w:hAnsi="Wingdings" w:eastAsia="Wingdings" w:cs="Wingdings"/>
          <w:spacing w:val="-1"/>
          <w:sz w:val="24"/>
          <w:szCs w:val="24"/>
          <w:highlight w:val="none"/>
        </w:rPr>
        <w:t>o</w:t>
      </w:r>
      <w:r>
        <w:rPr>
          <w:spacing w:val="-1"/>
          <w:sz w:val="24"/>
          <w:szCs w:val="24"/>
          <w:highlight w:val="none"/>
        </w:rPr>
        <w:t>表示未选择。</w:t>
      </w:r>
    </w:p>
    <w:p w14:paraId="7CC8035F">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十一、对本次招标提出询问，请按以下方式联系：</w:t>
      </w:r>
    </w:p>
    <w:p w14:paraId="5DB9BF53">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bookmarkStart w:id="1" w:name="bookmark61"/>
      <w:bookmarkEnd w:id="1"/>
      <w:r>
        <w:rPr>
          <w:rFonts w:ascii="宋体" w:hAnsi="宋体" w:eastAsia="宋体" w:cs="宋体"/>
          <w:b/>
          <w:bCs/>
          <w:spacing w:val="-2"/>
          <w:sz w:val="24"/>
          <w:szCs w:val="24"/>
          <w:highlight w:val="none"/>
        </w:rPr>
        <w:t>1、采购人信息</w:t>
      </w:r>
    </w:p>
    <w:p w14:paraId="2E69394E">
      <w:pPr>
        <w:pStyle w:val="2"/>
        <w:keepNext w:val="0"/>
        <w:keepLines w:val="0"/>
        <w:pageBreakBefore w:val="0"/>
        <w:widowControl/>
        <w:kinsoku/>
        <w:wordWrap w:val="0"/>
        <w:overflowPunct/>
        <w:topLinePunct w:val="0"/>
        <w:autoSpaceDE/>
        <w:autoSpaceDN/>
        <w:bidi w:val="0"/>
        <w:adjustRightInd w:val="0"/>
        <w:snapToGrid w:val="0"/>
        <w:spacing w:before="87" w:afterAutospacing="0" w:line="360" w:lineRule="auto"/>
        <w:ind w:left="533"/>
        <w:textAlignment w:val="baseline"/>
        <w:rPr>
          <w:rFonts w:hint="eastAsia" w:eastAsia="宋体"/>
          <w:sz w:val="24"/>
          <w:szCs w:val="24"/>
          <w:highlight w:val="none"/>
          <w:lang w:eastAsia="zh-CN"/>
        </w:rPr>
      </w:pPr>
      <w:r>
        <w:rPr>
          <w:spacing w:val="-5"/>
          <w:sz w:val="24"/>
          <w:szCs w:val="24"/>
          <w:highlight w:val="none"/>
        </w:rPr>
        <w:t>1.1名称：</w:t>
      </w:r>
      <w:r>
        <w:rPr>
          <w:rFonts w:hint="eastAsia" w:ascii="宋体" w:hAnsi="宋体" w:eastAsia="宋体" w:cs="宋体"/>
          <w:spacing w:val="-1"/>
          <w:sz w:val="24"/>
          <w:szCs w:val="24"/>
          <w:highlight w:val="none"/>
          <w:lang w:eastAsia="zh-CN"/>
        </w:rPr>
        <w:t>白云山国家级自然保护区管理局</w:t>
      </w:r>
    </w:p>
    <w:p w14:paraId="0934DFC5">
      <w:pPr>
        <w:pStyle w:val="2"/>
        <w:keepNext w:val="0"/>
        <w:keepLines w:val="0"/>
        <w:pageBreakBefore w:val="0"/>
        <w:widowControl/>
        <w:kinsoku/>
        <w:wordWrap w:val="0"/>
        <w:overflowPunct/>
        <w:topLinePunct w:val="0"/>
        <w:autoSpaceDE/>
        <w:autoSpaceDN/>
        <w:bidi w:val="0"/>
        <w:adjustRightInd w:val="0"/>
        <w:snapToGrid w:val="0"/>
        <w:spacing w:before="149" w:afterAutospacing="0" w:line="360" w:lineRule="auto"/>
        <w:ind w:left="533"/>
        <w:textAlignment w:val="baseline"/>
        <w:rPr>
          <w:rFonts w:hint="eastAsia" w:eastAsia="宋体"/>
          <w:sz w:val="24"/>
          <w:szCs w:val="24"/>
          <w:highlight w:val="none"/>
          <w:lang w:eastAsia="zh-CN"/>
        </w:rPr>
      </w:pPr>
      <w:r>
        <w:rPr>
          <w:spacing w:val="-4"/>
          <w:sz w:val="24"/>
          <w:szCs w:val="24"/>
          <w:highlight w:val="none"/>
        </w:rPr>
        <w:t>1.2地址：</w:t>
      </w:r>
      <w:r>
        <w:rPr>
          <w:rFonts w:hint="eastAsia" w:ascii="宋体" w:hAnsi="宋体" w:eastAsia="宋体" w:cs="宋体"/>
          <w:spacing w:val="-1"/>
          <w:sz w:val="24"/>
          <w:szCs w:val="24"/>
          <w:highlight w:val="none"/>
          <w:lang w:eastAsia="zh-CN"/>
        </w:rPr>
        <w:t>保靖县酉水北路86号</w:t>
      </w:r>
    </w:p>
    <w:p w14:paraId="38579963">
      <w:pPr>
        <w:pStyle w:val="2"/>
        <w:keepNext w:val="0"/>
        <w:keepLines w:val="0"/>
        <w:pageBreakBefore w:val="0"/>
        <w:widowControl/>
        <w:kinsoku/>
        <w:wordWrap w:val="0"/>
        <w:overflowPunct/>
        <w:topLinePunct w:val="0"/>
        <w:autoSpaceDE/>
        <w:autoSpaceDN/>
        <w:bidi w:val="0"/>
        <w:adjustRightInd w:val="0"/>
        <w:snapToGrid w:val="0"/>
        <w:spacing w:before="153" w:afterAutospacing="0" w:line="360" w:lineRule="auto"/>
        <w:ind w:left="533"/>
        <w:textAlignment w:val="baseline"/>
        <w:rPr>
          <w:rFonts w:hint="eastAsia" w:eastAsia="宋体"/>
          <w:sz w:val="24"/>
          <w:szCs w:val="24"/>
          <w:highlight w:val="none"/>
          <w:lang w:eastAsia="zh-CN"/>
        </w:rPr>
      </w:pPr>
      <w:r>
        <w:rPr>
          <w:spacing w:val="-7"/>
          <w:sz w:val="24"/>
          <w:szCs w:val="24"/>
          <w:highlight w:val="none"/>
        </w:rPr>
        <w:t>1.3联系人：</w:t>
      </w:r>
      <w:r>
        <w:rPr>
          <w:rFonts w:hint="eastAsia" w:ascii="宋体" w:hAnsi="宋体" w:eastAsia="宋体" w:cs="宋体"/>
          <w:spacing w:val="-1"/>
          <w:sz w:val="24"/>
          <w:szCs w:val="24"/>
          <w:highlight w:val="none"/>
          <w:lang w:eastAsia="zh-CN"/>
        </w:rPr>
        <w:t>杜先生</w:t>
      </w:r>
      <w:r>
        <w:rPr>
          <w:rFonts w:hint="eastAsia"/>
          <w:spacing w:val="-7"/>
          <w:sz w:val="24"/>
          <w:szCs w:val="24"/>
          <w:highlight w:val="none"/>
          <w:lang w:val="en-US" w:eastAsia="zh-CN"/>
        </w:rPr>
        <w:t xml:space="preserve"> </w:t>
      </w:r>
    </w:p>
    <w:p w14:paraId="48E0DA10">
      <w:pPr>
        <w:pStyle w:val="2"/>
        <w:keepNext w:val="0"/>
        <w:keepLines w:val="0"/>
        <w:pageBreakBefore w:val="0"/>
        <w:widowControl/>
        <w:kinsoku/>
        <w:wordWrap w:val="0"/>
        <w:overflowPunct/>
        <w:topLinePunct w:val="0"/>
        <w:autoSpaceDE/>
        <w:autoSpaceDN/>
        <w:bidi w:val="0"/>
        <w:adjustRightInd w:val="0"/>
        <w:snapToGrid w:val="0"/>
        <w:spacing w:before="152" w:afterAutospacing="0" w:line="360" w:lineRule="auto"/>
        <w:ind w:left="533"/>
        <w:textAlignment w:val="baseline"/>
        <w:rPr>
          <w:rFonts w:hint="eastAsia" w:eastAsia="宋体"/>
          <w:sz w:val="24"/>
          <w:szCs w:val="24"/>
          <w:highlight w:val="none"/>
          <w:lang w:eastAsia="zh-CN"/>
        </w:rPr>
      </w:pPr>
      <w:r>
        <w:rPr>
          <w:spacing w:val="-7"/>
          <w:sz w:val="24"/>
          <w:szCs w:val="24"/>
          <w:highlight w:val="none"/>
        </w:rPr>
        <w:t>1.4电话：</w:t>
      </w:r>
      <w:r>
        <w:rPr>
          <w:rFonts w:hint="eastAsia" w:ascii="宋体" w:hAnsi="宋体" w:eastAsia="宋体" w:cs="宋体"/>
          <w:spacing w:val="-1"/>
          <w:sz w:val="24"/>
          <w:szCs w:val="24"/>
          <w:highlight w:val="none"/>
          <w:lang w:eastAsia="zh-CN"/>
        </w:rPr>
        <w:t>0743</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lang w:eastAsia="zh-CN"/>
        </w:rPr>
        <w:t>7721865</w:t>
      </w:r>
    </w:p>
    <w:p w14:paraId="14C715C7">
      <w:pPr>
        <w:pStyle w:val="2"/>
        <w:keepNext w:val="0"/>
        <w:keepLines w:val="0"/>
        <w:pageBreakBefore w:val="0"/>
        <w:widowControl/>
        <w:kinsoku/>
        <w:wordWrap w:val="0"/>
        <w:overflowPunct/>
        <w:topLinePunct w:val="0"/>
        <w:autoSpaceDE/>
        <w:autoSpaceDN/>
        <w:bidi w:val="0"/>
        <w:adjustRightInd w:val="0"/>
        <w:snapToGrid w:val="0"/>
        <w:spacing w:before="144" w:afterAutospacing="0" w:line="360" w:lineRule="auto"/>
        <w:ind w:left="533"/>
        <w:textAlignment w:val="baseline"/>
        <w:rPr>
          <w:rFonts w:hint="eastAsia" w:eastAsia="宋体"/>
          <w:sz w:val="24"/>
          <w:szCs w:val="24"/>
          <w:highlight w:val="none"/>
          <w:lang w:eastAsia="zh-CN"/>
        </w:rPr>
      </w:pPr>
      <w:r>
        <w:rPr>
          <w:spacing w:val="-8"/>
          <w:sz w:val="24"/>
          <w:szCs w:val="24"/>
          <w:highlight w:val="none"/>
        </w:rPr>
        <w:t>1.5邮编：</w:t>
      </w:r>
      <w:r>
        <w:rPr>
          <w:rFonts w:hint="eastAsia" w:ascii="宋体" w:hAnsi="宋体" w:eastAsia="宋体" w:cs="宋体"/>
          <w:spacing w:val="-1"/>
          <w:sz w:val="24"/>
          <w:szCs w:val="24"/>
          <w:highlight w:val="none"/>
          <w:lang w:eastAsia="zh-CN"/>
        </w:rPr>
        <w:t>/</w:t>
      </w:r>
      <w:r>
        <w:rPr>
          <w:rFonts w:hint="eastAsia"/>
          <w:spacing w:val="-8"/>
          <w:sz w:val="24"/>
          <w:szCs w:val="24"/>
          <w:highlight w:val="none"/>
          <w:lang w:val="en-US" w:eastAsia="zh-CN"/>
        </w:rPr>
        <w:t xml:space="preserve"> </w:t>
      </w:r>
    </w:p>
    <w:p w14:paraId="58A3EBDB">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2、采购代理机构信息</w:t>
      </w:r>
    </w:p>
    <w:p w14:paraId="2EEA49C4">
      <w:pPr>
        <w:pStyle w:val="2"/>
        <w:keepNext w:val="0"/>
        <w:keepLines w:val="0"/>
        <w:pageBreakBefore w:val="0"/>
        <w:widowControl/>
        <w:kinsoku/>
        <w:wordWrap w:val="0"/>
        <w:overflowPunct/>
        <w:topLinePunct w:val="0"/>
        <w:autoSpaceDE/>
        <w:autoSpaceDN/>
        <w:bidi w:val="0"/>
        <w:adjustRightInd w:val="0"/>
        <w:snapToGrid w:val="0"/>
        <w:spacing w:before="152" w:afterAutospacing="0" w:line="360" w:lineRule="auto"/>
        <w:ind w:left="494"/>
        <w:textAlignment w:val="baseline"/>
        <w:rPr>
          <w:rFonts w:hint="eastAsia" w:eastAsia="宋体"/>
          <w:sz w:val="24"/>
          <w:szCs w:val="24"/>
          <w:highlight w:val="none"/>
          <w:lang w:eastAsia="zh-CN"/>
        </w:rPr>
      </w:pPr>
      <w:r>
        <w:rPr>
          <w:spacing w:val="-3"/>
          <w:sz w:val="24"/>
          <w:szCs w:val="24"/>
          <w:highlight w:val="none"/>
        </w:rPr>
        <w:t>2.1名称：</w:t>
      </w:r>
      <w:r>
        <w:rPr>
          <w:rFonts w:hint="eastAsia" w:ascii="宋体" w:hAnsi="宋体" w:eastAsia="宋体" w:cs="宋体"/>
          <w:spacing w:val="-1"/>
          <w:sz w:val="24"/>
          <w:szCs w:val="24"/>
          <w:lang w:eastAsia="zh-CN"/>
        </w:rPr>
        <w:t>湖南天润招标咨询有限公司</w:t>
      </w:r>
      <w:r>
        <w:rPr>
          <w:rFonts w:hint="eastAsia"/>
          <w:spacing w:val="-3"/>
          <w:sz w:val="24"/>
          <w:szCs w:val="24"/>
          <w:highlight w:val="none"/>
          <w:lang w:val="en-US" w:eastAsia="zh-CN"/>
        </w:rPr>
        <w:t xml:space="preserve"> </w:t>
      </w:r>
    </w:p>
    <w:p w14:paraId="2C682239">
      <w:pPr>
        <w:pStyle w:val="2"/>
        <w:keepNext w:val="0"/>
        <w:keepLines w:val="0"/>
        <w:pageBreakBefore w:val="0"/>
        <w:widowControl/>
        <w:kinsoku/>
        <w:wordWrap w:val="0"/>
        <w:overflowPunct/>
        <w:topLinePunct w:val="0"/>
        <w:autoSpaceDE/>
        <w:autoSpaceDN/>
        <w:bidi w:val="0"/>
        <w:adjustRightInd w:val="0"/>
        <w:snapToGrid w:val="0"/>
        <w:spacing w:before="150" w:afterAutospacing="0" w:line="360" w:lineRule="auto"/>
        <w:ind w:left="504"/>
        <w:textAlignment w:val="baseline"/>
        <w:rPr>
          <w:rFonts w:hint="eastAsia" w:eastAsia="宋体"/>
          <w:sz w:val="24"/>
          <w:szCs w:val="24"/>
          <w:highlight w:val="none"/>
          <w:lang w:eastAsia="zh-CN"/>
        </w:rPr>
      </w:pPr>
      <w:r>
        <w:rPr>
          <w:spacing w:val="-1"/>
          <w:sz w:val="24"/>
          <w:szCs w:val="24"/>
          <w:highlight w:val="none"/>
        </w:rPr>
        <w:t>2.2地址：</w:t>
      </w:r>
      <w:bookmarkStart w:id="2" w:name="EBca692e79b4194bf3a1eb16ee75a6244b"/>
      <w:r>
        <w:rPr>
          <w:rFonts w:hint="eastAsia" w:ascii="宋体" w:hAnsi="宋体" w:eastAsia="宋体" w:cs="宋体"/>
          <w:spacing w:val="-1"/>
          <w:sz w:val="24"/>
          <w:szCs w:val="24"/>
          <w:lang w:eastAsia="zh-CN"/>
        </w:rPr>
        <w:t>长沙市天心区芙蓉南路368号CTA财富中心12010房</w:t>
      </w:r>
      <w:bookmarkEnd w:id="2"/>
      <w:r>
        <w:rPr>
          <w:rFonts w:hint="eastAsia"/>
          <w:spacing w:val="-1"/>
          <w:sz w:val="24"/>
          <w:szCs w:val="24"/>
          <w:highlight w:val="none"/>
          <w:lang w:val="en-US" w:eastAsia="zh-CN"/>
        </w:rPr>
        <w:t xml:space="preserve"> </w:t>
      </w:r>
    </w:p>
    <w:p w14:paraId="6D6BED9C">
      <w:pPr>
        <w:pStyle w:val="2"/>
        <w:keepNext w:val="0"/>
        <w:keepLines w:val="0"/>
        <w:pageBreakBefore w:val="0"/>
        <w:widowControl/>
        <w:kinsoku/>
        <w:wordWrap w:val="0"/>
        <w:overflowPunct/>
        <w:topLinePunct w:val="0"/>
        <w:autoSpaceDE/>
        <w:autoSpaceDN/>
        <w:bidi w:val="0"/>
        <w:adjustRightInd w:val="0"/>
        <w:snapToGrid w:val="0"/>
        <w:spacing w:before="150" w:afterAutospacing="0" w:line="360" w:lineRule="auto"/>
        <w:ind w:left="504"/>
        <w:textAlignment w:val="baseline"/>
        <w:rPr>
          <w:rFonts w:hint="eastAsia" w:eastAsia="宋体"/>
          <w:sz w:val="24"/>
          <w:szCs w:val="24"/>
          <w:highlight w:val="none"/>
          <w:lang w:eastAsia="zh-CN"/>
        </w:rPr>
      </w:pPr>
      <w:r>
        <w:rPr>
          <w:spacing w:val="-3"/>
          <w:sz w:val="24"/>
          <w:szCs w:val="24"/>
          <w:highlight w:val="none"/>
        </w:rPr>
        <w:t>2.3联系人：</w:t>
      </w:r>
      <w:r>
        <w:rPr>
          <w:rFonts w:hint="eastAsia" w:ascii="宋体" w:hAnsi="宋体" w:eastAsia="宋体" w:cs="宋体"/>
          <w:spacing w:val="-1"/>
          <w:sz w:val="24"/>
          <w:szCs w:val="24"/>
          <w:lang w:eastAsia="zh-CN"/>
        </w:rPr>
        <w:t>张</w:t>
      </w:r>
      <w:r>
        <w:rPr>
          <w:rFonts w:hint="eastAsia" w:cs="宋体"/>
          <w:spacing w:val="-1"/>
          <w:sz w:val="24"/>
          <w:szCs w:val="24"/>
          <w:lang w:val="en-US" w:eastAsia="zh-CN"/>
        </w:rPr>
        <w:t>峰</w:t>
      </w:r>
      <w:r>
        <w:rPr>
          <w:rFonts w:hint="eastAsia" w:cs="宋体"/>
          <w:spacing w:val="-1"/>
          <w:sz w:val="24"/>
          <w:szCs w:val="24"/>
          <w:lang w:eastAsia="zh-CN"/>
        </w:rPr>
        <w:t>、</w:t>
      </w:r>
      <w:r>
        <w:rPr>
          <w:rFonts w:hint="eastAsia" w:cs="宋体"/>
          <w:spacing w:val="-1"/>
          <w:sz w:val="24"/>
          <w:szCs w:val="24"/>
          <w:lang w:val="en-US" w:eastAsia="zh-CN"/>
        </w:rPr>
        <w:t>毛军杰、廖桥梁、顾兰艳</w:t>
      </w:r>
      <w:r>
        <w:rPr>
          <w:rFonts w:hint="eastAsia"/>
          <w:spacing w:val="-3"/>
          <w:sz w:val="24"/>
          <w:szCs w:val="24"/>
          <w:highlight w:val="none"/>
          <w:lang w:val="en-US" w:eastAsia="zh-CN"/>
        </w:rPr>
        <w:t xml:space="preserve"> </w:t>
      </w:r>
    </w:p>
    <w:p w14:paraId="35C0A734">
      <w:pPr>
        <w:pStyle w:val="2"/>
        <w:keepNext w:val="0"/>
        <w:keepLines w:val="0"/>
        <w:pageBreakBefore w:val="0"/>
        <w:widowControl/>
        <w:kinsoku/>
        <w:wordWrap w:val="0"/>
        <w:overflowPunct/>
        <w:topLinePunct w:val="0"/>
        <w:autoSpaceDE/>
        <w:autoSpaceDN/>
        <w:bidi w:val="0"/>
        <w:adjustRightInd w:val="0"/>
        <w:snapToGrid w:val="0"/>
        <w:spacing w:before="153" w:afterAutospacing="0" w:line="360" w:lineRule="auto"/>
        <w:ind w:left="504"/>
        <w:textAlignment w:val="baseline"/>
        <w:rPr>
          <w:sz w:val="24"/>
          <w:szCs w:val="24"/>
          <w:highlight w:val="none"/>
        </w:rPr>
      </w:pPr>
      <w:r>
        <w:rPr>
          <w:spacing w:val="-6"/>
          <w:sz w:val="24"/>
          <w:szCs w:val="24"/>
          <w:highlight w:val="none"/>
        </w:rPr>
        <w:t>2.4邮编：</w:t>
      </w:r>
      <w:r>
        <w:rPr>
          <w:rFonts w:hint="eastAsia" w:ascii="宋体" w:hAnsi="宋体" w:eastAsia="宋体" w:cs="宋体"/>
          <w:spacing w:val="-1"/>
          <w:sz w:val="24"/>
          <w:szCs w:val="24"/>
          <w:lang w:eastAsia="zh-CN"/>
        </w:rPr>
        <w:t>/</w:t>
      </w:r>
      <w:r>
        <w:rPr>
          <w:rFonts w:hint="eastAsia"/>
          <w:spacing w:val="-6"/>
          <w:sz w:val="24"/>
          <w:szCs w:val="24"/>
          <w:highlight w:val="none"/>
          <w:lang w:val="en-US" w:eastAsia="zh-CN"/>
        </w:rPr>
        <w:t xml:space="preserve"> </w:t>
      </w:r>
    </w:p>
    <w:p w14:paraId="01FD82E5">
      <w:pPr>
        <w:pStyle w:val="2"/>
        <w:keepNext w:val="0"/>
        <w:keepLines w:val="0"/>
        <w:pageBreakBefore w:val="0"/>
        <w:widowControl/>
        <w:kinsoku/>
        <w:wordWrap w:val="0"/>
        <w:overflowPunct/>
        <w:topLinePunct w:val="0"/>
        <w:autoSpaceDE/>
        <w:autoSpaceDN/>
        <w:bidi w:val="0"/>
        <w:adjustRightInd w:val="0"/>
        <w:snapToGrid w:val="0"/>
        <w:spacing w:before="152" w:afterAutospacing="0" w:line="360" w:lineRule="auto"/>
        <w:ind w:left="504"/>
        <w:textAlignment w:val="baseline"/>
        <w:rPr>
          <w:rFonts w:hint="default" w:eastAsia="宋体"/>
          <w:sz w:val="24"/>
          <w:szCs w:val="24"/>
          <w:highlight w:val="none"/>
          <w:lang w:val="en-US" w:eastAsia="zh-CN"/>
        </w:rPr>
      </w:pPr>
      <w:r>
        <w:rPr>
          <w:spacing w:val="-6"/>
          <w:sz w:val="24"/>
          <w:szCs w:val="24"/>
          <w:highlight w:val="none"/>
        </w:rPr>
        <w:t>2.5电话：</w:t>
      </w:r>
      <w:r>
        <w:rPr>
          <w:rFonts w:hint="eastAsia" w:cs="宋体"/>
          <w:spacing w:val="-1"/>
          <w:sz w:val="24"/>
          <w:szCs w:val="24"/>
          <w:lang w:val="en-US" w:eastAsia="zh-CN"/>
        </w:rPr>
        <w:t>0731-85576969、13667320198</w:t>
      </w:r>
    </w:p>
    <w:p w14:paraId="52F36F56">
      <w:pPr>
        <w:pStyle w:val="2"/>
        <w:keepNext w:val="0"/>
        <w:keepLines w:val="0"/>
        <w:pageBreakBefore w:val="0"/>
        <w:widowControl/>
        <w:kinsoku/>
        <w:wordWrap w:val="0"/>
        <w:overflowPunct/>
        <w:topLinePunct w:val="0"/>
        <w:autoSpaceDE/>
        <w:autoSpaceDN/>
        <w:bidi w:val="0"/>
        <w:adjustRightInd w:val="0"/>
        <w:snapToGrid w:val="0"/>
        <w:spacing w:before="184" w:afterAutospacing="0"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3.电子交易平台服务机构信息</w:t>
      </w:r>
    </w:p>
    <w:p w14:paraId="274D1954">
      <w:pPr>
        <w:pStyle w:val="2"/>
        <w:keepNext w:val="0"/>
        <w:keepLines w:val="0"/>
        <w:pageBreakBefore w:val="0"/>
        <w:widowControl/>
        <w:kinsoku/>
        <w:wordWrap w:val="0"/>
        <w:overflowPunct/>
        <w:topLinePunct w:val="0"/>
        <w:autoSpaceDE/>
        <w:autoSpaceDN/>
        <w:bidi w:val="0"/>
        <w:adjustRightInd w:val="0"/>
        <w:snapToGrid w:val="0"/>
        <w:spacing w:before="188" w:afterAutospacing="0" w:line="360" w:lineRule="auto"/>
        <w:ind w:left="498"/>
        <w:textAlignment w:val="baseline"/>
        <w:rPr>
          <w:sz w:val="24"/>
          <w:szCs w:val="24"/>
          <w:highlight w:val="none"/>
        </w:rPr>
      </w:pPr>
      <w:r>
        <w:rPr>
          <w:spacing w:val="-5"/>
          <w:sz w:val="24"/>
          <w:szCs w:val="24"/>
          <w:highlight w:val="none"/>
        </w:rPr>
        <w:t>3.1名称：湘西自治州公共资源交易</w:t>
      </w:r>
      <w:r>
        <w:rPr>
          <w:spacing w:val="-6"/>
          <w:sz w:val="24"/>
          <w:szCs w:val="24"/>
          <w:highlight w:val="none"/>
        </w:rPr>
        <w:t>平台</w:t>
      </w:r>
      <w:r>
        <w:rPr>
          <w:rFonts w:hint="eastAsia" w:ascii="宋体" w:hAnsi="宋体" w:eastAsia="宋体" w:cs="宋体"/>
          <w:spacing w:val="-1"/>
          <w:sz w:val="24"/>
          <w:szCs w:val="24"/>
          <w:lang w:eastAsia="zh-CN"/>
        </w:rPr>
        <w:t>（软件技术方面）</w:t>
      </w:r>
    </w:p>
    <w:p w14:paraId="16E57B92">
      <w:pPr>
        <w:pStyle w:val="2"/>
        <w:keepNext w:val="0"/>
        <w:keepLines w:val="0"/>
        <w:pageBreakBefore w:val="0"/>
        <w:widowControl/>
        <w:kinsoku/>
        <w:wordWrap w:val="0"/>
        <w:overflowPunct/>
        <w:topLinePunct w:val="0"/>
        <w:autoSpaceDE/>
        <w:autoSpaceDN/>
        <w:bidi w:val="0"/>
        <w:adjustRightInd w:val="0"/>
        <w:snapToGrid w:val="0"/>
        <w:spacing w:before="148" w:afterAutospacing="0" w:line="360" w:lineRule="auto"/>
        <w:ind w:left="527"/>
        <w:textAlignment w:val="baseline"/>
        <w:rPr>
          <w:sz w:val="24"/>
          <w:szCs w:val="24"/>
          <w:highlight w:val="none"/>
        </w:rPr>
      </w:pPr>
      <w:r>
        <w:rPr>
          <w:spacing w:val="-11"/>
          <w:sz w:val="24"/>
          <w:szCs w:val="24"/>
          <w:highlight w:val="none"/>
        </w:rPr>
        <w:t>3.2联系人：新点技术人员</w:t>
      </w:r>
    </w:p>
    <w:p w14:paraId="1D5ED3F9">
      <w:pPr>
        <w:pStyle w:val="2"/>
        <w:keepNext w:val="0"/>
        <w:keepLines w:val="0"/>
        <w:pageBreakBefore w:val="0"/>
        <w:widowControl/>
        <w:kinsoku/>
        <w:wordWrap w:val="0"/>
        <w:overflowPunct/>
        <w:topLinePunct w:val="0"/>
        <w:autoSpaceDE/>
        <w:autoSpaceDN/>
        <w:bidi w:val="0"/>
        <w:adjustRightInd w:val="0"/>
        <w:snapToGrid w:val="0"/>
        <w:spacing w:before="149" w:afterAutospacing="0" w:line="360" w:lineRule="auto"/>
        <w:ind w:left="527"/>
        <w:textAlignment w:val="baseline"/>
        <w:rPr>
          <w:sz w:val="24"/>
          <w:szCs w:val="24"/>
          <w:highlight w:val="none"/>
        </w:rPr>
      </w:pPr>
      <w:r>
        <w:rPr>
          <w:spacing w:val="-2"/>
          <w:sz w:val="24"/>
          <w:szCs w:val="24"/>
          <w:highlight w:val="none"/>
        </w:rPr>
        <w:t>3.3联系方式：0743-8523902</w:t>
      </w:r>
    </w:p>
    <w:p w14:paraId="4E4E2FA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93487D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B74224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6"/>
          <w:highlight w:val="none"/>
        </w:rPr>
      </w:pPr>
      <w:r>
        <w:rPr>
          <w:b/>
          <w:bCs/>
          <w:spacing w:val="6"/>
          <w:highlight w:val="none"/>
        </w:rPr>
        <w:br w:type="page"/>
      </w:r>
    </w:p>
    <w:p w14:paraId="635647EF">
      <w:pPr>
        <w:pStyle w:val="4"/>
        <w:bidi w:val="0"/>
      </w:pPr>
      <w:bookmarkStart w:id="3" w:name="_Toc31709"/>
      <w:r>
        <w:t>第二章投标须知</w:t>
      </w:r>
      <w:bookmarkEnd w:id="3"/>
    </w:p>
    <w:p w14:paraId="29E8A635">
      <w:pPr>
        <w:pStyle w:val="5"/>
        <w:bidi w:val="0"/>
      </w:pPr>
      <w:bookmarkStart w:id="4" w:name="bookmark62"/>
      <w:bookmarkEnd w:id="4"/>
      <w:bookmarkStart w:id="5" w:name="_Toc32064"/>
      <w:r>
        <w:t>投标须知前附表</w:t>
      </w:r>
      <w:bookmarkEnd w:id="5"/>
    </w:p>
    <w:tbl>
      <w:tblPr>
        <w:tblStyle w:val="20"/>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0"/>
        <w:gridCol w:w="1619"/>
        <w:gridCol w:w="6515"/>
        <w:gridCol w:w="15"/>
      </w:tblGrid>
      <w:tr w14:paraId="2A2C6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1430" w:type="dxa"/>
            <w:vAlign w:val="center"/>
          </w:tcPr>
          <w:p w14:paraId="38C2CBB2">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条款号</w:t>
            </w:r>
          </w:p>
        </w:tc>
        <w:tc>
          <w:tcPr>
            <w:tcW w:w="1619" w:type="dxa"/>
            <w:vAlign w:val="center"/>
          </w:tcPr>
          <w:p w14:paraId="7BA60F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条款名称</w:t>
            </w:r>
          </w:p>
        </w:tc>
        <w:tc>
          <w:tcPr>
            <w:tcW w:w="6530" w:type="dxa"/>
            <w:gridSpan w:val="2"/>
            <w:vAlign w:val="center"/>
          </w:tcPr>
          <w:p w14:paraId="01E3B55B">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center"/>
              <w:textAlignment w:val="baseline"/>
              <w:rPr>
                <w:rFonts w:hint="eastAsia" w:ascii="宋体" w:hAnsi="宋体" w:eastAsia="宋体" w:cs="宋体"/>
                <w:b/>
                <w:bCs/>
                <w:sz w:val="24"/>
                <w:szCs w:val="24"/>
              </w:rPr>
            </w:pPr>
            <w:r>
              <w:rPr>
                <w:rFonts w:hint="eastAsia" w:ascii="宋体" w:hAnsi="宋体" w:eastAsia="宋体" w:cs="宋体"/>
                <w:b/>
                <w:bCs/>
                <w:sz w:val="24"/>
                <w:szCs w:val="24"/>
              </w:rPr>
              <w:t>编列内容规定</w:t>
            </w:r>
          </w:p>
        </w:tc>
      </w:tr>
      <w:tr w14:paraId="1BF40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9579" w:type="dxa"/>
            <w:gridSpan w:val="4"/>
            <w:vAlign w:val="center"/>
          </w:tcPr>
          <w:p w14:paraId="4FFCC43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一、说明</w:t>
            </w:r>
          </w:p>
        </w:tc>
      </w:tr>
      <w:tr w14:paraId="46625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1430" w:type="dxa"/>
            <w:vAlign w:val="center"/>
          </w:tcPr>
          <w:p w14:paraId="201EB590">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第1.1款</w:t>
            </w:r>
          </w:p>
        </w:tc>
        <w:tc>
          <w:tcPr>
            <w:tcW w:w="1619" w:type="dxa"/>
            <w:vAlign w:val="center"/>
          </w:tcPr>
          <w:p w14:paraId="0DA11FC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采购项目</w:t>
            </w:r>
          </w:p>
        </w:tc>
        <w:tc>
          <w:tcPr>
            <w:tcW w:w="6530" w:type="dxa"/>
            <w:gridSpan w:val="2"/>
            <w:vAlign w:val="center"/>
          </w:tcPr>
          <w:p w14:paraId="32C27F91">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采购项目名称：</w:t>
            </w:r>
            <w:r>
              <w:rPr>
                <w:rFonts w:hint="eastAsia" w:ascii="宋体" w:hAnsi="宋体" w:eastAsia="宋体" w:cs="宋体"/>
                <w:sz w:val="24"/>
                <w:szCs w:val="24"/>
                <w:highlight w:val="none"/>
                <w:lang w:eastAsia="zh-CN"/>
              </w:rPr>
              <w:t>保靖县白云山自然保护区片区城镇垃圾收集转运设施设备采购项目（第四批）</w:t>
            </w:r>
          </w:p>
          <w:p w14:paraId="04B7355C">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政府采购编</w:t>
            </w:r>
            <w:r>
              <w:rPr>
                <w:rFonts w:hint="eastAsia" w:ascii="宋体" w:hAnsi="宋体" w:eastAsia="宋体" w:cs="宋体"/>
                <w:sz w:val="24"/>
                <w:szCs w:val="24"/>
                <w:highlight w:val="none"/>
                <w:lang w:eastAsia="zh-CN"/>
              </w:rPr>
              <w:t>号：(2026)433125000008-1</w:t>
            </w:r>
          </w:p>
          <w:p w14:paraId="35565830">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采购代理编号：</w:t>
            </w:r>
            <w:r>
              <w:rPr>
                <w:rFonts w:hint="eastAsia" w:ascii="宋体" w:hAnsi="宋体" w:eastAsia="宋体" w:cs="宋体"/>
                <w:sz w:val="24"/>
                <w:szCs w:val="24"/>
                <w:highlight w:val="none"/>
                <w:lang w:val="en-US" w:eastAsia="zh-CN"/>
              </w:rPr>
              <w:t>HNTR-ZB-2026-7017</w:t>
            </w:r>
          </w:p>
        </w:tc>
      </w:tr>
      <w:tr w14:paraId="21B66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8" w:hRule="atLeast"/>
        </w:trPr>
        <w:tc>
          <w:tcPr>
            <w:tcW w:w="1430" w:type="dxa"/>
            <w:vAlign w:val="center"/>
          </w:tcPr>
          <w:p w14:paraId="2A6C5E63">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第2.1款</w:t>
            </w:r>
          </w:p>
        </w:tc>
        <w:tc>
          <w:tcPr>
            <w:tcW w:w="1619" w:type="dxa"/>
            <w:vAlign w:val="center"/>
          </w:tcPr>
          <w:p w14:paraId="202CE6F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6530" w:type="dxa"/>
            <w:gridSpan w:val="2"/>
            <w:vAlign w:val="center"/>
          </w:tcPr>
          <w:p w14:paraId="1A4F081A">
            <w:pPr>
              <w:pStyle w:val="2"/>
              <w:keepNext w:val="0"/>
              <w:keepLines w:val="0"/>
              <w:pageBreakBefore w:val="0"/>
              <w:widowControl/>
              <w:kinsoku/>
              <w:wordWrap w:val="0"/>
              <w:overflowPunct/>
              <w:topLinePunct w:val="0"/>
              <w:autoSpaceDE/>
              <w:autoSpaceDN/>
              <w:bidi w:val="0"/>
              <w:adjustRightInd w:val="0"/>
              <w:snapToGrid w:val="0"/>
              <w:spacing w:before="87" w:afterAutospacing="0" w:line="400" w:lineRule="exact"/>
              <w:textAlignment w:val="baseline"/>
              <w:rPr>
                <w:rFonts w:hint="eastAsia" w:eastAsia="宋体"/>
                <w:sz w:val="24"/>
                <w:szCs w:val="24"/>
                <w:highlight w:val="none"/>
                <w:lang w:eastAsia="zh-CN"/>
              </w:rPr>
            </w:pPr>
            <w:r>
              <w:rPr>
                <w:spacing w:val="-5"/>
                <w:sz w:val="24"/>
                <w:szCs w:val="24"/>
                <w:highlight w:val="none"/>
              </w:rPr>
              <w:t>名称：</w:t>
            </w:r>
            <w:r>
              <w:rPr>
                <w:rFonts w:hint="eastAsia" w:ascii="宋体" w:hAnsi="宋体" w:eastAsia="宋体" w:cs="宋体"/>
                <w:spacing w:val="-1"/>
                <w:sz w:val="24"/>
                <w:szCs w:val="24"/>
                <w:highlight w:val="none"/>
                <w:lang w:eastAsia="zh-CN"/>
              </w:rPr>
              <w:t>白云山国家级自然保护区管理局</w:t>
            </w:r>
          </w:p>
          <w:p w14:paraId="56BBE4EE">
            <w:pPr>
              <w:pStyle w:val="2"/>
              <w:keepNext w:val="0"/>
              <w:keepLines w:val="0"/>
              <w:pageBreakBefore w:val="0"/>
              <w:widowControl/>
              <w:kinsoku/>
              <w:wordWrap w:val="0"/>
              <w:overflowPunct/>
              <w:topLinePunct w:val="0"/>
              <w:autoSpaceDE/>
              <w:autoSpaceDN/>
              <w:bidi w:val="0"/>
              <w:adjustRightInd w:val="0"/>
              <w:snapToGrid w:val="0"/>
              <w:spacing w:before="149" w:afterAutospacing="0" w:line="400" w:lineRule="exact"/>
              <w:textAlignment w:val="baseline"/>
              <w:rPr>
                <w:rFonts w:hint="eastAsia" w:ascii="宋体" w:hAnsi="宋体" w:eastAsia="宋体" w:cs="宋体"/>
                <w:spacing w:val="-1"/>
                <w:sz w:val="24"/>
                <w:szCs w:val="24"/>
                <w:highlight w:val="none"/>
                <w:lang w:eastAsia="zh-CN"/>
              </w:rPr>
            </w:pPr>
            <w:r>
              <w:rPr>
                <w:spacing w:val="-4"/>
                <w:sz w:val="24"/>
                <w:szCs w:val="24"/>
                <w:highlight w:val="none"/>
              </w:rPr>
              <w:t>地址：</w:t>
            </w:r>
            <w:r>
              <w:rPr>
                <w:rFonts w:hint="eastAsia" w:ascii="宋体" w:hAnsi="宋体" w:eastAsia="宋体" w:cs="宋体"/>
                <w:spacing w:val="-1"/>
                <w:sz w:val="24"/>
                <w:szCs w:val="24"/>
                <w:highlight w:val="none"/>
                <w:lang w:eastAsia="zh-CN"/>
              </w:rPr>
              <w:t>保靖县酉水北路86号</w:t>
            </w:r>
          </w:p>
          <w:p w14:paraId="2F1EBBD4">
            <w:pPr>
              <w:pStyle w:val="2"/>
              <w:keepNext w:val="0"/>
              <w:keepLines w:val="0"/>
              <w:pageBreakBefore w:val="0"/>
              <w:widowControl/>
              <w:kinsoku/>
              <w:wordWrap w:val="0"/>
              <w:overflowPunct/>
              <w:topLinePunct w:val="0"/>
              <w:autoSpaceDE/>
              <w:autoSpaceDN/>
              <w:bidi w:val="0"/>
              <w:adjustRightInd w:val="0"/>
              <w:snapToGrid w:val="0"/>
              <w:spacing w:before="149" w:afterAutospacing="0" w:line="400" w:lineRule="exact"/>
              <w:textAlignment w:val="baseline"/>
              <w:rPr>
                <w:rFonts w:hint="eastAsia" w:eastAsia="宋体"/>
                <w:sz w:val="24"/>
                <w:szCs w:val="24"/>
                <w:highlight w:val="none"/>
                <w:lang w:eastAsia="zh-CN"/>
              </w:rPr>
            </w:pPr>
            <w:r>
              <w:rPr>
                <w:spacing w:val="-7"/>
                <w:sz w:val="24"/>
                <w:szCs w:val="24"/>
                <w:highlight w:val="none"/>
              </w:rPr>
              <w:t>联系人：</w:t>
            </w:r>
            <w:r>
              <w:rPr>
                <w:rFonts w:hint="eastAsia" w:ascii="宋体" w:hAnsi="宋体" w:eastAsia="宋体" w:cs="宋体"/>
                <w:spacing w:val="-1"/>
                <w:sz w:val="24"/>
                <w:szCs w:val="24"/>
                <w:highlight w:val="none"/>
                <w:lang w:eastAsia="zh-CN"/>
              </w:rPr>
              <w:t>杜先生</w:t>
            </w:r>
            <w:r>
              <w:rPr>
                <w:rFonts w:hint="eastAsia"/>
                <w:spacing w:val="-7"/>
                <w:sz w:val="24"/>
                <w:szCs w:val="24"/>
                <w:highlight w:val="none"/>
                <w:lang w:val="en-US" w:eastAsia="zh-CN"/>
              </w:rPr>
              <w:t xml:space="preserve"> </w:t>
            </w:r>
          </w:p>
          <w:p w14:paraId="4542EE37">
            <w:pPr>
              <w:pStyle w:val="2"/>
              <w:keepNext w:val="0"/>
              <w:keepLines w:val="0"/>
              <w:pageBreakBefore w:val="0"/>
              <w:widowControl/>
              <w:kinsoku/>
              <w:wordWrap w:val="0"/>
              <w:overflowPunct/>
              <w:topLinePunct w:val="0"/>
              <w:autoSpaceDE/>
              <w:autoSpaceDN/>
              <w:bidi w:val="0"/>
              <w:adjustRightInd w:val="0"/>
              <w:snapToGrid w:val="0"/>
              <w:spacing w:before="152" w:afterAutospacing="0" w:line="400" w:lineRule="exact"/>
              <w:textAlignment w:val="baseline"/>
              <w:rPr>
                <w:rFonts w:hint="eastAsia" w:eastAsia="宋体"/>
                <w:sz w:val="24"/>
                <w:szCs w:val="24"/>
                <w:highlight w:val="none"/>
                <w:lang w:eastAsia="zh-CN"/>
              </w:rPr>
            </w:pPr>
            <w:r>
              <w:rPr>
                <w:spacing w:val="-7"/>
                <w:sz w:val="24"/>
                <w:szCs w:val="24"/>
                <w:highlight w:val="none"/>
              </w:rPr>
              <w:t>电话：</w:t>
            </w:r>
            <w:r>
              <w:rPr>
                <w:rFonts w:hint="eastAsia" w:ascii="宋体" w:hAnsi="宋体" w:eastAsia="宋体" w:cs="宋体"/>
                <w:spacing w:val="-1"/>
                <w:sz w:val="24"/>
                <w:szCs w:val="24"/>
                <w:highlight w:val="none"/>
                <w:lang w:eastAsia="zh-CN"/>
              </w:rPr>
              <w:t>0743</w:t>
            </w:r>
            <w:r>
              <w:rPr>
                <w:rFonts w:hint="eastAsia" w:ascii="宋体" w:hAnsi="宋体" w:eastAsia="宋体" w:cs="宋体"/>
                <w:spacing w:val="-1"/>
                <w:sz w:val="24"/>
                <w:szCs w:val="24"/>
                <w:highlight w:val="none"/>
                <w:lang w:val="en-US" w:eastAsia="zh-CN"/>
              </w:rPr>
              <w:t>-</w:t>
            </w:r>
            <w:r>
              <w:rPr>
                <w:rFonts w:hint="eastAsia" w:ascii="宋体" w:hAnsi="宋体" w:eastAsia="宋体" w:cs="宋体"/>
                <w:spacing w:val="-1"/>
                <w:sz w:val="24"/>
                <w:szCs w:val="24"/>
                <w:highlight w:val="none"/>
                <w:lang w:eastAsia="zh-CN"/>
              </w:rPr>
              <w:t>7721865</w:t>
            </w:r>
          </w:p>
          <w:p w14:paraId="59FC49D3">
            <w:pPr>
              <w:pStyle w:val="2"/>
              <w:keepNext w:val="0"/>
              <w:keepLines w:val="0"/>
              <w:pageBreakBefore w:val="0"/>
              <w:widowControl/>
              <w:kinsoku/>
              <w:wordWrap w:val="0"/>
              <w:overflowPunct/>
              <w:topLinePunct w:val="0"/>
              <w:autoSpaceDE/>
              <w:autoSpaceDN/>
              <w:bidi w:val="0"/>
              <w:adjustRightInd w:val="0"/>
              <w:snapToGrid w:val="0"/>
              <w:spacing w:before="144" w:afterAutospacing="0" w:line="400" w:lineRule="exact"/>
              <w:textAlignment w:val="baseline"/>
              <w:rPr>
                <w:rFonts w:hint="eastAsia" w:ascii="宋体" w:hAnsi="宋体" w:eastAsia="宋体" w:cs="宋体"/>
                <w:sz w:val="24"/>
                <w:szCs w:val="24"/>
                <w:highlight w:val="none"/>
              </w:rPr>
            </w:pPr>
            <w:r>
              <w:rPr>
                <w:spacing w:val="-8"/>
                <w:sz w:val="24"/>
                <w:szCs w:val="24"/>
                <w:highlight w:val="none"/>
              </w:rPr>
              <w:t>邮编：</w:t>
            </w:r>
            <w:r>
              <w:rPr>
                <w:rFonts w:hint="eastAsia" w:ascii="宋体" w:hAnsi="宋体" w:eastAsia="宋体" w:cs="宋体"/>
                <w:spacing w:val="-1"/>
                <w:sz w:val="24"/>
                <w:szCs w:val="24"/>
                <w:highlight w:val="none"/>
                <w:lang w:eastAsia="zh-CN"/>
              </w:rPr>
              <w:t>/</w:t>
            </w:r>
            <w:r>
              <w:rPr>
                <w:rFonts w:hint="eastAsia"/>
                <w:spacing w:val="-8"/>
                <w:sz w:val="24"/>
                <w:szCs w:val="24"/>
                <w:highlight w:val="none"/>
                <w:lang w:val="en-US" w:eastAsia="zh-CN"/>
              </w:rPr>
              <w:t xml:space="preserve"> </w:t>
            </w:r>
          </w:p>
        </w:tc>
      </w:tr>
      <w:tr w14:paraId="03714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2" w:hRule="atLeast"/>
        </w:trPr>
        <w:tc>
          <w:tcPr>
            <w:tcW w:w="1430" w:type="dxa"/>
            <w:vAlign w:val="center"/>
          </w:tcPr>
          <w:p w14:paraId="7201F8DB">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第2.2款</w:t>
            </w:r>
          </w:p>
        </w:tc>
        <w:tc>
          <w:tcPr>
            <w:tcW w:w="1619" w:type="dxa"/>
            <w:vAlign w:val="center"/>
          </w:tcPr>
          <w:p w14:paraId="072EBE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w:t>
            </w:r>
          </w:p>
        </w:tc>
        <w:tc>
          <w:tcPr>
            <w:tcW w:w="6530" w:type="dxa"/>
            <w:gridSpan w:val="2"/>
            <w:vAlign w:val="center"/>
          </w:tcPr>
          <w:p w14:paraId="1BD16198">
            <w:pPr>
              <w:pStyle w:val="2"/>
              <w:keepNext w:val="0"/>
              <w:keepLines w:val="0"/>
              <w:pageBreakBefore w:val="0"/>
              <w:widowControl/>
              <w:kinsoku/>
              <w:wordWrap w:val="0"/>
              <w:overflowPunct/>
              <w:topLinePunct w:val="0"/>
              <w:autoSpaceDE/>
              <w:autoSpaceDN/>
              <w:bidi w:val="0"/>
              <w:adjustRightInd w:val="0"/>
              <w:snapToGrid w:val="0"/>
              <w:spacing w:before="152" w:afterAutospacing="0" w:line="400" w:lineRule="exact"/>
              <w:textAlignment w:val="baseline"/>
              <w:rPr>
                <w:rFonts w:hint="eastAsia" w:eastAsia="宋体"/>
                <w:sz w:val="24"/>
                <w:szCs w:val="24"/>
                <w:highlight w:val="none"/>
                <w:lang w:eastAsia="zh-CN"/>
              </w:rPr>
            </w:pPr>
            <w:r>
              <w:rPr>
                <w:spacing w:val="-3"/>
                <w:sz w:val="24"/>
                <w:szCs w:val="24"/>
                <w:highlight w:val="none"/>
              </w:rPr>
              <w:t>名称：</w:t>
            </w:r>
            <w:r>
              <w:rPr>
                <w:rFonts w:hint="eastAsia" w:ascii="宋体" w:hAnsi="宋体" w:eastAsia="宋体" w:cs="宋体"/>
                <w:spacing w:val="-1"/>
                <w:sz w:val="24"/>
                <w:szCs w:val="24"/>
                <w:lang w:eastAsia="zh-CN"/>
              </w:rPr>
              <w:t>湖南天润招标咨询有限公司</w:t>
            </w:r>
            <w:r>
              <w:rPr>
                <w:rFonts w:hint="eastAsia"/>
                <w:spacing w:val="-3"/>
                <w:sz w:val="24"/>
                <w:szCs w:val="24"/>
                <w:highlight w:val="none"/>
                <w:lang w:val="en-US" w:eastAsia="zh-CN"/>
              </w:rPr>
              <w:t xml:space="preserve"> </w:t>
            </w:r>
          </w:p>
          <w:p w14:paraId="7DDD5E6C">
            <w:pPr>
              <w:pStyle w:val="2"/>
              <w:keepNext w:val="0"/>
              <w:keepLines w:val="0"/>
              <w:pageBreakBefore w:val="0"/>
              <w:widowControl/>
              <w:kinsoku/>
              <w:wordWrap w:val="0"/>
              <w:overflowPunct/>
              <w:topLinePunct w:val="0"/>
              <w:autoSpaceDE/>
              <w:autoSpaceDN/>
              <w:bidi w:val="0"/>
              <w:adjustRightInd w:val="0"/>
              <w:snapToGrid w:val="0"/>
              <w:spacing w:before="150" w:afterAutospacing="0" w:line="400" w:lineRule="exact"/>
              <w:textAlignment w:val="baseline"/>
              <w:rPr>
                <w:rFonts w:hint="eastAsia" w:eastAsia="宋体"/>
                <w:sz w:val="24"/>
                <w:szCs w:val="24"/>
                <w:highlight w:val="none"/>
                <w:lang w:eastAsia="zh-CN"/>
              </w:rPr>
            </w:pPr>
            <w:r>
              <w:rPr>
                <w:spacing w:val="-1"/>
                <w:sz w:val="24"/>
                <w:szCs w:val="24"/>
                <w:highlight w:val="none"/>
              </w:rPr>
              <w:t>地址：</w:t>
            </w:r>
            <w:r>
              <w:rPr>
                <w:rFonts w:hint="eastAsia" w:ascii="宋体" w:hAnsi="宋体" w:eastAsia="宋体" w:cs="宋体"/>
                <w:spacing w:val="-1"/>
                <w:sz w:val="24"/>
                <w:szCs w:val="24"/>
                <w:lang w:eastAsia="zh-CN"/>
              </w:rPr>
              <w:t>长沙市天心区芙蓉南路368号CTA财富中心12010房</w:t>
            </w:r>
            <w:r>
              <w:rPr>
                <w:rFonts w:hint="eastAsia"/>
                <w:spacing w:val="-1"/>
                <w:sz w:val="24"/>
                <w:szCs w:val="24"/>
                <w:highlight w:val="none"/>
                <w:lang w:val="en-US" w:eastAsia="zh-CN"/>
              </w:rPr>
              <w:t xml:space="preserve"> </w:t>
            </w:r>
          </w:p>
          <w:p w14:paraId="79FC983D">
            <w:pPr>
              <w:pStyle w:val="2"/>
              <w:keepNext w:val="0"/>
              <w:keepLines w:val="0"/>
              <w:pageBreakBefore w:val="0"/>
              <w:widowControl/>
              <w:kinsoku/>
              <w:wordWrap w:val="0"/>
              <w:overflowPunct/>
              <w:topLinePunct w:val="0"/>
              <w:autoSpaceDE/>
              <w:autoSpaceDN/>
              <w:bidi w:val="0"/>
              <w:adjustRightInd w:val="0"/>
              <w:snapToGrid w:val="0"/>
              <w:spacing w:before="150" w:afterAutospacing="0" w:line="400" w:lineRule="exact"/>
              <w:textAlignment w:val="baseline"/>
              <w:rPr>
                <w:rFonts w:hint="eastAsia" w:eastAsia="宋体"/>
                <w:sz w:val="24"/>
                <w:szCs w:val="24"/>
                <w:highlight w:val="none"/>
                <w:lang w:eastAsia="zh-CN"/>
              </w:rPr>
            </w:pPr>
            <w:r>
              <w:rPr>
                <w:spacing w:val="-3"/>
                <w:sz w:val="24"/>
                <w:szCs w:val="24"/>
                <w:highlight w:val="none"/>
              </w:rPr>
              <w:t>联系人：</w:t>
            </w:r>
            <w:r>
              <w:rPr>
                <w:rFonts w:hint="eastAsia" w:ascii="宋体" w:hAnsi="宋体" w:eastAsia="宋体" w:cs="宋体"/>
                <w:spacing w:val="-1"/>
                <w:sz w:val="24"/>
                <w:szCs w:val="24"/>
                <w:lang w:eastAsia="zh-CN"/>
              </w:rPr>
              <w:t>张</w:t>
            </w:r>
            <w:r>
              <w:rPr>
                <w:rFonts w:hint="eastAsia" w:cs="宋体"/>
                <w:spacing w:val="-1"/>
                <w:sz w:val="24"/>
                <w:szCs w:val="24"/>
                <w:lang w:val="en-US" w:eastAsia="zh-CN"/>
              </w:rPr>
              <w:t>峰</w:t>
            </w:r>
            <w:r>
              <w:rPr>
                <w:rFonts w:hint="eastAsia" w:cs="宋体"/>
                <w:spacing w:val="-1"/>
                <w:sz w:val="24"/>
                <w:szCs w:val="24"/>
                <w:lang w:eastAsia="zh-CN"/>
              </w:rPr>
              <w:t>、</w:t>
            </w:r>
            <w:r>
              <w:rPr>
                <w:rFonts w:hint="eastAsia" w:cs="宋体"/>
                <w:spacing w:val="-1"/>
                <w:sz w:val="24"/>
                <w:szCs w:val="24"/>
                <w:lang w:val="en-US" w:eastAsia="zh-CN"/>
              </w:rPr>
              <w:t>毛军杰、廖桥梁、顾兰艳</w:t>
            </w:r>
            <w:r>
              <w:rPr>
                <w:rFonts w:hint="eastAsia"/>
                <w:spacing w:val="-3"/>
                <w:sz w:val="24"/>
                <w:szCs w:val="24"/>
                <w:highlight w:val="none"/>
                <w:lang w:val="en-US" w:eastAsia="zh-CN"/>
              </w:rPr>
              <w:t xml:space="preserve"> </w:t>
            </w:r>
          </w:p>
          <w:p w14:paraId="571972CC">
            <w:pPr>
              <w:pStyle w:val="2"/>
              <w:keepNext w:val="0"/>
              <w:keepLines w:val="0"/>
              <w:pageBreakBefore w:val="0"/>
              <w:widowControl/>
              <w:kinsoku/>
              <w:wordWrap w:val="0"/>
              <w:overflowPunct/>
              <w:topLinePunct w:val="0"/>
              <w:autoSpaceDE/>
              <w:autoSpaceDN/>
              <w:bidi w:val="0"/>
              <w:adjustRightInd w:val="0"/>
              <w:snapToGrid w:val="0"/>
              <w:spacing w:before="153" w:afterAutospacing="0" w:line="400" w:lineRule="exact"/>
              <w:textAlignment w:val="baseline"/>
              <w:rPr>
                <w:sz w:val="24"/>
                <w:szCs w:val="24"/>
                <w:highlight w:val="none"/>
              </w:rPr>
            </w:pPr>
            <w:r>
              <w:rPr>
                <w:spacing w:val="-6"/>
                <w:sz w:val="24"/>
                <w:szCs w:val="24"/>
                <w:highlight w:val="none"/>
              </w:rPr>
              <w:t>邮编：</w:t>
            </w:r>
            <w:r>
              <w:rPr>
                <w:rFonts w:hint="eastAsia" w:ascii="宋体" w:hAnsi="宋体" w:eastAsia="宋体" w:cs="宋体"/>
                <w:spacing w:val="-1"/>
                <w:sz w:val="24"/>
                <w:szCs w:val="24"/>
                <w:lang w:eastAsia="zh-CN"/>
              </w:rPr>
              <w:t>/</w:t>
            </w:r>
            <w:r>
              <w:rPr>
                <w:rFonts w:hint="eastAsia"/>
                <w:spacing w:val="-6"/>
                <w:sz w:val="24"/>
                <w:szCs w:val="24"/>
                <w:highlight w:val="none"/>
                <w:lang w:val="en-US" w:eastAsia="zh-CN"/>
              </w:rPr>
              <w:t xml:space="preserve"> </w:t>
            </w:r>
          </w:p>
          <w:p w14:paraId="3102A6D1">
            <w:pPr>
              <w:pStyle w:val="2"/>
              <w:keepNext w:val="0"/>
              <w:keepLines w:val="0"/>
              <w:pageBreakBefore w:val="0"/>
              <w:widowControl/>
              <w:kinsoku/>
              <w:wordWrap w:val="0"/>
              <w:overflowPunct/>
              <w:topLinePunct w:val="0"/>
              <w:autoSpaceDE/>
              <w:autoSpaceDN/>
              <w:bidi w:val="0"/>
              <w:adjustRightInd w:val="0"/>
              <w:snapToGrid w:val="0"/>
              <w:spacing w:before="152" w:afterAutospacing="0" w:line="400" w:lineRule="exact"/>
              <w:textAlignment w:val="baseline"/>
              <w:rPr>
                <w:rFonts w:hint="eastAsia" w:ascii="宋体" w:hAnsi="宋体" w:eastAsia="宋体" w:cs="宋体"/>
                <w:sz w:val="24"/>
                <w:szCs w:val="24"/>
                <w:highlight w:val="none"/>
              </w:rPr>
            </w:pPr>
            <w:r>
              <w:rPr>
                <w:spacing w:val="-6"/>
                <w:sz w:val="24"/>
                <w:szCs w:val="24"/>
                <w:highlight w:val="none"/>
              </w:rPr>
              <w:t>电话：</w:t>
            </w:r>
            <w:r>
              <w:rPr>
                <w:rFonts w:hint="eastAsia" w:cs="宋体"/>
                <w:spacing w:val="-1"/>
                <w:sz w:val="24"/>
                <w:szCs w:val="24"/>
                <w:lang w:val="en-US" w:eastAsia="zh-CN"/>
              </w:rPr>
              <w:t>0731-85576969、13667320198</w:t>
            </w:r>
          </w:p>
        </w:tc>
      </w:tr>
      <w:tr w14:paraId="266EA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430" w:type="dxa"/>
            <w:vAlign w:val="center"/>
          </w:tcPr>
          <w:p w14:paraId="6ABEEF49">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w:t>
            </w:r>
            <w:r>
              <w:rPr>
                <w:rFonts w:hint="eastAsia" w:ascii="宋体" w:hAnsi="宋体" w:eastAsia="宋体" w:cs="宋体"/>
                <w:sz w:val="24"/>
                <w:szCs w:val="24"/>
                <w:lang w:val="en-US" w:eastAsia="zh-CN"/>
              </w:rPr>
              <w:t>7</w:t>
            </w:r>
            <w:r>
              <w:rPr>
                <w:rFonts w:hint="eastAsia" w:ascii="宋体" w:hAnsi="宋体" w:eastAsia="宋体" w:cs="宋体"/>
                <w:sz w:val="24"/>
                <w:szCs w:val="24"/>
              </w:rPr>
              <w:t>款</w:t>
            </w:r>
          </w:p>
        </w:tc>
        <w:tc>
          <w:tcPr>
            <w:tcW w:w="1619" w:type="dxa"/>
            <w:vAlign w:val="center"/>
          </w:tcPr>
          <w:p w14:paraId="180218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采购进口产品</w:t>
            </w:r>
          </w:p>
        </w:tc>
        <w:tc>
          <w:tcPr>
            <w:tcW w:w="6530" w:type="dxa"/>
            <w:gridSpan w:val="2"/>
            <w:vAlign w:val="center"/>
          </w:tcPr>
          <w:p w14:paraId="517B831D">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本项目不接受进口产品。</w:t>
            </w:r>
          </w:p>
        </w:tc>
      </w:tr>
      <w:tr w14:paraId="080E4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430" w:type="dxa"/>
            <w:vAlign w:val="center"/>
          </w:tcPr>
          <w:p w14:paraId="30BE9AAD">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第3.2款</w:t>
            </w:r>
          </w:p>
        </w:tc>
        <w:tc>
          <w:tcPr>
            <w:tcW w:w="1619" w:type="dxa"/>
            <w:vAlign w:val="center"/>
          </w:tcPr>
          <w:p w14:paraId="7436F14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6530" w:type="dxa"/>
            <w:gridSpan w:val="2"/>
            <w:vAlign w:val="center"/>
          </w:tcPr>
          <w:p w14:paraId="7DB09D09">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本项目不接受联合体参加投标。</w:t>
            </w:r>
          </w:p>
        </w:tc>
      </w:tr>
      <w:tr w14:paraId="053DF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1430" w:type="dxa"/>
            <w:vAlign w:val="center"/>
          </w:tcPr>
          <w:p w14:paraId="0F018C16">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第6.2款</w:t>
            </w:r>
          </w:p>
        </w:tc>
        <w:tc>
          <w:tcPr>
            <w:tcW w:w="1619" w:type="dxa"/>
            <w:vAlign w:val="center"/>
          </w:tcPr>
          <w:p w14:paraId="505EA34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组织现场考察或者召开答疑会</w:t>
            </w:r>
          </w:p>
        </w:tc>
        <w:tc>
          <w:tcPr>
            <w:tcW w:w="6530" w:type="dxa"/>
            <w:gridSpan w:val="2"/>
            <w:vAlign w:val="center"/>
          </w:tcPr>
          <w:p w14:paraId="09D4C585">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无</w:t>
            </w:r>
          </w:p>
        </w:tc>
      </w:tr>
      <w:tr w14:paraId="0C45F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9579" w:type="dxa"/>
            <w:gridSpan w:val="4"/>
            <w:vAlign w:val="center"/>
          </w:tcPr>
          <w:p w14:paraId="44B345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二、招标文件</w:t>
            </w:r>
          </w:p>
        </w:tc>
      </w:tr>
      <w:tr w14:paraId="0120C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430" w:type="dxa"/>
            <w:vAlign w:val="center"/>
          </w:tcPr>
          <w:p w14:paraId="55F06C11">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第7.2款</w:t>
            </w:r>
          </w:p>
        </w:tc>
        <w:tc>
          <w:tcPr>
            <w:tcW w:w="1619" w:type="dxa"/>
            <w:vAlign w:val="center"/>
          </w:tcPr>
          <w:p w14:paraId="0182236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提交投标文件截止时间</w:t>
            </w:r>
          </w:p>
        </w:tc>
        <w:tc>
          <w:tcPr>
            <w:tcW w:w="6530" w:type="dxa"/>
            <w:gridSpan w:val="2"/>
            <w:vAlign w:val="center"/>
          </w:tcPr>
          <w:p w14:paraId="47FD6F0A">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分（北京时间）</w:t>
            </w:r>
          </w:p>
        </w:tc>
      </w:tr>
      <w:tr w14:paraId="70151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2348" w:hRule="atLeast"/>
        </w:trPr>
        <w:tc>
          <w:tcPr>
            <w:tcW w:w="1430" w:type="dxa"/>
            <w:vAlign w:val="center"/>
          </w:tcPr>
          <w:p w14:paraId="4B08C28D">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第21.3款</w:t>
            </w:r>
          </w:p>
        </w:tc>
        <w:tc>
          <w:tcPr>
            <w:tcW w:w="1619" w:type="dxa"/>
            <w:vAlign w:val="center"/>
          </w:tcPr>
          <w:p w14:paraId="4E9F29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解密电子投标文件时限及方式</w:t>
            </w:r>
          </w:p>
        </w:tc>
        <w:tc>
          <w:tcPr>
            <w:tcW w:w="6515" w:type="dxa"/>
            <w:vAlign w:val="center"/>
          </w:tcPr>
          <w:p w14:paraId="74FB5DB6">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供应商使用加密投标文件的CA数字证书在投标截止时间起30分钟内完成投标文件的解密，投标文件在解密时限内未解密或解密失败,视为撤销其投标文件，开标继续进行。(如因交易平台出现系统故障,导致解密无法完成的,由采购代理机构酌情延长解密时间)。</w:t>
            </w:r>
          </w:p>
        </w:tc>
      </w:tr>
      <w:tr w14:paraId="077B6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412" w:hRule="atLeast"/>
        </w:trPr>
        <w:tc>
          <w:tcPr>
            <w:tcW w:w="1430" w:type="dxa"/>
            <w:vAlign w:val="center"/>
          </w:tcPr>
          <w:p w14:paraId="6293EED0">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第8.4款</w:t>
            </w:r>
          </w:p>
        </w:tc>
        <w:tc>
          <w:tcPr>
            <w:tcW w:w="1619" w:type="dxa"/>
            <w:vAlign w:val="center"/>
          </w:tcPr>
          <w:p w14:paraId="34E42B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非实质性偏离的范围和幅度</w:t>
            </w:r>
          </w:p>
        </w:tc>
        <w:tc>
          <w:tcPr>
            <w:tcW w:w="6515" w:type="dxa"/>
            <w:vAlign w:val="center"/>
          </w:tcPr>
          <w:p w14:paraId="24EB319A">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highlight w:val="none"/>
                <w:lang w:eastAsia="zh-CN"/>
              </w:rPr>
            </w:pPr>
            <w:r>
              <w:rPr>
                <w:rFonts w:hint="eastAsia" w:ascii="宋体" w:hAnsi="宋体" w:eastAsia="宋体" w:cs="宋体"/>
                <w:b/>
                <w:bCs/>
                <w:sz w:val="24"/>
                <w:szCs w:val="24"/>
              </w:rPr>
              <w:t>各条款偏离项数之和</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10</w:t>
            </w:r>
            <w:r>
              <w:rPr>
                <w:rFonts w:hint="eastAsia" w:ascii="宋体" w:hAnsi="宋体" w:eastAsia="宋体" w:cs="宋体"/>
                <w:b/>
                <w:bCs/>
                <w:sz w:val="24"/>
                <w:szCs w:val="24"/>
              </w:rPr>
              <w:t>项将导致无效投标；</w:t>
            </w:r>
            <w:r>
              <w:rPr>
                <w:rFonts w:hint="eastAsia" w:ascii="宋体" w:hAnsi="宋体" w:eastAsia="宋体" w:cs="宋体"/>
                <w:sz w:val="24"/>
                <w:szCs w:val="24"/>
              </w:rPr>
              <w:t>用“★ ”符号标明的条款为实质性要求和条件，对其中任何一条的偏离，为实质性偏离，其投标无效。</w:t>
            </w:r>
          </w:p>
        </w:tc>
      </w:tr>
      <w:tr w14:paraId="2943A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328" w:hRule="atLeast"/>
        </w:trPr>
        <w:tc>
          <w:tcPr>
            <w:tcW w:w="1430" w:type="dxa"/>
            <w:vAlign w:val="center"/>
          </w:tcPr>
          <w:p w14:paraId="7EF52F51">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第10.1款</w:t>
            </w:r>
          </w:p>
        </w:tc>
        <w:tc>
          <w:tcPr>
            <w:tcW w:w="1619" w:type="dxa"/>
            <w:vAlign w:val="center"/>
          </w:tcPr>
          <w:p w14:paraId="7799CC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发布信息媒体</w:t>
            </w:r>
          </w:p>
        </w:tc>
        <w:tc>
          <w:tcPr>
            <w:tcW w:w="6515" w:type="dxa"/>
            <w:vAlign w:val="center"/>
          </w:tcPr>
          <w:p w14:paraId="46EBB796">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《湘西土家族苗族自治州公共资源交易中心》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"http://ggzyjy.xxz.gov.cn" </w:instrText>
            </w:r>
            <w:r>
              <w:rPr>
                <w:rFonts w:hint="eastAsia" w:ascii="宋体" w:hAnsi="宋体" w:eastAsia="宋体" w:cs="宋体"/>
                <w:sz w:val="24"/>
                <w:szCs w:val="24"/>
              </w:rPr>
              <w:fldChar w:fldCharType="separate"/>
            </w:r>
            <w:r>
              <w:rPr>
                <w:rFonts w:hint="eastAsia" w:ascii="宋体" w:hAnsi="宋体" w:eastAsia="宋体" w:cs="宋体"/>
                <w:sz w:val="24"/>
                <w:szCs w:val="24"/>
              </w:rPr>
              <w:t>http://ggzyjy.xxz.gov.cn</w:t>
            </w:r>
            <w:r>
              <w:rPr>
                <w:rFonts w:hint="eastAsia" w:ascii="宋体" w:hAnsi="宋体" w:eastAsia="宋体" w:cs="宋体"/>
                <w:sz w:val="24"/>
                <w:szCs w:val="24"/>
              </w:rPr>
              <w:fldChar w:fldCharType="end"/>
            </w:r>
          </w:p>
          <w:p w14:paraId="4B4481FC">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《中国湖南政府采购网》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"https://www.ccgp-hunan.gov.cn"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www.ccgp-hunan.gov.cn</w:t>
            </w:r>
            <w:r>
              <w:rPr>
                <w:rFonts w:hint="eastAsia" w:ascii="宋体" w:hAnsi="宋体" w:eastAsia="宋体" w:cs="宋体"/>
                <w:sz w:val="24"/>
                <w:szCs w:val="24"/>
              </w:rPr>
              <w:fldChar w:fldCharType="end"/>
            </w:r>
          </w:p>
        </w:tc>
      </w:tr>
      <w:tr w14:paraId="71F9A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6DF7FF7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三、投标文件</w:t>
            </w:r>
          </w:p>
        </w:tc>
      </w:tr>
      <w:tr w14:paraId="13684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5" w:hRule="atLeast"/>
        </w:trPr>
        <w:tc>
          <w:tcPr>
            <w:tcW w:w="1430" w:type="dxa"/>
            <w:vAlign w:val="center"/>
          </w:tcPr>
          <w:p w14:paraId="0810B95D">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第14.2款</w:t>
            </w:r>
          </w:p>
        </w:tc>
        <w:tc>
          <w:tcPr>
            <w:tcW w:w="1619" w:type="dxa"/>
            <w:shd w:val="clear" w:color="auto" w:fill="auto"/>
            <w:vAlign w:val="center"/>
          </w:tcPr>
          <w:p w14:paraId="18AA9D0B">
            <w:pPr>
              <w:pStyle w:val="21"/>
              <w:spacing w:before="68" w:line="360" w:lineRule="auto"/>
              <w:ind w:left="137"/>
              <w:jc w:val="both"/>
              <w:rPr>
                <w:rFonts w:hint="eastAsia" w:ascii="宋体" w:hAnsi="宋体" w:eastAsia="宋体" w:cs="宋体"/>
                <w:snapToGrid w:val="0"/>
                <w:color w:val="000000"/>
                <w:kern w:val="0"/>
                <w:sz w:val="24"/>
                <w:szCs w:val="24"/>
                <w:highlight w:val="none"/>
                <w:lang w:val="en-US" w:eastAsia="en-US" w:bidi="ar-SA"/>
              </w:rPr>
            </w:pPr>
            <w:r>
              <w:rPr>
                <w:spacing w:val="-2"/>
                <w:highlight w:val="none"/>
              </w:rPr>
              <w:t>采购项目预算、最高</w:t>
            </w:r>
            <w:r>
              <w:rPr>
                <w:spacing w:val="-6"/>
                <w:highlight w:val="none"/>
              </w:rPr>
              <w:t>限价</w:t>
            </w:r>
          </w:p>
        </w:tc>
        <w:tc>
          <w:tcPr>
            <w:tcW w:w="6515" w:type="dxa"/>
            <w:shd w:val="clear" w:color="auto" w:fill="auto"/>
            <w:vAlign w:val="center"/>
          </w:tcPr>
          <w:p w14:paraId="1C2B947E">
            <w:pPr>
              <w:pStyle w:val="21"/>
              <w:spacing w:before="181" w:line="346" w:lineRule="auto"/>
              <w:ind w:left="123" w:right="169" w:hanging="6"/>
              <w:rPr>
                <w:color w:val="auto"/>
                <w:spacing w:val="2"/>
                <w:lang w:eastAsia="zh-CN"/>
              </w:rPr>
            </w:pPr>
            <w:r>
              <w:rPr>
                <w:color w:val="auto"/>
                <w:spacing w:val="2"/>
                <w:lang w:eastAsia="zh-CN"/>
              </w:rPr>
              <w:t>采购预算：</w:t>
            </w:r>
            <w:r>
              <w:rPr>
                <w:rFonts w:hint="eastAsia"/>
                <w:color w:val="auto"/>
                <w:spacing w:val="2"/>
                <w:lang w:val="en-US" w:eastAsia="zh-CN"/>
              </w:rPr>
              <w:t>44.66</w:t>
            </w:r>
            <w:r>
              <w:rPr>
                <w:color w:val="auto"/>
                <w:spacing w:val="2"/>
                <w:lang w:eastAsia="zh-CN"/>
              </w:rPr>
              <w:t>万元</w:t>
            </w:r>
          </w:p>
          <w:p w14:paraId="793241C0">
            <w:pPr>
              <w:pStyle w:val="21"/>
              <w:spacing w:before="181" w:line="346" w:lineRule="auto"/>
              <w:ind w:left="123" w:right="169" w:hanging="6"/>
              <w:rPr>
                <w:color w:val="auto"/>
                <w:spacing w:val="2"/>
                <w:lang w:eastAsia="zh-CN"/>
              </w:rPr>
            </w:pPr>
            <w:r>
              <w:rPr>
                <w:color w:val="auto"/>
                <w:spacing w:val="2"/>
                <w:lang w:eastAsia="zh-CN"/>
              </w:rPr>
              <w:t>最高限价</w:t>
            </w:r>
            <w:r>
              <w:rPr>
                <w:rFonts w:hint="eastAsia"/>
                <w:color w:val="auto"/>
                <w:spacing w:val="2"/>
                <w:lang w:eastAsia="zh-CN"/>
              </w:rPr>
              <w:t>：</w:t>
            </w:r>
            <w:r>
              <w:rPr>
                <w:rFonts w:hint="eastAsia"/>
                <w:color w:val="auto"/>
                <w:spacing w:val="2"/>
                <w:lang w:val="en-US" w:eastAsia="zh-CN"/>
              </w:rPr>
              <w:t>44.66</w:t>
            </w:r>
            <w:r>
              <w:rPr>
                <w:color w:val="auto"/>
                <w:spacing w:val="2"/>
                <w:lang w:eastAsia="zh-CN"/>
              </w:rPr>
              <w:t>万元</w:t>
            </w:r>
          </w:p>
          <w:p w14:paraId="6C3AE9C0">
            <w:pPr>
              <w:pStyle w:val="21"/>
              <w:spacing w:before="105" w:line="360" w:lineRule="auto"/>
              <w:ind w:left="109" w:leftChars="0" w:right="113" w:rightChars="0"/>
              <w:jc w:val="both"/>
              <w:rPr>
                <w:rFonts w:hint="eastAsia" w:ascii="宋体" w:hAnsi="宋体" w:eastAsia="宋体" w:cs="宋体"/>
                <w:snapToGrid w:val="0"/>
                <w:color w:val="000000"/>
                <w:kern w:val="0"/>
                <w:sz w:val="24"/>
                <w:szCs w:val="24"/>
                <w:highlight w:val="none"/>
                <w:lang w:val="en-US" w:eastAsia="en-US" w:bidi="ar-SA"/>
              </w:rPr>
            </w:pPr>
            <w:r>
              <w:rPr>
                <w:spacing w:val="2"/>
                <w:lang w:eastAsia="zh-CN"/>
              </w:rPr>
              <w:t>本项目投标报价不得超过总预算和最高限价（如有设定）， 否则将视为无效投标。</w:t>
            </w:r>
          </w:p>
        </w:tc>
      </w:tr>
      <w:tr w14:paraId="0186C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6" w:hRule="atLeast"/>
        </w:trPr>
        <w:tc>
          <w:tcPr>
            <w:tcW w:w="1430" w:type="dxa"/>
            <w:vAlign w:val="center"/>
          </w:tcPr>
          <w:p w14:paraId="27898AF6">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第14.8款</w:t>
            </w:r>
          </w:p>
        </w:tc>
        <w:tc>
          <w:tcPr>
            <w:tcW w:w="1619" w:type="dxa"/>
            <w:vAlign w:val="center"/>
          </w:tcPr>
          <w:p w14:paraId="00B40D6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投标报价的其他要求</w:t>
            </w:r>
          </w:p>
        </w:tc>
        <w:tc>
          <w:tcPr>
            <w:tcW w:w="6515" w:type="dxa"/>
            <w:vAlign w:val="center"/>
          </w:tcPr>
          <w:p w14:paraId="5E23E265">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无</w:t>
            </w:r>
          </w:p>
        </w:tc>
      </w:tr>
      <w:tr w14:paraId="2B57C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08" w:hRule="atLeast"/>
        </w:trPr>
        <w:tc>
          <w:tcPr>
            <w:tcW w:w="1430" w:type="dxa"/>
            <w:vAlign w:val="center"/>
          </w:tcPr>
          <w:p w14:paraId="0DC69CC1">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第15.1款</w:t>
            </w:r>
          </w:p>
        </w:tc>
        <w:tc>
          <w:tcPr>
            <w:tcW w:w="1619" w:type="dxa"/>
            <w:vAlign w:val="center"/>
          </w:tcPr>
          <w:p w14:paraId="1A31249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投标供应商应提供资格审查资料</w:t>
            </w:r>
          </w:p>
        </w:tc>
        <w:tc>
          <w:tcPr>
            <w:tcW w:w="6515" w:type="dxa"/>
            <w:vAlign w:val="center"/>
          </w:tcPr>
          <w:p w14:paraId="2108FB1E">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1、法人或者其他组织的营业执照等主体资格证明文件，自然人的身份证明：投标供应商为法人的，应提交营业执照或法人登记证书的复印件；投标供应商为非法人组织的，应提交依法登记证书复印件；投标供应商为个体工商户的，应提交个体工商户营业执照复印件；投标供应商为自然人的，应提交自然人的身份证明复印件；</w:t>
            </w:r>
          </w:p>
          <w:p w14:paraId="77EF6077">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2、湖南省政府采购供应商资格承诺函原件；</w:t>
            </w:r>
          </w:p>
          <w:p w14:paraId="051A5917">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3、投标供应商代表为法定代表人（单位负责人）的，应持有法定代表人（单位负责人）身份证明。投标供应商代表不是法定代表人（单位负责人）的，应持有法定代表人（单位负责人）授权书；</w:t>
            </w:r>
          </w:p>
          <w:p w14:paraId="15729722">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4、投标供应商信用记录；</w:t>
            </w:r>
          </w:p>
          <w:p w14:paraId="1B4550E4">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备注：资格证明文件复印件须加盖投标供应商公章。</w:t>
            </w:r>
          </w:p>
        </w:tc>
      </w:tr>
      <w:tr w14:paraId="2F507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256" w:hRule="atLeast"/>
        </w:trPr>
        <w:tc>
          <w:tcPr>
            <w:tcW w:w="1430" w:type="dxa"/>
            <w:vAlign w:val="center"/>
          </w:tcPr>
          <w:p w14:paraId="61560FFD">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第15.1(3)项</w:t>
            </w:r>
          </w:p>
        </w:tc>
        <w:tc>
          <w:tcPr>
            <w:tcW w:w="1619" w:type="dxa"/>
            <w:vAlign w:val="center"/>
          </w:tcPr>
          <w:p w14:paraId="722D7D6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特定资格条件应提供的资格审查资料</w:t>
            </w:r>
          </w:p>
        </w:tc>
        <w:tc>
          <w:tcPr>
            <w:tcW w:w="6515" w:type="dxa"/>
            <w:vAlign w:val="center"/>
          </w:tcPr>
          <w:p w14:paraId="32524BBD">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无</w:t>
            </w:r>
          </w:p>
        </w:tc>
      </w:tr>
      <w:tr w14:paraId="2F8F4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628" w:hRule="atLeast"/>
        </w:trPr>
        <w:tc>
          <w:tcPr>
            <w:tcW w:w="1430" w:type="dxa"/>
            <w:vAlign w:val="center"/>
          </w:tcPr>
          <w:p w14:paraId="67118BC5">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第17.1款</w:t>
            </w:r>
          </w:p>
        </w:tc>
        <w:tc>
          <w:tcPr>
            <w:tcW w:w="1619" w:type="dxa"/>
            <w:vAlign w:val="center"/>
          </w:tcPr>
          <w:p w14:paraId="6623FA7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6515" w:type="dxa"/>
            <w:vAlign w:val="center"/>
          </w:tcPr>
          <w:p w14:paraId="10780F0A">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90日（日历日）</w:t>
            </w:r>
          </w:p>
        </w:tc>
      </w:tr>
      <w:tr w14:paraId="4DD8C4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1430" w:type="dxa"/>
            <w:vAlign w:val="center"/>
          </w:tcPr>
          <w:p w14:paraId="4BCC70C6">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第18.1款</w:t>
            </w:r>
          </w:p>
        </w:tc>
        <w:tc>
          <w:tcPr>
            <w:tcW w:w="1619" w:type="dxa"/>
            <w:vAlign w:val="center"/>
          </w:tcPr>
          <w:p w14:paraId="7B59A88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投标保证金</w:t>
            </w:r>
          </w:p>
        </w:tc>
        <w:tc>
          <w:tcPr>
            <w:tcW w:w="6515" w:type="dxa"/>
            <w:vAlign w:val="center"/>
          </w:tcPr>
          <w:p w14:paraId="59EE6AAB">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本项目不要求提供</w:t>
            </w:r>
          </w:p>
        </w:tc>
      </w:tr>
      <w:tr w14:paraId="2CAFE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1430" w:type="dxa"/>
            <w:vAlign w:val="center"/>
          </w:tcPr>
          <w:p w14:paraId="14D47C32">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第19.1款</w:t>
            </w:r>
          </w:p>
        </w:tc>
        <w:tc>
          <w:tcPr>
            <w:tcW w:w="1619" w:type="dxa"/>
            <w:vAlign w:val="center"/>
          </w:tcPr>
          <w:p w14:paraId="1838704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分包</w:t>
            </w:r>
          </w:p>
        </w:tc>
        <w:tc>
          <w:tcPr>
            <w:tcW w:w="6515" w:type="dxa"/>
            <w:vAlign w:val="center"/>
          </w:tcPr>
          <w:p w14:paraId="696C33AB">
            <w:pPr>
              <w:pStyle w:val="21"/>
              <w:spacing w:before="102" w:line="220" w:lineRule="auto"/>
              <w:ind w:firstLine="234" w:firstLineChars="100"/>
              <w:rPr>
                <w:b w:val="0"/>
                <w:bCs w:val="0"/>
                <w:highlight w:val="none"/>
              </w:rPr>
            </w:pPr>
            <w:r>
              <w:rPr>
                <w:rFonts w:ascii="Wingdings" w:hAnsi="Wingdings" w:eastAsia="Wingdings" w:cs="Wingdings"/>
                <w:b w:val="0"/>
                <w:bCs w:val="0"/>
                <w:spacing w:val="-3"/>
                <w:highlight w:val="none"/>
              </w:rPr>
              <w:sym w:font="Wingdings" w:char="00A8"/>
            </w:r>
            <w:r>
              <w:rPr>
                <w:b w:val="0"/>
                <w:bCs w:val="0"/>
                <w:highlight w:val="none"/>
              </w:rPr>
              <w:t>允许分包</w:t>
            </w:r>
          </w:p>
          <w:p w14:paraId="7C6C607E">
            <w:pPr>
              <w:pStyle w:val="21"/>
              <w:spacing w:before="102" w:line="220" w:lineRule="auto"/>
              <w:ind w:firstLine="240" w:firstLineChars="100"/>
              <w:rPr>
                <w:rFonts w:hint="eastAsia" w:ascii="宋体" w:hAnsi="宋体" w:eastAsia="宋体" w:cs="宋体"/>
                <w:b w:val="0"/>
                <w:bCs w:val="0"/>
                <w:sz w:val="24"/>
                <w:szCs w:val="24"/>
                <w:highlight w:val="none"/>
              </w:rPr>
            </w:pPr>
            <w:r>
              <w:rPr>
                <w:b w:val="0"/>
                <w:bCs w:val="0"/>
                <w:highlight w:val="none"/>
              </w:rPr>
              <w:sym w:font="Wingdings" w:char="00FE"/>
            </w:r>
            <w:r>
              <w:rPr>
                <w:b w:val="0"/>
                <w:bCs w:val="0"/>
                <w:highlight w:val="none"/>
              </w:rPr>
              <w:t>不允许分包</w:t>
            </w:r>
          </w:p>
        </w:tc>
      </w:tr>
      <w:tr w14:paraId="71E0D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5" w:hRule="atLeast"/>
        </w:trPr>
        <w:tc>
          <w:tcPr>
            <w:tcW w:w="1430" w:type="dxa"/>
            <w:vAlign w:val="center"/>
          </w:tcPr>
          <w:p w14:paraId="5DC59A25">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第20.1款</w:t>
            </w:r>
          </w:p>
        </w:tc>
        <w:tc>
          <w:tcPr>
            <w:tcW w:w="1619" w:type="dxa"/>
            <w:vAlign w:val="center"/>
          </w:tcPr>
          <w:p w14:paraId="0207B65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投标文件份数</w:t>
            </w:r>
          </w:p>
        </w:tc>
        <w:tc>
          <w:tcPr>
            <w:tcW w:w="6515" w:type="dxa"/>
            <w:vAlign w:val="center"/>
          </w:tcPr>
          <w:p w14:paraId="3CBD5C39">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在交易中心系统提交电子投标文件一份。</w:t>
            </w:r>
          </w:p>
        </w:tc>
      </w:tr>
      <w:tr w14:paraId="4C3E5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0ABADC0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四、投标</w:t>
            </w:r>
          </w:p>
        </w:tc>
      </w:tr>
      <w:tr w14:paraId="509D0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5" w:hRule="atLeast"/>
        </w:trPr>
        <w:tc>
          <w:tcPr>
            <w:tcW w:w="1430" w:type="dxa"/>
            <w:vAlign w:val="center"/>
          </w:tcPr>
          <w:p w14:paraId="366D4644">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第22.1款</w:t>
            </w:r>
          </w:p>
        </w:tc>
        <w:tc>
          <w:tcPr>
            <w:tcW w:w="1619" w:type="dxa"/>
            <w:vAlign w:val="center"/>
          </w:tcPr>
          <w:p w14:paraId="7DAA61D6">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投标截止时间及投标地点</w:t>
            </w:r>
          </w:p>
        </w:tc>
        <w:tc>
          <w:tcPr>
            <w:tcW w:w="6515" w:type="dxa"/>
            <w:vAlign w:val="center"/>
          </w:tcPr>
          <w:p w14:paraId="201A3A29">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详见第一章投标邀请</w:t>
            </w:r>
          </w:p>
        </w:tc>
      </w:tr>
      <w:tr w14:paraId="79B48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880" w:hRule="atLeast"/>
        </w:trPr>
        <w:tc>
          <w:tcPr>
            <w:tcW w:w="1430" w:type="dxa"/>
            <w:vAlign w:val="center"/>
          </w:tcPr>
          <w:p w14:paraId="05D5D9EA">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w:t>
            </w:r>
            <w:r>
              <w:rPr>
                <w:rFonts w:hint="eastAsia" w:ascii="宋体" w:hAnsi="宋体" w:eastAsia="宋体" w:cs="宋体"/>
                <w:sz w:val="24"/>
                <w:szCs w:val="24"/>
                <w:lang w:val="en-US" w:eastAsia="zh-CN"/>
              </w:rPr>
              <w:t>4</w:t>
            </w:r>
            <w:r>
              <w:rPr>
                <w:rFonts w:hint="eastAsia" w:ascii="宋体" w:hAnsi="宋体" w:eastAsia="宋体" w:cs="宋体"/>
                <w:sz w:val="24"/>
                <w:szCs w:val="24"/>
              </w:rPr>
              <w:t>.3款</w:t>
            </w:r>
          </w:p>
        </w:tc>
        <w:tc>
          <w:tcPr>
            <w:tcW w:w="1619" w:type="dxa"/>
            <w:vAlign w:val="center"/>
          </w:tcPr>
          <w:p w14:paraId="366DCE1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涉嫌围标、串标情形</w:t>
            </w:r>
          </w:p>
        </w:tc>
        <w:tc>
          <w:tcPr>
            <w:tcW w:w="6515" w:type="dxa"/>
            <w:vAlign w:val="center"/>
          </w:tcPr>
          <w:p w14:paraId="033A71E3">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根据湘西自治州公共资源交易中心大数据分析系统异常预警机制，凡出现电子投标文件投标文件制作机器码、文件创建标识码、IP地址雷同的，均属涉嫌围标、串标情形，有关监管部门将根据异常预警具体情况依法进行处理。</w:t>
            </w:r>
          </w:p>
        </w:tc>
      </w:tr>
      <w:tr w14:paraId="3EC68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683D659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五、开标、资格审查和评标</w:t>
            </w:r>
          </w:p>
        </w:tc>
      </w:tr>
      <w:tr w14:paraId="35B5A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6" w:hRule="atLeast"/>
        </w:trPr>
        <w:tc>
          <w:tcPr>
            <w:tcW w:w="1430" w:type="dxa"/>
            <w:vAlign w:val="center"/>
          </w:tcPr>
          <w:p w14:paraId="1AA252D6">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第25.2款</w:t>
            </w:r>
          </w:p>
        </w:tc>
        <w:tc>
          <w:tcPr>
            <w:tcW w:w="1619" w:type="dxa"/>
            <w:vAlign w:val="center"/>
          </w:tcPr>
          <w:p w14:paraId="76F43CF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需要宣布的其他内容</w:t>
            </w:r>
          </w:p>
        </w:tc>
        <w:tc>
          <w:tcPr>
            <w:tcW w:w="6515" w:type="dxa"/>
            <w:vAlign w:val="center"/>
          </w:tcPr>
          <w:p w14:paraId="725AE96D">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无</w:t>
            </w:r>
          </w:p>
        </w:tc>
      </w:tr>
      <w:tr w14:paraId="0E9FD3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45" w:hRule="atLeast"/>
        </w:trPr>
        <w:tc>
          <w:tcPr>
            <w:tcW w:w="1430" w:type="dxa"/>
            <w:vMerge w:val="restart"/>
            <w:tcBorders>
              <w:bottom w:val="nil"/>
            </w:tcBorders>
            <w:vAlign w:val="center"/>
          </w:tcPr>
          <w:p w14:paraId="1CEB0947">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第25.7款</w:t>
            </w:r>
          </w:p>
        </w:tc>
        <w:tc>
          <w:tcPr>
            <w:tcW w:w="1619" w:type="dxa"/>
            <w:vAlign w:val="center"/>
          </w:tcPr>
          <w:p w14:paraId="50AB1DD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电子投标文件解密方式</w:t>
            </w:r>
          </w:p>
        </w:tc>
        <w:tc>
          <w:tcPr>
            <w:tcW w:w="6515" w:type="dxa"/>
            <w:vAlign w:val="center"/>
          </w:tcPr>
          <w:p w14:paraId="765879AD">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投标供应商使用生成投标文件的CA数字证书进行解密。</w:t>
            </w:r>
          </w:p>
        </w:tc>
      </w:tr>
      <w:tr w14:paraId="4FC26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tcBorders>
              <w:top w:val="nil"/>
              <w:bottom w:val="nil"/>
            </w:tcBorders>
            <w:vAlign w:val="center"/>
          </w:tcPr>
          <w:p w14:paraId="0491AD93">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Align w:val="center"/>
          </w:tcPr>
          <w:p w14:paraId="46025A4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解密电子投标文件时限</w:t>
            </w:r>
          </w:p>
        </w:tc>
        <w:tc>
          <w:tcPr>
            <w:tcW w:w="6515" w:type="dxa"/>
            <w:vAlign w:val="center"/>
          </w:tcPr>
          <w:p w14:paraId="4D4CCC1B">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解密时限：从投标截止时间起30分钟内完成，投标文件在解密时限内未解密或解密失败，视为撤销其投标文件，开标继续进行。</w:t>
            </w:r>
          </w:p>
        </w:tc>
      </w:tr>
      <w:tr w14:paraId="58BC7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tcBorders>
              <w:top w:val="nil"/>
            </w:tcBorders>
            <w:vAlign w:val="center"/>
          </w:tcPr>
          <w:p w14:paraId="2C06882C">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Align w:val="center"/>
          </w:tcPr>
          <w:p w14:paraId="0094233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电子唱标</w:t>
            </w:r>
          </w:p>
        </w:tc>
        <w:tc>
          <w:tcPr>
            <w:tcW w:w="6515" w:type="dxa"/>
            <w:vAlign w:val="center"/>
          </w:tcPr>
          <w:p w14:paraId="6C77B43A">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请按要求填写完整的《开标一览表》</w:t>
            </w:r>
          </w:p>
        </w:tc>
      </w:tr>
      <w:tr w14:paraId="5E219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2A4A789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六、中标信息公布</w:t>
            </w:r>
          </w:p>
        </w:tc>
      </w:tr>
      <w:tr w14:paraId="4F17F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2120" w:hRule="atLeast"/>
        </w:trPr>
        <w:tc>
          <w:tcPr>
            <w:tcW w:w="1430" w:type="dxa"/>
            <w:vAlign w:val="center"/>
          </w:tcPr>
          <w:p w14:paraId="7944D9F6">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第29.2款</w:t>
            </w:r>
          </w:p>
        </w:tc>
        <w:tc>
          <w:tcPr>
            <w:tcW w:w="1619" w:type="dxa"/>
            <w:vAlign w:val="center"/>
          </w:tcPr>
          <w:p w14:paraId="3194F4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确定中标供应商的方式</w:t>
            </w:r>
          </w:p>
        </w:tc>
        <w:tc>
          <w:tcPr>
            <w:tcW w:w="6515" w:type="dxa"/>
            <w:vAlign w:val="center"/>
          </w:tcPr>
          <w:p w14:paraId="6A68E35B">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评标方法及标准中标候选人并列的(得分且投标报价相同的),按照评标方法及标准中技术部分得分从高到低排序,技术部分得分相同的按照评标方法及标准中商务部分从高到低排序,以此类推,若都相同，由采购人自行确定中标供应商。</w:t>
            </w:r>
          </w:p>
        </w:tc>
      </w:tr>
      <w:tr w14:paraId="52AE6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1095" w:hRule="atLeast"/>
        </w:trPr>
        <w:tc>
          <w:tcPr>
            <w:tcW w:w="1430" w:type="dxa"/>
            <w:vAlign w:val="center"/>
          </w:tcPr>
          <w:p w14:paraId="6E1091AA">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第30.5款</w:t>
            </w:r>
          </w:p>
        </w:tc>
        <w:tc>
          <w:tcPr>
            <w:tcW w:w="1619" w:type="dxa"/>
            <w:vAlign w:val="center"/>
          </w:tcPr>
          <w:p w14:paraId="10B0411D">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接收质疑函的联系部门、联系电话和通讯地址</w:t>
            </w:r>
          </w:p>
        </w:tc>
        <w:tc>
          <w:tcPr>
            <w:tcW w:w="6515" w:type="dxa"/>
            <w:vAlign w:val="center"/>
          </w:tcPr>
          <w:p w14:paraId="01ADC8CF">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名称：湖南天润招标咨询有限公司</w:t>
            </w:r>
          </w:p>
          <w:p w14:paraId="2B068BE1">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电话：0731-85576969</w:t>
            </w:r>
          </w:p>
          <w:p w14:paraId="576882A2">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lang w:eastAsia="zh-CN"/>
              </w:rPr>
              <w:t>地址:长沙市天心区芙蓉南路368号CTA财富中心12010房</w:t>
            </w:r>
          </w:p>
        </w:tc>
      </w:tr>
      <w:tr w14:paraId="78CA9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2601F2A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七、合同签订</w:t>
            </w:r>
          </w:p>
        </w:tc>
      </w:tr>
      <w:tr w14:paraId="3AF8F7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565" w:hRule="atLeast"/>
        </w:trPr>
        <w:tc>
          <w:tcPr>
            <w:tcW w:w="1430" w:type="dxa"/>
            <w:vAlign w:val="center"/>
          </w:tcPr>
          <w:p w14:paraId="10304799">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第32.1款</w:t>
            </w:r>
          </w:p>
        </w:tc>
        <w:tc>
          <w:tcPr>
            <w:tcW w:w="1619" w:type="dxa"/>
            <w:vAlign w:val="center"/>
          </w:tcPr>
          <w:p w14:paraId="0070D91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履约担保</w:t>
            </w:r>
          </w:p>
        </w:tc>
        <w:tc>
          <w:tcPr>
            <w:tcW w:w="6515" w:type="dxa"/>
            <w:vAlign w:val="center"/>
          </w:tcPr>
          <w:p w14:paraId="3145270E">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color w:val="auto"/>
                <w:sz w:val="24"/>
                <w:szCs w:val="24"/>
                <w:lang w:eastAsia="zh-CN"/>
              </w:rPr>
            </w:pPr>
            <w:r>
              <w:rPr>
                <w:rFonts w:hint="eastAsia" w:ascii="宋体" w:hAnsi="宋体" w:eastAsia="宋体" w:cs="宋体"/>
                <w:sz w:val="24"/>
                <w:szCs w:val="24"/>
                <w:lang w:eastAsia="zh-CN"/>
              </w:rPr>
              <w:t>□不要</w:t>
            </w:r>
            <w:r>
              <w:rPr>
                <w:rFonts w:hint="eastAsia" w:ascii="宋体" w:hAnsi="宋体" w:eastAsia="宋体" w:cs="宋体"/>
                <w:color w:val="auto"/>
                <w:sz w:val="24"/>
                <w:szCs w:val="24"/>
                <w:lang w:eastAsia="zh-CN"/>
              </w:rPr>
              <w:t>求提供</w:t>
            </w:r>
          </w:p>
          <w:p w14:paraId="5C9ABA94">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color w:val="auto"/>
                <w:sz w:val="24"/>
                <w:szCs w:val="24"/>
                <w:lang w:eastAsia="zh-CN"/>
              </w:rPr>
              <w:t>■要求提供，提供合同金额10%的履约保证金，履约保证金形式可以是现金或转账，也可用保函、电子增信替代履约担保</w:t>
            </w:r>
          </w:p>
        </w:tc>
      </w:tr>
      <w:tr w14:paraId="7B430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478" w:hRule="atLeast"/>
        </w:trPr>
        <w:tc>
          <w:tcPr>
            <w:tcW w:w="9564" w:type="dxa"/>
            <w:gridSpan w:val="3"/>
            <w:vAlign w:val="center"/>
          </w:tcPr>
          <w:p w14:paraId="672A7A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八、其他规定</w:t>
            </w:r>
          </w:p>
        </w:tc>
      </w:tr>
      <w:tr w14:paraId="5E95E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Align w:val="center"/>
          </w:tcPr>
          <w:p w14:paraId="7BAA531F">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第34.5款</w:t>
            </w:r>
          </w:p>
        </w:tc>
        <w:tc>
          <w:tcPr>
            <w:tcW w:w="1619" w:type="dxa"/>
            <w:vAlign w:val="center"/>
          </w:tcPr>
          <w:p w14:paraId="51DE1E54">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中小企业其他规定</w:t>
            </w:r>
          </w:p>
        </w:tc>
        <w:tc>
          <w:tcPr>
            <w:tcW w:w="6515" w:type="dxa"/>
            <w:vAlign w:val="center"/>
          </w:tcPr>
          <w:p w14:paraId="5F4C300C">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本次采购标的保靖县白云山自然保护区片区城镇垃圾收集转运设施设备采购项目（第四批）按中小企业划分标准（工信部企业〔2011〕300号）执行，所属行业：工业。</w:t>
            </w:r>
          </w:p>
        </w:tc>
      </w:tr>
      <w:tr w14:paraId="1C647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316" w:hRule="atLeast"/>
        </w:trPr>
        <w:tc>
          <w:tcPr>
            <w:tcW w:w="1430" w:type="dxa"/>
            <w:vMerge w:val="restart"/>
            <w:vAlign w:val="center"/>
          </w:tcPr>
          <w:p w14:paraId="24EF6601">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r>
              <w:rPr>
                <w:rFonts w:hint="eastAsia" w:ascii="宋体" w:hAnsi="宋体" w:eastAsia="宋体" w:cs="宋体"/>
                <w:sz w:val="24"/>
                <w:szCs w:val="24"/>
              </w:rPr>
              <w:t>第36.1款</w:t>
            </w:r>
          </w:p>
        </w:tc>
        <w:tc>
          <w:tcPr>
            <w:tcW w:w="1619" w:type="dxa"/>
            <w:vMerge w:val="restart"/>
            <w:vAlign w:val="center"/>
          </w:tcPr>
          <w:p w14:paraId="7075CED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其他规定</w:t>
            </w:r>
          </w:p>
        </w:tc>
        <w:tc>
          <w:tcPr>
            <w:tcW w:w="6515" w:type="dxa"/>
            <w:vAlign w:val="center"/>
          </w:tcPr>
          <w:p w14:paraId="35B4423E">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1、样品的递交：</w:t>
            </w:r>
          </w:p>
          <w:p w14:paraId="383FE467">
            <w:pPr>
              <w:keepNext w:val="0"/>
              <w:keepLines w:val="0"/>
              <w:pageBreakBefore w:val="0"/>
              <w:widowControl/>
              <w:kinsoku w:val="0"/>
              <w:wordWrap/>
              <w:overflowPunct/>
              <w:topLinePunct w:val="0"/>
              <w:autoSpaceDE w:val="0"/>
              <w:autoSpaceDN w:val="0"/>
              <w:bidi w:val="0"/>
              <w:adjustRightInd w:val="0"/>
              <w:snapToGrid w:val="0"/>
              <w:spacing w:line="360" w:lineRule="auto"/>
              <w:ind w:firstLine="47" w:firstLineChars="20"/>
              <w:jc w:val="both"/>
              <w:textAlignment w:val="baseline"/>
              <w:rPr>
                <w:rFonts w:hint="eastAsia" w:ascii="宋体" w:hAnsi="宋体" w:eastAsia="宋体" w:cs="宋体"/>
                <w:sz w:val="24"/>
                <w:szCs w:val="24"/>
              </w:rPr>
            </w:pPr>
            <w:r>
              <w:rPr>
                <w:rFonts w:ascii="Wingdings" w:hAnsi="Wingdings" w:eastAsia="Wingdings" w:cs="Wingdings"/>
                <w:spacing w:val="-2"/>
                <w:sz w:val="24"/>
                <w:szCs w:val="24"/>
                <w:highlight w:val="none"/>
              </w:rPr>
              <w:sym w:font="Wingdings" w:char="00FE"/>
            </w:r>
            <w:r>
              <w:rPr>
                <w:rFonts w:hint="eastAsia" w:ascii="宋体" w:hAnsi="宋体" w:eastAsia="宋体" w:cs="宋体"/>
                <w:sz w:val="24"/>
                <w:szCs w:val="24"/>
              </w:rPr>
              <w:t>不需要</w:t>
            </w:r>
          </w:p>
        </w:tc>
      </w:tr>
      <w:tr w14:paraId="261D5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vAlign w:val="center"/>
          </w:tcPr>
          <w:p w14:paraId="65A35C3D">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Merge w:val="continue"/>
            <w:vAlign w:val="center"/>
          </w:tcPr>
          <w:p w14:paraId="4AAC357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p>
        </w:tc>
        <w:tc>
          <w:tcPr>
            <w:tcW w:w="6515" w:type="dxa"/>
            <w:vAlign w:val="center"/>
          </w:tcPr>
          <w:p w14:paraId="008256BF">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sz w:val="24"/>
                <w:szCs w:val="24"/>
              </w:rPr>
            </w:pPr>
            <w:r>
              <w:rPr>
                <w:rFonts w:hint="eastAsia" w:ascii="宋体" w:hAnsi="宋体" w:eastAsia="宋体" w:cs="宋体"/>
                <w:sz w:val="24"/>
                <w:szCs w:val="24"/>
              </w:rPr>
              <w:t>2、投标供应商在评标过程中，应保持系统在线，方便评标委员会询标，如答复不及时或超出时间的一切问题，均由投标供应商自己承担所有责任。</w:t>
            </w:r>
          </w:p>
        </w:tc>
      </w:tr>
      <w:tr w14:paraId="2623D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vAlign w:val="center"/>
          </w:tcPr>
          <w:p w14:paraId="30E6EC7E">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Merge w:val="continue"/>
            <w:vAlign w:val="center"/>
          </w:tcPr>
          <w:p w14:paraId="2AC7A15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p>
        </w:tc>
        <w:tc>
          <w:tcPr>
            <w:tcW w:w="6515" w:type="dxa"/>
            <w:vAlign w:val="center"/>
          </w:tcPr>
          <w:p w14:paraId="120352D7">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3、中标人在领取中标通知书时，须递交三份（不分正副本，至少包含一份原件或彩色扫描件）胶装完好的纸质投标文件，U盘一个，否则不予办理相关手续。</w:t>
            </w:r>
          </w:p>
        </w:tc>
      </w:tr>
      <w:tr w14:paraId="7B457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vAlign w:val="center"/>
          </w:tcPr>
          <w:p w14:paraId="029CFBE3">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Merge w:val="continue"/>
            <w:vAlign w:val="center"/>
          </w:tcPr>
          <w:p w14:paraId="39148E6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p>
        </w:tc>
        <w:tc>
          <w:tcPr>
            <w:tcW w:w="6515" w:type="dxa"/>
            <w:vAlign w:val="center"/>
          </w:tcPr>
          <w:p w14:paraId="13009F6B">
            <w:pPr>
              <w:keepNext w:val="0"/>
              <w:keepLines w:val="0"/>
              <w:pageBreakBefore w:val="0"/>
              <w:widowControl/>
              <w:kinsoku w:val="0"/>
              <w:wordWrap/>
              <w:overflowPunct/>
              <w:topLinePunct w:val="0"/>
              <w:autoSpaceDE w:val="0"/>
              <w:autoSpaceDN w:val="0"/>
              <w:bidi w:val="0"/>
              <w:adjustRightInd w:val="0"/>
              <w:snapToGrid w:val="0"/>
              <w:spacing w:line="360" w:lineRule="auto"/>
              <w:ind w:firstLine="48" w:firstLineChars="2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4、招标代理服务费：按照委托代理协议的约定由采购单位支付招标代理服务费。</w:t>
            </w:r>
          </w:p>
        </w:tc>
      </w:tr>
      <w:tr w14:paraId="16834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5" w:type="dxa"/>
          <w:trHeight w:val="90" w:hRule="atLeast"/>
        </w:trPr>
        <w:tc>
          <w:tcPr>
            <w:tcW w:w="1430" w:type="dxa"/>
            <w:vMerge w:val="continue"/>
            <w:vAlign w:val="center"/>
          </w:tcPr>
          <w:p w14:paraId="61ABCFB8">
            <w:pPr>
              <w:keepNext w:val="0"/>
              <w:keepLines w:val="0"/>
              <w:pageBreakBefore w:val="0"/>
              <w:widowControl/>
              <w:kinsoku w:val="0"/>
              <w:wordWrap/>
              <w:overflowPunct/>
              <w:topLinePunct w:val="0"/>
              <w:autoSpaceDE w:val="0"/>
              <w:autoSpaceDN w:val="0"/>
              <w:bidi w:val="0"/>
              <w:adjustRightInd w:val="0"/>
              <w:snapToGrid w:val="0"/>
              <w:spacing w:line="360" w:lineRule="auto"/>
              <w:ind w:firstLine="24" w:firstLineChars="10"/>
              <w:jc w:val="both"/>
              <w:textAlignment w:val="baseline"/>
              <w:rPr>
                <w:rFonts w:hint="eastAsia" w:ascii="宋体" w:hAnsi="宋体" w:eastAsia="宋体" w:cs="宋体"/>
                <w:sz w:val="24"/>
                <w:szCs w:val="24"/>
              </w:rPr>
            </w:pPr>
          </w:p>
        </w:tc>
        <w:tc>
          <w:tcPr>
            <w:tcW w:w="1619" w:type="dxa"/>
            <w:vMerge w:val="continue"/>
            <w:vAlign w:val="center"/>
          </w:tcPr>
          <w:p w14:paraId="5D2F2C2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 w:firstLineChars="20"/>
              <w:jc w:val="both"/>
              <w:textAlignment w:val="baseline"/>
              <w:rPr>
                <w:rFonts w:hint="eastAsia" w:ascii="宋体" w:hAnsi="宋体" w:eastAsia="宋体" w:cs="宋体"/>
                <w:sz w:val="24"/>
                <w:szCs w:val="24"/>
              </w:rPr>
            </w:pPr>
          </w:p>
        </w:tc>
        <w:tc>
          <w:tcPr>
            <w:tcW w:w="6515" w:type="dxa"/>
            <w:vAlign w:val="center"/>
          </w:tcPr>
          <w:p w14:paraId="16788EAD">
            <w:pPr>
              <w:keepNext w:val="0"/>
              <w:keepLines w:val="0"/>
              <w:pageBreakBefore w:val="0"/>
              <w:widowControl/>
              <w:kinsoku w:val="0"/>
              <w:wordWrap/>
              <w:overflowPunct/>
              <w:topLinePunct w:val="0"/>
              <w:autoSpaceDE w:val="0"/>
              <w:autoSpaceDN w:val="0"/>
              <w:bidi w:val="0"/>
              <w:adjustRightInd w:val="0"/>
              <w:snapToGrid w:val="0"/>
              <w:spacing w:line="360" w:lineRule="auto"/>
              <w:ind w:firstLine="47" w:firstLineChars="20"/>
              <w:jc w:val="both"/>
              <w:textAlignment w:val="baseline"/>
              <w:rPr>
                <w:rFonts w:hint="eastAsia" w:ascii="宋体" w:hAnsi="宋体" w:eastAsia="宋体" w:cs="宋体"/>
                <w:sz w:val="24"/>
                <w:szCs w:val="24"/>
              </w:rPr>
            </w:pPr>
            <w:r>
              <w:rPr>
                <w:rFonts w:hint="eastAsia" w:ascii="宋体" w:hAnsi="宋体" w:eastAsia="宋体" w:cs="宋体"/>
                <w:b w:val="0"/>
                <w:bCs w:val="0"/>
                <w:spacing w:val="-1"/>
                <w:sz w:val="24"/>
                <w:szCs w:val="24"/>
                <w:lang w:val="en-US" w:eastAsia="zh-CN"/>
              </w:rPr>
              <w:t>5、</w:t>
            </w:r>
            <w:r>
              <w:rPr>
                <w:rFonts w:hint="eastAsia" w:ascii="宋体" w:hAnsi="宋体" w:eastAsia="宋体" w:cs="宋体"/>
                <w:b w:val="0"/>
                <w:bCs w:val="0"/>
                <w:spacing w:val="-1"/>
                <w:sz w:val="24"/>
                <w:szCs w:val="24"/>
                <w:lang w:eastAsia="zh-CN"/>
              </w:rPr>
              <w:t>供应商如有质疑，</w:t>
            </w:r>
            <w:r>
              <w:rPr>
                <w:rFonts w:ascii="宋体" w:hAnsi="宋体" w:eastAsia="宋体" w:cs="宋体"/>
                <w:b w:val="0"/>
                <w:bCs w:val="0"/>
                <w:spacing w:val="-1"/>
                <w:sz w:val="24"/>
                <w:szCs w:val="24"/>
                <w:lang w:eastAsia="zh-CN"/>
              </w:rPr>
              <w:t>应当在法定质疑期内一次性提出针对同一采购程序环节的质疑。</w:t>
            </w:r>
          </w:p>
        </w:tc>
      </w:tr>
    </w:tbl>
    <w:p w14:paraId="47811CD8">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0" w:leftChars="0" w:firstLine="0" w:firstLineChars="0"/>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注：招标文件有前后不一致的地方，以本节投标须知前附表为准。</w:t>
      </w:r>
    </w:p>
    <w:p w14:paraId="6631A9A1">
      <w:pPr>
        <w:rPr>
          <w:b/>
          <w:bCs/>
          <w:spacing w:val="8"/>
          <w:highlight w:val="none"/>
        </w:rPr>
      </w:pPr>
      <w:r>
        <w:rPr>
          <w:b/>
          <w:bCs/>
          <w:spacing w:val="8"/>
          <w:highlight w:val="none"/>
        </w:rPr>
        <w:br w:type="page"/>
      </w:r>
    </w:p>
    <w:p w14:paraId="0706958B">
      <w:pPr>
        <w:pStyle w:val="5"/>
        <w:bidi w:val="0"/>
      </w:pPr>
      <w:bookmarkStart w:id="6" w:name="_Toc22781"/>
      <w:r>
        <w:t>投标须知正文</w:t>
      </w:r>
      <w:bookmarkEnd w:id="6"/>
    </w:p>
    <w:p w14:paraId="0E232755">
      <w:pPr>
        <w:pStyle w:val="5"/>
        <w:bidi w:val="0"/>
      </w:pPr>
      <w:bookmarkStart w:id="7" w:name="bookmark63"/>
      <w:bookmarkEnd w:id="7"/>
      <w:bookmarkStart w:id="8" w:name="_Toc32586"/>
      <w:r>
        <w:t>一、总则</w:t>
      </w:r>
      <w:bookmarkEnd w:id="8"/>
    </w:p>
    <w:p w14:paraId="5AD70C8E">
      <w:pPr>
        <w:pStyle w:val="6"/>
        <w:bidi w:val="0"/>
        <w:rPr>
          <w:sz w:val="24"/>
          <w:szCs w:val="24"/>
        </w:rPr>
      </w:pPr>
      <w:bookmarkStart w:id="9" w:name="_Toc7477"/>
      <w:bookmarkStart w:id="10" w:name="_Toc5195"/>
      <w:bookmarkStart w:id="11" w:name="_Toc27151"/>
      <w:r>
        <w:rPr>
          <w:sz w:val="24"/>
          <w:szCs w:val="24"/>
        </w:rPr>
        <w:t>1.适用范围</w:t>
      </w:r>
      <w:bookmarkEnd w:id="9"/>
      <w:bookmarkEnd w:id="10"/>
      <w:bookmarkEnd w:id="11"/>
    </w:p>
    <w:p w14:paraId="08E5399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 w:right="193" w:firstLine="470"/>
        <w:textAlignment w:val="baseline"/>
        <w:rPr>
          <w:sz w:val="24"/>
          <w:szCs w:val="24"/>
          <w:highlight w:val="none"/>
        </w:rPr>
      </w:pPr>
      <w:r>
        <w:rPr>
          <w:spacing w:val="-6"/>
          <w:sz w:val="24"/>
          <w:szCs w:val="24"/>
          <w:highlight w:val="none"/>
        </w:rPr>
        <w:t>1.1本招标文件仅适用于本章“投标须知前附表”（以下简称</w:t>
      </w:r>
      <w:r>
        <w:rPr>
          <w:b/>
          <w:bCs/>
          <w:spacing w:val="-6"/>
          <w:sz w:val="24"/>
          <w:szCs w:val="24"/>
          <w:highlight w:val="none"/>
        </w:rPr>
        <w:t>【投标须知前附表】</w:t>
      </w:r>
      <w:r>
        <w:rPr>
          <w:spacing w:val="-6"/>
          <w:sz w:val="24"/>
          <w:szCs w:val="24"/>
          <w:highlight w:val="none"/>
        </w:rPr>
        <w:t>）</w:t>
      </w:r>
      <w:r>
        <w:rPr>
          <w:spacing w:val="-7"/>
          <w:sz w:val="24"/>
          <w:szCs w:val="24"/>
          <w:highlight w:val="none"/>
        </w:rPr>
        <w:t>中所叙述的采购项目。</w:t>
      </w:r>
    </w:p>
    <w:p w14:paraId="58A42731">
      <w:pPr>
        <w:pStyle w:val="6"/>
        <w:bidi w:val="0"/>
        <w:rPr>
          <w:sz w:val="24"/>
          <w:szCs w:val="24"/>
        </w:rPr>
      </w:pPr>
      <w:bookmarkStart w:id="12" w:name="_Toc7996"/>
      <w:bookmarkStart w:id="13" w:name="_Toc24636"/>
      <w:bookmarkStart w:id="14" w:name="_Toc845"/>
      <w:r>
        <w:rPr>
          <w:sz w:val="24"/>
          <w:szCs w:val="24"/>
        </w:rPr>
        <w:t>2.定义</w:t>
      </w:r>
      <w:bookmarkEnd w:id="12"/>
      <w:bookmarkEnd w:id="13"/>
      <w:bookmarkEnd w:id="14"/>
    </w:p>
    <w:p w14:paraId="1EF9D20C">
      <w:pPr>
        <w:pStyle w:val="2"/>
        <w:keepNext w:val="0"/>
        <w:keepLines w:val="0"/>
        <w:pageBreakBefore w:val="0"/>
        <w:widowControl/>
        <w:kinsoku/>
        <w:wordWrap w:val="0"/>
        <w:overflowPunct/>
        <w:topLinePunct w:val="0"/>
        <w:autoSpaceDE/>
        <w:autoSpaceDN/>
        <w:bidi w:val="0"/>
        <w:adjustRightInd w:val="0"/>
        <w:snapToGrid w:val="0"/>
        <w:spacing w:before="313" w:line="360" w:lineRule="auto"/>
        <w:ind w:left="504"/>
        <w:textAlignment w:val="baseline"/>
        <w:rPr>
          <w:sz w:val="24"/>
          <w:szCs w:val="24"/>
          <w:highlight w:val="none"/>
        </w:rPr>
      </w:pPr>
      <w:r>
        <w:rPr>
          <w:spacing w:val="-3"/>
          <w:sz w:val="24"/>
          <w:szCs w:val="24"/>
          <w:highlight w:val="none"/>
        </w:rPr>
        <w:t>2.1采购人名称、地址、电话、联系人见</w:t>
      </w:r>
      <w:r>
        <w:rPr>
          <w:b/>
          <w:bCs/>
          <w:spacing w:val="-3"/>
          <w:sz w:val="24"/>
          <w:szCs w:val="24"/>
          <w:highlight w:val="none"/>
        </w:rPr>
        <w:t>【投标须知前附表】</w:t>
      </w:r>
      <w:r>
        <w:rPr>
          <w:spacing w:val="-3"/>
          <w:sz w:val="24"/>
          <w:szCs w:val="24"/>
          <w:highlight w:val="none"/>
        </w:rPr>
        <w:t>。</w:t>
      </w:r>
    </w:p>
    <w:p w14:paraId="61F4178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4"/>
        <w:textAlignment w:val="baseline"/>
        <w:rPr>
          <w:sz w:val="24"/>
          <w:szCs w:val="24"/>
          <w:highlight w:val="none"/>
        </w:rPr>
      </w:pPr>
      <w:r>
        <w:rPr>
          <w:spacing w:val="-2"/>
          <w:sz w:val="24"/>
          <w:szCs w:val="24"/>
          <w:highlight w:val="none"/>
        </w:rPr>
        <w:t>2.2采购代理机构名称、地址、电话、联系人见</w:t>
      </w:r>
      <w:r>
        <w:rPr>
          <w:b/>
          <w:bCs/>
          <w:spacing w:val="-3"/>
          <w:sz w:val="24"/>
          <w:szCs w:val="24"/>
          <w:highlight w:val="none"/>
        </w:rPr>
        <w:t>【投标须知前附表】。</w:t>
      </w:r>
    </w:p>
    <w:p w14:paraId="414D05D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4"/>
        <w:textAlignment w:val="baseline"/>
        <w:rPr>
          <w:sz w:val="24"/>
          <w:szCs w:val="24"/>
          <w:highlight w:val="none"/>
        </w:rPr>
      </w:pPr>
      <w:r>
        <w:rPr>
          <w:spacing w:val="-2"/>
          <w:sz w:val="24"/>
          <w:szCs w:val="24"/>
          <w:highlight w:val="none"/>
        </w:rPr>
        <w:t>2.3投标供应商系指响应招标、参加投标的法人、其他组织或自然人。</w:t>
      </w:r>
    </w:p>
    <w:p w14:paraId="2094AE2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148" w:firstLine="488"/>
        <w:textAlignment w:val="baseline"/>
        <w:rPr>
          <w:sz w:val="24"/>
          <w:szCs w:val="24"/>
          <w:highlight w:val="none"/>
        </w:rPr>
      </w:pPr>
      <w:r>
        <w:rPr>
          <w:spacing w:val="-2"/>
          <w:sz w:val="24"/>
          <w:szCs w:val="24"/>
          <w:highlight w:val="none"/>
        </w:rPr>
        <w:t>2.4货物是指各种形态和种类的物品，包括原材料、燃料、设备、产品等，详见《政府采购品目分类目录》（财库[2022]31号）。</w:t>
      </w:r>
    </w:p>
    <w:p w14:paraId="143B7AB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141" w:firstLine="484"/>
        <w:textAlignment w:val="baseline"/>
        <w:rPr>
          <w:sz w:val="24"/>
          <w:szCs w:val="24"/>
          <w:highlight w:val="none"/>
        </w:rPr>
      </w:pPr>
      <w:r>
        <w:rPr>
          <w:spacing w:val="-1"/>
          <w:sz w:val="24"/>
          <w:szCs w:val="24"/>
          <w:highlight w:val="none"/>
        </w:rPr>
        <w:t>2.5服务是根据合同规定中标供应商承担与供货有关的辅助服务，如运输、保险以及</w:t>
      </w:r>
      <w:r>
        <w:rPr>
          <w:spacing w:val="2"/>
          <w:sz w:val="24"/>
          <w:szCs w:val="24"/>
          <w:highlight w:val="none"/>
        </w:rPr>
        <w:t>其它的伴随服务，例如安装、调试、提供技术协助、培训和合同中规定中标供应商应承</w:t>
      </w:r>
      <w:r>
        <w:rPr>
          <w:spacing w:val="-3"/>
          <w:sz w:val="24"/>
          <w:szCs w:val="24"/>
          <w:highlight w:val="none"/>
        </w:rPr>
        <w:t>担的其它义务。</w:t>
      </w:r>
    </w:p>
    <w:p w14:paraId="2E213BDE">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4" w:firstLine="480"/>
        <w:textAlignment w:val="baseline"/>
        <w:rPr>
          <w:sz w:val="24"/>
          <w:szCs w:val="24"/>
          <w:highlight w:val="none"/>
        </w:rPr>
      </w:pPr>
      <w:r>
        <w:rPr>
          <w:spacing w:val="-5"/>
          <w:sz w:val="24"/>
          <w:szCs w:val="24"/>
          <w:highlight w:val="none"/>
        </w:rPr>
        <w:t>2.6“节能产品”或者“环保产品”是指财政部发布的《节能产品政府采购品目清单》</w:t>
      </w:r>
      <w:r>
        <w:rPr>
          <w:spacing w:val="-2"/>
          <w:sz w:val="24"/>
          <w:szCs w:val="24"/>
          <w:highlight w:val="none"/>
        </w:rPr>
        <w:t>或者《环境标志产品政府采购品目清单》的产品。</w:t>
      </w:r>
    </w:p>
    <w:p w14:paraId="18EC66E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47" w:firstLine="484"/>
        <w:textAlignment w:val="baseline"/>
        <w:rPr>
          <w:sz w:val="24"/>
          <w:szCs w:val="24"/>
          <w:highlight w:val="none"/>
        </w:rPr>
      </w:pPr>
      <w:r>
        <w:rPr>
          <w:spacing w:val="-5"/>
          <w:sz w:val="24"/>
          <w:szCs w:val="24"/>
          <w:highlight w:val="none"/>
        </w:rPr>
        <w:t>2.7进口产品是指符合《财政部关于印发《政</w:t>
      </w:r>
      <w:r>
        <w:rPr>
          <w:spacing w:val="-6"/>
          <w:sz w:val="24"/>
          <w:szCs w:val="24"/>
          <w:highlight w:val="none"/>
        </w:rPr>
        <w:t>府采购进口产品管理办法》的通知》（财</w:t>
      </w:r>
      <w:r>
        <w:rPr>
          <w:spacing w:val="-2"/>
          <w:sz w:val="24"/>
          <w:szCs w:val="24"/>
          <w:highlight w:val="none"/>
        </w:rPr>
        <w:t>库[2007]119号）和《关于政府采购进口产品管</w:t>
      </w:r>
      <w:r>
        <w:rPr>
          <w:spacing w:val="-3"/>
          <w:sz w:val="24"/>
          <w:szCs w:val="24"/>
          <w:highlight w:val="none"/>
        </w:rPr>
        <w:t>理有关问题的通知》（财办库〔2008〕248</w:t>
      </w:r>
      <w:r>
        <w:rPr>
          <w:spacing w:val="-2"/>
          <w:sz w:val="24"/>
          <w:szCs w:val="24"/>
          <w:highlight w:val="none"/>
        </w:rPr>
        <w:t>号）文件规定的产品。除</w:t>
      </w:r>
      <w:r>
        <w:rPr>
          <w:b/>
          <w:bCs/>
          <w:spacing w:val="-2"/>
          <w:sz w:val="24"/>
          <w:szCs w:val="24"/>
          <w:highlight w:val="none"/>
        </w:rPr>
        <w:t>【投标须知前附表】</w:t>
      </w:r>
      <w:r>
        <w:rPr>
          <w:spacing w:val="-2"/>
          <w:sz w:val="24"/>
          <w:szCs w:val="24"/>
          <w:highlight w:val="none"/>
        </w:rPr>
        <w:t>另有规定外，采购项目拒绝进口产品参加投</w:t>
      </w:r>
      <w:r>
        <w:rPr>
          <w:spacing w:val="-6"/>
          <w:sz w:val="24"/>
          <w:szCs w:val="24"/>
          <w:highlight w:val="none"/>
        </w:rPr>
        <w:t>标。本款规定同意购买进口产品的，不得限制满足招标文件要求的国内产品参与投标竞争。</w:t>
      </w:r>
    </w:p>
    <w:p w14:paraId="5BFF99C2">
      <w:pPr>
        <w:pStyle w:val="6"/>
        <w:bidi w:val="0"/>
        <w:rPr>
          <w:sz w:val="24"/>
          <w:szCs w:val="24"/>
        </w:rPr>
      </w:pPr>
      <w:bookmarkStart w:id="15" w:name="_Toc13177"/>
      <w:bookmarkStart w:id="16" w:name="_Toc17976"/>
      <w:bookmarkStart w:id="17" w:name="_Toc11992"/>
      <w:r>
        <w:rPr>
          <w:sz w:val="24"/>
          <w:szCs w:val="24"/>
        </w:rPr>
        <w:t>3.投标供应商的资格要求</w:t>
      </w:r>
      <w:bookmarkEnd w:id="15"/>
      <w:bookmarkEnd w:id="16"/>
      <w:bookmarkEnd w:id="17"/>
    </w:p>
    <w:p w14:paraId="2075E534">
      <w:pPr>
        <w:pStyle w:val="2"/>
        <w:keepNext w:val="0"/>
        <w:keepLines w:val="0"/>
        <w:pageBreakBefore w:val="0"/>
        <w:widowControl/>
        <w:kinsoku/>
        <w:wordWrap w:val="0"/>
        <w:overflowPunct/>
        <w:topLinePunct w:val="0"/>
        <w:autoSpaceDE/>
        <w:autoSpaceDN/>
        <w:bidi w:val="0"/>
        <w:adjustRightInd w:val="0"/>
        <w:snapToGrid w:val="0"/>
        <w:spacing w:before="315" w:line="360" w:lineRule="auto"/>
        <w:ind w:left="508"/>
        <w:textAlignment w:val="baseline"/>
        <w:rPr>
          <w:sz w:val="24"/>
          <w:szCs w:val="24"/>
          <w:highlight w:val="none"/>
        </w:rPr>
      </w:pPr>
      <w:r>
        <w:rPr>
          <w:spacing w:val="-4"/>
          <w:sz w:val="24"/>
          <w:szCs w:val="24"/>
          <w:highlight w:val="none"/>
        </w:rPr>
        <w:t>3.1投标供应商应当符合“投标邀请”规定的投标供应商资格条件。</w:t>
      </w:r>
    </w:p>
    <w:p w14:paraId="128790A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8" w:leftChars="0" w:firstLine="498" w:firstLineChars="215"/>
        <w:textAlignment w:val="baseline"/>
        <w:rPr>
          <w:sz w:val="24"/>
          <w:szCs w:val="24"/>
          <w:highlight w:val="none"/>
        </w:rPr>
      </w:pPr>
      <w:r>
        <w:rPr>
          <w:spacing w:val="-4"/>
          <w:sz w:val="24"/>
          <w:szCs w:val="24"/>
          <w:highlight w:val="none"/>
        </w:rPr>
        <w:t>3.2</w:t>
      </w:r>
      <w:r>
        <w:rPr>
          <w:b/>
          <w:bCs/>
          <w:spacing w:val="-4"/>
          <w:sz w:val="24"/>
          <w:szCs w:val="24"/>
          <w:highlight w:val="none"/>
        </w:rPr>
        <w:t>【投标须知前附表】</w:t>
      </w:r>
      <w:r>
        <w:rPr>
          <w:spacing w:val="-4"/>
          <w:sz w:val="24"/>
          <w:szCs w:val="24"/>
          <w:highlight w:val="none"/>
        </w:rPr>
        <w:t>规定接受联合体形式投标的，投标供应商除应符合本章第3.1</w:t>
      </w:r>
      <w:r>
        <w:rPr>
          <w:spacing w:val="-2"/>
          <w:sz w:val="24"/>
          <w:szCs w:val="24"/>
          <w:highlight w:val="none"/>
        </w:rPr>
        <w:t>款规定外，还应遵守以下规定：</w:t>
      </w:r>
    </w:p>
    <w:p w14:paraId="4782288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38" w:right="132" w:firstLine="481"/>
        <w:textAlignment w:val="baseline"/>
        <w:rPr>
          <w:sz w:val="24"/>
          <w:szCs w:val="24"/>
          <w:highlight w:val="none"/>
        </w:rPr>
      </w:pPr>
      <w:r>
        <w:rPr>
          <w:spacing w:val="-2"/>
          <w:sz w:val="24"/>
          <w:szCs w:val="24"/>
          <w:highlight w:val="none"/>
        </w:rPr>
        <w:t>（l）联合体中有同类资质的投标供应商按照联合体分工承担相同工作的，应当按照</w:t>
      </w:r>
      <w:r>
        <w:rPr>
          <w:spacing w:val="-3"/>
          <w:sz w:val="24"/>
          <w:szCs w:val="24"/>
          <w:highlight w:val="none"/>
        </w:rPr>
        <w:t>资质等级较低的投标供应商确定资质等级；</w:t>
      </w:r>
    </w:p>
    <w:p w14:paraId="382D368B">
      <w:pPr>
        <w:pStyle w:val="2"/>
        <w:keepNext w:val="0"/>
        <w:keepLines w:val="0"/>
        <w:pageBreakBefore w:val="0"/>
        <w:widowControl/>
        <w:kinsoku/>
        <w:wordWrap w:val="0"/>
        <w:overflowPunct/>
        <w:topLinePunct w:val="0"/>
        <w:autoSpaceDE/>
        <w:autoSpaceDN/>
        <w:bidi w:val="0"/>
        <w:adjustRightInd w:val="0"/>
        <w:snapToGrid w:val="0"/>
        <w:spacing w:before="140" w:line="360" w:lineRule="auto"/>
        <w:ind w:left="24" w:right="132" w:firstLine="495"/>
        <w:textAlignment w:val="baseline"/>
        <w:rPr>
          <w:sz w:val="24"/>
          <w:szCs w:val="24"/>
          <w:highlight w:val="none"/>
        </w:rPr>
      </w:pPr>
      <w:r>
        <w:rPr>
          <w:spacing w:val="-2"/>
          <w:sz w:val="24"/>
          <w:szCs w:val="24"/>
          <w:highlight w:val="none"/>
        </w:rPr>
        <w:t>（2）联合体各方应按招标文件提供的格式签订联合体协议书，明确联合体牵头人和各方的权利义务、合同工作量比例；</w:t>
      </w:r>
    </w:p>
    <w:p w14:paraId="40111E3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132" w:firstLine="500"/>
        <w:textAlignment w:val="baseline"/>
        <w:rPr>
          <w:sz w:val="24"/>
          <w:szCs w:val="24"/>
          <w:highlight w:val="none"/>
        </w:rPr>
      </w:pPr>
      <w:r>
        <w:rPr>
          <w:spacing w:val="-2"/>
          <w:sz w:val="24"/>
          <w:szCs w:val="24"/>
          <w:highlight w:val="none"/>
        </w:rPr>
        <w:t>（3）联合体各方签订联合体协议书后，不得再单独参加或者与其他投标供应商组成新的联合体参加本项目同一合同项下的采购活动。</w:t>
      </w:r>
    </w:p>
    <w:p w14:paraId="2AAAB958">
      <w:pPr>
        <w:pStyle w:val="6"/>
        <w:bidi w:val="0"/>
        <w:rPr>
          <w:sz w:val="24"/>
          <w:szCs w:val="24"/>
        </w:rPr>
      </w:pPr>
      <w:bookmarkStart w:id="18" w:name="_Toc21233"/>
      <w:bookmarkStart w:id="19" w:name="_Toc19649"/>
      <w:bookmarkStart w:id="20" w:name="_Toc29550"/>
      <w:r>
        <w:rPr>
          <w:sz w:val="24"/>
          <w:szCs w:val="24"/>
        </w:rPr>
        <w:t>4.投标费用</w:t>
      </w:r>
      <w:bookmarkEnd w:id="18"/>
      <w:bookmarkEnd w:id="19"/>
      <w:bookmarkEnd w:id="20"/>
    </w:p>
    <w:p w14:paraId="366DA13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55" w:firstLine="471"/>
        <w:textAlignment w:val="baseline"/>
        <w:rPr>
          <w:sz w:val="24"/>
          <w:szCs w:val="24"/>
          <w:highlight w:val="none"/>
        </w:rPr>
      </w:pPr>
      <w:r>
        <w:rPr>
          <w:spacing w:val="-1"/>
          <w:sz w:val="24"/>
          <w:szCs w:val="24"/>
          <w:highlight w:val="none"/>
        </w:rPr>
        <w:t>4.1投标供应商应自行承担所有参与投标的</w:t>
      </w:r>
      <w:r>
        <w:rPr>
          <w:spacing w:val="-2"/>
          <w:sz w:val="24"/>
          <w:szCs w:val="24"/>
          <w:highlight w:val="none"/>
        </w:rPr>
        <w:t>相关费用，不论投标的结果如何，采购人或者采购代理机构均无义务和责任承担这些费用。</w:t>
      </w:r>
    </w:p>
    <w:p w14:paraId="34AB6D08">
      <w:pPr>
        <w:pStyle w:val="6"/>
        <w:bidi w:val="0"/>
        <w:rPr>
          <w:sz w:val="24"/>
          <w:szCs w:val="24"/>
        </w:rPr>
      </w:pPr>
      <w:bookmarkStart w:id="21" w:name="_Toc24412"/>
      <w:bookmarkStart w:id="22" w:name="_Toc25658"/>
      <w:bookmarkStart w:id="23" w:name="_Toc29163"/>
      <w:r>
        <w:rPr>
          <w:sz w:val="24"/>
          <w:szCs w:val="24"/>
        </w:rPr>
        <w:t>5.保密</w:t>
      </w:r>
      <w:bookmarkEnd w:id="21"/>
      <w:bookmarkEnd w:id="22"/>
      <w:bookmarkEnd w:id="23"/>
    </w:p>
    <w:p w14:paraId="4BB17F4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171" w:firstLine="487"/>
        <w:textAlignment w:val="baseline"/>
        <w:rPr>
          <w:sz w:val="24"/>
          <w:szCs w:val="24"/>
          <w:highlight w:val="none"/>
        </w:rPr>
      </w:pPr>
      <w:r>
        <w:rPr>
          <w:spacing w:val="-4"/>
          <w:sz w:val="24"/>
          <w:szCs w:val="24"/>
          <w:highlight w:val="none"/>
        </w:rPr>
        <w:t>5.1参与招标投标活动的各方应对招标文件和投标文件中的商</w:t>
      </w:r>
      <w:r>
        <w:rPr>
          <w:spacing w:val="-5"/>
          <w:sz w:val="24"/>
          <w:szCs w:val="24"/>
          <w:highlight w:val="none"/>
        </w:rPr>
        <w:t>业和技术等秘密保密，</w:t>
      </w:r>
      <w:r>
        <w:rPr>
          <w:spacing w:val="-2"/>
          <w:sz w:val="24"/>
          <w:szCs w:val="24"/>
          <w:highlight w:val="none"/>
        </w:rPr>
        <w:t>违者应对由此造成的后果承担法律责任。</w:t>
      </w:r>
    </w:p>
    <w:p w14:paraId="7F92C1EE">
      <w:pPr>
        <w:pStyle w:val="6"/>
        <w:bidi w:val="0"/>
        <w:rPr>
          <w:rFonts w:ascii="宋体" w:hAnsi="宋体" w:eastAsia="宋体" w:cs="宋体"/>
          <w:b/>
          <w:bCs/>
          <w:spacing w:val="-2"/>
          <w:sz w:val="24"/>
          <w:szCs w:val="24"/>
          <w:highlight w:val="none"/>
        </w:rPr>
      </w:pPr>
      <w:bookmarkStart w:id="24" w:name="_Toc19385"/>
      <w:bookmarkStart w:id="25" w:name="_Toc13534"/>
      <w:bookmarkStart w:id="26" w:name="_Toc1506"/>
      <w:r>
        <w:rPr>
          <w:sz w:val="24"/>
          <w:szCs w:val="24"/>
        </w:rPr>
        <w:t>6．组织现场考察或者召开答疑会</w:t>
      </w:r>
      <w:bookmarkEnd w:id="24"/>
      <w:bookmarkEnd w:id="25"/>
      <w:bookmarkEnd w:id="26"/>
    </w:p>
    <w:p w14:paraId="010FAEF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7" w:right="55" w:firstLine="445"/>
        <w:textAlignment w:val="baseline"/>
        <w:rPr>
          <w:sz w:val="24"/>
          <w:szCs w:val="24"/>
          <w:highlight w:val="none"/>
        </w:rPr>
      </w:pPr>
      <w:r>
        <w:rPr>
          <w:spacing w:val="-1"/>
          <w:sz w:val="24"/>
          <w:szCs w:val="24"/>
          <w:highlight w:val="none"/>
        </w:rPr>
        <w:t>6.1采购人或者采购代理机构可以在招标</w:t>
      </w:r>
      <w:r>
        <w:rPr>
          <w:spacing w:val="-2"/>
          <w:sz w:val="24"/>
          <w:szCs w:val="24"/>
          <w:highlight w:val="none"/>
        </w:rPr>
        <w:t>文件提供期限截止后，组织已获取招标文件</w:t>
      </w:r>
      <w:r>
        <w:rPr>
          <w:spacing w:val="-4"/>
          <w:sz w:val="24"/>
          <w:szCs w:val="24"/>
          <w:highlight w:val="none"/>
        </w:rPr>
        <w:t>的潜在投标供应商现场考察或者召开开标前答疑会。</w:t>
      </w:r>
    </w:p>
    <w:p w14:paraId="476E85B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62" w:firstLine="481"/>
        <w:textAlignment w:val="baseline"/>
        <w:rPr>
          <w:sz w:val="24"/>
          <w:szCs w:val="24"/>
          <w:highlight w:val="none"/>
        </w:rPr>
      </w:pPr>
      <w:r>
        <w:rPr>
          <w:spacing w:val="-2"/>
          <w:sz w:val="24"/>
          <w:szCs w:val="24"/>
          <w:highlight w:val="none"/>
        </w:rPr>
        <w:t>6.2获取招标文件的潜在投标供应商应按</w:t>
      </w:r>
      <w:r>
        <w:rPr>
          <w:b/>
          <w:bCs/>
          <w:spacing w:val="-2"/>
          <w:sz w:val="24"/>
          <w:szCs w:val="24"/>
          <w:highlight w:val="none"/>
        </w:rPr>
        <w:t>【投标须知前附表】</w:t>
      </w:r>
      <w:r>
        <w:rPr>
          <w:spacing w:val="-2"/>
          <w:sz w:val="24"/>
          <w:szCs w:val="24"/>
          <w:highlight w:val="none"/>
        </w:rPr>
        <w:t>规定参加现场考察或者答疑会；如不参加，其风险由其自行承担。</w:t>
      </w:r>
    </w:p>
    <w:p w14:paraId="48DD8DA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55" w:firstLine="480"/>
        <w:textAlignment w:val="baseline"/>
        <w:rPr>
          <w:sz w:val="24"/>
          <w:szCs w:val="24"/>
          <w:highlight w:val="none"/>
        </w:rPr>
      </w:pPr>
      <w:r>
        <w:rPr>
          <w:spacing w:val="-1"/>
          <w:sz w:val="24"/>
          <w:szCs w:val="24"/>
          <w:highlight w:val="none"/>
        </w:rPr>
        <w:t>6.3潜在投标供应商现场考察或者参加答</w:t>
      </w:r>
      <w:r>
        <w:rPr>
          <w:spacing w:val="-2"/>
          <w:sz w:val="24"/>
          <w:szCs w:val="24"/>
          <w:highlight w:val="none"/>
        </w:rPr>
        <w:t>疑会的费用由自己承担，现场考察期间所发生的人身伤害及财产损失由自己负责。</w:t>
      </w:r>
    </w:p>
    <w:p w14:paraId="071E7FB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4" w:right="133" w:firstLine="479"/>
        <w:textAlignment w:val="baseline"/>
        <w:rPr>
          <w:sz w:val="24"/>
          <w:szCs w:val="24"/>
          <w:highlight w:val="none"/>
        </w:rPr>
      </w:pPr>
      <w:r>
        <w:rPr>
          <w:spacing w:val="-3"/>
          <w:sz w:val="24"/>
          <w:szCs w:val="24"/>
          <w:highlight w:val="none"/>
        </w:rPr>
        <w:t>6.4采购人或者采购代理机构不对投标供</w:t>
      </w:r>
      <w:r>
        <w:rPr>
          <w:spacing w:val="-4"/>
          <w:sz w:val="24"/>
          <w:szCs w:val="24"/>
          <w:highlight w:val="none"/>
        </w:rPr>
        <w:t>应商据此而做出的推论、理解和结论负责。</w:t>
      </w:r>
      <w:r>
        <w:rPr>
          <w:spacing w:val="-1"/>
          <w:sz w:val="24"/>
          <w:szCs w:val="24"/>
          <w:highlight w:val="none"/>
        </w:rPr>
        <w:t>投标供应商一旦中标，不得以任何借口，提出额外补偿，或延长合同期限的要求。</w:t>
      </w:r>
    </w:p>
    <w:p w14:paraId="19B7009B">
      <w:pPr>
        <w:rPr>
          <w:b/>
          <w:bCs/>
          <w:spacing w:val="11"/>
          <w:sz w:val="19"/>
          <w:szCs w:val="19"/>
          <w:highlight w:val="none"/>
        </w:rPr>
      </w:pPr>
      <w:bookmarkStart w:id="27" w:name="bookmark64"/>
      <w:bookmarkEnd w:id="27"/>
    </w:p>
    <w:p w14:paraId="5B0FE97B">
      <w:pPr>
        <w:pStyle w:val="5"/>
        <w:bidi w:val="0"/>
      </w:pPr>
      <w:bookmarkStart w:id="28" w:name="_Toc19001"/>
      <w:r>
        <w:t>二、招标文件</w:t>
      </w:r>
      <w:bookmarkEnd w:id="28"/>
    </w:p>
    <w:p w14:paraId="2EEECBF8">
      <w:pPr>
        <w:pStyle w:val="6"/>
        <w:bidi w:val="0"/>
        <w:rPr>
          <w:sz w:val="24"/>
          <w:szCs w:val="24"/>
        </w:rPr>
      </w:pPr>
      <w:bookmarkStart w:id="29" w:name="_Toc7341"/>
      <w:bookmarkStart w:id="30" w:name="_Toc10621"/>
      <w:bookmarkStart w:id="31" w:name="_Toc3408"/>
      <w:r>
        <w:rPr>
          <w:sz w:val="24"/>
          <w:szCs w:val="24"/>
        </w:rPr>
        <w:t>7.招标文件的构成</w:t>
      </w:r>
      <w:bookmarkEnd w:id="29"/>
      <w:bookmarkEnd w:id="30"/>
      <w:bookmarkEnd w:id="31"/>
    </w:p>
    <w:p w14:paraId="167906AF">
      <w:pPr>
        <w:pStyle w:val="2"/>
        <w:keepNext w:val="0"/>
        <w:keepLines w:val="0"/>
        <w:pageBreakBefore w:val="0"/>
        <w:widowControl/>
        <w:kinsoku/>
        <w:wordWrap w:val="0"/>
        <w:overflowPunct/>
        <w:topLinePunct w:val="0"/>
        <w:autoSpaceDE/>
        <w:autoSpaceDN/>
        <w:bidi w:val="0"/>
        <w:adjustRightInd w:val="0"/>
        <w:snapToGrid w:val="0"/>
        <w:spacing w:before="311" w:line="360" w:lineRule="auto"/>
        <w:ind w:left="514"/>
        <w:textAlignment w:val="baseline"/>
        <w:rPr>
          <w:sz w:val="24"/>
          <w:szCs w:val="24"/>
          <w:highlight w:val="none"/>
        </w:rPr>
      </w:pPr>
      <w:r>
        <w:rPr>
          <w:spacing w:val="-2"/>
          <w:sz w:val="24"/>
          <w:szCs w:val="24"/>
          <w:highlight w:val="none"/>
        </w:rPr>
        <w:t>7.1招标文件共七章，各章内容如下：</w:t>
      </w:r>
    </w:p>
    <w:p w14:paraId="5762233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1"/>
        <w:textAlignment w:val="baseline"/>
        <w:rPr>
          <w:sz w:val="24"/>
          <w:szCs w:val="24"/>
          <w:highlight w:val="none"/>
        </w:rPr>
      </w:pPr>
      <w:r>
        <w:rPr>
          <w:spacing w:val="-3"/>
          <w:sz w:val="24"/>
          <w:szCs w:val="24"/>
          <w:highlight w:val="none"/>
        </w:rPr>
        <w:t>第一章</w:t>
      </w:r>
      <w:r>
        <w:rPr>
          <w:rFonts w:hint="eastAsia"/>
          <w:spacing w:val="-3"/>
          <w:sz w:val="24"/>
          <w:szCs w:val="24"/>
          <w:highlight w:val="none"/>
          <w:lang w:val="en-US" w:eastAsia="zh-CN"/>
        </w:rPr>
        <w:t xml:space="preserve"> </w:t>
      </w:r>
      <w:r>
        <w:rPr>
          <w:spacing w:val="-3"/>
          <w:sz w:val="24"/>
          <w:szCs w:val="24"/>
          <w:highlight w:val="none"/>
        </w:rPr>
        <w:t>投标邀请</w:t>
      </w:r>
    </w:p>
    <w:p w14:paraId="37EF8AF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1"/>
        <w:textAlignment w:val="baseline"/>
        <w:rPr>
          <w:sz w:val="24"/>
          <w:szCs w:val="24"/>
          <w:highlight w:val="none"/>
        </w:rPr>
      </w:pPr>
      <w:r>
        <w:rPr>
          <w:spacing w:val="-3"/>
          <w:sz w:val="24"/>
          <w:szCs w:val="24"/>
          <w:highlight w:val="none"/>
        </w:rPr>
        <w:t>第二章</w:t>
      </w:r>
      <w:r>
        <w:rPr>
          <w:rFonts w:hint="eastAsia"/>
          <w:spacing w:val="-3"/>
          <w:sz w:val="24"/>
          <w:szCs w:val="24"/>
          <w:highlight w:val="none"/>
          <w:lang w:val="en-US" w:eastAsia="zh-CN"/>
        </w:rPr>
        <w:t xml:space="preserve"> </w:t>
      </w:r>
      <w:r>
        <w:rPr>
          <w:spacing w:val="-3"/>
          <w:sz w:val="24"/>
          <w:szCs w:val="24"/>
          <w:highlight w:val="none"/>
        </w:rPr>
        <w:t>投标须知</w:t>
      </w:r>
    </w:p>
    <w:p w14:paraId="76F6382E">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1"/>
        <w:textAlignment w:val="baseline"/>
        <w:rPr>
          <w:sz w:val="24"/>
          <w:szCs w:val="24"/>
          <w:highlight w:val="none"/>
        </w:rPr>
      </w:pPr>
      <w:r>
        <w:rPr>
          <w:spacing w:val="-7"/>
          <w:sz w:val="24"/>
          <w:szCs w:val="24"/>
          <w:highlight w:val="none"/>
        </w:rPr>
        <w:t>第三章</w:t>
      </w:r>
      <w:r>
        <w:rPr>
          <w:rFonts w:hint="eastAsia"/>
          <w:spacing w:val="-7"/>
          <w:sz w:val="24"/>
          <w:szCs w:val="24"/>
          <w:highlight w:val="none"/>
          <w:lang w:val="en-US" w:eastAsia="zh-CN"/>
        </w:rPr>
        <w:t xml:space="preserve"> </w:t>
      </w:r>
      <w:r>
        <w:rPr>
          <w:spacing w:val="-7"/>
          <w:sz w:val="24"/>
          <w:szCs w:val="24"/>
          <w:highlight w:val="none"/>
        </w:rPr>
        <w:t>资格审查</w:t>
      </w:r>
    </w:p>
    <w:p w14:paraId="690A851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1"/>
        <w:textAlignment w:val="baseline"/>
        <w:rPr>
          <w:sz w:val="24"/>
          <w:szCs w:val="24"/>
          <w:highlight w:val="none"/>
        </w:rPr>
      </w:pPr>
      <w:r>
        <w:rPr>
          <w:spacing w:val="-2"/>
          <w:sz w:val="24"/>
          <w:szCs w:val="24"/>
          <w:highlight w:val="none"/>
        </w:rPr>
        <w:t>第四章</w:t>
      </w:r>
      <w:r>
        <w:rPr>
          <w:rFonts w:hint="eastAsia"/>
          <w:spacing w:val="-2"/>
          <w:sz w:val="24"/>
          <w:szCs w:val="24"/>
          <w:highlight w:val="none"/>
          <w:lang w:val="en-US" w:eastAsia="zh-CN"/>
        </w:rPr>
        <w:t xml:space="preserve"> </w:t>
      </w:r>
      <w:r>
        <w:rPr>
          <w:spacing w:val="-2"/>
          <w:sz w:val="24"/>
          <w:szCs w:val="24"/>
          <w:highlight w:val="none"/>
        </w:rPr>
        <w:t>评标方法及标准（综合评分法）</w:t>
      </w:r>
    </w:p>
    <w:p w14:paraId="019A851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1"/>
        <w:textAlignment w:val="baseline"/>
        <w:rPr>
          <w:sz w:val="24"/>
          <w:szCs w:val="24"/>
          <w:highlight w:val="none"/>
        </w:rPr>
      </w:pPr>
      <w:r>
        <w:rPr>
          <w:spacing w:val="-3"/>
          <w:sz w:val="24"/>
          <w:szCs w:val="24"/>
          <w:highlight w:val="none"/>
        </w:rPr>
        <w:t>第五章</w:t>
      </w:r>
      <w:r>
        <w:rPr>
          <w:rFonts w:hint="eastAsia"/>
          <w:spacing w:val="-3"/>
          <w:sz w:val="24"/>
          <w:szCs w:val="24"/>
          <w:highlight w:val="none"/>
          <w:lang w:val="en-US" w:eastAsia="zh-CN"/>
        </w:rPr>
        <w:t xml:space="preserve"> </w:t>
      </w:r>
      <w:r>
        <w:rPr>
          <w:spacing w:val="-3"/>
          <w:sz w:val="24"/>
          <w:szCs w:val="24"/>
          <w:highlight w:val="none"/>
        </w:rPr>
        <w:t>采购需求</w:t>
      </w:r>
    </w:p>
    <w:p w14:paraId="11A1DCF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1"/>
        <w:textAlignment w:val="baseline"/>
        <w:rPr>
          <w:sz w:val="24"/>
          <w:szCs w:val="24"/>
          <w:highlight w:val="none"/>
        </w:rPr>
      </w:pPr>
      <w:r>
        <w:rPr>
          <w:spacing w:val="-2"/>
          <w:sz w:val="24"/>
          <w:szCs w:val="24"/>
          <w:highlight w:val="none"/>
        </w:rPr>
        <w:t>第六章</w:t>
      </w:r>
      <w:r>
        <w:rPr>
          <w:rFonts w:hint="eastAsia"/>
          <w:spacing w:val="-2"/>
          <w:sz w:val="24"/>
          <w:szCs w:val="24"/>
          <w:highlight w:val="none"/>
          <w:lang w:val="en-US" w:eastAsia="zh-CN"/>
        </w:rPr>
        <w:t xml:space="preserve"> </w:t>
      </w:r>
      <w:r>
        <w:rPr>
          <w:spacing w:val="-2"/>
          <w:sz w:val="24"/>
          <w:szCs w:val="24"/>
          <w:highlight w:val="none"/>
        </w:rPr>
        <w:t>政府采购合同</w:t>
      </w:r>
    </w:p>
    <w:p w14:paraId="3A9A60A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1"/>
        <w:textAlignment w:val="baseline"/>
        <w:rPr>
          <w:sz w:val="24"/>
          <w:szCs w:val="24"/>
          <w:highlight w:val="none"/>
        </w:rPr>
      </w:pPr>
      <w:r>
        <w:rPr>
          <w:spacing w:val="-2"/>
          <w:sz w:val="24"/>
          <w:szCs w:val="24"/>
          <w:highlight w:val="none"/>
        </w:rPr>
        <w:t>第七章</w:t>
      </w:r>
      <w:r>
        <w:rPr>
          <w:rFonts w:hint="eastAsia"/>
          <w:spacing w:val="-2"/>
          <w:sz w:val="24"/>
          <w:szCs w:val="24"/>
          <w:highlight w:val="none"/>
          <w:lang w:val="en-US" w:eastAsia="zh-CN"/>
        </w:rPr>
        <w:t xml:space="preserve"> </w:t>
      </w:r>
      <w:r>
        <w:rPr>
          <w:spacing w:val="-2"/>
          <w:sz w:val="24"/>
          <w:szCs w:val="24"/>
          <w:highlight w:val="none"/>
        </w:rPr>
        <w:t>投标文件的组成</w:t>
      </w:r>
    </w:p>
    <w:p w14:paraId="4D0C418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0" w:right="62" w:firstLine="491"/>
        <w:textAlignment w:val="baseline"/>
        <w:rPr>
          <w:sz w:val="24"/>
          <w:szCs w:val="24"/>
          <w:highlight w:val="none"/>
        </w:rPr>
      </w:pPr>
      <w:r>
        <w:rPr>
          <w:spacing w:val="-2"/>
          <w:sz w:val="24"/>
          <w:szCs w:val="24"/>
          <w:highlight w:val="none"/>
        </w:rPr>
        <w:t>7.2采购人或者采购代理机构在</w:t>
      </w:r>
      <w:r>
        <w:rPr>
          <w:b/>
          <w:bCs/>
          <w:spacing w:val="-2"/>
          <w:sz w:val="24"/>
          <w:szCs w:val="24"/>
          <w:highlight w:val="none"/>
        </w:rPr>
        <w:t>【投标须知前附表】</w:t>
      </w:r>
      <w:r>
        <w:rPr>
          <w:spacing w:val="-2"/>
          <w:sz w:val="24"/>
          <w:szCs w:val="24"/>
          <w:highlight w:val="none"/>
        </w:rPr>
        <w:t>规定的提交投标文件截止时间前</w:t>
      </w:r>
      <w:r>
        <w:rPr>
          <w:spacing w:val="-1"/>
          <w:sz w:val="24"/>
          <w:szCs w:val="24"/>
          <w:highlight w:val="none"/>
        </w:rPr>
        <w:t>对招标文件所作的澄清或者修改，构成招标文</w:t>
      </w:r>
      <w:r>
        <w:rPr>
          <w:spacing w:val="-2"/>
          <w:sz w:val="24"/>
          <w:szCs w:val="24"/>
          <w:highlight w:val="none"/>
        </w:rPr>
        <w:t>件的组成部分。</w:t>
      </w:r>
    </w:p>
    <w:p w14:paraId="18B37CDB">
      <w:pPr>
        <w:pStyle w:val="6"/>
        <w:bidi w:val="0"/>
        <w:rPr>
          <w:sz w:val="24"/>
          <w:szCs w:val="24"/>
        </w:rPr>
      </w:pPr>
      <w:bookmarkStart w:id="32" w:name="_Toc12632"/>
      <w:bookmarkStart w:id="33" w:name="_Toc10741"/>
      <w:bookmarkStart w:id="34" w:name="_Toc21958"/>
      <w:r>
        <w:rPr>
          <w:sz w:val="24"/>
          <w:szCs w:val="24"/>
        </w:rPr>
        <w:t>8．偏离与实质性响应</w:t>
      </w:r>
      <w:bookmarkEnd w:id="32"/>
      <w:bookmarkEnd w:id="33"/>
      <w:bookmarkEnd w:id="34"/>
    </w:p>
    <w:p w14:paraId="1F6B083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 w:right="57" w:firstLine="441"/>
        <w:textAlignment w:val="baseline"/>
        <w:rPr>
          <w:sz w:val="24"/>
          <w:szCs w:val="24"/>
          <w:highlight w:val="none"/>
        </w:rPr>
      </w:pPr>
      <w:r>
        <w:rPr>
          <w:spacing w:val="-2"/>
          <w:sz w:val="24"/>
          <w:szCs w:val="24"/>
          <w:highlight w:val="none"/>
        </w:rPr>
        <w:t>8.1投标供应商应当按照招标文件的要求编制投标文件。投标文件应当对招标文件提</w:t>
      </w:r>
      <w:r>
        <w:rPr>
          <w:spacing w:val="-5"/>
          <w:sz w:val="24"/>
          <w:szCs w:val="24"/>
          <w:highlight w:val="none"/>
        </w:rPr>
        <w:t>出的要求和条件作出明确响应。</w:t>
      </w:r>
    </w:p>
    <w:p w14:paraId="4FB825E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30" w:right="57" w:firstLine="474"/>
        <w:textAlignment w:val="baseline"/>
        <w:rPr>
          <w:sz w:val="24"/>
          <w:szCs w:val="24"/>
          <w:highlight w:val="none"/>
        </w:rPr>
      </w:pPr>
      <w:r>
        <w:rPr>
          <w:spacing w:val="-1"/>
          <w:sz w:val="24"/>
          <w:szCs w:val="24"/>
          <w:highlight w:val="none"/>
        </w:rPr>
        <w:t>8.2偏离是指投标文件不响应或者不满足</w:t>
      </w:r>
      <w:r>
        <w:rPr>
          <w:spacing w:val="-2"/>
          <w:sz w:val="24"/>
          <w:szCs w:val="24"/>
          <w:highlight w:val="none"/>
        </w:rPr>
        <w:t>招标文件提出的要求和条件，分为实质性偏</w:t>
      </w:r>
      <w:r>
        <w:rPr>
          <w:spacing w:val="-4"/>
          <w:sz w:val="24"/>
          <w:szCs w:val="24"/>
          <w:highlight w:val="none"/>
        </w:rPr>
        <w:t>离和非实质性偏离。</w:t>
      </w:r>
    </w:p>
    <w:p w14:paraId="2861FD69">
      <w:pPr>
        <w:pStyle w:val="2"/>
        <w:keepNext w:val="0"/>
        <w:keepLines w:val="0"/>
        <w:pageBreakBefore w:val="0"/>
        <w:widowControl/>
        <w:kinsoku/>
        <w:wordWrap w:val="0"/>
        <w:overflowPunct/>
        <w:topLinePunct w:val="0"/>
        <w:autoSpaceDE/>
        <w:autoSpaceDN/>
        <w:bidi w:val="0"/>
        <w:adjustRightInd w:val="0"/>
        <w:snapToGrid w:val="0"/>
        <w:spacing w:before="79" w:line="360" w:lineRule="auto"/>
        <w:ind w:right="16" w:firstLine="504"/>
        <w:textAlignment w:val="baseline"/>
        <w:rPr>
          <w:sz w:val="24"/>
          <w:szCs w:val="24"/>
          <w:highlight w:val="none"/>
        </w:rPr>
      </w:pPr>
      <w:r>
        <w:rPr>
          <w:spacing w:val="-3"/>
          <w:sz w:val="24"/>
          <w:szCs w:val="24"/>
          <w:highlight w:val="none"/>
        </w:rPr>
        <w:t>8.3除法律、法规和招标文件规定的其他投标无效情形外，招标文件中用</w:t>
      </w:r>
      <w:r>
        <w:rPr>
          <w:b/>
          <w:bCs/>
          <w:spacing w:val="-3"/>
          <w:sz w:val="24"/>
          <w:szCs w:val="24"/>
          <w:highlight w:val="none"/>
        </w:rPr>
        <w:t>“</w:t>
      </w:r>
      <w:r>
        <w:rPr>
          <w:b/>
          <w:bCs/>
          <w:spacing w:val="-4"/>
          <w:sz w:val="24"/>
          <w:szCs w:val="24"/>
          <w:highlight w:val="none"/>
        </w:rPr>
        <w:t>拒绝”、</w:t>
      </w:r>
      <w:r>
        <w:rPr>
          <w:b/>
          <w:bCs/>
          <w:spacing w:val="-13"/>
          <w:sz w:val="24"/>
          <w:szCs w:val="24"/>
          <w:highlight w:val="none"/>
        </w:rPr>
        <w:t>“不接受”、“无效”、“不得”</w:t>
      </w:r>
      <w:r>
        <w:rPr>
          <w:spacing w:val="-13"/>
          <w:sz w:val="24"/>
          <w:szCs w:val="24"/>
          <w:highlight w:val="none"/>
        </w:rPr>
        <w:t>文字规定或标注“★”符号的条款为实质性要求条款（即</w:t>
      </w:r>
      <w:r>
        <w:rPr>
          <w:spacing w:val="-2"/>
          <w:sz w:val="24"/>
          <w:szCs w:val="24"/>
          <w:highlight w:val="none"/>
        </w:rPr>
        <w:t>重要条款</w:t>
      </w:r>
      <w:r>
        <w:rPr>
          <w:spacing w:val="21"/>
          <w:sz w:val="24"/>
          <w:szCs w:val="24"/>
          <w:highlight w:val="none"/>
        </w:rPr>
        <w:t>），</w:t>
      </w:r>
      <w:r>
        <w:rPr>
          <w:spacing w:val="-2"/>
          <w:sz w:val="24"/>
          <w:szCs w:val="24"/>
          <w:highlight w:val="none"/>
        </w:rPr>
        <w:t>对其中任何一条的偏离，在评标时将其视为</w:t>
      </w:r>
      <w:r>
        <w:rPr>
          <w:b/>
          <w:bCs/>
          <w:spacing w:val="-2"/>
          <w:sz w:val="24"/>
          <w:szCs w:val="24"/>
          <w:highlight w:val="none"/>
        </w:rPr>
        <w:t>无效投标</w:t>
      </w:r>
      <w:r>
        <w:rPr>
          <w:spacing w:val="-2"/>
          <w:sz w:val="24"/>
          <w:szCs w:val="24"/>
          <w:highlight w:val="none"/>
        </w:rPr>
        <w:t>。</w:t>
      </w:r>
    </w:p>
    <w:p w14:paraId="0D39D12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2" w:right="57" w:firstLine="442"/>
        <w:textAlignment w:val="baseline"/>
        <w:rPr>
          <w:rFonts w:ascii="Arial"/>
          <w:sz w:val="21"/>
          <w:highlight w:val="none"/>
        </w:rPr>
      </w:pPr>
      <w:r>
        <w:rPr>
          <w:spacing w:val="-2"/>
          <w:sz w:val="24"/>
          <w:szCs w:val="24"/>
          <w:highlight w:val="none"/>
        </w:rPr>
        <w:t>8.4投标文件偏离招标文件的非实质性要求和条件，为非实质性偏离。非实质性偏离的范围和幅度应当符合【</w:t>
      </w:r>
      <w:r>
        <w:rPr>
          <w:b/>
          <w:bCs/>
          <w:spacing w:val="-2"/>
          <w:sz w:val="24"/>
          <w:szCs w:val="24"/>
          <w:highlight w:val="none"/>
        </w:rPr>
        <w:t>投标须知前附表</w:t>
      </w:r>
      <w:r>
        <w:rPr>
          <w:spacing w:val="-2"/>
          <w:sz w:val="24"/>
          <w:szCs w:val="24"/>
          <w:highlight w:val="none"/>
        </w:rPr>
        <w:t>】的规定，否则投标无效。</w:t>
      </w:r>
    </w:p>
    <w:p w14:paraId="091ACC4D">
      <w:pPr>
        <w:pStyle w:val="6"/>
        <w:bidi w:val="0"/>
        <w:rPr>
          <w:sz w:val="24"/>
          <w:szCs w:val="24"/>
        </w:rPr>
      </w:pPr>
      <w:bookmarkStart w:id="35" w:name="_Toc13734"/>
      <w:bookmarkStart w:id="36" w:name="_Toc532"/>
      <w:bookmarkStart w:id="37" w:name="_Toc20463"/>
      <w:r>
        <w:rPr>
          <w:sz w:val="24"/>
          <w:szCs w:val="24"/>
        </w:rPr>
        <w:t>9.询问</w:t>
      </w:r>
      <w:bookmarkEnd w:id="35"/>
      <w:bookmarkEnd w:id="36"/>
      <w:bookmarkEnd w:id="37"/>
    </w:p>
    <w:p w14:paraId="61E22EA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59" w:firstLine="476"/>
        <w:textAlignment w:val="baseline"/>
        <w:rPr>
          <w:sz w:val="24"/>
          <w:szCs w:val="24"/>
          <w:highlight w:val="none"/>
        </w:rPr>
      </w:pPr>
      <w:r>
        <w:rPr>
          <w:spacing w:val="-1"/>
          <w:sz w:val="24"/>
          <w:szCs w:val="24"/>
          <w:highlight w:val="none"/>
        </w:rPr>
        <w:t>9.1潜在投标供应商应仔细阅读和检查招标文件</w:t>
      </w:r>
      <w:r>
        <w:rPr>
          <w:spacing w:val="-2"/>
          <w:sz w:val="24"/>
          <w:szCs w:val="24"/>
          <w:highlight w:val="none"/>
        </w:rPr>
        <w:t>的全部内容。如有疑问，可以向采购人或者采购代理机构提出询问。</w:t>
      </w:r>
    </w:p>
    <w:p w14:paraId="70D10FE0">
      <w:pPr>
        <w:pStyle w:val="6"/>
        <w:bidi w:val="0"/>
        <w:rPr>
          <w:sz w:val="24"/>
          <w:szCs w:val="24"/>
        </w:rPr>
      </w:pPr>
      <w:bookmarkStart w:id="38" w:name="_Toc7252"/>
      <w:bookmarkStart w:id="39" w:name="_Toc20531"/>
      <w:bookmarkStart w:id="40" w:name="_Toc18064"/>
      <w:r>
        <w:rPr>
          <w:sz w:val="24"/>
          <w:szCs w:val="24"/>
        </w:rPr>
        <w:t>10.招标文件的澄清或者修改</w:t>
      </w:r>
      <w:bookmarkEnd w:id="38"/>
      <w:bookmarkEnd w:id="39"/>
      <w:bookmarkEnd w:id="40"/>
    </w:p>
    <w:p w14:paraId="49EC840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 w:right="182" w:firstLine="528"/>
        <w:textAlignment w:val="baseline"/>
        <w:rPr>
          <w:sz w:val="24"/>
          <w:szCs w:val="24"/>
          <w:highlight w:val="none"/>
        </w:rPr>
      </w:pPr>
      <w:r>
        <w:rPr>
          <w:spacing w:val="-2"/>
          <w:sz w:val="24"/>
          <w:szCs w:val="24"/>
          <w:highlight w:val="none"/>
        </w:rPr>
        <w:t>10.1采购人或者采购代理机构对已发出的招标文件进行必要澄清或者修改的，将在</w:t>
      </w:r>
      <w:r>
        <w:rPr>
          <w:b/>
          <w:bCs/>
          <w:spacing w:val="-2"/>
          <w:sz w:val="24"/>
          <w:szCs w:val="24"/>
          <w:highlight w:val="none"/>
        </w:rPr>
        <w:t>【投标须知前附表】</w:t>
      </w:r>
      <w:r>
        <w:rPr>
          <w:spacing w:val="-2"/>
          <w:sz w:val="24"/>
          <w:szCs w:val="24"/>
          <w:highlight w:val="none"/>
        </w:rPr>
        <w:t>指定的媒体上发布澄清或者更正公告。</w:t>
      </w:r>
    </w:p>
    <w:p w14:paraId="3084FB2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right="4" w:firstLine="508"/>
        <w:textAlignment w:val="baseline"/>
        <w:rPr>
          <w:sz w:val="24"/>
          <w:szCs w:val="24"/>
          <w:highlight w:val="none"/>
        </w:rPr>
      </w:pPr>
      <w:r>
        <w:rPr>
          <w:spacing w:val="-4"/>
          <w:sz w:val="24"/>
          <w:szCs w:val="24"/>
          <w:highlight w:val="none"/>
        </w:rPr>
        <w:t>10.2澄清或者修改的内容可能影响投标文件编制的，采购人或者采购代理机构将在提</w:t>
      </w:r>
      <w:r>
        <w:rPr>
          <w:spacing w:val="-5"/>
          <w:sz w:val="24"/>
          <w:szCs w:val="24"/>
          <w:highlight w:val="none"/>
        </w:rPr>
        <w:t>交投标文件截止时间15日前，以书面形式通知所有获取招标文件的潜在投标供应商；不</w:t>
      </w:r>
      <w:r>
        <w:rPr>
          <w:spacing w:val="-8"/>
          <w:sz w:val="24"/>
          <w:szCs w:val="24"/>
          <w:highlight w:val="none"/>
        </w:rPr>
        <w:t>足15日的，将相应延长提交投标文件的截止时间。</w:t>
      </w:r>
    </w:p>
    <w:p w14:paraId="2EF457A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4" w:firstLine="513"/>
        <w:textAlignment w:val="baseline"/>
        <w:rPr>
          <w:sz w:val="24"/>
          <w:szCs w:val="24"/>
          <w:highlight w:val="none"/>
        </w:rPr>
      </w:pPr>
      <w:r>
        <w:rPr>
          <w:spacing w:val="-5"/>
          <w:sz w:val="24"/>
          <w:szCs w:val="24"/>
          <w:highlight w:val="none"/>
        </w:rPr>
        <w:t>10.3招标文件的提供期限届满后，获取招标文件的潜在投标供应商不足3家的，可以</w:t>
      </w:r>
      <w:r>
        <w:rPr>
          <w:spacing w:val="-3"/>
          <w:sz w:val="24"/>
          <w:szCs w:val="24"/>
          <w:highlight w:val="none"/>
        </w:rPr>
        <w:t>顺延提供期限，并在本章第10.1款规定的媒体上发布更</w:t>
      </w:r>
      <w:r>
        <w:rPr>
          <w:spacing w:val="-4"/>
          <w:sz w:val="24"/>
          <w:szCs w:val="24"/>
          <w:highlight w:val="none"/>
        </w:rPr>
        <w:t>正公告。</w:t>
      </w:r>
    </w:p>
    <w:p w14:paraId="44A8B60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6" w:firstLine="514"/>
        <w:textAlignment w:val="baseline"/>
        <w:rPr>
          <w:sz w:val="24"/>
          <w:szCs w:val="24"/>
          <w:highlight w:val="none"/>
        </w:rPr>
      </w:pPr>
      <w:r>
        <w:rPr>
          <w:spacing w:val="-3"/>
          <w:sz w:val="24"/>
          <w:szCs w:val="24"/>
          <w:highlight w:val="none"/>
        </w:rPr>
        <w:t>10.4通过电子招标投标交易平台下载招标文件的，应及时</w:t>
      </w:r>
      <w:r>
        <w:rPr>
          <w:spacing w:val="-4"/>
          <w:sz w:val="24"/>
          <w:szCs w:val="24"/>
          <w:highlight w:val="none"/>
        </w:rPr>
        <w:t>关注本章第10.1款规定的</w:t>
      </w:r>
      <w:r>
        <w:rPr>
          <w:spacing w:val="-1"/>
          <w:sz w:val="24"/>
          <w:szCs w:val="24"/>
          <w:highlight w:val="none"/>
        </w:rPr>
        <w:t>媒体发布的澄清或者更正公告，采购代理机</w:t>
      </w:r>
      <w:r>
        <w:rPr>
          <w:spacing w:val="-2"/>
          <w:sz w:val="24"/>
          <w:szCs w:val="24"/>
          <w:highlight w:val="none"/>
        </w:rPr>
        <w:t>构不再书面通知。</w:t>
      </w:r>
    </w:p>
    <w:p w14:paraId="0AFF7EC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4599431">
      <w:pPr>
        <w:pStyle w:val="5"/>
        <w:bidi w:val="0"/>
      </w:pPr>
      <w:bookmarkStart w:id="41" w:name="_Toc17618"/>
      <w:r>
        <w:t>三、投标文件</w:t>
      </w:r>
      <w:bookmarkEnd w:id="41"/>
    </w:p>
    <w:p w14:paraId="6285A56E">
      <w:pPr>
        <w:pStyle w:val="6"/>
        <w:bidi w:val="0"/>
        <w:rPr>
          <w:sz w:val="24"/>
          <w:szCs w:val="24"/>
        </w:rPr>
      </w:pPr>
      <w:bookmarkStart w:id="42" w:name="_Toc20419"/>
      <w:bookmarkStart w:id="43" w:name="_Toc9905"/>
      <w:bookmarkStart w:id="44" w:name="_Toc1199"/>
      <w:r>
        <w:rPr>
          <w:sz w:val="24"/>
          <w:szCs w:val="24"/>
        </w:rPr>
        <w:t>11.投标语言</w:t>
      </w:r>
      <w:bookmarkEnd w:id="42"/>
      <w:bookmarkEnd w:id="43"/>
      <w:bookmarkEnd w:id="44"/>
    </w:p>
    <w:p w14:paraId="0E3D38A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5" w:firstLine="517"/>
        <w:jc w:val="both"/>
        <w:textAlignment w:val="baseline"/>
        <w:rPr>
          <w:sz w:val="24"/>
          <w:szCs w:val="24"/>
          <w:highlight w:val="none"/>
        </w:rPr>
      </w:pPr>
      <w:r>
        <w:rPr>
          <w:spacing w:val="-4"/>
          <w:sz w:val="24"/>
          <w:szCs w:val="24"/>
          <w:highlight w:val="none"/>
        </w:rPr>
        <w:t>11.1除专用术语外，投标供应商提交的投标文件及</w:t>
      </w:r>
      <w:r>
        <w:rPr>
          <w:spacing w:val="-5"/>
          <w:sz w:val="24"/>
          <w:szCs w:val="24"/>
          <w:highlight w:val="none"/>
        </w:rPr>
        <w:t>投标供应商与采购代理机构就有关</w:t>
      </w:r>
      <w:r>
        <w:rPr>
          <w:sz w:val="24"/>
          <w:szCs w:val="24"/>
          <w:highlight w:val="none"/>
        </w:rPr>
        <w:t>投标的所有来往函电均使用中文。投标供应</w:t>
      </w:r>
      <w:r>
        <w:rPr>
          <w:spacing w:val="-1"/>
          <w:sz w:val="24"/>
          <w:szCs w:val="24"/>
          <w:highlight w:val="none"/>
        </w:rPr>
        <w:t>商可以提交其它语言的资料，但应附有中文注</w:t>
      </w:r>
      <w:r>
        <w:rPr>
          <w:spacing w:val="-2"/>
          <w:sz w:val="24"/>
          <w:szCs w:val="24"/>
          <w:highlight w:val="none"/>
        </w:rPr>
        <w:t>释，有差异时以中文为准。</w:t>
      </w:r>
    </w:p>
    <w:p w14:paraId="650F63DC">
      <w:pPr>
        <w:pStyle w:val="6"/>
        <w:bidi w:val="0"/>
        <w:rPr>
          <w:sz w:val="24"/>
          <w:szCs w:val="24"/>
        </w:rPr>
      </w:pPr>
      <w:bookmarkStart w:id="45" w:name="_Toc28529"/>
      <w:bookmarkStart w:id="46" w:name="_Toc22883"/>
      <w:bookmarkStart w:id="47" w:name="_Toc25102"/>
      <w:r>
        <w:rPr>
          <w:sz w:val="24"/>
          <w:szCs w:val="24"/>
        </w:rPr>
        <w:t>12.计量单位</w:t>
      </w:r>
      <w:bookmarkEnd w:id="45"/>
      <w:bookmarkEnd w:id="46"/>
      <w:bookmarkEnd w:id="47"/>
    </w:p>
    <w:p w14:paraId="0BA76ECD">
      <w:pPr>
        <w:pStyle w:val="2"/>
        <w:keepNext w:val="0"/>
        <w:keepLines w:val="0"/>
        <w:pageBreakBefore w:val="0"/>
        <w:widowControl/>
        <w:kinsoku/>
        <w:wordWrap w:val="0"/>
        <w:overflowPunct/>
        <w:topLinePunct w:val="0"/>
        <w:autoSpaceDE/>
        <w:autoSpaceDN/>
        <w:bidi w:val="0"/>
        <w:adjustRightInd w:val="0"/>
        <w:snapToGrid w:val="0"/>
        <w:spacing w:before="311" w:line="360" w:lineRule="auto"/>
        <w:ind w:left="533"/>
        <w:textAlignment w:val="baseline"/>
        <w:rPr>
          <w:sz w:val="24"/>
          <w:szCs w:val="24"/>
          <w:highlight w:val="none"/>
        </w:rPr>
      </w:pPr>
      <w:r>
        <w:rPr>
          <w:spacing w:val="-3"/>
          <w:sz w:val="24"/>
          <w:szCs w:val="24"/>
          <w:highlight w:val="none"/>
        </w:rPr>
        <w:t>12.1所有计量均采用中华人民共和国法</w:t>
      </w:r>
      <w:r>
        <w:rPr>
          <w:spacing w:val="-4"/>
          <w:sz w:val="24"/>
          <w:szCs w:val="24"/>
          <w:highlight w:val="none"/>
        </w:rPr>
        <w:t>定计量单位。</w:t>
      </w:r>
    </w:p>
    <w:p w14:paraId="6BDC4CA0">
      <w:pPr>
        <w:pStyle w:val="6"/>
        <w:bidi w:val="0"/>
        <w:rPr>
          <w:sz w:val="24"/>
          <w:szCs w:val="24"/>
        </w:rPr>
      </w:pPr>
      <w:bookmarkStart w:id="48" w:name="_Toc22047"/>
      <w:bookmarkStart w:id="49" w:name="_Toc19561"/>
      <w:bookmarkStart w:id="50" w:name="_Toc366"/>
      <w:r>
        <w:rPr>
          <w:sz w:val="24"/>
          <w:szCs w:val="24"/>
        </w:rPr>
        <w:t>13.投标文件的组成</w:t>
      </w:r>
      <w:bookmarkEnd w:id="48"/>
      <w:bookmarkEnd w:id="49"/>
      <w:bookmarkEnd w:id="50"/>
    </w:p>
    <w:p w14:paraId="5EE6533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right="4" w:firstLine="508"/>
        <w:textAlignment w:val="baseline"/>
        <w:rPr>
          <w:sz w:val="24"/>
          <w:szCs w:val="24"/>
          <w:highlight w:val="none"/>
        </w:rPr>
      </w:pPr>
      <w:r>
        <w:rPr>
          <w:spacing w:val="-4"/>
          <w:sz w:val="24"/>
          <w:szCs w:val="24"/>
          <w:highlight w:val="none"/>
        </w:rPr>
        <w:t>13.1投标文件由第一部分资格证明文件和第二部分商务技术文件组成。投标文件内容</w:t>
      </w:r>
      <w:r>
        <w:rPr>
          <w:spacing w:val="-7"/>
          <w:sz w:val="24"/>
          <w:szCs w:val="24"/>
          <w:highlight w:val="none"/>
        </w:rPr>
        <w:t>如下：</w:t>
      </w:r>
    </w:p>
    <w:p w14:paraId="4FBB72AA">
      <w:pPr>
        <w:pStyle w:val="2"/>
        <w:keepNext w:val="0"/>
        <w:keepLines w:val="0"/>
        <w:pageBreakBefore w:val="0"/>
        <w:widowControl/>
        <w:kinsoku/>
        <w:wordWrap w:val="0"/>
        <w:overflowPunct/>
        <w:topLinePunct w:val="0"/>
        <w:autoSpaceDE/>
        <w:autoSpaceDN/>
        <w:bidi w:val="0"/>
        <w:adjustRightInd w:val="0"/>
        <w:snapToGrid w:val="0"/>
        <w:spacing w:before="124" w:line="360" w:lineRule="auto"/>
        <w:ind w:left="498"/>
        <w:textAlignment w:val="baseline"/>
        <w:outlineLvl w:val="1"/>
        <w:rPr>
          <w:sz w:val="24"/>
          <w:szCs w:val="24"/>
          <w:highlight w:val="none"/>
        </w:rPr>
      </w:pPr>
      <w:bookmarkStart w:id="51" w:name="_Toc28595"/>
      <w:bookmarkStart w:id="52" w:name="_Toc2119"/>
      <w:bookmarkStart w:id="53" w:name="_Toc1005"/>
      <w:bookmarkStart w:id="54" w:name="_Toc24738"/>
      <w:r>
        <w:rPr>
          <w:b/>
          <w:bCs/>
          <w:spacing w:val="-9"/>
          <w:sz w:val="24"/>
          <w:szCs w:val="24"/>
          <w:highlight w:val="none"/>
        </w:rPr>
        <w:t>第一部分资格证明文件</w:t>
      </w:r>
      <w:bookmarkEnd w:id="51"/>
      <w:bookmarkEnd w:id="52"/>
      <w:bookmarkEnd w:id="53"/>
      <w:bookmarkEnd w:id="54"/>
    </w:p>
    <w:p w14:paraId="3834CE7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sz w:val="24"/>
          <w:szCs w:val="24"/>
          <w:highlight w:val="none"/>
        </w:rPr>
      </w:pPr>
      <w:r>
        <w:rPr>
          <w:spacing w:val="-4"/>
          <w:sz w:val="24"/>
          <w:szCs w:val="24"/>
          <w:highlight w:val="none"/>
        </w:rPr>
        <w:t>一、开标一览表</w:t>
      </w:r>
    </w:p>
    <w:p w14:paraId="2BB316A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5"/>
        <w:textAlignment w:val="baseline"/>
        <w:rPr>
          <w:sz w:val="24"/>
          <w:szCs w:val="24"/>
          <w:highlight w:val="none"/>
        </w:rPr>
      </w:pPr>
      <w:r>
        <w:rPr>
          <w:spacing w:val="-2"/>
          <w:sz w:val="24"/>
          <w:szCs w:val="24"/>
          <w:highlight w:val="none"/>
        </w:rPr>
        <w:t>二、法定代表人（单位负责人）身份证明</w:t>
      </w:r>
    </w:p>
    <w:p w14:paraId="3BD19A2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8"/>
        <w:textAlignment w:val="baseline"/>
        <w:rPr>
          <w:sz w:val="24"/>
          <w:szCs w:val="24"/>
          <w:highlight w:val="none"/>
        </w:rPr>
      </w:pPr>
      <w:r>
        <w:rPr>
          <w:spacing w:val="-2"/>
          <w:sz w:val="24"/>
          <w:szCs w:val="24"/>
          <w:highlight w:val="none"/>
        </w:rPr>
        <w:t>三、投标供应商提供的资格证明文件</w:t>
      </w:r>
    </w:p>
    <w:p w14:paraId="64C63ED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8"/>
        <w:textAlignment w:val="baseline"/>
        <w:outlineLvl w:val="1"/>
        <w:rPr>
          <w:sz w:val="24"/>
          <w:szCs w:val="24"/>
          <w:highlight w:val="none"/>
        </w:rPr>
      </w:pPr>
      <w:bookmarkStart w:id="55" w:name="_Toc7035"/>
      <w:bookmarkStart w:id="56" w:name="_Toc22822"/>
      <w:bookmarkStart w:id="57" w:name="_Toc12454"/>
      <w:bookmarkStart w:id="58" w:name="_Toc23046"/>
      <w:r>
        <w:rPr>
          <w:b/>
          <w:bCs/>
          <w:spacing w:val="-6"/>
          <w:sz w:val="24"/>
          <w:szCs w:val="24"/>
          <w:highlight w:val="none"/>
        </w:rPr>
        <w:t>第二部分商务文件</w:t>
      </w:r>
      <w:bookmarkEnd w:id="55"/>
      <w:bookmarkEnd w:id="56"/>
      <w:bookmarkEnd w:id="57"/>
      <w:bookmarkEnd w:id="58"/>
    </w:p>
    <w:p w14:paraId="319CCA8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83"/>
        <w:textAlignment w:val="baseline"/>
        <w:outlineLvl w:val="1"/>
        <w:rPr>
          <w:sz w:val="24"/>
          <w:szCs w:val="24"/>
          <w:highlight w:val="none"/>
        </w:rPr>
      </w:pPr>
      <w:bookmarkStart w:id="59" w:name="bookmark65"/>
      <w:bookmarkEnd w:id="59"/>
      <w:bookmarkStart w:id="60" w:name="_Toc24162"/>
      <w:bookmarkStart w:id="61" w:name="_Toc61"/>
      <w:bookmarkStart w:id="62" w:name="_Toc20273"/>
      <w:bookmarkStart w:id="63" w:name="_Toc31711"/>
      <w:r>
        <w:rPr>
          <w:spacing w:val="-11"/>
          <w:sz w:val="24"/>
          <w:szCs w:val="24"/>
          <w:highlight w:val="none"/>
        </w:rPr>
        <w:t>四、投标函</w:t>
      </w:r>
      <w:bookmarkEnd w:id="60"/>
      <w:bookmarkEnd w:id="61"/>
      <w:bookmarkEnd w:id="62"/>
      <w:bookmarkEnd w:id="63"/>
    </w:p>
    <w:p w14:paraId="23FEBFD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rFonts w:hint="eastAsia" w:eastAsia="宋体"/>
          <w:sz w:val="24"/>
          <w:szCs w:val="24"/>
          <w:highlight w:val="none"/>
          <w:lang w:eastAsia="zh-CN"/>
        </w:rPr>
      </w:pPr>
      <w:r>
        <w:rPr>
          <w:spacing w:val="-4"/>
          <w:sz w:val="24"/>
          <w:szCs w:val="24"/>
          <w:highlight w:val="none"/>
        </w:rPr>
        <w:t>五、</w:t>
      </w:r>
      <w:r>
        <w:rPr>
          <w:rFonts w:hint="eastAsia"/>
          <w:spacing w:val="-4"/>
          <w:sz w:val="24"/>
          <w:szCs w:val="24"/>
          <w:highlight w:val="none"/>
          <w:lang w:eastAsia="zh-CN"/>
        </w:rPr>
        <w:t>分项报价</w:t>
      </w:r>
    </w:p>
    <w:p w14:paraId="75F180F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3"/>
        <w:textAlignment w:val="baseline"/>
        <w:rPr>
          <w:sz w:val="24"/>
          <w:szCs w:val="24"/>
          <w:highlight w:val="none"/>
        </w:rPr>
      </w:pPr>
      <w:r>
        <w:rPr>
          <w:spacing w:val="-2"/>
          <w:sz w:val="24"/>
          <w:szCs w:val="24"/>
          <w:highlight w:val="none"/>
        </w:rPr>
        <w:t>六、商务、合同条款偏离表</w:t>
      </w:r>
    </w:p>
    <w:p w14:paraId="386BDC0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5"/>
        <w:textAlignment w:val="baseline"/>
        <w:rPr>
          <w:sz w:val="24"/>
          <w:szCs w:val="24"/>
          <w:highlight w:val="none"/>
        </w:rPr>
      </w:pPr>
      <w:r>
        <w:rPr>
          <w:spacing w:val="-2"/>
          <w:sz w:val="24"/>
          <w:szCs w:val="24"/>
          <w:highlight w:val="none"/>
        </w:rPr>
        <w:t>七、享受政府采购政策优惠的证明资料</w:t>
      </w:r>
    </w:p>
    <w:p w14:paraId="3A71F14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5"/>
        <w:textAlignment w:val="baseline"/>
        <w:rPr>
          <w:sz w:val="24"/>
          <w:szCs w:val="24"/>
          <w:highlight w:val="none"/>
        </w:rPr>
      </w:pPr>
      <w:r>
        <w:rPr>
          <w:spacing w:val="-2"/>
          <w:sz w:val="24"/>
          <w:szCs w:val="24"/>
          <w:highlight w:val="none"/>
        </w:rPr>
        <w:t>八、投标供应商认为需提供的其他资料</w:t>
      </w:r>
    </w:p>
    <w:p w14:paraId="76C9EFE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8"/>
        <w:textAlignment w:val="baseline"/>
        <w:outlineLvl w:val="1"/>
        <w:rPr>
          <w:sz w:val="24"/>
          <w:szCs w:val="24"/>
          <w:highlight w:val="none"/>
        </w:rPr>
      </w:pPr>
      <w:bookmarkStart w:id="64" w:name="_Toc7094"/>
      <w:bookmarkStart w:id="65" w:name="_Toc5896"/>
      <w:bookmarkStart w:id="66" w:name="_Toc31447"/>
      <w:bookmarkStart w:id="67" w:name="_Toc1254"/>
      <w:r>
        <w:rPr>
          <w:b/>
          <w:bCs/>
          <w:spacing w:val="-6"/>
          <w:sz w:val="24"/>
          <w:szCs w:val="24"/>
          <w:highlight w:val="none"/>
        </w:rPr>
        <w:t>第三部分技术文件</w:t>
      </w:r>
      <w:bookmarkEnd w:id="64"/>
      <w:bookmarkEnd w:id="65"/>
      <w:bookmarkEnd w:id="66"/>
      <w:bookmarkEnd w:id="67"/>
    </w:p>
    <w:p w14:paraId="5B0E0A3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9"/>
        <w:textAlignment w:val="baseline"/>
        <w:rPr>
          <w:sz w:val="24"/>
          <w:szCs w:val="24"/>
          <w:highlight w:val="none"/>
        </w:rPr>
      </w:pPr>
      <w:r>
        <w:rPr>
          <w:spacing w:val="-4"/>
          <w:sz w:val="24"/>
          <w:szCs w:val="24"/>
          <w:highlight w:val="none"/>
        </w:rPr>
        <w:t>九、采购需求响应</w:t>
      </w:r>
    </w:p>
    <w:p w14:paraId="422A65A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9"/>
        <w:textAlignment w:val="baseline"/>
        <w:rPr>
          <w:sz w:val="24"/>
          <w:szCs w:val="24"/>
          <w:highlight w:val="none"/>
        </w:rPr>
      </w:pPr>
      <w:r>
        <w:rPr>
          <w:spacing w:val="-3"/>
          <w:sz w:val="24"/>
          <w:szCs w:val="24"/>
          <w:highlight w:val="none"/>
        </w:rPr>
        <w:t>十、采购需求偏离表</w:t>
      </w:r>
    </w:p>
    <w:p w14:paraId="2D31AC8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9"/>
        <w:textAlignment w:val="baseline"/>
        <w:rPr>
          <w:sz w:val="24"/>
          <w:szCs w:val="24"/>
          <w:highlight w:val="none"/>
        </w:rPr>
      </w:pPr>
      <w:r>
        <w:rPr>
          <w:spacing w:val="-2"/>
          <w:sz w:val="24"/>
          <w:szCs w:val="24"/>
          <w:highlight w:val="none"/>
        </w:rPr>
        <w:t>十一、投标货物符合招标文件规定的证明文件</w:t>
      </w:r>
    </w:p>
    <w:p w14:paraId="2AE0038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firstLine="508"/>
        <w:textAlignment w:val="baseline"/>
        <w:rPr>
          <w:sz w:val="24"/>
          <w:szCs w:val="24"/>
          <w:highlight w:val="none"/>
        </w:rPr>
      </w:pPr>
      <w:r>
        <w:rPr>
          <w:spacing w:val="-4"/>
          <w:sz w:val="24"/>
          <w:szCs w:val="24"/>
          <w:highlight w:val="none"/>
        </w:rPr>
        <w:t>13.2根据《政府采购法》第四十二条的规定，投标供应商无论中标与否，其投标文件</w:t>
      </w:r>
      <w:r>
        <w:rPr>
          <w:spacing w:val="-5"/>
          <w:sz w:val="24"/>
          <w:szCs w:val="24"/>
          <w:highlight w:val="none"/>
        </w:rPr>
        <w:t>不予退还。</w:t>
      </w:r>
    </w:p>
    <w:p w14:paraId="1229F283">
      <w:pPr>
        <w:pStyle w:val="6"/>
        <w:bidi w:val="0"/>
        <w:rPr>
          <w:sz w:val="24"/>
          <w:szCs w:val="24"/>
        </w:rPr>
      </w:pPr>
      <w:bookmarkStart w:id="68" w:name="_Toc23999"/>
      <w:bookmarkStart w:id="69" w:name="_Toc21964"/>
      <w:bookmarkStart w:id="70" w:name="_Toc24542"/>
      <w:r>
        <w:rPr>
          <w:sz w:val="24"/>
          <w:szCs w:val="24"/>
        </w:rPr>
        <w:t>14.投标报价</w:t>
      </w:r>
      <w:bookmarkEnd w:id="68"/>
      <w:bookmarkEnd w:id="69"/>
      <w:bookmarkEnd w:id="70"/>
    </w:p>
    <w:p w14:paraId="719185B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3" w:firstLine="510"/>
        <w:textAlignment w:val="baseline"/>
        <w:rPr>
          <w:sz w:val="24"/>
          <w:szCs w:val="24"/>
          <w:highlight w:val="none"/>
        </w:rPr>
      </w:pPr>
      <w:r>
        <w:rPr>
          <w:spacing w:val="-4"/>
          <w:sz w:val="24"/>
          <w:szCs w:val="24"/>
          <w:highlight w:val="none"/>
        </w:rPr>
        <w:t>14.1投标供应商应以招标文件规定的供货及服务要求、责任范围和合同条件为基础，</w:t>
      </w:r>
      <w:r>
        <w:rPr>
          <w:spacing w:val="-2"/>
          <w:sz w:val="24"/>
          <w:szCs w:val="24"/>
          <w:highlight w:val="none"/>
        </w:rPr>
        <w:t>按第七章“投标文件的组成”的有关规定进行报价</w:t>
      </w:r>
      <w:r>
        <w:rPr>
          <w:spacing w:val="-3"/>
          <w:sz w:val="24"/>
          <w:szCs w:val="24"/>
          <w:highlight w:val="none"/>
        </w:rPr>
        <w:t>。投标供应商的报价应包括为完成本项</w:t>
      </w:r>
      <w:r>
        <w:rPr>
          <w:spacing w:val="-1"/>
          <w:sz w:val="24"/>
          <w:szCs w:val="24"/>
          <w:highlight w:val="none"/>
        </w:rPr>
        <w:t>目所要求的全部内容可能发生的全部费用和税费、规费、保险费（如果有）等，采购人将</w:t>
      </w:r>
      <w:r>
        <w:rPr>
          <w:spacing w:val="-2"/>
          <w:sz w:val="24"/>
          <w:szCs w:val="24"/>
          <w:highlight w:val="none"/>
        </w:rPr>
        <w:t>不再支付报价以外的任何费用。</w:t>
      </w:r>
    </w:p>
    <w:p w14:paraId="77D485A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57" w:firstLine="509"/>
        <w:textAlignment w:val="baseline"/>
        <w:rPr>
          <w:sz w:val="24"/>
          <w:szCs w:val="24"/>
          <w:highlight w:val="none"/>
        </w:rPr>
      </w:pPr>
      <w:r>
        <w:rPr>
          <w:spacing w:val="-2"/>
          <w:sz w:val="24"/>
          <w:szCs w:val="24"/>
          <w:highlight w:val="none"/>
        </w:rPr>
        <w:t>14.2投标供应商的投标报价不得超过采购预算，也不得超过最高限价(招标文件设定最高限价的)，否则其</w:t>
      </w:r>
      <w:r>
        <w:rPr>
          <w:b/>
          <w:bCs/>
          <w:spacing w:val="-2"/>
          <w:sz w:val="24"/>
          <w:szCs w:val="24"/>
          <w:highlight w:val="none"/>
        </w:rPr>
        <w:t>投标无效</w:t>
      </w:r>
      <w:r>
        <w:rPr>
          <w:spacing w:val="-2"/>
          <w:sz w:val="24"/>
          <w:szCs w:val="24"/>
          <w:highlight w:val="none"/>
        </w:rPr>
        <w:t>。采购项目采购预算、最高限价(如果设定)见</w:t>
      </w:r>
      <w:r>
        <w:rPr>
          <w:b/>
          <w:bCs/>
          <w:spacing w:val="-2"/>
          <w:sz w:val="24"/>
          <w:szCs w:val="24"/>
          <w:highlight w:val="none"/>
        </w:rPr>
        <w:t>【投标须知</w:t>
      </w:r>
      <w:r>
        <w:rPr>
          <w:b/>
          <w:bCs/>
          <w:spacing w:val="-7"/>
          <w:sz w:val="24"/>
          <w:szCs w:val="24"/>
          <w:highlight w:val="none"/>
        </w:rPr>
        <w:t>前附表】</w:t>
      </w:r>
      <w:r>
        <w:rPr>
          <w:spacing w:val="-7"/>
          <w:sz w:val="24"/>
          <w:szCs w:val="24"/>
          <w:highlight w:val="none"/>
        </w:rPr>
        <w:t>。</w:t>
      </w:r>
    </w:p>
    <w:p w14:paraId="0EAF52D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2"/>
          <w:sz w:val="24"/>
          <w:szCs w:val="24"/>
          <w:highlight w:val="none"/>
        </w:rPr>
        <w:t>14.3投标供应商应在分项报价明细表中对每项内容给予详细分项报价。</w:t>
      </w:r>
    </w:p>
    <w:p w14:paraId="1FF090E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3"/>
          <w:sz w:val="24"/>
          <w:szCs w:val="24"/>
          <w:highlight w:val="none"/>
        </w:rPr>
        <w:t>14.4投标供应商对采购项目内容只允许有一个投标报价，否则其</w:t>
      </w:r>
      <w:r>
        <w:rPr>
          <w:b/>
          <w:bCs/>
          <w:spacing w:val="-3"/>
          <w:sz w:val="24"/>
          <w:szCs w:val="24"/>
          <w:highlight w:val="none"/>
        </w:rPr>
        <w:t>投标无效。</w:t>
      </w:r>
    </w:p>
    <w:p w14:paraId="41B41DAC">
      <w:pPr>
        <w:pStyle w:val="2"/>
        <w:keepNext w:val="0"/>
        <w:keepLines w:val="0"/>
        <w:pageBreakBefore w:val="0"/>
        <w:widowControl/>
        <w:kinsoku/>
        <w:wordWrap w:val="0"/>
        <w:overflowPunct/>
        <w:topLinePunct w:val="0"/>
        <w:autoSpaceDE/>
        <w:autoSpaceDN/>
        <w:bidi w:val="0"/>
        <w:adjustRightInd w:val="0"/>
        <w:snapToGrid w:val="0"/>
        <w:spacing w:before="280" w:line="360" w:lineRule="auto"/>
        <w:ind w:left="25" w:right="96" w:firstLine="508"/>
        <w:textAlignment w:val="baseline"/>
        <w:rPr>
          <w:sz w:val="24"/>
          <w:szCs w:val="24"/>
          <w:highlight w:val="none"/>
        </w:rPr>
      </w:pPr>
      <w:r>
        <w:rPr>
          <w:spacing w:val="-4"/>
          <w:sz w:val="24"/>
          <w:szCs w:val="24"/>
          <w:highlight w:val="none"/>
        </w:rPr>
        <w:t>14.5采购人不接受投标供应商给予的赠品、回扣或者与采购无关的其他商品、服务。如有赠与行为，其</w:t>
      </w:r>
      <w:r>
        <w:rPr>
          <w:b/>
          <w:bCs/>
          <w:spacing w:val="-4"/>
          <w:sz w:val="24"/>
          <w:szCs w:val="24"/>
          <w:highlight w:val="none"/>
        </w:rPr>
        <w:t>投标无效。</w:t>
      </w:r>
    </w:p>
    <w:p w14:paraId="68A53CA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82" w:firstLine="509"/>
        <w:textAlignment w:val="baseline"/>
        <w:rPr>
          <w:sz w:val="24"/>
          <w:szCs w:val="24"/>
          <w:highlight w:val="none"/>
        </w:rPr>
      </w:pPr>
      <w:r>
        <w:rPr>
          <w:spacing w:val="-4"/>
          <w:sz w:val="24"/>
          <w:szCs w:val="24"/>
          <w:highlight w:val="none"/>
        </w:rPr>
        <w:t>14.6投标文件中标明的价格在合同执行过程中是固定不变的，不得以任何理由予以变</w:t>
      </w:r>
      <w:r>
        <w:rPr>
          <w:spacing w:val="-2"/>
          <w:sz w:val="24"/>
          <w:szCs w:val="24"/>
          <w:highlight w:val="none"/>
        </w:rPr>
        <w:t>更。任何包含价格调整要求和条件的投标，其</w:t>
      </w:r>
      <w:r>
        <w:rPr>
          <w:b/>
          <w:bCs/>
          <w:spacing w:val="-2"/>
          <w:sz w:val="24"/>
          <w:szCs w:val="24"/>
          <w:highlight w:val="none"/>
        </w:rPr>
        <w:t>投标无效。</w:t>
      </w:r>
    </w:p>
    <w:p w14:paraId="443EBE4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82" w:firstLine="517"/>
        <w:textAlignment w:val="baseline"/>
        <w:rPr>
          <w:sz w:val="24"/>
          <w:szCs w:val="24"/>
          <w:highlight w:val="none"/>
        </w:rPr>
      </w:pPr>
      <w:r>
        <w:rPr>
          <w:spacing w:val="-5"/>
          <w:sz w:val="24"/>
          <w:szCs w:val="24"/>
          <w:highlight w:val="none"/>
        </w:rPr>
        <w:t>14.7投标供应商在提交投标文件的截止时间前修改“开标一览表”中的投</w:t>
      </w:r>
      <w:r>
        <w:rPr>
          <w:spacing w:val="-6"/>
          <w:sz w:val="24"/>
          <w:szCs w:val="24"/>
          <w:highlight w:val="none"/>
        </w:rPr>
        <w:t>标总价的，</w:t>
      </w:r>
      <w:r>
        <w:rPr>
          <w:spacing w:val="-4"/>
          <w:sz w:val="24"/>
          <w:szCs w:val="24"/>
          <w:highlight w:val="none"/>
        </w:rPr>
        <w:t>应同时修改投标文件中“分项报价明细表”“政府采购价格评审优惠清单报价表”“政府采购优先采购清单报价表”以及“联合体协议书”（如果影响）等相关内容。若投标供应</w:t>
      </w:r>
      <w:r>
        <w:rPr>
          <w:spacing w:val="-1"/>
          <w:sz w:val="24"/>
          <w:szCs w:val="24"/>
          <w:highlight w:val="none"/>
        </w:rPr>
        <w:t>商未按此要求修改，影响投标报价评审，其风险和责任由投标供应商自已承担。</w:t>
      </w:r>
    </w:p>
    <w:p w14:paraId="2EA46CE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6"/>
          <w:sz w:val="24"/>
          <w:szCs w:val="24"/>
          <w:highlight w:val="none"/>
        </w:rPr>
        <w:t>14.8投标报价的其他要求见【</w:t>
      </w:r>
      <w:r>
        <w:rPr>
          <w:b/>
          <w:bCs/>
          <w:spacing w:val="-6"/>
          <w:sz w:val="24"/>
          <w:szCs w:val="24"/>
          <w:highlight w:val="none"/>
        </w:rPr>
        <w:t>投标须知前附表</w:t>
      </w:r>
      <w:r>
        <w:rPr>
          <w:spacing w:val="-6"/>
          <w:sz w:val="24"/>
          <w:szCs w:val="24"/>
          <w:highlight w:val="none"/>
        </w:rPr>
        <w:t>】。</w:t>
      </w:r>
    </w:p>
    <w:p w14:paraId="341DCCCE">
      <w:pPr>
        <w:pStyle w:val="6"/>
        <w:bidi w:val="0"/>
        <w:rPr>
          <w:sz w:val="24"/>
          <w:szCs w:val="24"/>
        </w:rPr>
      </w:pPr>
      <w:bookmarkStart w:id="71" w:name="_Toc24040"/>
      <w:bookmarkStart w:id="72" w:name="_Toc23059"/>
      <w:bookmarkStart w:id="73" w:name="_Toc20187"/>
      <w:r>
        <w:rPr>
          <w:sz w:val="24"/>
          <w:szCs w:val="24"/>
        </w:rPr>
        <w:t>15.投标供应商的资格证明文件</w:t>
      </w:r>
      <w:bookmarkEnd w:id="71"/>
      <w:bookmarkEnd w:id="72"/>
      <w:bookmarkEnd w:id="73"/>
    </w:p>
    <w:p w14:paraId="5D95552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82" w:firstLine="517"/>
        <w:textAlignment w:val="baseline"/>
        <w:rPr>
          <w:spacing w:val="-5"/>
          <w:sz w:val="24"/>
          <w:szCs w:val="24"/>
          <w:highlight w:val="none"/>
        </w:rPr>
      </w:pPr>
      <w:r>
        <w:rPr>
          <w:spacing w:val="-5"/>
          <w:sz w:val="24"/>
          <w:szCs w:val="24"/>
          <w:highlight w:val="none"/>
        </w:rPr>
        <w:t>15.1除</w:t>
      </w:r>
      <w:r>
        <w:rPr>
          <w:b/>
          <w:bCs/>
          <w:spacing w:val="-5"/>
          <w:sz w:val="24"/>
          <w:szCs w:val="24"/>
          <w:highlight w:val="none"/>
        </w:rPr>
        <w:t>【投标须知前附表】</w:t>
      </w:r>
      <w:r>
        <w:rPr>
          <w:spacing w:val="-5"/>
          <w:sz w:val="24"/>
          <w:szCs w:val="24"/>
          <w:highlight w:val="none"/>
        </w:rPr>
        <w:t>另有规定外，投标供应商应按下列规定提供资格证明文件。</w:t>
      </w:r>
    </w:p>
    <w:p w14:paraId="1E1ABB8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82" w:firstLine="501"/>
        <w:textAlignment w:val="baseline"/>
        <w:rPr>
          <w:sz w:val="24"/>
          <w:szCs w:val="24"/>
          <w:highlight w:val="none"/>
        </w:rPr>
      </w:pPr>
      <w:r>
        <w:rPr>
          <w:spacing w:val="-5"/>
          <w:sz w:val="24"/>
          <w:szCs w:val="24"/>
          <w:highlight w:val="none"/>
        </w:rPr>
        <w:t>（1）</w:t>
      </w:r>
      <w:r>
        <w:rPr>
          <w:b/>
          <w:bCs/>
          <w:spacing w:val="-5"/>
          <w:sz w:val="24"/>
          <w:szCs w:val="24"/>
          <w:highlight w:val="none"/>
        </w:rPr>
        <w:t>法人或者其他组织的营业执照等主体资格证明文件，自然人的身份证明</w:t>
      </w:r>
      <w:r>
        <w:rPr>
          <w:spacing w:val="-5"/>
          <w:sz w:val="24"/>
          <w:szCs w:val="24"/>
          <w:highlight w:val="none"/>
        </w:rPr>
        <w:t>：投标</w:t>
      </w:r>
      <w:r>
        <w:rPr>
          <w:spacing w:val="-1"/>
          <w:sz w:val="24"/>
          <w:szCs w:val="24"/>
          <w:highlight w:val="none"/>
        </w:rPr>
        <w:t>供应商为营利法人的，应提交营业执照的复印件；投标供应商为依法允许经营的事业单位的，应提交事业单位法人证书复印件；投标供应商为非法人组织的，应提交依法登记证书复印件；投标供应商为个体工商户的，应提交个体工商户营业执照复印件；投标供应商为</w:t>
      </w:r>
      <w:r>
        <w:rPr>
          <w:spacing w:val="-2"/>
          <w:sz w:val="24"/>
          <w:szCs w:val="24"/>
          <w:highlight w:val="none"/>
        </w:rPr>
        <w:t>自然人的，应提交自然人的身份证明复印件。</w:t>
      </w:r>
    </w:p>
    <w:p w14:paraId="1275BBA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b w:val="0"/>
          <w:bCs w:val="0"/>
          <w:sz w:val="24"/>
          <w:szCs w:val="24"/>
          <w:highlight w:val="none"/>
        </w:rPr>
      </w:pPr>
      <w:r>
        <w:rPr>
          <w:b w:val="0"/>
          <w:bCs w:val="0"/>
          <w:spacing w:val="-5"/>
          <w:sz w:val="24"/>
          <w:szCs w:val="24"/>
          <w:highlight w:val="none"/>
        </w:rPr>
        <w:t>（2）湖南省政府采购供应商资格承诺函原件(</w:t>
      </w:r>
      <w:r>
        <w:rPr>
          <w:b w:val="0"/>
          <w:bCs w:val="0"/>
          <w:spacing w:val="-6"/>
          <w:sz w:val="24"/>
          <w:szCs w:val="24"/>
          <w:highlight w:val="none"/>
        </w:rPr>
        <w:t>格式)</w:t>
      </w:r>
    </w:p>
    <w:p w14:paraId="291956B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right="130" w:firstLine="494"/>
        <w:textAlignment w:val="baseline"/>
        <w:rPr>
          <w:b w:val="0"/>
          <w:bCs w:val="0"/>
          <w:sz w:val="24"/>
          <w:szCs w:val="24"/>
          <w:highlight w:val="none"/>
        </w:rPr>
      </w:pPr>
      <w:r>
        <w:rPr>
          <w:b w:val="0"/>
          <w:bCs w:val="0"/>
          <w:spacing w:val="-1"/>
          <w:sz w:val="24"/>
          <w:szCs w:val="24"/>
          <w:highlight w:val="none"/>
        </w:rPr>
        <w:t>（3）符合特定资格条件证明材料复印件或者情况说明原件。具体</w:t>
      </w:r>
      <w:r>
        <w:rPr>
          <w:b w:val="0"/>
          <w:bCs w:val="0"/>
          <w:spacing w:val="-2"/>
          <w:sz w:val="24"/>
          <w:szCs w:val="24"/>
          <w:highlight w:val="none"/>
        </w:rPr>
        <w:t>要求见【投标须知</w:t>
      </w:r>
      <w:r>
        <w:rPr>
          <w:b w:val="0"/>
          <w:bCs w:val="0"/>
          <w:spacing w:val="-8"/>
          <w:sz w:val="24"/>
          <w:szCs w:val="24"/>
          <w:highlight w:val="none"/>
        </w:rPr>
        <w:t>前附表】。</w:t>
      </w:r>
    </w:p>
    <w:p w14:paraId="5A9A1F5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82" w:firstLine="513"/>
        <w:textAlignment w:val="baseline"/>
        <w:rPr>
          <w:sz w:val="24"/>
          <w:szCs w:val="24"/>
          <w:highlight w:val="none"/>
        </w:rPr>
      </w:pPr>
      <w:r>
        <w:rPr>
          <w:spacing w:val="-4"/>
          <w:sz w:val="24"/>
          <w:szCs w:val="24"/>
          <w:highlight w:val="none"/>
        </w:rPr>
        <w:t>15.2投标供应商以联合体形式投标的，除应提交联合协议(格式)外，参加联合体的各</w:t>
      </w:r>
      <w:r>
        <w:rPr>
          <w:spacing w:val="-2"/>
          <w:sz w:val="24"/>
          <w:szCs w:val="24"/>
          <w:highlight w:val="none"/>
        </w:rPr>
        <w:t>方均应提交上款资格证明材料。</w:t>
      </w:r>
    </w:p>
    <w:p w14:paraId="7CB8995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82" w:firstLine="513"/>
        <w:textAlignment w:val="baseline"/>
        <w:rPr>
          <w:sz w:val="24"/>
          <w:szCs w:val="24"/>
          <w:highlight w:val="none"/>
        </w:rPr>
      </w:pPr>
      <w:r>
        <w:rPr>
          <w:spacing w:val="-4"/>
          <w:sz w:val="24"/>
          <w:szCs w:val="24"/>
          <w:highlight w:val="none"/>
        </w:rPr>
        <w:t>15.3上述投标供应商的资格证明文件均应为有效文件并加盖投标供应商单位章，并按</w:t>
      </w:r>
      <w:r>
        <w:rPr>
          <w:spacing w:val="-3"/>
          <w:sz w:val="24"/>
          <w:szCs w:val="24"/>
          <w:highlight w:val="none"/>
        </w:rPr>
        <w:t>招标文件规定签署。</w:t>
      </w:r>
    </w:p>
    <w:p w14:paraId="3EC47160">
      <w:pPr>
        <w:pStyle w:val="6"/>
        <w:bidi w:val="0"/>
        <w:rPr>
          <w:sz w:val="24"/>
          <w:szCs w:val="24"/>
        </w:rPr>
      </w:pPr>
      <w:bookmarkStart w:id="74" w:name="_Toc16698"/>
      <w:bookmarkStart w:id="75" w:name="_Toc32744"/>
      <w:bookmarkStart w:id="76" w:name="_Toc18893"/>
      <w:r>
        <w:rPr>
          <w:sz w:val="24"/>
          <w:szCs w:val="24"/>
        </w:rPr>
        <w:t>16.投标</w:t>
      </w:r>
      <w:r>
        <w:rPr>
          <w:rFonts w:hint="eastAsia"/>
          <w:sz w:val="24"/>
          <w:szCs w:val="24"/>
          <w:lang w:eastAsia="zh-CN"/>
        </w:rPr>
        <w:t>货物</w:t>
      </w:r>
      <w:r>
        <w:rPr>
          <w:sz w:val="24"/>
          <w:szCs w:val="24"/>
        </w:rPr>
        <w:t>及服务符合招标文件规定的证明文件</w:t>
      </w:r>
      <w:bookmarkEnd w:id="74"/>
      <w:bookmarkEnd w:id="75"/>
      <w:bookmarkEnd w:id="76"/>
    </w:p>
    <w:p w14:paraId="297AF17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273" w:firstLine="510"/>
        <w:textAlignment w:val="baseline"/>
        <w:rPr>
          <w:sz w:val="24"/>
          <w:szCs w:val="24"/>
          <w:highlight w:val="none"/>
        </w:rPr>
      </w:pPr>
      <w:r>
        <w:rPr>
          <w:spacing w:val="-2"/>
          <w:sz w:val="24"/>
          <w:szCs w:val="24"/>
          <w:highlight w:val="none"/>
        </w:rPr>
        <w:t>16.1投标供应商应当提交其拟供的合同项下货物及其服务符合招标文件规定</w:t>
      </w:r>
      <w:r>
        <w:rPr>
          <w:spacing w:val="-3"/>
          <w:sz w:val="24"/>
          <w:szCs w:val="24"/>
          <w:highlight w:val="none"/>
        </w:rPr>
        <w:t>的证明</w:t>
      </w:r>
      <w:r>
        <w:rPr>
          <w:spacing w:val="-2"/>
          <w:sz w:val="24"/>
          <w:szCs w:val="24"/>
          <w:highlight w:val="none"/>
        </w:rPr>
        <w:t>文件,该证明文件作为投标文件的一部分。</w:t>
      </w:r>
    </w:p>
    <w:p w14:paraId="2DAF504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2"/>
          <w:sz w:val="24"/>
          <w:szCs w:val="24"/>
          <w:highlight w:val="none"/>
        </w:rPr>
        <w:t>16.2上述证明文件可以是文字资料、图表、数据、证书等资料，包括但不限于：</w:t>
      </w:r>
    </w:p>
    <w:p w14:paraId="6E51862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28" w:firstLine="501"/>
        <w:textAlignment w:val="baseline"/>
        <w:rPr>
          <w:sz w:val="24"/>
          <w:szCs w:val="24"/>
          <w:highlight w:val="none"/>
        </w:rPr>
      </w:pPr>
      <w:r>
        <w:rPr>
          <w:spacing w:val="-2"/>
          <w:sz w:val="24"/>
          <w:szCs w:val="24"/>
          <w:highlight w:val="none"/>
        </w:rPr>
        <w:t>（1）货物主要技术指标和性能的详细说明。对有具体参数要求的指标，投标供应商</w:t>
      </w:r>
      <w:r>
        <w:rPr>
          <w:spacing w:val="-3"/>
          <w:sz w:val="24"/>
          <w:szCs w:val="24"/>
          <w:highlight w:val="none"/>
        </w:rPr>
        <w:t>应提供具体参数值；</w:t>
      </w:r>
    </w:p>
    <w:p w14:paraId="0BCE19D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（2）货物的品牌型号、制造商及原产地等说明；</w:t>
      </w:r>
    </w:p>
    <w:p w14:paraId="0D97F08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5"/>
          <w:sz w:val="24"/>
          <w:szCs w:val="24"/>
          <w:highlight w:val="none"/>
        </w:rPr>
        <w:t>（3）招标文件第五章“采购需求”要求的其它文件。</w:t>
      </w:r>
    </w:p>
    <w:p w14:paraId="1E2A7D6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223" w:firstLine="517"/>
        <w:textAlignment w:val="baseline"/>
        <w:rPr>
          <w:sz w:val="24"/>
          <w:szCs w:val="24"/>
          <w:highlight w:val="none"/>
        </w:rPr>
      </w:pPr>
      <w:r>
        <w:rPr>
          <w:spacing w:val="-2"/>
          <w:sz w:val="24"/>
          <w:szCs w:val="24"/>
          <w:highlight w:val="none"/>
        </w:rPr>
        <w:t>16.3投标供应商提供的软件及硬件产品要求在中华人民共和国境内拥有合法的使用权和版权，采购人应拥有合法的使用权。</w:t>
      </w:r>
    </w:p>
    <w:p w14:paraId="1790B059">
      <w:pPr>
        <w:pStyle w:val="6"/>
        <w:bidi w:val="0"/>
        <w:rPr>
          <w:sz w:val="24"/>
          <w:szCs w:val="24"/>
        </w:rPr>
      </w:pPr>
      <w:bookmarkStart w:id="77" w:name="_Toc17269"/>
      <w:bookmarkStart w:id="78" w:name="_Toc14755"/>
      <w:bookmarkStart w:id="79" w:name="_Toc20162"/>
      <w:r>
        <w:rPr>
          <w:sz w:val="24"/>
          <w:szCs w:val="24"/>
        </w:rPr>
        <w:t>17.投标有效期</w:t>
      </w:r>
      <w:bookmarkEnd w:id="77"/>
      <w:bookmarkEnd w:id="78"/>
      <w:bookmarkEnd w:id="79"/>
    </w:p>
    <w:p w14:paraId="6C20B49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9" w:right="96" w:firstLine="504"/>
        <w:textAlignment w:val="baseline"/>
        <w:rPr>
          <w:sz w:val="24"/>
          <w:szCs w:val="24"/>
          <w:highlight w:val="none"/>
        </w:rPr>
      </w:pPr>
      <w:r>
        <w:rPr>
          <w:spacing w:val="-4"/>
          <w:sz w:val="24"/>
          <w:szCs w:val="24"/>
          <w:highlight w:val="none"/>
        </w:rPr>
        <w:t>17.1投标有效期从提交投标文件的截止之日起计算。投标文件中承诺的投标有效期应</w:t>
      </w:r>
      <w:r>
        <w:rPr>
          <w:spacing w:val="-2"/>
          <w:sz w:val="24"/>
          <w:szCs w:val="24"/>
          <w:highlight w:val="none"/>
        </w:rPr>
        <w:t>当不少于</w:t>
      </w:r>
      <w:r>
        <w:rPr>
          <w:b/>
          <w:bCs/>
          <w:spacing w:val="-2"/>
          <w:sz w:val="24"/>
          <w:szCs w:val="24"/>
          <w:highlight w:val="none"/>
        </w:rPr>
        <w:t>【投标须知前附表】</w:t>
      </w:r>
      <w:r>
        <w:rPr>
          <w:spacing w:val="-2"/>
          <w:sz w:val="24"/>
          <w:szCs w:val="24"/>
          <w:highlight w:val="none"/>
        </w:rPr>
        <w:t>中载明的投标有效期。投标有效期不</w:t>
      </w:r>
      <w:r>
        <w:rPr>
          <w:spacing w:val="-3"/>
          <w:sz w:val="24"/>
          <w:szCs w:val="24"/>
          <w:highlight w:val="none"/>
        </w:rPr>
        <w:t>满足要求的，其</w:t>
      </w:r>
      <w:r>
        <w:rPr>
          <w:b/>
          <w:bCs/>
          <w:spacing w:val="-3"/>
          <w:sz w:val="24"/>
          <w:szCs w:val="24"/>
          <w:highlight w:val="none"/>
        </w:rPr>
        <w:t>投标无</w:t>
      </w:r>
      <w:r>
        <w:rPr>
          <w:b/>
          <w:bCs/>
          <w:spacing w:val="-9"/>
          <w:sz w:val="24"/>
          <w:szCs w:val="24"/>
          <w:highlight w:val="none"/>
        </w:rPr>
        <w:t>效</w:t>
      </w:r>
      <w:r>
        <w:rPr>
          <w:spacing w:val="-9"/>
          <w:sz w:val="24"/>
          <w:szCs w:val="24"/>
          <w:highlight w:val="none"/>
        </w:rPr>
        <w:t>。</w:t>
      </w:r>
    </w:p>
    <w:p w14:paraId="5D56387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9" w:right="96" w:firstLine="504"/>
        <w:textAlignment w:val="baseline"/>
        <w:rPr>
          <w:sz w:val="24"/>
          <w:szCs w:val="24"/>
          <w:highlight w:val="none"/>
        </w:rPr>
      </w:pPr>
      <w:r>
        <w:rPr>
          <w:spacing w:val="-4"/>
          <w:sz w:val="24"/>
          <w:szCs w:val="24"/>
          <w:highlight w:val="none"/>
        </w:rPr>
        <w:t>17.2投标有效期内投标供应商撤销投标文件的，投标供应商应承担招标文件和法律规</w:t>
      </w:r>
      <w:r>
        <w:rPr>
          <w:spacing w:val="-6"/>
          <w:sz w:val="24"/>
          <w:szCs w:val="24"/>
          <w:highlight w:val="none"/>
        </w:rPr>
        <w:t>定的责任。</w:t>
      </w:r>
    </w:p>
    <w:p w14:paraId="1CC8CFD1">
      <w:pPr>
        <w:pStyle w:val="6"/>
        <w:bidi w:val="0"/>
        <w:rPr>
          <w:sz w:val="24"/>
          <w:szCs w:val="24"/>
        </w:rPr>
      </w:pPr>
      <w:bookmarkStart w:id="80" w:name="_Toc16477"/>
      <w:bookmarkStart w:id="81" w:name="_Toc22312"/>
      <w:bookmarkStart w:id="82" w:name="_Toc4352"/>
      <w:r>
        <w:rPr>
          <w:sz w:val="24"/>
          <w:szCs w:val="24"/>
        </w:rPr>
        <w:t>18.投标保证金</w:t>
      </w:r>
      <w:bookmarkEnd w:id="80"/>
      <w:bookmarkEnd w:id="81"/>
      <w:bookmarkEnd w:id="82"/>
    </w:p>
    <w:p w14:paraId="148DC45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firstLine="513"/>
        <w:textAlignment w:val="baseline"/>
        <w:rPr>
          <w:sz w:val="24"/>
          <w:szCs w:val="24"/>
          <w:highlight w:val="none"/>
        </w:rPr>
      </w:pPr>
      <w:r>
        <w:rPr>
          <w:spacing w:val="-7"/>
          <w:sz w:val="24"/>
          <w:szCs w:val="24"/>
          <w:highlight w:val="none"/>
        </w:rPr>
        <w:t>18.1招标文件要求投标供应商提交投标保证金的</w:t>
      </w:r>
      <w:r>
        <w:rPr>
          <w:spacing w:val="-8"/>
          <w:sz w:val="24"/>
          <w:szCs w:val="24"/>
          <w:highlight w:val="none"/>
        </w:rPr>
        <w:t>，投标供应商应按</w:t>
      </w:r>
      <w:r>
        <w:rPr>
          <w:b/>
          <w:bCs/>
          <w:spacing w:val="-8"/>
          <w:sz w:val="24"/>
          <w:szCs w:val="24"/>
          <w:highlight w:val="none"/>
        </w:rPr>
        <w:t>【投标须知前附表】</w:t>
      </w:r>
      <w:r>
        <w:rPr>
          <w:spacing w:val="-2"/>
          <w:sz w:val="24"/>
          <w:szCs w:val="24"/>
          <w:highlight w:val="none"/>
        </w:rPr>
        <w:t>规定，在提交投标文件的截止时间前提交投标保证金。</w:t>
      </w:r>
    </w:p>
    <w:p w14:paraId="145EB21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8" w:right="96" w:firstLine="504"/>
        <w:textAlignment w:val="baseline"/>
        <w:rPr>
          <w:sz w:val="24"/>
          <w:szCs w:val="24"/>
          <w:highlight w:val="none"/>
        </w:rPr>
      </w:pPr>
      <w:r>
        <w:rPr>
          <w:spacing w:val="-4"/>
          <w:sz w:val="24"/>
          <w:szCs w:val="24"/>
          <w:highlight w:val="none"/>
        </w:rPr>
        <w:t>18.2联合体投标的，可以由联合体中的一方或者共同提交投标保证金。以一方名义提</w:t>
      </w:r>
      <w:r>
        <w:rPr>
          <w:spacing w:val="-2"/>
          <w:sz w:val="24"/>
          <w:szCs w:val="24"/>
          <w:highlight w:val="none"/>
        </w:rPr>
        <w:t>交投标保证金的，对联合体各方均具有约束力。</w:t>
      </w:r>
    </w:p>
    <w:p w14:paraId="2279C928">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33"/>
        <w:textAlignment w:val="baseline"/>
        <w:rPr>
          <w:sz w:val="24"/>
          <w:szCs w:val="24"/>
          <w:highlight w:val="none"/>
        </w:rPr>
      </w:pPr>
      <w:r>
        <w:rPr>
          <w:spacing w:val="-4"/>
          <w:sz w:val="24"/>
          <w:szCs w:val="24"/>
          <w:highlight w:val="none"/>
        </w:rPr>
        <w:t>18.3投标保证金的退还按以下规定办理：</w:t>
      </w:r>
    </w:p>
    <w:p w14:paraId="325B3B2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 w:firstLine="501"/>
        <w:textAlignment w:val="baseline"/>
        <w:rPr>
          <w:spacing w:val="-4"/>
          <w:sz w:val="24"/>
          <w:szCs w:val="24"/>
          <w:highlight w:val="none"/>
        </w:rPr>
      </w:pPr>
      <w:r>
        <w:rPr>
          <w:spacing w:val="-4"/>
          <w:sz w:val="24"/>
          <w:szCs w:val="24"/>
          <w:highlight w:val="none"/>
        </w:rPr>
        <w:t>（1）中标投标供应商的投标保证金，将在政府采购合同签订后5个工作日内退还。</w:t>
      </w:r>
    </w:p>
    <w:p w14:paraId="648ED78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 w:firstLine="501"/>
        <w:textAlignment w:val="baseline"/>
        <w:rPr>
          <w:spacing w:val="-4"/>
          <w:sz w:val="24"/>
          <w:szCs w:val="24"/>
          <w:highlight w:val="none"/>
        </w:rPr>
      </w:pPr>
      <w:r>
        <w:rPr>
          <w:spacing w:val="-4"/>
          <w:sz w:val="24"/>
          <w:szCs w:val="24"/>
          <w:highlight w:val="none"/>
        </w:rPr>
        <w:t>（2）未中标的投标供应商的投标保证金，将在中标通知书发出后5个工作日内退还。</w:t>
      </w:r>
    </w:p>
    <w:p w14:paraId="6951905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 w:firstLine="501"/>
        <w:textAlignment w:val="baseline"/>
        <w:rPr>
          <w:sz w:val="24"/>
          <w:szCs w:val="24"/>
          <w:highlight w:val="none"/>
        </w:rPr>
      </w:pPr>
      <w:r>
        <w:rPr>
          <w:spacing w:val="-4"/>
          <w:sz w:val="24"/>
          <w:szCs w:val="24"/>
          <w:highlight w:val="none"/>
        </w:rPr>
        <w:t>（3）终止招标的。对于已递交投标保证金的，采购代理机构在终</w:t>
      </w:r>
      <w:r>
        <w:rPr>
          <w:spacing w:val="-5"/>
          <w:sz w:val="24"/>
          <w:szCs w:val="24"/>
          <w:highlight w:val="none"/>
        </w:rPr>
        <w:t>止招标公告发布后5</w:t>
      </w:r>
      <w:r>
        <w:rPr>
          <w:spacing w:val="-3"/>
          <w:sz w:val="24"/>
          <w:szCs w:val="24"/>
          <w:highlight w:val="none"/>
        </w:rPr>
        <w:t>个工作日内退还。</w:t>
      </w:r>
    </w:p>
    <w:p w14:paraId="1318842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134" w:firstLine="495"/>
        <w:textAlignment w:val="baseline"/>
        <w:rPr>
          <w:sz w:val="24"/>
          <w:szCs w:val="24"/>
          <w:highlight w:val="none"/>
        </w:rPr>
      </w:pPr>
      <w:r>
        <w:rPr>
          <w:spacing w:val="-2"/>
          <w:sz w:val="24"/>
          <w:szCs w:val="24"/>
          <w:highlight w:val="none"/>
        </w:rPr>
        <w:t>（4）在投标截止日前撤回投标的，对于已递交投标保证金的，采购代理机构在收到</w:t>
      </w:r>
      <w:r>
        <w:rPr>
          <w:spacing w:val="-4"/>
          <w:sz w:val="24"/>
          <w:szCs w:val="24"/>
          <w:highlight w:val="none"/>
        </w:rPr>
        <w:t>投标供应商书面撤回投标通知之日起5个工作日内退还。</w:t>
      </w:r>
    </w:p>
    <w:p w14:paraId="3A11DA6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3"/>
          <w:sz w:val="24"/>
          <w:szCs w:val="24"/>
          <w:highlight w:val="none"/>
        </w:rPr>
        <w:t>18.4有以下情形之一的，投标保证金将不予退还，上交国库：</w:t>
      </w:r>
    </w:p>
    <w:p w14:paraId="11EEEDD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（1）投标供应商在招标文件中规定的投标有效期内撤销其投标；</w:t>
      </w:r>
    </w:p>
    <w:p w14:paraId="5F0F5B8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6" w:right="134" w:firstLine="463"/>
        <w:textAlignment w:val="baseline"/>
        <w:rPr>
          <w:sz w:val="24"/>
          <w:szCs w:val="24"/>
          <w:highlight w:val="none"/>
        </w:rPr>
      </w:pPr>
      <w:r>
        <w:rPr>
          <w:spacing w:val="-2"/>
          <w:sz w:val="24"/>
          <w:szCs w:val="24"/>
          <w:highlight w:val="none"/>
        </w:rPr>
        <w:t>（2）中标投标供应商无正当理由不与采购人订立合同，在签订合同时向采购人提出</w:t>
      </w:r>
      <w:r>
        <w:rPr>
          <w:spacing w:val="-3"/>
          <w:sz w:val="24"/>
          <w:szCs w:val="24"/>
          <w:highlight w:val="none"/>
        </w:rPr>
        <w:t>附加条件，或者不按照招标文件要求提交履约保证金。</w:t>
      </w:r>
    </w:p>
    <w:p w14:paraId="4D75A534">
      <w:pPr>
        <w:pStyle w:val="6"/>
        <w:bidi w:val="0"/>
        <w:rPr>
          <w:sz w:val="24"/>
          <w:szCs w:val="24"/>
        </w:rPr>
      </w:pPr>
      <w:bookmarkStart w:id="83" w:name="_Toc12280"/>
      <w:bookmarkStart w:id="84" w:name="_Toc31666"/>
      <w:bookmarkStart w:id="85" w:name="_Toc13155"/>
      <w:r>
        <w:rPr>
          <w:sz w:val="24"/>
          <w:szCs w:val="24"/>
        </w:rPr>
        <w:t>19.分包</w:t>
      </w:r>
      <w:bookmarkEnd w:id="83"/>
      <w:bookmarkEnd w:id="84"/>
      <w:bookmarkEnd w:id="85"/>
    </w:p>
    <w:p w14:paraId="36CCBFB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 w:firstLine="528"/>
        <w:textAlignment w:val="baseline"/>
        <w:rPr>
          <w:sz w:val="24"/>
          <w:szCs w:val="24"/>
          <w:highlight w:val="none"/>
        </w:rPr>
      </w:pPr>
      <w:r>
        <w:rPr>
          <w:spacing w:val="-4"/>
          <w:sz w:val="24"/>
          <w:szCs w:val="24"/>
          <w:highlight w:val="none"/>
        </w:rPr>
        <w:t>19.1</w:t>
      </w:r>
      <w:r>
        <w:rPr>
          <w:b/>
          <w:bCs/>
          <w:spacing w:val="-1"/>
          <w:sz w:val="24"/>
          <w:szCs w:val="24"/>
        </w:rPr>
        <w:t>【投标须知前附表】</w:t>
      </w:r>
      <w:r>
        <w:rPr>
          <w:spacing w:val="-1"/>
          <w:sz w:val="24"/>
          <w:szCs w:val="24"/>
        </w:rPr>
        <w:t>规定投标人分包的，</w:t>
      </w:r>
      <w:r>
        <w:rPr>
          <w:spacing w:val="-4"/>
          <w:sz w:val="24"/>
          <w:szCs w:val="24"/>
          <w:highlight w:val="none"/>
        </w:rPr>
        <w:t>应符合</w:t>
      </w:r>
      <w:r>
        <w:rPr>
          <w:b/>
          <w:bCs/>
          <w:spacing w:val="-1"/>
          <w:sz w:val="24"/>
          <w:szCs w:val="24"/>
          <w:highlight w:val="none"/>
        </w:rPr>
        <w:t>【投标须知前附表】</w:t>
      </w:r>
      <w:r>
        <w:rPr>
          <w:spacing w:val="-1"/>
          <w:sz w:val="24"/>
          <w:szCs w:val="24"/>
          <w:highlight w:val="none"/>
        </w:rPr>
        <w:t>规定的分包内容、分包金额和资质要求等限制性条件，并在投标文件中载明分包承担主体，且分包承担主体不得再次分包。</w:t>
      </w:r>
    </w:p>
    <w:p w14:paraId="6DEE29C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30" w:right="2" w:firstLine="503"/>
        <w:textAlignment w:val="baseline"/>
        <w:rPr>
          <w:sz w:val="24"/>
          <w:szCs w:val="24"/>
          <w:highlight w:val="none"/>
        </w:rPr>
      </w:pPr>
      <w:r>
        <w:rPr>
          <w:spacing w:val="-4"/>
          <w:sz w:val="24"/>
          <w:szCs w:val="24"/>
          <w:highlight w:val="none"/>
        </w:rPr>
        <w:t>19.2中标投标供应商应当就分包项目向</w:t>
      </w:r>
      <w:r>
        <w:rPr>
          <w:spacing w:val="-5"/>
          <w:sz w:val="24"/>
          <w:szCs w:val="24"/>
          <w:highlight w:val="none"/>
        </w:rPr>
        <w:t>采购人负责，分包承担主体就分包项目承担连</w:t>
      </w:r>
      <w:r>
        <w:rPr>
          <w:spacing w:val="-6"/>
          <w:sz w:val="24"/>
          <w:szCs w:val="24"/>
          <w:highlight w:val="none"/>
        </w:rPr>
        <w:t>带责任。</w:t>
      </w:r>
    </w:p>
    <w:p w14:paraId="03AE635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33"/>
        <w:textAlignment w:val="baseline"/>
        <w:rPr>
          <w:sz w:val="24"/>
          <w:szCs w:val="24"/>
          <w:highlight w:val="none"/>
        </w:rPr>
      </w:pPr>
      <w:r>
        <w:rPr>
          <w:spacing w:val="-4"/>
          <w:sz w:val="24"/>
          <w:szCs w:val="24"/>
          <w:highlight w:val="none"/>
        </w:rPr>
        <w:t>19.3不符合招标文件中有关分包规定的，其</w:t>
      </w:r>
      <w:r>
        <w:rPr>
          <w:b/>
          <w:bCs/>
          <w:spacing w:val="-4"/>
          <w:sz w:val="24"/>
          <w:szCs w:val="24"/>
          <w:highlight w:val="none"/>
        </w:rPr>
        <w:t>投标无效</w:t>
      </w:r>
      <w:r>
        <w:rPr>
          <w:spacing w:val="-4"/>
          <w:sz w:val="24"/>
          <w:szCs w:val="24"/>
          <w:highlight w:val="none"/>
        </w:rPr>
        <w:t>。</w:t>
      </w:r>
    </w:p>
    <w:p w14:paraId="0599A6D8">
      <w:pPr>
        <w:pStyle w:val="6"/>
        <w:bidi w:val="0"/>
        <w:rPr>
          <w:sz w:val="24"/>
          <w:szCs w:val="24"/>
        </w:rPr>
      </w:pPr>
      <w:bookmarkStart w:id="86" w:name="_Toc11758"/>
      <w:bookmarkStart w:id="87" w:name="_Toc32636"/>
      <w:bookmarkStart w:id="88" w:name="_Toc26620"/>
      <w:r>
        <w:rPr>
          <w:sz w:val="24"/>
          <w:szCs w:val="24"/>
        </w:rPr>
        <w:t>20.投标文件的签署</w:t>
      </w:r>
      <w:bookmarkEnd w:id="86"/>
      <w:bookmarkEnd w:id="87"/>
      <w:bookmarkEnd w:id="88"/>
    </w:p>
    <w:p w14:paraId="4CC6C0F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1" w:leftChars="10" w:right="14" w:firstLine="396" w:firstLineChars="171"/>
        <w:textAlignment w:val="baseline"/>
        <w:rPr>
          <w:sz w:val="24"/>
          <w:szCs w:val="24"/>
          <w:highlight w:val="none"/>
        </w:rPr>
      </w:pPr>
      <w:r>
        <w:rPr>
          <w:spacing w:val="-4"/>
          <w:sz w:val="24"/>
          <w:szCs w:val="24"/>
          <w:highlight w:val="none"/>
        </w:rPr>
        <w:t>20.1投标文件第一部分资格证明文件：一份【</w:t>
      </w:r>
      <w:r>
        <w:rPr>
          <w:b/>
          <w:bCs/>
          <w:spacing w:val="-4"/>
          <w:sz w:val="24"/>
          <w:szCs w:val="24"/>
          <w:highlight w:val="none"/>
        </w:rPr>
        <w:t>投标须知前附表】</w:t>
      </w:r>
      <w:r>
        <w:rPr>
          <w:spacing w:val="-4"/>
          <w:sz w:val="24"/>
          <w:szCs w:val="24"/>
          <w:highlight w:val="none"/>
        </w:rPr>
        <w:t>；投标文件第二部分商务技术文件：一份，【</w:t>
      </w:r>
      <w:r>
        <w:rPr>
          <w:b/>
          <w:bCs/>
          <w:spacing w:val="-4"/>
          <w:sz w:val="24"/>
          <w:szCs w:val="24"/>
          <w:highlight w:val="none"/>
        </w:rPr>
        <w:t>投标须知前附表】</w:t>
      </w:r>
      <w:r>
        <w:rPr>
          <w:spacing w:val="-4"/>
          <w:sz w:val="24"/>
          <w:szCs w:val="24"/>
          <w:highlight w:val="none"/>
        </w:rPr>
        <w:t>。</w:t>
      </w:r>
    </w:p>
    <w:p w14:paraId="47D20F9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1" w:leftChars="10" w:right="59" w:firstLine="403" w:firstLineChars="171"/>
        <w:textAlignment w:val="baseline"/>
        <w:rPr>
          <w:sz w:val="24"/>
          <w:szCs w:val="24"/>
          <w:highlight w:val="none"/>
        </w:rPr>
      </w:pPr>
      <w:r>
        <w:rPr>
          <w:spacing w:val="-2"/>
          <w:sz w:val="24"/>
          <w:szCs w:val="24"/>
          <w:highlight w:val="none"/>
        </w:rPr>
        <w:t>20.2投标文件中的任何行间插字、涂改和增删,改动的地方应加盖单位章或由投标供应商代表签字确认。未按上述要求签署的，其投标无效。</w:t>
      </w:r>
    </w:p>
    <w:p w14:paraId="6C2CBED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1" w:leftChars="10" w:right="2" w:firstLine="400" w:firstLineChars="171"/>
        <w:textAlignment w:val="baseline"/>
        <w:rPr>
          <w:rFonts w:ascii="Arial"/>
          <w:sz w:val="21"/>
          <w:highlight w:val="none"/>
        </w:rPr>
      </w:pPr>
      <w:r>
        <w:rPr>
          <w:spacing w:val="-3"/>
          <w:sz w:val="24"/>
          <w:szCs w:val="24"/>
          <w:highlight w:val="none"/>
        </w:rPr>
        <w:t>20.3</w:t>
      </w:r>
      <w:r>
        <w:rPr>
          <w:b/>
          <w:bCs/>
          <w:spacing w:val="-3"/>
          <w:sz w:val="24"/>
          <w:szCs w:val="24"/>
          <w:highlight w:val="none"/>
        </w:rPr>
        <w:t>电子投标文件签署：</w:t>
      </w:r>
      <w:r>
        <w:rPr>
          <w:spacing w:val="-3"/>
          <w:sz w:val="24"/>
          <w:szCs w:val="24"/>
          <w:highlight w:val="none"/>
        </w:rPr>
        <w:t>投标供应商应按照电子招标文件要求制作投标文件,并进行电</w:t>
      </w:r>
      <w:r>
        <w:rPr>
          <w:spacing w:val="-4"/>
          <w:sz w:val="24"/>
          <w:szCs w:val="24"/>
          <w:highlight w:val="none"/>
        </w:rPr>
        <w:t>子签名和盖章。投标供应商确认投标后,应从交易平台上下载“电子招标文件制作工具”,</w:t>
      </w:r>
      <w:r>
        <w:rPr>
          <w:spacing w:val="-1"/>
          <w:sz w:val="24"/>
          <w:szCs w:val="24"/>
          <w:highlight w:val="none"/>
        </w:rPr>
        <w:t>并使用此工具编制电子投标文件，否则将可能影响电子投标文件的上传而导致投标无效。投标供应商因自身原因导致电子投标文件无法导入电子评标系统的,该投标文件视为无效</w:t>
      </w:r>
      <w:r>
        <w:rPr>
          <w:spacing w:val="-4"/>
          <w:sz w:val="24"/>
          <w:szCs w:val="24"/>
          <w:highlight w:val="none"/>
        </w:rPr>
        <w:t>投标文件。</w:t>
      </w:r>
    </w:p>
    <w:p w14:paraId="7197710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1" w:leftChars="10" w:right="0" w:firstLine="403" w:firstLineChars="171"/>
        <w:textAlignment w:val="baseline"/>
        <w:rPr>
          <w:spacing w:val="-4"/>
          <w:sz w:val="24"/>
          <w:szCs w:val="24"/>
          <w:highlight w:val="none"/>
        </w:rPr>
      </w:pPr>
      <w:r>
        <w:rPr>
          <w:spacing w:val="-2"/>
          <w:sz w:val="24"/>
          <w:szCs w:val="24"/>
          <w:highlight w:val="none"/>
        </w:rPr>
        <w:t>电子招投标文件具有法律效力,若投标文件与招标文件要求不一致,其内容影响中标结果</w:t>
      </w:r>
      <w:r>
        <w:rPr>
          <w:spacing w:val="-4"/>
          <w:sz w:val="24"/>
          <w:szCs w:val="24"/>
          <w:highlight w:val="none"/>
        </w:rPr>
        <w:t>时，责任由投标供应商自行承担。</w:t>
      </w:r>
    </w:p>
    <w:p w14:paraId="10F0BFD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0" w:leftChars="0" w:right="0" w:firstLine="640" w:firstLineChars="0"/>
        <w:textAlignment w:val="baseline"/>
        <w:rPr>
          <w:spacing w:val="-4"/>
          <w:sz w:val="24"/>
          <w:szCs w:val="24"/>
          <w:highlight w:val="none"/>
        </w:rPr>
      </w:pPr>
    </w:p>
    <w:p w14:paraId="2535A96A">
      <w:pPr>
        <w:pStyle w:val="5"/>
        <w:bidi w:val="0"/>
      </w:pPr>
      <w:bookmarkStart w:id="89" w:name="_Toc30115"/>
      <w:r>
        <w:t>四、投标</w:t>
      </w:r>
      <w:bookmarkEnd w:id="89"/>
    </w:p>
    <w:p w14:paraId="25939F03">
      <w:pPr>
        <w:pStyle w:val="6"/>
        <w:bidi w:val="0"/>
        <w:rPr>
          <w:sz w:val="24"/>
          <w:szCs w:val="24"/>
        </w:rPr>
      </w:pPr>
      <w:bookmarkStart w:id="90" w:name="_Toc16060"/>
      <w:bookmarkStart w:id="91" w:name="_Toc12622"/>
      <w:bookmarkStart w:id="92" w:name="_Toc26120"/>
      <w:r>
        <w:rPr>
          <w:sz w:val="24"/>
          <w:szCs w:val="24"/>
        </w:rPr>
        <w:t>21.1电子投标文件的提交</w:t>
      </w:r>
      <w:bookmarkEnd w:id="90"/>
      <w:bookmarkEnd w:id="91"/>
      <w:bookmarkEnd w:id="92"/>
    </w:p>
    <w:p w14:paraId="188F8B4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 w:leftChars="0" w:firstLine="414" w:firstLineChars="180"/>
        <w:textAlignment w:val="baseline"/>
        <w:rPr>
          <w:sz w:val="24"/>
          <w:szCs w:val="24"/>
          <w:highlight w:val="none"/>
        </w:rPr>
      </w:pPr>
      <w:r>
        <w:rPr>
          <w:spacing w:val="-5"/>
          <w:sz w:val="24"/>
          <w:szCs w:val="24"/>
          <w:highlight w:val="none"/>
        </w:rPr>
        <w:t>21.1.1电子投标文件的密封和标记。</w:t>
      </w:r>
    </w:p>
    <w:p w14:paraId="0A87F7A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 w:leftChars="0" w:right="21" w:firstLine="417" w:firstLineChars="180"/>
        <w:textAlignment w:val="baseline"/>
        <w:rPr>
          <w:sz w:val="24"/>
          <w:szCs w:val="24"/>
          <w:highlight w:val="none"/>
        </w:rPr>
      </w:pPr>
      <w:r>
        <w:rPr>
          <w:spacing w:val="-4"/>
          <w:sz w:val="24"/>
          <w:szCs w:val="24"/>
          <w:highlight w:val="none"/>
        </w:rPr>
        <w:t>21.1.2电子投标文件通过数字证书进行加密并签章。未按要求加密和数字证书认证的投</w:t>
      </w:r>
      <w:r>
        <w:rPr>
          <w:spacing w:val="-2"/>
          <w:sz w:val="24"/>
          <w:szCs w:val="24"/>
          <w:highlight w:val="none"/>
        </w:rPr>
        <w:t>标文件，电子开标软件将无法接收,采购代理机构不予受理。</w:t>
      </w:r>
    </w:p>
    <w:p w14:paraId="3A10679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 w:leftChars="0" w:right="196" w:firstLine="424" w:firstLineChars="180"/>
        <w:textAlignment w:val="baseline"/>
        <w:rPr>
          <w:sz w:val="24"/>
          <w:szCs w:val="24"/>
          <w:highlight w:val="none"/>
        </w:rPr>
      </w:pPr>
      <w:r>
        <w:rPr>
          <w:spacing w:val="-2"/>
          <w:sz w:val="24"/>
          <w:szCs w:val="24"/>
          <w:highlight w:val="none"/>
        </w:rPr>
        <w:t>21.1.3投标供应商应在招标文件规定的投标截止时间前将电子投标文件上传到指定网站的指定栏目。逾期不予受理。</w:t>
      </w:r>
    </w:p>
    <w:p w14:paraId="0BAC1E8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 w:leftChars="0" w:right="19" w:firstLine="417" w:firstLineChars="180"/>
        <w:textAlignment w:val="baseline"/>
        <w:rPr>
          <w:sz w:val="24"/>
          <w:szCs w:val="24"/>
          <w:highlight w:val="none"/>
        </w:rPr>
      </w:pPr>
      <w:r>
        <w:rPr>
          <w:spacing w:val="-4"/>
          <w:sz w:val="24"/>
          <w:szCs w:val="24"/>
          <w:highlight w:val="none"/>
        </w:rPr>
        <w:t>21.1.4如遇系统提示“上传未成功”，投标供应商应及时重新修改文件或与系统</w:t>
      </w:r>
      <w:r>
        <w:rPr>
          <w:spacing w:val="-5"/>
          <w:sz w:val="24"/>
          <w:szCs w:val="24"/>
          <w:highlight w:val="none"/>
        </w:rPr>
        <w:t>运维公</w:t>
      </w:r>
      <w:r>
        <w:rPr>
          <w:spacing w:val="-1"/>
          <w:sz w:val="24"/>
          <w:szCs w:val="24"/>
          <w:highlight w:val="none"/>
        </w:rPr>
        <w:t>司联系，查明原因，确保上传无误，因自身原因导致不能上传的，由投标供应商由投标供</w:t>
      </w:r>
      <w:r>
        <w:rPr>
          <w:spacing w:val="-3"/>
          <w:sz w:val="24"/>
          <w:szCs w:val="24"/>
          <w:highlight w:val="none"/>
        </w:rPr>
        <w:t>应商自行承担责任。</w:t>
      </w:r>
    </w:p>
    <w:p w14:paraId="238AA5BA">
      <w:pPr>
        <w:pStyle w:val="6"/>
        <w:bidi w:val="0"/>
        <w:rPr>
          <w:sz w:val="24"/>
          <w:szCs w:val="24"/>
        </w:rPr>
      </w:pPr>
      <w:bookmarkStart w:id="93" w:name="_Toc13762"/>
      <w:bookmarkStart w:id="94" w:name="_Toc32392"/>
      <w:bookmarkStart w:id="95" w:name="_Toc20113"/>
      <w:r>
        <w:rPr>
          <w:sz w:val="24"/>
          <w:szCs w:val="24"/>
        </w:rPr>
        <w:t>22.投标截止期</w:t>
      </w:r>
      <w:bookmarkEnd w:id="93"/>
      <w:bookmarkEnd w:id="94"/>
      <w:bookmarkEnd w:id="95"/>
    </w:p>
    <w:p w14:paraId="09F5519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4" w:leftChars="0" w:right="74" w:firstLine="396" w:firstLineChars="0"/>
        <w:textAlignment w:val="baseline"/>
        <w:rPr>
          <w:spacing w:val="-2"/>
          <w:sz w:val="24"/>
          <w:szCs w:val="24"/>
          <w:highlight w:val="none"/>
        </w:rPr>
      </w:pPr>
      <w:r>
        <w:rPr>
          <w:spacing w:val="-2"/>
          <w:sz w:val="24"/>
          <w:szCs w:val="24"/>
          <w:highlight w:val="none"/>
        </w:rPr>
        <w:t>22.1投标供应商应在</w:t>
      </w:r>
      <w:r>
        <w:rPr>
          <w:b/>
          <w:bCs/>
          <w:spacing w:val="-2"/>
          <w:sz w:val="24"/>
          <w:szCs w:val="24"/>
          <w:highlight w:val="none"/>
        </w:rPr>
        <w:t>【投标须知前附表】</w:t>
      </w:r>
      <w:r>
        <w:rPr>
          <w:spacing w:val="-2"/>
          <w:sz w:val="24"/>
          <w:szCs w:val="24"/>
          <w:highlight w:val="none"/>
        </w:rPr>
        <w:t>规定的投标截止时间前将投标文件加密上传。</w:t>
      </w:r>
    </w:p>
    <w:p w14:paraId="5119FB1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4" w:leftChars="0" w:right="74" w:firstLine="396" w:firstLineChars="0"/>
        <w:textAlignment w:val="baseline"/>
        <w:rPr>
          <w:spacing w:val="-2"/>
          <w:sz w:val="24"/>
          <w:szCs w:val="24"/>
          <w:highlight w:val="none"/>
        </w:rPr>
      </w:pPr>
      <w:r>
        <w:rPr>
          <w:spacing w:val="-2"/>
          <w:sz w:val="24"/>
          <w:szCs w:val="24"/>
          <w:highlight w:val="none"/>
        </w:rPr>
        <w:t>22.2逾期送达或者未按照本章第21.1款规定密封的投标文件，以及未通过资格预审的投标供应商提交的投标文件（实行资格预审的），采购人或者采购代理机构应当拒收。</w:t>
      </w:r>
    </w:p>
    <w:p w14:paraId="68A64189">
      <w:pPr>
        <w:pStyle w:val="6"/>
        <w:bidi w:val="0"/>
        <w:rPr>
          <w:sz w:val="24"/>
          <w:szCs w:val="24"/>
        </w:rPr>
      </w:pPr>
      <w:bookmarkStart w:id="96" w:name="_Toc14930"/>
      <w:bookmarkStart w:id="97" w:name="_Toc22407"/>
      <w:bookmarkStart w:id="98" w:name="_Toc751"/>
      <w:r>
        <w:rPr>
          <w:sz w:val="24"/>
          <w:szCs w:val="24"/>
        </w:rPr>
        <w:t>23.投标文件的修改和撤回</w:t>
      </w:r>
      <w:bookmarkEnd w:id="96"/>
      <w:bookmarkEnd w:id="97"/>
      <w:bookmarkEnd w:id="98"/>
    </w:p>
    <w:p w14:paraId="4D782D0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 w:leftChars="0" w:right="19" w:firstLine="417" w:firstLineChars="180"/>
        <w:textAlignment w:val="baseline"/>
        <w:rPr>
          <w:spacing w:val="-4"/>
          <w:sz w:val="24"/>
          <w:szCs w:val="24"/>
          <w:highlight w:val="none"/>
        </w:rPr>
      </w:pPr>
      <w:bookmarkStart w:id="99" w:name="_Toc22227"/>
      <w:r>
        <w:rPr>
          <w:spacing w:val="-4"/>
          <w:sz w:val="24"/>
          <w:szCs w:val="24"/>
          <w:highlight w:val="none"/>
        </w:rPr>
        <w:t>投标供应商在招标文件规定的投标截止时间前，可以撤回已上传的投标文件，也可以撤回并修改后再重新上传。再投标截止时间之后，投标供应商撤回其投标文件的，其投标保证金将不予退还。</w:t>
      </w:r>
    </w:p>
    <w:p w14:paraId="5CFDB12B">
      <w:pPr>
        <w:pStyle w:val="6"/>
        <w:bidi w:val="0"/>
        <w:rPr>
          <w:sz w:val="24"/>
          <w:szCs w:val="24"/>
        </w:rPr>
      </w:pPr>
      <w:bookmarkStart w:id="100" w:name="_Toc9290"/>
      <w:bookmarkStart w:id="101" w:name="_Toc12867"/>
      <w:r>
        <w:rPr>
          <w:sz w:val="24"/>
          <w:szCs w:val="24"/>
        </w:rPr>
        <w:t>24.串通投标行为</w:t>
      </w:r>
      <w:bookmarkEnd w:id="99"/>
      <w:bookmarkEnd w:id="100"/>
      <w:bookmarkEnd w:id="101"/>
    </w:p>
    <w:p w14:paraId="03E5CA7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7" w:firstLine="422"/>
        <w:textAlignment w:val="baseline"/>
        <w:rPr>
          <w:sz w:val="24"/>
          <w:szCs w:val="24"/>
          <w:highlight w:val="none"/>
        </w:rPr>
      </w:pPr>
      <w:r>
        <w:rPr>
          <w:spacing w:val="-14"/>
          <w:sz w:val="24"/>
          <w:szCs w:val="24"/>
          <w:highlight w:val="none"/>
        </w:rPr>
        <w:t>24</w:t>
      </w:r>
      <w:r>
        <w:rPr>
          <w:spacing w:val="-13"/>
          <w:sz w:val="24"/>
          <w:szCs w:val="24"/>
          <w:highlight w:val="none"/>
        </w:rPr>
        <w:t>.1有下列情形之一的，属于恶意串通，对投标供应商依照政府采购法第七十七条第一</w:t>
      </w:r>
      <w:r>
        <w:rPr>
          <w:spacing w:val="-11"/>
          <w:sz w:val="24"/>
          <w:szCs w:val="24"/>
          <w:highlight w:val="none"/>
        </w:rPr>
        <w:t>款</w:t>
      </w:r>
      <w:r>
        <w:rPr>
          <w:spacing w:val="-14"/>
          <w:sz w:val="24"/>
          <w:szCs w:val="24"/>
          <w:highlight w:val="none"/>
        </w:rPr>
        <w:t>的规定追究法律责任：</w:t>
      </w:r>
    </w:p>
    <w:p w14:paraId="6D2C4400">
      <w:pPr>
        <w:pStyle w:val="2"/>
        <w:keepNext w:val="0"/>
        <w:keepLines w:val="0"/>
        <w:pageBreakBefore w:val="0"/>
        <w:widowControl/>
        <w:kinsoku/>
        <w:wordWrap w:val="0"/>
        <w:overflowPunct/>
        <w:topLinePunct w:val="0"/>
        <w:autoSpaceDE/>
        <w:autoSpaceDN/>
        <w:bidi w:val="0"/>
        <w:adjustRightInd w:val="0"/>
        <w:snapToGrid w:val="0"/>
        <w:spacing w:before="145" w:line="360" w:lineRule="auto"/>
        <w:ind w:left="23" w:right="9" w:firstLine="472"/>
        <w:textAlignment w:val="baseline"/>
        <w:rPr>
          <w:sz w:val="24"/>
          <w:szCs w:val="24"/>
          <w:highlight w:val="none"/>
        </w:rPr>
      </w:pPr>
      <w:r>
        <w:rPr>
          <w:spacing w:val="-15"/>
          <w:sz w:val="24"/>
          <w:szCs w:val="24"/>
          <w:highlight w:val="none"/>
        </w:rPr>
        <w:t>（1）投标供应商直接或者间接从采购人或者采购代理机构处获得其</w:t>
      </w:r>
      <w:r>
        <w:rPr>
          <w:spacing w:val="-16"/>
          <w:sz w:val="24"/>
          <w:szCs w:val="24"/>
          <w:highlight w:val="none"/>
        </w:rPr>
        <w:t>他投标供应商的相关情</w:t>
      </w:r>
      <w:r>
        <w:rPr>
          <w:spacing w:val="-11"/>
          <w:sz w:val="24"/>
          <w:szCs w:val="24"/>
          <w:highlight w:val="none"/>
        </w:rPr>
        <w:t>况并修改其投标文件；</w:t>
      </w:r>
    </w:p>
    <w:p w14:paraId="0891345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6"/>
        <w:textAlignment w:val="baseline"/>
        <w:rPr>
          <w:sz w:val="24"/>
          <w:szCs w:val="24"/>
          <w:highlight w:val="none"/>
        </w:rPr>
      </w:pPr>
      <w:r>
        <w:rPr>
          <w:spacing w:val="-12"/>
          <w:sz w:val="24"/>
          <w:szCs w:val="24"/>
          <w:highlight w:val="none"/>
        </w:rPr>
        <w:t>（2）投标供应商按照采购人或者采购代理机构的授意撤换、修改投标文件；</w:t>
      </w:r>
    </w:p>
    <w:p w14:paraId="1DD7956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z w:val="24"/>
          <w:szCs w:val="24"/>
          <w:highlight w:val="none"/>
        </w:rPr>
      </w:pPr>
      <w:r>
        <w:rPr>
          <w:spacing w:val="-12"/>
          <w:sz w:val="24"/>
          <w:szCs w:val="24"/>
          <w:highlight w:val="none"/>
        </w:rPr>
        <w:t>（3）投标供应商之间协商报价、技术方案等投标文件的实质性内容；</w:t>
      </w:r>
    </w:p>
    <w:p w14:paraId="1A753F4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 w:right="9" w:firstLine="481"/>
        <w:textAlignment w:val="baseline"/>
        <w:rPr>
          <w:sz w:val="24"/>
          <w:szCs w:val="24"/>
          <w:highlight w:val="none"/>
        </w:rPr>
      </w:pPr>
      <w:r>
        <w:rPr>
          <w:spacing w:val="-15"/>
          <w:sz w:val="24"/>
          <w:szCs w:val="24"/>
          <w:highlight w:val="none"/>
        </w:rPr>
        <w:t>（4）属于同一集团、协会、商会等组织成员的投标供应商按照该组</w:t>
      </w:r>
      <w:r>
        <w:rPr>
          <w:spacing w:val="-16"/>
          <w:sz w:val="24"/>
          <w:szCs w:val="24"/>
          <w:highlight w:val="none"/>
        </w:rPr>
        <w:t>织要求协同参加政府采</w:t>
      </w:r>
      <w:r>
        <w:rPr>
          <w:spacing w:val="-7"/>
          <w:sz w:val="24"/>
          <w:szCs w:val="24"/>
          <w:highlight w:val="none"/>
        </w:rPr>
        <w:t>购活动；</w:t>
      </w:r>
    </w:p>
    <w:p w14:paraId="5555763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6"/>
        <w:textAlignment w:val="baseline"/>
        <w:rPr>
          <w:sz w:val="24"/>
          <w:szCs w:val="24"/>
          <w:highlight w:val="none"/>
        </w:rPr>
      </w:pPr>
      <w:r>
        <w:rPr>
          <w:spacing w:val="-12"/>
          <w:sz w:val="24"/>
          <w:szCs w:val="24"/>
          <w:highlight w:val="none"/>
        </w:rPr>
        <w:t>（5）投标供应商之间事先约定由某一特定投标供应商中标；</w:t>
      </w:r>
    </w:p>
    <w:p w14:paraId="1588E60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z w:val="24"/>
          <w:szCs w:val="24"/>
          <w:highlight w:val="none"/>
        </w:rPr>
      </w:pPr>
      <w:r>
        <w:rPr>
          <w:spacing w:val="-12"/>
          <w:sz w:val="24"/>
          <w:szCs w:val="24"/>
          <w:highlight w:val="none"/>
        </w:rPr>
        <w:t>（6）投标供应商之间商定部分投标供应商放弃参加政府采购活动或者放弃中标；</w:t>
      </w:r>
    </w:p>
    <w:p w14:paraId="6C0548E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11" w:firstLine="477"/>
        <w:textAlignment w:val="baseline"/>
        <w:rPr>
          <w:sz w:val="24"/>
          <w:szCs w:val="24"/>
          <w:highlight w:val="none"/>
        </w:rPr>
      </w:pPr>
      <w:r>
        <w:rPr>
          <w:spacing w:val="-15"/>
          <w:sz w:val="24"/>
          <w:szCs w:val="24"/>
          <w:highlight w:val="none"/>
        </w:rPr>
        <w:t>（7）投标供应商与采购人或者采购代理机构之间、投标供应</w:t>
      </w:r>
      <w:r>
        <w:rPr>
          <w:spacing w:val="-16"/>
          <w:sz w:val="24"/>
          <w:szCs w:val="24"/>
          <w:highlight w:val="none"/>
        </w:rPr>
        <w:t>商相互之间，为谋求特定投标</w:t>
      </w:r>
      <w:r>
        <w:rPr>
          <w:spacing w:val="-12"/>
          <w:sz w:val="24"/>
          <w:szCs w:val="24"/>
          <w:highlight w:val="none"/>
        </w:rPr>
        <w:t>供应商中标或者排斥其他投标供应商的其他串通行为。</w:t>
      </w:r>
    </w:p>
    <w:p w14:paraId="63CFB3E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4"/>
        <w:textAlignment w:val="baseline"/>
        <w:rPr>
          <w:sz w:val="24"/>
          <w:szCs w:val="24"/>
          <w:highlight w:val="none"/>
        </w:rPr>
      </w:pPr>
      <w:r>
        <w:rPr>
          <w:spacing w:val="-2"/>
          <w:sz w:val="24"/>
          <w:szCs w:val="24"/>
          <w:highlight w:val="none"/>
        </w:rPr>
        <w:t>24.2有下列情形之一的，视为投标供应商串通投标，其投标无效：</w:t>
      </w:r>
    </w:p>
    <w:p w14:paraId="319A8AE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（1）不同投标供应商的投标文件由同一单位或者个人编制；</w:t>
      </w:r>
    </w:p>
    <w:p w14:paraId="232D67C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（2）不同投标供应商委托同一单位或者个人办理投标事宜；</w:t>
      </w:r>
    </w:p>
    <w:p w14:paraId="7C436CC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（3）不同投标供应商的投标文件载明的项目管理成员或者联系人员为同一人；</w:t>
      </w:r>
    </w:p>
    <w:p w14:paraId="4804EE0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（4）不同投标供应商的投标文件异常一致或者投标报价呈规律性差异；</w:t>
      </w:r>
    </w:p>
    <w:p w14:paraId="5C0CF3A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3"/>
          <w:sz w:val="24"/>
          <w:szCs w:val="24"/>
          <w:highlight w:val="none"/>
        </w:rPr>
        <w:t>（5）不同投标供应商的投标文件相互混装；</w:t>
      </w:r>
    </w:p>
    <w:p w14:paraId="67CD59D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pacing w:val="-2"/>
          <w:sz w:val="24"/>
          <w:szCs w:val="24"/>
          <w:highlight w:val="none"/>
        </w:rPr>
      </w:pPr>
      <w:r>
        <w:rPr>
          <w:spacing w:val="-2"/>
          <w:sz w:val="24"/>
          <w:szCs w:val="24"/>
          <w:highlight w:val="none"/>
        </w:rPr>
        <w:t>（6）不同投标供应商的投标保证金从同一单位或者个人的账户转出。</w:t>
      </w:r>
    </w:p>
    <w:p w14:paraId="2FFFA46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7" w:firstLine="422"/>
        <w:textAlignment w:val="baseline"/>
        <w:rPr>
          <w:spacing w:val="-14"/>
          <w:sz w:val="24"/>
          <w:szCs w:val="24"/>
          <w:highlight w:val="none"/>
        </w:rPr>
      </w:pPr>
      <w:r>
        <w:rPr>
          <w:spacing w:val="-14"/>
          <w:sz w:val="24"/>
          <w:szCs w:val="24"/>
          <w:highlight w:val="none"/>
        </w:rPr>
        <w:t>2</w:t>
      </w:r>
      <w:r>
        <w:rPr>
          <w:rFonts w:hint="eastAsia"/>
          <w:spacing w:val="-14"/>
          <w:sz w:val="24"/>
          <w:szCs w:val="24"/>
          <w:highlight w:val="none"/>
          <w:lang w:val="en-US" w:eastAsia="zh-CN"/>
        </w:rPr>
        <w:t>4</w:t>
      </w:r>
      <w:r>
        <w:rPr>
          <w:spacing w:val="-14"/>
          <w:sz w:val="24"/>
          <w:szCs w:val="24"/>
          <w:highlight w:val="none"/>
        </w:rPr>
        <w:t>.3涉嫌围标、串标情形：</w:t>
      </w:r>
    </w:p>
    <w:p w14:paraId="421E557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7" w:firstLine="422"/>
        <w:textAlignment w:val="baseline"/>
        <w:rPr>
          <w:spacing w:val="-14"/>
          <w:sz w:val="24"/>
          <w:szCs w:val="24"/>
          <w:highlight w:val="none"/>
        </w:rPr>
      </w:pPr>
      <w:r>
        <w:rPr>
          <w:spacing w:val="-14"/>
          <w:sz w:val="24"/>
          <w:szCs w:val="24"/>
          <w:highlight w:val="none"/>
        </w:rPr>
        <w:t>根据湘西自治州公共资源交易中心大数据分析系统异常预警机制，凡出现电子投标文件投标文件制作机器码、文件创建标识码、IP地址雷同的，均属涉嫌围标、串标情形，有关监管部门将根据异常预警具体情况依法进行处理。</w:t>
      </w:r>
    </w:p>
    <w:p w14:paraId="3F23B25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pacing w:val="-2"/>
          <w:sz w:val="24"/>
          <w:szCs w:val="24"/>
          <w:highlight w:val="none"/>
        </w:rPr>
      </w:pPr>
    </w:p>
    <w:p w14:paraId="6ED6D517">
      <w:pPr>
        <w:pStyle w:val="5"/>
        <w:bidi w:val="0"/>
      </w:pPr>
      <w:bookmarkStart w:id="102" w:name="bookmark66"/>
      <w:bookmarkEnd w:id="102"/>
      <w:bookmarkStart w:id="103" w:name="_Toc14587"/>
      <w:r>
        <w:t>五、开标，资格审查和评标</w:t>
      </w:r>
      <w:bookmarkEnd w:id="103"/>
    </w:p>
    <w:p w14:paraId="5EF11F69">
      <w:pPr>
        <w:pStyle w:val="6"/>
        <w:bidi w:val="0"/>
        <w:rPr>
          <w:sz w:val="24"/>
          <w:szCs w:val="24"/>
        </w:rPr>
      </w:pPr>
      <w:bookmarkStart w:id="104" w:name="_Toc5742"/>
      <w:bookmarkStart w:id="105" w:name="_Toc28795"/>
      <w:bookmarkStart w:id="106" w:name="_Toc26071"/>
      <w:r>
        <w:rPr>
          <w:sz w:val="24"/>
          <w:szCs w:val="24"/>
        </w:rPr>
        <w:t>25.开标</w:t>
      </w:r>
      <w:bookmarkEnd w:id="104"/>
      <w:bookmarkEnd w:id="105"/>
      <w:bookmarkEnd w:id="106"/>
    </w:p>
    <w:p w14:paraId="281BAFB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2"/>
          <w:sz w:val="24"/>
          <w:szCs w:val="24"/>
          <w:highlight w:val="none"/>
        </w:rPr>
      </w:pPr>
      <w:r>
        <w:rPr>
          <w:spacing w:val="-3"/>
          <w:sz w:val="24"/>
          <w:szCs w:val="24"/>
          <w:highlight w:val="none"/>
        </w:rPr>
        <w:t>25.1采购人或者采购代理机构在招标文件规定的地点组织公开开标，并邀请投标供应</w:t>
      </w:r>
      <w:r>
        <w:rPr>
          <w:spacing w:val="-2"/>
          <w:sz w:val="24"/>
          <w:szCs w:val="24"/>
          <w:highlight w:val="none"/>
        </w:rPr>
        <w:t>商参加。投标供应商未参加开标的，视同认可开标结果。</w:t>
      </w:r>
    </w:p>
    <w:p w14:paraId="2DC5878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87" w:firstLineChars="167"/>
        <w:textAlignment w:val="baseline"/>
        <w:rPr>
          <w:sz w:val="24"/>
          <w:szCs w:val="24"/>
          <w:highlight w:val="none"/>
        </w:rPr>
      </w:pPr>
      <w:r>
        <w:rPr>
          <w:spacing w:val="-4"/>
          <w:sz w:val="24"/>
          <w:szCs w:val="24"/>
          <w:highlight w:val="none"/>
        </w:rPr>
        <w:t>25.2开标时，按照招标文件要求进行电子唱标，投标供应商不</w:t>
      </w:r>
      <w:r>
        <w:rPr>
          <w:spacing w:val="-5"/>
          <w:sz w:val="24"/>
          <w:szCs w:val="24"/>
          <w:highlight w:val="none"/>
        </w:rPr>
        <w:t>足3家的，不得开标。</w:t>
      </w:r>
    </w:p>
    <w:p w14:paraId="6F1C5CA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5" w:leftChars="12" w:right="2" w:firstLine="390" w:firstLineChars="167"/>
        <w:textAlignment w:val="baseline"/>
        <w:rPr>
          <w:sz w:val="24"/>
          <w:szCs w:val="24"/>
          <w:highlight w:val="none"/>
        </w:rPr>
      </w:pPr>
      <w:r>
        <w:rPr>
          <w:spacing w:val="-3"/>
          <w:sz w:val="24"/>
          <w:szCs w:val="24"/>
          <w:highlight w:val="none"/>
        </w:rPr>
        <w:t>25.3开标过程应当由采购人或者采购代理机构负责记录，由参加开标的各投标供应商</w:t>
      </w:r>
      <w:r>
        <w:rPr>
          <w:spacing w:val="-2"/>
          <w:sz w:val="24"/>
          <w:szCs w:val="24"/>
          <w:highlight w:val="none"/>
        </w:rPr>
        <w:t>代表和相关工作人员签字确认后随采购文件一并存档。</w:t>
      </w:r>
    </w:p>
    <w:p w14:paraId="0C05041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z w:val="24"/>
          <w:szCs w:val="24"/>
          <w:highlight w:val="none"/>
        </w:rPr>
      </w:pPr>
      <w:r>
        <w:rPr>
          <w:spacing w:val="-3"/>
          <w:sz w:val="24"/>
          <w:szCs w:val="24"/>
          <w:highlight w:val="none"/>
        </w:rPr>
        <w:t>25.4投标供应商代表对开标过程和开标记录有疑义，以及认为采购人或者采购代理机</w:t>
      </w:r>
      <w:r>
        <w:rPr>
          <w:spacing w:val="-1"/>
          <w:sz w:val="24"/>
          <w:szCs w:val="24"/>
          <w:highlight w:val="none"/>
        </w:rPr>
        <w:t>构相关工作人员有《政府采购法实施条例》第九条第一款需要回避的情形的，应当场提出</w:t>
      </w:r>
      <w:r>
        <w:rPr>
          <w:spacing w:val="-3"/>
          <w:sz w:val="24"/>
          <w:szCs w:val="24"/>
          <w:highlight w:val="none"/>
        </w:rPr>
        <w:t>询问或者回避申请。</w:t>
      </w:r>
    </w:p>
    <w:p w14:paraId="6BE59B4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5" w:leftChars="12" w:right="177" w:firstLine="394" w:firstLineChars="167"/>
        <w:textAlignment w:val="baseline"/>
        <w:rPr>
          <w:sz w:val="24"/>
          <w:szCs w:val="24"/>
          <w:highlight w:val="none"/>
        </w:rPr>
      </w:pPr>
      <w:r>
        <w:rPr>
          <w:spacing w:val="-2"/>
          <w:sz w:val="24"/>
          <w:szCs w:val="24"/>
          <w:highlight w:val="none"/>
        </w:rPr>
        <w:t>25.5采购人或者采购代理机构对投标供应商代表当场提出的询问或者回避申请，按《政府采购法实施条例》有关规定及时处理。</w:t>
      </w:r>
    </w:p>
    <w:p w14:paraId="52A2270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25.6.开标时，出现下列情形之一的，采购代理机构不予受理，不得进入评标：</w:t>
      </w:r>
    </w:p>
    <w:p w14:paraId="3862EF8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（1）经检查数字证书无效的电子投标文件；</w:t>
      </w:r>
    </w:p>
    <w:p w14:paraId="1303336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（2）电子投标文件未按招标文件要求上传或未送达指定地点的；</w:t>
      </w:r>
    </w:p>
    <w:p w14:paraId="444C973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（3）投标供应商未按照投标须知前附表规定的时间解密电子投标文件的；</w:t>
      </w:r>
    </w:p>
    <w:p w14:paraId="7013DAE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（4）其它违反法律、法规的情形。</w:t>
      </w:r>
    </w:p>
    <w:p w14:paraId="7C2712D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25.7开标程序。采购代理机构在规定的时间内，按下列程序进行开标：</w:t>
      </w:r>
    </w:p>
    <w:p w14:paraId="04704B7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（1）投标供应商在规定的时间内解密投标文件。投标供应商电子投标文件解密方式、投标供应商解密电子投标文件时限见招标文件前附表相关的规定；</w:t>
      </w:r>
    </w:p>
    <w:p w14:paraId="5DDB5BD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（2）投标供应商授权代表通过电子开标软件在开标记录上电子确认。</w:t>
      </w:r>
    </w:p>
    <w:p w14:paraId="3973825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leftChars="12" w:firstLine="390" w:firstLineChars="167"/>
        <w:textAlignment w:val="baseline"/>
        <w:rPr>
          <w:spacing w:val="-3"/>
          <w:sz w:val="24"/>
          <w:szCs w:val="24"/>
          <w:highlight w:val="none"/>
        </w:rPr>
      </w:pPr>
      <w:r>
        <w:rPr>
          <w:spacing w:val="-3"/>
          <w:sz w:val="24"/>
          <w:szCs w:val="24"/>
          <w:highlight w:val="none"/>
        </w:rPr>
        <w:t>25.8.电子招投标的应急措施</w:t>
      </w:r>
    </w:p>
    <w:p w14:paraId="7F7A1F2A">
      <w:pPr>
        <w:pStyle w:val="2"/>
        <w:keepNext w:val="0"/>
        <w:keepLines w:val="0"/>
        <w:pageBreakBefore w:val="0"/>
        <w:widowControl/>
        <w:kinsoku/>
        <w:wordWrap w:val="0"/>
        <w:overflowPunct/>
        <w:topLinePunct w:val="0"/>
        <w:autoSpaceDE/>
        <w:autoSpaceDN/>
        <w:bidi w:val="0"/>
        <w:adjustRightInd w:val="0"/>
        <w:snapToGrid w:val="0"/>
        <w:spacing w:before="179" w:line="360" w:lineRule="auto"/>
        <w:ind w:left="533"/>
        <w:textAlignment w:val="baseline"/>
        <w:rPr>
          <w:sz w:val="24"/>
          <w:szCs w:val="24"/>
          <w:highlight w:val="none"/>
        </w:rPr>
      </w:pPr>
      <w:r>
        <w:rPr>
          <w:spacing w:val="-2"/>
          <w:sz w:val="24"/>
          <w:szCs w:val="24"/>
          <w:highlight w:val="none"/>
        </w:rPr>
        <w:t>1.电子开标、评标如出现下列情形，导致系统无法正常运行时，可采取应急措施：</w:t>
      </w:r>
    </w:p>
    <w:p w14:paraId="14892613">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504"/>
        <w:textAlignment w:val="baseline"/>
        <w:rPr>
          <w:sz w:val="24"/>
          <w:szCs w:val="24"/>
          <w:highlight w:val="none"/>
        </w:rPr>
      </w:pPr>
      <w:r>
        <w:rPr>
          <w:spacing w:val="-2"/>
          <w:sz w:val="24"/>
          <w:szCs w:val="24"/>
          <w:highlight w:val="none"/>
        </w:rPr>
        <w:t>2.系统服务器发生故障，无法访问或无法使用系统；</w:t>
      </w:r>
    </w:p>
    <w:p w14:paraId="0E156DA6">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508"/>
        <w:textAlignment w:val="baseline"/>
        <w:rPr>
          <w:sz w:val="24"/>
          <w:szCs w:val="24"/>
          <w:highlight w:val="none"/>
        </w:rPr>
      </w:pPr>
      <w:r>
        <w:rPr>
          <w:spacing w:val="-2"/>
          <w:sz w:val="24"/>
          <w:szCs w:val="24"/>
          <w:highlight w:val="none"/>
        </w:rPr>
        <w:t>3.系统的软件或数据库出现错误，不能进行正常操作；</w:t>
      </w:r>
    </w:p>
    <w:p w14:paraId="0761F05B">
      <w:pPr>
        <w:pStyle w:val="2"/>
        <w:keepNext w:val="0"/>
        <w:keepLines w:val="0"/>
        <w:pageBreakBefore w:val="0"/>
        <w:widowControl/>
        <w:kinsoku/>
        <w:wordWrap w:val="0"/>
        <w:overflowPunct/>
        <w:topLinePunct w:val="0"/>
        <w:autoSpaceDE/>
        <w:autoSpaceDN/>
        <w:bidi w:val="0"/>
        <w:adjustRightInd w:val="0"/>
        <w:snapToGrid w:val="0"/>
        <w:spacing w:before="182" w:line="360" w:lineRule="auto"/>
        <w:ind w:left="495"/>
        <w:textAlignment w:val="baseline"/>
        <w:rPr>
          <w:sz w:val="24"/>
          <w:szCs w:val="24"/>
          <w:highlight w:val="none"/>
        </w:rPr>
      </w:pPr>
      <w:r>
        <w:rPr>
          <w:spacing w:val="-2"/>
          <w:sz w:val="24"/>
          <w:szCs w:val="24"/>
          <w:highlight w:val="none"/>
        </w:rPr>
        <w:t>4.系统发现有安全漏洞，有潜在的泄密危险；</w:t>
      </w:r>
    </w:p>
    <w:p w14:paraId="19B1D544">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508"/>
        <w:textAlignment w:val="baseline"/>
        <w:rPr>
          <w:sz w:val="24"/>
          <w:szCs w:val="24"/>
          <w:highlight w:val="none"/>
        </w:rPr>
      </w:pPr>
      <w:r>
        <w:rPr>
          <w:spacing w:val="-2"/>
          <w:sz w:val="24"/>
          <w:szCs w:val="24"/>
          <w:highlight w:val="none"/>
        </w:rPr>
        <w:t>5.病毒发作或受到外来病毒的攻击；</w:t>
      </w:r>
    </w:p>
    <w:p w14:paraId="5FD42BB3">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503"/>
        <w:textAlignment w:val="baseline"/>
        <w:rPr>
          <w:sz w:val="24"/>
          <w:szCs w:val="24"/>
          <w:highlight w:val="none"/>
        </w:rPr>
      </w:pPr>
      <w:r>
        <w:rPr>
          <w:spacing w:val="-3"/>
          <w:sz w:val="24"/>
          <w:szCs w:val="24"/>
          <w:highlight w:val="none"/>
        </w:rPr>
        <w:t>6.其他特殊情况。</w:t>
      </w:r>
    </w:p>
    <w:p w14:paraId="3C1AA40D">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15" w:right="61" w:firstLine="493"/>
        <w:textAlignment w:val="baseline"/>
        <w:rPr>
          <w:sz w:val="24"/>
          <w:szCs w:val="24"/>
          <w:highlight w:val="none"/>
        </w:rPr>
      </w:pPr>
      <w:r>
        <w:rPr>
          <w:spacing w:val="-1"/>
          <w:sz w:val="24"/>
          <w:szCs w:val="24"/>
          <w:highlight w:val="none"/>
        </w:rPr>
        <w:t>7.出现上述情况之一时，应对未开标的暂停开</w:t>
      </w:r>
      <w:r>
        <w:rPr>
          <w:spacing w:val="-2"/>
          <w:sz w:val="24"/>
          <w:szCs w:val="24"/>
          <w:highlight w:val="none"/>
        </w:rPr>
        <w:t>标或用纸质投标文件开标；已在系统内评标的，评标委员会可改用纸质投标文件进行评审。</w:t>
      </w:r>
    </w:p>
    <w:p w14:paraId="07D882AA">
      <w:pPr>
        <w:pStyle w:val="6"/>
        <w:bidi w:val="0"/>
        <w:rPr>
          <w:sz w:val="24"/>
          <w:szCs w:val="24"/>
        </w:rPr>
      </w:pPr>
      <w:bookmarkStart w:id="107" w:name="_Toc17969"/>
      <w:bookmarkStart w:id="108" w:name="_Toc18551"/>
      <w:bookmarkStart w:id="109" w:name="_Toc24217"/>
      <w:r>
        <w:rPr>
          <w:sz w:val="24"/>
          <w:szCs w:val="24"/>
        </w:rPr>
        <w:t>26.资格审查</w:t>
      </w:r>
      <w:bookmarkEnd w:id="107"/>
      <w:bookmarkEnd w:id="108"/>
      <w:bookmarkEnd w:id="109"/>
    </w:p>
    <w:p w14:paraId="3AF6DACC">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41" w:firstLine="485"/>
        <w:textAlignment w:val="baseline"/>
        <w:rPr>
          <w:sz w:val="24"/>
          <w:szCs w:val="24"/>
          <w:highlight w:val="none"/>
        </w:rPr>
      </w:pPr>
      <w:r>
        <w:rPr>
          <w:spacing w:val="-4"/>
          <w:sz w:val="24"/>
          <w:szCs w:val="24"/>
          <w:highlight w:val="none"/>
        </w:rPr>
        <w:t>26.1开标结束后，采购人或者采购代理机构依法按照第三章“</w:t>
      </w:r>
      <w:r>
        <w:rPr>
          <w:spacing w:val="-5"/>
          <w:sz w:val="24"/>
          <w:szCs w:val="24"/>
          <w:highlight w:val="none"/>
        </w:rPr>
        <w:t>资格审查”规定组织资格审查。</w:t>
      </w:r>
    </w:p>
    <w:p w14:paraId="6002C7A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firstLine="485"/>
        <w:textAlignment w:val="baseline"/>
        <w:rPr>
          <w:sz w:val="24"/>
          <w:szCs w:val="24"/>
          <w:highlight w:val="none"/>
        </w:rPr>
      </w:pPr>
      <w:r>
        <w:rPr>
          <w:spacing w:val="-3"/>
          <w:sz w:val="24"/>
          <w:szCs w:val="24"/>
          <w:highlight w:val="none"/>
        </w:rPr>
        <w:t>26.2资格审查结束后，采购人及采购代理机构应将资格审查结果告</w:t>
      </w:r>
      <w:r>
        <w:rPr>
          <w:spacing w:val="-4"/>
          <w:sz w:val="24"/>
          <w:szCs w:val="24"/>
          <w:highlight w:val="none"/>
        </w:rPr>
        <w:t>知评标委员会。资</w:t>
      </w:r>
      <w:r>
        <w:rPr>
          <w:spacing w:val="-7"/>
          <w:sz w:val="24"/>
          <w:szCs w:val="24"/>
          <w:highlight w:val="none"/>
        </w:rPr>
        <w:t>格审查不合格投标供应商不得进入评标；资格审查合格投标供应商少于3家的，不得评标。</w:t>
      </w:r>
    </w:p>
    <w:p w14:paraId="77FECF14">
      <w:pPr>
        <w:pStyle w:val="6"/>
        <w:bidi w:val="0"/>
        <w:rPr>
          <w:rFonts w:ascii="宋体" w:hAnsi="宋体" w:eastAsia="宋体" w:cs="宋体"/>
          <w:b/>
          <w:bCs/>
          <w:spacing w:val="-2"/>
          <w:sz w:val="24"/>
          <w:szCs w:val="24"/>
          <w:highlight w:val="none"/>
        </w:rPr>
      </w:pPr>
      <w:bookmarkStart w:id="110" w:name="_Toc12191"/>
      <w:bookmarkStart w:id="111" w:name="_Toc20100"/>
      <w:bookmarkStart w:id="112" w:name="_Toc31603"/>
      <w:r>
        <w:rPr>
          <w:rFonts w:ascii="宋体" w:hAnsi="宋体" w:eastAsia="宋体" w:cs="宋体"/>
          <w:b/>
          <w:bCs/>
          <w:spacing w:val="-2"/>
          <w:sz w:val="24"/>
          <w:szCs w:val="24"/>
          <w:highlight w:val="none"/>
        </w:rPr>
        <w:t>27.评标委员会</w:t>
      </w:r>
      <w:bookmarkEnd w:id="110"/>
      <w:bookmarkEnd w:id="111"/>
      <w:bookmarkEnd w:id="112"/>
    </w:p>
    <w:p w14:paraId="1B1F8E6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firstLine="485"/>
        <w:textAlignment w:val="baseline"/>
        <w:rPr>
          <w:spacing w:val="-3"/>
          <w:sz w:val="24"/>
          <w:szCs w:val="24"/>
          <w:highlight w:val="none"/>
        </w:rPr>
      </w:pPr>
      <w:r>
        <w:rPr>
          <w:spacing w:val="-3"/>
          <w:sz w:val="24"/>
          <w:szCs w:val="24"/>
          <w:highlight w:val="none"/>
        </w:rPr>
        <w:t>27.1评标由依法组建的评标委员会负责，评标委员会由采购人代表和评审专家组成。</w:t>
      </w:r>
    </w:p>
    <w:p w14:paraId="6265D8B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firstLine="485"/>
        <w:textAlignment w:val="baseline"/>
        <w:rPr>
          <w:spacing w:val="-3"/>
          <w:sz w:val="24"/>
          <w:szCs w:val="24"/>
          <w:highlight w:val="none"/>
        </w:rPr>
      </w:pPr>
      <w:r>
        <w:rPr>
          <w:spacing w:val="-3"/>
          <w:sz w:val="24"/>
          <w:szCs w:val="24"/>
          <w:highlight w:val="none"/>
        </w:rPr>
        <w:t>27.2评标委员会成员有下列情形之一的，应当回避：</w:t>
      </w:r>
    </w:p>
    <w:p w14:paraId="415962B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3" w:right="173" w:firstLine="496"/>
        <w:textAlignment w:val="baseline"/>
        <w:rPr>
          <w:sz w:val="24"/>
          <w:szCs w:val="24"/>
          <w:highlight w:val="none"/>
        </w:rPr>
      </w:pPr>
      <w:r>
        <w:rPr>
          <w:spacing w:val="-2"/>
          <w:sz w:val="24"/>
          <w:szCs w:val="24"/>
          <w:highlight w:val="none"/>
        </w:rPr>
        <w:t>（1）参加采购活动前三年内,与投标供应商存在劳动关系,或者担任过投标供应商的董事、监事,或者是投标供应商的控股股东或实际控制人；</w:t>
      </w:r>
    </w:p>
    <w:p w14:paraId="2D4AAAF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173" w:firstLine="495"/>
        <w:textAlignment w:val="baseline"/>
        <w:rPr>
          <w:sz w:val="24"/>
          <w:szCs w:val="24"/>
          <w:highlight w:val="none"/>
        </w:rPr>
      </w:pPr>
      <w:r>
        <w:rPr>
          <w:spacing w:val="-2"/>
          <w:sz w:val="24"/>
          <w:szCs w:val="24"/>
          <w:highlight w:val="none"/>
        </w:rPr>
        <w:t>（2）与投标供应商的法定代表人或者负责人有夫妻、直系血亲、三代以内旁系血亲</w:t>
      </w:r>
      <w:r>
        <w:rPr>
          <w:spacing w:val="-4"/>
          <w:sz w:val="24"/>
          <w:szCs w:val="24"/>
          <w:highlight w:val="none"/>
        </w:rPr>
        <w:t>或者近姻亲关系；</w:t>
      </w:r>
    </w:p>
    <w:p w14:paraId="760304E4">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（3）与投标供应商有其他可能影响政府采购活动公平、公正进行的关系。</w:t>
      </w:r>
    </w:p>
    <w:p w14:paraId="40B8ECC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4"/>
        <w:textAlignment w:val="baseline"/>
        <w:rPr>
          <w:sz w:val="24"/>
          <w:szCs w:val="24"/>
          <w:highlight w:val="none"/>
        </w:rPr>
      </w:pPr>
      <w:r>
        <w:rPr>
          <w:spacing w:val="-2"/>
          <w:sz w:val="24"/>
          <w:szCs w:val="24"/>
          <w:highlight w:val="none"/>
        </w:rPr>
        <w:t>27.3评标委员会负责具体评标事务，并独立履行下列职责：</w:t>
      </w:r>
    </w:p>
    <w:p w14:paraId="0BD0BC5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（1）审查、评价投标文件是否符合招标文件的商务、技术等实质性要求；</w:t>
      </w:r>
    </w:p>
    <w:p w14:paraId="7B0944F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（2）要求投标供应商对投标文件有关事项作出澄清或者说明；</w:t>
      </w:r>
    </w:p>
    <w:p w14:paraId="3DB6E22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3"/>
          <w:sz w:val="24"/>
          <w:szCs w:val="24"/>
          <w:highlight w:val="none"/>
        </w:rPr>
        <w:t>（3）对投标文件进行比较和评价；</w:t>
      </w:r>
    </w:p>
    <w:p w14:paraId="56D0812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（4）确定中标候选人名单，以及根据采购人委托直接确定中标投标供应商。</w:t>
      </w:r>
    </w:p>
    <w:p w14:paraId="7FBF75FA">
      <w:pPr>
        <w:pStyle w:val="6"/>
        <w:bidi w:val="0"/>
        <w:rPr>
          <w:rFonts w:ascii="宋体" w:hAnsi="宋体" w:eastAsia="宋体" w:cs="宋体"/>
          <w:b/>
          <w:bCs/>
          <w:spacing w:val="-2"/>
          <w:sz w:val="24"/>
          <w:szCs w:val="24"/>
          <w:highlight w:val="none"/>
        </w:rPr>
      </w:pPr>
      <w:bookmarkStart w:id="113" w:name="_Toc11542"/>
      <w:bookmarkStart w:id="114" w:name="_Toc24289"/>
      <w:bookmarkStart w:id="115" w:name="_Toc25243"/>
      <w:r>
        <w:rPr>
          <w:rFonts w:ascii="宋体" w:hAnsi="宋体" w:eastAsia="宋体" w:cs="宋体"/>
          <w:b/>
          <w:bCs/>
          <w:spacing w:val="-2"/>
          <w:sz w:val="24"/>
          <w:szCs w:val="24"/>
          <w:highlight w:val="none"/>
        </w:rPr>
        <w:t>28.评标</w:t>
      </w:r>
      <w:bookmarkEnd w:id="113"/>
      <w:bookmarkEnd w:id="114"/>
      <w:bookmarkEnd w:id="115"/>
    </w:p>
    <w:p w14:paraId="78A418D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41" w:firstLine="488"/>
        <w:textAlignment w:val="baseline"/>
        <w:rPr>
          <w:sz w:val="24"/>
          <w:szCs w:val="24"/>
          <w:highlight w:val="none"/>
        </w:rPr>
      </w:pPr>
      <w:r>
        <w:rPr>
          <w:spacing w:val="-4"/>
          <w:sz w:val="24"/>
          <w:szCs w:val="24"/>
          <w:highlight w:val="none"/>
        </w:rPr>
        <w:t>28.1评标委员会按照第四章“评标方法及标准”规定的评标方法、评审</w:t>
      </w:r>
      <w:r>
        <w:rPr>
          <w:spacing w:val="-5"/>
          <w:sz w:val="24"/>
          <w:szCs w:val="24"/>
          <w:highlight w:val="none"/>
        </w:rPr>
        <w:t>因素、标准和</w:t>
      </w:r>
      <w:r>
        <w:rPr>
          <w:spacing w:val="-2"/>
          <w:sz w:val="24"/>
          <w:szCs w:val="24"/>
          <w:highlight w:val="none"/>
        </w:rPr>
        <w:t>程序以及有关法律、法规及规章对投标文件进行评审。</w:t>
      </w:r>
    </w:p>
    <w:p w14:paraId="0328E72C">
      <w:pPr>
        <w:pStyle w:val="5"/>
        <w:bidi w:val="0"/>
      </w:pPr>
      <w:bookmarkStart w:id="116" w:name="bookmark67"/>
      <w:bookmarkEnd w:id="116"/>
      <w:bookmarkStart w:id="117" w:name="_Toc8507"/>
      <w:r>
        <w:t>六、中标信息公布</w:t>
      </w:r>
      <w:bookmarkEnd w:id="117"/>
    </w:p>
    <w:p w14:paraId="0040E15E">
      <w:pPr>
        <w:pStyle w:val="6"/>
        <w:bidi w:val="0"/>
        <w:rPr>
          <w:rFonts w:ascii="宋体" w:hAnsi="宋体" w:eastAsia="宋体" w:cs="宋体"/>
          <w:b/>
          <w:bCs/>
          <w:spacing w:val="-2"/>
          <w:sz w:val="24"/>
          <w:szCs w:val="24"/>
          <w:highlight w:val="none"/>
        </w:rPr>
      </w:pPr>
      <w:bookmarkStart w:id="118" w:name="_Toc21473"/>
      <w:bookmarkStart w:id="119" w:name="_Toc29067"/>
      <w:bookmarkStart w:id="120" w:name="_Toc603"/>
      <w:r>
        <w:rPr>
          <w:rFonts w:ascii="宋体" w:hAnsi="宋体" w:eastAsia="宋体" w:cs="宋体"/>
          <w:b/>
          <w:bCs/>
          <w:spacing w:val="-2"/>
          <w:sz w:val="24"/>
          <w:szCs w:val="24"/>
          <w:highlight w:val="none"/>
        </w:rPr>
        <w:t>29.中标通知书与中标信息公布</w:t>
      </w:r>
      <w:bookmarkEnd w:id="118"/>
      <w:bookmarkEnd w:id="119"/>
      <w:bookmarkEnd w:id="120"/>
    </w:p>
    <w:p w14:paraId="3C7C5C0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46" w:firstLine="488"/>
        <w:textAlignment w:val="baseline"/>
        <w:rPr>
          <w:sz w:val="24"/>
          <w:szCs w:val="24"/>
          <w:highlight w:val="none"/>
        </w:rPr>
      </w:pPr>
      <w:r>
        <w:rPr>
          <w:sz w:val="24"/>
          <w:szCs w:val="24"/>
          <w:highlight w:val="none"/>
        </w:rPr>
        <w:t>29.1采购代理机构应当在评标结束后2个工作日内将资格审查情况报告和评标报告送</w:t>
      </w:r>
      <w:r>
        <w:rPr>
          <w:spacing w:val="-4"/>
          <w:sz w:val="24"/>
          <w:szCs w:val="24"/>
          <w:highlight w:val="none"/>
        </w:rPr>
        <w:t>采购人。</w:t>
      </w:r>
    </w:p>
    <w:p w14:paraId="0EA0DDD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 w:right="41" w:firstLine="489"/>
        <w:textAlignment w:val="baseline"/>
        <w:rPr>
          <w:sz w:val="24"/>
          <w:szCs w:val="24"/>
          <w:highlight w:val="none"/>
        </w:rPr>
      </w:pPr>
      <w:r>
        <w:rPr>
          <w:spacing w:val="-4"/>
          <w:sz w:val="24"/>
          <w:szCs w:val="24"/>
          <w:highlight w:val="none"/>
        </w:rPr>
        <w:t>29.2采购人应当自收到资格审查情况报告和评标报告之日起5个工作日内，在评标报</w:t>
      </w:r>
      <w:r>
        <w:rPr>
          <w:spacing w:val="-1"/>
          <w:sz w:val="24"/>
          <w:szCs w:val="24"/>
          <w:highlight w:val="none"/>
        </w:rPr>
        <w:t>告确定的中标候选人名单中按顺序确定中标投标供应商。中标候选人并列的（得分且投标</w:t>
      </w:r>
      <w:r>
        <w:rPr>
          <w:spacing w:val="-2"/>
          <w:sz w:val="24"/>
          <w:szCs w:val="24"/>
          <w:highlight w:val="none"/>
        </w:rPr>
        <w:t>报价相同的</w:t>
      </w:r>
      <w:r>
        <w:rPr>
          <w:spacing w:val="10"/>
          <w:sz w:val="24"/>
          <w:szCs w:val="24"/>
          <w:highlight w:val="none"/>
        </w:rPr>
        <w:t>），</w:t>
      </w:r>
      <w:r>
        <w:rPr>
          <w:spacing w:val="-2"/>
          <w:sz w:val="24"/>
          <w:szCs w:val="24"/>
          <w:highlight w:val="none"/>
        </w:rPr>
        <w:t>按照</w:t>
      </w:r>
      <w:r>
        <w:rPr>
          <w:b/>
          <w:bCs/>
          <w:spacing w:val="-2"/>
          <w:sz w:val="24"/>
          <w:szCs w:val="24"/>
          <w:highlight w:val="none"/>
        </w:rPr>
        <w:t>【投标须知前附表】</w:t>
      </w:r>
      <w:r>
        <w:rPr>
          <w:spacing w:val="-2"/>
          <w:sz w:val="24"/>
          <w:szCs w:val="24"/>
          <w:highlight w:val="none"/>
        </w:rPr>
        <w:t>规定的方式确定中标投标供</w:t>
      </w:r>
      <w:r>
        <w:rPr>
          <w:spacing w:val="-3"/>
          <w:sz w:val="24"/>
          <w:szCs w:val="24"/>
          <w:highlight w:val="none"/>
        </w:rPr>
        <w:t>应商。</w:t>
      </w:r>
    </w:p>
    <w:p w14:paraId="6FAAED8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41" w:firstLine="485"/>
        <w:textAlignment w:val="baseline"/>
        <w:rPr>
          <w:sz w:val="24"/>
          <w:szCs w:val="24"/>
          <w:highlight w:val="none"/>
        </w:rPr>
      </w:pPr>
      <w:r>
        <w:rPr>
          <w:spacing w:val="-4"/>
          <w:sz w:val="24"/>
          <w:szCs w:val="24"/>
          <w:highlight w:val="none"/>
        </w:rPr>
        <w:t>29.3采购代理机构应当自采购人确定中标投标供应商之日起2个工作日内，发出中标</w:t>
      </w:r>
      <w:r>
        <w:rPr>
          <w:spacing w:val="-2"/>
          <w:sz w:val="24"/>
          <w:szCs w:val="24"/>
          <w:highlight w:val="none"/>
        </w:rPr>
        <w:t>通知书，并在本章第10.1款规定的媒体公告中标结</w:t>
      </w:r>
      <w:r>
        <w:rPr>
          <w:spacing w:val="-3"/>
          <w:sz w:val="24"/>
          <w:szCs w:val="24"/>
          <w:highlight w:val="none"/>
        </w:rPr>
        <w:t>果，招标文件随中标结果同时公告，</w:t>
      </w:r>
    </w:p>
    <w:p w14:paraId="11CE012E">
      <w:pPr>
        <w:pStyle w:val="2"/>
        <w:keepNext w:val="0"/>
        <w:keepLines w:val="0"/>
        <w:pageBreakBefore w:val="0"/>
        <w:widowControl/>
        <w:kinsoku/>
        <w:wordWrap w:val="0"/>
        <w:overflowPunct/>
        <w:topLinePunct w:val="0"/>
        <w:autoSpaceDE/>
        <w:autoSpaceDN/>
        <w:bidi w:val="0"/>
        <w:adjustRightInd w:val="0"/>
        <w:snapToGrid w:val="0"/>
        <w:spacing w:before="254" w:line="360" w:lineRule="auto"/>
        <w:ind w:left="63"/>
        <w:textAlignment w:val="baseline"/>
        <w:rPr>
          <w:sz w:val="24"/>
          <w:szCs w:val="24"/>
          <w:highlight w:val="none"/>
        </w:rPr>
      </w:pPr>
      <w:r>
        <w:rPr>
          <w:spacing w:val="-9"/>
          <w:sz w:val="24"/>
          <w:szCs w:val="24"/>
          <w:highlight w:val="none"/>
        </w:rPr>
        <w:t>中标结果公告期限为1个工作日。</w:t>
      </w:r>
    </w:p>
    <w:p w14:paraId="1196195A">
      <w:pPr>
        <w:pStyle w:val="6"/>
        <w:bidi w:val="0"/>
        <w:rPr>
          <w:rFonts w:ascii="宋体" w:hAnsi="宋体" w:eastAsia="宋体" w:cs="宋体"/>
          <w:b/>
          <w:bCs/>
          <w:spacing w:val="-2"/>
          <w:sz w:val="24"/>
          <w:szCs w:val="24"/>
          <w:highlight w:val="none"/>
        </w:rPr>
      </w:pPr>
      <w:bookmarkStart w:id="121" w:name="_Toc23098"/>
      <w:bookmarkStart w:id="122" w:name="_Toc9585"/>
      <w:bookmarkStart w:id="123" w:name="_Toc30581"/>
      <w:r>
        <w:rPr>
          <w:rFonts w:ascii="宋体" w:hAnsi="宋体" w:eastAsia="宋体" w:cs="宋体"/>
          <w:b/>
          <w:bCs/>
          <w:spacing w:val="-2"/>
          <w:sz w:val="24"/>
          <w:szCs w:val="24"/>
          <w:highlight w:val="none"/>
        </w:rPr>
        <w:t>30.投标供应商询问及质疑</w:t>
      </w:r>
      <w:bookmarkEnd w:id="121"/>
      <w:bookmarkEnd w:id="122"/>
      <w:bookmarkEnd w:id="123"/>
    </w:p>
    <w:p w14:paraId="35FBCB0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41" w:firstLine="487"/>
        <w:textAlignment w:val="baseline"/>
        <w:rPr>
          <w:sz w:val="24"/>
          <w:szCs w:val="24"/>
          <w:highlight w:val="none"/>
        </w:rPr>
      </w:pPr>
      <w:r>
        <w:rPr>
          <w:spacing w:val="-3"/>
          <w:sz w:val="24"/>
          <w:szCs w:val="24"/>
          <w:highlight w:val="none"/>
        </w:rPr>
        <w:t>30.1投标供应商对政府采购活动事项有疑问的，可以向采购人或者采购代理机构提出</w:t>
      </w:r>
      <w:r>
        <w:rPr>
          <w:spacing w:val="-2"/>
          <w:sz w:val="24"/>
          <w:szCs w:val="24"/>
          <w:highlight w:val="none"/>
        </w:rPr>
        <w:t>询问。采购人或者采购代理机构应在3个工作</w:t>
      </w:r>
      <w:r>
        <w:rPr>
          <w:spacing w:val="-3"/>
          <w:sz w:val="24"/>
          <w:szCs w:val="24"/>
          <w:highlight w:val="none"/>
        </w:rPr>
        <w:t>日内作出答复。</w:t>
      </w:r>
    </w:p>
    <w:p w14:paraId="020FA97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490"/>
        <w:textAlignment w:val="baseline"/>
        <w:rPr>
          <w:rFonts w:hint="eastAsia" w:eastAsia="宋体"/>
          <w:sz w:val="24"/>
          <w:szCs w:val="24"/>
          <w:highlight w:val="none"/>
          <w:lang w:eastAsia="zh-CN"/>
        </w:rPr>
      </w:pPr>
      <w:r>
        <w:rPr>
          <w:spacing w:val="-3"/>
          <w:sz w:val="24"/>
          <w:szCs w:val="24"/>
          <w:highlight w:val="none"/>
        </w:rPr>
        <w:t>30.2</w:t>
      </w:r>
      <w:r>
        <w:rPr>
          <w:rFonts w:hint="eastAsia"/>
          <w:spacing w:val="-3"/>
          <w:sz w:val="24"/>
          <w:szCs w:val="24"/>
          <w:highlight w:val="none"/>
          <w:lang w:eastAsia="zh-CN"/>
        </w:rPr>
        <w:t>投标供应商若认为招标文件、采购流程及中标结果对其合法权益造成了侵害，应依照相关法律法规，</w:t>
      </w:r>
      <w:r>
        <w:rPr>
          <w:rFonts w:hint="eastAsia"/>
          <w:spacing w:val="-6"/>
          <w:sz w:val="24"/>
          <w:szCs w:val="24"/>
          <w:highlight w:val="none"/>
          <w:lang w:eastAsia="zh-CN"/>
        </w:rPr>
        <w:t>在获悉或应当获悉其权益受损之日起7个工作</w:t>
      </w:r>
      <w:r>
        <w:rPr>
          <w:rFonts w:hint="eastAsia"/>
          <w:spacing w:val="-7"/>
          <w:sz w:val="24"/>
          <w:szCs w:val="24"/>
          <w:highlight w:val="none"/>
          <w:lang w:eastAsia="zh-CN"/>
        </w:rPr>
        <w:t>日内，以书面形式向采购人提出质疑。</w:t>
      </w:r>
      <w:r>
        <w:rPr>
          <w:rFonts w:hint="eastAsia" w:ascii="宋体" w:hAnsi="宋体" w:eastAsia="宋体" w:cs="宋体"/>
          <w:i w:val="0"/>
          <w:iCs w:val="0"/>
          <w:caps w:val="0"/>
          <w:color w:val="333333"/>
          <w:spacing w:val="0"/>
          <w:sz w:val="24"/>
          <w:szCs w:val="24"/>
          <w:highlight w:val="none"/>
          <w:shd w:val="clear" w:fill="FFFFFF"/>
          <w:lang w:eastAsia="zh-CN"/>
        </w:rPr>
        <w:t>供应商须在法定质疑期限内，一次性针对同一采购程序环节提出质疑</w:t>
      </w:r>
      <w:r>
        <w:rPr>
          <w:rFonts w:hint="eastAsia" w:cs="宋体"/>
          <w:i w:val="0"/>
          <w:iCs w:val="0"/>
          <w:caps w:val="0"/>
          <w:color w:val="333333"/>
          <w:spacing w:val="0"/>
          <w:sz w:val="24"/>
          <w:szCs w:val="24"/>
          <w:highlight w:val="none"/>
          <w:shd w:val="clear" w:fill="FFFFFF"/>
          <w:lang w:eastAsia="zh-CN"/>
        </w:rPr>
        <w:t>，</w:t>
      </w:r>
      <w:r>
        <w:rPr>
          <w:rFonts w:hint="eastAsia"/>
          <w:spacing w:val="-7"/>
          <w:sz w:val="24"/>
          <w:szCs w:val="24"/>
          <w:highlight w:val="none"/>
          <w:lang w:eastAsia="zh-CN"/>
        </w:rPr>
        <w:t>确保质疑内容的完整性和针对性，以维护自身合法权益。此举旨在保障采购活动的公正性与透明度，同时确保供应商的合法权益不受侵害。</w:t>
      </w:r>
    </w:p>
    <w:p w14:paraId="5BC21E8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8"/>
        <w:textAlignment w:val="baseline"/>
        <w:rPr>
          <w:sz w:val="24"/>
          <w:szCs w:val="24"/>
          <w:highlight w:val="none"/>
        </w:rPr>
      </w:pPr>
      <w:r>
        <w:rPr>
          <w:spacing w:val="-3"/>
          <w:sz w:val="24"/>
          <w:szCs w:val="24"/>
          <w:highlight w:val="none"/>
        </w:rPr>
        <w:t>30.3本章第30.2款所称投标供应商应知其权益受到损害</w:t>
      </w:r>
      <w:r>
        <w:rPr>
          <w:spacing w:val="-4"/>
          <w:sz w:val="24"/>
          <w:szCs w:val="24"/>
          <w:highlight w:val="none"/>
        </w:rPr>
        <w:t>之日，是指：</w:t>
      </w:r>
    </w:p>
    <w:p w14:paraId="779461E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right="173" w:firstLine="501"/>
        <w:textAlignment w:val="baseline"/>
        <w:rPr>
          <w:sz w:val="24"/>
          <w:szCs w:val="24"/>
          <w:highlight w:val="none"/>
        </w:rPr>
      </w:pPr>
      <w:r>
        <w:rPr>
          <w:spacing w:val="-2"/>
          <w:sz w:val="24"/>
          <w:szCs w:val="24"/>
          <w:highlight w:val="none"/>
        </w:rPr>
        <w:t>（1）对可以质疑的招标文件提出质疑的，为收到招标文件之日或者招标公告期限届</w:t>
      </w:r>
      <w:r>
        <w:rPr>
          <w:spacing w:val="-5"/>
          <w:sz w:val="24"/>
          <w:szCs w:val="24"/>
          <w:highlight w:val="none"/>
        </w:rPr>
        <w:t>满之日；</w:t>
      </w:r>
    </w:p>
    <w:p w14:paraId="793D08F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（2）对采购过程提出质疑的，为各采购程序环节结束之日；</w:t>
      </w:r>
    </w:p>
    <w:p w14:paraId="6E3EDB7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（3）对中标结果提出质疑的，为中标结果公告期限届满之日。</w:t>
      </w:r>
    </w:p>
    <w:p w14:paraId="0DAAB17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35" w:right="2" w:firstLine="470"/>
        <w:textAlignment w:val="baseline"/>
        <w:rPr>
          <w:sz w:val="24"/>
          <w:szCs w:val="24"/>
          <w:highlight w:val="none"/>
        </w:rPr>
      </w:pPr>
      <w:r>
        <w:rPr>
          <w:spacing w:val="-4"/>
          <w:sz w:val="24"/>
          <w:szCs w:val="24"/>
          <w:highlight w:val="none"/>
        </w:rPr>
        <w:t>30.4本章第30.3款所称“收到招标文件之日”，是指：在采购代理机构指定地址购</w:t>
      </w:r>
      <w:r>
        <w:rPr>
          <w:spacing w:val="-1"/>
          <w:sz w:val="24"/>
          <w:szCs w:val="24"/>
          <w:highlight w:val="none"/>
        </w:rPr>
        <w:t>买招标文件的，质疑时效期间的起算日期为</w:t>
      </w:r>
      <w:r>
        <w:rPr>
          <w:spacing w:val="-2"/>
          <w:sz w:val="24"/>
          <w:szCs w:val="24"/>
          <w:highlight w:val="none"/>
        </w:rPr>
        <w:t>投标供应商收到招标文件之日；“招标公告期</w:t>
      </w:r>
      <w:r>
        <w:rPr>
          <w:spacing w:val="-3"/>
          <w:sz w:val="24"/>
          <w:szCs w:val="24"/>
          <w:highlight w:val="none"/>
        </w:rPr>
        <w:t>限届满之日”，是指：通过电子招标投标交易平台下载招标文件的，质疑时效期间的起算</w:t>
      </w:r>
      <w:r>
        <w:rPr>
          <w:spacing w:val="-4"/>
          <w:sz w:val="24"/>
          <w:szCs w:val="24"/>
          <w:highlight w:val="none"/>
        </w:rPr>
        <w:t>日期为招标公告期限届满之日。</w:t>
      </w:r>
    </w:p>
    <w:p w14:paraId="3990E84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 w:firstLine="487"/>
        <w:textAlignment w:val="baseline"/>
        <w:rPr>
          <w:sz w:val="24"/>
          <w:szCs w:val="24"/>
          <w:highlight w:val="none"/>
        </w:rPr>
      </w:pPr>
      <w:r>
        <w:rPr>
          <w:spacing w:val="-3"/>
          <w:sz w:val="24"/>
          <w:szCs w:val="24"/>
          <w:highlight w:val="none"/>
        </w:rPr>
        <w:t>30.5投标供应商提出质疑的，应提供质疑函原件</w:t>
      </w:r>
      <w:r>
        <w:rPr>
          <w:spacing w:val="-2"/>
          <w:sz w:val="24"/>
          <w:szCs w:val="24"/>
          <w:highlight w:val="none"/>
        </w:rPr>
        <w:t>。接收质疑函的联系部门、联系电话和通讯地址见</w:t>
      </w:r>
      <w:r>
        <w:rPr>
          <w:b/>
          <w:bCs/>
          <w:spacing w:val="-2"/>
          <w:sz w:val="24"/>
          <w:szCs w:val="24"/>
          <w:highlight w:val="none"/>
        </w:rPr>
        <w:t>【投标须知前附表】</w:t>
      </w:r>
      <w:r>
        <w:rPr>
          <w:spacing w:val="-2"/>
          <w:sz w:val="24"/>
          <w:szCs w:val="24"/>
          <w:highlight w:val="none"/>
        </w:rPr>
        <w:t>。采购人或者采购</w:t>
      </w:r>
      <w:r>
        <w:rPr>
          <w:spacing w:val="-3"/>
          <w:sz w:val="24"/>
          <w:szCs w:val="24"/>
          <w:highlight w:val="none"/>
        </w:rPr>
        <w:t>代理机构</w:t>
      </w:r>
      <w:r>
        <w:rPr>
          <w:spacing w:val="-2"/>
          <w:sz w:val="24"/>
          <w:szCs w:val="24"/>
          <w:highlight w:val="none"/>
        </w:rPr>
        <w:t>应当向质疑投标供应商签收回执。</w:t>
      </w:r>
    </w:p>
    <w:p w14:paraId="2B92978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2" w:firstLine="486"/>
        <w:textAlignment w:val="baseline"/>
        <w:rPr>
          <w:rFonts w:ascii="Arial"/>
          <w:sz w:val="21"/>
          <w:highlight w:val="none"/>
        </w:rPr>
      </w:pPr>
      <w:r>
        <w:rPr>
          <w:spacing w:val="-4"/>
          <w:sz w:val="24"/>
          <w:szCs w:val="24"/>
          <w:highlight w:val="none"/>
        </w:rPr>
        <w:t>30.6以联合体形式参加政府采购活动的，联合体组成后提出的质疑事项应当由组成联</w:t>
      </w:r>
      <w:r>
        <w:rPr>
          <w:spacing w:val="-2"/>
          <w:sz w:val="24"/>
          <w:szCs w:val="24"/>
          <w:highlight w:val="none"/>
        </w:rPr>
        <w:t>合体的所有投标供应商共同提出。</w:t>
      </w:r>
    </w:p>
    <w:p w14:paraId="2A50601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2" w:firstLine="481"/>
        <w:textAlignment w:val="baseline"/>
        <w:rPr>
          <w:sz w:val="24"/>
          <w:szCs w:val="24"/>
          <w:highlight w:val="none"/>
        </w:rPr>
      </w:pPr>
      <w:r>
        <w:rPr>
          <w:spacing w:val="-3"/>
          <w:sz w:val="24"/>
          <w:szCs w:val="24"/>
          <w:highlight w:val="none"/>
        </w:rPr>
        <w:t>30.7投标供应商提出质疑应当提交质疑函和必要的证明材料。质疑函应当包括下列内</w:t>
      </w:r>
      <w:r>
        <w:rPr>
          <w:spacing w:val="-7"/>
          <w:sz w:val="24"/>
          <w:szCs w:val="24"/>
          <w:highlight w:val="none"/>
        </w:rPr>
        <w:t>容：</w:t>
      </w:r>
    </w:p>
    <w:p w14:paraId="43649D5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（1）投标供应商的姓名或者名称、地址、邮编、联系人及联系电话；</w:t>
      </w:r>
    </w:p>
    <w:p w14:paraId="5D94543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4"/>
          <w:sz w:val="24"/>
          <w:szCs w:val="24"/>
          <w:highlight w:val="none"/>
        </w:rPr>
        <w:t>（2）质疑项目的名称、编号；</w:t>
      </w:r>
    </w:p>
    <w:p w14:paraId="19F5431E">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（3）具体、明确的质疑事项和与质疑事项相关的请求；</w:t>
      </w:r>
    </w:p>
    <w:p w14:paraId="2BC2EFC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5"/>
          <w:sz w:val="24"/>
          <w:szCs w:val="24"/>
          <w:highlight w:val="none"/>
        </w:rPr>
        <w:t>（4）事实依据；</w:t>
      </w:r>
    </w:p>
    <w:p w14:paraId="4268F77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4"/>
          <w:sz w:val="24"/>
          <w:szCs w:val="24"/>
          <w:highlight w:val="none"/>
        </w:rPr>
        <w:t>（5）必要的法律依据；</w:t>
      </w:r>
    </w:p>
    <w:p w14:paraId="37C6AAA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rFonts w:hint="eastAsia" w:eastAsia="宋体"/>
          <w:spacing w:val="-4"/>
          <w:sz w:val="24"/>
          <w:szCs w:val="24"/>
          <w:highlight w:val="none"/>
          <w:lang w:eastAsia="zh-CN"/>
        </w:rPr>
      </w:pPr>
      <w:r>
        <w:rPr>
          <w:spacing w:val="-4"/>
          <w:sz w:val="24"/>
          <w:szCs w:val="24"/>
          <w:highlight w:val="none"/>
        </w:rPr>
        <w:t>（6）提出质疑的日期</w:t>
      </w:r>
      <w:r>
        <w:rPr>
          <w:rFonts w:hint="eastAsia"/>
          <w:spacing w:val="-4"/>
          <w:sz w:val="24"/>
          <w:szCs w:val="24"/>
          <w:highlight w:val="none"/>
          <w:lang w:eastAsia="zh-CN"/>
        </w:rPr>
        <w:t>；</w:t>
      </w:r>
    </w:p>
    <w:p w14:paraId="373CC72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rFonts w:hint="default" w:eastAsia="宋体"/>
          <w:spacing w:val="-4"/>
          <w:sz w:val="24"/>
          <w:szCs w:val="24"/>
          <w:highlight w:val="none"/>
          <w:lang w:val="en-US" w:eastAsia="zh-CN"/>
        </w:rPr>
      </w:pPr>
      <w:r>
        <w:rPr>
          <w:rFonts w:hint="eastAsia"/>
          <w:spacing w:val="-4"/>
          <w:sz w:val="24"/>
          <w:szCs w:val="24"/>
          <w:highlight w:val="none"/>
          <w:lang w:eastAsia="zh-CN"/>
        </w:rPr>
        <w:t>（</w:t>
      </w:r>
      <w:r>
        <w:rPr>
          <w:rFonts w:hint="eastAsia"/>
          <w:spacing w:val="-4"/>
          <w:sz w:val="24"/>
          <w:szCs w:val="24"/>
          <w:highlight w:val="none"/>
          <w:lang w:val="en-US" w:eastAsia="zh-CN"/>
        </w:rPr>
        <w:t>7</w:t>
      </w:r>
      <w:r>
        <w:rPr>
          <w:rFonts w:hint="eastAsia"/>
          <w:spacing w:val="-4"/>
          <w:sz w:val="24"/>
          <w:szCs w:val="24"/>
          <w:highlight w:val="none"/>
          <w:lang w:eastAsia="zh-CN"/>
        </w:rPr>
        <w:t>）</w:t>
      </w:r>
      <w:r>
        <w:rPr>
          <w:rFonts w:hint="eastAsia"/>
          <w:spacing w:val="-4"/>
          <w:sz w:val="24"/>
          <w:szCs w:val="24"/>
          <w:highlight w:val="none"/>
          <w:lang w:val="en-US" w:eastAsia="zh-CN"/>
        </w:rPr>
        <w:t>委托人代理人社保证明文件。</w:t>
      </w:r>
    </w:p>
    <w:p w14:paraId="0161577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59" w:firstLine="486"/>
        <w:textAlignment w:val="baseline"/>
        <w:rPr>
          <w:sz w:val="24"/>
          <w:szCs w:val="24"/>
          <w:highlight w:val="none"/>
        </w:rPr>
      </w:pPr>
      <w:r>
        <w:rPr>
          <w:spacing w:val="-1"/>
          <w:sz w:val="24"/>
          <w:szCs w:val="24"/>
          <w:highlight w:val="none"/>
        </w:rPr>
        <w:t>30.8质疑函按中国政府采购网（</w:t>
      </w:r>
      <w:r>
        <w:rPr>
          <w:highlight w:val="none"/>
        </w:rPr>
        <w:fldChar w:fldCharType="begin"/>
      </w:r>
      <w:r>
        <w:rPr>
          <w:highlight w:val="none"/>
        </w:rPr>
        <w:instrText xml:space="preserve"> HYPERLINK "https://www.ccgp.gov.cn" </w:instrText>
      </w:r>
      <w:r>
        <w:rPr>
          <w:highlight w:val="none"/>
        </w:rPr>
        <w:fldChar w:fldCharType="separate"/>
      </w:r>
      <w:r>
        <w:rPr>
          <w:spacing w:val="-1"/>
          <w:sz w:val="24"/>
          <w:szCs w:val="24"/>
          <w:highlight w:val="none"/>
        </w:rPr>
        <w:t>www.ccgp.gov.cn</w:t>
      </w:r>
      <w:r>
        <w:rPr>
          <w:spacing w:val="-1"/>
          <w:sz w:val="24"/>
          <w:szCs w:val="24"/>
          <w:highlight w:val="none"/>
        </w:rPr>
        <w:fldChar w:fldCharType="end"/>
      </w:r>
      <w:r>
        <w:rPr>
          <w:spacing w:val="-1"/>
          <w:sz w:val="24"/>
          <w:szCs w:val="24"/>
          <w:highlight w:val="none"/>
        </w:rPr>
        <w:t>）“下载专区”的“</w:t>
      </w:r>
      <w:r>
        <w:rPr>
          <w:spacing w:val="-2"/>
          <w:sz w:val="24"/>
          <w:szCs w:val="24"/>
          <w:highlight w:val="none"/>
        </w:rPr>
        <w:t>政府采购供应</w:t>
      </w:r>
      <w:r>
        <w:rPr>
          <w:spacing w:val="-8"/>
          <w:sz w:val="24"/>
          <w:szCs w:val="24"/>
          <w:highlight w:val="none"/>
        </w:rPr>
        <w:t>质疑函范本”和“质疑函制作说明”制作。</w:t>
      </w:r>
    </w:p>
    <w:p w14:paraId="555B486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8" w:firstLine="480"/>
        <w:textAlignment w:val="baseline"/>
        <w:rPr>
          <w:sz w:val="24"/>
          <w:szCs w:val="24"/>
          <w:highlight w:val="none"/>
        </w:rPr>
      </w:pPr>
      <w:r>
        <w:rPr>
          <w:spacing w:val="-4"/>
          <w:sz w:val="24"/>
          <w:szCs w:val="24"/>
          <w:highlight w:val="none"/>
        </w:rPr>
        <w:t>30.9采购人或者采购代理机构将在签收回执之日起7个工作日内作出书面答复，并以</w:t>
      </w:r>
      <w:r>
        <w:rPr>
          <w:spacing w:val="-2"/>
          <w:sz w:val="24"/>
          <w:szCs w:val="24"/>
          <w:highlight w:val="none"/>
        </w:rPr>
        <w:t>书面形式通知质疑投标供应商和其他有关的投标供应商。</w:t>
      </w:r>
    </w:p>
    <w:p w14:paraId="01DC9A3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5" w:right="60" w:firstLine="483"/>
        <w:textAlignment w:val="baseline"/>
        <w:rPr>
          <w:rFonts w:ascii="Arial"/>
          <w:sz w:val="21"/>
          <w:highlight w:val="none"/>
        </w:rPr>
      </w:pPr>
      <w:r>
        <w:rPr>
          <w:spacing w:val="-2"/>
          <w:sz w:val="24"/>
          <w:szCs w:val="24"/>
          <w:highlight w:val="none"/>
        </w:rPr>
        <w:t>30.10质疑人对采购人或者采购代理机构的答复不满意，或采购人或者采购代理机构未在规定的期限作出答复的，可在答复期满</w:t>
      </w:r>
      <w:r>
        <w:rPr>
          <w:spacing w:val="-3"/>
          <w:sz w:val="24"/>
          <w:szCs w:val="24"/>
          <w:highlight w:val="none"/>
        </w:rPr>
        <w:t>后15个工作日内，按政府采购相关法律法规</w:t>
      </w:r>
    </w:p>
    <w:p w14:paraId="1648FF5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textAlignment w:val="baseline"/>
        <w:rPr>
          <w:sz w:val="24"/>
          <w:szCs w:val="24"/>
          <w:highlight w:val="none"/>
        </w:rPr>
      </w:pPr>
      <w:r>
        <w:rPr>
          <w:spacing w:val="-2"/>
          <w:sz w:val="24"/>
          <w:szCs w:val="24"/>
          <w:highlight w:val="none"/>
        </w:rPr>
        <w:t>规章的规定及程序，向同级财政部门提出投诉。</w:t>
      </w:r>
    </w:p>
    <w:p w14:paraId="1F4F583A">
      <w:pPr>
        <w:pStyle w:val="5"/>
        <w:bidi w:val="0"/>
      </w:pPr>
      <w:bookmarkStart w:id="124" w:name="bookmark68"/>
      <w:bookmarkEnd w:id="124"/>
      <w:bookmarkStart w:id="125" w:name="_Toc6767"/>
      <w:r>
        <w:t>七、合同签订</w:t>
      </w:r>
      <w:bookmarkEnd w:id="125"/>
    </w:p>
    <w:p w14:paraId="35909710">
      <w:pPr>
        <w:pStyle w:val="6"/>
        <w:bidi w:val="0"/>
        <w:rPr>
          <w:rFonts w:ascii="宋体" w:hAnsi="宋体" w:eastAsia="宋体" w:cs="宋体"/>
          <w:b/>
          <w:bCs/>
          <w:spacing w:val="-2"/>
          <w:sz w:val="24"/>
          <w:szCs w:val="24"/>
          <w:highlight w:val="none"/>
        </w:rPr>
      </w:pPr>
      <w:bookmarkStart w:id="126" w:name="_Toc19419"/>
      <w:bookmarkStart w:id="127" w:name="_Toc25881"/>
      <w:bookmarkStart w:id="128" w:name="_Toc22506"/>
      <w:r>
        <w:rPr>
          <w:rFonts w:ascii="宋体" w:hAnsi="宋体" w:eastAsia="宋体" w:cs="宋体"/>
          <w:b/>
          <w:bCs/>
          <w:spacing w:val="-2"/>
          <w:sz w:val="24"/>
          <w:szCs w:val="24"/>
          <w:highlight w:val="none"/>
        </w:rPr>
        <w:t>31.签订合同</w:t>
      </w:r>
      <w:bookmarkEnd w:id="126"/>
      <w:bookmarkEnd w:id="127"/>
      <w:bookmarkEnd w:id="128"/>
    </w:p>
    <w:p w14:paraId="48B8EB2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48" w:firstLine="487"/>
        <w:textAlignment w:val="baseline"/>
        <w:rPr>
          <w:sz w:val="24"/>
          <w:szCs w:val="24"/>
          <w:highlight w:val="none"/>
        </w:rPr>
      </w:pPr>
      <w:r>
        <w:rPr>
          <w:spacing w:val="-3"/>
          <w:sz w:val="24"/>
          <w:szCs w:val="24"/>
          <w:highlight w:val="none"/>
        </w:rPr>
        <w:t>31.1采购人应自中标通知书发出之日起，按中标通知书指定的时间、地点与中标投标</w:t>
      </w:r>
      <w:r>
        <w:rPr>
          <w:spacing w:val="-1"/>
          <w:sz w:val="24"/>
          <w:szCs w:val="24"/>
          <w:highlight w:val="none"/>
        </w:rPr>
        <w:t>供应商签订政府采购合同。所签订的合同不得对招标文件和投标文件作实质性修改。</w:t>
      </w:r>
    </w:p>
    <w:p w14:paraId="1A26479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8"/>
        <w:textAlignment w:val="baseline"/>
        <w:rPr>
          <w:sz w:val="24"/>
          <w:szCs w:val="24"/>
          <w:highlight w:val="none"/>
        </w:rPr>
      </w:pPr>
      <w:r>
        <w:rPr>
          <w:spacing w:val="-2"/>
          <w:sz w:val="24"/>
          <w:szCs w:val="24"/>
          <w:highlight w:val="none"/>
        </w:rPr>
        <w:t>31.2招标文件、中标投标供应商的投标文件均为签订合同的依据。</w:t>
      </w:r>
    </w:p>
    <w:p w14:paraId="407CA2A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92" w:firstLine="486"/>
        <w:textAlignment w:val="baseline"/>
        <w:rPr>
          <w:sz w:val="24"/>
          <w:szCs w:val="24"/>
          <w:highlight w:val="none"/>
        </w:rPr>
      </w:pPr>
      <w:r>
        <w:rPr>
          <w:spacing w:val="-4"/>
          <w:sz w:val="24"/>
          <w:szCs w:val="24"/>
          <w:highlight w:val="none"/>
        </w:rPr>
        <w:t>31.3联合体中标的，联合体各方应当共同与采购人签订合同，就中标项目向采购人承担连带责任。</w:t>
      </w:r>
    </w:p>
    <w:p w14:paraId="13189F9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92" w:firstLine="486"/>
        <w:textAlignment w:val="baseline"/>
        <w:rPr>
          <w:spacing w:val="-4"/>
          <w:sz w:val="24"/>
          <w:szCs w:val="24"/>
          <w:highlight w:val="none"/>
        </w:rPr>
      </w:pPr>
      <w:r>
        <w:rPr>
          <w:spacing w:val="-4"/>
          <w:sz w:val="24"/>
          <w:szCs w:val="24"/>
          <w:highlight w:val="none"/>
        </w:rPr>
        <w:t>31.4中标合同将在法定的媒体上公告，但合同中涉及国家秘密、商业秘密的内容除外。</w:t>
      </w:r>
    </w:p>
    <w:p w14:paraId="02E739E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92" w:firstLine="486"/>
        <w:textAlignment w:val="baseline"/>
        <w:rPr>
          <w:spacing w:val="-4"/>
          <w:sz w:val="24"/>
          <w:szCs w:val="24"/>
          <w:highlight w:val="none"/>
        </w:rPr>
      </w:pPr>
      <w:r>
        <w:rPr>
          <w:spacing w:val="-4"/>
          <w:sz w:val="24"/>
          <w:szCs w:val="24"/>
          <w:highlight w:val="none"/>
        </w:rPr>
        <w:t>31.5中标投标供应商应当按照合同约定依法履行合同义务。政府采购合同的履行、违约责任和解决争议的方法等适用《中华人民共和国民法典》。</w:t>
      </w:r>
    </w:p>
    <w:p w14:paraId="40DFE66E">
      <w:pPr>
        <w:pStyle w:val="6"/>
        <w:bidi w:val="0"/>
        <w:rPr>
          <w:rFonts w:ascii="宋体" w:hAnsi="宋体" w:eastAsia="宋体" w:cs="宋体"/>
          <w:b/>
          <w:bCs/>
          <w:spacing w:val="-2"/>
          <w:sz w:val="24"/>
          <w:szCs w:val="24"/>
          <w:highlight w:val="none"/>
        </w:rPr>
      </w:pPr>
      <w:bookmarkStart w:id="129" w:name="_Toc32532"/>
      <w:bookmarkStart w:id="130" w:name="_Toc21863"/>
      <w:bookmarkStart w:id="131" w:name="_Toc10006"/>
      <w:r>
        <w:rPr>
          <w:rFonts w:ascii="宋体" w:hAnsi="宋体" w:eastAsia="宋体" w:cs="宋体"/>
          <w:b/>
          <w:bCs/>
          <w:spacing w:val="-2"/>
          <w:sz w:val="24"/>
          <w:szCs w:val="24"/>
          <w:highlight w:val="none"/>
        </w:rPr>
        <w:t>32.履约担保</w:t>
      </w:r>
      <w:bookmarkEnd w:id="129"/>
      <w:bookmarkEnd w:id="130"/>
      <w:bookmarkEnd w:id="131"/>
    </w:p>
    <w:p w14:paraId="7541374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5" w:right="68" w:firstLine="490"/>
        <w:textAlignment w:val="baseline"/>
        <w:rPr>
          <w:sz w:val="24"/>
          <w:szCs w:val="24"/>
          <w:highlight w:val="none"/>
        </w:rPr>
      </w:pPr>
      <w:r>
        <w:rPr>
          <w:spacing w:val="-7"/>
          <w:sz w:val="24"/>
          <w:szCs w:val="24"/>
          <w:highlight w:val="none"/>
        </w:rPr>
        <w:t>32.1中标供应商在收到采购代理机构的《中标通知书》后10日内，</w:t>
      </w:r>
      <w:r>
        <w:rPr>
          <w:b/>
          <w:bCs/>
          <w:spacing w:val="-7"/>
          <w:sz w:val="24"/>
          <w:szCs w:val="24"/>
          <w:highlight w:val="none"/>
        </w:rPr>
        <w:t>【投标须知前附</w:t>
      </w:r>
      <w:r>
        <w:rPr>
          <w:b/>
          <w:bCs/>
          <w:spacing w:val="-2"/>
          <w:sz w:val="24"/>
          <w:szCs w:val="24"/>
          <w:highlight w:val="none"/>
        </w:rPr>
        <w:t>表】</w:t>
      </w:r>
      <w:r>
        <w:rPr>
          <w:spacing w:val="-2"/>
          <w:sz w:val="24"/>
          <w:szCs w:val="24"/>
          <w:highlight w:val="none"/>
        </w:rPr>
        <w:t>规定需向采购人提交履约担保的，应按照</w:t>
      </w:r>
      <w:r>
        <w:rPr>
          <w:b/>
          <w:bCs/>
          <w:spacing w:val="-2"/>
          <w:sz w:val="24"/>
          <w:szCs w:val="24"/>
          <w:highlight w:val="none"/>
        </w:rPr>
        <w:t>【投标须知前附表】</w:t>
      </w:r>
      <w:r>
        <w:rPr>
          <w:spacing w:val="-2"/>
          <w:sz w:val="24"/>
          <w:szCs w:val="24"/>
          <w:highlight w:val="none"/>
        </w:rPr>
        <w:t>的规定提交。联合体中</w:t>
      </w:r>
      <w:r>
        <w:rPr>
          <w:spacing w:val="-1"/>
          <w:sz w:val="24"/>
          <w:szCs w:val="24"/>
          <w:highlight w:val="none"/>
        </w:rPr>
        <w:t>标的，履约担保由联合体各方或联合体中牵头</w:t>
      </w:r>
      <w:r>
        <w:rPr>
          <w:spacing w:val="-2"/>
          <w:sz w:val="24"/>
          <w:szCs w:val="24"/>
          <w:highlight w:val="none"/>
        </w:rPr>
        <w:t>人的名义提交。</w:t>
      </w:r>
    </w:p>
    <w:p w14:paraId="2CEF132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53" w:firstLine="486"/>
        <w:textAlignment w:val="baseline"/>
        <w:rPr>
          <w:sz w:val="24"/>
          <w:szCs w:val="24"/>
          <w:highlight w:val="none"/>
        </w:rPr>
      </w:pPr>
      <w:r>
        <w:rPr>
          <w:spacing w:val="-3"/>
          <w:sz w:val="24"/>
          <w:szCs w:val="24"/>
          <w:highlight w:val="none"/>
        </w:rPr>
        <w:t>32.2中标供应商没有按照本章第32.1款规定提交履约担保的，视为放弃中标，其投</w:t>
      </w:r>
      <w:r>
        <w:rPr>
          <w:sz w:val="24"/>
          <w:szCs w:val="24"/>
          <w:highlight w:val="none"/>
        </w:rPr>
        <w:t>标保证金不予退还。</w:t>
      </w:r>
    </w:p>
    <w:p w14:paraId="0338122B">
      <w:pPr>
        <w:pStyle w:val="6"/>
        <w:bidi w:val="0"/>
        <w:rPr>
          <w:rFonts w:ascii="宋体" w:hAnsi="宋体" w:eastAsia="宋体" w:cs="宋体"/>
          <w:b/>
          <w:bCs/>
          <w:spacing w:val="-2"/>
          <w:sz w:val="24"/>
          <w:szCs w:val="24"/>
          <w:highlight w:val="none"/>
        </w:rPr>
      </w:pPr>
      <w:bookmarkStart w:id="132" w:name="_Toc25826"/>
      <w:bookmarkStart w:id="133" w:name="_Toc32673"/>
      <w:bookmarkStart w:id="134" w:name="_Toc28571"/>
      <w:r>
        <w:rPr>
          <w:rFonts w:ascii="宋体" w:hAnsi="宋体" w:eastAsia="宋体" w:cs="宋体"/>
          <w:b/>
          <w:bCs/>
          <w:spacing w:val="-2"/>
          <w:sz w:val="24"/>
          <w:szCs w:val="24"/>
          <w:highlight w:val="none"/>
        </w:rPr>
        <w:t>33.政府采购合同履行中数量的变更</w:t>
      </w:r>
      <w:bookmarkEnd w:id="132"/>
      <w:bookmarkEnd w:id="133"/>
      <w:bookmarkEnd w:id="134"/>
    </w:p>
    <w:p w14:paraId="71499DA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44" w:firstLine="487"/>
        <w:jc w:val="both"/>
        <w:textAlignment w:val="baseline"/>
        <w:rPr>
          <w:sz w:val="24"/>
          <w:szCs w:val="24"/>
          <w:highlight w:val="none"/>
        </w:rPr>
      </w:pPr>
      <w:r>
        <w:rPr>
          <w:spacing w:val="-3"/>
          <w:sz w:val="24"/>
          <w:szCs w:val="24"/>
          <w:highlight w:val="none"/>
        </w:rPr>
        <w:t>33.1政府采购合同履行中，采购人需追加与合同标的相同的货物或服务的，在不改变</w:t>
      </w:r>
      <w:r>
        <w:rPr>
          <w:spacing w:val="-1"/>
          <w:sz w:val="24"/>
          <w:szCs w:val="24"/>
          <w:highlight w:val="none"/>
        </w:rPr>
        <w:t>合同其他条款的前提下，可以与中标投标供应商协商签订补充合同，但补充合同的采购金</w:t>
      </w:r>
      <w:r>
        <w:rPr>
          <w:spacing w:val="-2"/>
          <w:sz w:val="24"/>
          <w:szCs w:val="24"/>
          <w:highlight w:val="none"/>
        </w:rPr>
        <w:t>额不得超过原合同采购金额的百分之十。</w:t>
      </w:r>
    </w:p>
    <w:p w14:paraId="33B370DB">
      <w:pPr>
        <w:pStyle w:val="5"/>
        <w:bidi w:val="0"/>
      </w:pPr>
      <w:bookmarkStart w:id="135" w:name="_Toc29497"/>
      <w:r>
        <w:t>八、其他规定</w:t>
      </w:r>
      <w:bookmarkEnd w:id="135"/>
    </w:p>
    <w:p w14:paraId="62096596">
      <w:pPr>
        <w:pStyle w:val="6"/>
        <w:bidi w:val="0"/>
        <w:rPr>
          <w:rFonts w:ascii="宋体" w:hAnsi="宋体" w:eastAsia="宋体" w:cs="宋体"/>
          <w:b/>
          <w:bCs/>
          <w:spacing w:val="-2"/>
          <w:sz w:val="24"/>
          <w:szCs w:val="24"/>
          <w:highlight w:val="none"/>
        </w:rPr>
      </w:pPr>
      <w:bookmarkStart w:id="136" w:name="_Toc31699"/>
      <w:bookmarkStart w:id="137" w:name="_Toc7529"/>
      <w:bookmarkStart w:id="138" w:name="_Toc3676"/>
      <w:r>
        <w:rPr>
          <w:rFonts w:ascii="宋体" w:hAnsi="宋体" w:eastAsia="宋体" w:cs="宋体"/>
          <w:b/>
          <w:bCs/>
          <w:spacing w:val="-2"/>
          <w:sz w:val="24"/>
          <w:szCs w:val="24"/>
          <w:highlight w:val="none"/>
        </w:rPr>
        <w:t>34.政府采购政策</w:t>
      </w:r>
      <w:bookmarkEnd w:id="136"/>
      <w:bookmarkEnd w:id="137"/>
      <w:bookmarkEnd w:id="138"/>
    </w:p>
    <w:p w14:paraId="2042F26F">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448"/>
        <w:textAlignment w:val="baseline"/>
        <w:rPr>
          <w:sz w:val="24"/>
          <w:szCs w:val="24"/>
          <w:highlight w:val="none"/>
        </w:rPr>
      </w:pPr>
      <w:r>
        <w:rPr>
          <w:spacing w:val="-6"/>
          <w:sz w:val="24"/>
          <w:szCs w:val="24"/>
          <w:highlight w:val="none"/>
        </w:rPr>
        <w:t>34.1强制采购：</w:t>
      </w:r>
    </w:p>
    <w:p w14:paraId="4CD47772">
      <w:pPr>
        <w:pStyle w:val="2"/>
        <w:keepNext w:val="0"/>
        <w:keepLines w:val="0"/>
        <w:pageBreakBefore w:val="0"/>
        <w:widowControl/>
        <w:kinsoku/>
        <w:wordWrap w:val="0"/>
        <w:overflowPunct/>
        <w:topLinePunct w:val="0"/>
        <w:autoSpaceDE/>
        <w:autoSpaceDN/>
        <w:bidi w:val="0"/>
        <w:adjustRightInd w:val="0"/>
        <w:snapToGrid w:val="0"/>
        <w:spacing w:before="203" w:line="360" w:lineRule="auto"/>
        <w:ind w:left="0" w:leftChars="0" w:firstLine="468" w:firstLineChars="200"/>
        <w:textAlignment w:val="baseline"/>
        <w:rPr>
          <w:sz w:val="24"/>
          <w:szCs w:val="24"/>
          <w:highlight w:val="none"/>
        </w:rPr>
      </w:pPr>
      <w:r>
        <w:rPr>
          <w:spacing w:val="-3"/>
          <w:sz w:val="24"/>
          <w:szCs w:val="24"/>
          <w:highlight w:val="none"/>
        </w:rPr>
        <w:t>（1）纳入财政部会同国务院有关部门发布的节能产品政府采购品目清单，实施政府强</w:t>
      </w:r>
      <w:r>
        <w:rPr>
          <w:spacing w:val="-1"/>
          <w:sz w:val="24"/>
          <w:szCs w:val="24"/>
          <w:highlight w:val="none"/>
        </w:rPr>
        <w:t>制采购的（品目清单标注</w:t>
      </w:r>
      <w:r>
        <w:rPr>
          <w:position w:val="1"/>
          <w:sz w:val="24"/>
          <w:szCs w:val="24"/>
          <w:highlight w:val="none"/>
        </w:rPr>
        <w:drawing>
          <wp:inline distT="0" distB="0" distL="0" distR="0">
            <wp:extent cx="122555" cy="9525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5"/>
                    <a:stretch>
                      <a:fillRect/>
                    </a:stretch>
                  </pic:blipFill>
                  <pic:spPr>
                    <a:xfrm>
                      <a:off x="0" y="0"/>
                      <a:ext cx="122824" cy="95794"/>
                    </a:xfrm>
                    <a:prstGeom prst="rect">
                      <a:avLst/>
                    </a:prstGeom>
                  </pic:spPr>
                </pic:pic>
              </a:graphicData>
            </a:graphic>
          </wp:inline>
        </w:drawing>
      </w:r>
      <w:r>
        <w:rPr>
          <w:spacing w:val="-1"/>
          <w:sz w:val="24"/>
          <w:szCs w:val="24"/>
          <w:highlight w:val="none"/>
        </w:rPr>
        <w:t>符号产品</w:t>
      </w:r>
      <w:r>
        <w:rPr>
          <w:spacing w:val="17"/>
          <w:sz w:val="24"/>
          <w:szCs w:val="24"/>
          <w:highlight w:val="none"/>
        </w:rPr>
        <w:t>），</w:t>
      </w:r>
      <w:r>
        <w:rPr>
          <w:spacing w:val="-1"/>
          <w:sz w:val="24"/>
          <w:szCs w:val="24"/>
          <w:highlight w:val="none"/>
        </w:rPr>
        <w:t>投标供应商提供的产品应当取得国家确定的</w:t>
      </w:r>
      <w:r>
        <w:rPr>
          <w:spacing w:val="-2"/>
          <w:sz w:val="24"/>
          <w:szCs w:val="24"/>
          <w:highlight w:val="none"/>
        </w:rPr>
        <w:t>认证机构出具的、处于有效期之内的节能产品认证证书，否则其</w:t>
      </w:r>
      <w:r>
        <w:rPr>
          <w:b/>
          <w:bCs/>
          <w:spacing w:val="-2"/>
          <w:sz w:val="24"/>
          <w:szCs w:val="24"/>
          <w:highlight w:val="none"/>
        </w:rPr>
        <w:t>响应无效</w:t>
      </w:r>
      <w:r>
        <w:rPr>
          <w:spacing w:val="-2"/>
          <w:sz w:val="24"/>
          <w:szCs w:val="24"/>
          <w:highlight w:val="none"/>
        </w:rPr>
        <w:t>。</w:t>
      </w:r>
    </w:p>
    <w:p w14:paraId="14D20AD2">
      <w:pPr>
        <w:pStyle w:val="2"/>
        <w:keepNext w:val="0"/>
        <w:keepLines w:val="0"/>
        <w:pageBreakBefore w:val="0"/>
        <w:widowControl/>
        <w:kinsoku/>
        <w:wordWrap w:val="0"/>
        <w:overflowPunct/>
        <w:topLinePunct w:val="0"/>
        <w:autoSpaceDE/>
        <w:autoSpaceDN/>
        <w:bidi w:val="0"/>
        <w:adjustRightInd w:val="0"/>
        <w:snapToGrid w:val="0"/>
        <w:spacing w:line="360" w:lineRule="auto"/>
        <w:ind w:left="448"/>
        <w:textAlignment w:val="baseline"/>
        <w:rPr>
          <w:sz w:val="24"/>
          <w:szCs w:val="24"/>
          <w:highlight w:val="none"/>
        </w:rPr>
      </w:pPr>
      <w:r>
        <w:rPr>
          <w:spacing w:val="-5"/>
          <w:sz w:val="24"/>
          <w:szCs w:val="24"/>
          <w:highlight w:val="none"/>
        </w:rPr>
        <w:t>34.2优先采购：</w:t>
      </w:r>
    </w:p>
    <w:p w14:paraId="30341973">
      <w:pPr>
        <w:pStyle w:val="2"/>
        <w:keepNext w:val="0"/>
        <w:keepLines w:val="0"/>
        <w:pageBreakBefore w:val="0"/>
        <w:widowControl/>
        <w:kinsoku/>
        <w:wordWrap w:val="0"/>
        <w:overflowPunct/>
        <w:topLinePunct w:val="0"/>
        <w:autoSpaceDE/>
        <w:autoSpaceDN/>
        <w:bidi w:val="0"/>
        <w:adjustRightInd w:val="0"/>
        <w:snapToGrid w:val="0"/>
        <w:spacing w:before="201" w:line="360" w:lineRule="auto"/>
        <w:ind w:left="23" w:right="347" w:firstLine="436"/>
        <w:jc w:val="both"/>
        <w:textAlignment w:val="baseline"/>
        <w:rPr>
          <w:sz w:val="24"/>
          <w:szCs w:val="24"/>
          <w:highlight w:val="none"/>
        </w:rPr>
      </w:pPr>
      <w:r>
        <w:rPr>
          <w:spacing w:val="-3"/>
          <w:sz w:val="24"/>
          <w:szCs w:val="24"/>
          <w:highlight w:val="none"/>
        </w:rPr>
        <w:t>（1）纳入财政部会同国务院有关部门发布的节能产品、环境标志产品政府采购品目清</w:t>
      </w:r>
      <w:r>
        <w:rPr>
          <w:spacing w:val="-1"/>
          <w:sz w:val="24"/>
          <w:szCs w:val="24"/>
          <w:highlight w:val="none"/>
        </w:rPr>
        <w:t>单，实施政府优先采购的，评审时按招标文件第四章第一节有关规定给予一定比例的价格</w:t>
      </w:r>
      <w:r>
        <w:rPr>
          <w:spacing w:val="-3"/>
          <w:sz w:val="24"/>
          <w:szCs w:val="24"/>
          <w:highlight w:val="none"/>
        </w:rPr>
        <w:t>折扣或者加分；</w:t>
      </w:r>
    </w:p>
    <w:p w14:paraId="4D3B08AE">
      <w:pPr>
        <w:pStyle w:val="2"/>
        <w:keepNext w:val="0"/>
        <w:keepLines w:val="0"/>
        <w:pageBreakBefore w:val="0"/>
        <w:widowControl/>
        <w:kinsoku/>
        <w:wordWrap w:val="0"/>
        <w:overflowPunct/>
        <w:topLinePunct w:val="0"/>
        <w:autoSpaceDE/>
        <w:autoSpaceDN/>
        <w:bidi w:val="0"/>
        <w:adjustRightInd w:val="0"/>
        <w:snapToGrid w:val="0"/>
        <w:spacing w:before="1" w:line="360" w:lineRule="auto"/>
        <w:ind w:left="448"/>
        <w:textAlignment w:val="baseline"/>
        <w:rPr>
          <w:sz w:val="24"/>
          <w:szCs w:val="24"/>
          <w:highlight w:val="none"/>
        </w:rPr>
      </w:pPr>
      <w:r>
        <w:rPr>
          <w:spacing w:val="-5"/>
          <w:sz w:val="24"/>
          <w:szCs w:val="24"/>
          <w:highlight w:val="none"/>
        </w:rPr>
        <w:t>34.3价格评审优惠：</w:t>
      </w:r>
    </w:p>
    <w:p w14:paraId="138A428D">
      <w:pPr>
        <w:pStyle w:val="2"/>
        <w:keepNext w:val="0"/>
        <w:keepLines w:val="0"/>
        <w:pageBreakBefore w:val="0"/>
        <w:widowControl/>
        <w:kinsoku/>
        <w:wordWrap w:val="0"/>
        <w:overflowPunct/>
        <w:topLinePunct w:val="0"/>
        <w:autoSpaceDE/>
        <w:autoSpaceDN/>
        <w:bidi w:val="0"/>
        <w:adjustRightInd w:val="0"/>
        <w:snapToGrid w:val="0"/>
        <w:spacing w:before="199" w:line="360" w:lineRule="auto"/>
        <w:ind w:left="15" w:right="-48" w:rightChars="0" w:firstLine="444"/>
        <w:textAlignment w:val="baseline"/>
        <w:rPr>
          <w:sz w:val="24"/>
          <w:szCs w:val="24"/>
          <w:highlight w:val="none"/>
        </w:rPr>
      </w:pPr>
      <w:r>
        <w:rPr>
          <w:spacing w:val="-1"/>
          <w:sz w:val="24"/>
          <w:szCs w:val="24"/>
          <w:highlight w:val="none"/>
        </w:rPr>
        <w:t>（1）在政府采购活动中，供应商提供的货物、工程或者服务符合下列情形的</w:t>
      </w:r>
      <w:r>
        <w:rPr>
          <w:spacing w:val="-24"/>
          <w:sz w:val="24"/>
          <w:szCs w:val="24"/>
          <w:highlight w:val="none"/>
        </w:rPr>
        <w:t>：（</w:t>
      </w:r>
      <w:r>
        <w:rPr>
          <w:spacing w:val="-1"/>
          <w:sz w:val="24"/>
          <w:szCs w:val="24"/>
          <w:highlight w:val="none"/>
        </w:rPr>
        <w:t>一）在货物采购项目中，货物由中小企业制造，即货物由中小企业生产且使用该中小企业商号</w:t>
      </w:r>
      <w:r>
        <w:rPr>
          <w:spacing w:val="1"/>
          <w:sz w:val="24"/>
          <w:szCs w:val="24"/>
          <w:highlight w:val="none"/>
        </w:rPr>
        <w:t>或者注册商标</w:t>
      </w:r>
      <w:r>
        <w:rPr>
          <w:spacing w:val="-26"/>
          <w:sz w:val="24"/>
          <w:szCs w:val="24"/>
          <w:highlight w:val="none"/>
        </w:rPr>
        <w:t>；（</w:t>
      </w:r>
      <w:r>
        <w:rPr>
          <w:spacing w:val="1"/>
          <w:sz w:val="24"/>
          <w:szCs w:val="24"/>
          <w:highlight w:val="none"/>
        </w:rPr>
        <w:t>二）在工程采购项目中，工程由中小企业承建，</w:t>
      </w:r>
      <w:r>
        <w:rPr>
          <w:sz w:val="24"/>
          <w:szCs w:val="24"/>
          <w:highlight w:val="none"/>
        </w:rPr>
        <w:t>即工程施工单位为中小</w:t>
      </w:r>
      <w:r>
        <w:rPr>
          <w:spacing w:val="-1"/>
          <w:sz w:val="24"/>
          <w:szCs w:val="24"/>
          <w:highlight w:val="none"/>
        </w:rPr>
        <w:t>企业</w:t>
      </w:r>
      <w:r>
        <w:rPr>
          <w:spacing w:val="-26"/>
          <w:sz w:val="24"/>
          <w:szCs w:val="24"/>
          <w:highlight w:val="none"/>
        </w:rPr>
        <w:t>；（</w:t>
      </w:r>
      <w:r>
        <w:rPr>
          <w:spacing w:val="-1"/>
          <w:sz w:val="24"/>
          <w:szCs w:val="24"/>
          <w:highlight w:val="none"/>
        </w:rPr>
        <w:t>三）在服务采购项目中，服务由中小企业承接，即提供服务的人</w:t>
      </w:r>
      <w:r>
        <w:rPr>
          <w:spacing w:val="-2"/>
          <w:sz w:val="24"/>
          <w:szCs w:val="24"/>
          <w:highlight w:val="none"/>
        </w:rPr>
        <w:t>员为中小企业</w:t>
      </w:r>
      <w:r>
        <w:rPr>
          <w:sz w:val="24"/>
          <w:szCs w:val="24"/>
          <w:highlight w:val="none"/>
        </w:rPr>
        <w:t>依照《中华人民共和国劳动合同法》订立劳</w:t>
      </w:r>
      <w:r>
        <w:rPr>
          <w:spacing w:val="-1"/>
          <w:sz w:val="24"/>
          <w:szCs w:val="24"/>
          <w:highlight w:val="none"/>
        </w:rPr>
        <w:t>动合同的从业人员；给予一定比例的价格折</w:t>
      </w:r>
      <w:r>
        <w:rPr>
          <w:spacing w:val="-2"/>
          <w:sz w:val="24"/>
          <w:szCs w:val="24"/>
          <w:highlight w:val="none"/>
        </w:rPr>
        <w:t>扣，用扣除后的价格参与评审；</w:t>
      </w:r>
    </w:p>
    <w:p w14:paraId="0D20D14B">
      <w:pPr>
        <w:pStyle w:val="2"/>
        <w:keepNext w:val="0"/>
        <w:keepLines w:val="0"/>
        <w:pageBreakBefore w:val="0"/>
        <w:widowControl/>
        <w:kinsoku/>
        <w:wordWrap w:val="0"/>
        <w:overflowPunct/>
        <w:topLinePunct w:val="0"/>
        <w:autoSpaceDE/>
        <w:autoSpaceDN/>
        <w:bidi w:val="0"/>
        <w:adjustRightInd w:val="0"/>
        <w:snapToGrid w:val="0"/>
        <w:spacing w:before="199" w:line="360" w:lineRule="auto"/>
        <w:ind w:left="15" w:right="-48" w:rightChars="0" w:firstLine="444"/>
        <w:textAlignment w:val="baseline"/>
        <w:rPr>
          <w:spacing w:val="-1"/>
          <w:sz w:val="24"/>
          <w:szCs w:val="24"/>
          <w:highlight w:val="none"/>
        </w:rPr>
      </w:pPr>
      <w:r>
        <w:rPr>
          <w:spacing w:val="-1"/>
          <w:sz w:val="24"/>
          <w:szCs w:val="24"/>
          <w:highlight w:val="none"/>
        </w:rPr>
        <w:t>（2）</w:t>
      </w:r>
      <w:r>
        <w:rPr>
          <w:rFonts w:hint="eastAsia"/>
          <w:spacing w:val="-1"/>
          <w:sz w:val="24"/>
          <w:szCs w:val="24"/>
          <w:highlight w:val="none"/>
          <w:lang w:val="en-US" w:eastAsia="zh-CN"/>
        </w:rPr>
        <w:t>投标供应商全部提供小型、微型企业生产的货物，投标价格按招标文件第四章第一节有关规定给予一定比例的价格折扣，用扣除后的价格参与评审。本项所称货物不包括使用大型企业注册商标的货物；</w:t>
      </w:r>
    </w:p>
    <w:p w14:paraId="411A0FC3">
      <w:pPr>
        <w:pStyle w:val="2"/>
        <w:keepNext w:val="0"/>
        <w:keepLines w:val="0"/>
        <w:pageBreakBefore w:val="0"/>
        <w:widowControl/>
        <w:kinsoku/>
        <w:wordWrap w:val="0"/>
        <w:overflowPunct/>
        <w:topLinePunct w:val="0"/>
        <w:autoSpaceDE/>
        <w:autoSpaceDN/>
        <w:bidi w:val="0"/>
        <w:adjustRightInd w:val="0"/>
        <w:snapToGrid w:val="0"/>
        <w:spacing w:before="202" w:line="360" w:lineRule="auto"/>
        <w:ind w:left="24" w:right="-48" w:rightChars="0" w:firstLine="435"/>
        <w:textAlignment w:val="baseline"/>
        <w:rPr>
          <w:sz w:val="24"/>
          <w:szCs w:val="24"/>
          <w:highlight w:val="none"/>
        </w:rPr>
      </w:pPr>
      <w:r>
        <w:rPr>
          <w:spacing w:val="-3"/>
          <w:sz w:val="24"/>
          <w:szCs w:val="24"/>
          <w:highlight w:val="none"/>
        </w:rPr>
        <w:t>（3）小型、微型企业参加联合体投标并在联合体协议中明确其在合同金额占联合体合</w:t>
      </w:r>
      <w:r>
        <w:rPr>
          <w:spacing w:val="-1"/>
          <w:sz w:val="24"/>
          <w:szCs w:val="24"/>
          <w:highlight w:val="none"/>
        </w:rPr>
        <w:t>同总金额30%以上的，该联合体投标价格按招标文件第四章第一节有关规定给予一定比例的价格折扣，用扣除后的价格参与评审。联合体各方均为小型、微型企业的，联合体视同</w:t>
      </w:r>
      <w:r>
        <w:rPr>
          <w:spacing w:val="-3"/>
          <w:sz w:val="24"/>
          <w:szCs w:val="24"/>
          <w:highlight w:val="none"/>
        </w:rPr>
        <w:t>为小型、微型企业；</w:t>
      </w:r>
    </w:p>
    <w:p w14:paraId="2F37F8A3">
      <w:pPr>
        <w:pStyle w:val="2"/>
        <w:keepNext w:val="0"/>
        <w:keepLines w:val="0"/>
        <w:pageBreakBefore w:val="0"/>
        <w:widowControl/>
        <w:kinsoku/>
        <w:wordWrap w:val="0"/>
        <w:overflowPunct/>
        <w:topLinePunct w:val="0"/>
        <w:autoSpaceDE/>
        <w:autoSpaceDN/>
        <w:bidi w:val="0"/>
        <w:adjustRightInd w:val="0"/>
        <w:snapToGrid w:val="0"/>
        <w:spacing w:before="318" w:line="360" w:lineRule="auto"/>
        <w:ind w:left="63" w:right="-48" w:rightChars="0" w:firstLine="396"/>
        <w:textAlignment w:val="baseline"/>
        <w:rPr>
          <w:sz w:val="24"/>
          <w:szCs w:val="24"/>
          <w:highlight w:val="none"/>
        </w:rPr>
      </w:pPr>
      <w:r>
        <w:rPr>
          <w:spacing w:val="-3"/>
          <w:sz w:val="24"/>
          <w:szCs w:val="24"/>
          <w:highlight w:val="none"/>
        </w:rPr>
        <w:t>（4）监狱企业、残疾人福利性单位视同小型、微型企业，享受评审中价格扣除等促进</w:t>
      </w:r>
      <w:r>
        <w:rPr>
          <w:spacing w:val="-5"/>
          <w:sz w:val="24"/>
          <w:szCs w:val="24"/>
          <w:highlight w:val="none"/>
        </w:rPr>
        <w:t>中小企业发展的政府采购政策。</w:t>
      </w:r>
    </w:p>
    <w:p w14:paraId="55129858">
      <w:pPr>
        <w:pStyle w:val="2"/>
        <w:keepNext w:val="0"/>
        <w:keepLines w:val="0"/>
        <w:pageBreakBefore w:val="0"/>
        <w:widowControl/>
        <w:kinsoku/>
        <w:wordWrap w:val="0"/>
        <w:overflowPunct/>
        <w:topLinePunct w:val="0"/>
        <w:autoSpaceDE/>
        <w:autoSpaceDN/>
        <w:bidi w:val="0"/>
        <w:adjustRightInd w:val="0"/>
        <w:snapToGrid w:val="0"/>
        <w:spacing w:before="248" w:line="360" w:lineRule="auto"/>
        <w:ind w:left="448"/>
        <w:textAlignment w:val="baseline"/>
        <w:rPr>
          <w:sz w:val="24"/>
          <w:szCs w:val="24"/>
          <w:highlight w:val="none"/>
        </w:rPr>
      </w:pPr>
      <w:r>
        <w:rPr>
          <w:spacing w:val="-4"/>
          <w:sz w:val="24"/>
          <w:szCs w:val="24"/>
          <w:highlight w:val="none"/>
        </w:rPr>
        <w:t>34.4政府采购政策交叉与叠加</w:t>
      </w:r>
    </w:p>
    <w:p w14:paraId="3BEF0B9C">
      <w:pPr>
        <w:pStyle w:val="2"/>
        <w:keepNext w:val="0"/>
        <w:keepLines w:val="0"/>
        <w:pageBreakBefore w:val="0"/>
        <w:widowControl/>
        <w:kinsoku/>
        <w:wordWrap w:val="0"/>
        <w:overflowPunct/>
        <w:topLinePunct w:val="0"/>
        <w:autoSpaceDE/>
        <w:autoSpaceDN/>
        <w:bidi w:val="0"/>
        <w:adjustRightInd w:val="0"/>
        <w:snapToGrid w:val="0"/>
        <w:spacing w:before="210" w:line="360" w:lineRule="auto"/>
        <w:ind w:left="23" w:right="-48" w:rightChars="0" w:firstLine="436"/>
        <w:textAlignment w:val="baseline"/>
        <w:rPr>
          <w:sz w:val="24"/>
          <w:szCs w:val="24"/>
          <w:highlight w:val="none"/>
        </w:rPr>
      </w:pPr>
      <w:r>
        <w:rPr>
          <w:spacing w:val="-3"/>
          <w:sz w:val="24"/>
          <w:szCs w:val="24"/>
          <w:highlight w:val="none"/>
        </w:rPr>
        <w:t>（1）投标供应商提供的产品取得两个及以上优先采购产品认证的，评审时只有其中一</w:t>
      </w:r>
      <w:r>
        <w:rPr>
          <w:spacing w:val="-1"/>
          <w:sz w:val="24"/>
          <w:szCs w:val="24"/>
          <w:highlight w:val="none"/>
        </w:rPr>
        <w:t>项产品能够享受优先采购优惠（投标供应商自行选择，并在</w:t>
      </w:r>
      <w:r>
        <w:rPr>
          <w:rFonts w:hint="eastAsia"/>
          <w:spacing w:val="-1"/>
          <w:sz w:val="24"/>
          <w:szCs w:val="24"/>
          <w:highlight w:val="none"/>
          <w:lang w:eastAsia="zh-CN"/>
        </w:rPr>
        <w:t>投标文件</w:t>
      </w:r>
      <w:r>
        <w:rPr>
          <w:spacing w:val="-1"/>
          <w:sz w:val="24"/>
          <w:szCs w:val="24"/>
          <w:highlight w:val="none"/>
        </w:rPr>
        <w:t>中并填报相关信息及</w:t>
      </w:r>
      <w:r>
        <w:rPr>
          <w:spacing w:val="-6"/>
          <w:sz w:val="24"/>
          <w:szCs w:val="24"/>
          <w:highlight w:val="none"/>
        </w:rPr>
        <w:t>数据）</w:t>
      </w:r>
    </w:p>
    <w:p w14:paraId="47550F6E">
      <w:pPr>
        <w:pStyle w:val="2"/>
        <w:keepNext w:val="0"/>
        <w:keepLines w:val="0"/>
        <w:pageBreakBefore w:val="0"/>
        <w:widowControl/>
        <w:kinsoku/>
        <w:wordWrap w:val="0"/>
        <w:overflowPunct/>
        <w:topLinePunct w:val="0"/>
        <w:autoSpaceDE/>
        <w:autoSpaceDN/>
        <w:bidi w:val="0"/>
        <w:adjustRightInd w:val="0"/>
        <w:snapToGrid w:val="0"/>
        <w:spacing w:before="298" w:line="360" w:lineRule="auto"/>
        <w:ind w:left="43" w:right="-48" w:rightChars="0" w:firstLine="416"/>
        <w:textAlignment w:val="baseline"/>
        <w:rPr>
          <w:sz w:val="24"/>
          <w:szCs w:val="24"/>
          <w:highlight w:val="none"/>
        </w:rPr>
      </w:pPr>
      <w:r>
        <w:rPr>
          <w:spacing w:val="-3"/>
          <w:sz w:val="24"/>
          <w:szCs w:val="24"/>
          <w:highlight w:val="none"/>
        </w:rPr>
        <w:t>（2）投标供应商同时符合小型、微型企业及监狱企业、残疾人福利性单位要求的，评审时只有一种类型享受价格评审优惠政策；</w:t>
      </w:r>
    </w:p>
    <w:p w14:paraId="6E1CAD6E">
      <w:pPr>
        <w:keepNext w:val="0"/>
        <w:keepLines w:val="0"/>
        <w:pageBreakBefore w:val="0"/>
        <w:widowControl/>
        <w:kinsoku/>
        <w:wordWrap w:val="0"/>
        <w:overflowPunct/>
        <w:topLinePunct w:val="0"/>
        <w:autoSpaceDE/>
        <w:autoSpaceDN/>
        <w:bidi w:val="0"/>
        <w:adjustRightInd w:val="0"/>
        <w:snapToGrid w:val="0"/>
        <w:spacing w:line="360" w:lineRule="auto"/>
        <w:ind w:firstLine="468" w:firstLineChars="200"/>
        <w:textAlignment w:val="baseline"/>
        <w:rPr>
          <w:sz w:val="24"/>
          <w:szCs w:val="24"/>
          <w:highlight w:val="none"/>
        </w:rPr>
      </w:pPr>
      <w:r>
        <w:rPr>
          <w:spacing w:val="-3"/>
          <w:sz w:val="24"/>
          <w:szCs w:val="24"/>
          <w:highlight w:val="none"/>
        </w:rPr>
        <w:t>（3）小型和微型企业的价格评审优惠可以与同时属于“节能产品”、“环境标志产品”</w:t>
      </w:r>
      <w:r>
        <w:rPr>
          <w:spacing w:val="-5"/>
          <w:sz w:val="24"/>
          <w:szCs w:val="24"/>
          <w:highlight w:val="none"/>
        </w:rPr>
        <w:t>中的一项优先采购优惠累加计算。</w:t>
      </w:r>
    </w:p>
    <w:p w14:paraId="6AD067C9">
      <w:pPr>
        <w:pStyle w:val="2"/>
        <w:keepNext w:val="0"/>
        <w:keepLines w:val="0"/>
        <w:pageBreakBefore w:val="0"/>
        <w:widowControl/>
        <w:kinsoku/>
        <w:wordWrap w:val="0"/>
        <w:overflowPunct/>
        <w:topLinePunct w:val="0"/>
        <w:autoSpaceDE/>
        <w:autoSpaceDN/>
        <w:bidi w:val="0"/>
        <w:adjustRightInd w:val="0"/>
        <w:snapToGrid w:val="0"/>
        <w:spacing w:before="203" w:line="360" w:lineRule="auto"/>
        <w:ind w:left="18" w:right="-48" w:rightChars="0" w:firstLine="427"/>
        <w:textAlignment w:val="baseline"/>
        <w:rPr>
          <w:sz w:val="24"/>
          <w:szCs w:val="24"/>
          <w:highlight w:val="none"/>
        </w:rPr>
      </w:pPr>
      <w:r>
        <w:rPr>
          <w:spacing w:val="-5"/>
          <w:sz w:val="24"/>
          <w:szCs w:val="24"/>
          <w:highlight w:val="none"/>
        </w:rPr>
        <w:t>34.5</w:t>
      </w:r>
      <w:r>
        <w:rPr>
          <w:rFonts w:hint="eastAsia"/>
          <w:spacing w:val="-5"/>
          <w:sz w:val="24"/>
          <w:szCs w:val="24"/>
          <w:highlight w:val="none"/>
          <w:lang w:eastAsia="zh-CN"/>
        </w:rPr>
        <w:t>投标文件</w:t>
      </w:r>
      <w:r>
        <w:rPr>
          <w:spacing w:val="-5"/>
          <w:sz w:val="24"/>
          <w:szCs w:val="24"/>
          <w:highlight w:val="none"/>
        </w:rPr>
        <w:t>符合本章第34.1款、第34.2款、第34.3款规定的，投标供应商应提</w:t>
      </w:r>
      <w:r>
        <w:rPr>
          <w:spacing w:val="-3"/>
          <w:sz w:val="24"/>
          <w:szCs w:val="24"/>
          <w:highlight w:val="none"/>
        </w:rPr>
        <w:t>供相关证明资料。</w:t>
      </w:r>
    </w:p>
    <w:p w14:paraId="32347E4B">
      <w:pPr>
        <w:pStyle w:val="2"/>
        <w:keepNext w:val="0"/>
        <w:keepLines w:val="0"/>
        <w:pageBreakBefore w:val="0"/>
        <w:widowControl/>
        <w:kinsoku/>
        <w:wordWrap w:val="0"/>
        <w:overflowPunct/>
        <w:topLinePunct w:val="0"/>
        <w:autoSpaceDE/>
        <w:autoSpaceDN/>
        <w:bidi w:val="0"/>
        <w:adjustRightInd w:val="0"/>
        <w:snapToGrid w:val="0"/>
        <w:spacing w:before="1" w:line="360" w:lineRule="auto"/>
        <w:ind w:left="18" w:right="32" w:firstLine="441"/>
        <w:textAlignment w:val="baseline"/>
        <w:rPr>
          <w:sz w:val="24"/>
          <w:szCs w:val="24"/>
          <w:highlight w:val="none"/>
        </w:rPr>
      </w:pPr>
      <w:r>
        <w:rPr>
          <w:spacing w:val="-3"/>
          <w:sz w:val="24"/>
          <w:szCs w:val="24"/>
          <w:highlight w:val="none"/>
        </w:rPr>
        <w:t>（1）节能产品、环境标志产品：提供国家确定的认证机构出具的、处于有效期之内的</w:t>
      </w:r>
      <w:r>
        <w:rPr>
          <w:spacing w:val="-2"/>
          <w:sz w:val="24"/>
          <w:szCs w:val="24"/>
          <w:highlight w:val="none"/>
        </w:rPr>
        <w:t>节能产品、环境标志产品认证证书（复印件）。</w:t>
      </w:r>
    </w:p>
    <w:p w14:paraId="5BC72CE8">
      <w:pPr>
        <w:pStyle w:val="2"/>
        <w:keepNext w:val="0"/>
        <w:keepLines w:val="0"/>
        <w:pageBreakBefore w:val="0"/>
        <w:widowControl/>
        <w:kinsoku/>
        <w:wordWrap w:val="0"/>
        <w:overflowPunct/>
        <w:topLinePunct w:val="0"/>
        <w:autoSpaceDE/>
        <w:autoSpaceDN/>
        <w:bidi w:val="0"/>
        <w:adjustRightInd w:val="0"/>
        <w:snapToGrid w:val="0"/>
        <w:spacing w:before="273" w:line="360" w:lineRule="auto"/>
        <w:ind w:left="14" w:right="54" w:firstLine="445"/>
        <w:textAlignment w:val="baseline"/>
        <w:rPr>
          <w:sz w:val="24"/>
          <w:szCs w:val="24"/>
          <w:highlight w:val="none"/>
        </w:rPr>
      </w:pPr>
      <w:r>
        <w:rPr>
          <w:spacing w:val="7"/>
          <w:sz w:val="24"/>
          <w:szCs w:val="24"/>
          <w:highlight w:val="none"/>
        </w:rPr>
        <w:t>（2）中小企业：货物类采购项目，按《关于印发＜政府采购促进中小企业发展办</w:t>
      </w:r>
      <w:r>
        <w:rPr>
          <w:spacing w:val="3"/>
          <w:sz w:val="24"/>
          <w:szCs w:val="24"/>
          <w:highlight w:val="none"/>
        </w:rPr>
        <w:t>法＞的通知》(财库[2020]46号)和《关于印发中小企业划型标准规定的通知》（工</w:t>
      </w:r>
      <w:r>
        <w:rPr>
          <w:spacing w:val="8"/>
          <w:sz w:val="24"/>
          <w:szCs w:val="24"/>
          <w:highlight w:val="none"/>
        </w:rPr>
        <w:t>信部联企业〔2011〕300号）文件规定提供中小企业声明函（格式</w:t>
      </w:r>
      <w:r>
        <w:rPr>
          <w:spacing w:val="1"/>
          <w:sz w:val="24"/>
          <w:szCs w:val="24"/>
          <w:highlight w:val="none"/>
        </w:rPr>
        <w:t>）；</w:t>
      </w:r>
      <w:r>
        <w:rPr>
          <w:spacing w:val="8"/>
          <w:sz w:val="24"/>
          <w:szCs w:val="24"/>
          <w:highlight w:val="none"/>
        </w:rPr>
        <w:t>服务类采购项</w:t>
      </w:r>
      <w:r>
        <w:rPr>
          <w:spacing w:val="11"/>
          <w:sz w:val="24"/>
          <w:szCs w:val="24"/>
          <w:highlight w:val="none"/>
        </w:rPr>
        <w:t>目，按《湖南省财政厅关于政府采购促进中小企业发展的有关措施的通知》（湘财</w:t>
      </w:r>
      <w:r>
        <w:rPr>
          <w:spacing w:val="12"/>
          <w:sz w:val="24"/>
          <w:szCs w:val="24"/>
          <w:highlight w:val="none"/>
        </w:rPr>
        <w:t>购[2022]17号）文件规定提供湖南省政府采</w:t>
      </w:r>
      <w:r>
        <w:rPr>
          <w:spacing w:val="11"/>
          <w:sz w:val="24"/>
          <w:szCs w:val="24"/>
          <w:highlight w:val="none"/>
        </w:rPr>
        <w:t>购供应商资格承诺函（格式）。</w:t>
      </w:r>
    </w:p>
    <w:p w14:paraId="03CE6B5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firstLine="436"/>
        <w:textAlignment w:val="baseline"/>
        <w:rPr>
          <w:sz w:val="24"/>
          <w:szCs w:val="24"/>
          <w:highlight w:val="none"/>
        </w:rPr>
      </w:pPr>
      <w:r>
        <w:rPr>
          <w:spacing w:val="-5"/>
          <w:sz w:val="24"/>
          <w:szCs w:val="24"/>
          <w:highlight w:val="none"/>
        </w:rPr>
        <w:t>（3）监狱企业：按《关于政府采购支持监狱企业发展有关问题的通知》(财库〔2014〕</w:t>
      </w:r>
      <w:r>
        <w:rPr>
          <w:spacing w:val="-4"/>
          <w:sz w:val="24"/>
          <w:szCs w:val="24"/>
          <w:highlight w:val="none"/>
        </w:rPr>
        <w:t>68号)文件规定提供证明文件（复印件）。</w:t>
      </w:r>
    </w:p>
    <w:p w14:paraId="757D26E7">
      <w:pPr>
        <w:pStyle w:val="2"/>
        <w:keepNext w:val="0"/>
        <w:keepLines w:val="0"/>
        <w:pageBreakBefore w:val="0"/>
        <w:widowControl/>
        <w:kinsoku/>
        <w:wordWrap w:val="0"/>
        <w:overflowPunct/>
        <w:topLinePunct w:val="0"/>
        <w:autoSpaceDE/>
        <w:autoSpaceDN/>
        <w:bidi w:val="0"/>
        <w:adjustRightInd w:val="0"/>
        <w:snapToGrid w:val="0"/>
        <w:spacing w:before="275" w:line="360" w:lineRule="auto"/>
        <w:ind w:left="53" w:right="87" w:firstLine="406"/>
        <w:textAlignment w:val="baseline"/>
        <w:rPr>
          <w:sz w:val="24"/>
          <w:szCs w:val="24"/>
          <w:highlight w:val="none"/>
        </w:rPr>
      </w:pPr>
      <w:r>
        <w:rPr>
          <w:spacing w:val="-4"/>
          <w:sz w:val="24"/>
          <w:szCs w:val="24"/>
          <w:highlight w:val="none"/>
        </w:rPr>
        <w:t>（4）残疾人福利性单位：按《关于促进残疾人就业政府采购政策的通知》(财库〔</w:t>
      </w:r>
      <w:r>
        <w:rPr>
          <w:spacing w:val="-5"/>
          <w:sz w:val="24"/>
          <w:szCs w:val="24"/>
          <w:highlight w:val="none"/>
        </w:rPr>
        <w:t>20</w:t>
      </w:r>
      <w:r>
        <w:rPr>
          <w:spacing w:val="-3"/>
          <w:sz w:val="24"/>
          <w:szCs w:val="24"/>
          <w:highlight w:val="none"/>
        </w:rPr>
        <w:t>17〕141号)文件规定提供《残疾人福利性单位声明函》（格式）。</w:t>
      </w:r>
    </w:p>
    <w:p w14:paraId="66A6EC02">
      <w:pPr>
        <w:pStyle w:val="2"/>
        <w:keepNext w:val="0"/>
        <w:keepLines w:val="0"/>
        <w:pageBreakBefore w:val="0"/>
        <w:widowControl/>
        <w:kinsoku/>
        <w:wordWrap w:val="0"/>
        <w:overflowPunct/>
        <w:topLinePunct w:val="0"/>
        <w:autoSpaceDE/>
        <w:autoSpaceDN/>
        <w:bidi w:val="0"/>
        <w:adjustRightInd w:val="0"/>
        <w:snapToGrid w:val="0"/>
        <w:spacing w:before="274" w:line="360" w:lineRule="auto"/>
        <w:ind w:left="23" w:right="106" w:firstLine="436"/>
        <w:textAlignment w:val="baseline"/>
        <w:rPr>
          <w:sz w:val="24"/>
          <w:szCs w:val="24"/>
          <w:highlight w:val="none"/>
        </w:rPr>
      </w:pPr>
      <w:r>
        <w:rPr>
          <w:spacing w:val="-1"/>
          <w:sz w:val="24"/>
          <w:szCs w:val="24"/>
          <w:highlight w:val="none"/>
        </w:rPr>
        <w:t>（5）中小企业其他规定：本次采购标的按</w:t>
      </w:r>
      <w:r>
        <w:rPr>
          <w:spacing w:val="-2"/>
          <w:sz w:val="24"/>
          <w:szCs w:val="24"/>
          <w:highlight w:val="none"/>
        </w:rPr>
        <w:t>中小企业划分标准（工信部企业〔2011〕3</w:t>
      </w:r>
      <w:r>
        <w:rPr>
          <w:spacing w:val="-6"/>
          <w:sz w:val="24"/>
          <w:szCs w:val="24"/>
          <w:highlight w:val="none"/>
        </w:rPr>
        <w:t>00号）</w:t>
      </w:r>
      <w:r>
        <w:rPr>
          <w:b/>
          <w:bCs/>
          <w:spacing w:val="-6"/>
          <w:sz w:val="24"/>
          <w:szCs w:val="24"/>
          <w:highlight w:val="none"/>
        </w:rPr>
        <w:t>【投标须知前附表】</w:t>
      </w:r>
      <w:r>
        <w:rPr>
          <w:spacing w:val="-6"/>
          <w:sz w:val="24"/>
          <w:szCs w:val="24"/>
          <w:highlight w:val="none"/>
        </w:rPr>
        <w:t>。</w:t>
      </w:r>
    </w:p>
    <w:p w14:paraId="345AFC4D">
      <w:pPr>
        <w:pStyle w:val="2"/>
        <w:keepNext w:val="0"/>
        <w:keepLines w:val="0"/>
        <w:pageBreakBefore w:val="0"/>
        <w:widowControl/>
        <w:kinsoku/>
        <w:wordWrap w:val="0"/>
        <w:overflowPunct/>
        <w:topLinePunct w:val="0"/>
        <w:autoSpaceDE/>
        <w:autoSpaceDN/>
        <w:bidi w:val="0"/>
        <w:adjustRightInd w:val="0"/>
        <w:snapToGrid w:val="0"/>
        <w:spacing w:before="272" w:line="360" w:lineRule="auto"/>
        <w:ind w:left="19" w:right="27" w:firstLine="426"/>
        <w:textAlignment w:val="baseline"/>
        <w:rPr>
          <w:sz w:val="24"/>
          <w:szCs w:val="24"/>
          <w:highlight w:val="none"/>
        </w:rPr>
      </w:pPr>
      <w:r>
        <w:rPr>
          <w:spacing w:val="-7"/>
          <w:sz w:val="24"/>
          <w:szCs w:val="24"/>
          <w:highlight w:val="none"/>
        </w:rPr>
        <w:t>34.6进口产品是指符合《财政部关于印发《政府采购进口产品管理办法》的</w:t>
      </w:r>
      <w:r>
        <w:rPr>
          <w:spacing w:val="-8"/>
          <w:sz w:val="24"/>
          <w:szCs w:val="24"/>
          <w:highlight w:val="none"/>
        </w:rPr>
        <w:t>通知》（财</w:t>
      </w:r>
      <w:r>
        <w:rPr>
          <w:spacing w:val="-1"/>
          <w:sz w:val="24"/>
          <w:szCs w:val="24"/>
          <w:highlight w:val="none"/>
        </w:rPr>
        <w:t>库[2007]119号）和《关于政府采购进口产品管理有关问题的通知》（财办库〔20</w:t>
      </w:r>
      <w:r>
        <w:rPr>
          <w:spacing w:val="-2"/>
          <w:sz w:val="24"/>
          <w:szCs w:val="24"/>
          <w:highlight w:val="none"/>
        </w:rPr>
        <w:t>08〕248号）文件规定的产品。采购项目拒绝进口产品参加。本款规定同意购买进口产品的</w:t>
      </w:r>
      <w:r>
        <w:rPr>
          <w:spacing w:val="-3"/>
          <w:sz w:val="24"/>
          <w:szCs w:val="24"/>
          <w:highlight w:val="none"/>
        </w:rPr>
        <w:t>，不</w:t>
      </w:r>
      <w:r>
        <w:rPr>
          <w:spacing w:val="-2"/>
          <w:sz w:val="24"/>
          <w:szCs w:val="24"/>
          <w:highlight w:val="none"/>
        </w:rPr>
        <w:t>限制满足采购文件要求的国内产品参与政府采购活动。</w:t>
      </w:r>
    </w:p>
    <w:p w14:paraId="49D74ED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32" w:firstLine="426"/>
        <w:textAlignment w:val="baseline"/>
        <w:rPr>
          <w:sz w:val="24"/>
          <w:szCs w:val="24"/>
          <w:highlight w:val="none"/>
        </w:rPr>
      </w:pPr>
      <w:r>
        <w:rPr>
          <w:spacing w:val="-2"/>
          <w:sz w:val="24"/>
          <w:szCs w:val="24"/>
          <w:highlight w:val="none"/>
        </w:rPr>
        <w:t>34.7投标供应商有融资、担保需求的，可登陆中国湖南政府采购网查询相关银行、担</w:t>
      </w:r>
      <w:r>
        <w:rPr>
          <w:spacing w:val="-3"/>
          <w:sz w:val="24"/>
          <w:szCs w:val="24"/>
          <w:highlight w:val="none"/>
        </w:rPr>
        <w:t>保机构业务。</w:t>
      </w:r>
    </w:p>
    <w:p w14:paraId="1834E31F">
      <w:pPr>
        <w:pStyle w:val="6"/>
        <w:bidi w:val="0"/>
        <w:rPr>
          <w:rFonts w:ascii="宋体" w:hAnsi="宋体" w:eastAsia="宋体" w:cs="宋体"/>
          <w:b/>
          <w:bCs/>
          <w:spacing w:val="-2"/>
          <w:sz w:val="24"/>
          <w:szCs w:val="24"/>
          <w:highlight w:val="none"/>
        </w:rPr>
      </w:pPr>
      <w:bookmarkStart w:id="139" w:name="_Toc32259"/>
      <w:bookmarkStart w:id="140" w:name="_Toc23943"/>
      <w:bookmarkStart w:id="141" w:name="_Toc6700"/>
      <w:r>
        <w:rPr>
          <w:rFonts w:ascii="宋体" w:hAnsi="宋体" w:eastAsia="宋体" w:cs="宋体"/>
          <w:b/>
          <w:bCs/>
          <w:spacing w:val="-2"/>
          <w:sz w:val="24"/>
          <w:szCs w:val="24"/>
          <w:highlight w:val="none"/>
        </w:rPr>
        <w:t>35.招标不足三家处理</w:t>
      </w:r>
      <w:bookmarkEnd w:id="139"/>
      <w:bookmarkEnd w:id="140"/>
      <w:bookmarkEnd w:id="141"/>
    </w:p>
    <w:p w14:paraId="742F7F2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7" w:firstLine="487"/>
        <w:jc w:val="both"/>
        <w:textAlignment w:val="baseline"/>
        <w:rPr>
          <w:sz w:val="24"/>
          <w:szCs w:val="24"/>
          <w:highlight w:val="none"/>
        </w:rPr>
      </w:pPr>
      <w:r>
        <w:rPr>
          <w:spacing w:val="-4"/>
          <w:sz w:val="24"/>
          <w:szCs w:val="24"/>
          <w:highlight w:val="none"/>
        </w:rPr>
        <w:t>35.1公开招标数额标准以上的采购项目，投标截止后投标供应商不</w:t>
      </w:r>
      <w:r>
        <w:rPr>
          <w:spacing w:val="-5"/>
          <w:sz w:val="24"/>
          <w:szCs w:val="24"/>
          <w:highlight w:val="none"/>
        </w:rPr>
        <w:t>足3家或者通过资</w:t>
      </w:r>
      <w:r>
        <w:rPr>
          <w:spacing w:val="-2"/>
          <w:sz w:val="24"/>
          <w:szCs w:val="24"/>
          <w:highlight w:val="none"/>
        </w:rPr>
        <w:t>格审查或符合性审查的投标供应商不足3家的，除采购任务取消情形外，按照以下方式处</w:t>
      </w:r>
      <w:r>
        <w:rPr>
          <w:spacing w:val="-5"/>
          <w:sz w:val="24"/>
          <w:szCs w:val="24"/>
          <w:highlight w:val="none"/>
        </w:rPr>
        <w:t>理：</w:t>
      </w:r>
    </w:p>
    <w:p w14:paraId="78AEB80A">
      <w:pPr>
        <w:pStyle w:val="2"/>
        <w:keepNext w:val="0"/>
        <w:keepLines w:val="0"/>
        <w:pageBreakBefore w:val="0"/>
        <w:widowControl/>
        <w:kinsoku/>
        <w:wordWrap w:val="0"/>
        <w:overflowPunct/>
        <w:topLinePunct w:val="0"/>
        <w:autoSpaceDE/>
        <w:autoSpaceDN/>
        <w:bidi w:val="0"/>
        <w:adjustRightInd w:val="0"/>
        <w:snapToGrid w:val="0"/>
        <w:spacing w:before="116" w:line="360" w:lineRule="auto"/>
        <w:ind w:left="24" w:right="164" w:firstLine="495"/>
        <w:textAlignment w:val="baseline"/>
        <w:rPr>
          <w:sz w:val="24"/>
          <w:szCs w:val="24"/>
          <w:highlight w:val="none"/>
        </w:rPr>
      </w:pPr>
      <w:r>
        <w:rPr>
          <w:spacing w:val="-2"/>
          <w:sz w:val="24"/>
          <w:szCs w:val="24"/>
          <w:highlight w:val="none"/>
        </w:rPr>
        <w:t>（1）招标文件存在不合理条款或者招标程序不符合规定的，采购人或者采购代理机</w:t>
      </w:r>
      <w:r>
        <w:rPr>
          <w:spacing w:val="-3"/>
          <w:sz w:val="24"/>
          <w:szCs w:val="24"/>
          <w:highlight w:val="none"/>
        </w:rPr>
        <w:t>构改正后依法重新招标；</w:t>
      </w:r>
    </w:p>
    <w:p w14:paraId="283A037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7" w:right="132" w:firstLine="462"/>
        <w:textAlignment w:val="baseline"/>
        <w:rPr>
          <w:sz w:val="24"/>
          <w:szCs w:val="24"/>
          <w:highlight w:val="none"/>
        </w:rPr>
      </w:pPr>
      <w:r>
        <w:rPr>
          <w:spacing w:val="-2"/>
          <w:sz w:val="24"/>
          <w:szCs w:val="24"/>
          <w:highlight w:val="none"/>
        </w:rPr>
        <w:t>（2）招标文件没有不合理条款、招标程序符合规定，需要采用其他采购单位式采购</w:t>
      </w:r>
      <w:r>
        <w:rPr>
          <w:spacing w:val="-4"/>
          <w:sz w:val="24"/>
          <w:szCs w:val="24"/>
          <w:highlight w:val="none"/>
        </w:rPr>
        <w:t>的，采购人应当依法报财政部门批准。</w:t>
      </w:r>
    </w:p>
    <w:p w14:paraId="7C3C37E2">
      <w:pPr>
        <w:pStyle w:val="2"/>
        <w:keepNext w:val="0"/>
        <w:keepLines w:val="0"/>
        <w:pageBreakBefore w:val="0"/>
        <w:widowControl/>
        <w:kinsoku/>
        <w:wordWrap w:val="0"/>
        <w:overflowPunct/>
        <w:topLinePunct w:val="0"/>
        <w:autoSpaceDE/>
        <w:autoSpaceDN/>
        <w:bidi w:val="0"/>
        <w:adjustRightInd w:val="0"/>
        <w:snapToGrid w:val="0"/>
        <w:spacing w:before="152" w:line="360" w:lineRule="auto"/>
        <w:ind w:left="30" w:right="57" w:firstLine="475"/>
        <w:textAlignment w:val="baseline"/>
        <w:rPr>
          <w:sz w:val="24"/>
          <w:szCs w:val="24"/>
          <w:highlight w:val="none"/>
        </w:rPr>
      </w:pPr>
      <w:r>
        <w:rPr>
          <w:spacing w:val="-2"/>
          <w:sz w:val="24"/>
          <w:szCs w:val="24"/>
          <w:highlight w:val="none"/>
        </w:rPr>
        <w:t>35.2属上款第（2）项情形的，评标委员会应出具的招标文件没有不合理条款的论证</w:t>
      </w:r>
      <w:r>
        <w:rPr>
          <w:spacing w:val="-8"/>
          <w:sz w:val="24"/>
          <w:szCs w:val="24"/>
          <w:highlight w:val="none"/>
        </w:rPr>
        <w:t>意见。</w:t>
      </w:r>
    </w:p>
    <w:p w14:paraId="4F886FDC">
      <w:pPr>
        <w:pStyle w:val="6"/>
        <w:bidi w:val="0"/>
        <w:rPr>
          <w:rFonts w:ascii="宋体" w:hAnsi="宋体" w:eastAsia="宋体" w:cs="宋体"/>
          <w:b/>
          <w:bCs/>
          <w:spacing w:val="-2"/>
          <w:sz w:val="24"/>
          <w:szCs w:val="24"/>
          <w:highlight w:val="none"/>
        </w:rPr>
      </w:pPr>
      <w:bookmarkStart w:id="142" w:name="_Toc4366"/>
      <w:bookmarkStart w:id="143" w:name="_Toc4102"/>
      <w:bookmarkStart w:id="144" w:name="_Toc26523"/>
      <w:r>
        <w:rPr>
          <w:rFonts w:ascii="宋体" w:hAnsi="宋体" w:eastAsia="宋体" w:cs="宋体"/>
          <w:b/>
          <w:bCs/>
          <w:spacing w:val="-2"/>
          <w:sz w:val="24"/>
          <w:szCs w:val="24"/>
          <w:highlight w:val="none"/>
        </w:rPr>
        <w:t>36.需要补充的其他内容</w:t>
      </w:r>
      <w:bookmarkEnd w:id="142"/>
      <w:bookmarkEnd w:id="143"/>
      <w:bookmarkEnd w:id="144"/>
    </w:p>
    <w:p w14:paraId="5B97CB3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8"/>
        <w:textAlignment w:val="baseline"/>
        <w:rPr>
          <w:sz w:val="24"/>
          <w:szCs w:val="24"/>
          <w:highlight w:val="none"/>
        </w:rPr>
      </w:pPr>
      <w:r>
        <w:rPr>
          <w:spacing w:val="-3"/>
          <w:sz w:val="24"/>
          <w:szCs w:val="24"/>
          <w:highlight w:val="none"/>
        </w:rPr>
        <w:t>36.1招标文件需要补充的其他内容见</w:t>
      </w:r>
      <w:r>
        <w:rPr>
          <w:b/>
          <w:bCs/>
          <w:spacing w:val="-3"/>
          <w:sz w:val="24"/>
          <w:szCs w:val="24"/>
          <w:highlight w:val="none"/>
        </w:rPr>
        <w:t>【投</w:t>
      </w:r>
      <w:r>
        <w:rPr>
          <w:b/>
          <w:bCs/>
          <w:spacing w:val="-4"/>
          <w:sz w:val="24"/>
          <w:szCs w:val="24"/>
          <w:highlight w:val="none"/>
        </w:rPr>
        <w:t>标须知前附表】</w:t>
      </w:r>
      <w:r>
        <w:rPr>
          <w:spacing w:val="-4"/>
          <w:sz w:val="24"/>
          <w:szCs w:val="24"/>
          <w:highlight w:val="none"/>
        </w:rPr>
        <w:t>。</w:t>
      </w:r>
    </w:p>
    <w:p w14:paraId="26E1450E">
      <w:pPr>
        <w:rPr>
          <w:b/>
          <w:bCs/>
          <w:spacing w:val="3"/>
          <w:highlight w:val="none"/>
        </w:rPr>
      </w:pPr>
      <w:r>
        <w:rPr>
          <w:b/>
          <w:bCs/>
          <w:spacing w:val="3"/>
          <w:highlight w:val="none"/>
        </w:rPr>
        <w:br w:type="page"/>
      </w:r>
    </w:p>
    <w:p w14:paraId="7135CF3B">
      <w:pPr>
        <w:pStyle w:val="4"/>
        <w:bidi w:val="0"/>
        <w:rPr>
          <w:rFonts w:ascii="Arial"/>
          <w:sz w:val="24"/>
          <w:szCs w:val="24"/>
          <w:highlight w:val="none"/>
        </w:rPr>
      </w:pPr>
      <w:bookmarkStart w:id="145" w:name="_Toc4043"/>
      <w:r>
        <w:t>第三章资格审查</w:t>
      </w:r>
      <w:bookmarkEnd w:id="145"/>
    </w:p>
    <w:p w14:paraId="665573E1">
      <w:pPr>
        <w:pStyle w:val="6"/>
        <w:bidi w:val="0"/>
        <w:rPr>
          <w:rFonts w:ascii="宋体" w:hAnsi="宋体" w:eastAsia="宋体" w:cs="宋体"/>
          <w:b/>
          <w:bCs/>
          <w:spacing w:val="-2"/>
          <w:sz w:val="24"/>
          <w:szCs w:val="24"/>
          <w:highlight w:val="none"/>
        </w:rPr>
      </w:pPr>
      <w:bookmarkStart w:id="146" w:name="_Toc508"/>
      <w:bookmarkStart w:id="147" w:name="_Toc15614"/>
      <w:bookmarkStart w:id="148" w:name="_Toc9458"/>
      <w:r>
        <w:rPr>
          <w:rFonts w:ascii="宋体" w:hAnsi="宋体" w:eastAsia="宋体" w:cs="宋体"/>
          <w:b/>
          <w:bCs/>
          <w:spacing w:val="-2"/>
          <w:sz w:val="24"/>
          <w:szCs w:val="24"/>
          <w:highlight w:val="none"/>
        </w:rPr>
        <w:t>1．资格审查主体</w:t>
      </w:r>
      <w:bookmarkEnd w:id="146"/>
      <w:bookmarkEnd w:id="147"/>
      <w:bookmarkEnd w:id="148"/>
    </w:p>
    <w:p w14:paraId="55B81ABD">
      <w:pPr>
        <w:pStyle w:val="2"/>
        <w:keepNext w:val="0"/>
        <w:keepLines w:val="0"/>
        <w:pageBreakBefore w:val="0"/>
        <w:widowControl/>
        <w:kinsoku/>
        <w:wordWrap w:val="0"/>
        <w:overflowPunct/>
        <w:topLinePunct w:val="0"/>
        <w:autoSpaceDE/>
        <w:autoSpaceDN/>
        <w:bidi w:val="0"/>
        <w:adjustRightInd w:val="0"/>
        <w:snapToGrid w:val="0"/>
        <w:spacing w:before="311" w:line="360" w:lineRule="auto"/>
        <w:ind w:left="43" w:right="57" w:firstLine="461"/>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1.1资格审查主体：采购人及采购代理机构负责资格审查。</w:t>
      </w:r>
    </w:p>
    <w:p w14:paraId="51B28338">
      <w:pPr>
        <w:pStyle w:val="6"/>
        <w:bidi w:val="0"/>
        <w:rPr>
          <w:rFonts w:ascii="宋体" w:hAnsi="宋体" w:eastAsia="宋体" w:cs="宋体"/>
          <w:b/>
          <w:bCs/>
          <w:spacing w:val="-2"/>
          <w:sz w:val="24"/>
          <w:szCs w:val="24"/>
          <w:highlight w:val="none"/>
        </w:rPr>
      </w:pPr>
      <w:bookmarkStart w:id="149" w:name="_Toc16075"/>
      <w:bookmarkStart w:id="150" w:name="_Toc24433"/>
      <w:bookmarkStart w:id="151" w:name="_Toc30684"/>
      <w:r>
        <w:rPr>
          <w:rFonts w:ascii="宋体" w:hAnsi="宋体" w:eastAsia="宋体" w:cs="宋体"/>
          <w:b/>
          <w:bCs/>
          <w:spacing w:val="-2"/>
          <w:sz w:val="24"/>
          <w:szCs w:val="24"/>
          <w:highlight w:val="none"/>
        </w:rPr>
        <w:t>2．资格审查</w:t>
      </w:r>
      <w:bookmarkEnd w:id="149"/>
      <w:bookmarkEnd w:id="150"/>
      <w:bookmarkEnd w:id="151"/>
    </w:p>
    <w:p w14:paraId="54DBCD2E">
      <w:pPr>
        <w:pStyle w:val="2"/>
        <w:keepNext w:val="0"/>
        <w:keepLines w:val="0"/>
        <w:pageBreakBefore w:val="0"/>
        <w:widowControl/>
        <w:kinsoku/>
        <w:wordWrap w:val="0"/>
        <w:overflowPunct/>
        <w:topLinePunct w:val="0"/>
        <w:autoSpaceDE/>
        <w:autoSpaceDN/>
        <w:bidi w:val="0"/>
        <w:adjustRightInd w:val="0"/>
        <w:snapToGrid w:val="0"/>
        <w:spacing w:before="311" w:line="360" w:lineRule="auto"/>
        <w:ind w:left="43" w:right="57" w:firstLine="461"/>
        <w:textAlignment w:val="baseline"/>
        <w:rPr>
          <w:sz w:val="24"/>
          <w:szCs w:val="24"/>
          <w:highlight w:val="none"/>
        </w:rPr>
      </w:pPr>
      <w:r>
        <w:rPr>
          <w:spacing w:val="-2"/>
          <w:sz w:val="24"/>
          <w:szCs w:val="24"/>
          <w:highlight w:val="none"/>
        </w:rPr>
        <w:t>2.1资格审查依据法律法规和招标文件的规定，对投标文件中</w:t>
      </w:r>
      <w:r>
        <w:rPr>
          <w:spacing w:val="-3"/>
          <w:sz w:val="24"/>
          <w:szCs w:val="24"/>
          <w:highlight w:val="none"/>
        </w:rPr>
        <w:t>的资格证明文件等进行</w:t>
      </w:r>
      <w:r>
        <w:rPr>
          <w:spacing w:val="-2"/>
          <w:sz w:val="24"/>
          <w:szCs w:val="24"/>
          <w:highlight w:val="none"/>
        </w:rPr>
        <w:t>审查，以确定供应商是否符合招标文件规定的资格条件。</w:t>
      </w:r>
    </w:p>
    <w:p w14:paraId="5510A0CD">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0" w:leftChars="0" w:firstLine="452" w:firstLineChars="200"/>
        <w:textAlignment w:val="baseline"/>
        <w:rPr>
          <w:sz w:val="24"/>
          <w:szCs w:val="24"/>
          <w:highlight w:val="none"/>
        </w:rPr>
      </w:pPr>
      <w:r>
        <w:rPr>
          <w:spacing w:val="-7"/>
          <w:sz w:val="24"/>
          <w:szCs w:val="24"/>
          <w:highlight w:val="none"/>
        </w:rPr>
        <w:t>2.2除第二章第15.1款另有规定外，采购人及采购代理机构按附表1所列审查项目及</w:t>
      </w:r>
      <w:r>
        <w:rPr>
          <w:spacing w:val="-4"/>
          <w:sz w:val="24"/>
          <w:szCs w:val="24"/>
          <w:highlight w:val="none"/>
        </w:rPr>
        <w:t>审查标准，对供应商资格进行审查。</w:t>
      </w:r>
    </w:p>
    <w:p w14:paraId="50682B4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4"/>
        <w:textAlignment w:val="baseline"/>
        <w:rPr>
          <w:sz w:val="24"/>
          <w:szCs w:val="24"/>
          <w:highlight w:val="none"/>
        </w:rPr>
      </w:pPr>
      <w:r>
        <w:rPr>
          <w:spacing w:val="-1"/>
          <w:sz w:val="24"/>
          <w:szCs w:val="24"/>
          <w:highlight w:val="none"/>
        </w:rPr>
        <w:t>2.3在资格审查时，供应商存在下列情况之一</w:t>
      </w:r>
      <w:r>
        <w:rPr>
          <w:spacing w:val="-2"/>
          <w:sz w:val="24"/>
          <w:szCs w:val="24"/>
          <w:highlight w:val="none"/>
        </w:rPr>
        <w:t>的，资格审查不合格，其投标无效：</w:t>
      </w:r>
    </w:p>
    <w:p w14:paraId="518D27D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132" w:firstLine="500"/>
        <w:textAlignment w:val="baseline"/>
        <w:rPr>
          <w:sz w:val="24"/>
          <w:szCs w:val="24"/>
          <w:highlight w:val="none"/>
        </w:rPr>
      </w:pPr>
      <w:r>
        <w:rPr>
          <w:spacing w:val="-2"/>
          <w:sz w:val="24"/>
          <w:szCs w:val="24"/>
          <w:highlight w:val="none"/>
        </w:rPr>
        <w:t>（1）不具备招标文件中规定的资格要求的，或提交的资格证明文件不符合招标文件</w:t>
      </w:r>
      <w:r>
        <w:rPr>
          <w:spacing w:val="-5"/>
          <w:sz w:val="24"/>
          <w:szCs w:val="24"/>
          <w:highlight w:val="none"/>
        </w:rPr>
        <w:t>要求的；</w:t>
      </w:r>
    </w:p>
    <w:p w14:paraId="35542D4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（2）联合体投标未提交联合体协议书，或未提交联合体各方资格证明文件的；</w:t>
      </w:r>
    </w:p>
    <w:p w14:paraId="25BF3EF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（3）投标文件的资格证明文件未按照招标文件要求签署、盖章的；</w:t>
      </w:r>
    </w:p>
    <w:p w14:paraId="1973EEF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（4）未按照招标文件的规定提交投标保证金的。</w:t>
      </w:r>
    </w:p>
    <w:p w14:paraId="7675E8D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（5）投标报价超过招标文件中规定的预算金额和最高限价（如有设定）的；</w:t>
      </w:r>
    </w:p>
    <w:p w14:paraId="6C21E6C6">
      <w:pPr>
        <w:pStyle w:val="2"/>
        <w:keepNext w:val="0"/>
        <w:keepLines w:val="0"/>
        <w:pageBreakBefore w:val="0"/>
        <w:widowControl/>
        <w:kinsoku/>
        <w:wordWrap w:val="0"/>
        <w:overflowPunct/>
        <w:topLinePunct w:val="0"/>
        <w:autoSpaceDE/>
        <w:autoSpaceDN/>
        <w:bidi w:val="0"/>
        <w:adjustRightInd w:val="0"/>
        <w:snapToGrid w:val="0"/>
        <w:spacing w:before="311" w:line="360" w:lineRule="auto"/>
        <w:ind w:left="43" w:right="57" w:firstLine="461"/>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（6）法律、法规和招标文件规定的其他投标无效情形的。</w:t>
      </w:r>
    </w:p>
    <w:p w14:paraId="70E6EBB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 w:right="57" w:firstLine="489"/>
        <w:textAlignment w:val="baseline"/>
        <w:rPr>
          <w:sz w:val="24"/>
          <w:szCs w:val="24"/>
          <w:highlight w:val="none"/>
        </w:rPr>
      </w:pPr>
      <w:r>
        <w:rPr>
          <w:spacing w:val="-2"/>
          <w:sz w:val="24"/>
          <w:szCs w:val="24"/>
          <w:highlight w:val="none"/>
        </w:rPr>
        <w:t>2.4信用记录。开标结束后资格审查时，采购人及采购代理机构将对供应商信用记录</w:t>
      </w:r>
      <w:r>
        <w:rPr>
          <w:spacing w:val="-3"/>
          <w:sz w:val="24"/>
          <w:szCs w:val="24"/>
          <w:highlight w:val="none"/>
        </w:rPr>
        <w:t>进行甄别。</w:t>
      </w:r>
    </w:p>
    <w:p w14:paraId="4F5E1F88">
      <w:pPr>
        <w:pStyle w:val="2"/>
        <w:keepNext w:val="0"/>
        <w:keepLines w:val="0"/>
        <w:pageBreakBefore w:val="0"/>
        <w:widowControl/>
        <w:kinsoku/>
        <w:wordWrap w:val="0"/>
        <w:overflowPunct/>
        <w:topLinePunct w:val="0"/>
        <w:autoSpaceDE/>
        <w:autoSpaceDN/>
        <w:bidi w:val="0"/>
        <w:adjustRightInd w:val="0"/>
        <w:snapToGrid w:val="0"/>
        <w:spacing w:before="107" w:line="360" w:lineRule="auto"/>
        <w:ind w:left="15" w:right="117" w:firstLine="504"/>
        <w:textAlignment w:val="baseline"/>
        <w:rPr>
          <w:sz w:val="24"/>
          <w:szCs w:val="24"/>
          <w:highlight w:val="none"/>
        </w:rPr>
      </w:pPr>
      <w:r>
        <w:rPr>
          <w:spacing w:val="-1"/>
          <w:sz w:val="24"/>
          <w:szCs w:val="24"/>
          <w:highlight w:val="none"/>
        </w:rPr>
        <w:t>（1）信用信息查询的查询渠道：信用中国网（</w:t>
      </w:r>
      <w:r>
        <w:rPr>
          <w:highlight w:val="none"/>
        </w:rPr>
        <w:fldChar w:fldCharType="begin"/>
      </w:r>
      <w:r>
        <w:rPr>
          <w:highlight w:val="none"/>
        </w:rPr>
        <w:instrText xml:space="preserve"> HYPERLINK "https://www.creditchina.gov.cn" </w:instrText>
      </w:r>
      <w:r>
        <w:rPr>
          <w:highlight w:val="none"/>
        </w:rPr>
        <w:fldChar w:fldCharType="separate"/>
      </w:r>
      <w:r>
        <w:rPr>
          <w:spacing w:val="-1"/>
          <w:sz w:val="24"/>
          <w:szCs w:val="24"/>
          <w:highlight w:val="none"/>
        </w:rPr>
        <w:t>www.creditchina.gov.cn</w:t>
      </w:r>
      <w:r>
        <w:rPr>
          <w:spacing w:val="-1"/>
          <w:sz w:val="24"/>
          <w:szCs w:val="24"/>
          <w:highlight w:val="none"/>
        </w:rPr>
        <w:fldChar w:fldCharType="end"/>
      </w:r>
      <w:r>
        <w:rPr>
          <w:spacing w:val="-1"/>
          <w:sz w:val="24"/>
          <w:szCs w:val="24"/>
          <w:highlight w:val="none"/>
        </w:rPr>
        <w:t>）、中国政</w:t>
      </w:r>
      <w:r>
        <w:rPr>
          <w:spacing w:val="-2"/>
          <w:sz w:val="24"/>
          <w:szCs w:val="24"/>
          <w:highlight w:val="none"/>
        </w:rPr>
        <w:t>府采购网（</w:t>
      </w:r>
      <w:r>
        <w:rPr>
          <w:highlight w:val="none"/>
        </w:rPr>
        <w:fldChar w:fldCharType="begin"/>
      </w:r>
      <w:r>
        <w:rPr>
          <w:highlight w:val="none"/>
        </w:rPr>
        <w:instrText xml:space="preserve"> HYPERLINK "https://www.ccgp.gov.cn" </w:instrText>
      </w:r>
      <w:r>
        <w:rPr>
          <w:highlight w:val="none"/>
        </w:rPr>
        <w:fldChar w:fldCharType="separate"/>
      </w:r>
      <w:r>
        <w:rPr>
          <w:spacing w:val="-2"/>
          <w:sz w:val="24"/>
          <w:szCs w:val="24"/>
          <w:highlight w:val="none"/>
        </w:rPr>
        <w:t>www.ccgp.gov.cn</w:t>
      </w:r>
      <w:r>
        <w:rPr>
          <w:spacing w:val="-2"/>
          <w:sz w:val="24"/>
          <w:szCs w:val="24"/>
          <w:highlight w:val="none"/>
        </w:rPr>
        <w:fldChar w:fldCharType="end"/>
      </w:r>
      <w:r>
        <w:rPr>
          <w:spacing w:val="5"/>
          <w:sz w:val="24"/>
          <w:szCs w:val="24"/>
          <w:highlight w:val="none"/>
        </w:rPr>
        <w:t>）；</w:t>
      </w:r>
    </w:p>
    <w:p w14:paraId="48D99BC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504"/>
        <w:textAlignment w:val="baseline"/>
        <w:rPr>
          <w:sz w:val="24"/>
          <w:szCs w:val="24"/>
          <w:highlight w:val="none"/>
        </w:rPr>
      </w:pPr>
      <w:r>
        <w:rPr>
          <w:spacing w:val="-3"/>
          <w:sz w:val="24"/>
          <w:szCs w:val="24"/>
          <w:highlight w:val="none"/>
        </w:rPr>
        <w:t>（2）不良信用记录是指：供应商在“信用中国”网站被列入失信被执行人和重大税</w:t>
      </w:r>
      <w:r>
        <w:rPr>
          <w:spacing w:val="-4"/>
          <w:sz w:val="24"/>
          <w:szCs w:val="24"/>
          <w:highlight w:val="none"/>
        </w:rPr>
        <w:t>收违法案件当事人名单，或在“中国政府采购网”网站被列入政府采购严重违法失信行为</w:t>
      </w:r>
      <w:r>
        <w:rPr>
          <w:spacing w:val="-1"/>
          <w:sz w:val="24"/>
          <w:szCs w:val="24"/>
          <w:highlight w:val="none"/>
        </w:rPr>
        <w:t>记录名单。供应商有上述不良信用记录的，其投标无效，其中，列入政府采购严重违法失</w:t>
      </w:r>
      <w:r>
        <w:rPr>
          <w:spacing w:val="-2"/>
          <w:sz w:val="24"/>
          <w:szCs w:val="24"/>
          <w:highlight w:val="none"/>
        </w:rPr>
        <w:t>信行为记录名单的，按处罚结果执行。</w:t>
      </w:r>
    </w:p>
    <w:p w14:paraId="2210167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132" w:firstLine="496"/>
        <w:textAlignment w:val="baseline"/>
        <w:rPr>
          <w:sz w:val="24"/>
          <w:szCs w:val="24"/>
          <w:highlight w:val="none"/>
        </w:rPr>
      </w:pPr>
      <w:r>
        <w:rPr>
          <w:spacing w:val="-2"/>
          <w:sz w:val="24"/>
          <w:szCs w:val="24"/>
          <w:highlight w:val="none"/>
        </w:rPr>
        <w:t>（3）联合体形式投标的，联合体成员存在不良信用记录的，视同联合体存在不良信</w:t>
      </w:r>
      <w:r>
        <w:rPr>
          <w:spacing w:val="-5"/>
          <w:sz w:val="24"/>
          <w:szCs w:val="24"/>
          <w:highlight w:val="none"/>
        </w:rPr>
        <w:t>用记录。</w:t>
      </w:r>
    </w:p>
    <w:p w14:paraId="4520088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firstLine="501"/>
        <w:textAlignment w:val="baseline"/>
        <w:rPr>
          <w:sz w:val="24"/>
          <w:szCs w:val="24"/>
          <w:highlight w:val="none"/>
        </w:rPr>
      </w:pPr>
      <w:r>
        <w:rPr>
          <w:spacing w:val="-2"/>
          <w:sz w:val="24"/>
          <w:szCs w:val="24"/>
          <w:highlight w:val="none"/>
        </w:rPr>
        <w:t>（4）信用信息查询记录和证据留存具体方式：采购人及采购代理机构经办人将查询</w:t>
      </w:r>
      <w:r>
        <w:rPr>
          <w:spacing w:val="-1"/>
          <w:sz w:val="24"/>
          <w:szCs w:val="24"/>
          <w:highlight w:val="none"/>
        </w:rPr>
        <w:t>网页截图、打印、签字，作为查询记录和证据，与其他采购文件一并保存。供应商不良信用记录以采购人及采购代理机构查询结果为准。采购人及采购代理机构查询之后，本章指定网站信息发生的任何变更均不再作为资格审查依据，供应商自行提供的与本章指定网站</w:t>
      </w:r>
      <w:r>
        <w:rPr>
          <w:spacing w:val="-2"/>
          <w:sz w:val="24"/>
          <w:szCs w:val="24"/>
          <w:highlight w:val="none"/>
        </w:rPr>
        <w:t>信息不一致的其他证明材料亦不作为资格审查依据。</w:t>
      </w:r>
    </w:p>
    <w:p w14:paraId="6251996B">
      <w:pPr>
        <w:pStyle w:val="6"/>
        <w:bidi w:val="0"/>
        <w:rPr>
          <w:rFonts w:ascii="宋体" w:hAnsi="宋体" w:eastAsia="宋体" w:cs="宋体"/>
          <w:b/>
          <w:bCs/>
          <w:spacing w:val="-2"/>
          <w:sz w:val="24"/>
          <w:szCs w:val="24"/>
          <w:highlight w:val="none"/>
        </w:rPr>
      </w:pPr>
      <w:bookmarkStart w:id="152" w:name="_Toc27974"/>
      <w:bookmarkStart w:id="153" w:name="_Toc24902"/>
      <w:bookmarkStart w:id="154" w:name="_Toc9373"/>
      <w:r>
        <w:rPr>
          <w:rFonts w:ascii="宋体" w:hAnsi="宋体" w:eastAsia="宋体" w:cs="宋体"/>
          <w:b/>
          <w:bCs/>
          <w:spacing w:val="-2"/>
          <w:sz w:val="24"/>
          <w:szCs w:val="24"/>
          <w:highlight w:val="none"/>
        </w:rPr>
        <w:t>3．资格审查结果</w:t>
      </w:r>
      <w:bookmarkEnd w:id="152"/>
      <w:bookmarkEnd w:id="153"/>
      <w:bookmarkEnd w:id="154"/>
    </w:p>
    <w:p w14:paraId="626027E3">
      <w:pPr>
        <w:pStyle w:val="2"/>
        <w:keepNext w:val="0"/>
        <w:keepLines w:val="0"/>
        <w:pageBreakBefore w:val="0"/>
        <w:widowControl/>
        <w:kinsoku/>
        <w:wordWrap w:val="0"/>
        <w:overflowPunct/>
        <w:topLinePunct w:val="0"/>
        <w:autoSpaceDE/>
        <w:autoSpaceDN/>
        <w:bidi w:val="0"/>
        <w:adjustRightInd w:val="0"/>
        <w:snapToGrid w:val="0"/>
        <w:spacing w:before="286" w:line="360" w:lineRule="auto"/>
        <w:ind w:left="508"/>
        <w:textAlignment w:val="baseline"/>
        <w:rPr>
          <w:sz w:val="24"/>
          <w:szCs w:val="24"/>
          <w:highlight w:val="none"/>
        </w:rPr>
      </w:pPr>
      <w:r>
        <w:rPr>
          <w:spacing w:val="-2"/>
          <w:sz w:val="24"/>
          <w:szCs w:val="24"/>
          <w:highlight w:val="none"/>
        </w:rPr>
        <w:t>3.1未通过资格审查的供应商，采购人及采购代理机构应当告知其未通过的原因。</w:t>
      </w:r>
    </w:p>
    <w:p w14:paraId="2D02013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8"/>
        <w:textAlignment w:val="baseline"/>
        <w:rPr>
          <w:sz w:val="24"/>
          <w:szCs w:val="24"/>
          <w:highlight w:val="none"/>
        </w:rPr>
      </w:pPr>
      <w:r>
        <w:rPr>
          <w:spacing w:val="-2"/>
          <w:sz w:val="24"/>
          <w:szCs w:val="24"/>
          <w:highlight w:val="none"/>
        </w:rPr>
        <w:t>3.2资格审查结束后，采购人及采购代理机构应将资格审查结果告知评标委员会。</w:t>
      </w:r>
    </w:p>
    <w:p w14:paraId="051D821D">
      <w:pPr>
        <w:pStyle w:val="6"/>
        <w:bidi w:val="0"/>
        <w:rPr>
          <w:rFonts w:ascii="宋体" w:hAnsi="宋体" w:eastAsia="宋体" w:cs="宋体"/>
          <w:b/>
          <w:bCs/>
          <w:spacing w:val="-2"/>
          <w:sz w:val="24"/>
          <w:szCs w:val="24"/>
          <w:highlight w:val="none"/>
        </w:rPr>
      </w:pPr>
      <w:bookmarkStart w:id="155" w:name="_Toc18878"/>
      <w:bookmarkStart w:id="156" w:name="_Toc30197"/>
      <w:bookmarkStart w:id="157" w:name="_Toc18523"/>
      <w:r>
        <w:rPr>
          <w:rFonts w:ascii="宋体" w:hAnsi="宋体" w:eastAsia="宋体" w:cs="宋体"/>
          <w:b/>
          <w:bCs/>
          <w:spacing w:val="-2"/>
          <w:sz w:val="24"/>
          <w:szCs w:val="24"/>
          <w:highlight w:val="none"/>
        </w:rPr>
        <w:t>4．其他</w:t>
      </w:r>
      <w:bookmarkEnd w:id="155"/>
      <w:bookmarkEnd w:id="156"/>
      <w:bookmarkEnd w:id="157"/>
    </w:p>
    <w:p w14:paraId="28DC4C50">
      <w:pPr>
        <w:pStyle w:val="2"/>
        <w:keepNext w:val="0"/>
        <w:keepLines w:val="0"/>
        <w:pageBreakBefore w:val="0"/>
        <w:widowControl/>
        <w:kinsoku/>
        <w:wordWrap w:val="0"/>
        <w:overflowPunct/>
        <w:topLinePunct w:val="0"/>
        <w:autoSpaceDE/>
        <w:autoSpaceDN/>
        <w:bidi w:val="0"/>
        <w:adjustRightInd w:val="0"/>
        <w:snapToGrid w:val="0"/>
        <w:spacing w:before="309" w:line="360" w:lineRule="auto"/>
        <w:ind w:left="24" w:firstLine="471"/>
        <w:jc w:val="both"/>
        <w:textAlignment w:val="baseline"/>
        <w:rPr>
          <w:rFonts w:ascii="宋体" w:hAnsi="宋体" w:eastAsia="宋体" w:cs="宋体"/>
          <w:spacing w:val="-2"/>
          <w:sz w:val="24"/>
          <w:szCs w:val="24"/>
          <w:highlight w:val="none"/>
        </w:rPr>
      </w:pPr>
      <w:r>
        <w:rPr>
          <w:spacing w:val="-1"/>
          <w:sz w:val="24"/>
          <w:szCs w:val="24"/>
          <w:highlight w:val="none"/>
        </w:rPr>
        <w:t>4.1实行资格预审的采购项目，开标结束后可以不再对供应商资格进行审查。资格预审合格的供应商在提交投标文件的截止时间前资格发生变化的，应当通知采购人和采购代理机构，并按新情况更新或补充其在申请资格预审时提供的证明资料，以证实其各项资格</w:t>
      </w:r>
      <w:r>
        <w:rPr>
          <w:rFonts w:ascii="宋体" w:hAnsi="宋体" w:eastAsia="宋体" w:cs="宋体"/>
          <w:spacing w:val="-2"/>
          <w:sz w:val="24"/>
          <w:szCs w:val="24"/>
          <w:highlight w:val="none"/>
        </w:rPr>
        <w:t>条件仍能继续满足资格预审公告的要求。</w:t>
      </w:r>
    </w:p>
    <w:p w14:paraId="50C2E0C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4"/>
          <w:szCs w:val="24"/>
          <w:highlight w:val="none"/>
        </w:rPr>
      </w:pPr>
    </w:p>
    <w:p w14:paraId="067D836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4"/>
          <w:szCs w:val="24"/>
          <w:highlight w:val="none"/>
        </w:rPr>
      </w:pPr>
    </w:p>
    <w:p w14:paraId="4C57434F">
      <w:pPr>
        <w:rPr>
          <w:b/>
          <w:bCs/>
          <w:spacing w:val="-1"/>
          <w:sz w:val="24"/>
          <w:szCs w:val="24"/>
          <w:highlight w:val="none"/>
        </w:rPr>
      </w:pPr>
      <w:bookmarkStart w:id="158" w:name="bookmark69"/>
      <w:bookmarkEnd w:id="158"/>
      <w:r>
        <w:rPr>
          <w:b/>
          <w:bCs/>
          <w:spacing w:val="-1"/>
          <w:sz w:val="24"/>
          <w:szCs w:val="24"/>
          <w:highlight w:val="none"/>
        </w:rPr>
        <w:br w:type="page"/>
      </w:r>
    </w:p>
    <w:p w14:paraId="2BDED816">
      <w:pPr>
        <w:pStyle w:val="6"/>
        <w:bidi w:val="0"/>
      </w:pPr>
      <w:bookmarkStart w:id="159" w:name="_Toc7927"/>
      <w:bookmarkStart w:id="160" w:name="_Toc19941"/>
      <w:r>
        <w:t>附表1资格审查表</w:t>
      </w:r>
      <w:bookmarkEnd w:id="159"/>
      <w:bookmarkEnd w:id="160"/>
    </w:p>
    <w:p w14:paraId="794B3D9E">
      <w:pPr>
        <w:pStyle w:val="2"/>
        <w:keepNext w:val="0"/>
        <w:keepLines w:val="0"/>
        <w:pageBreakBefore w:val="0"/>
        <w:widowControl/>
        <w:kinsoku/>
        <w:wordWrap w:val="0"/>
        <w:overflowPunct/>
        <w:topLinePunct w:val="0"/>
        <w:autoSpaceDE/>
        <w:autoSpaceDN/>
        <w:bidi w:val="0"/>
        <w:adjustRightInd w:val="0"/>
        <w:snapToGrid w:val="0"/>
        <w:spacing w:before="139" w:line="360" w:lineRule="auto"/>
        <w:ind w:left="4143"/>
        <w:textAlignment w:val="baseline"/>
        <w:rPr>
          <w:highlight w:val="none"/>
        </w:rPr>
      </w:pPr>
      <w:r>
        <w:rPr>
          <w:b/>
          <w:bCs/>
          <w:spacing w:val="-11"/>
          <w:sz w:val="28"/>
          <w:szCs w:val="28"/>
          <w:highlight w:val="none"/>
        </w:rPr>
        <w:t>资格审查表</w:t>
      </w:r>
    </w:p>
    <w:tbl>
      <w:tblPr>
        <w:tblStyle w:val="20"/>
        <w:tblW w:w="95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8"/>
        <w:gridCol w:w="2301"/>
        <w:gridCol w:w="6474"/>
      </w:tblGrid>
      <w:tr w14:paraId="646EC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818" w:type="dxa"/>
            <w:vAlign w:val="center"/>
          </w:tcPr>
          <w:p w14:paraId="406DC457">
            <w:pPr>
              <w:pStyle w:val="21"/>
              <w:keepNext w:val="0"/>
              <w:keepLines w:val="0"/>
              <w:pageBreakBefore w:val="0"/>
              <w:widowControl/>
              <w:kinsoku/>
              <w:wordWrap w:val="0"/>
              <w:overflowPunct/>
              <w:topLinePunct w:val="0"/>
              <w:autoSpaceDE/>
              <w:autoSpaceDN/>
              <w:bidi w:val="0"/>
              <w:adjustRightInd w:val="0"/>
              <w:snapToGrid w:val="0"/>
              <w:spacing w:before="231" w:line="360" w:lineRule="auto"/>
              <w:ind w:left="0" w:leftChars="0" w:firstLine="0" w:firstLineChars="0"/>
              <w:jc w:val="center"/>
              <w:textAlignment w:val="baseline"/>
              <w:rPr>
                <w:highlight w:val="none"/>
              </w:rPr>
            </w:pPr>
            <w:r>
              <w:rPr>
                <w:b/>
                <w:bCs/>
                <w:spacing w:val="-7"/>
                <w:highlight w:val="none"/>
              </w:rPr>
              <w:t>序号</w:t>
            </w:r>
          </w:p>
        </w:tc>
        <w:tc>
          <w:tcPr>
            <w:tcW w:w="2301" w:type="dxa"/>
            <w:vAlign w:val="center"/>
          </w:tcPr>
          <w:p w14:paraId="17478EF7">
            <w:pPr>
              <w:pStyle w:val="21"/>
              <w:keepNext w:val="0"/>
              <w:keepLines w:val="0"/>
              <w:pageBreakBefore w:val="0"/>
              <w:widowControl/>
              <w:kinsoku/>
              <w:wordWrap w:val="0"/>
              <w:overflowPunct/>
              <w:topLinePunct w:val="0"/>
              <w:autoSpaceDE/>
              <w:autoSpaceDN/>
              <w:bidi w:val="0"/>
              <w:adjustRightInd w:val="0"/>
              <w:snapToGrid w:val="0"/>
              <w:spacing w:before="229" w:line="360" w:lineRule="auto"/>
              <w:ind w:left="0" w:leftChars="0" w:firstLine="0" w:firstLineChars="0"/>
              <w:jc w:val="center"/>
              <w:textAlignment w:val="baseline"/>
              <w:rPr>
                <w:highlight w:val="none"/>
              </w:rPr>
            </w:pPr>
            <w:r>
              <w:rPr>
                <w:b/>
                <w:bCs/>
                <w:spacing w:val="-12"/>
                <w:highlight w:val="none"/>
              </w:rPr>
              <w:t>审查项目</w:t>
            </w:r>
          </w:p>
        </w:tc>
        <w:tc>
          <w:tcPr>
            <w:tcW w:w="6474" w:type="dxa"/>
            <w:vAlign w:val="top"/>
          </w:tcPr>
          <w:p w14:paraId="265A8C23">
            <w:pPr>
              <w:pStyle w:val="21"/>
              <w:keepNext w:val="0"/>
              <w:keepLines w:val="0"/>
              <w:pageBreakBefore w:val="0"/>
              <w:widowControl/>
              <w:kinsoku/>
              <w:wordWrap w:val="0"/>
              <w:overflowPunct/>
              <w:topLinePunct w:val="0"/>
              <w:autoSpaceDE/>
              <w:autoSpaceDN/>
              <w:bidi w:val="0"/>
              <w:adjustRightInd w:val="0"/>
              <w:snapToGrid w:val="0"/>
              <w:spacing w:before="229" w:line="360" w:lineRule="auto"/>
              <w:ind w:left="2789"/>
              <w:textAlignment w:val="baseline"/>
              <w:rPr>
                <w:highlight w:val="none"/>
              </w:rPr>
            </w:pPr>
            <w:r>
              <w:rPr>
                <w:b/>
                <w:bCs/>
                <w:spacing w:val="-12"/>
                <w:highlight w:val="none"/>
              </w:rPr>
              <w:t>审查标准</w:t>
            </w:r>
          </w:p>
        </w:tc>
      </w:tr>
      <w:tr w14:paraId="62C3C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8" w:hRule="atLeast"/>
          <w:jc w:val="center"/>
        </w:trPr>
        <w:tc>
          <w:tcPr>
            <w:tcW w:w="818" w:type="dxa"/>
            <w:vAlign w:val="center"/>
          </w:tcPr>
          <w:p w14:paraId="685739B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1</w:t>
            </w:r>
          </w:p>
        </w:tc>
        <w:tc>
          <w:tcPr>
            <w:tcW w:w="2301" w:type="dxa"/>
            <w:vAlign w:val="center"/>
          </w:tcPr>
          <w:p w14:paraId="16B8CE8C">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6"/>
                <w:highlight w:val="none"/>
              </w:rPr>
              <w:t>营业执照等</w:t>
            </w:r>
            <w:r>
              <w:rPr>
                <w:spacing w:val="-5"/>
                <w:highlight w:val="none"/>
              </w:rPr>
              <w:t>证明文件</w:t>
            </w:r>
          </w:p>
        </w:tc>
        <w:tc>
          <w:tcPr>
            <w:tcW w:w="6474" w:type="dxa"/>
            <w:vAlign w:val="top"/>
          </w:tcPr>
          <w:p w14:paraId="690E921E">
            <w:pPr>
              <w:pStyle w:val="21"/>
              <w:keepNext w:val="0"/>
              <w:keepLines w:val="0"/>
              <w:pageBreakBefore w:val="0"/>
              <w:widowControl/>
              <w:kinsoku/>
              <w:wordWrap w:val="0"/>
              <w:overflowPunct/>
              <w:topLinePunct w:val="0"/>
              <w:autoSpaceDE/>
              <w:autoSpaceDN/>
              <w:bidi w:val="0"/>
              <w:adjustRightInd w:val="0"/>
              <w:snapToGrid w:val="0"/>
              <w:spacing w:before="226" w:line="360" w:lineRule="auto"/>
              <w:ind w:left="122" w:right="122" w:firstLine="5"/>
              <w:jc w:val="both"/>
              <w:textAlignment w:val="baseline"/>
              <w:rPr>
                <w:highlight w:val="none"/>
              </w:rPr>
            </w:pPr>
            <w:r>
              <w:rPr>
                <w:spacing w:val="-1"/>
                <w:highlight w:val="none"/>
              </w:rPr>
              <w:t>投标供应商为法人的，应提交营业执照或法人登记证书的复印件；投标供应商为非法人组织的，应提交依法登记证书复印件；投标供应商为个体工商户的，应提交个体工商户营业执照复印件；投标供应商为自然人的，应提交自然人的身份</w:t>
            </w:r>
            <w:r>
              <w:rPr>
                <w:spacing w:val="-3"/>
                <w:highlight w:val="none"/>
              </w:rPr>
              <w:t>证明复印件。</w:t>
            </w:r>
          </w:p>
        </w:tc>
      </w:tr>
      <w:tr w14:paraId="223F7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jc w:val="center"/>
        </w:trPr>
        <w:tc>
          <w:tcPr>
            <w:tcW w:w="818" w:type="dxa"/>
            <w:vAlign w:val="center"/>
          </w:tcPr>
          <w:p w14:paraId="7EBFA14E">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2</w:t>
            </w:r>
          </w:p>
        </w:tc>
        <w:tc>
          <w:tcPr>
            <w:tcW w:w="2301" w:type="dxa"/>
            <w:vAlign w:val="center"/>
          </w:tcPr>
          <w:p w14:paraId="0B92DFDE">
            <w:pPr>
              <w:pStyle w:val="21"/>
              <w:keepNext w:val="0"/>
              <w:keepLines w:val="0"/>
              <w:pageBreakBefore w:val="0"/>
              <w:widowControl/>
              <w:kinsoku/>
              <w:wordWrap w:val="0"/>
              <w:overflowPunct/>
              <w:topLinePunct w:val="0"/>
              <w:autoSpaceDE/>
              <w:autoSpaceDN/>
              <w:bidi w:val="0"/>
              <w:adjustRightInd w:val="0"/>
              <w:snapToGrid w:val="0"/>
              <w:spacing w:before="224" w:line="360" w:lineRule="auto"/>
              <w:ind w:left="0" w:leftChars="0" w:right="102" w:firstLine="0" w:firstLineChars="0"/>
              <w:jc w:val="center"/>
              <w:textAlignment w:val="baseline"/>
              <w:rPr>
                <w:highlight w:val="none"/>
              </w:rPr>
            </w:pPr>
            <w:r>
              <w:rPr>
                <w:spacing w:val="-10"/>
                <w:highlight w:val="none"/>
              </w:rPr>
              <w:t>法定代表人（单位负</w:t>
            </w:r>
            <w:r>
              <w:rPr>
                <w:spacing w:val="-5"/>
                <w:highlight w:val="none"/>
              </w:rPr>
              <w:t>责人）授权书</w:t>
            </w:r>
          </w:p>
        </w:tc>
        <w:tc>
          <w:tcPr>
            <w:tcW w:w="6474" w:type="dxa"/>
            <w:vAlign w:val="top"/>
          </w:tcPr>
          <w:p w14:paraId="231735F6">
            <w:pPr>
              <w:pStyle w:val="21"/>
              <w:keepNext w:val="0"/>
              <w:keepLines w:val="0"/>
              <w:pageBreakBefore w:val="0"/>
              <w:widowControl/>
              <w:kinsoku/>
              <w:wordWrap w:val="0"/>
              <w:overflowPunct/>
              <w:topLinePunct w:val="0"/>
              <w:autoSpaceDE/>
              <w:autoSpaceDN/>
              <w:bidi w:val="0"/>
              <w:adjustRightInd w:val="0"/>
              <w:snapToGrid w:val="0"/>
              <w:spacing w:before="224" w:line="360" w:lineRule="auto"/>
              <w:ind w:left="126" w:right="137" w:firstLine="1"/>
              <w:textAlignment w:val="baseline"/>
              <w:rPr>
                <w:highlight w:val="none"/>
              </w:rPr>
            </w:pPr>
            <w:r>
              <w:rPr>
                <w:spacing w:val="-2"/>
                <w:highlight w:val="none"/>
              </w:rPr>
              <w:t>投标供应商代表不是法定代表人（单位负责人）的，应持有法定代表人（单位负责人）授权书。</w:t>
            </w:r>
          </w:p>
        </w:tc>
      </w:tr>
      <w:tr w14:paraId="2C6D5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6" w:hRule="atLeast"/>
          <w:jc w:val="center"/>
        </w:trPr>
        <w:tc>
          <w:tcPr>
            <w:tcW w:w="818" w:type="dxa"/>
            <w:vAlign w:val="center"/>
          </w:tcPr>
          <w:p w14:paraId="30797EAD">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3</w:t>
            </w:r>
          </w:p>
        </w:tc>
        <w:tc>
          <w:tcPr>
            <w:tcW w:w="2301" w:type="dxa"/>
            <w:vAlign w:val="center"/>
          </w:tcPr>
          <w:p w14:paraId="1C49B2F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right="195" w:firstLine="0" w:firstLineChars="0"/>
              <w:jc w:val="center"/>
              <w:textAlignment w:val="baseline"/>
              <w:rPr>
                <w:highlight w:val="none"/>
              </w:rPr>
            </w:pPr>
            <w:r>
              <w:rPr>
                <w:spacing w:val="-3"/>
                <w:highlight w:val="none"/>
              </w:rPr>
              <w:t>湖南省政府采购供应商资格承诺函</w:t>
            </w:r>
          </w:p>
        </w:tc>
        <w:tc>
          <w:tcPr>
            <w:tcW w:w="6474" w:type="dxa"/>
            <w:vAlign w:val="top"/>
          </w:tcPr>
          <w:p w14:paraId="0D454AB6">
            <w:pPr>
              <w:pStyle w:val="21"/>
              <w:keepNext w:val="0"/>
              <w:keepLines w:val="0"/>
              <w:pageBreakBefore w:val="0"/>
              <w:widowControl/>
              <w:kinsoku/>
              <w:wordWrap w:val="0"/>
              <w:overflowPunct/>
              <w:topLinePunct w:val="0"/>
              <w:autoSpaceDE/>
              <w:autoSpaceDN/>
              <w:bidi w:val="0"/>
              <w:adjustRightInd w:val="0"/>
              <w:snapToGrid w:val="0"/>
              <w:spacing w:before="304" w:line="360" w:lineRule="auto"/>
              <w:ind w:left="121" w:right="137" w:firstLine="6"/>
              <w:textAlignment w:val="baseline"/>
              <w:rPr>
                <w:highlight w:val="none"/>
              </w:rPr>
            </w:pPr>
            <w:r>
              <w:rPr>
                <w:spacing w:val="-2"/>
                <w:highlight w:val="none"/>
              </w:rPr>
              <w:t>投标供应商是否承诺独立承担民事责任、具有良好的商业信誉和健全的财务会计制度、依法缴纳税收和社会保障资金,在前三年的经营活动中无重大违法记录,未列入严重失信行为名单,符合政府采购供应商的基本资格要求。</w:t>
            </w:r>
          </w:p>
        </w:tc>
      </w:tr>
      <w:tr w14:paraId="2E41A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18" w:type="dxa"/>
            <w:vAlign w:val="center"/>
          </w:tcPr>
          <w:p w14:paraId="1F27C9F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4</w:t>
            </w:r>
          </w:p>
        </w:tc>
        <w:tc>
          <w:tcPr>
            <w:tcW w:w="2301" w:type="dxa"/>
            <w:vAlign w:val="center"/>
          </w:tcPr>
          <w:p w14:paraId="6D0E4FC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4"/>
                <w:highlight w:val="none"/>
              </w:rPr>
              <w:t>投标供应商信用</w:t>
            </w:r>
            <w:r>
              <w:rPr>
                <w:spacing w:val="-5"/>
                <w:highlight w:val="none"/>
              </w:rPr>
              <w:t>记录</w:t>
            </w:r>
          </w:p>
        </w:tc>
        <w:tc>
          <w:tcPr>
            <w:tcW w:w="6474" w:type="dxa"/>
            <w:vAlign w:val="top"/>
          </w:tcPr>
          <w:p w14:paraId="41E3B982">
            <w:pPr>
              <w:pStyle w:val="21"/>
              <w:keepNext w:val="0"/>
              <w:keepLines w:val="0"/>
              <w:pageBreakBefore w:val="0"/>
              <w:widowControl/>
              <w:kinsoku/>
              <w:wordWrap w:val="0"/>
              <w:overflowPunct/>
              <w:topLinePunct w:val="0"/>
              <w:autoSpaceDE/>
              <w:autoSpaceDN/>
              <w:bidi w:val="0"/>
              <w:adjustRightInd w:val="0"/>
              <w:snapToGrid w:val="0"/>
              <w:spacing w:before="38" w:line="360" w:lineRule="auto"/>
              <w:ind w:left="121" w:right="122" w:firstLine="6"/>
              <w:textAlignment w:val="baseline"/>
              <w:rPr>
                <w:highlight w:val="none"/>
              </w:rPr>
            </w:pPr>
            <w:r>
              <w:rPr>
                <w:spacing w:val="7"/>
                <w:highlight w:val="none"/>
              </w:rPr>
              <w:t>查询渠道：信用中国网站</w:t>
            </w:r>
            <w:r>
              <w:rPr>
                <w:highlight w:val="none"/>
              </w:rPr>
              <w:fldChar w:fldCharType="begin"/>
            </w:r>
            <w:r>
              <w:rPr>
                <w:highlight w:val="none"/>
              </w:rPr>
              <w:instrText xml:space="preserve"> HYPERLINK "https://www.creditchina.gov.cn" </w:instrText>
            </w:r>
            <w:r>
              <w:rPr>
                <w:highlight w:val="none"/>
              </w:rPr>
              <w:fldChar w:fldCharType="separate"/>
            </w:r>
            <w:r>
              <w:rPr>
                <w:sz w:val="19"/>
                <w:szCs w:val="19"/>
                <w:highlight w:val="none"/>
              </w:rPr>
              <w:t>www</w:t>
            </w:r>
            <w:r>
              <w:rPr>
                <w:spacing w:val="7"/>
                <w:sz w:val="19"/>
                <w:szCs w:val="19"/>
                <w:highlight w:val="none"/>
              </w:rPr>
              <w:t>.</w:t>
            </w:r>
            <w:r>
              <w:rPr>
                <w:sz w:val="19"/>
                <w:szCs w:val="19"/>
                <w:highlight w:val="none"/>
              </w:rPr>
              <w:t>creditchina</w:t>
            </w:r>
            <w:r>
              <w:rPr>
                <w:spacing w:val="7"/>
                <w:sz w:val="19"/>
                <w:szCs w:val="19"/>
                <w:highlight w:val="none"/>
              </w:rPr>
              <w:t>.</w:t>
            </w:r>
            <w:r>
              <w:rPr>
                <w:sz w:val="19"/>
                <w:szCs w:val="19"/>
                <w:highlight w:val="none"/>
              </w:rPr>
              <w:t>gov</w:t>
            </w:r>
            <w:r>
              <w:rPr>
                <w:spacing w:val="7"/>
                <w:sz w:val="19"/>
                <w:szCs w:val="19"/>
                <w:highlight w:val="none"/>
              </w:rPr>
              <w:t>.</w:t>
            </w:r>
            <w:r>
              <w:rPr>
                <w:sz w:val="19"/>
                <w:szCs w:val="19"/>
                <w:highlight w:val="none"/>
              </w:rPr>
              <w:t>cn</w:t>
            </w:r>
            <w:r>
              <w:rPr>
                <w:sz w:val="19"/>
                <w:szCs w:val="19"/>
                <w:highlight w:val="none"/>
              </w:rPr>
              <w:fldChar w:fldCharType="end"/>
            </w:r>
            <w:r>
              <w:rPr>
                <w:spacing w:val="7"/>
                <w:highlight w:val="none"/>
              </w:rPr>
              <w:t>和中国政府</w:t>
            </w:r>
            <w:r>
              <w:rPr>
                <w:spacing w:val="15"/>
                <w:highlight w:val="none"/>
              </w:rPr>
              <w:t>采购网</w:t>
            </w:r>
            <w:r>
              <w:rPr>
                <w:highlight w:val="none"/>
              </w:rPr>
              <w:fldChar w:fldCharType="begin"/>
            </w:r>
            <w:r>
              <w:rPr>
                <w:highlight w:val="none"/>
              </w:rPr>
              <w:instrText xml:space="preserve"> HYPERLINK "https://www.ccgp.gov.cn" </w:instrText>
            </w:r>
            <w:r>
              <w:rPr>
                <w:highlight w:val="none"/>
              </w:rPr>
              <w:fldChar w:fldCharType="separate"/>
            </w:r>
            <w:r>
              <w:rPr>
                <w:sz w:val="19"/>
                <w:szCs w:val="19"/>
                <w:highlight w:val="none"/>
              </w:rPr>
              <w:t>www</w:t>
            </w:r>
            <w:r>
              <w:rPr>
                <w:spacing w:val="15"/>
                <w:sz w:val="19"/>
                <w:szCs w:val="19"/>
                <w:highlight w:val="none"/>
              </w:rPr>
              <w:t>.</w:t>
            </w:r>
            <w:r>
              <w:rPr>
                <w:sz w:val="19"/>
                <w:szCs w:val="19"/>
                <w:highlight w:val="none"/>
              </w:rPr>
              <w:t>ccgp</w:t>
            </w:r>
            <w:r>
              <w:rPr>
                <w:spacing w:val="15"/>
                <w:sz w:val="19"/>
                <w:szCs w:val="19"/>
                <w:highlight w:val="none"/>
              </w:rPr>
              <w:t>.</w:t>
            </w:r>
            <w:r>
              <w:rPr>
                <w:sz w:val="19"/>
                <w:szCs w:val="19"/>
                <w:highlight w:val="none"/>
              </w:rPr>
              <w:t>gov</w:t>
            </w:r>
            <w:r>
              <w:rPr>
                <w:spacing w:val="15"/>
                <w:sz w:val="19"/>
                <w:szCs w:val="19"/>
                <w:highlight w:val="none"/>
              </w:rPr>
              <w:t>.</w:t>
            </w:r>
            <w:r>
              <w:rPr>
                <w:sz w:val="19"/>
                <w:szCs w:val="19"/>
                <w:highlight w:val="none"/>
              </w:rPr>
              <w:t>cn</w:t>
            </w:r>
            <w:r>
              <w:rPr>
                <w:sz w:val="19"/>
                <w:szCs w:val="19"/>
                <w:highlight w:val="none"/>
              </w:rPr>
              <w:fldChar w:fldCharType="end"/>
            </w:r>
            <w:r>
              <w:rPr>
                <w:spacing w:val="15"/>
                <w:highlight w:val="none"/>
              </w:rPr>
              <w:t>；</w:t>
            </w:r>
          </w:p>
          <w:p w14:paraId="21A34165">
            <w:pPr>
              <w:pStyle w:val="21"/>
              <w:keepNext w:val="0"/>
              <w:keepLines w:val="0"/>
              <w:pageBreakBefore w:val="0"/>
              <w:widowControl/>
              <w:kinsoku/>
              <w:wordWrap w:val="0"/>
              <w:overflowPunct/>
              <w:topLinePunct w:val="0"/>
              <w:autoSpaceDE/>
              <w:autoSpaceDN/>
              <w:bidi w:val="0"/>
              <w:adjustRightInd w:val="0"/>
              <w:snapToGrid w:val="0"/>
              <w:spacing w:line="360" w:lineRule="auto"/>
              <w:ind w:left="118" w:right="120"/>
              <w:textAlignment w:val="baseline"/>
              <w:rPr>
                <w:highlight w:val="none"/>
              </w:rPr>
            </w:pPr>
            <w:r>
              <w:rPr>
                <w:spacing w:val="-1"/>
                <w:highlight w:val="none"/>
              </w:rPr>
              <w:t>截止时点：投标截止时间以后，以资格审查阶段采购人或采</w:t>
            </w:r>
            <w:r>
              <w:rPr>
                <w:spacing w:val="-2"/>
                <w:highlight w:val="none"/>
              </w:rPr>
              <w:t>购代理机构的实际查询时间为准；</w:t>
            </w:r>
          </w:p>
          <w:p w14:paraId="5688C634">
            <w:pPr>
              <w:pStyle w:val="21"/>
              <w:keepNext w:val="0"/>
              <w:keepLines w:val="0"/>
              <w:pageBreakBefore w:val="0"/>
              <w:widowControl/>
              <w:kinsoku/>
              <w:wordWrap w:val="0"/>
              <w:overflowPunct/>
              <w:topLinePunct w:val="0"/>
              <w:autoSpaceDE/>
              <w:autoSpaceDN/>
              <w:bidi w:val="0"/>
              <w:adjustRightInd w:val="0"/>
              <w:snapToGrid w:val="0"/>
              <w:spacing w:before="2" w:line="360" w:lineRule="auto"/>
              <w:ind w:left="132" w:right="117" w:hanging="10"/>
              <w:textAlignment w:val="baseline"/>
              <w:rPr>
                <w:highlight w:val="none"/>
              </w:rPr>
            </w:pPr>
            <w:r>
              <w:rPr>
                <w:spacing w:val="-1"/>
                <w:highlight w:val="none"/>
              </w:rPr>
              <w:t>信用信息查询记录和证据留存具体方式：查询结果网页打印</w:t>
            </w:r>
            <w:r>
              <w:rPr>
                <w:spacing w:val="-2"/>
                <w:highlight w:val="none"/>
              </w:rPr>
              <w:t>页作为查询记录和证据，与其他采购文件一并保存；</w:t>
            </w:r>
          </w:p>
          <w:p w14:paraId="6A808BA0">
            <w:pPr>
              <w:pStyle w:val="21"/>
              <w:keepNext w:val="0"/>
              <w:keepLines w:val="0"/>
              <w:pageBreakBefore w:val="0"/>
              <w:widowControl/>
              <w:kinsoku/>
              <w:wordWrap w:val="0"/>
              <w:overflowPunct/>
              <w:topLinePunct w:val="0"/>
              <w:autoSpaceDE/>
              <w:autoSpaceDN/>
              <w:bidi w:val="0"/>
              <w:adjustRightInd w:val="0"/>
              <w:snapToGrid w:val="0"/>
              <w:spacing w:before="142" w:line="360" w:lineRule="auto"/>
              <w:ind w:left="121" w:right="68"/>
              <w:jc w:val="both"/>
              <w:textAlignment w:val="baseline"/>
              <w:rPr>
                <w:spacing w:val="-4"/>
                <w:highlight w:val="none"/>
              </w:rPr>
            </w:pPr>
            <w:r>
              <w:rPr>
                <w:spacing w:val="-4"/>
                <w:highlight w:val="none"/>
              </w:rPr>
              <w:t>信用信息的使用原则：供应商在“信用中国”网站被列入失信被执行人和重大税收违法案件当事人名单，或在“中国政</w:t>
            </w:r>
            <w:r>
              <w:rPr>
                <w:spacing w:val="-10"/>
                <w:highlight w:val="none"/>
              </w:rPr>
              <w:t>府采购网”网站被列入政府采购严重违法失信行为记录名单。</w:t>
            </w:r>
            <w:r>
              <w:rPr>
                <w:spacing w:val="-2"/>
                <w:highlight w:val="none"/>
              </w:rPr>
              <w:t>供应商有上述不良信用记录的，其</w:t>
            </w:r>
            <w:r>
              <w:rPr>
                <w:b/>
                <w:bCs/>
                <w:spacing w:val="-2"/>
                <w:highlight w:val="none"/>
              </w:rPr>
              <w:t>投标无效</w:t>
            </w:r>
            <w:r>
              <w:rPr>
                <w:spacing w:val="-2"/>
                <w:highlight w:val="none"/>
              </w:rPr>
              <w:t>。联合体形式投标的，联合体成员存在不良信用记录，视同联合体存在不良</w:t>
            </w:r>
            <w:r>
              <w:rPr>
                <w:spacing w:val="-4"/>
                <w:highlight w:val="none"/>
              </w:rPr>
              <w:t>信用记</w:t>
            </w:r>
            <w:r>
              <w:rPr>
                <w:spacing w:val="-10"/>
                <w:highlight w:val="none"/>
              </w:rPr>
              <w:t>录。(无须投标供应商提供，由采购人或采购代理机构开标现场查询。)</w:t>
            </w:r>
          </w:p>
        </w:tc>
      </w:tr>
      <w:tr w14:paraId="7674B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jc w:val="center"/>
        </w:trPr>
        <w:tc>
          <w:tcPr>
            <w:tcW w:w="818" w:type="dxa"/>
            <w:vAlign w:val="center"/>
          </w:tcPr>
          <w:p w14:paraId="182C3DE4">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5</w:t>
            </w:r>
          </w:p>
        </w:tc>
        <w:tc>
          <w:tcPr>
            <w:tcW w:w="2301" w:type="dxa"/>
            <w:vAlign w:val="center"/>
          </w:tcPr>
          <w:p w14:paraId="76AA3D2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5"/>
                <w:highlight w:val="none"/>
              </w:rPr>
              <w:t>投标报价</w:t>
            </w:r>
          </w:p>
        </w:tc>
        <w:tc>
          <w:tcPr>
            <w:tcW w:w="6474" w:type="dxa"/>
            <w:vAlign w:val="top"/>
          </w:tcPr>
          <w:p w14:paraId="2E510386">
            <w:pPr>
              <w:pStyle w:val="21"/>
              <w:keepNext w:val="0"/>
              <w:keepLines w:val="0"/>
              <w:pageBreakBefore w:val="0"/>
              <w:widowControl/>
              <w:kinsoku/>
              <w:wordWrap w:val="0"/>
              <w:overflowPunct/>
              <w:topLinePunct w:val="0"/>
              <w:autoSpaceDE/>
              <w:autoSpaceDN/>
              <w:bidi w:val="0"/>
              <w:adjustRightInd w:val="0"/>
              <w:snapToGrid w:val="0"/>
              <w:spacing w:before="222" w:line="360" w:lineRule="auto"/>
              <w:ind w:left="156" w:right="122" w:hanging="26"/>
              <w:textAlignment w:val="baseline"/>
              <w:rPr>
                <w:highlight w:val="none"/>
              </w:rPr>
            </w:pPr>
            <w:r>
              <w:rPr>
                <w:spacing w:val="-4"/>
                <w:highlight w:val="none"/>
              </w:rPr>
              <w:t>投标报价是否响应招标文件第二章投标须知“投标文件”第</w:t>
            </w:r>
            <w:r>
              <w:rPr>
                <w:spacing w:val="-10"/>
                <w:highlight w:val="none"/>
              </w:rPr>
              <w:t>14款要求。</w:t>
            </w:r>
          </w:p>
        </w:tc>
      </w:tr>
      <w:tr w14:paraId="79B0B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jc w:val="center"/>
        </w:trPr>
        <w:tc>
          <w:tcPr>
            <w:tcW w:w="818" w:type="dxa"/>
            <w:vAlign w:val="center"/>
          </w:tcPr>
          <w:p w14:paraId="2B8C848C">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highlight w:val="none"/>
              </w:rPr>
              <w:t>6</w:t>
            </w:r>
          </w:p>
        </w:tc>
        <w:tc>
          <w:tcPr>
            <w:tcW w:w="2301" w:type="dxa"/>
            <w:vAlign w:val="center"/>
          </w:tcPr>
          <w:p w14:paraId="1F13AD42">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4"/>
                <w:highlight w:val="none"/>
              </w:rPr>
              <w:t>签字、盖章</w:t>
            </w:r>
          </w:p>
        </w:tc>
        <w:tc>
          <w:tcPr>
            <w:tcW w:w="6474" w:type="dxa"/>
            <w:vAlign w:val="top"/>
          </w:tcPr>
          <w:p w14:paraId="217CC944">
            <w:pPr>
              <w:pStyle w:val="21"/>
              <w:keepNext w:val="0"/>
              <w:keepLines w:val="0"/>
              <w:pageBreakBefore w:val="0"/>
              <w:widowControl/>
              <w:kinsoku/>
              <w:wordWrap w:val="0"/>
              <w:overflowPunct/>
              <w:topLinePunct w:val="0"/>
              <w:autoSpaceDE/>
              <w:autoSpaceDN/>
              <w:bidi w:val="0"/>
              <w:adjustRightInd w:val="0"/>
              <w:snapToGrid w:val="0"/>
              <w:spacing w:before="227" w:line="360" w:lineRule="auto"/>
              <w:ind w:left="140" w:right="117" w:hanging="10"/>
              <w:textAlignment w:val="baseline"/>
              <w:rPr>
                <w:highlight w:val="none"/>
              </w:rPr>
            </w:pPr>
            <w:r>
              <w:rPr>
                <w:spacing w:val="-1"/>
                <w:highlight w:val="none"/>
              </w:rPr>
              <w:t>投标文件是否按招标文件第二章投标须知要求进行签署、盖</w:t>
            </w:r>
            <w:r>
              <w:rPr>
                <w:spacing w:val="-9"/>
                <w:highlight w:val="none"/>
              </w:rPr>
              <w:t>章。</w:t>
            </w:r>
          </w:p>
        </w:tc>
      </w:tr>
      <w:tr w14:paraId="3EC2B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jc w:val="center"/>
        </w:trPr>
        <w:tc>
          <w:tcPr>
            <w:tcW w:w="818" w:type="dxa"/>
            <w:vAlign w:val="center"/>
          </w:tcPr>
          <w:p w14:paraId="6C9FC2D6">
            <w:pPr>
              <w:pStyle w:val="21"/>
              <w:keepNext w:val="0"/>
              <w:keepLines w:val="0"/>
              <w:pageBreakBefore w:val="0"/>
              <w:widowControl/>
              <w:kinsoku/>
              <w:wordWrap w:val="0"/>
              <w:overflowPunct/>
              <w:topLinePunct w:val="0"/>
              <w:autoSpaceDE/>
              <w:autoSpaceDN/>
              <w:bidi w:val="0"/>
              <w:adjustRightInd w:val="0"/>
              <w:snapToGrid w:val="0"/>
              <w:spacing w:before="215" w:line="360" w:lineRule="auto"/>
              <w:ind w:left="0" w:leftChars="0" w:firstLine="0" w:firstLineChars="0"/>
              <w:jc w:val="center"/>
              <w:textAlignment w:val="baseline"/>
              <w:rPr>
                <w:highlight w:val="none"/>
              </w:rPr>
            </w:pPr>
            <w:r>
              <w:rPr>
                <w:spacing w:val="-8"/>
                <w:highlight w:val="none"/>
              </w:rPr>
              <w:t>结论</w:t>
            </w:r>
          </w:p>
        </w:tc>
        <w:tc>
          <w:tcPr>
            <w:tcW w:w="8775" w:type="dxa"/>
            <w:gridSpan w:val="2"/>
            <w:vAlign w:val="center"/>
          </w:tcPr>
          <w:p w14:paraId="4DC56D4C">
            <w:pPr>
              <w:pStyle w:val="21"/>
              <w:keepNext w:val="0"/>
              <w:keepLines w:val="0"/>
              <w:pageBreakBefore w:val="0"/>
              <w:widowControl/>
              <w:kinsoku/>
              <w:wordWrap w:val="0"/>
              <w:overflowPunct/>
              <w:topLinePunct w:val="0"/>
              <w:autoSpaceDE/>
              <w:autoSpaceDN/>
              <w:bidi w:val="0"/>
              <w:adjustRightInd w:val="0"/>
              <w:snapToGrid w:val="0"/>
              <w:spacing w:before="213" w:line="360" w:lineRule="auto"/>
              <w:ind w:left="0" w:leftChars="0" w:firstLine="0" w:firstLineChars="0"/>
              <w:jc w:val="center"/>
              <w:textAlignment w:val="baseline"/>
              <w:rPr>
                <w:highlight w:val="none"/>
              </w:rPr>
            </w:pPr>
            <w:r>
              <w:rPr>
                <w:spacing w:val="3"/>
                <w:highlight w:val="none"/>
              </w:rPr>
              <w:t>审查结果“合格”或“不合格”</w:t>
            </w:r>
          </w:p>
        </w:tc>
      </w:tr>
    </w:tbl>
    <w:p w14:paraId="622165B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8"/>
        <w:textAlignment w:val="baseline"/>
        <w:rPr>
          <w:sz w:val="24"/>
          <w:szCs w:val="24"/>
          <w:highlight w:val="none"/>
        </w:rPr>
      </w:pPr>
      <w:r>
        <w:rPr>
          <w:spacing w:val="-5"/>
          <w:sz w:val="24"/>
          <w:szCs w:val="24"/>
          <w:highlight w:val="none"/>
        </w:rPr>
        <w:t>注：</w:t>
      </w:r>
    </w:p>
    <w:p w14:paraId="6ACBBD4A">
      <w:pPr>
        <w:pStyle w:val="2"/>
        <w:keepNext w:val="0"/>
        <w:keepLines w:val="0"/>
        <w:pageBreakBefore w:val="0"/>
        <w:widowControl/>
        <w:kinsoku/>
        <w:wordWrap w:val="0"/>
        <w:overflowPunct/>
        <w:topLinePunct w:val="0"/>
        <w:autoSpaceDE/>
        <w:autoSpaceDN/>
        <w:bidi w:val="0"/>
        <w:adjustRightInd w:val="0"/>
        <w:snapToGrid w:val="0"/>
        <w:spacing w:before="16" w:line="360" w:lineRule="auto"/>
        <w:ind w:left="655"/>
        <w:textAlignment w:val="baseline"/>
        <w:rPr>
          <w:sz w:val="24"/>
          <w:szCs w:val="24"/>
          <w:highlight w:val="none"/>
        </w:rPr>
      </w:pPr>
      <w:r>
        <w:rPr>
          <w:spacing w:val="-14"/>
          <w:sz w:val="24"/>
          <w:szCs w:val="24"/>
          <w:highlight w:val="none"/>
        </w:rPr>
        <w:t>1、上述内容合格用“√”表示，不合格用“×”表示；</w:t>
      </w:r>
    </w:p>
    <w:p w14:paraId="1FC819E7">
      <w:pPr>
        <w:pStyle w:val="2"/>
        <w:keepNext w:val="0"/>
        <w:keepLines w:val="0"/>
        <w:pageBreakBefore w:val="0"/>
        <w:widowControl/>
        <w:kinsoku/>
        <w:wordWrap w:val="0"/>
        <w:overflowPunct/>
        <w:topLinePunct w:val="0"/>
        <w:autoSpaceDE/>
        <w:autoSpaceDN/>
        <w:bidi w:val="0"/>
        <w:adjustRightInd w:val="0"/>
        <w:snapToGrid w:val="0"/>
        <w:spacing w:before="24" w:line="360" w:lineRule="auto"/>
        <w:ind w:left="626"/>
        <w:textAlignment w:val="baseline"/>
        <w:rPr>
          <w:sz w:val="24"/>
          <w:szCs w:val="24"/>
          <w:highlight w:val="none"/>
        </w:rPr>
      </w:pPr>
      <w:r>
        <w:rPr>
          <w:spacing w:val="-5"/>
          <w:sz w:val="24"/>
          <w:szCs w:val="24"/>
          <w:highlight w:val="none"/>
        </w:rPr>
        <w:t>2、在结论栏中填写“合格”或“不合格”。</w:t>
      </w:r>
    </w:p>
    <w:p w14:paraId="13BB3300">
      <w:pPr>
        <w:pStyle w:val="2"/>
        <w:keepNext w:val="0"/>
        <w:keepLines w:val="0"/>
        <w:pageBreakBefore w:val="0"/>
        <w:widowControl/>
        <w:kinsoku/>
        <w:wordWrap w:val="0"/>
        <w:overflowPunct/>
        <w:topLinePunct w:val="0"/>
        <w:autoSpaceDE/>
        <w:autoSpaceDN/>
        <w:bidi w:val="0"/>
        <w:adjustRightInd w:val="0"/>
        <w:snapToGrid w:val="0"/>
        <w:spacing w:before="27" w:line="360" w:lineRule="auto"/>
        <w:ind w:left="628"/>
        <w:textAlignment w:val="baseline"/>
        <w:rPr>
          <w:sz w:val="24"/>
          <w:szCs w:val="24"/>
          <w:highlight w:val="none"/>
        </w:rPr>
      </w:pPr>
      <w:r>
        <w:rPr>
          <w:spacing w:val="-2"/>
          <w:sz w:val="24"/>
          <w:szCs w:val="24"/>
          <w:highlight w:val="none"/>
        </w:rPr>
        <w:t>3、以上内容有一项不合格的，则初步评审的综合评定结果为不合格。</w:t>
      </w:r>
    </w:p>
    <w:p w14:paraId="73CD3615">
      <w:pPr>
        <w:pStyle w:val="2"/>
        <w:keepNext w:val="0"/>
        <w:keepLines w:val="0"/>
        <w:pageBreakBefore w:val="0"/>
        <w:widowControl/>
        <w:kinsoku/>
        <w:wordWrap w:val="0"/>
        <w:overflowPunct/>
        <w:topLinePunct w:val="0"/>
        <w:autoSpaceDE/>
        <w:autoSpaceDN/>
        <w:bidi w:val="0"/>
        <w:adjustRightInd w:val="0"/>
        <w:snapToGrid w:val="0"/>
        <w:spacing w:before="27" w:line="360" w:lineRule="auto"/>
        <w:ind w:left="628"/>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4、结论为“不合格”的供应商不得进入实质性评价打分程序。</w:t>
      </w:r>
    </w:p>
    <w:p w14:paraId="7A8185A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444B23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CD0747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96AAE0">
      <w:pPr>
        <w:rPr>
          <w:b/>
          <w:bCs/>
          <w:spacing w:val="7"/>
          <w:sz w:val="19"/>
          <w:szCs w:val="19"/>
          <w:highlight w:val="none"/>
        </w:rPr>
      </w:pPr>
      <w:bookmarkStart w:id="161" w:name="bookmark70"/>
      <w:bookmarkEnd w:id="161"/>
      <w:r>
        <w:rPr>
          <w:b/>
          <w:bCs/>
          <w:spacing w:val="7"/>
          <w:sz w:val="19"/>
          <w:szCs w:val="19"/>
          <w:highlight w:val="none"/>
        </w:rPr>
        <w:br w:type="page"/>
      </w:r>
    </w:p>
    <w:p w14:paraId="0374364A">
      <w:pPr>
        <w:pStyle w:val="6"/>
        <w:bidi w:val="0"/>
      </w:pPr>
      <w:bookmarkStart w:id="162" w:name="_Toc7282"/>
      <w:bookmarkStart w:id="163" w:name="_Toc17853"/>
      <w:r>
        <w:t>附表2资格审查结果一览表</w:t>
      </w:r>
      <w:bookmarkEnd w:id="162"/>
      <w:bookmarkEnd w:id="163"/>
    </w:p>
    <w:p w14:paraId="4CF5946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6B28E9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3754"/>
        <w:textAlignment w:val="baseline"/>
        <w:rPr>
          <w:sz w:val="28"/>
          <w:szCs w:val="28"/>
          <w:highlight w:val="none"/>
        </w:rPr>
      </w:pPr>
      <w:r>
        <w:rPr>
          <w:b/>
          <w:bCs/>
          <w:spacing w:val="-8"/>
          <w:sz w:val="28"/>
          <w:szCs w:val="28"/>
          <w:highlight w:val="none"/>
        </w:rPr>
        <w:t>资格审查结果一览表</w:t>
      </w:r>
    </w:p>
    <w:p w14:paraId="258DE183">
      <w:pPr>
        <w:pStyle w:val="2"/>
        <w:keepNext w:val="0"/>
        <w:keepLines w:val="0"/>
        <w:pageBreakBefore w:val="0"/>
        <w:widowControl/>
        <w:kinsoku/>
        <w:wordWrap w:val="0"/>
        <w:overflowPunct/>
        <w:topLinePunct w:val="0"/>
        <w:autoSpaceDE/>
        <w:autoSpaceDN/>
        <w:bidi w:val="0"/>
        <w:adjustRightInd w:val="0"/>
        <w:snapToGrid w:val="0"/>
        <w:spacing w:before="182" w:line="360" w:lineRule="auto"/>
        <w:ind w:left="147"/>
        <w:textAlignment w:val="baseline"/>
        <w:rPr>
          <w:sz w:val="24"/>
          <w:szCs w:val="24"/>
          <w:highlight w:val="none"/>
        </w:rPr>
      </w:pPr>
      <w:r>
        <w:rPr>
          <w:spacing w:val="-5"/>
          <w:sz w:val="24"/>
          <w:szCs w:val="24"/>
          <w:highlight w:val="none"/>
        </w:rPr>
        <w:t>项目名称：</w:t>
      </w:r>
    </w:p>
    <w:p w14:paraId="6DE7B8B1">
      <w:pPr>
        <w:pStyle w:val="2"/>
        <w:keepNext w:val="0"/>
        <w:keepLines w:val="0"/>
        <w:pageBreakBefore w:val="0"/>
        <w:widowControl/>
        <w:kinsoku/>
        <w:wordWrap w:val="0"/>
        <w:overflowPunct/>
        <w:topLinePunct w:val="0"/>
        <w:autoSpaceDE/>
        <w:autoSpaceDN/>
        <w:bidi w:val="0"/>
        <w:adjustRightInd w:val="0"/>
        <w:snapToGrid w:val="0"/>
        <w:spacing w:before="176" w:line="360" w:lineRule="auto"/>
        <w:ind w:left="137"/>
        <w:textAlignment w:val="baseline"/>
        <w:rPr>
          <w:highlight w:val="none"/>
        </w:rPr>
      </w:pPr>
      <w:r>
        <w:rPr>
          <w:spacing w:val="-3"/>
          <w:sz w:val="24"/>
          <w:szCs w:val="24"/>
          <w:highlight w:val="none"/>
        </w:rPr>
        <w:t>采购代理编号：</w:t>
      </w:r>
    </w:p>
    <w:tbl>
      <w:tblPr>
        <w:tblStyle w:val="20"/>
        <w:tblW w:w="95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8"/>
        <w:gridCol w:w="2641"/>
        <w:gridCol w:w="3532"/>
        <w:gridCol w:w="2678"/>
      </w:tblGrid>
      <w:tr w14:paraId="46FA1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4" w:hRule="atLeast"/>
        </w:trPr>
        <w:tc>
          <w:tcPr>
            <w:tcW w:w="708" w:type="dxa"/>
            <w:textDirection w:val="tbRlV"/>
            <w:vAlign w:val="top"/>
          </w:tcPr>
          <w:p w14:paraId="3A701E7D">
            <w:pPr>
              <w:pStyle w:val="21"/>
              <w:keepNext w:val="0"/>
              <w:keepLines w:val="0"/>
              <w:pageBreakBefore w:val="0"/>
              <w:widowControl/>
              <w:kinsoku/>
              <w:wordWrap w:val="0"/>
              <w:overflowPunct/>
              <w:topLinePunct w:val="0"/>
              <w:autoSpaceDE/>
              <w:autoSpaceDN/>
              <w:bidi w:val="0"/>
              <w:adjustRightInd w:val="0"/>
              <w:snapToGrid w:val="0"/>
              <w:spacing w:before="245" w:line="360" w:lineRule="auto"/>
              <w:ind w:left="163"/>
              <w:textAlignment w:val="baseline"/>
              <w:rPr>
                <w:highlight w:val="none"/>
              </w:rPr>
            </w:pPr>
            <w:r>
              <w:rPr>
                <w:b/>
                <w:bCs/>
                <w:spacing w:val="32"/>
                <w:highlight w:val="none"/>
              </w:rPr>
              <w:t>序号</w:t>
            </w:r>
          </w:p>
        </w:tc>
        <w:tc>
          <w:tcPr>
            <w:tcW w:w="2641" w:type="dxa"/>
            <w:vAlign w:val="center"/>
          </w:tcPr>
          <w:p w14:paraId="3C11302D">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494"/>
              <w:jc w:val="center"/>
              <w:textAlignment w:val="baseline"/>
              <w:rPr>
                <w:highlight w:val="none"/>
              </w:rPr>
            </w:pPr>
            <w:r>
              <w:rPr>
                <w:b/>
                <w:bCs/>
                <w:spacing w:val="-7"/>
                <w:highlight w:val="none"/>
              </w:rPr>
              <w:t>投标供应商名称</w:t>
            </w:r>
          </w:p>
        </w:tc>
        <w:tc>
          <w:tcPr>
            <w:tcW w:w="3532" w:type="dxa"/>
            <w:vAlign w:val="center"/>
          </w:tcPr>
          <w:p w14:paraId="17B0EAEE">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76"/>
              <w:jc w:val="center"/>
              <w:textAlignment w:val="baseline"/>
              <w:rPr>
                <w:highlight w:val="none"/>
              </w:rPr>
            </w:pPr>
            <w:r>
              <w:rPr>
                <w:b/>
                <w:bCs/>
                <w:spacing w:val="-7"/>
                <w:highlight w:val="none"/>
              </w:rPr>
              <w:t>资格审查结果（合格/不合格）</w:t>
            </w:r>
          </w:p>
        </w:tc>
        <w:tc>
          <w:tcPr>
            <w:tcW w:w="2678" w:type="dxa"/>
            <w:vAlign w:val="center"/>
          </w:tcPr>
          <w:p w14:paraId="42863F56">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288"/>
              <w:jc w:val="center"/>
              <w:textAlignment w:val="baseline"/>
              <w:rPr>
                <w:highlight w:val="none"/>
              </w:rPr>
            </w:pPr>
            <w:r>
              <w:rPr>
                <w:b/>
                <w:bCs/>
                <w:spacing w:val="-8"/>
                <w:highlight w:val="none"/>
              </w:rPr>
              <w:t>资格审查不合格原因</w:t>
            </w:r>
          </w:p>
        </w:tc>
      </w:tr>
      <w:tr w14:paraId="4C2C6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708" w:type="dxa"/>
            <w:vAlign w:val="top"/>
          </w:tcPr>
          <w:p w14:paraId="43B3ABC4">
            <w:pPr>
              <w:pStyle w:val="21"/>
              <w:keepNext w:val="0"/>
              <w:keepLines w:val="0"/>
              <w:pageBreakBefore w:val="0"/>
              <w:widowControl/>
              <w:kinsoku/>
              <w:wordWrap w:val="0"/>
              <w:overflowPunct/>
              <w:topLinePunct w:val="0"/>
              <w:autoSpaceDE/>
              <w:autoSpaceDN/>
              <w:bidi w:val="0"/>
              <w:adjustRightInd w:val="0"/>
              <w:snapToGrid w:val="0"/>
              <w:spacing w:before="69" w:line="360" w:lineRule="auto"/>
              <w:ind w:left="348"/>
              <w:textAlignment w:val="baseline"/>
              <w:rPr>
                <w:highlight w:val="none"/>
              </w:rPr>
            </w:pPr>
            <w:r>
              <w:rPr>
                <w:highlight w:val="none"/>
              </w:rPr>
              <w:t>1</w:t>
            </w:r>
          </w:p>
        </w:tc>
        <w:tc>
          <w:tcPr>
            <w:tcW w:w="2641" w:type="dxa"/>
            <w:vAlign w:val="top"/>
          </w:tcPr>
          <w:p w14:paraId="3BCB0DC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532" w:type="dxa"/>
            <w:vAlign w:val="top"/>
          </w:tcPr>
          <w:p w14:paraId="31985B4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78" w:type="dxa"/>
            <w:vAlign w:val="top"/>
          </w:tcPr>
          <w:p w14:paraId="550FD95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3C3F7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08" w:type="dxa"/>
            <w:vAlign w:val="top"/>
          </w:tcPr>
          <w:p w14:paraId="0407F09C">
            <w:pPr>
              <w:pStyle w:val="21"/>
              <w:keepNext w:val="0"/>
              <w:keepLines w:val="0"/>
              <w:pageBreakBefore w:val="0"/>
              <w:widowControl/>
              <w:kinsoku/>
              <w:wordWrap w:val="0"/>
              <w:overflowPunct/>
              <w:topLinePunct w:val="0"/>
              <w:autoSpaceDE/>
              <w:autoSpaceDN/>
              <w:bidi w:val="0"/>
              <w:adjustRightInd w:val="0"/>
              <w:snapToGrid w:val="0"/>
              <w:spacing w:before="71" w:line="360" w:lineRule="auto"/>
              <w:ind w:left="319"/>
              <w:textAlignment w:val="baseline"/>
              <w:rPr>
                <w:highlight w:val="none"/>
              </w:rPr>
            </w:pPr>
            <w:r>
              <w:rPr>
                <w:highlight w:val="none"/>
              </w:rPr>
              <w:t>2</w:t>
            </w:r>
          </w:p>
        </w:tc>
        <w:tc>
          <w:tcPr>
            <w:tcW w:w="2641" w:type="dxa"/>
            <w:vAlign w:val="top"/>
          </w:tcPr>
          <w:p w14:paraId="57F99D8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532" w:type="dxa"/>
            <w:vAlign w:val="top"/>
          </w:tcPr>
          <w:p w14:paraId="0142EC9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78" w:type="dxa"/>
            <w:vAlign w:val="top"/>
          </w:tcPr>
          <w:p w14:paraId="1098B8F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BD4D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708" w:type="dxa"/>
            <w:vAlign w:val="top"/>
          </w:tcPr>
          <w:p w14:paraId="79981C32">
            <w:pPr>
              <w:pStyle w:val="21"/>
              <w:keepNext w:val="0"/>
              <w:keepLines w:val="0"/>
              <w:pageBreakBefore w:val="0"/>
              <w:widowControl/>
              <w:kinsoku/>
              <w:wordWrap w:val="0"/>
              <w:overflowPunct/>
              <w:topLinePunct w:val="0"/>
              <w:autoSpaceDE/>
              <w:autoSpaceDN/>
              <w:bidi w:val="0"/>
              <w:adjustRightInd w:val="0"/>
              <w:snapToGrid w:val="0"/>
              <w:spacing w:before="71" w:line="360" w:lineRule="auto"/>
              <w:ind w:left="323"/>
              <w:textAlignment w:val="baseline"/>
              <w:rPr>
                <w:highlight w:val="none"/>
              </w:rPr>
            </w:pPr>
            <w:r>
              <w:rPr>
                <w:highlight w:val="none"/>
              </w:rPr>
              <w:t>3</w:t>
            </w:r>
          </w:p>
        </w:tc>
        <w:tc>
          <w:tcPr>
            <w:tcW w:w="2641" w:type="dxa"/>
            <w:vAlign w:val="top"/>
          </w:tcPr>
          <w:p w14:paraId="59D85B6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532" w:type="dxa"/>
            <w:vAlign w:val="top"/>
          </w:tcPr>
          <w:p w14:paraId="53AD731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78" w:type="dxa"/>
            <w:vAlign w:val="top"/>
          </w:tcPr>
          <w:p w14:paraId="4B97A0A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4FAA6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708" w:type="dxa"/>
            <w:vAlign w:val="top"/>
          </w:tcPr>
          <w:p w14:paraId="0063FEE3">
            <w:pPr>
              <w:pStyle w:val="21"/>
              <w:keepNext w:val="0"/>
              <w:keepLines w:val="0"/>
              <w:pageBreakBefore w:val="0"/>
              <w:widowControl/>
              <w:kinsoku/>
              <w:wordWrap w:val="0"/>
              <w:overflowPunct/>
              <w:topLinePunct w:val="0"/>
              <w:autoSpaceDE/>
              <w:autoSpaceDN/>
              <w:bidi w:val="0"/>
              <w:adjustRightInd w:val="0"/>
              <w:snapToGrid w:val="0"/>
              <w:spacing w:before="73" w:line="360" w:lineRule="auto"/>
              <w:ind w:left="310"/>
              <w:textAlignment w:val="baseline"/>
              <w:rPr>
                <w:highlight w:val="none"/>
              </w:rPr>
            </w:pPr>
            <w:r>
              <w:rPr>
                <w:highlight w:val="none"/>
              </w:rPr>
              <w:t>4</w:t>
            </w:r>
          </w:p>
        </w:tc>
        <w:tc>
          <w:tcPr>
            <w:tcW w:w="2641" w:type="dxa"/>
            <w:vAlign w:val="top"/>
          </w:tcPr>
          <w:p w14:paraId="639B585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532" w:type="dxa"/>
            <w:vAlign w:val="top"/>
          </w:tcPr>
          <w:p w14:paraId="44993FE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78" w:type="dxa"/>
            <w:vAlign w:val="top"/>
          </w:tcPr>
          <w:p w14:paraId="3162505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6DE74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08" w:type="dxa"/>
            <w:vAlign w:val="top"/>
          </w:tcPr>
          <w:p w14:paraId="1B52C8F4">
            <w:pPr>
              <w:pStyle w:val="21"/>
              <w:keepNext w:val="0"/>
              <w:keepLines w:val="0"/>
              <w:pageBreakBefore w:val="0"/>
              <w:widowControl/>
              <w:kinsoku/>
              <w:wordWrap w:val="0"/>
              <w:overflowPunct/>
              <w:topLinePunct w:val="0"/>
              <w:autoSpaceDE/>
              <w:autoSpaceDN/>
              <w:bidi w:val="0"/>
              <w:adjustRightInd w:val="0"/>
              <w:snapToGrid w:val="0"/>
              <w:spacing w:before="158" w:line="360" w:lineRule="auto"/>
              <w:ind w:left="323"/>
              <w:textAlignment w:val="baseline"/>
              <w:rPr>
                <w:highlight w:val="none"/>
              </w:rPr>
            </w:pPr>
            <w:r>
              <w:rPr>
                <w:highlight w:val="none"/>
              </w:rPr>
              <w:t>5</w:t>
            </w:r>
          </w:p>
        </w:tc>
        <w:tc>
          <w:tcPr>
            <w:tcW w:w="2641" w:type="dxa"/>
            <w:vAlign w:val="top"/>
          </w:tcPr>
          <w:p w14:paraId="5F932AB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532" w:type="dxa"/>
            <w:vAlign w:val="top"/>
          </w:tcPr>
          <w:p w14:paraId="6525B66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78" w:type="dxa"/>
            <w:vAlign w:val="top"/>
          </w:tcPr>
          <w:p w14:paraId="1411E8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284DE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08" w:type="dxa"/>
            <w:vAlign w:val="top"/>
          </w:tcPr>
          <w:p w14:paraId="3B01ED7D">
            <w:pPr>
              <w:pStyle w:val="21"/>
              <w:keepNext w:val="0"/>
              <w:keepLines w:val="0"/>
              <w:pageBreakBefore w:val="0"/>
              <w:widowControl/>
              <w:kinsoku/>
              <w:wordWrap w:val="0"/>
              <w:overflowPunct/>
              <w:topLinePunct w:val="0"/>
              <w:autoSpaceDE/>
              <w:autoSpaceDN/>
              <w:bidi w:val="0"/>
              <w:adjustRightInd w:val="0"/>
              <w:snapToGrid w:val="0"/>
              <w:spacing w:before="259" w:line="360" w:lineRule="auto"/>
              <w:ind w:left="207"/>
              <w:textAlignment w:val="baseline"/>
              <w:rPr>
                <w:highlight w:val="none"/>
              </w:rPr>
            </w:pPr>
            <w:r>
              <w:rPr>
                <w:position w:val="1"/>
                <w:highlight w:val="none"/>
              </w:rPr>
              <w:t>...</w:t>
            </w:r>
          </w:p>
        </w:tc>
        <w:tc>
          <w:tcPr>
            <w:tcW w:w="2641" w:type="dxa"/>
            <w:vAlign w:val="top"/>
          </w:tcPr>
          <w:p w14:paraId="01CE2691">
            <w:pPr>
              <w:pStyle w:val="21"/>
              <w:keepNext w:val="0"/>
              <w:keepLines w:val="0"/>
              <w:pageBreakBefore w:val="0"/>
              <w:widowControl/>
              <w:kinsoku/>
              <w:wordWrap w:val="0"/>
              <w:overflowPunct/>
              <w:topLinePunct w:val="0"/>
              <w:autoSpaceDE/>
              <w:autoSpaceDN/>
              <w:bidi w:val="0"/>
              <w:adjustRightInd w:val="0"/>
              <w:snapToGrid w:val="0"/>
              <w:spacing w:before="259" w:line="360" w:lineRule="auto"/>
              <w:ind w:left="1167"/>
              <w:textAlignment w:val="baseline"/>
              <w:rPr>
                <w:highlight w:val="none"/>
              </w:rPr>
            </w:pPr>
            <w:r>
              <w:rPr>
                <w:position w:val="1"/>
                <w:highlight w:val="none"/>
              </w:rPr>
              <w:t>...</w:t>
            </w:r>
          </w:p>
        </w:tc>
        <w:tc>
          <w:tcPr>
            <w:tcW w:w="3532" w:type="dxa"/>
            <w:vAlign w:val="top"/>
          </w:tcPr>
          <w:p w14:paraId="460C4903">
            <w:pPr>
              <w:pStyle w:val="21"/>
              <w:keepNext w:val="0"/>
              <w:keepLines w:val="0"/>
              <w:pageBreakBefore w:val="0"/>
              <w:widowControl/>
              <w:kinsoku/>
              <w:wordWrap w:val="0"/>
              <w:overflowPunct/>
              <w:topLinePunct w:val="0"/>
              <w:autoSpaceDE/>
              <w:autoSpaceDN/>
              <w:bidi w:val="0"/>
              <w:adjustRightInd w:val="0"/>
              <w:snapToGrid w:val="0"/>
              <w:spacing w:before="259" w:line="360" w:lineRule="auto"/>
              <w:ind w:left="1615"/>
              <w:textAlignment w:val="baseline"/>
              <w:rPr>
                <w:highlight w:val="none"/>
              </w:rPr>
            </w:pPr>
            <w:r>
              <w:rPr>
                <w:position w:val="1"/>
                <w:highlight w:val="none"/>
              </w:rPr>
              <w:t>...</w:t>
            </w:r>
          </w:p>
        </w:tc>
        <w:tc>
          <w:tcPr>
            <w:tcW w:w="2678" w:type="dxa"/>
            <w:vAlign w:val="top"/>
          </w:tcPr>
          <w:p w14:paraId="5C283757">
            <w:pPr>
              <w:pStyle w:val="21"/>
              <w:keepNext w:val="0"/>
              <w:keepLines w:val="0"/>
              <w:pageBreakBefore w:val="0"/>
              <w:widowControl/>
              <w:kinsoku/>
              <w:wordWrap w:val="0"/>
              <w:overflowPunct/>
              <w:topLinePunct w:val="0"/>
              <w:autoSpaceDE/>
              <w:autoSpaceDN/>
              <w:bidi w:val="0"/>
              <w:adjustRightInd w:val="0"/>
              <w:snapToGrid w:val="0"/>
              <w:spacing w:before="259" w:line="360" w:lineRule="auto"/>
              <w:ind w:left="1184"/>
              <w:textAlignment w:val="baseline"/>
              <w:rPr>
                <w:highlight w:val="none"/>
              </w:rPr>
            </w:pPr>
            <w:r>
              <w:rPr>
                <w:position w:val="1"/>
                <w:highlight w:val="none"/>
              </w:rPr>
              <w:t>...</w:t>
            </w:r>
          </w:p>
        </w:tc>
      </w:tr>
    </w:tbl>
    <w:p w14:paraId="19AE3BB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21BFBD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7"/>
        <w:textAlignment w:val="baseline"/>
        <w:rPr>
          <w:sz w:val="24"/>
          <w:szCs w:val="24"/>
          <w:highlight w:val="none"/>
        </w:rPr>
      </w:pPr>
      <w:r>
        <w:rPr>
          <w:spacing w:val="-4"/>
          <w:sz w:val="24"/>
          <w:szCs w:val="24"/>
          <w:highlight w:val="none"/>
        </w:rPr>
        <w:t>采购人（签字</w:t>
      </w:r>
      <w:r>
        <w:rPr>
          <w:spacing w:val="1"/>
          <w:sz w:val="24"/>
          <w:szCs w:val="24"/>
          <w:highlight w:val="none"/>
        </w:rPr>
        <w:t>）：</w:t>
      </w:r>
    </w:p>
    <w:p w14:paraId="7174994E">
      <w:pPr>
        <w:pStyle w:val="2"/>
        <w:keepNext w:val="0"/>
        <w:keepLines w:val="0"/>
        <w:pageBreakBefore w:val="0"/>
        <w:widowControl/>
        <w:kinsoku/>
        <w:wordWrap w:val="0"/>
        <w:overflowPunct/>
        <w:topLinePunct w:val="0"/>
        <w:autoSpaceDE/>
        <w:autoSpaceDN/>
        <w:bidi w:val="0"/>
        <w:adjustRightInd w:val="0"/>
        <w:snapToGrid w:val="0"/>
        <w:spacing w:before="181" w:line="360" w:lineRule="auto"/>
        <w:ind w:left="137"/>
        <w:textAlignment w:val="baseline"/>
        <w:rPr>
          <w:sz w:val="24"/>
          <w:szCs w:val="24"/>
          <w:highlight w:val="none"/>
        </w:rPr>
      </w:pPr>
      <w:r>
        <w:rPr>
          <w:spacing w:val="-2"/>
          <w:sz w:val="24"/>
          <w:szCs w:val="24"/>
          <w:highlight w:val="none"/>
        </w:rPr>
        <w:t>采购代理机构（签字</w:t>
      </w:r>
      <w:r>
        <w:rPr>
          <w:spacing w:val="-1"/>
          <w:sz w:val="24"/>
          <w:szCs w:val="24"/>
          <w:highlight w:val="none"/>
        </w:rPr>
        <w:t>）：</w:t>
      </w:r>
    </w:p>
    <w:p w14:paraId="488859B5">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6862"/>
        <w:textAlignment w:val="baseline"/>
        <w:rPr>
          <w:sz w:val="24"/>
          <w:szCs w:val="24"/>
          <w:highlight w:val="none"/>
        </w:rPr>
      </w:pPr>
      <w:r>
        <w:rPr>
          <w:spacing w:val="-9"/>
          <w:sz w:val="24"/>
          <w:szCs w:val="24"/>
          <w:highlight w:val="none"/>
        </w:rPr>
        <w:t>年月日</w:t>
      </w:r>
    </w:p>
    <w:p w14:paraId="5C4B43B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B3E0B8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5DE78F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16B9490">
      <w:pPr>
        <w:rPr>
          <w:b/>
          <w:bCs/>
          <w:spacing w:val="8"/>
          <w:sz w:val="19"/>
          <w:szCs w:val="19"/>
          <w:highlight w:val="none"/>
        </w:rPr>
      </w:pPr>
      <w:bookmarkStart w:id="164" w:name="bookmark71"/>
      <w:bookmarkEnd w:id="164"/>
      <w:r>
        <w:rPr>
          <w:b/>
          <w:bCs/>
          <w:spacing w:val="8"/>
          <w:sz w:val="19"/>
          <w:szCs w:val="19"/>
          <w:highlight w:val="none"/>
        </w:rPr>
        <w:br w:type="page"/>
      </w:r>
    </w:p>
    <w:p w14:paraId="00EAD75C">
      <w:pPr>
        <w:pStyle w:val="6"/>
        <w:bidi w:val="0"/>
      </w:pPr>
      <w:bookmarkStart w:id="165" w:name="_Toc29037"/>
      <w:bookmarkStart w:id="166" w:name="_Toc29817"/>
      <w:r>
        <w:t>附表3资格审查合格投标供应商名单</w:t>
      </w:r>
      <w:bookmarkEnd w:id="165"/>
      <w:bookmarkEnd w:id="166"/>
    </w:p>
    <w:p w14:paraId="2157EC2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C54758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7F49772">
      <w:pPr>
        <w:pStyle w:val="2"/>
        <w:keepNext w:val="0"/>
        <w:keepLines w:val="0"/>
        <w:pageBreakBefore w:val="0"/>
        <w:widowControl/>
        <w:kinsoku/>
        <w:wordWrap w:val="0"/>
        <w:overflowPunct/>
        <w:topLinePunct w:val="0"/>
        <w:autoSpaceDE/>
        <w:autoSpaceDN/>
        <w:bidi w:val="0"/>
        <w:adjustRightInd w:val="0"/>
        <w:snapToGrid w:val="0"/>
        <w:spacing w:before="91" w:line="360" w:lineRule="auto"/>
        <w:ind w:left="3018"/>
        <w:textAlignment w:val="baseline"/>
        <w:rPr>
          <w:sz w:val="28"/>
          <w:szCs w:val="28"/>
          <w:highlight w:val="none"/>
        </w:rPr>
      </w:pPr>
      <w:r>
        <w:rPr>
          <w:b/>
          <w:bCs/>
          <w:spacing w:val="-8"/>
          <w:sz w:val="28"/>
          <w:szCs w:val="28"/>
          <w:highlight w:val="none"/>
        </w:rPr>
        <w:t>资格审查合格投标供应商名单</w:t>
      </w:r>
    </w:p>
    <w:p w14:paraId="183C9756">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147"/>
        <w:textAlignment w:val="baseline"/>
        <w:rPr>
          <w:sz w:val="24"/>
          <w:szCs w:val="24"/>
          <w:highlight w:val="none"/>
        </w:rPr>
      </w:pPr>
      <w:r>
        <w:rPr>
          <w:spacing w:val="-5"/>
          <w:sz w:val="24"/>
          <w:szCs w:val="24"/>
          <w:highlight w:val="none"/>
        </w:rPr>
        <w:t>项目名称：</w:t>
      </w:r>
    </w:p>
    <w:p w14:paraId="1D70702E">
      <w:pPr>
        <w:pStyle w:val="2"/>
        <w:keepNext w:val="0"/>
        <w:keepLines w:val="0"/>
        <w:pageBreakBefore w:val="0"/>
        <w:widowControl/>
        <w:kinsoku/>
        <w:wordWrap w:val="0"/>
        <w:overflowPunct/>
        <w:topLinePunct w:val="0"/>
        <w:autoSpaceDE/>
        <w:autoSpaceDN/>
        <w:bidi w:val="0"/>
        <w:adjustRightInd w:val="0"/>
        <w:snapToGrid w:val="0"/>
        <w:spacing w:before="176" w:line="360" w:lineRule="auto"/>
        <w:ind w:left="137"/>
        <w:textAlignment w:val="baseline"/>
        <w:rPr>
          <w:sz w:val="24"/>
          <w:szCs w:val="24"/>
          <w:highlight w:val="none"/>
        </w:rPr>
      </w:pPr>
      <w:r>
        <w:rPr>
          <w:spacing w:val="-3"/>
          <w:sz w:val="24"/>
          <w:szCs w:val="24"/>
          <w:highlight w:val="none"/>
        </w:rPr>
        <w:t>采购代理编号：</w:t>
      </w:r>
    </w:p>
    <w:p w14:paraId="3745229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highlight w:val="none"/>
        </w:rPr>
      </w:pPr>
    </w:p>
    <w:tbl>
      <w:tblPr>
        <w:tblStyle w:val="20"/>
        <w:tblW w:w="95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0"/>
        <w:gridCol w:w="8470"/>
      </w:tblGrid>
      <w:tr w14:paraId="49BAE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1090" w:type="dxa"/>
            <w:vAlign w:val="center"/>
          </w:tcPr>
          <w:p w14:paraId="2CE35E36">
            <w:pPr>
              <w:pStyle w:val="21"/>
              <w:keepNext w:val="0"/>
              <w:keepLines w:val="0"/>
              <w:pageBreakBefore w:val="0"/>
              <w:widowControl/>
              <w:kinsoku/>
              <w:wordWrap w:val="0"/>
              <w:overflowPunct/>
              <w:topLinePunct w:val="0"/>
              <w:autoSpaceDE/>
              <w:autoSpaceDN/>
              <w:bidi w:val="0"/>
              <w:adjustRightInd w:val="0"/>
              <w:snapToGrid w:val="0"/>
              <w:spacing w:before="62" w:line="360" w:lineRule="auto"/>
              <w:ind w:left="0" w:leftChars="0" w:firstLine="0" w:firstLineChars="0"/>
              <w:jc w:val="center"/>
              <w:textAlignment w:val="baseline"/>
              <w:rPr>
                <w:sz w:val="19"/>
                <w:szCs w:val="19"/>
                <w:highlight w:val="none"/>
              </w:rPr>
            </w:pPr>
            <w:r>
              <w:rPr>
                <w:b/>
                <w:bCs/>
                <w:spacing w:val="6"/>
                <w:sz w:val="19"/>
                <w:szCs w:val="19"/>
                <w:highlight w:val="none"/>
              </w:rPr>
              <w:t>序号</w:t>
            </w:r>
          </w:p>
        </w:tc>
        <w:tc>
          <w:tcPr>
            <w:tcW w:w="8470" w:type="dxa"/>
            <w:vAlign w:val="center"/>
          </w:tcPr>
          <w:p w14:paraId="121209F4">
            <w:pPr>
              <w:pStyle w:val="21"/>
              <w:keepNext w:val="0"/>
              <w:keepLines w:val="0"/>
              <w:pageBreakBefore w:val="0"/>
              <w:widowControl/>
              <w:kinsoku/>
              <w:wordWrap w:val="0"/>
              <w:overflowPunct/>
              <w:topLinePunct w:val="0"/>
              <w:autoSpaceDE/>
              <w:autoSpaceDN/>
              <w:bidi w:val="0"/>
              <w:adjustRightInd w:val="0"/>
              <w:snapToGrid w:val="0"/>
              <w:spacing w:before="62" w:line="360" w:lineRule="auto"/>
              <w:ind w:left="0" w:leftChars="0" w:firstLine="0" w:firstLineChars="0"/>
              <w:jc w:val="center"/>
              <w:textAlignment w:val="baseline"/>
              <w:rPr>
                <w:sz w:val="19"/>
                <w:szCs w:val="19"/>
                <w:highlight w:val="none"/>
              </w:rPr>
            </w:pPr>
            <w:r>
              <w:rPr>
                <w:b/>
                <w:bCs/>
                <w:spacing w:val="13"/>
                <w:sz w:val="19"/>
                <w:szCs w:val="19"/>
                <w:highlight w:val="none"/>
              </w:rPr>
              <w:t>合格投标供应商名称</w:t>
            </w:r>
          </w:p>
        </w:tc>
      </w:tr>
      <w:tr w14:paraId="30137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090" w:type="dxa"/>
            <w:vAlign w:val="top"/>
          </w:tcPr>
          <w:p w14:paraId="036FC19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2470B6F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0BB1E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090" w:type="dxa"/>
            <w:vAlign w:val="top"/>
          </w:tcPr>
          <w:p w14:paraId="4FE5353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3B5040D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42DE2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090" w:type="dxa"/>
            <w:vAlign w:val="top"/>
          </w:tcPr>
          <w:p w14:paraId="62338B6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4D5D48B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6CEF2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090" w:type="dxa"/>
            <w:vAlign w:val="top"/>
          </w:tcPr>
          <w:p w14:paraId="17A82D0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2FF5EE5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72ED6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090" w:type="dxa"/>
            <w:vAlign w:val="top"/>
          </w:tcPr>
          <w:p w14:paraId="159D328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756492B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B347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090" w:type="dxa"/>
            <w:vAlign w:val="top"/>
          </w:tcPr>
          <w:p w14:paraId="53EF2DC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470" w:type="dxa"/>
            <w:vAlign w:val="top"/>
          </w:tcPr>
          <w:p w14:paraId="275795D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bl>
    <w:p w14:paraId="02DD25A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0A099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7"/>
        <w:textAlignment w:val="baseline"/>
        <w:rPr>
          <w:sz w:val="24"/>
          <w:szCs w:val="24"/>
          <w:highlight w:val="none"/>
        </w:rPr>
      </w:pPr>
      <w:r>
        <w:rPr>
          <w:spacing w:val="-4"/>
          <w:sz w:val="24"/>
          <w:szCs w:val="24"/>
          <w:highlight w:val="none"/>
        </w:rPr>
        <w:t>采购人（签字</w:t>
      </w:r>
      <w:r>
        <w:rPr>
          <w:spacing w:val="1"/>
          <w:sz w:val="24"/>
          <w:szCs w:val="24"/>
          <w:highlight w:val="none"/>
        </w:rPr>
        <w:t>）：</w:t>
      </w:r>
    </w:p>
    <w:p w14:paraId="2B42D31B">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137"/>
        <w:textAlignment w:val="baseline"/>
        <w:rPr>
          <w:sz w:val="24"/>
          <w:szCs w:val="24"/>
          <w:highlight w:val="none"/>
        </w:rPr>
      </w:pPr>
      <w:r>
        <w:rPr>
          <w:spacing w:val="-2"/>
          <w:sz w:val="24"/>
          <w:szCs w:val="24"/>
          <w:highlight w:val="none"/>
        </w:rPr>
        <w:t>采购代理机构（签字</w:t>
      </w:r>
      <w:r>
        <w:rPr>
          <w:spacing w:val="-1"/>
          <w:sz w:val="24"/>
          <w:szCs w:val="24"/>
          <w:highlight w:val="none"/>
        </w:rPr>
        <w:t>）：</w:t>
      </w:r>
    </w:p>
    <w:p w14:paraId="1BB2FEA3">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137"/>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年月日</w:t>
      </w:r>
    </w:p>
    <w:p w14:paraId="42E6B06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95E1E9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50CC33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B29147B">
      <w:pPr>
        <w:rPr>
          <w:b/>
          <w:bCs/>
          <w:spacing w:val="11"/>
          <w:highlight w:val="none"/>
        </w:rPr>
      </w:pPr>
      <w:r>
        <w:rPr>
          <w:b/>
          <w:bCs/>
          <w:spacing w:val="11"/>
          <w:highlight w:val="none"/>
        </w:rPr>
        <w:br w:type="page"/>
      </w:r>
    </w:p>
    <w:p w14:paraId="69D15D4F">
      <w:pPr>
        <w:pStyle w:val="4"/>
        <w:bidi w:val="0"/>
      </w:pPr>
      <w:bookmarkStart w:id="167" w:name="_Toc9574"/>
      <w:r>
        <w:t>第四章评标方法及标准（综合评分法）</w:t>
      </w:r>
      <w:bookmarkEnd w:id="167"/>
    </w:p>
    <w:p w14:paraId="309B440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E475338">
      <w:pPr>
        <w:pStyle w:val="5"/>
        <w:bidi w:val="0"/>
      </w:pPr>
      <w:bookmarkStart w:id="168" w:name="_Toc24368"/>
      <w:r>
        <w:t>第一节评标方法及标准前附表</w:t>
      </w:r>
      <w:bookmarkEnd w:id="168"/>
    </w:p>
    <w:tbl>
      <w:tblPr>
        <w:tblStyle w:val="20"/>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3"/>
        <w:gridCol w:w="2272"/>
        <w:gridCol w:w="5448"/>
      </w:tblGrid>
      <w:tr w14:paraId="5932E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1863" w:type="dxa"/>
            <w:vAlign w:val="top"/>
          </w:tcPr>
          <w:p w14:paraId="67926C27">
            <w:pPr>
              <w:pStyle w:val="21"/>
              <w:keepNext w:val="0"/>
              <w:keepLines w:val="0"/>
              <w:pageBreakBefore w:val="0"/>
              <w:widowControl/>
              <w:kinsoku/>
              <w:wordWrap w:val="0"/>
              <w:overflowPunct/>
              <w:topLinePunct w:val="0"/>
              <w:autoSpaceDE/>
              <w:autoSpaceDN/>
              <w:bidi w:val="0"/>
              <w:adjustRightInd w:val="0"/>
              <w:snapToGrid w:val="0"/>
              <w:spacing w:before="231" w:line="360" w:lineRule="auto"/>
              <w:ind w:left="0" w:leftChars="0" w:firstLine="0" w:firstLineChars="0"/>
              <w:jc w:val="center"/>
              <w:textAlignment w:val="baseline"/>
              <w:rPr>
                <w:highlight w:val="none"/>
              </w:rPr>
            </w:pPr>
            <w:r>
              <w:rPr>
                <w:b/>
                <w:bCs/>
                <w:spacing w:val="-8"/>
                <w:highlight w:val="none"/>
              </w:rPr>
              <w:t>条款号</w:t>
            </w:r>
          </w:p>
        </w:tc>
        <w:tc>
          <w:tcPr>
            <w:tcW w:w="2272" w:type="dxa"/>
            <w:vAlign w:val="top"/>
          </w:tcPr>
          <w:p w14:paraId="7BCE6590">
            <w:pPr>
              <w:pStyle w:val="21"/>
              <w:keepNext w:val="0"/>
              <w:keepLines w:val="0"/>
              <w:pageBreakBefore w:val="0"/>
              <w:widowControl/>
              <w:kinsoku/>
              <w:wordWrap w:val="0"/>
              <w:overflowPunct/>
              <w:topLinePunct w:val="0"/>
              <w:autoSpaceDE/>
              <w:autoSpaceDN/>
              <w:bidi w:val="0"/>
              <w:adjustRightInd w:val="0"/>
              <w:snapToGrid w:val="0"/>
              <w:spacing w:before="231" w:line="360" w:lineRule="auto"/>
              <w:ind w:left="0" w:leftChars="0" w:firstLine="0" w:firstLineChars="0"/>
              <w:jc w:val="center"/>
              <w:textAlignment w:val="baseline"/>
              <w:rPr>
                <w:highlight w:val="none"/>
              </w:rPr>
            </w:pPr>
            <w:r>
              <w:rPr>
                <w:b/>
                <w:bCs/>
                <w:spacing w:val="-8"/>
                <w:highlight w:val="none"/>
              </w:rPr>
              <w:t>条款名称</w:t>
            </w:r>
          </w:p>
        </w:tc>
        <w:tc>
          <w:tcPr>
            <w:tcW w:w="5448" w:type="dxa"/>
            <w:vAlign w:val="top"/>
          </w:tcPr>
          <w:p w14:paraId="0364E5BB">
            <w:pPr>
              <w:pStyle w:val="21"/>
              <w:keepNext w:val="0"/>
              <w:keepLines w:val="0"/>
              <w:pageBreakBefore w:val="0"/>
              <w:widowControl/>
              <w:kinsoku/>
              <w:wordWrap w:val="0"/>
              <w:overflowPunct/>
              <w:topLinePunct w:val="0"/>
              <w:autoSpaceDE/>
              <w:autoSpaceDN/>
              <w:bidi w:val="0"/>
              <w:adjustRightInd w:val="0"/>
              <w:snapToGrid w:val="0"/>
              <w:spacing w:before="231" w:line="360" w:lineRule="auto"/>
              <w:ind w:left="2015"/>
              <w:textAlignment w:val="baseline"/>
              <w:rPr>
                <w:highlight w:val="none"/>
              </w:rPr>
            </w:pPr>
            <w:r>
              <w:rPr>
                <w:b/>
                <w:bCs/>
                <w:spacing w:val="-7"/>
                <w:highlight w:val="none"/>
              </w:rPr>
              <w:t>编列内容规定</w:t>
            </w:r>
          </w:p>
        </w:tc>
      </w:tr>
      <w:tr w14:paraId="20013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1863" w:type="dxa"/>
            <w:vAlign w:val="center"/>
          </w:tcPr>
          <w:p w14:paraId="2226E26B">
            <w:pPr>
              <w:pStyle w:val="21"/>
              <w:keepNext w:val="0"/>
              <w:keepLines w:val="0"/>
              <w:pageBreakBefore w:val="0"/>
              <w:widowControl/>
              <w:kinsoku/>
              <w:wordWrap w:val="0"/>
              <w:overflowPunct/>
              <w:topLinePunct w:val="0"/>
              <w:autoSpaceDE/>
              <w:autoSpaceDN/>
              <w:bidi w:val="0"/>
              <w:adjustRightInd w:val="0"/>
              <w:snapToGrid w:val="0"/>
              <w:spacing w:before="291" w:line="360" w:lineRule="auto"/>
              <w:ind w:left="0" w:leftChars="0" w:firstLine="0" w:firstLineChars="0"/>
              <w:jc w:val="center"/>
              <w:textAlignment w:val="baseline"/>
              <w:rPr>
                <w:highlight w:val="none"/>
              </w:rPr>
            </w:pPr>
            <w:r>
              <w:rPr>
                <w:spacing w:val="-11"/>
                <w:highlight w:val="none"/>
              </w:rPr>
              <w:t>第1.2款</w:t>
            </w:r>
          </w:p>
        </w:tc>
        <w:tc>
          <w:tcPr>
            <w:tcW w:w="2272" w:type="dxa"/>
            <w:vAlign w:val="center"/>
          </w:tcPr>
          <w:p w14:paraId="3B29D4A3">
            <w:pPr>
              <w:pStyle w:val="21"/>
              <w:keepNext w:val="0"/>
              <w:keepLines w:val="0"/>
              <w:pageBreakBefore w:val="0"/>
              <w:widowControl/>
              <w:kinsoku/>
              <w:wordWrap w:val="0"/>
              <w:overflowPunct/>
              <w:topLinePunct w:val="0"/>
              <w:autoSpaceDE/>
              <w:autoSpaceDN/>
              <w:bidi w:val="0"/>
              <w:adjustRightInd w:val="0"/>
              <w:snapToGrid w:val="0"/>
              <w:spacing w:before="291" w:line="360" w:lineRule="auto"/>
              <w:ind w:left="0" w:leftChars="0" w:firstLine="0" w:firstLineChars="0"/>
              <w:jc w:val="center"/>
              <w:textAlignment w:val="baseline"/>
              <w:rPr>
                <w:highlight w:val="none"/>
              </w:rPr>
            </w:pPr>
            <w:r>
              <w:rPr>
                <w:spacing w:val="-3"/>
                <w:highlight w:val="none"/>
              </w:rPr>
              <w:t>评标因素和标准</w:t>
            </w:r>
          </w:p>
        </w:tc>
        <w:tc>
          <w:tcPr>
            <w:tcW w:w="5448" w:type="dxa"/>
            <w:vAlign w:val="top"/>
          </w:tcPr>
          <w:p w14:paraId="30F0F73C">
            <w:pPr>
              <w:pStyle w:val="21"/>
              <w:keepNext w:val="0"/>
              <w:keepLines w:val="0"/>
              <w:pageBreakBefore w:val="0"/>
              <w:widowControl/>
              <w:kinsoku/>
              <w:wordWrap w:val="0"/>
              <w:overflowPunct/>
              <w:topLinePunct w:val="0"/>
              <w:autoSpaceDE/>
              <w:autoSpaceDN/>
              <w:bidi w:val="0"/>
              <w:adjustRightInd w:val="0"/>
              <w:snapToGrid w:val="0"/>
              <w:spacing w:before="290" w:line="360" w:lineRule="auto"/>
              <w:ind w:left="121"/>
              <w:textAlignment w:val="baseline"/>
              <w:rPr>
                <w:highlight w:val="none"/>
              </w:rPr>
            </w:pPr>
            <w:r>
              <w:rPr>
                <w:spacing w:val="-3"/>
                <w:highlight w:val="none"/>
              </w:rPr>
              <w:t>评标方法及标准</w:t>
            </w:r>
          </w:p>
        </w:tc>
      </w:tr>
      <w:tr w14:paraId="2F3E0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1" w:hRule="atLeast"/>
        </w:trPr>
        <w:tc>
          <w:tcPr>
            <w:tcW w:w="1863" w:type="dxa"/>
            <w:vAlign w:val="center"/>
          </w:tcPr>
          <w:p w14:paraId="7FF360CC">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7"/>
                <w:highlight w:val="none"/>
              </w:rPr>
              <w:t>第3.4款</w:t>
            </w:r>
          </w:p>
        </w:tc>
        <w:tc>
          <w:tcPr>
            <w:tcW w:w="2272" w:type="dxa"/>
            <w:vAlign w:val="center"/>
          </w:tcPr>
          <w:p w14:paraId="2FFB8F4D">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right="175" w:firstLine="0" w:firstLineChars="0"/>
              <w:jc w:val="center"/>
              <w:textAlignment w:val="baseline"/>
              <w:rPr>
                <w:highlight w:val="none"/>
              </w:rPr>
            </w:pPr>
            <w:r>
              <w:rPr>
                <w:spacing w:val="-4"/>
                <w:highlight w:val="none"/>
              </w:rPr>
              <w:t>非单一产品采购项</w:t>
            </w:r>
            <w:r>
              <w:rPr>
                <w:spacing w:val="-17"/>
                <w:highlight w:val="none"/>
              </w:rPr>
              <w:t>目的核心产品</w:t>
            </w:r>
          </w:p>
        </w:tc>
        <w:tc>
          <w:tcPr>
            <w:tcW w:w="5448" w:type="dxa"/>
            <w:vAlign w:val="top"/>
          </w:tcPr>
          <w:p w14:paraId="0F0AA5AC">
            <w:pPr>
              <w:pStyle w:val="21"/>
              <w:keepNext w:val="0"/>
              <w:keepLines w:val="0"/>
              <w:pageBreakBefore w:val="0"/>
              <w:widowControl/>
              <w:kinsoku/>
              <w:wordWrap w:val="0"/>
              <w:overflowPunct/>
              <w:topLinePunct w:val="0"/>
              <w:autoSpaceDE/>
              <w:autoSpaceDN/>
              <w:bidi w:val="0"/>
              <w:adjustRightInd w:val="0"/>
              <w:snapToGrid w:val="0"/>
              <w:spacing w:before="2" w:line="360" w:lineRule="auto"/>
              <w:ind w:left="160" w:right="163" w:hanging="9"/>
              <w:textAlignment w:val="baseline"/>
              <w:rPr>
                <w:rFonts w:hint="default"/>
                <w:b/>
                <w:bCs/>
                <w:color w:val="FF0000"/>
                <w:sz w:val="24"/>
                <w:szCs w:val="24"/>
                <w:highlight w:val="none"/>
                <w:lang w:val="en-US"/>
              </w:rPr>
            </w:pPr>
            <w:r>
              <w:rPr>
                <w:rFonts w:ascii="宋体" w:hAnsi="宋体" w:eastAsia="宋体" w:cs="宋体"/>
                <w:b/>
                <w:bCs/>
                <w:spacing w:val="-10"/>
                <w:highlight w:val="none"/>
              </w:rPr>
              <w:t>本项目核心</w:t>
            </w:r>
            <w:r>
              <w:rPr>
                <w:rFonts w:ascii="宋体" w:hAnsi="宋体" w:eastAsia="宋体" w:cs="宋体"/>
                <w:b/>
                <w:bCs/>
                <w:color w:val="auto"/>
                <w:spacing w:val="-10"/>
                <w:highlight w:val="none"/>
              </w:rPr>
              <w:t>产品为：</w:t>
            </w:r>
            <w:r>
              <w:rPr>
                <w:rFonts w:hint="eastAsia" w:ascii="宋体" w:hAnsi="宋体" w:eastAsia="宋体" w:cs="宋体"/>
                <w:b/>
                <w:bCs/>
                <w:color w:val="auto"/>
                <w:spacing w:val="-10"/>
                <w:highlight w:val="none"/>
                <w:u w:val="single"/>
                <w:lang w:val="en-US" w:eastAsia="zh-CN"/>
              </w:rPr>
              <w:t>多用途货车(环境监测用)或环境监测车</w:t>
            </w:r>
          </w:p>
          <w:p w14:paraId="795CF385">
            <w:pPr>
              <w:pStyle w:val="21"/>
              <w:keepNext w:val="0"/>
              <w:keepLines w:val="0"/>
              <w:pageBreakBefore w:val="0"/>
              <w:widowControl/>
              <w:kinsoku/>
              <w:wordWrap w:val="0"/>
              <w:overflowPunct/>
              <w:topLinePunct w:val="0"/>
              <w:autoSpaceDE/>
              <w:autoSpaceDN/>
              <w:bidi w:val="0"/>
              <w:adjustRightInd w:val="0"/>
              <w:snapToGrid w:val="0"/>
              <w:spacing w:before="2" w:line="360" w:lineRule="auto"/>
              <w:ind w:left="160" w:right="163" w:hanging="9"/>
              <w:textAlignment w:val="baseline"/>
              <w:rPr>
                <w:highlight w:val="none"/>
              </w:rPr>
            </w:pPr>
            <w:r>
              <w:rPr>
                <w:b/>
                <w:bCs/>
                <w:spacing w:val="-10"/>
                <w:highlight w:val="none"/>
              </w:rPr>
              <w:t>当所投核心产品之一为同一品牌时，视为核心产品</w:t>
            </w:r>
            <w:r>
              <w:rPr>
                <w:b/>
                <w:bCs/>
                <w:spacing w:val="-13"/>
                <w:highlight w:val="none"/>
              </w:rPr>
              <w:t>品牌相同。</w:t>
            </w:r>
          </w:p>
        </w:tc>
      </w:tr>
      <w:tr w14:paraId="3D36D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8" w:hRule="atLeast"/>
        </w:trPr>
        <w:tc>
          <w:tcPr>
            <w:tcW w:w="1863" w:type="dxa"/>
            <w:vAlign w:val="center"/>
          </w:tcPr>
          <w:p w14:paraId="57DAFBD8">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5"/>
                <w:highlight w:val="none"/>
              </w:rPr>
              <w:t>第4.2款</w:t>
            </w:r>
          </w:p>
        </w:tc>
        <w:tc>
          <w:tcPr>
            <w:tcW w:w="2272" w:type="dxa"/>
            <w:vAlign w:val="center"/>
          </w:tcPr>
          <w:p w14:paraId="3420BF38">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right="175" w:firstLine="0" w:firstLineChars="0"/>
              <w:jc w:val="center"/>
              <w:textAlignment w:val="baseline"/>
              <w:rPr>
                <w:highlight w:val="none"/>
              </w:rPr>
            </w:pPr>
            <w:r>
              <w:rPr>
                <w:spacing w:val="-4"/>
                <w:highlight w:val="none"/>
              </w:rPr>
              <w:t>投标文件报价出现前后不一致的修正</w:t>
            </w:r>
          </w:p>
        </w:tc>
        <w:tc>
          <w:tcPr>
            <w:tcW w:w="5448" w:type="dxa"/>
            <w:vAlign w:val="top"/>
          </w:tcPr>
          <w:p w14:paraId="6640D238">
            <w:pPr>
              <w:pStyle w:val="21"/>
              <w:keepNext w:val="0"/>
              <w:keepLines w:val="0"/>
              <w:pageBreakBefore w:val="0"/>
              <w:widowControl/>
              <w:kinsoku/>
              <w:wordWrap w:val="0"/>
              <w:overflowPunct/>
              <w:topLinePunct w:val="0"/>
              <w:autoSpaceDE/>
              <w:autoSpaceDN/>
              <w:bidi w:val="0"/>
              <w:adjustRightInd w:val="0"/>
              <w:snapToGrid w:val="0"/>
              <w:spacing w:before="150" w:line="360" w:lineRule="auto"/>
              <w:ind w:left="126" w:right="30" w:firstLine="81"/>
              <w:textAlignment w:val="baseline"/>
              <w:rPr>
                <w:highlight w:val="none"/>
              </w:rPr>
            </w:pPr>
            <w:r>
              <w:rPr>
                <w:spacing w:val="-3"/>
                <w:highlight w:val="none"/>
              </w:rPr>
              <w:t>(1)投标文件中开标一览表（报价表）内容与投标</w:t>
            </w:r>
            <w:r>
              <w:rPr>
                <w:spacing w:val="-11"/>
                <w:highlight w:val="none"/>
              </w:rPr>
              <w:t>文件中相应内容不一致的，以开标一览表（报价表）</w:t>
            </w:r>
            <w:r>
              <w:rPr>
                <w:spacing w:val="-6"/>
                <w:highlight w:val="none"/>
              </w:rPr>
              <w:t>为准；</w:t>
            </w:r>
          </w:p>
          <w:p w14:paraId="15DACD9D">
            <w:pPr>
              <w:pStyle w:val="21"/>
              <w:keepNext w:val="0"/>
              <w:keepLines w:val="0"/>
              <w:pageBreakBefore w:val="0"/>
              <w:widowControl/>
              <w:kinsoku/>
              <w:wordWrap w:val="0"/>
              <w:overflowPunct/>
              <w:topLinePunct w:val="0"/>
              <w:autoSpaceDE/>
              <w:autoSpaceDN/>
              <w:bidi w:val="0"/>
              <w:adjustRightInd w:val="0"/>
              <w:snapToGrid w:val="0"/>
              <w:spacing w:before="301" w:line="360" w:lineRule="auto"/>
              <w:ind w:left="126" w:right="126" w:firstLine="81"/>
              <w:textAlignment w:val="baseline"/>
              <w:rPr>
                <w:highlight w:val="none"/>
              </w:rPr>
            </w:pPr>
            <w:r>
              <w:rPr>
                <w:spacing w:val="-3"/>
                <w:highlight w:val="none"/>
              </w:rPr>
              <w:t>(2)大写金额和小写金额不一致的，以大写金额为</w:t>
            </w:r>
            <w:r>
              <w:rPr>
                <w:spacing w:val="-6"/>
                <w:highlight w:val="none"/>
              </w:rPr>
              <w:t>准；</w:t>
            </w:r>
          </w:p>
          <w:p w14:paraId="0F637924">
            <w:pPr>
              <w:pStyle w:val="21"/>
              <w:keepNext w:val="0"/>
              <w:keepLines w:val="0"/>
              <w:pageBreakBefore w:val="0"/>
              <w:widowControl/>
              <w:kinsoku/>
              <w:wordWrap w:val="0"/>
              <w:overflowPunct/>
              <w:topLinePunct w:val="0"/>
              <w:autoSpaceDE/>
              <w:autoSpaceDN/>
              <w:bidi w:val="0"/>
              <w:adjustRightInd w:val="0"/>
              <w:snapToGrid w:val="0"/>
              <w:spacing w:before="269" w:line="360" w:lineRule="auto"/>
              <w:ind w:left="125" w:right="126" w:firstLine="82"/>
              <w:textAlignment w:val="baseline"/>
              <w:rPr>
                <w:highlight w:val="none"/>
              </w:rPr>
            </w:pPr>
            <w:r>
              <w:rPr>
                <w:spacing w:val="-3"/>
                <w:highlight w:val="none"/>
              </w:rPr>
              <w:t>(3)单价金额小数点或者百分比有明显错位的，以</w:t>
            </w:r>
            <w:r>
              <w:rPr>
                <w:spacing w:val="-2"/>
                <w:highlight w:val="none"/>
              </w:rPr>
              <w:t>开标一览表的总价为准，并修改单价；</w:t>
            </w:r>
          </w:p>
          <w:p w14:paraId="16332E40">
            <w:pPr>
              <w:pStyle w:val="21"/>
              <w:keepNext w:val="0"/>
              <w:keepLines w:val="0"/>
              <w:pageBreakBefore w:val="0"/>
              <w:widowControl/>
              <w:kinsoku/>
              <w:wordWrap w:val="0"/>
              <w:overflowPunct/>
              <w:topLinePunct w:val="0"/>
              <w:autoSpaceDE/>
              <w:autoSpaceDN/>
              <w:bidi w:val="0"/>
              <w:adjustRightInd w:val="0"/>
              <w:snapToGrid w:val="0"/>
              <w:spacing w:before="272" w:line="360" w:lineRule="auto"/>
              <w:ind w:left="126" w:right="126" w:firstLine="81"/>
              <w:textAlignment w:val="baseline"/>
              <w:rPr>
                <w:highlight w:val="none"/>
              </w:rPr>
            </w:pPr>
            <w:r>
              <w:rPr>
                <w:spacing w:val="-3"/>
                <w:highlight w:val="none"/>
              </w:rPr>
              <w:t>(4)总价金额与按单价汇总金额不一致的，以单价金额计算结果为准。</w:t>
            </w:r>
          </w:p>
          <w:p w14:paraId="534B1805">
            <w:pPr>
              <w:pStyle w:val="21"/>
              <w:keepNext w:val="0"/>
              <w:keepLines w:val="0"/>
              <w:pageBreakBefore w:val="0"/>
              <w:widowControl/>
              <w:kinsoku/>
              <w:wordWrap w:val="0"/>
              <w:overflowPunct/>
              <w:topLinePunct w:val="0"/>
              <w:autoSpaceDE/>
              <w:autoSpaceDN/>
              <w:bidi w:val="0"/>
              <w:adjustRightInd w:val="0"/>
              <w:snapToGrid w:val="0"/>
              <w:spacing w:before="274" w:line="360" w:lineRule="auto"/>
              <w:ind w:left="122" w:right="110" w:firstLine="47"/>
              <w:jc w:val="both"/>
              <w:textAlignment w:val="baseline"/>
              <w:rPr>
                <w:highlight w:val="none"/>
              </w:rPr>
            </w:pPr>
            <w:r>
              <w:rPr>
                <w:spacing w:val="-6"/>
                <w:highlight w:val="none"/>
              </w:rPr>
              <w:t>同时出现两种以上不一致的，按照前款规定的顺序</w:t>
            </w:r>
            <w:r>
              <w:rPr>
                <w:spacing w:val="-2"/>
                <w:highlight w:val="none"/>
              </w:rPr>
              <w:t>修正。修正后的报价按照4.2款要求，经投标供应</w:t>
            </w:r>
            <w:r>
              <w:rPr>
                <w:spacing w:val="-4"/>
                <w:highlight w:val="none"/>
              </w:rPr>
              <w:t>商确认后产生约束力，投标供应商不确认的，其投</w:t>
            </w:r>
            <w:r>
              <w:rPr>
                <w:spacing w:val="-5"/>
                <w:highlight w:val="none"/>
              </w:rPr>
              <w:t>标无效。</w:t>
            </w:r>
          </w:p>
        </w:tc>
      </w:tr>
      <w:tr w14:paraId="44058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rPr>
        <w:tc>
          <w:tcPr>
            <w:tcW w:w="1863" w:type="dxa"/>
            <w:vMerge w:val="restart"/>
            <w:vAlign w:val="center"/>
          </w:tcPr>
          <w:p w14:paraId="6606394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3"/>
                <w:highlight w:val="none"/>
              </w:rPr>
              <w:t>第5.2（1）项</w:t>
            </w:r>
          </w:p>
        </w:tc>
        <w:tc>
          <w:tcPr>
            <w:tcW w:w="2272" w:type="dxa"/>
            <w:vMerge w:val="restart"/>
            <w:vAlign w:val="center"/>
          </w:tcPr>
          <w:p w14:paraId="29273FF8">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right="179" w:firstLine="0" w:firstLineChars="0"/>
              <w:jc w:val="center"/>
              <w:textAlignment w:val="baseline"/>
              <w:rPr>
                <w:highlight w:val="none"/>
              </w:rPr>
            </w:pPr>
            <w:r>
              <w:rPr>
                <w:spacing w:val="-3"/>
                <w:highlight w:val="none"/>
              </w:rPr>
              <w:t>相同品牌产品评审得分相同的规定</w:t>
            </w:r>
          </w:p>
        </w:tc>
        <w:tc>
          <w:tcPr>
            <w:tcW w:w="5448" w:type="dxa"/>
            <w:vAlign w:val="top"/>
          </w:tcPr>
          <w:p w14:paraId="2084EB08">
            <w:pPr>
              <w:pStyle w:val="21"/>
              <w:keepNext w:val="0"/>
              <w:keepLines w:val="0"/>
              <w:pageBreakBefore w:val="0"/>
              <w:widowControl/>
              <w:kinsoku/>
              <w:wordWrap w:val="0"/>
              <w:overflowPunct/>
              <w:topLinePunct w:val="0"/>
              <w:autoSpaceDE/>
              <w:autoSpaceDN/>
              <w:bidi w:val="0"/>
              <w:adjustRightInd w:val="0"/>
              <w:snapToGrid w:val="0"/>
              <w:spacing w:before="232" w:line="360" w:lineRule="auto"/>
              <w:ind w:left="127" w:right="141" w:firstLine="80"/>
              <w:textAlignment w:val="baseline"/>
              <w:rPr>
                <w:highlight w:val="none"/>
              </w:rPr>
            </w:pPr>
            <w:r>
              <w:rPr>
                <w:spacing w:val="-6"/>
                <w:highlight w:val="none"/>
              </w:rPr>
              <w:t>(1)评审后得分最高的同品牌投标供应商获得中标</w:t>
            </w:r>
            <w:r>
              <w:rPr>
                <w:spacing w:val="-7"/>
                <w:highlight w:val="none"/>
              </w:rPr>
              <w:t>投标供应商推荐资格，</w:t>
            </w:r>
            <w:r>
              <w:rPr>
                <w:b/>
                <w:bCs/>
                <w:spacing w:val="-7"/>
                <w:highlight w:val="none"/>
              </w:rPr>
              <w:t>其他同品牌投标供应商不作</w:t>
            </w:r>
            <w:r>
              <w:rPr>
                <w:b/>
                <w:bCs/>
                <w:spacing w:val="-6"/>
                <w:highlight w:val="none"/>
              </w:rPr>
              <w:t>为中标候选人</w:t>
            </w:r>
            <w:r>
              <w:rPr>
                <w:spacing w:val="-6"/>
                <w:highlight w:val="none"/>
              </w:rPr>
              <w:t>。</w:t>
            </w:r>
          </w:p>
          <w:p w14:paraId="1CC050F5">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207"/>
              <w:textAlignment w:val="baseline"/>
              <w:rPr>
                <w:spacing w:val="-5"/>
                <w:highlight w:val="none"/>
              </w:rPr>
            </w:pPr>
            <w:r>
              <w:rPr>
                <w:spacing w:val="-5"/>
                <w:highlight w:val="none"/>
              </w:rPr>
              <w:t>(2)评审得分相同的，由采购人或者采购人</w:t>
            </w:r>
            <w:r>
              <w:rPr>
                <w:spacing w:val="-6"/>
                <w:highlight w:val="none"/>
              </w:rPr>
              <w:t>委托评</w:t>
            </w:r>
          </w:p>
          <w:p w14:paraId="576C0210">
            <w:pPr>
              <w:pStyle w:val="21"/>
              <w:keepNext w:val="0"/>
              <w:keepLines w:val="0"/>
              <w:pageBreakBefore w:val="0"/>
              <w:widowControl/>
              <w:kinsoku/>
              <w:wordWrap w:val="0"/>
              <w:overflowPunct/>
              <w:topLinePunct w:val="0"/>
              <w:autoSpaceDE/>
              <w:autoSpaceDN/>
              <w:bidi w:val="0"/>
              <w:adjustRightInd w:val="0"/>
              <w:snapToGrid w:val="0"/>
              <w:spacing w:before="79" w:line="360" w:lineRule="auto"/>
              <w:ind w:left="127" w:right="304" w:hanging="2"/>
              <w:textAlignment w:val="baseline"/>
              <w:rPr>
                <w:highlight w:val="none"/>
              </w:rPr>
            </w:pPr>
            <w:r>
              <w:rPr>
                <w:spacing w:val="-2"/>
                <w:highlight w:val="none"/>
              </w:rPr>
              <w:t>标委员会按照</w:t>
            </w:r>
            <w:r>
              <w:rPr>
                <w:b/>
                <w:bCs/>
                <w:spacing w:val="-2"/>
                <w:highlight w:val="none"/>
              </w:rPr>
              <w:t>随机抽取</w:t>
            </w:r>
            <w:r>
              <w:rPr>
                <w:spacing w:val="-2"/>
                <w:highlight w:val="none"/>
              </w:rPr>
              <w:t>方式确定一个投标供应商获得中标投标供应商推荐资格。</w:t>
            </w:r>
          </w:p>
        </w:tc>
      </w:tr>
      <w:tr w14:paraId="64650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9" w:hRule="atLeast"/>
        </w:trPr>
        <w:tc>
          <w:tcPr>
            <w:tcW w:w="1863" w:type="dxa"/>
            <w:vMerge w:val="restart"/>
            <w:tcBorders>
              <w:bottom w:val="nil"/>
            </w:tcBorders>
            <w:vAlign w:val="center"/>
          </w:tcPr>
          <w:p w14:paraId="0B0BB836">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201"/>
              <w:jc w:val="center"/>
              <w:textAlignment w:val="baseline"/>
              <w:rPr>
                <w:highlight w:val="none"/>
              </w:rPr>
            </w:pPr>
            <w:r>
              <w:rPr>
                <w:spacing w:val="-4"/>
                <w:highlight w:val="none"/>
              </w:rPr>
              <w:t>第5.3（1）款</w:t>
            </w:r>
          </w:p>
        </w:tc>
        <w:tc>
          <w:tcPr>
            <w:tcW w:w="2272" w:type="dxa"/>
            <w:vMerge w:val="restart"/>
            <w:tcBorders>
              <w:bottom w:val="nil"/>
            </w:tcBorders>
            <w:vAlign w:val="center"/>
          </w:tcPr>
          <w:p w14:paraId="011AED45">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3"/>
                <w:highlight w:val="none"/>
              </w:rPr>
              <w:t>价格评审优惠</w:t>
            </w:r>
          </w:p>
        </w:tc>
        <w:tc>
          <w:tcPr>
            <w:tcW w:w="5448" w:type="dxa"/>
            <w:vAlign w:val="top"/>
          </w:tcPr>
          <w:p w14:paraId="14F38751">
            <w:pPr>
              <w:pStyle w:val="21"/>
              <w:keepNext w:val="0"/>
              <w:keepLines w:val="0"/>
              <w:pageBreakBefore w:val="0"/>
              <w:widowControl/>
              <w:kinsoku/>
              <w:wordWrap w:val="0"/>
              <w:overflowPunct/>
              <w:topLinePunct w:val="0"/>
              <w:autoSpaceDE/>
              <w:autoSpaceDN/>
              <w:bidi w:val="0"/>
              <w:adjustRightInd w:val="0"/>
              <w:snapToGrid w:val="0"/>
              <w:spacing w:before="224" w:line="360" w:lineRule="auto"/>
              <w:ind w:left="127" w:right="127" w:firstLine="18"/>
              <w:textAlignment w:val="baseline"/>
              <w:rPr>
                <w:rFonts w:ascii="Arial"/>
                <w:sz w:val="21"/>
                <w:highlight w:val="none"/>
              </w:rPr>
            </w:pPr>
            <w:r>
              <w:rPr>
                <w:spacing w:val="-5"/>
                <w:highlight w:val="none"/>
              </w:rPr>
              <w:t>（1)支持中小企业政府发展：小型和微型企业产品</w:t>
            </w:r>
            <w:r>
              <w:rPr>
                <w:spacing w:val="-4"/>
                <w:highlight w:val="none"/>
              </w:rPr>
              <w:t>投标报价扣除比例为</w:t>
            </w:r>
            <w:r>
              <w:rPr>
                <w:spacing w:val="-4"/>
                <w:highlight w:val="none"/>
                <w:u w:val="single" w:color="auto"/>
              </w:rPr>
              <w:t>10</w:t>
            </w:r>
            <w:r>
              <w:rPr>
                <w:spacing w:val="-4"/>
                <w:highlight w:val="none"/>
              </w:rPr>
              <w:t>%;</w:t>
            </w:r>
          </w:p>
          <w:p w14:paraId="4178380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63" w:right="194" w:firstLine="44"/>
              <w:textAlignment w:val="baseline"/>
              <w:rPr>
                <w:highlight w:val="none"/>
              </w:rPr>
            </w:pPr>
            <w:r>
              <w:rPr>
                <w:spacing w:val="-6"/>
                <w:highlight w:val="none"/>
              </w:rPr>
              <w:t>(2)支持监狱、福利企业发展：监狱、福利企业产</w:t>
            </w:r>
            <w:r>
              <w:rPr>
                <w:spacing w:val="-7"/>
                <w:highlight w:val="none"/>
              </w:rPr>
              <w:t>品投标报价扣除比例为</w:t>
            </w:r>
            <w:r>
              <w:rPr>
                <w:spacing w:val="-7"/>
                <w:highlight w:val="none"/>
                <w:u w:val="single" w:color="auto"/>
              </w:rPr>
              <w:t>10</w:t>
            </w:r>
            <w:r>
              <w:rPr>
                <w:spacing w:val="-7"/>
                <w:highlight w:val="none"/>
              </w:rPr>
              <w:t>％。</w:t>
            </w:r>
          </w:p>
          <w:p w14:paraId="34DB1A5C">
            <w:pPr>
              <w:pStyle w:val="21"/>
              <w:keepNext w:val="0"/>
              <w:keepLines w:val="0"/>
              <w:pageBreakBefore w:val="0"/>
              <w:widowControl/>
              <w:kinsoku/>
              <w:wordWrap w:val="0"/>
              <w:overflowPunct/>
              <w:topLinePunct w:val="0"/>
              <w:autoSpaceDE/>
              <w:autoSpaceDN/>
              <w:bidi w:val="0"/>
              <w:adjustRightInd w:val="0"/>
              <w:snapToGrid w:val="0"/>
              <w:spacing w:before="274" w:line="360" w:lineRule="auto"/>
              <w:ind w:left="122" w:right="112"/>
              <w:textAlignment w:val="baseline"/>
              <w:rPr>
                <w:highlight w:val="none"/>
              </w:rPr>
            </w:pPr>
            <w:r>
              <w:rPr>
                <w:spacing w:val="-4"/>
                <w:highlight w:val="none"/>
              </w:rPr>
              <w:t>注：在政府采购活动中，残疾人福利性企业和监狱企业视同小型、微型企业，享受预留份额、评审中价格扣除等促进中小企业发展的政府采购政策。向残疾人福利性企业、和监狱企业采购的金额，计入</w:t>
            </w:r>
            <w:r>
              <w:rPr>
                <w:spacing w:val="-2"/>
                <w:highlight w:val="none"/>
              </w:rPr>
              <w:t>面向小微企业采购的统计数据。</w:t>
            </w:r>
          </w:p>
          <w:p w14:paraId="32AEF460">
            <w:pPr>
              <w:pStyle w:val="21"/>
              <w:keepNext w:val="0"/>
              <w:keepLines w:val="0"/>
              <w:pageBreakBefore w:val="0"/>
              <w:widowControl/>
              <w:kinsoku/>
              <w:wordWrap w:val="0"/>
              <w:overflowPunct/>
              <w:topLinePunct w:val="0"/>
              <w:autoSpaceDE/>
              <w:autoSpaceDN/>
              <w:bidi w:val="0"/>
              <w:adjustRightInd w:val="0"/>
              <w:snapToGrid w:val="0"/>
              <w:spacing w:line="360" w:lineRule="auto"/>
              <w:ind w:left="122" w:right="93" w:firstLine="5"/>
              <w:textAlignment w:val="baseline"/>
              <w:rPr>
                <w:highlight w:val="none"/>
              </w:rPr>
            </w:pPr>
            <w:r>
              <w:rPr>
                <w:spacing w:val="-3"/>
                <w:highlight w:val="none"/>
              </w:rPr>
              <w:t>投标供应商同时符合小型、微型企业及监狱企业、残疾人福利性单位要求的，评审时只有一种类型享</w:t>
            </w:r>
            <w:r>
              <w:rPr>
                <w:spacing w:val="-2"/>
                <w:highlight w:val="none"/>
              </w:rPr>
              <w:t>受价格评审优惠政策。</w:t>
            </w:r>
          </w:p>
        </w:tc>
      </w:tr>
      <w:tr w14:paraId="33137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863" w:type="dxa"/>
            <w:vMerge w:val="continue"/>
            <w:tcBorders>
              <w:top w:val="nil"/>
            </w:tcBorders>
            <w:vAlign w:val="top"/>
          </w:tcPr>
          <w:p w14:paraId="5CCFA38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72" w:type="dxa"/>
            <w:vMerge w:val="continue"/>
            <w:tcBorders>
              <w:top w:val="nil"/>
            </w:tcBorders>
            <w:vAlign w:val="top"/>
          </w:tcPr>
          <w:p w14:paraId="5B0C280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5448" w:type="dxa"/>
            <w:vAlign w:val="top"/>
          </w:tcPr>
          <w:p w14:paraId="4EF7D293">
            <w:pPr>
              <w:pStyle w:val="21"/>
              <w:keepNext w:val="0"/>
              <w:keepLines w:val="0"/>
              <w:pageBreakBefore w:val="0"/>
              <w:widowControl/>
              <w:kinsoku/>
              <w:wordWrap w:val="0"/>
              <w:overflowPunct/>
              <w:topLinePunct w:val="0"/>
              <w:autoSpaceDE/>
              <w:autoSpaceDN/>
              <w:bidi w:val="0"/>
              <w:adjustRightInd w:val="0"/>
              <w:snapToGrid w:val="0"/>
              <w:spacing w:before="74" w:line="360" w:lineRule="auto"/>
              <w:ind w:left="125" w:right="194" w:firstLine="82"/>
              <w:textAlignment w:val="baseline"/>
              <w:rPr>
                <w:highlight w:val="none"/>
              </w:rPr>
            </w:pPr>
            <w:r>
              <w:rPr>
                <w:spacing w:val="-6"/>
                <w:highlight w:val="none"/>
              </w:rPr>
              <w:t>(1)中小企业：按《关于印发＜政府采购促进中小企业发展管理办法＞的通知》(财库[2020]46</w:t>
            </w:r>
            <w:r>
              <w:rPr>
                <w:spacing w:val="-7"/>
                <w:highlight w:val="none"/>
              </w:rPr>
              <w:t>号)</w:t>
            </w:r>
            <w:r>
              <w:rPr>
                <w:spacing w:val="-2"/>
                <w:highlight w:val="none"/>
              </w:rPr>
              <w:t>规定，提供《中小企业声明函》（格式）。</w:t>
            </w:r>
          </w:p>
          <w:p w14:paraId="21C8EC6B">
            <w:pPr>
              <w:pStyle w:val="21"/>
              <w:keepNext w:val="0"/>
              <w:keepLines w:val="0"/>
              <w:pageBreakBefore w:val="0"/>
              <w:widowControl/>
              <w:kinsoku/>
              <w:wordWrap w:val="0"/>
              <w:overflowPunct/>
              <w:topLinePunct w:val="0"/>
              <w:autoSpaceDE/>
              <w:autoSpaceDN/>
              <w:bidi w:val="0"/>
              <w:adjustRightInd w:val="0"/>
              <w:snapToGrid w:val="0"/>
              <w:spacing w:before="302" w:line="360" w:lineRule="auto"/>
              <w:ind w:left="125" w:right="112" w:firstLine="82"/>
              <w:textAlignment w:val="baseline"/>
              <w:rPr>
                <w:highlight w:val="none"/>
              </w:rPr>
            </w:pPr>
            <w:r>
              <w:rPr>
                <w:spacing w:val="-6"/>
                <w:highlight w:val="none"/>
              </w:rPr>
              <w:t>(2)监狱企业：按《关于政府采购支持监狱企业发</w:t>
            </w:r>
            <w:r>
              <w:rPr>
                <w:spacing w:val="-7"/>
                <w:highlight w:val="none"/>
              </w:rPr>
              <w:t>展有关问题的通知》(财库〔2014〕68号)文件规定</w:t>
            </w:r>
            <w:r>
              <w:rPr>
                <w:spacing w:val="-2"/>
                <w:highlight w:val="none"/>
              </w:rPr>
              <w:t>提供证明文件（复印件）。</w:t>
            </w:r>
          </w:p>
          <w:p w14:paraId="20ABD94B">
            <w:pPr>
              <w:pStyle w:val="21"/>
              <w:keepNext w:val="0"/>
              <w:keepLines w:val="0"/>
              <w:pageBreakBefore w:val="0"/>
              <w:widowControl/>
              <w:kinsoku/>
              <w:wordWrap w:val="0"/>
              <w:overflowPunct/>
              <w:topLinePunct w:val="0"/>
              <w:autoSpaceDE/>
              <w:autoSpaceDN/>
              <w:bidi w:val="0"/>
              <w:adjustRightInd w:val="0"/>
              <w:snapToGrid w:val="0"/>
              <w:spacing w:before="303" w:line="360" w:lineRule="auto"/>
              <w:ind w:left="121" w:right="117" w:firstLine="86"/>
              <w:textAlignment w:val="baseline"/>
              <w:rPr>
                <w:highlight w:val="none"/>
              </w:rPr>
            </w:pPr>
            <w:r>
              <w:rPr>
                <w:spacing w:val="-6"/>
                <w:highlight w:val="none"/>
              </w:rPr>
              <w:t>(3)残疾人福利性单位：按《关于促进残疾人就业政府采购政策的通知》(财库〔2017〕141号)</w:t>
            </w:r>
            <w:r>
              <w:rPr>
                <w:spacing w:val="-7"/>
                <w:highlight w:val="none"/>
              </w:rPr>
              <w:t>文件</w:t>
            </w:r>
            <w:r>
              <w:rPr>
                <w:spacing w:val="-5"/>
                <w:highlight w:val="none"/>
              </w:rPr>
              <w:t>规定提供《残疾人福利性单位声明函》（格式）。</w:t>
            </w:r>
          </w:p>
          <w:p w14:paraId="071ECC83">
            <w:pPr>
              <w:pStyle w:val="21"/>
              <w:keepNext w:val="0"/>
              <w:keepLines w:val="0"/>
              <w:pageBreakBefore w:val="0"/>
              <w:widowControl/>
              <w:kinsoku/>
              <w:wordWrap w:val="0"/>
              <w:overflowPunct/>
              <w:topLinePunct w:val="0"/>
              <w:autoSpaceDE/>
              <w:autoSpaceDN/>
              <w:bidi w:val="0"/>
              <w:adjustRightInd w:val="0"/>
              <w:snapToGrid w:val="0"/>
              <w:spacing w:before="302" w:line="360" w:lineRule="auto"/>
              <w:ind w:left="121" w:right="122" w:firstLine="86"/>
              <w:textAlignment w:val="baseline"/>
              <w:rPr>
                <w:highlight w:val="none"/>
              </w:rPr>
            </w:pPr>
            <w:r>
              <w:rPr>
                <w:spacing w:val="-6"/>
                <w:highlight w:val="none"/>
              </w:rPr>
              <w:t>(4)中小企业其他规定：本次采购标的按中小企业</w:t>
            </w:r>
            <w:r>
              <w:rPr>
                <w:spacing w:val="-4"/>
                <w:highlight w:val="none"/>
              </w:rPr>
              <w:t>划分标准（工信部企业〔2011〕300号）</w:t>
            </w:r>
            <w:r>
              <w:rPr>
                <w:b/>
                <w:bCs/>
                <w:spacing w:val="-4"/>
                <w:highlight w:val="none"/>
              </w:rPr>
              <w:t>【投标须</w:t>
            </w:r>
            <w:r>
              <w:rPr>
                <w:b/>
                <w:bCs/>
                <w:spacing w:val="-6"/>
                <w:highlight w:val="none"/>
              </w:rPr>
              <w:t>知前附表】规定。</w:t>
            </w:r>
          </w:p>
        </w:tc>
      </w:tr>
      <w:tr w14:paraId="1C277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4" w:hRule="atLeast"/>
        </w:trPr>
        <w:tc>
          <w:tcPr>
            <w:tcW w:w="1863" w:type="dxa"/>
            <w:vMerge w:val="restart"/>
            <w:vAlign w:val="center"/>
          </w:tcPr>
          <w:p w14:paraId="4549FD16">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201"/>
              <w:jc w:val="center"/>
              <w:textAlignment w:val="baseline"/>
              <w:rPr>
                <w:highlight w:val="none"/>
              </w:rPr>
            </w:pPr>
            <w:r>
              <w:rPr>
                <w:spacing w:val="-3"/>
                <w:highlight w:val="none"/>
              </w:rPr>
              <w:t>第5.</w:t>
            </w:r>
            <w:r>
              <w:rPr>
                <w:rFonts w:hint="eastAsia"/>
                <w:spacing w:val="-3"/>
                <w:highlight w:val="none"/>
                <w:lang w:val="en-US" w:eastAsia="zh-CN"/>
              </w:rPr>
              <w:t>4</w:t>
            </w:r>
            <w:r>
              <w:rPr>
                <w:spacing w:val="-3"/>
                <w:highlight w:val="none"/>
              </w:rPr>
              <w:t>（2）项</w:t>
            </w:r>
          </w:p>
        </w:tc>
        <w:tc>
          <w:tcPr>
            <w:tcW w:w="2272" w:type="dxa"/>
            <w:vMerge w:val="restart"/>
            <w:vAlign w:val="center"/>
          </w:tcPr>
          <w:p w14:paraId="085FB094">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4"/>
                <w:highlight w:val="none"/>
              </w:rPr>
              <w:t>优先采购</w:t>
            </w:r>
          </w:p>
        </w:tc>
        <w:tc>
          <w:tcPr>
            <w:tcW w:w="5448" w:type="dxa"/>
            <w:vAlign w:val="top"/>
          </w:tcPr>
          <w:p w14:paraId="23D75B0E">
            <w:pPr>
              <w:pStyle w:val="21"/>
              <w:keepNext w:val="0"/>
              <w:keepLines w:val="0"/>
              <w:pageBreakBefore w:val="0"/>
              <w:widowControl/>
              <w:kinsoku/>
              <w:wordWrap w:val="0"/>
              <w:overflowPunct/>
              <w:topLinePunct w:val="0"/>
              <w:autoSpaceDE/>
              <w:autoSpaceDN/>
              <w:bidi w:val="0"/>
              <w:adjustRightInd w:val="0"/>
              <w:snapToGrid w:val="0"/>
              <w:spacing w:before="75" w:line="360" w:lineRule="auto"/>
              <w:ind w:left="122" w:right="179" w:firstLine="263"/>
              <w:textAlignment w:val="baseline"/>
              <w:rPr>
                <w:spacing w:val="-2"/>
                <w:highlight w:val="none"/>
              </w:rPr>
            </w:pPr>
            <w:r>
              <w:rPr>
                <w:spacing w:val="-2"/>
                <w:highlight w:val="none"/>
              </w:rPr>
              <w:t>（1）在价格评审中，应对节能产品、环境</w:t>
            </w:r>
            <w:r>
              <w:rPr>
                <w:spacing w:val="-3"/>
                <w:highlight w:val="none"/>
              </w:rPr>
              <w:t>标志</w:t>
            </w:r>
            <w:r>
              <w:rPr>
                <w:spacing w:val="-2"/>
                <w:highlight w:val="none"/>
              </w:rPr>
              <w:t>产品给予价格评审总分值的4%-8%幅度不等的加</w:t>
            </w:r>
          </w:p>
          <w:p w14:paraId="2A8D118A">
            <w:pPr>
              <w:pStyle w:val="21"/>
              <w:keepNext w:val="0"/>
              <w:keepLines w:val="0"/>
              <w:pageBreakBefore w:val="0"/>
              <w:widowControl/>
              <w:kinsoku/>
              <w:wordWrap w:val="0"/>
              <w:overflowPunct/>
              <w:topLinePunct w:val="0"/>
              <w:autoSpaceDE/>
              <w:autoSpaceDN/>
              <w:bidi w:val="0"/>
              <w:adjustRightInd w:val="0"/>
              <w:snapToGrid w:val="0"/>
              <w:spacing w:before="58" w:line="360" w:lineRule="auto"/>
              <w:ind w:left="127"/>
              <w:textAlignment w:val="baseline"/>
              <w:rPr>
                <w:highlight w:val="none"/>
              </w:rPr>
            </w:pPr>
            <w:r>
              <w:rPr>
                <w:spacing w:val="-2"/>
                <w:highlight w:val="none"/>
              </w:rPr>
              <w:t>分，本项目加分比例为</w:t>
            </w:r>
            <w:r>
              <w:rPr>
                <w:spacing w:val="-2"/>
                <w:highlight w:val="none"/>
                <w:u w:val="single" w:color="auto"/>
              </w:rPr>
              <w:t>4</w:t>
            </w:r>
            <w:r>
              <w:rPr>
                <w:spacing w:val="-2"/>
                <w:highlight w:val="none"/>
              </w:rPr>
              <w:t>%；</w:t>
            </w:r>
          </w:p>
          <w:p w14:paraId="52B5E4A1">
            <w:pPr>
              <w:pStyle w:val="21"/>
              <w:keepNext w:val="0"/>
              <w:keepLines w:val="0"/>
              <w:pageBreakBefore w:val="0"/>
              <w:widowControl/>
              <w:kinsoku/>
              <w:wordWrap w:val="0"/>
              <w:overflowPunct/>
              <w:topLinePunct w:val="0"/>
              <w:autoSpaceDE/>
              <w:autoSpaceDN/>
              <w:bidi w:val="0"/>
              <w:adjustRightInd w:val="0"/>
              <w:snapToGrid w:val="0"/>
              <w:spacing w:before="281" w:line="360" w:lineRule="auto"/>
              <w:ind w:left="122" w:right="119" w:firstLine="263"/>
              <w:jc w:val="both"/>
              <w:textAlignment w:val="baseline"/>
              <w:rPr>
                <w:highlight w:val="none"/>
              </w:rPr>
            </w:pPr>
            <w:r>
              <w:rPr>
                <w:highlight w:val="none"/>
              </w:rPr>
              <w:t>（2）在技术评审中，应对节能产品、环境标志</w:t>
            </w:r>
            <w:r>
              <w:rPr>
                <w:spacing w:val="7"/>
                <w:highlight w:val="none"/>
              </w:rPr>
              <w:t>产品给予技术评审总分值的4%-8%幅度不等的加</w:t>
            </w:r>
            <w:r>
              <w:rPr>
                <w:spacing w:val="-2"/>
                <w:highlight w:val="none"/>
              </w:rPr>
              <w:t>分，本项目加分比例为</w:t>
            </w:r>
            <w:r>
              <w:rPr>
                <w:spacing w:val="-2"/>
                <w:highlight w:val="none"/>
                <w:u w:val="single" w:color="auto"/>
              </w:rPr>
              <w:t>4</w:t>
            </w:r>
            <w:r>
              <w:rPr>
                <w:spacing w:val="-2"/>
                <w:highlight w:val="none"/>
              </w:rPr>
              <w:t>%。</w:t>
            </w:r>
          </w:p>
        </w:tc>
      </w:tr>
      <w:tr w14:paraId="296B3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1863" w:type="dxa"/>
            <w:vMerge w:val="continue"/>
            <w:vAlign w:val="top"/>
          </w:tcPr>
          <w:p w14:paraId="3E2F369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72" w:type="dxa"/>
            <w:vMerge w:val="continue"/>
            <w:vAlign w:val="top"/>
          </w:tcPr>
          <w:p w14:paraId="2FBDF51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5448" w:type="dxa"/>
            <w:vAlign w:val="top"/>
          </w:tcPr>
          <w:p w14:paraId="6280185A">
            <w:pPr>
              <w:pStyle w:val="21"/>
              <w:keepNext w:val="0"/>
              <w:keepLines w:val="0"/>
              <w:pageBreakBefore w:val="0"/>
              <w:widowControl/>
              <w:kinsoku/>
              <w:wordWrap w:val="0"/>
              <w:overflowPunct/>
              <w:topLinePunct w:val="0"/>
              <w:autoSpaceDE/>
              <w:autoSpaceDN/>
              <w:bidi w:val="0"/>
              <w:adjustRightInd w:val="0"/>
              <w:snapToGrid w:val="0"/>
              <w:spacing w:before="69" w:line="360" w:lineRule="auto"/>
              <w:ind w:left="122" w:right="105" w:firstLine="505"/>
              <w:jc w:val="both"/>
              <w:textAlignment w:val="baseline"/>
              <w:rPr>
                <w:highlight w:val="none"/>
              </w:rPr>
            </w:pPr>
            <w:r>
              <w:rPr>
                <w:spacing w:val="-10"/>
                <w:highlight w:val="none"/>
              </w:rPr>
              <w:t>(1)节能产品、环境标志产品：提供国家确定的</w:t>
            </w:r>
            <w:r>
              <w:rPr>
                <w:spacing w:val="-4"/>
                <w:highlight w:val="none"/>
              </w:rPr>
              <w:t>认证机构出具的、处于有效期之内的节能产品、环</w:t>
            </w:r>
            <w:r>
              <w:rPr>
                <w:spacing w:val="-2"/>
                <w:highlight w:val="none"/>
              </w:rPr>
              <w:t>境标志产品认证证书（复印件）。</w:t>
            </w:r>
          </w:p>
        </w:tc>
      </w:tr>
      <w:tr w14:paraId="5F09E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1863" w:type="dxa"/>
            <w:vMerge w:val="continue"/>
            <w:vAlign w:val="top"/>
          </w:tcPr>
          <w:p w14:paraId="79B5B37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72" w:type="dxa"/>
            <w:vMerge w:val="continue"/>
            <w:vAlign w:val="top"/>
          </w:tcPr>
          <w:p w14:paraId="2F9C5A7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5448" w:type="dxa"/>
            <w:vAlign w:val="top"/>
          </w:tcPr>
          <w:p w14:paraId="6A9D16CD">
            <w:pPr>
              <w:pStyle w:val="21"/>
              <w:keepNext w:val="0"/>
              <w:keepLines w:val="0"/>
              <w:pageBreakBefore w:val="0"/>
              <w:widowControl/>
              <w:kinsoku/>
              <w:wordWrap w:val="0"/>
              <w:overflowPunct/>
              <w:topLinePunct w:val="0"/>
              <w:autoSpaceDE/>
              <w:autoSpaceDN/>
              <w:bidi w:val="0"/>
              <w:adjustRightInd w:val="0"/>
              <w:snapToGrid w:val="0"/>
              <w:spacing w:before="73" w:line="360" w:lineRule="auto"/>
              <w:ind w:left="122" w:right="115" w:firstLine="565"/>
              <w:textAlignment w:val="baseline"/>
              <w:rPr>
                <w:highlight w:val="none"/>
              </w:rPr>
            </w:pPr>
            <w:r>
              <w:rPr>
                <w:spacing w:val="-6"/>
                <w:highlight w:val="none"/>
              </w:rPr>
              <w:t>(1)投标供应商提供的产品取得两个及以上优</w:t>
            </w:r>
            <w:r>
              <w:rPr>
                <w:spacing w:val="-4"/>
                <w:highlight w:val="none"/>
              </w:rPr>
              <w:t>先采购产品认证的，评审时只有其中一项产品能够享受优先采购优惠（投标供应商自行选择，并在</w:t>
            </w:r>
            <w:r>
              <w:rPr>
                <w:rFonts w:hint="eastAsia"/>
                <w:spacing w:val="-4"/>
                <w:highlight w:val="none"/>
                <w:lang w:eastAsia="zh-CN"/>
              </w:rPr>
              <w:t>投标文件</w:t>
            </w:r>
            <w:r>
              <w:rPr>
                <w:spacing w:val="-2"/>
                <w:highlight w:val="none"/>
              </w:rPr>
              <w:t>中并填报相关信息及数据）</w:t>
            </w:r>
          </w:p>
          <w:p w14:paraId="3C534199">
            <w:pPr>
              <w:pStyle w:val="21"/>
              <w:keepNext w:val="0"/>
              <w:keepLines w:val="0"/>
              <w:pageBreakBefore w:val="0"/>
              <w:widowControl/>
              <w:kinsoku/>
              <w:wordWrap w:val="0"/>
              <w:overflowPunct/>
              <w:topLinePunct w:val="0"/>
              <w:autoSpaceDE/>
              <w:autoSpaceDN/>
              <w:bidi w:val="0"/>
              <w:adjustRightInd w:val="0"/>
              <w:snapToGrid w:val="0"/>
              <w:spacing w:before="314" w:line="360" w:lineRule="auto"/>
              <w:ind w:left="130" w:right="110" w:firstLine="556"/>
              <w:textAlignment w:val="baseline"/>
              <w:rPr>
                <w:highlight w:val="none"/>
              </w:rPr>
            </w:pPr>
            <w:r>
              <w:rPr>
                <w:spacing w:val="-9"/>
                <w:highlight w:val="none"/>
              </w:rPr>
              <w:t>(2)小型和微型企业的价格评审优惠可以与</w:t>
            </w:r>
            <w:r>
              <w:rPr>
                <w:spacing w:val="-10"/>
                <w:highlight w:val="none"/>
              </w:rPr>
              <w:t>同时属于“节能产品”、“环境标志产品”中的一</w:t>
            </w:r>
            <w:r>
              <w:rPr>
                <w:spacing w:val="-3"/>
                <w:highlight w:val="none"/>
              </w:rPr>
              <w:t>项优先采购优惠累加计算。</w:t>
            </w:r>
          </w:p>
        </w:tc>
      </w:tr>
      <w:tr w14:paraId="37E0D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8" w:hRule="atLeast"/>
        </w:trPr>
        <w:tc>
          <w:tcPr>
            <w:tcW w:w="1863" w:type="dxa"/>
            <w:vAlign w:val="center"/>
          </w:tcPr>
          <w:p w14:paraId="79F0F44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6"/>
                <w:highlight w:val="none"/>
              </w:rPr>
              <w:t>第6.1款</w:t>
            </w:r>
          </w:p>
        </w:tc>
        <w:tc>
          <w:tcPr>
            <w:tcW w:w="2272" w:type="dxa"/>
            <w:vAlign w:val="center"/>
          </w:tcPr>
          <w:p w14:paraId="33D6FD2E">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both"/>
              <w:textAlignment w:val="baseline"/>
              <w:rPr>
                <w:highlight w:val="none"/>
              </w:rPr>
            </w:pPr>
            <w:r>
              <w:rPr>
                <w:spacing w:val="-7"/>
                <w:highlight w:val="none"/>
              </w:rPr>
              <w:t>中标候选人并列的</w:t>
            </w:r>
            <w:r>
              <w:rPr>
                <w:spacing w:val="-3"/>
                <w:highlight w:val="none"/>
              </w:rPr>
              <w:t>确定中标供应商的</w:t>
            </w:r>
            <w:r>
              <w:rPr>
                <w:spacing w:val="-6"/>
                <w:highlight w:val="none"/>
              </w:rPr>
              <w:t>方式</w:t>
            </w:r>
          </w:p>
        </w:tc>
        <w:tc>
          <w:tcPr>
            <w:tcW w:w="5448" w:type="dxa"/>
            <w:vAlign w:val="top"/>
          </w:tcPr>
          <w:p w14:paraId="3CDBAA3C">
            <w:pPr>
              <w:pStyle w:val="21"/>
              <w:keepNext w:val="0"/>
              <w:keepLines w:val="0"/>
              <w:pageBreakBefore w:val="0"/>
              <w:widowControl/>
              <w:kinsoku/>
              <w:wordWrap w:val="0"/>
              <w:overflowPunct/>
              <w:topLinePunct w:val="0"/>
              <w:autoSpaceDE/>
              <w:autoSpaceDN/>
              <w:bidi w:val="0"/>
              <w:adjustRightInd w:val="0"/>
              <w:snapToGrid w:val="0"/>
              <w:spacing w:before="226" w:line="360" w:lineRule="auto"/>
              <w:ind w:left="121" w:right="191"/>
              <w:textAlignment w:val="baseline"/>
              <w:rPr>
                <w:highlight w:val="none"/>
              </w:rPr>
            </w:pPr>
            <w:r>
              <w:rPr>
                <w:spacing w:val="-2"/>
                <w:highlight w:val="none"/>
              </w:rPr>
              <w:t>评标方法及标准中标候选人并列的(得分且投标报价相同的),按照评标方法及标准中技术部分得分从高到低排序,技术部分得分相同的按照评标方法及标准中商务部分从高到低排序,以此类推,若都相同，由采购人自行确定中标投标供应商。</w:t>
            </w:r>
          </w:p>
        </w:tc>
      </w:tr>
    </w:tbl>
    <w:p w14:paraId="527E6E8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C3E937D">
      <w:pPr>
        <w:rPr>
          <w:b/>
          <w:bCs/>
          <w:spacing w:val="11"/>
          <w:highlight w:val="none"/>
        </w:rPr>
      </w:pPr>
      <w:r>
        <w:rPr>
          <w:b/>
          <w:bCs/>
          <w:spacing w:val="11"/>
          <w:highlight w:val="none"/>
        </w:rPr>
        <w:br w:type="page"/>
      </w:r>
    </w:p>
    <w:p w14:paraId="16FF5A94">
      <w:pPr>
        <w:pStyle w:val="5"/>
        <w:bidi w:val="0"/>
      </w:pPr>
      <w:bookmarkStart w:id="169" w:name="_Toc9570"/>
      <w:r>
        <w:t>第二节评标方法及标准</w:t>
      </w:r>
      <w:bookmarkEnd w:id="169"/>
    </w:p>
    <w:p w14:paraId="45F8CC25">
      <w:pPr>
        <w:pStyle w:val="6"/>
        <w:bidi w:val="0"/>
        <w:rPr>
          <w:rFonts w:ascii="宋体" w:hAnsi="宋体" w:eastAsia="宋体" w:cs="宋体"/>
          <w:b/>
          <w:bCs/>
          <w:spacing w:val="-2"/>
          <w:sz w:val="24"/>
          <w:szCs w:val="24"/>
          <w:highlight w:val="none"/>
        </w:rPr>
      </w:pPr>
      <w:bookmarkStart w:id="170" w:name="_Toc30189"/>
      <w:bookmarkStart w:id="171" w:name="_Toc23052"/>
      <w:bookmarkStart w:id="172" w:name="_Toc7682"/>
      <w:r>
        <w:rPr>
          <w:rFonts w:ascii="宋体" w:hAnsi="宋体" w:eastAsia="宋体" w:cs="宋体"/>
          <w:b/>
          <w:bCs/>
          <w:spacing w:val="-2"/>
          <w:sz w:val="24"/>
          <w:szCs w:val="24"/>
          <w:highlight w:val="none"/>
        </w:rPr>
        <w:t>1．评标方法</w:t>
      </w:r>
      <w:bookmarkEnd w:id="170"/>
      <w:bookmarkEnd w:id="171"/>
      <w:bookmarkEnd w:id="172"/>
    </w:p>
    <w:p w14:paraId="29F0C4E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right="64" w:firstLine="509"/>
        <w:textAlignment w:val="baseline"/>
        <w:rPr>
          <w:sz w:val="24"/>
          <w:szCs w:val="24"/>
          <w:highlight w:val="none"/>
        </w:rPr>
      </w:pPr>
      <w:r>
        <w:rPr>
          <w:spacing w:val="-2"/>
          <w:sz w:val="24"/>
          <w:szCs w:val="24"/>
          <w:highlight w:val="none"/>
        </w:rPr>
        <w:t>1.1综合评分法，指投标文件满足招标文件全部实质性要求，且按照评</w:t>
      </w:r>
      <w:r>
        <w:rPr>
          <w:spacing w:val="-3"/>
          <w:sz w:val="24"/>
          <w:szCs w:val="24"/>
          <w:highlight w:val="none"/>
        </w:rPr>
        <w:t>审因素的量化</w:t>
      </w:r>
      <w:r>
        <w:rPr>
          <w:spacing w:val="-2"/>
          <w:sz w:val="24"/>
          <w:szCs w:val="24"/>
          <w:highlight w:val="none"/>
        </w:rPr>
        <w:t>指标评审得分最高的供应商为中标候选人的评标方法。</w:t>
      </w:r>
    </w:p>
    <w:p w14:paraId="06BEE40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spacing w:val="-6"/>
          <w:sz w:val="24"/>
          <w:szCs w:val="24"/>
          <w:highlight w:val="none"/>
        </w:rPr>
        <w:t>1.2本采购项目评标方法见本章第四节“附页1评标方法及标准表”。</w:t>
      </w:r>
    </w:p>
    <w:p w14:paraId="0BC9D604">
      <w:pPr>
        <w:pStyle w:val="6"/>
        <w:bidi w:val="0"/>
        <w:rPr>
          <w:rFonts w:ascii="宋体" w:hAnsi="宋体" w:eastAsia="宋体" w:cs="宋体"/>
          <w:b/>
          <w:bCs/>
          <w:spacing w:val="-2"/>
          <w:sz w:val="24"/>
          <w:szCs w:val="24"/>
          <w:highlight w:val="none"/>
        </w:rPr>
      </w:pPr>
      <w:bookmarkStart w:id="173" w:name="_Toc16508"/>
      <w:bookmarkStart w:id="174" w:name="_Toc12205"/>
      <w:bookmarkStart w:id="175" w:name="_Toc14226"/>
      <w:r>
        <w:rPr>
          <w:rFonts w:ascii="宋体" w:hAnsi="宋体" w:eastAsia="宋体" w:cs="宋体"/>
          <w:b/>
          <w:bCs/>
          <w:spacing w:val="-2"/>
          <w:sz w:val="24"/>
          <w:szCs w:val="24"/>
          <w:highlight w:val="none"/>
        </w:rPr>
        <w:t>2．评标程序</w:t>
      </w:r>
      <w:bookmarkEnd w:id="173"/>
      <w:bookmarkEnd w:id="174"/>
      <w:bookmarkEnd w:id="175"/>
    </w:p>
    <w:p w14:paraId="49537B7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3" w:right="64" w:firstLine="480"/>
        <w:textAlignment w:val="baseline"/>
        <w:rPr>
          <w:sz w:val="24"/>
          <w:szCs w:val="24"/>
          <w:highlight w:val="none"/>
        </w:rPr>
      </w:pPr>
      <w:r>
        <w:rPr>
          <w:spacing w:val="-2"/>
          <w:sz w:val="24"/>
          <w:szCs w:val="24"/>
          <w:highlight w:val="none"/>
        </w:rPr>
        <w:t>2.1评标程序分为投标文件符合性审查、澄清有关问题、比较和评价、推荐中标候选</w:t>
      </w:r>
      <w:r>
        <w:rPr>
          <w:spacing w:val="-6"/>
          <w:sz w:val="24"/>
          <w:szCs w:val="24"/>
          <w:highlight w:val="none"/>
        </w:rPr>
        <w:t>人。</w:t>
      </w:r>
    </w:p>
    <w:p w14:paraId="32630D6A">
      <w:pPr>
        <w:pStyle w:val="6"/>
        <w:bidi w:val="0"/>
        <w:rPr>
          <w:rFonts w:ascii="宋体" w:hAnsi="宋体" w:eastAsia="宋体" w:cs="宋体"/>
          <w:b/>
          <w:bCs/>
          <w:spacing w:val="-2"/>
          <w:sz w:val="24"/>
          <w:szCs w:val="24"/>
          <w:highlight w:val="none"/>
        </w:rPr>
      </w:pPr>
      <w:bookmarkStart w:id="176" w:name="_Toc23795"/>
      <w:bookmarkStart w:id="177" w:name="_Toc29010"/>
      <w:bookmarkStart w:id="178" w:name="_Toc19045"/>
      <w:r>
        <w:rPr>
          <w:rFonts w:ascii="宋体" w:hAnsi="宋体" w:eastAsia="宋体" w:cs="宋体"/>
          <w:b/>
          <w:bCs/>
          <w:spacing w:val="-2"/>
          <w:sz w:val="24"/>
          <w:szCs w:val="24"/>
          <w:highlight w:val="none"/>
        </w:rPr>
        <w:t>3．投标文件的符合性审查</w:t>
      </w:r>
      <w:bookmarkEnd w:id="176"/>
      <w:bookmarkEnd w:id="177"/>
      <w:bookmarkEnd w:id="178"/>
    </w:p>
    <w:p w14:paraId="4F96854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9" w:right="62" w:firstLine="479"/>
        <w:textAlignment w:val="baseline"/>
        <w:rPr>
          <w:sz w:val="24"/>
          <w:szCs w:val="24"/>
          <w:highlight w:val="none"/>
        </w:rPr>
      </w:pPr>
      <w:r>
        <w:rPr>
          <w:spacing w:val="-4"/>
          <w:sz w:val="24"/>
          <w:szCs w:val="24"/>
          <w:highlight w:val="none"/>
        </w:rPr>
        <w:t>3.1资格审查结束后，评标委员会依法按照本章第三节“投标文件的符合性审查”规定进行投标文件符合性。</w:t>
      </w:r>
    </w:p>
    <w:p w14:paraId="14B659A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8"/>
        <w:textAlignment w:val="baseline"/>
        <w:rPr>
          <w:sz w:val="24"/>
          <w:szCs w:val="24"/>
          <w:highlight w:val="none"/>
        </w:rPr>
      </w:pPr>
      <w:r>
        <w:rPr>
          <w:spacing w:val="-4"/>
          <w:sz w:val="24"/>
          <w:szCs w:val="24"/>
          <w:highlight w:val="none"/>
        </w:rPr>
        <w:t>3.2符合性审查合格供应商少于3家的，应予废标。</w:t>
      </w:r>
    </w:p>
    <w:p w14:paraId="15717B9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3" w:right="178" w:firstLine="482"/>
        <w:textAlignment w:val="baseline"/>
        <w:rPr>
          <w:sz w:val="24"/>
          <w:szCs w:val="24"/>
          <w:highlight w:val="none"/>
        </w:rPr>
      </w:pPr>
      <w:r>
        <w:rPr>
          <w:spacing w:val="-4"/>
          <w:sz w:val="24"/>
          <w:szCs w:val="24"/>
          <w:highlight w:val="none"/>
        </w:rPr>
        <w:t>3.3单一产品采购项目：提供相同品牌产品的不同供应商参加</w:t>
      </w:r>
      <w:r>
        <w:rPr>
          <w:spacing w:val="-5"/>
          <w:sz w:val="24"/>
          <w:szCs w:val="24"/>
          <w:highlight w:val="none"/>
        </w:rPr>
        <w:t>同一合同项下投标的，</w:t>
      </w:r>
      <w:r>
        <w:rPr>
          <w:spacing w:val="-1"/>
          <w:sz w:val="24"/>
          <w:szCs w:val="24"/>
          <w:highlight w:val="none"/>
        </w:rPr>
        <w:t>按一家供应商计算。提供不同品牌产品的供应商不足三家的，应予废标。</w:t>
      </w:r>
    </w:p>
    <w:p w14:paraId="36BB157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 w:right="9" w:firstLine="443"/>
        <w:textAlignment w:val="baseline"/>
        <w:rPr>
          <w:sz w:val="24"/>
          <w:szCs w:val="24"/>
          <w:highlight w:val="none"/>
        </w:rPr>
      </w:pPr>
      <w:r>
        <w:rPr>
          <w:spacing w:val="-3"/>
          <w:sz w:val="24"/>
          <w:szCs w:val="24"/>
          <w:highlight w:val="none"/>
        </w:rPr>
        <w:t>3.4非单一产品采购项目：采购人或者采购代理机构将在</w:t>
      </w:r>
      <w:r>
        <w:rPr>
          <w:b/>
          <w:bCs/>
          <w:spacing w:val="-3"/>
          <w:sz w:val="24"/>
          <w:szCs w:val="24"/>
          <w:highlight w:val="none"/>
        </w:rPr>
        <w:t>【评标方法及标准前附表】</w:t>
      </w:r>
      <w:r>
        <w:rPr>
          <w:spacing w:val="-2"/>
          <w:sz w:val="24"/>
          <w:szCs w:val="24"/>
          <w:highlight w:val="none"/>
        </w:rPr>
        <w:t>中载明核心产品。多家供应商提供的核心产品品牌相同的，视为相同品牌，按本章本节第</w:t>
      </w:r>
      <w:r>
        <w:rPr>
          <w:spacing w:val="-5"/>
          <w:sz w:val="24"/>
          <w:szCs w:val="24"/>
          <w:highlight w:val="none"/>
        </w:rPr>
        <w:t>3.3款规定处理。</w:t>
      </w:r>
    </w:p>
    <w:p w14:paraId="05E72848">
      <w:pPr>
        <w:pStyle w:val="6"/>
        <w:bidi w:val="0"/>
        <w:rPr>
          <w:rFonts w:ascii="宋体" w:hAnsi="宋体" w:eastAsia="宋体" w:cs="宋体"/>
          <w:b/>
          <w:bCs/>
          <w:spacing w:val="-2"/>
          <w:sz w:val="24"/>
          <w:szCs w:val="24"/>
          <w:highlight w:val="none"/>
        </w:rPr>
      </w:pPr>
      <w:bookmarkStart w:id="179" w:name="_Toc16913"/>
      <w:bookmarkStart w:id="180" w:name="_Toc27267"/>
      <w:bookmarkStart w:id="181" w:name="_Toc7693"/>
      <w:r>
        <w:rPr>
          <w:rFonts w:ascii="宋体" w:hAnsi="宋体" w:eastAsia="宋体" w:cs="宋体"/>
          <w:b/>
          <w:bCs/>
          <w:spacing w:val="-2"/>
          <w:sz w:val="24"/>
          <w:szCs w:val="24"/>
          <w:highlight w:val="none"/>
        </w:rPr>
        <w:t>4．投标文件的澄清</w:t>
      </w:r>
      <w:bookmarkEnd w:id="179"/>
      <w:bookmarkEnd w:id="180"/>
      <w:bookmarkEnd w:id="181"/>
    </w:p>
    <w:p w14:paraId="67DB6E94">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8" w:firstLine="476"/>
        <w:jc w:val="both"/>
        <w:textAlignment w:val="baseline"/>
        <w:rPr>
          <w:sz w:val="24"/>
          <w:szCs w:val="24"/>
          <w:highlight w:val="none"/>
        </w:rPr>
      </w:pPr>
      <w:r>
        <w:rPr>
          <w:spacing w:val="1"/>
          <w:sz w:val="24"/>
          <w:szCs w:val="24"/>
          <w:highlight w:val="none"/>
        </w:rPr>
        <w:t>4.1对于投标文件中含义不明确、同类问题表述</w:t>
      </w:r>
      <w:r>
        <w:rPr>
          <w:sz w:val="24"/>
          <w:szCs w:val="24"/>
          <w:highlight w:val="none"/>
        </w:rPr>
        <w:t>不一致或者有明显文字和计算错误的</w:t>
      </w:r>
      <w:r>
        <w:rPr>
          <w:spacing w:val="-3"/>
          <w:sz w:val="24"/>
          <w:szCs w:val="24"/>
          <w:highlight w:val="none"/>
        </w:rPr>
        <w:t>内容，应当通过《湘西土家族苗族自治州公共资源交易中心》</w:t>
      </w:r>
      <w:r>
        <w:rPr>
          <w:highlight w:val="none"/>
        </w:rPr>
        <w:fldChar w:fldCharType="begin"/>
      </w:r>
      <w:r>
        <w:rPr>
          <w:highlight w:val="none"/>
        </w:rPr>
        <w:instrText xml:space="preserve"> HYPERLINK "http://ggzyjy.xxz.gov.cn/" </w:instrText>
      </w:r>
      <w:r>
        <w:rPr>
          <w:highlight w:val="none"/>
        </w:rPr>
        <w:fldChar w:fldCharType="separate"/>
      </w:r>
      <w:r>
        <w:rPr>
          <w:spacing w:val="-3"/>
          <w:sz w:val="24"/>
          <w:szCs w:val="24"/>
          <w:highlight w:val="none"/>
        </w:rPr>
        <w:t>http://ggzyjy.xxz.gov.cn/</w:t>
      </w:r>
      <w:r>
        <w:rPr>
          <w:spacing w:val="-3"/>
          <w:sz w:val="24"/>
          <w:szCs w:val="24"/>
          <w:highlight w:val="none"/>
        </w:rPr>
        <w:fldChar w:fldCharType="end"/>
      </w:r>
      <w:r>
        <w:rPr>
          <w:spacing w:val="-1"/>
          <w:sz w:val="24"/>
          <w:szCs w:val="24"/>
          <w:highlight w:val="none"/>
        </w:rPr>
        <w:t>要求供应商作出必要的澄清、说明或者补正采用《湘西土家族苗族自治州公共资源交易中</w:t>
      </w:r>
      <w:r>
        <w:rPr>
          <w:spacing w:val="3"/>
          <w:sz w:val="24"/>
          <w:szCs w:val="24"/>
          <w:highlight w:val="none"/>
        </w:rPr>
        <w:t>心》</w:t>
      </w:r>
      <w:r>
        <w:rPr>
          <w:highlight w:val="none"/>
        </w:rPr>
        <w:fldChar w:fldCharType="begin"/>
      </w:r>
      <w:r>
        <w:rPr>
          <w:highlight w:val="none"/>
        </w:rPr>
        <w:instrText xml:space="preserve"> HYPERLINK "http://ggzyjy.xxz.gov.cn/" </w:instrText>
      </w:r>
      <w:r>
        <w:rPr>
          <w:highlight w:val="none"/>
        </w:rPr>
        <w:fldChar w:fldCharType="separate"/>
      </w:r>
      <w:r>
        <w:rPr>
          <w:sz w:val="24"/>
          <w:szCs w:val="24"/>
          <w:highlight w:val="none"/>
        </w:rPr>
        <w:t>http</w:t>
      </w:r>
      <w:r>
        <w:rPr>
          <w:spacing w:val="3"/>
          <w:sz w:val="24"/>
          <w:szCs w:val="24"/>
          <w:highlight w:val="none"/>
        </w:rPr>
        <w:t>://</w:t>
      </w:r>
      <w:r>
        <w:rPr>
          <w:sz w:val="24"/>
          <w:szCs w:val="24"/>
          <w:highlight w:val="none"/>
        </w:rPr>
        <w:t>ggzyjy</w:t>
      </w:r>
      <w:r>
        <w:rPr>
          <w:spacing w:val="3"/>
          <w:sz w:val="24"/>
          <w:szCs w:val="24"/>
          <w:highlight w:val="none"/>
        </w:rPr>
        <w:t>.</w:t>
      </w:r>
      <w:r>
        <w:rPr>
          <w:sz w:val="24"/>
          <w:szCs w:val="24"/>
          <w:highlight w:val="none"/>
        </w:rPr>
        <w:t>xxz</w:t>
      </w:r>
      <w:r>
        <w:rPr>
          <w:spacing w:val="3"/>
          <w:sz w:val="24"/>
          <w:szCs w:val="24"/>
          <w:highlight w:val="none"/>
        </w:rPr>
        <w:t>.</w:t>
      </w:r>
      <w:r>
        <w:rPr>
          <w:sz w:val="24"/>
          <w:szCs w:val="24"/>
          <w:highlight w:val="none"/>
        </w:rPr>
        <w:t>gov</w:t>
      </w:r>
      <w:r>
        <w:rPr>
          <w:spacing w:val="3"/>
          <w:sz w:val="24"/>
          <w:szCs w:val="24"/>
          <w:highlight w:val="none"/>
        </w:rPr>
        <w:t>.</w:t>
      </w:r>
      <w:r>
        <w:rPr>
          <w:sz w:val="24"/>
          <w:szCs w:val="24"/>
          <w:highlight w:val="none"/>
        </w:rPr>
        <w:t>cn</w:t>
      </w:r>
      <w:r>
        <w:rPr>
          <w:spacing w:val="3"/>
          <w:sz w:val="24"/>
          <w:szCs w:val="24"/>
          <w:highlight w:val="none"/>
        </w:rPr>
        <w:t>/</w:t>
      </w:r>
      <w:r>
        <w:rPr>
          <w:spacing w:val="3"/>
          <w:sz w:val="24"/>
          <w:szCs w:val="24"/>
          <w:highlight w:val="none"/>
        </w:rPr>
        <w:fldChar w:fldCharType="end"/>
      </w:r>
      <w:r>
        <w:rPr>
          <w:spacing w:val="3"/>
          <w:sz w:val="24"/>
          <w:szCs w:val="24"/>
          <w:highlight w:val="none"/>
        </w:rPr>
        <w:t>交换数据电文，供应商按评标委员会规定的时间内</w:t>
      </w:r>
      <w:r>
        <w:rPr>
          <w:spacing w:val="2"/>
          <w:sz w:val="24"/>
          <w:szCs w:val="24"/>
          <w:highlight w:val="none"/>
        </w:rPr>
        <w:t>提交</w:t>
      </w:r>
      <w:r>
        <w:rPr>
          <w:spacing w:val="-4"/>
          <w:sz w:val="24"/>
          <w:szCs w:val="24"/>
          <w:highlight w:val="none"/>
        </w:rPr>
        <w:t>澄清、说明或补正的数据电文，在评标期间，供应商用单位“CA证书”登录《湘西土家族</w:t>
      </w:r>
      <w:r>
        <w:rPr>
          <w:spacing w:val="-2"/>
          <w:sz w:val="24"/>
          <w:szCs w:val="24"/>
          <w:highlight w:val="none"/>
        </w:rPr>
        <w:t>苗族自治州公共资源交易中心》</w:t>
      </w:r>
      <w:r>
        <w:rPr>
          <w:highlight w:val="none"/>
        </w:rPr>
        <w:fldChar w:fldCharType="begin"/>
      </w:r>
      <w:r>
        <w:rPr>
          <w:highlight w:val="none"/>
        </w:rPr>
        <w:instrText xml:space="preserve"> HYPERLINK "http://ggzyjy.xxz.gov.cn/" </w:instrText>
      </w:r>
      <w:r>
        <w:rPr>
          <w:highlight w:val="none"/>
        </w:rPr>
        <w:fldChar w:fldCharType="separate"/>
      </w:r>
      <w:r>
        <w:rPr>
          <w:spacing w:val="-2"/>
          <w:sz w:val="24"/>
          <w:szCs w:val="24"/>
          <w:highlight w:val="none"/>
        </w:rPr>
        <w:t>http://ggzyjy.xxz.gov.cn/</w:t>
      </w:r>
      <w:r>
        <w:rPr>
          <w:spacing w:val="-2"/>
          <w:sz w:val="24"/>
          <w:szCs w:val="24"/>
          <w:highlight w:val="none"/>
        </w:rPr>
        <w:fldChar w:fldCharType="end"/>
      </w:r>
      <w:r>
        <w:rPr>
          <w:spacing w:val="-2"/>
          <w:sz w:val="24"/>
          <w:szCs w:val="24"/>
          <w:highlight w:val="none"/>
        </w:rPr>
        <w:t>，自行查看、接受澄</w:t>
      </w:r>
      <w:r>
        <w:rPr>
          <w:spacing w:val="-3"/>
          <w:sz w:val="24"/>
          <w:szCs w:val="24"/>
          <w:highlight w:val="none"/>
        </w:rPr>
        <w:t>清、说</w:t>
      </w:r>
      <w:r>
        <w:rPr>
          <w:spacing w:val="-2"/>
          <w:sz w:val="24"/>
          <w:szCs w:val="24"/>
          <w:highlight w:val="none"/>
        </w:rPr>
        <w:t>明或补正内容，未按要求提交澄清、说明或补正的，视为自动放弃澄清说明，相应责任有</w:t>
      </w:r>
      <w:r>
        <w:rPr>
          <w:spacing w:val="-3"/>
          <w:sz w:val="24"/>
          <w:szCs w:val="24"/>
          <w:highlight w:val="none"/>
        </w:rPr>
        <w:t>供应商自行负责。</w:t>
      </w:r>
    </w:p>
    <w:p w14:paraId="0ACDE64D">
      <w:pPr>
        <w:pStyle w:val="2"/>
        <w:keepNext w:val="0"/>
        <w:keepLines w:val="0"/>
        <w:pageBreakBefore w:val="0"/>
        <w:widowControl/>
        <w:kinsoku/>
        <w:wordWrap w:val="0"/>
        <w:overflowPunct/>
        <w:topLinePunct w:val="0"/>
        <w:autoSpaceDE/>
        <w:autoSpaceDN/>
        <w:bidi w:val="0"/>
        <w:adjustRightInd w:val="0"/>
        <w:snapToGrid w:val="0"/>
        <w:spacing w:before="152" w:line="360" w:lineRule="auto"/>
        <w:ind w:left="28" w:right="62" w:firstLine="467"/>
        <w:textAlignment w:val="baseline"/>
        <w:rPr>
          <w:sz w:val="24"/>
          <w:szCs w:val="24"/>
          <w:highlight w:val="none"/>
        </w:rPr>
      </w:pPr>
      <w:r>
        <w:rPr>
          <w:spacing w:val="-2"/>
          <w:sz w:val="24"/>
          <w:szCs w:val="24"/>
          <w:highlight w:val="none"/>
        </w:rPr>
        <w:t>4.2投标文件的投标报价出现前后不一致的，除</w:t>
      </w:r>
      <w:r>
        <w:rPr>
          <w:b/>
          <w:bCs/>
          <w:spacing w:val="-2"/>
          <w:sz w:val="24"/>
          <w:szCs w:val="24"/>
          <w:highlight w:val="none"/>
        </w:rPr>
        <w:t>【评标方法及标准前附表】</w:t>
      </w:r>
      <w:r>
        <w:rPr>
          <w:spacing w:val="-2"/>
          <w:sz w:val="24"/>
          <w:szCs w:val="24"/>
          <w:highlight w:val="none"/>
        </w:rPr>
        <w:t>另有规定</w:t>
      </w:r>
      <w:r>
        <w:rPr>
          <w:spacing w:val="-4"/>
          <w:sz w:val="24"/>
          <w:szCs w:val="24"/>
          <w:highlight w:val="none"/>
        </w:rPr>
        <w:t>外，按照下列规定修正：</w:t>
      </w:r>
    </w:p>
    <w:p w14:paraId="75E67215">
      <w:pPr>
        <w:pStyle w:val="2"/>
        <w:keepNext w:val="0"/>
        <w:keepLines w:val="0"/>
        <w:pageBreakBefore w:val="0"/>
        <w:widowControl/>
        <w:kinsoku/>
        <w:wordWrap w:val="0"/>
        <w:overflowPunct/>
        <w:topLinePunct w:val="0"/>
        <w:autoSpaceDE/>
        <w:autoSpaceDN/>
        <w:bidi w:val="0"/>
        <w:adjustRightInd w:val="0"/>
        <w:snapToGrid w:val="0"/>
        <w:spacing w:before="151" w:line="360" w:lineRule="auto"/>
        <w:ind w:left="23" w:right="132" w:firstLine="496"/>
        <w:textAlignment w:val="baseline"/>
        <w:rPr>
          <w:sz w:val="24"/>
          <w:szCs w:val="24"/>
          <w:highlight w:val="none"/>
        </w:rPr>
      </w:pPr>
      <w:r>
        <w:rPr>
          <w:spacing w:val="-2"/>
          <w:sz w:val="24"/>
          <w:szCs w:val="24"/>
          <w:highlight w:val="none"/>
        </w:rPr>
        <w:t>（1）投标文件中开标一览表内容与投标文件中相应内容不一致的，以开标一览表为</w:t>
      </w:r>
      <w:r>
        <w:rPr>
          <w:spacing w:val="-6"/>
          <w:sz w:val="24"/>
          <w:szCs w:val="24"/>
          <w:highlight w:val="none"/>
        </w:rPr>
        <w:t>准；</w:t>
      </w:r>
    </w:p>
    <w:p w14:paraId="7053889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（2）大写金额和小写金额不一致的，以大写金额为准；</w:t>
      </w:r>
    </w:p>
    <w:p w14:paraId="7351FF5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132" w:firstLine="496"/>
        <w:textAlignment w:val="baseline"/>
        <w:rPr>
          <w:sz w:val="24"/>
          <w:szCs w:val="24"/>
          <w:highlight w:val="none"/>
        </w:rPr>
      </w:pPr>
      <w:r>
        <w:rPr>
          <w:spacing w:val="-2"/>
          <w:sz w:val="24"/>
          <w:szCs w:val="24"/>
          <w:highlight w:val="none"/>
        </w:rPr>
        <w:t>（3）单价金额小数点或者百分比有明显错位的，以开标一览表的总价为准，并修改</w:t>
      </w:r>
      <w:r>
        <w:rPr>
          <w:spacing w:val="-6"/>
          <w:sz w:val="24"/>
          <w:szCs w:val="24"/>
          <w:highlight w:val="none"/>
        </w:rPr>
        <w:t>单价；</w:t>
      </w:r>
    </w:p>
    <w:p w14:paraId="3DC466C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（4）总价金额与按单价汇总金额不一致的，以单价金额计算结果为准。</w:t>
      </w:r>
    </w:p>
    <w:p w14:paraId="32DC642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4" w:firstLine="480"/>
        <w:textAlignment w:val="baseline"/>
        <w:rPr>
          <w:sz w:val="24"/>
          <w:szCs w:val="24"/>
          <w:highlight w:val="none"/>
        </w:rPr>
      </w:pPr>
      <w:r>
        <w:rPr>
          <w:spacing w:val="-1"/>
          <w:sz w:val="24"/>
          <w:szCs w:val="24"/>
          <w:highlight w:val="none"/>
        </w:rPr>
        <w:t>4.3投标文件报价同时出现两种以上不一致</w:t>
      </w:r>
      <w:r>
        <w:rPr>
          <w:spacing w:val="-2"/>
          <w:sz w:val="24"/>
          <w:szCs w:val="24"/>
          <w:highlight w:val="none"/>
        </w:rPr>
        <w:t>的，按照前款规定的顺序修正。修正后的</w:t>
      </w:r>
      <w:r>
        <w:rPr>
          <w:spacing w:val="-1"/>
          <w:sz w:val="24"/>
          <w:szCs w:val="24"/>
          <w:highlight w:val="none"/>
        </w:rPr>
        <w:t>报价由供应商代表签字或者加盖单位公章确认后产生约束力，供应商不确认的，其投标无</w:t>
      </w:r>
      <w:r>
        <w:rPr>
          <w:spacing w:val="-4"/>
          <w:sz w:val="24"/>
          <w:szCs w:val="24"/>
          <w:highlight w:val="none"/>
        </w:rPr>
        <w:t>效。</w:t>
      </w:r>
    </w:p>
    <w:p w14:paraId="70B5F90A">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3" w:firstLine="472"/>
        <w:textAlignment w:val="baseline"/>
        <w:rPr>
          <w:sz w:val="24"/>
          <w:szCs w:val="24"/>
          <w:highlight w:val="none"/>
        </w:rPr>
      </w:pPr>
      <w:r>
        <w:rPr>
          <w:spacing w:val="-1"/>
          <w:sz w:val="24"/>
          <w:szCs w:val="24"/>
          <w:highlight w:val="none"/>
        </w:rPr>
        <w:t>4.4供应商的澄清、说明或者补正应当采用书面形式，并加盖公章，或者由法定代表人或其授权的代表签字，并按评标委员会的通知要求递交。供应商的澄清、说明或者补正</w:t>
      </w:r>
      <w:r>
        <w:rPr>
          <w:spacing w:val="-2"/>
          <w:sz w:val="24"/>
          <w:szCs w:val="24"/>
          <w:highlight w:val="none"/>
        </w:rPr>
        <w:t>不得超出投标文件的范围或者改变投标文件的实质性内容。</w:t>
      </w:r>
    </w:p>
    <w:p w14:paraId="75F148A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5"/>
        <w:textAlignment w:val="baseline"/>
        <w:rPr>
          <w:sz w:val="24"/>
          <w:szCs w:val="24"/>
          <w:highlight w:val="none"/>
        </w:rPr>
      </w:pPr>
      <w:r>
        <w:rPr>
          <w:spacing w:val="-1"/>
          <w:sz w:val="24"/>
          <w:szCs w:val="24"/>
          <w:highlight w:val="none"/>
        </w:rPr>
        <w:t>4.5有效的书面澄清材料，是投标文件的补充</w:t>
      </w:r>
      <w:r>
        <w:rPr>
          <w:spacing w:val="-2"/>
          <w:sz w:val="24"/>
          <w:szCs w:val="24"/>
          <w:highlight w:val="none"/>
        </w:rPr>
        <w:t>材料，成为投标文件的组成部分。</w:t>
      </w:r>
    </w:p>
    <w:p w14:paraId="26E88B0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35" w:right="57" w:firstLine="460"/>
        <w:textAlignment w:val="baseline"/>
        <w:rPr>
          <w:sz w:val="24"/>
          <w:szCs w:val="24"/>
          <w:highlight w:val="none"/>
        </w:rPr>
      </w:pPr>
      <w:r>
        <w:rPr>
          <w:spacing w:val="-1"/>
          <w:sz w:val="24"/>
          <w:szCs w:val="24"/>
          <w:highlight w:val="none"/>
        </w:rPr>
        <w:t>4.6评标委员会认为供应商的报价明显低于其他通过符合性审查供应商的报价，有可能影响产品质量或者不能诚信履约的，应当要</w:t>
      </w:r>
      <w:r>
        <w:rPr>
          <w:spacing w:val="-2"/>
          <w:sz w:val="24"/>
          <w:szCs w:val="24"/>
          <w:highlight w:val="none"/>
        </w:rPr>
        <w:t>求其在评标现场合理的时间内提供书面说</w:t>
      </w:r>
    </w:p>
    <w:p w14:paraId="5EAFA99F">
      <w:pPr>
        <w:pStyle w:val="2"/>
        <w:keepNext w:val="0"/>
        <w:keepLines w:val="0"/>
        <w:pageBreakBefore w:val="0"/>
        <w:widowControl/>
        <w:kinsoku/>
        <w:wordWrap w:val="0"/>
        <w:overflowPunct/>
        <w:topLinePunct w:val="0"/>
        <w:autoSpaceDE/>
        <w:autoSpaceDN/>
        <w:bidi w:val="0"/>
        <w:adjustRightInd w:val="0"/>
        <w:snapToGrid w:val="0"/>
        <w:spacing w:before="276" w:line="360" w:lineRule="auto"/>
        <w:ind w:left="24" w:right="2" w:firstLine="38"/>
        <w:textAlignment w:val="baseline"/>
        <w:rPr>
          <w:sz w:val="24"/>
          <w:szCs w:val="24"/>
          <w:highlight w:val="none"/>
        </w:rPr>
      </w:pPr>
      <w:r>
        <w:rPr>
          <w:spacing w:val="-2"/>
          <w:sz w:val="24"/>
          <w:szCs w:val="24"/>
          <w:highlight w:val="none"/>
        </w:rPr>
        <w:t>明，必要时提交相关证明材料；供应商不能证明其报价合理性的，评标委员会应当将其作</w:t>
      </w:r>
      <w:r>
        <w:rPr>
          <w:spacing w:val="-4"/>
          <w:sz w:val="24"/>
          <w:szCs w:val="24"/>
          <w:highlight w:val="none"/>
        </w:rPr>
        <w:t>为投标无效处理。</w:t>
      </w:r>
    </w:p>
    <w:p w14:paraId="62FCA6E6">
      <w:pPr>
        <w:pStyle w:val="6"/>
        <w:bidi w:val="0"/>
        <w:rPr>
          <w:rFonts w:ascii="宋体" w:hAnsi="宋体" w:eastAsia="宋体" w:cs="宋体"/>
          <w:b/>
          <w:bCs/>
          <w:spacing w:val="-2"/>
          <w:sz w:val="24"/>
          <w:szCs w:val="24"/>
          <w:highlight w:val="none"/>
        </w:rPr>
      </w:pPr>
      <w:bookmarkStart w:id="182" w:name="_Toc22301"/>
      <w:bookmarkStart w:id="183" w:name="_Toc21210"/>
      <w:bookmarkStart w:id="184" w:name="_Toc7826"/>
      <w:r>
        <w:rPr>
          <w:rFonts w:ascii="宋体" w:hAnsi="宋体" w:eastAsia="宋体" w:cs="宋体"/>
          <w:b/>
          <w:bCs/>
          <w:spacing w:val="-2"/>
          <w:sz w:val="24"/>
          <w:szCs w:val="24"/>
          <w:highlight w:val="none"/>
        </w:rPr>
        <w:t>5．投标文件的比较与评价</w:t>
      </w:r>
      <w:bookmarkEnd w:id="182"/>
      <w:bookmarkEnd w:id="183"/>
      <w:bookmarkEnd w:id="184"/>
    </w:p>
    <w:p w14:paraId="253D9A0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57" w:firstLine="486"/>
        <w:textAlignment w:val="baseline"/>
        <w:rPr>
          <w:sz w:val="24"/>
          <w:szCs w:val="24"/>
          <w:highlight w:val="none"/>
        </w:rPr>
      </w:pPr>
      <w:r>
        <w:rPr>
          <w:spacing w:val="-3"/>
          <w:sz w:val="24"/>
          <w:szCs w:val="24"/>
          <w:highlight w:val="none"/>
        </w:rPr>
        <w:t>5.1评标委员会依法按照本章第三节“投标文件的比较与评价”规定，对资格性检查</w:t>
      </w:r>
      <w:r>
        <w:rPr>
          <w:spacing w:val="-2"/>
          <w:sz w:val="24"/>
          <w:szCs w:val="24"/>
          <w:highlight w:val="none"/>
        </w:rPr>
        <w:t>和符合性检查合格的投标文件进行比较和评价。</w:t>
      </w:r>
    </w:p>
    <w:p w14:paraId="674F7BF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8"/>
        <w:textAlignment w:val="baseline"/>
        <w:rPr>
          <w:sz w:val="24"/>
          <w:szCs w:val="24"/>
          <w:highlight w:val="none"/>
        </w:rPr>
      </w:pPr>
      <w:r>
        <w:rPr>
          <w:spacing w:val="-5"/>
          <w:sz w:val="24"/>
          <w:szCs w:val="24"/>
          <w:highlight w:val="none"/>
        </w:rPr>
        <w:t>5.2单一产品采购项目：</w:t>
      </w:r>
    </w:p>
    <w:p w14:paraId="3A5F9BF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8" w:right="2" w:firstLine="501"/>
        <w:jc w:val="both"/>
        <w:textAlignment w:val="baseline"/>
        <w:rPr>
          <w:sz w:val="24"/>
          <w:szCs w:val="24"/>
          <w:highlight w:val="none"/>
        </w:rPr>
      </w:pPr>
      <w:r>
        <w:rPr>
          <w:spacing w:val="2"/>
          <w:sz w:val="24"/>
          <w:szCs w:val="24"/>
          <w:highlight w:val="none"/>
        </w:rPr>
        <w:t>（1）综合评分法：提供相同品牌产品且通过资格审查、符合性审查的不同供应商参</w:t>
      </w:r>
      <w:r>
        <w:rPr>
          <w:spacing w:val="-1"/>
          <w:sz w:val="24"/>
          <w:szCs w:val="24"/>
          <w:highlight w:val="none"/>
        </w:rPr>
        <w:t>加同一合同项下投标的，评审后得分最高的同品牌供应商获得中标供应商推荐资格；评审得分相同的，按照</w:t>
      </w:r>
      <w:r>
        <w:rPr>
          <w:b/>
          <w:bCs/>
          <w:spacing w:val="-1"/>
          <w:sz w:val="24"/>
          <w:szCs w:val="24"/>
          <w:highlight w:val="none"/>
        </w:rPr>
        <w:t>【评标方法及标准前附表】</w:t>
      </w:r>
      <w:r>
        <w:rPr>
          <w:spacing w:val="-1"/>
          <w:sz w:val="24"/>
          <w:szCs w:val="24"/>
          <w:highlight w:val="none"/>
        </w:rPr>
        <w:t>规定</w:t>
      </w:r>
      <w:r>
        <w:rPr>
          <w:spacing w:val="-2"/>
          <w:sz w:val="24"/>
          <w:szCs w:val="24"/>
          <w:highlight w:val="none"/>
        </w:rPr>
        <w:t>的方式确定一个供应商获得中标供应商</w:t>
      </w:r>
      <w:r>
        <w:rPr>
          <w:spacing w:val="-1"/>
          <w:sz w:val="24"/>
          <w:szCs w:val="24"/>
          <w:highlight w:val="none"/>
        </w:rPr>
        <w:t>推荐资格，招标文件未规定的采取随机抽取方式确定，其他同品牌供应商</w:t>
      </w:r>
      <w:r>
        <w:rPr>
          <w:b/>
          <w:bCs/>
          <w:spacing w:val="-1"/>
          <w:sz w:val="24"/>
          <w:szCs w:val="24"/>
          <w:highlight w:val="none"/>
        </w:rPr>
        <w:t>不作为</w:t>
      </w:r>
      <w:r>
        <w:rPr>
          <w:b/>
          <w:bCs/>
          <w:spacing w:val="-2"/>
          <w:sz w:val="24"/>
          <w:szCs w:val="24"/>
          <w:highlight w:val="none"/>
        </w:rPr>
        <w:t>中标候选</w:t>
      </w:r>
      <w:r>
        <w:rPr>
          <w:b/>
          <w:bCs/>
          <w:spacing w:val="-6"/>
          <w:sz w:val="24"/>
          <w:szCs w:val="24"/>
          <w:highlight w:val="none"/>
        </w:rPr>
        <w:t>人</w:t>
      </w:r>
      <w:r>
        <w:rPr>
          <w:spacing w:val="-6"/>
          <w:sz w:val="24"/>
          <w:szCs w:val="24"/>
          <w:highlight w:val="none"/>
        </w:rPr>
        <w:t>。</w:t>
      </w:r>
    </w:p>
    <w:p w14:paraId="198B13FC">
      <w:pPr>
        <w:pStyle w:val="2"/>
        <w:keepNext w:val="0"/>
        <w:keepLines w:val="0"/>
        <w:pageBreakBefore w:val="0"/>
        <w:widowControl/>
        <w:kinsoku/>
        <w:wordWrap w:val="0"/>
        <w:overflowPunct/>
        <w:topLinePunct w:val="0"/>
        <w:autoSpaceDE/>
        <w:autoSpaceDN/>
        <w:bidi w:val="0"/>
        <w:adjustRightInd w:val="0"/>
        <w:snapToGrid w:val="0"/>
        <w:spacing w:before="136" w:line="360" w:lineRule="auto"/>
        <w:ind w:left="23" w:right="176" w:firstLine="482"/>
        <w:textAlignment w:val="baseline"/>
        <w:rPr>
          <w:sz w:val="24"/>
          <w:szCs w:val="24"/>
          <w:highlight w:val="none"/>
        </w:rPr>
      </w:pPr>
      <w:r>
        <w:rPr>
          <w:spacing w:val="-4"/>
          <w:sz w:val="24"/>
          <w:szCs w:val="24"/>
          <w:highlight w:val="none"/>
        </w:rPr>
        <w:t>5.3非单一产品采购项目：多家供应商提供的</w:t>
      </w:r>
      <w:r>
        <w:rPr>
          <w:spacing w:val="-5"/>
          <w:sz w:val="24"/>
          <w:szCs w:val="24"/>
          <w:highlight w:val="none"/>
        </w:rPr>
        <w:t>核心产品品牌相同的，视为相同品牌，</w:t>
      </w:r>
      <w:r>
        <w:rPr>
          <w:spacing w:val="-2"/>
          <w:sz w:val="24"/>
          <w:szCs w:val="24"/>
          <w:highlight w:val="none"/>
        </w:rPr>
        <w:t>按本章本节第5.2款规定处理。</w:t>
      </w:r>
    </w:p>
    <w:p w14:paraId="44CEAD3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8"/>
        <w:textAlignment w:val="baseline"/>
        <w:rPr>
          <w:sz w:val="24"/>
          <w:szCs w:val="24"/>
          <w:highlight w:val="none"/>
        </w:rPr>
      </w:pPr>
      <w:r>
        <w:rPr>
          <w:spacing w:val="-5"/>
          <w:sz w:val="24"/>
          <w:szCs w:val="24"/>
          <w:highlight w:val="none"/>
        </w:rPr>
        <w:t>5.</w:t>
      </w:r>
      <w:r>
        <w:rPr>
          <w:rFonts w:hint="eastAsia"/>
          <w:spacing w:val="-5"/>
          <w:sz w:val="24"/>
          <w:szCs w:val="24"/>
          <w:highlight w:val="none"/>
          <w:lang w:val="en-US" w:eastAsia="zh-CN"/>
        </w:rPr>
        <w:t>4</w:t>
      </w:r>
      <w:r>
        <w:rPr>
          <w:spacing w:val="-5"/>
          <w:sz w:val="24"/>
          <w:szCs w:val="24"/>
          <w:highlight w:val="none"/>
        </w:rPr>
        <w:t>政府采购政策：</w:t>
      </w:r>
    </w:p>
    <w:p w14:paraId="087EE71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9" w:right="127" w:firstLine="490"/>
        <w:textAlignment w:val="baseline"/>
        <w:rPr>
          <w:sz w:val="24"/>
          <w:szCs w:val="24"/>
          <w:highlight w:val="none"/>
        </w:rPr>
      </w:pPr>
      <w:r>
        <w:rPr>
          <w:spacing w:val="-4"/>
          <w:sz w:val="24"/>
          <w:szCs w:val="24"/>
          <w:highlight w:val="none"/>
        </w:rPr>
        <w:t>（1）价格评审优惠：按</w:t>
      </w:r>
      <w:r>
        <w:rPr>
          <w:b/>
          <w:bCs/>
          <w:spacing w:val="-4"/>
          <w:sz w:val="24"/>
          <w:szCs w:val="24"/>
          <w:highlight w:val="none"/>
        </w:rPr>
        <w:t>【评标方法及标准前附表】</w:t>
      </w:r>
      <w:r>
        <w:rPr>
          <w:spacing w:val="-4"/>
          <w:sz w:val="24"/>
          <w:szCs w:val="24"/>
          <w:highlight w:val="none"/>
        </w:rPr>
        <w:t>及第二章“投标须知”的相关规定给予一定的价格折扣。</w:t>
      </w:r>
    </w:p>
    <w:p w14:paraId="53A2593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127" w:firstLine="500"/>
        <w:textAlignment w:val="baseline"/>
        <w:rPr>
          <w:sz w:val="24"/>
          <w:szCs w:val="24"/>
          <w:highlight w:val="none"/>
        </w:rPr>
      </w:pPr>
      <w:r>
        <w:rPr>
          <w:spacing w:val="-4"/>
          <w:sz w:val="24"/>
          <w:szCs w:val="24"/>
          <w:highlight w:val="none"/>
        </w:rPr>
        <w:t>（2）优先采购：评审时按</w:t>
      </w:r>
      <w:r>
        <w:rPr>
          <w:b/>
          <w:bCs/>
          <w:spacing w:val="-4"/>
          <w:sz w:val="24"/>
          <w:szCs w:val="24"/>
          <w:highlight w:val="none"/>
        </w:rPr>
        <w:t>【评标方法及标准前附表】</w:t>
      </w:r>
      <w:r>
        <w:rPr>
          <w:spacing w:val="-4"/>
          <w:sz w:val="24"/>
          <w:szCs w:val="24"/>
          <w:highlight w:val="none"/>
        </w:rPr>
        <w:t>及第二章“投标须知”的相关</w:t>
      </w:r>
      <w:r>
        <w:rPr>
          <w:spacing w:val="-2"/>
          <w:sz w:val="24"/>
          <w:szCs w:val="24"/>
          <w:highlight w:val="none"/>
        </w:rPr>
        <w:t>规定给予价格折扣或者加分。</w:t>
      </w:r>
    </w:p>
    <w:p w14:paraId="70E7B9CF">
      <w:pPr>
        <w:pStyle w:val="6"/>
        <w:bidi w:val="0"/>
        <w:rPr>
          <w:rFonts w:ascii="宋体" w:hAnsi="宋体" w:eastAsia="宋体" w:cs="宋体"/>
          <w:b/>
          <w:bCs/>
          <w:spacing w:val="-2"/>
          <w:sz w:val="24"/>
          <w:szCs w:val="24"/>
          <w:highlight w:val="none"/>
        </w:rPr>
      </w:pPr>
      <w:bookmarkStart w:id="185" w:name="_Toc13101"/>
      <w:bookmarkStart w:id="186" w:name="_Toc694"/>
      <w:bookmarkStart w:id="187" w:name="_Toc14171"/>
      <w:r>
        <w:rPr>
          <w:rFonts w:ascii="宋体" w:hAnsi="宋体" w:eastAsia="宋体" w:cs="宋体"/>
          <w:b/>
          <w:bCs/>
          <w:spacing w:val="-2"/>
          <w:sz w:val="24"/>
          <w:szCs w:val="24"/>
          <w:highlight w:val="none"/>
        </w:rPr>
        <w:t>6．推荐中标候选人</w:t>
      </w:r>
      <w:bookmarkEnd w:id="185"/>
      <w:bookmarkEnd w:id="186"/>
      <w:bookmarkEnd w:id="187"/>
    </w:p>
    <w:p w14:paraId="6D80B7F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firstLine="480"/>
        <w:jc w:val="both"/>
        <w:textAlignment w:val="baseline"/>
        <w:rPr>
          <w:sz w:val="24"/>
          <w:szCs w:val="24"/>
          <w:highlight w:val="none"/>
        </w:rPr>
      </w:pPr>
      <w:r>
        <w:rPr>
          <w:sz w:val="24"/>
          <w:szCs w:val="24"/>
          <w:highlight w:val="none"/>
        </w:rPr>
        <w:t>6.1综合评分法：评标结果按评审后得分由高到低顺序排列。得分相同的，按投标报</w:t>
      </w:r>
      <w:r>
        <w:rPr>
          <w:spacing w:val="-1"/>
          <w:sz w:val="24"/>
          <w:szCs w:val="24"/>
          <w:highlight w:val="none"/>
        </w:rPr>
        <w:t>价由低到高顺序排列。得分且投标报价相同的并列，按</w:t>
      </w:r>
      <w:r>
        <w:rPr>
          <w:b/>
          <w:bCs/>
          <w:spacing w:val="-2"/>
          <w:sz w:val="24"/>
          <w:szCs w:val="24"/>
          <w:highlight w:val="none"/>
        </w:rPr>
        <w:t>【评标方法及标准前附表】</w:t>
      </w:r>
      <w:r>
        <w:rPr>
          <w:spacing w:val="-2"/>
          <w:sz w:val="24"/>
          <w:szCs w:val="24"/>
          <w:highlight w:val="none"/>
        </w:rPr>
        <w:t>规定的</w:t>
      </w:r>
      <w:r>
        <w:rPr>
          <w:spacing w:val="-1"/>
          <w:sz w:val="24"/>
          <w:szCs w:val="24"/>
          <w:highlight w:val="none"/>
        </w:rPr>
        <w:t>方式确定中标供应商；招标文件未规定的，采取随机抽取的方式确定。</w:t>
      </w:r>
    </w:p>
    <w:p w14:paraId="32130D21">
      <w:pPr>
        <w:pStyle w:val="6"/>
        <w:bidi w:val="0"/>
        <w:rPr>
          <w:sz w:val="24"/>
          <w:szCs w:val="24"/>
          <w:highlight w:val="none"/>
        </w:rPr>
      </w:pPr>
      <w:bookmarkStart w:id="188" w:name="_Toc8416"/>
      <w:bookmarkStart w:id="189" w:name="_Toc22724"/>
      <w:bookmarkStart w:id="190" w:name="_Toc23751"/>
      <w:r>
        <w:rPr>
          <w:b/>
          <w:bCs/>
          <w:spacing w:val="-7"/>
          <w:sz w:val="24"/>
          <w:szCs w:val="24"/>
          <w:highlight w:val="none"/>
        </w:rPr>
        <w:t>7．编写评标报告</w:t>
      </w:r>
      <w:bookmarkEnd w:id="188"/>
      <w:bookmarkEnd w:id="189"/>
      <w:bookmarkEnd w:id="190"/>
    </w:p>
    <w:p w14:paraId="26ED978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9"/>
        <w:textAlignment w:val="baseline"/>
        <w:rPr>
          <w:sz w:val="24"/>
          <w:szCs w:val="24"/>
          <w:highlight w:val="none"/>
        </w:rPr>
      </w:pPr>
      <w:r>
        <w:rPr>
          <w:spacing w:val="-2"/>
          <w:sz w:val="24"/>
          <w:szCs w:val="24"/>
          <w:highlight w:val="none"/>
        </w:rPr>
        <w:t>7.1评标委员会根据全体评标成员签字的原始评标记录和评标结果编写评标报告。</w:t>
      </w:r>
    </w:p>
    <w:p w14:paraId="5DDB81B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5" w:right="4" w:firstLine="493"/>
        <w:textAlignment w:val="baseline"/>
        <w:rPr>
          <w:sz w:val="24"/>
          <w:szCs w:val="24"/>
          <w:highlight w:val="none"/>
        </w:rPr>
      </w:pPr>
      <w:r>
        <w:rPr>
          <w:spacing w:val="-2"/>
          <w:sz w:val="24"/>
          <w:szCs w:val="24"/>
          <w:highlight w:val="none"/>
        </w:rPr>
        <w:t>7.2评标委员会成员对需要共同认定的事项存在争议的，应当按照少数服从多数的原</w:t>
      </w:r>
      <w:r>
        <w:rPr>
          <w:spacing w:val="-1"/>
          <w:sz w:val="24"/>
          <w:szCs w:val="24"/>
          <w:highlight w:val="none"/>
        </w:rPr>
        <w:t>则作出结论。持不同意见的评标委员会成员应当在评标报告上签署不同意见及理由，否则</w:t>
      </w:r>
      <w:r>
        <w:rPr>
          <w:spacing w:val="-2"/>
          <w:sz w:val="24"/>
          <w:szCs w:val="24"/>
          <w:highlight w:val="none"/>
        </w:rPr>
        <w:t>视为同意评标报告。</w:t>
      </w:r>
    </w:p>
    <w:p w14:paraId="1D5FC025">
      <w:pPr>
        <w:pStyle w:val="6"/>
        <w:bidi w:val="0"/>
        <w:rPr>
          <w:b/>
          <w:bCs/>
          <w:spacing w:val="-7"/>
          <w:sz w:val="24"/>
          <w:szCs w:val="24"/>
          <w:highlight w:val="none"/>
        </w:rPr>
      </w:pPr>
      <w:bookmarkStart w:id="191" w:name="_Toc23478"/>
      <w:bookmarkStart w:id="192" w:name="_Toc8395"/>
      <w:bookmarkStart w:id="193" w:name="_Toc16586"/>
      <w:r>
        <w:rPr>
          <w:b/>
          <w:bCs/>
          <w:spacing w:val="-7"/>
          <w:sz w:val="24"/>
          <w:szCs w:val="24"/>
          <w:highlight w:val="none"/>
        </w:rPr>
        <w:t>8．评标报告复核</w:t>
      </w:r>
      <w:bookmarkEnd w:id="191"/>
      <w:bookmarkEnd w:id="192"/>
      <w:bookmarkEnd w:id="193"/>
    </w:p>
    <w:p w14:paraId="30EE70C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 w:right="138" w:firstLine="485"/>
        <w:textAlignment w:val="baseline"/>
        <w:rPr>
          <w:sz w:val="24"/>
          <w:szCs w:val="24"/>
          <w:highlight w:val="none"/>
        </w:rPr>
      </w:pPr>
      <w:r>
        <w:rPr>
          <w:spacing w:val="-3"/>
          <w:sz w:val="24"/>
          <w:szCs w:val="24"/>
          <w:highlight w:val="none"/>
        </w:rPr>
        <w:t>8.1汇总结束后，评标委员会应当进行复核，</w:t>
      </w:r>
      <w:r>
        <w:rPr>
          <w:spacing w:val="-4"/>
          <w:sz w:val="24"/>
          <w:szCs w:val="24"/>
          <w:highlight w:val="none"/>
        </w:rPr>
        <w:t>特别要对拟推荐为中标候选供应商的、</w:t>
      </w:r>
      <w:r>
        <w:rPr>
          <w:spacing w:val="-2"/>
          <w:sz w:val="24"/>
          <w:szCs w:val="24"/>
          <w:highlight w:val="none"/>
        </w:rPr>
        <w:t>报价最低的、投标文件被认定为无效的进行重点复核。</w:t>
      </w:r>
    </w:p>
    <w:p w14:paraId="216DA61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9"/>
        <w:textAlignment w:val="baseline"/>
        <w:rPr>
          <w:sz w:val="24"/>
          <w:szCs w:val="24"/>
          <w:highlight w:val="none"/>
        </w:rPr>
      </w:pPr>
      <w:r>
        <w:rPr>
          <w:spacing w:val="-2"/>
          <w:sz w:val="24"/>
          <w:szCs w:val="24"/>
          <w:highlight w:val="none"/>
        </w:rPr>
        <w:t>8.2汇总完成后，除下列情形外，任何人不得修改评标结果：</w:t>
      </w:r>
    </w:p>
    <w:p w14:paraId="0C9BDF6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4"/>
          <w:sz w:val="24"/>
          <w:szCs w:val="24"/>
          <w:highlight w:val="none"/>
        </w:rPr>
        <w:t>（1）分值汇总计算错误的；</w:t>
      </w:r>
    </w:p>
    <w:p w14:paraId="5A73745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3"/>
          <w:sz w:val="24"/>
          <w:szCs w:val="24"/>
          <w:highlight w:val="none"/>
        </w:rPr>
        <w:t>（2）分项评分超出评分标准范围的；</w:t>
      </w:r>
    </w:p>
    <w:p w14:paraId="5289F41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（3）评标委员会成员对客观评审因素评分不一致的；</w:t>
      </w:r>
    </w:p>
    <w:p w14:paraId="70FCF7A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3"/>
          <w:sz w:val="24"/>
          <w:szCs w:val="24"/>
          <w:highlight w:val="none"/>
        </w:rPr>
        <w:t>（4）经评标委员会认定评分畸高、畸低的。</w:t>
      </w:r>
    </w:p>
    <w:p w14:paraId="6B11142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2" w:firstLine="480"/>
        <w:jc w:val="both"/>
        <w:textAlignment w:val="baseline"/>
        <w:rPr>
          <w:sz w:val="24"/>
          <w:szCs w:val="24"/>
          <w:highlight w:val="none"/>
        </w:rPr>
      </w:pPr>
      <w:r>
        <w:rPr>
          <w:sz w:val="24"/>
          <w:szCs w:val="24"/>
          <w:highlight w:val="none"/>
        </w:rPr>
        <w:t>8.3评标报告签署前，经复核发现存在以上情形之一的，评标委员会应当当场修改评</w:t>
      </w:r>
      <w:r>
        <w:rPr>
          <w:spacing w:val="-1"/>
          <w:sz w:val="24"/>
          <w:szCs w:val="24"/>
          <w:highlight w:val="none"/>
        </w:rPr>
        <w:t>标结果，并在评标报告中记载；评标报告签署后，采购人或者采购代理机构发现存在以上情形之一的，应当组织原评标委员会进行重新评审。重新评审改变评标结果的，书面报告</w:t>
      </w:r>
      <w:r>
        <w:rPr>
          <w:spacing w:val="-3"/>
          <w:sz w:val="24"/>
          <w:szCs w:val="24"/>
          <w:highlight w:val="none"/>
        </w:rPr>
        <w:t>本级财政部门。</w:t>
      </w:r>
    </w:p>
    <w:p w14:paraId="442C8A66">
      <w:pPr>
        <w:pStyle w:val="6"/>
        <w:bidi w:val="0"/>
        <w:rPr>
          <w:b/>
          <w:bCs/>
          <w:spacing w:val="-7"/>
          <w:sz w:val="24"/>
          <w:szCs w:val="24"/>
          <w:highlight w:val="none"/>
        </w:rPr>
      </w:pPr>
      <w:bookmarkStart w:id="194" w:name="_Toc27912"/>
      <w:bookmarkStart w:id="195" w:name="_Toc11238"/>
      <w:bookmarkStart w:id="196" w:name="_Toc20376"/>
      <w:r>
        <w:rPr>
          <w:b/>
          <w:bCs/>
          <w:spacing w:val="-7"/>
          <w:sz w:val="24"/>
          <w:szCs w:val="24"/>
          <w:highlight w:val="none"/>
        </w:rPr>
        <w:t>9．停止评标</w:t>
      </w:r>
      <w:bookmarkEnd w:id="194"/>
      <w:bookmarkEnd w:id="195"/>
      <w:bookmarkEnd w:id="196"/>
    </w:p>
    <w:p w14:paraId="39F916E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3" w:right="2" w:firstLine="476"/>
        <w:jc w:val="both"/>
        <w:textAlignment w:val="baseline"/>
        <w:rPr>
          <w:sz w:val="24"/>
          <w:szCs w:val="24"/>
          <w:highlight w:val="none"/>
        </w:rPr>
      </w:pPr>
      <w:r>
        <w:rPr>
          <w:sz w:val="24"/>
          <w:szCs w:val="24"/>
          <w:highlight w:val="none"/>
        </w:rPr>
        <w:t>9.1评标委员会发现招标文件存在歧义、重大缺陷导致评标工作无法进行，或者招标</w:t>
      </w:r>
      <w:r>
        <w:rPr>
          <w:spacing w:val="-1"/>
          <w:sz w:val="24"/>
          <w:szCs w:val="24"/>
          <w:highlight w:val="none"/>
        </w:rPr>
        <w:t>文件内容违反国家有关强制性规定的，应当停止评标工作，与采购人、采购代理机构沟通</w:t>
      </w:r>
      <w:r>
        <w:rPr>
          <w:spacing w:val="6"/>
          <w:sz w:val="24"/>
          <w:szCs w:val="24"/>
          <w:highlight w:val="none"/>
        </w:rPr>
        <w:t>并作书面记录。采购人、采购代理机构确认后，应当</w:t>
      </w:r>
      <w:r>
        <w:rPr>
          <w:spacing w:val="5"/>
          <w:sz w:val="24"/>
          <w:szCs w:val="24"/>
          <w:highlight w:val="none"/>
        </w:rPr>
        <w:t>修改招标文件，重新组织采购活动</w:t>
      </w:r>
      <w:r>
        <w:rPr>
          <w:position w:val="1"/>
          <w:sz w:val="24"/>
          <w:szCs w:val="24"/>
          <w:highlight w:val="none"/>
        </w:rPr>
        <w:t>。</w:t>
      </w:r>
    </w:p>
    <w:p w14:paraId="084E5439">
      <w:pPr>
        <w:pStyle w:val="6"/>
        <w:bidi w:val="0"/>
        <w:rPr>
          <w:b/>
          <w:bCs/>
          <w:spacing w:val="-7"/>
          <w:sz w:val="24"/>
          <w:szCs w:val="24"/>
          <w:highlight w:val="none"/>
        </w:rPr>
      </w:pPr>
      <w:bookmarkStart w:id="197" w:name="_Toc15527"/>
      <w:bookmarkStart w:id="198" w:name="_Toc13874"/>
      <w:bookmarkStart w:id="199" w:name="_Toc21152"/>
      <w:r>
        <w:rPr>
          <w:b/>
          <w:bCs/>
          <w:spacing w:val="-7"/>
          <w:sz w:val="24"/>
          <w:szCs w:val="24"/>
          <w:highlight w:val="none"/>
        </w:rPr>
        <w:t>10.废标</w:t>
      </w:r>
      <w:bookmarkEnd w:id="197"/>
      <w:bookmarkEnd w:id="198"/>
      <w:bookmarkEnd w:id="199"/>
    </w:p>
    <w:p w14:paraId="414FEB8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131" w:firstLine="513"/>
        <w:textAlignment w:val="baseline"/>
        <w:rPr>
          <w:sz w:val="24"/>
          <w:szCs w:val="24"/>
          <w:highlight w:val="none"/>
        </w:rPr>
      </w:pPr>
      <w:r>
        <w:rPr>
          <w:spacing w:val="-2"/>
          <w:sz w:val="24"/>
          <w:szCs w:val="24"/>
          <w:highlight w:val="none"/>
        </w:rPr>
        <w:t>10.1根据有关法律法规和招标文件的有关规定，如出现下列情况之一的，应予以废</w:t>
      </w:r>
      <w:r>
        <w:rPr>
          <w:spacing w:val="-6"/>
          <w:sz w:val="24"/>
          <w:szCs w:val="24"/>
          <w:highlight w:val="none"/>
        </w:rPr>
        <w:t>标：</w:t>
      </w:r>
    </w:p>
    <w:p w14:paraId="04D1B00F">
      <w:pPr>
        <w:pStyle w:val="2"/>
        <w:keepNext w:val="0"/>
        <w:keepLines w:val="0"/>
        <w:pageBreakBefore w:val="0"/>
        <w:widowControl/>
        <w:kinsoku/>
        <w:wordWrap w:val="0"/>
        <w:overflowPunct/>
        <w:topLinePunct w:val="0"/>
        <w:autoSpaceDE/>
        <w:autoSpaceDN/>
        <w:bidi w:val="0"/>
        <w:adjustRightInd w:val="0"/>
        <w:snapToGrid w:val="0"/>
        <w:spacing w:before="125" w:line="360" w:lineRule="auto"/>
        <w:ind w:left="520"/>
        <w:textAlignment w:val="baseline"/>
        <w:rPr>
          <w:sz w:val="24"/>
          <w:szCs w:val="24"/>
          <w:highlight w:val="none"/>
        </w:rPr>
      </w:pPr>
      <w:r>
        <w:rPr>
          <w:spacing w:val="-2"/>
          <w:sz w:val="24"/>
          <w:szCs w:val="24"/>
          <w:highlight w:val="none"/>
        </w:rPr>
        <w:t>（1）符合专业条件的供应商或者对招标文件作实质响应的供应商不足三家的；</w:t>
      </w:r>
    </w:p>
    <w:p w14:paraId="46F80E6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（2）出现影响采购公正的违法、违规行为的；</w:t>
      </w:r>
    </w:p>
    <w:p w14:paraId="3E635A1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（3）供应商的报价均超过采购预算，采购人不能支付的；</w:t>
      </w:r>
    </w:p>
    <w:p w14:paraId="564C2CD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3"/>
          <w:sz w:val="24"/>
          <w:szCs w:val="24"/>
          <w:highlight w:val="none"/>
        </w:rPr>
        <w:t>（4）因重大变故，采购任务取消的。</w:t>
      </w:r>
    </w:p>
    <w:p w14:paraId="17182C04">
      <w:pPr>
        <w:pStyle w:val="6"/>
        <w:bidi w:val="0"/>
        <w:rPr>
          <w:b/>
          <w:bCs/>
          <w:spacing w:val="-7"/>
          <w:sz w:val="24"/>
          <w:szCs w:val="24"/>
          <w:highlight w:val="none"/>
        </w:rPr>
      </w:pPr>
      <w:bookmarkStart w:id="200" w:name="_Toc27987"/>
      <w:bookmarkStart w:id="201" w:name="_Toc18781"/>
      <w:bookmarkStart w:id="202" w:name="_Toc18892"/>
      <w:r>
        <w:rPr>
          <w:b/>
          <w:bCs/>
          <w:spacing w:val="-7"/>
          <w:sz w:val="24"/>
          <w:szCs w:val="24"/>
          <w:highlight w:val="none"/>
        </w:rPr>
        <w:t>11．重新组建评标委员会进行评标</w:t>
      </w:r>
      <w:bookmarkEnd w:id="200"/>
      <w:bookmarkEnd w:id="201"/>
      <w:bookmarkEnd w:id="202"/>
    </w:p>
    <w:p w14:paraId="3EAE351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firstLine="509"/>
        <w:jc w:val="both"/>
        <w:textAlignment w:val="baseline"/>
        <w:rPr>
          <w:sz w:val="24"/>
          <w:szCs w:val="24"/>
          <w:highlight w:val="none"/>
        </w:rPr>
      </w:pPr>
      <w:r>
        <w:rPr>
          <w:spacing w:val="-4"/>
          <w:sz w:val="24"/>
          <w:szCs w:val="24"/>
          <w:highlight w:val="none"/>
        </w:rPr>
        <w:t>11.1评标委员会或者其成员存在下列情形导致评标结果无效的，采购人、采购代理机</w:t>
      </w:r>
      <w:r>
        <w:rPr>
          <w:spacing w:val="-1"/>
          <w:sz w:val="24"/>
          <w:szCs w:val="24"/>
          <w:highlight w:val="none"/>
        </w:rPr>
        <w:t>构可以重新组建评标委员会进行评标，并书面报告本级财政部门，但采购合同已经履行的</w:t>
      </w:r>
      <w:r>
        <w:rPr>
          <w:spacing w:val="-6"/>
          <w:sz w:val="24"/>
          <w:szCs w:val="24"/>
          <w:highlight w:val="none"/>
        </w:rPr>
        <w:t>除外：</w:t>
      </w:r>
    </w:p>
    <w:p w14:paraId="6CA93D2D">
      <w:pPr>
        <w:pStyle w:val="2"/>
        <w:keepNext w:val="0"/>
        <w:keepLines w:val="0"/>
        <w:pageBreakBefore w:val="0"/>
        <w:widowControl/>
        <w:kinsoku/>
        <w:wordWrap w:val="0"/>
        <w:overflowPunct/>
        <w:topLinePunct w:val="0"/>
        <w:autoSpaceDE/>
        <w:autoSpaceDN/>
        <w:bidi w:val="0"/>
        <w:adjustRightInd w:val="0"/>
        <w:snapToGrid w:val="0"/>
        <w:spacing w:before="125" w:line="360" w:lineRule="auto"/>
        <w:ind w:left="520"/>
        <w:textAlignment w:val="baseline"/>
        <w:rPr>
          <w:sz w:val="24"/>
          <w:szCs w:val="24"/>
          <w:highlight w:val="none"/>
        </w:rPr>
      </w:pPr>
      <w:r>
        <w:rPr>
          <w:spacing w:val="-2"/>
          <w:sz w:val="24"/>
          <w:szCs w:val="24"/>
          <w:highlight w:val="none"/>
        </w:rPr>
        <w:t>（1）评标委员会组成不符合《政府采购货物和服务招标投标管理办法》规定的；</w:t>
      </w:r>
    </w:p>
    <w:p w14:paraId="32701D3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（2）有《政府采购货物和服务招标投标管理办法》第六十二条第一至五项情形的；</w:t>
      </w:r>
    </w:p>
    <w:p w14:paraId="6847B85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（3）评标委员会及其成员独立评标受到非法干预的；</w:t>
      </w:r>
    </w:p>
    <w:p w14:paraId="05E4D2E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（4）有政府采购法实施条例第七十五条规定的违法行为的。</w:t>
      </w:r>
    </w:p>
    <w:p w14:paraId="0C69EB8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11.2有违法违规行为的原评标委员会成员不得参加重新组建的评标委员会。</w:t>
      </w:r>
    </w:p>
    <w:p w14:paraId="015B195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44F3F3">
      <w:pPr>
        <w:pStyle w:val="5"/>
        <w:bidi w:val="0"/>
      </w:pPr>
      <w:bookmarkStart w:id="203" w:name="_Toc20256"/>
      <w:r>
        <w:t>第三节投标文件的符合性审查</w:t>
      </w:r>
      <w:bookmarkEnd w:id="203"/>
    </w:p>
    <w:p w14:paraId="5558297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28D4332">
      <w:pPr>
        <w:pStyle w:val="6"/>
        <w:bidi w:val="0"/>
        <w:rPr>
          <w:b/>
          <w:bCs/>
          <w:spacing w:val="-7"/>
          <w:sz w:val="24"/>
          <w:szCs w:val="24"/>
          <w:highlight w:val="none"/>
        </w:rPr>
      </w:pPr>
      <w:bookmarkStart w:id="204" w:name="_Toc15617"/>
      <w:bookmarkStart w:id="205" w:name="_Toc25741"/>
      <w:bookmarkStart w:id="206" w:name="_Toc28681"/>
      <w:r>
        <w:rPr>
          <w:b/>
          <w:bCs/>
          <w:spacing w:val="-7"/>
          <w:sz w:val="24"/>
          <w:szCs w:val="24"/>
          <w:highlight w:val="none"/>
        </w:rPr>
        <w:t>1.符合性审查</w:t>
      </w:r>
      <w:bookmarkEnd w:id="204"/>
      <w:bookmarkEnd w:id="205"/>
      <w:bookmarkEnd w:id="206"/>
    </w:p>
    <w:p w14:paraId="5DC31633">
      <w:pPr>
        <w:pStyle w:val="2"/>
        <w:keepNext w:val="0"/>
        <w:keepLines w:val="0"/>
        <w:pageBreakBefore w:val="0"/>
        <w:widowControl/>
        <w:kinsoku/>
        <w:wordWrap w:val="0"/>
        <w:overflowPunct/>
        <w:topLinePunct w:val="0"/>
        <w:autoSpaceDE/>
        <w:autoSpaceDN/>
        <w:bidi w:val="0"/>
        <w:adjustRightInd w:val="0"/>
        <w:snapToGrid w:val="0"/>
        <w:spacing w:before="310" w:line="360" w:lineRule="auto"/>
        <w:ind w:left="19" w:right="59" w:firstLine="513"/>
        <w:jc w:val="both"/>
        <w:textAlignment w:val="baseline"/>
        <w:rPr>
          <w:sz w:val="24"/>
          <w:szCs w:val="24"/>
          <w:highlight w:val="none"/>
        </w:rPr>
      </w:pPr>
      <w:r>
        <w:rPr>
          <w:spacing w:val="-2"/>
          <w:sz w:val="24"/>
          <w:szCs w:val="24"/>
          <w:highlight w:val="none"/>
        </w:rPr>
        <w:t>1.1评标委员会应按本章本节附表1“符合性</w:t>
      </w:r>
      <w:r>
        <w:rPr>
          <w:spacing w:val="-3"/>
          <w:sz w:val="24"/>
          <w:szCs w:val="24"/>
          <w:highlight w:val="none"/>
        </w:rPr>
        <w:t>审查表”所列审查项目及审查标准，对</w:t>
      </w:r>
      <w:r>
        <w:rPr>
          <w:spacing w:val="-1"/>
          <w:sz w:val="24"/>
          <w:szCs w:val="24"/>
          <w:highlight w:val="none"/>
        </w:rPr>
        <w:t>符合资格条件的供应商的投标文件进行符合性审查，以确定其是否满足招标文件的实质性</w:t>
      </w:r>
      <w:r>
        <w:rPr>
          <w:spacing w:val="-6"/>
          <w:sz w:val="24"/>
          <w:szCs w:val="24"/>
          <w:highlight w:val="none"/>
        </w:rPr>
        <w:t>要求。</w:t>
      </w:r>
    </w:p>
    <w:p w14:paraId="257DFD99">
      <w:pPr>
        <w:pStyle w:val="2"/>
        <w:keepNext w:val="0"/>
        <w:keepLines w:val="0"/>
        <w:pageBreakBefore w:val="0"/>
        <w:widowControl/>
        <w:kinsoku/>
        <w:wordWrap w:val="0"/>
        <w:overflowPunct/>
        <w:topLinePunct w:val="0"/>
        <w:autoSpaceDE/>
        <w:autoSpaceDN/>
        <w:bidi w:val="0"/>
        <w:adjustRightInd w:val="0"/>
        <w:snapToGrid w:val="0"/>
        <w:spacing w:before="142" w:line="360" w:lineRule="auto"/>
        <w:ind w:left="14" w:right="62" w:firstLine="505"/>
        <w:textAlignment w:val="baseline"/>
        <w:rPr>
          <w:sz w:val="24"/>
          <w:szCs w:val="24"/>
          <w:highlight w:val="none"/>
        </w:rPr>
      </w:pPr>
      <w:r>
        <w:rPr>
          <w:spacing w:val="-2"/>
          <w:sz w:val="24"/>
          <w:szCs w:val="24"/>
          <w:highlight w:val="none"/>
        </w:rPr>
        <w:t>（1）依据招标文件的规定，从投标文件的有效性、完整性和对招标文件的响应程度</w:t>
      </w:r>
      <w:r>
        <w:rPr>
          <w:spacing w:val="-1"/>
          <w:sz w:val="24"/>
          <w:szCs w:val="24"/>
          <w:highlight w:val="none"/>
        </w:rPr>
        <w:t>进行审查，以确定是否对招标文件的实质性要求作出响应。评标委员会判断投标文件的响</w:t>
      </w:r>
      <w:r>
        <w:rPr>
          <w:spacing w:val="-2"/>
          <w:sz w:val="24"/>
          <w:szCs w:val="24"/>
          <w:highlight w:val="none"/>
        </w:rPr>
        <w:t>应性只根据投标文件的内容，而不依据外部的证据。</w:t>
      </w:r>
    </w:p>
    <w:p w14:paraId="00622B7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194" w:firstLine="500"/>
        <w:textAlignment w:val="baseline"/>
        <w:rPr>
          <w:sz w:val="24"/>
          <w:szCs w:val="24"/>
          <w:highlight w:val="none"/>
        </w:rPr>
      </w:pPr>
      <w:r>
        <w:rPr>
          <w:spacing w:val="-2"/>
          <w:sz w:val="24"/>
          <w:szCs w:val="24"/>
          <w:highlight w:val="none"/>
        </w:rPr>
        <w:t>（2）供应商不得通过修正或撤销不合要求的偏离从而使其投标成为实质上响应的投</w:t>
      </w:r>
      <w:r>
        <w:rPr>
          <w:spacing w:val="-6"/>
          <w:sz w:val="24"/>
          <w:szCs w:val="24"/>
          <w:highlight w:val="none"/>
        </w:rPr>
        <w:t>标。</w:t>
      </w:r>
    </w:p>
    <w:p w14:paraId="5EDC95C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3" w:right="119" w:firstLine="490"/>
        <w:textAlignment w:val="baseline"/>
        <w:rPr>
          <w:sz w:val="24"/>
          <w:szCs w:val="24"/>
          <w:highlight w:val="none"/>
        </w:rPr>
      </w:pPr>
      <w:r>
        <w:rPr>
          <w:spacing w:val="-2"/>
          <w:sz w:val="24"/>
          <w:szCs w:val="24"/>
          <w:highlight w:val="none"/>
        </w:rPr>
        <w:t>1.2未通过符合性审查的供应商，其投标将被认定为投标无效，不能</w:t>
      </w:r>
      <w:r>
        <w:rPr>
          <w:spacing w:val="-3"/>
          <w:sz w:val="24"/>
          <w:szCs w:val="24"/>
          <w:highlight w:val="none"/>
        </w:rPr>
        <w:t>进入下一阶段评</w:t>
      </w:r>
      <w:r>
        <w:rPr>
          <w:spacing w:val="-2"/>
          <w:sz w:val="24"/>
          <w:szCs w:val="24"/>
          <w:highlight w:val="none"/>
        </w:rPr>
        <w:t>审。通过符合性审查的供应商数量不足3家的，不得作进一步的比较和评价。</w:t>
      </w:r>
    </w:p>
    <w:p w14:paraId="1E3E2EC4">
      <w:pPr>
        <w:pStyle w:val="6"/>
        <w:bidi w:val="0"/>
        <w:rPr>
          <w:b/>
          <w:bCs/>
          <w:spacing w:val="-7"/>
          <w:sz w:val="24"/>
          <w:szCs w:val="24"/>
          <w:highlight w:val="none"/>
        </w:rPr>
      </w:pPr>
      <w:bookmarkStart w:id="207" w:name="_Toc9105"/>
      <w:bookmarkStart w:id="208" w:name="_Toc19804"/>
      <w:bookmarkStart w:id="209" w:name="_Toc5396"/>
      <w:r>
        <w:rPr>
          <w:b/>
          <w:bCs/>
          <w:spacing w:val="-7"/>
          <w:sz w:val="24"/>
          <w:szCs w:val="24"/>
          <w:highlight w:val="none"/>
        </w:rPr>
        <w:t>2.投标无效</w:t>
      </w:r>
      <w:bookmarkEnd w:id="207"/>
      <w:bookmarkEnd w:id="208"/>
      <w:bookmarkEnd w:id="209"/>
    </w:p>
    <w:p w14:paraId="7A7F8CAA">
      <w:pPr>
        <w:pStyle w:val="2"/>
        <w:keepNext w:val="0"/>
        <w:keepLines w:val="0"/>
        <w:pageBreakBefore w:val="0"/>
        <w:widowControl/>
        <w:kinsoku/>
        <w:wordWrap w:val="0"/>
        <w:overflowPunct/>
        <w:topLinePunct w:val="0"/>
        <w:autoSpaceDE/>
        <w:autoSpaceDN/>
        <w:bidi w:val="0"/>
        <w:adjustRightInd w:val="0"/>
        <w:snapToGrid w:val="0"/>
        <w:spacing w:before="286" w:line="360" w:lineRule="auto"/>
        <w:ind w:left="504"/>
        <w:textAlignment w:val="baseline"/>
        <w:rPr>
          <w:sz w:val="24"/>
          <w:szCs w:val="24"/>
          <w:highlight w:val="none"/>
        </w:rPr>
      </w:pPr>
      <w:r>
        <w:rPr>
          <w:spacing w:val="-2"/>
          <w:sz w:val="24"/>
          <w:szCs w:val="24"/>
          <w:highlight w:val="none"/>
        </w:rPr>
        <w:t>2.1供应商存在下列情况之一的，符合性审查不合格，投标无效：</w:t>
      </w:r>
    </w:p>
    <w:p w14:paraId="2D34B5E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（1）投标文件中商务技术文件未按照招标文件规定要求签署、盖章的；</w:t>
      </w:r>
    </w:p>
    <w:p w14:paraId="22ADC50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5" w:right="194" w:firstLine="494"/>
        <w:textAlignment w:val="baseline"/>
        <w:rPr>
          <w:sz w:val="24"/>
          <w:szCs w:val="24"/>
          <w:highlight w:val="none"/>
        </w:rPr>
      </w:pPr>
      <w:r>
        <w:rPr>
          <w:spacing w:val="-2"/>
          <w:sz w:val="24"/>
          <w:szCs w:val="24"/>
          <w:highlight w:val="none"/>
        </w:rPr>
        <w:t>（2）投标文件没有对招标文件的实质性要求和条件作出响应，或者对招标文件的偏离超出招标文件规定的偏离范围和幅度；</w:t>
      </w:r>
    </w:p>
    <w:p w14:paraId="16E64B7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4"/>
          <w:sz w:val="24"/>
          <w:szCs w:val="24"/>
          <w:highlight w:val="none"/>
        </w:rPr>
        <w:t>（3）投标有效期不足的；</w:t>
      </w:r>
    </w:p>
    <w:p w14:paraId="466E321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（4）投标文件含有采购人不能接受的附加条件的；</w:t>
      </w:r>
    </w:p>
    <w:p w14:paraId="0E08D7F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5"/>
          <w:sz w:val="24"/>
          <w:szCs w:val="24"/>
          <w:highlight w:val="none"/>
        </w:rPr>
        <w:t>（5）不符合本节第1.1款规定符合性审查标准的；</w:t>
      </w:r>
    </w:p>
    <w:p w14:paraId="762D553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（6）法律、法规和招标文件规定的其他投标无效情形的。</w:t>
      </w:r>
    </w:p>
    <w:p w14:paraId="72D03FCE">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9" w:firstLine="474"/>
        <w:jc w:val="both"/>
        <w:textAlignment w:val="baseline"/>
        <w:rPr>
          <w:sz w:val="24"/>
          <w:szCs w:val="24"/>
          <w:highlight w:val="none"/>
        </w:rPr>
      </w:pPr>
      <w:r>
        <w:rPr>
          <w:spacing w:val="2"/>
          <w:sz w:val="24"/>
          <w:szCs w:val="24"/>
          <w:highlight w:val="none"/>
        </w:rPr>
        <w:t>2.2在评标过程中发现供应商有不遵循公平竞</w:t>
      </w:r>
      <w:r>
        <w:rPr>
          <w:spacing w:val="1"/>
          <w:sz w:val="24"/>
          <w:szCs w:val="24"/>
          <w:highlight w:val="none"/>
        </w:rPr>
        <w:t>争的原则，恶意串通，妨碍其他供应商</w:t>
      </w:r>
      <w:r>
        <w:rPr>
          <w:spacing w:val="-6"/>
          <w:sz w:val="24"/>
          <w:szCs w:val="24"/>
          <w:highlight w:val="none"/>
        </w:rPr>
        <w:t>的竞争行为，损害采购人或者其他供应商的合法权益的，评标委员会应当认定其</w:t>
      </w:r>
      <w:r>
        <w:rPr>
          <w:b/>
          <w:bCs/>
          <w:spacing w:val="-6"/>
          <w:sz w:val="24"/>
          <w:szCs w:val="24"/>
          <w:highlight w:val="none"/>
        </w:rPr>
        <w:t>投标无效</w:t>
      </w:r>
      <w:r>
        <w:rPr>
          <w:spacing w:val="-6"/>
          <w:sz w:val="24"/>
          <w:szCs w:val="24"/>
          <w:highlight w:val="none"/>
        </w:rPr>
        <w:t>，</w:t>
      </w:r>
      <w:r>
        <w:rPr>
          <w:spacing w:val="-3"/>
          <w:sz w:val="24"/>
          <w:szCs w:val="24"/>
          <w:highlight w:val="none"/>
        </w:rPr>
        <w:t>并书面报告本级财政部门。</w:t>
      </w:r>
    </w:p>
    <w:p w14:paraId="014BBA01">
      <w:pPr>
        <w:rPr>
          <w:b/>
          <w:bCs/>
          <w:spacing w:val="3"/>
          <w:sz w:val="19"/>
          <w:szCs w:val="19"/>
          <w:highlight w:val="none"/>
        </w:rPr>
      </w:pPr>
      <w:r>
        <w:rPr>
          <w:b/>
          <w:bCs/>
          <w:spacing w:val="3"/>
          <w:sz w:val="19"/>
          <w:szCs w:val="19"/>
          <w:highlight w:val="none"/>
        </w:rPr>
        <w:br w:type="page"/>
      </w:r>
    </w:p>
    <w:p w14:paraId="7E8BEA91">
      <w:pPr>
        <w:pStyle w:val="6"/>
        <w:bidi w:val="0"/>
      </w:pPr>
      <w:bookmarkStart w:id="210" w:name="_Toc19196"/>
      <w:bookmarkStart w:id="211" w:name="_Toc32597"/>
      <w:r>
        <w:t>附表1符合性审查表</w:t>
      </w:r>
      <w:bookmarkEnd w:id="210"/>
      <w:bookmarkEnd w:id="211"/>
    </w:p>
    <w:p w14:paraId="22C4EDA7">
      <w:pPr>
        <w:pStyle w:val="2"/>
        <w:keepNext w:val="0"/>
        <w:keepLines w:val="0"/>
        <w:pageBreakBefore w:val="0"/>
        <w:widowControl/>
        <w:kinsoku/>
        <w:wordWrap w:val="0"/>
        <w:overflowPunct/>
        <w:topLinePunct w:val="0"/>
        <w:autoSpaceDE/>
        <w:autoSpaceDN/>
        <w:bidi w:val="0"/>
        <w:adjustRightInd w:val="0"/>
        <w:snapToGrid w:val="0"/>
        <w:spacing w:before="134" w:line="360" w:lineRule="auto"/>
        <w:ind w:left="4523"/>
        <w:textAlignment w:val="baseline"/>
        <w:rPr>
          <w:sz w:val="24"/>
          <w:szCs w:val="24"/>
          <w:highlight w:val="none"/>
        </w:rPr>
      </w:pPr>
      <w:r>
        <w:rPr>
          <w:b/>
          <w:bCs/>
          <w:spacing w:val="-7"/>
          <w:sz w:val="24"/>
          <w:szCs w:val="24"/>
          <w:highlight w:val="none"/>
        </w:rPr>
        <w:t>符合性审查表</w:t>
      </w:r>
    </w:p>
    <w:p w14:paraId="1DCE7A18">
      <w:pPr>
        <w:keepNext w:val="0"/>
        <w:keepLines w:val="0"/>
        <w:pageBreakBefore w:val="0"/>
        <w:widowControl/>
        <w:kinsoku/>
        <w:wordWrap w:val="0"/>
        <w:overflowPunct/>
        <w:topLinePunct w:val="0"/>
        <w:autoSpaceDE/>
        <w:autoSpaceDN/>
        <w:bidi w:val="0"/>
        <w:adjustRightInd w:val="0"/>
        <w:snapToGrid w:val="0"/>
        <w:spacing w:before="166" w:line="360" w:lineRule="auto"/>
        <w:textAlignment w:val="baseline"/>
        <w:rPr>
          <w:highlight w:val="none"/>
        </w:rPr>
      </w:pPr>
    </w:p>
    <w:tbl>
      <w:tblPr>
        <w:tblStyle w:val="20"/>
        <w:tblW w:w="96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2183"/>
        <w:gridCol w:w="6628"/>
      </w:tblGrid>
      <w:tr w14:paraId="103AB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798" w:type="dxa"/>
            <w:vAlign w:val="top"/>
          </w:tcPr>
          <w:p w14:paraId="5BB3F0C3">
            <w:pPr>
              <w:pStyle w:val="21"/>
              <w:keepNext w:val="0"/>
              <w:keepLines w:val="0"/>
              <w:pageBreakBefore w:val="0"/>
              <w:widowControl/>
              <w:kinsoku/>
              <w:wordWrap w:val="0"/>
              <w:overflowPunct/>
              <w:topLinePunct w:val="0"/>
              <w:autoSpaceDE/>
              <w:autoSpaceDN/>
              <w:bidi w:val="0"/>
              <w:adjustRightInd w:val="0"/>
              <w:snapToGrid w:val="0"/>
              <w:spacing w:before="295" w:line="360" w:lineRule="auto"/>
              <w:ind w:left="176"/>
              <w:textAlignment w:val="baseline"/>
              <w:rPr>
                <w:highlight w:val="none"/>
              </w:rPr>
            </w:pPr>
            <w:r>
              <w:rPr>
                <w:b/>
                <w:bCs/>
                <w:spacing w:val="-7"/>
                <w:highlight w:val="none"/>
              </w:rPr>
              <w:t>序号</w:t>
            </w:r>
          </w:p>
        </w:tc>
        <w:tc>
          <w:tcPr>
            <w:tcW w:w="2183" w:type="dxa"/>
            <w:vAlign w:val="top"/>
          </w:tcPr>
          <w:p w14:paraId="645F093D">
            <w:pPr>
              <w:pStyle w:val="21"/>
              <w:keepNext w:val="0"/>
              <w:keepLines w:val="0"/>
              <w:pageBreakBefore w:val="0"/>
              <w:widowControl/>
              <w:kinsoku/>
              <w:wordWrap w:val="0"/>
              <w:overflowPunct/>
              <w:topLinePunct w:val="0"/>
              <w:autoSpaceDE/>
              <w:autoSpaceDN/>
              <w:bidi w:val="0"/>
              <w:adjustRightInd w:val="0"/>
              <w:snapToGrid w:val="0"/>
              <w:spacing w:before="295" w:line="360" w:lineRule="auto"/>
              <w:ind w:left="644"/>
              <w:textAlignment w:val="baseline"/>
              <w:rPr>
                <w:highlight w:val="none"/>
              </w:rPr>
            </w:pPr>
            <w:r>
              <w:rPr>
                <w:b/>
                <w:bCs/>
                <w:spacing w:val="-12"/>
                <w:highlight w:val="none"/>
              </w:rPr>
              <w:t>审查项目</w:t>
            </w:r>
          </w:p>
        </w:tc>
        <w:tc>
          <w:tcPr>
            <w:tcW w:w="6628" w:type="dxa"/>
            <w:vAlign w:val="top"/>
          </w:tcPr>
          <w:p w14:paraId="104533AC">
            <w:pPr>
              <w:pStyle w:val="21"/>
              <w:keepNext w:val="0"/>
              <w:keepLines w:val="0"/>
              <w:pageBreakBefore w:val="0"/>
              <w:widowControl/>
              <w:kinsoku/>
              <w:wordWrap w:val="0"/>
              <w:overflowPunct/>
              <w:topLinePunct w:val="0"/>
              <w:autoSpaceDE/>
              <w:autoSpaceDN/>
              <w:bidi w:val="0"/>
              <w:adjustRightInd w:val="0"/>
              <w:snapToGrid w:val="0"/>
              <w:spacing w:before="295" w:line="360" w:lineRule="auto"/>
              <w:ind w:left="3189"/>
              <w:textAlignment w:val="baseline"/>
              <w:rPr>
                <w:highlight w:val="none"/>
              </w:rPr>
            </w:pPr>
            <w:r>
              <w:rPr>
                <w:b/>
                <w:bCs/>
                <w:spacing w:val="-12"/>
                <w:highlight w:val="none"/>
              </w:rPr>
              <w:t>审查标准</w:t>
            </w:r>
          </w:p>
        </w:tc>
      </w:tr>
      <w:tr w14:paraId="5CC9D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98" w:type="dxa"/>
            <w:vAlign w:val="top"/>
          </w:tcPr>
          <w:p w14:paraId="7969CDB9">
            <w:pPr>
              <w:pStyle w:val="21"/>
              <w:keepNext w:val="0"/>
              <w:keepLines w:val="0"/>
              <w:pageBreakBefore w:val="0"/>
              <w:widowControl/>
              <w:kinsoku/>
              <w:wordWrap w:val="0"/>
              <w:overflowPunct/>
              <w:topLinePunct w:val="0"/>
              <w:autoSpaceDE/>
              <w:autoSpaceDN/>
              <w:bidi w:val="0"/>
              <w:adjustRightInd w:val="0"/>
              <w:snapToGrid w:val="0"/>
              <w:spacing w:before="279" w:line="360" w:lineRule="auto"/>
              <w:ind w:left="392"/>
              <w:textAlignment w:val="baseline"/>
              <w:rPr>
                <w:highlight w:val="none"/>
              </w:rPr>
            </w:pPr>
            <w:r>
              <w:rPr>
                <w:highlight w:val="none"/>
              </w:rPr>
              <w:t>1</w:t>
            </w:r>
          </w:p>
        </w:tc>
        <w:tc>
          <w:tcPr>
            <w:tcW w:w="2183" w:type="dxa"/>
            <w:vAlign w:val="top"/>
          </w:tcPr>
          <w:p w14:paraId="4EC29F30">
            <w:pPr>
              <w:pStyle w:val="21"/>
              <w:keepNext w:val="0"/>
              <w:keepLines w:val="0"/>
              <w:pageBreakBefore w:val="0"/>
              <w:widowControl/>
              <w:kinsoku/>
              <w:wordWrap w:val="0"/>
              <w:overflowPunct/>
              <w:topLinePunct w:val="0"/>
              <w:autoSpaceDE/>
              <w:autoSpaceDN/>
              <w:bidi w:val="0"/>
              <w:adjustRightInd w:val="0"/>
              <w:snapToGrid w:val="0"/>
              <w:spacing w:before="257" w:line="360" w:lineRule="auto"/>
              <w:ind w:left="502"/>
              <w:textAlignment w:val="baseline"/>
              <w:rPr>
                <w:highlight w:val="none"/>
              </w:rPr>
            </w:pPr>
            <w:r>
              <w:rPr>
                <w:spacing w:val="-4"/>
                <w:highlight w:val="none"/>
              </w:rPr>
              <w:t>签署、盖章</w:t>
            </w:r>
          </w:p>
        </w:tc>
        <w:tc>
          <w:tcPr>
            <w:tcW w:w="6628" w:type="dxa"/>
            <w:vAlign w:val="top"/>
          </w:tcPr>
          <w:p w14:paraId="4ACC69FC">
            <w:pPr>
              <w:pStyle w:val="21"/>
              <w:keepNext w:val="0"/>
              <w:keepLines w:val="0"/>
              <w:pageBreakBefore w:val="0"/>
              <w:widowControl/>
              <w:kinsoku/>
              <w:wordWrap w:val="0"/>
              <w:overflowPunct/>
              <w:topLinePunct w:val="0"/>
              <w:autoSpaceDE/>
              <w:autoSpaceDN/>
              <w:bidi w:val="0"/>
              <w:adjustRightInd w:val="0"/>
              <w:snapToGrid w:val="0"/>
              <w:spacing w:before="257" w:line="360" w:lineRule="auto"/>
              <w:ind w:left="127"/>
              <w:textAlignment w:val="baseline"/>
              <w:rPr>
                <w:highlight w:val="none"/>
              </w:rPr>
            </w:pPr>
            <w:r>
              <w:rPr>
                <w:spacing w:val="-2"/>
                <w:highlight w:val="none"/>
              </w:rPr>
              <w:t>投标文件是否按招标文件第二章投标须知要求进行签署、盖章。</w:t>
            </w:r>
          </w:p>
        </w:tc>
      </w:tr>
      <w:tr w14:paraId="2A7A0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798" w:type="dxa"/>
            <w:vAlign w:val="top"/>
          </w:tcPr>
          <w:p w14:paraId="47724E5B">
            <w:pPr>
              <w:pStyle w:val="21"/>
              <w:keepNext w:val="0"/>
              <w:keepLines w:val="0"/>
              <w:pageBreakBefore w:val="0"/>
              <w:widowControl/>
              <w:kinsoku/>
              <w:wordWrap w:val="0"/>
              <w:overflowPunct/>
              <w:topLinePunct w:val="0"/>
              <w:autoSpaceDE/>
              <w:autoSpaceDN/>
              <w:bidi w:val="0"/>
              <w:adjustRightInd w:val="0"/>
              <w:snapToGrid w:val="0"/>
              <w:spacing w:before="279" w:line="360" w:lineRule="auto"/>
              <w:ind w:left="363"/>
              <w:textAlignment w:val="baseline"/>
              <w:rPr>
                <w:highlight w:val="none"/>
              </w:rPr>
            </w:pPr>
            <w:r>
              <w:rPr>
                <w:highlight w:val="none"/>
              </w:rPr>
              <w:t>2</w:t>
            </w:r>
          </w:p>
        </w:tc>
        <w:tc>
          <w:tcPr>
            <w:tcW w:w="2183" w:type="dxa"/>
            <w:vAlign w:val="top"/>
          </w:tcPr>
          <w:p w14:paraId="659EBC89">
            <w:pPr>
              <w:pStyle w:val="21"/>
              <w:keepNext w:val="0"/>
              <w:keepLines w:val="0"/>
              <w:pageBreakBefore w:val="0"/>
              <w:widowControl/>
              <w:kinsoku/>
              <w:wordWrap w:val="0"/>
              <w:overflowPunct/>
              <w:topLinePunct w:val="0"/>
              <w:autoSpaceDE/>
              <w:autoSpaceDN/>
              <w:bidi w:val="0"/>
              <w:adjustRightInd w:val="0"/>
              <w:snapToGrid w:val="0"/>
              <w:spacing w:before="257" w:line="360" w:lineRule="auto"/>
              <w:ind w:left="632"/>
              <w:textAlignment w:val="baseline"/>
              <w:rPr>
                <w:highlight w:val="none"/>
              </w:rPr>
            </w:pPr>
            <w:r>
              <w:rPr>
                <w:spacing w:val="-6"/>
                <w:highlight w:val="none"/>
              </w:rPr>
              <w:t>交货时间</w:t>
            </w:r>
          </w:p>
        </w:tc>
        <w:tc>
          <w:tcPr>
            <w:tcW w:w="6628" w:type="dxa"/>
            <w:vAlign w:val="top"/>
          </w:tcPr>
          <w:p w14:paraId="01CBD485">
            <w:pPr>
              <w:pStyle w:val="21"/>
              <w:keepNext w:val="0"/>
              <w:keepLines w:val="0"/>
              <w:pageBreakBefore w:val="0"/>
              <w:widowControl/>
              <w:kinsoku/>
              <w:wordWrap w:val="0"/>
              <w:overflowPunct/>
              <w:topLinePunct w:val="0"/>
              <w:autoSpaceDE/>
              <w:autoSpaceDN/>
              <w:bidi w:val="0"/>
              <w:adjustRightInd w:val="0"/>
              <w:snapToGrid w:val="0"/>
              <w:spacing w:before="258" w:line="360" w:lineRule="auto"/>
              <w:ind w:left="119"/>
              <w:textAlignment w:val="baseline"/>
              <w:rPr>
                <w:highlight w:val="none"/>
              </w:rPr>
            </w:pPr>
            <w:r>
              <w:rPr>
                <w:spacing w:val="-3"/>
                <w:highlight w:val="none"/>
              </w:rPr>
              <w:t>满足招标文件要求。</w:t>
            </w:r>
          </w:p>
        </w:tc>
      </w:tr>
      <w:tr w14:paraId="1E44B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98" w:type="dxa"/>
            <w:vAlign w:val="top"/>
          </w:tcPr>
          <w:p w14:paraId="33271460">
            <w:pPr>
              <w:pStyle w:val="21"/>
              <w:keepNext w:val="0"/>
              <w:keepLines w:val="0"/>
              <w:pageBreakBefore w:val="0"/>
              <w:widowControl/>
              <w:kinsoku/>
              <w:wordWrap w:val="0"/>
              <w:overflowPunct/>
              <w:topLinePunct w:val="0"/>
              <w:autoSpaceDE/>
              <w:autoSpaceDN/>
              <w:bidi w:val="0"/>
              <w:adjustRightInd w:val="0"/>
              <w:snapToGrid w:val="0"/>
              <w:spacing w:before="280" w:line="360" w:lineRule="auto"/>
              <w:ind w:left="367"/>
              <w:textAlignment w:val="baseline"/>
              <w:rPr>
                <w:highlight w:val="none"/>
              </w:rPr>
            </w:pPr>
            <w:r>
              <w:rPr>
                <w:highlight w:val="none"/>
              </w:rPr>
              <w:t>3</w:t>
            </w:r>
          </w:p>
        </w:tc>
        <w:tc>
          <w:tcPr>
            <w:tcW w:w="2183" w:type="dxa"/>
            <w:vAlign w:val="top"/>
          </w:tcPr>
          <w:p w14:paraId="3B7A189E">
            <w:pPr>
              <w:pStyle w:val="21"/>
              <w:keepNext w:val="0"/>
              <w:keepLines w:val="0"/>
              <w:pageBreakBefore w:val="0"/>
              <w:widowControl/>
              <w:kinsoku/>
              <w:wordWrap w:val="0"/>
              <w:overflowPunct/>
              <w:topLinePunct w:val="0"/>
              <w:autoSpaceDE/>
              <w:autoSpaceDN/>
              <w:bidi w:val="0"/>
              <w:adjustRightInd w:val="0"/>
              <w:snapToGrid w:val="0"/>
              <w:spacing w:before="261" w:line="360" w:lineRule="auto"/>
              <w:ind w:left="515"/>
              <w:textAlignment w:val="baseline"/>
              <w:rPr>
                <w:highlight w:val="none"/>
              </w:rPr>
            </w:pPr>
            <w:r>
              <w:rPr>
                <w:spacing w:val="-6"/>
                <w:highlight w:val="none"/>
              </w:rPr>
              <w:t>实质性要求</w:t>
            </w:r>
          </w:p>
        </w:tc>
        <w:tc>
          <w:tcPr>
            <w:tcW w:w="6628" w:type="dxa"/>
            <w:vAlign w:val="top"/>
          </w:tcPr>
          <w:p w14:paraId="36C01070">
            <w:pPr>
              <w:pStyle w:val="21"/>
              <w:keepNext w:val="0"/>
              <w:keepLines w:val="0"/>
              <w:pageBreakBefore w:val="0"/>
              <w:widowControl/>
              <w:kinsoku/>
              <w:wordWrap w:val="0"/>
              <w:overflowPunct/>
              <w:topLinePunct w:val="0"/>
              <w:autoSpaceDE/>
              <w:autoSpaceDN/>
              <w:bidi w:val="0"/>
              <w:adjustRightInd w:val="0"/>
              <w:snapToGrid w:val="0"/>
              <w:spacing w:before="262" w:line="360" w:lineRule="auto"/>
              <w:ind w:left="127"/>
              <w:textAlignment w:val="baseline"/>
              <w:rPr>
                <w:highlight w:val="none"/>
              </w:rPr>
            </w:pPr>
            <w:r>
              <w:rPr>
                <w:spacing w:val="-2"/>
                <w:highlight w:val="none"/>
              </w:rPr>
              <w:t>投标文件是否对招标文件的实质性要求和条件作出响应。</w:t>
            </w:r>
          </w:p>
        </w:tc>
      </w:tr>
      <w:tr w14:paraId="4B819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98" w:type="dxa"/>
            <w:vAlign w:val="top"/>
          </w:tcPr>
          <w:p w14:paraId="04B99657">
            <w:pPr>
              <w:pStyle w:val="21"/>
              <w:keepNext w:val="0"/>
              <w:keepLines w:val="0"/>
              <w:pageBreakBefore w:val="0"/>
              <w:widowControl/>
              <w:kinsoku/>
              <w:wordWrap w:val="0"/>
              <w:overflowPunct/>
              <w:topLinePunct w:val="0"/>
              <w:autoSpaceDE/>
              <w:autoSpaceDN/>
              <w:bidi w:val="0"/>
              <w:adjustRightInd w:val="0"/>
              <w:snapToGrid w:val="0"/>
              <w:spacing w:before="281" w:line="360" w:lineRule="auto"/>
              <w:ind w:left="356"/>
              <w:textAlignment w:val="baseline"/>
              <w:rPr>
                <w:highlight w:val="none"/>
              </w:rPr>
            </w:pPr>
            <w:r>
              <w:rPr>
                <w:highlight w:val="none"/>
              </w:rPr>
              <w:t>4</w:t>
            </w:r>
          </w:p>
        </w:tc>
        <w:tc>
          <w:tcPr>
            <w:tcW w:w="2183" w:type="dxa"/>
            <w:vAlign w:val="top"/>
          </w:tcPr>
          <w:p w14:paraId="58FDF5B6">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510"/>
              <w:textAlignment w:val="baseline"/>
              <w:rPr>
                <w:highlight w:val="none"/>
              </w:rPr>
            </w:pPr>
            <w:r>
              <w:rPr>
                <w:spacing w:val="-5"/>
                <w:highlight w:val="none"/>
              </w:rPr>
              <w:t>投标有效期</w:t>
            </w:r>
          </w:p>
        </w:tc>
        <w:tc>
          <w:tcPr>
            <w:tcW w:w="6628" w:type="dxa"/>
            <w:vAlign w:val="top"/>
          </w:tcPr>
          <w:p w14:paraId="29C8B4F1">
            <w:pPr>
              <w:pStyle w:val="21"/>
              <w:keepNext w:val="0"/>
              <w:keepLines w:val="0"/>
              <w:pageBreakBefore w:val="0"/>
              <w:widowControl/>
              <w:kinsoku/>
              <w:wordWrap w:val="0"/>
              <w:overflowPunct/>
              <w:topLinePunct w:val="0"/>
              <w:autoSpaceDE/>
              <w:autoSpaceDN/>
              <w:bidi w:val="0"/>
              <w:adjustRightInd w:val="0"/>
              <w:snapToGrid w:val="0"/>
              <w:spacing w:before="262" w:line="360" w:lineRule="auto"/>
              <w:ind w:left="127"/>
              <w:textAlignment w:val="baseline"/>
              <w:rPr>
                <w:highlight w:val="none"/>
              </w:rPr>
            </w:pPr>
            <w:r>
              <w:rPr>
                <w:spacing w:val="-2"/>
                <w:highlight w:val="none"/>
              </w:rPr>
              <w:t>投标有效期满足招标文件要求。</w:t>
            </w:r>
          </w:p>
        </w:tc>
      </w:tr>
      <w:tr w14:paraId="63B6E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798" w:type="dxa"/>
            <w:vAlign w:val="top"/>
          </w:tcPr>
          <w:p w14:paraId="4B490EA7">
            <w:pPr>
              <w:pStyle w:val="21"/>
              <w:keepNext w:val="0"/>
              <w:keepLines w:val="0"/>
              <w:pageBreakBefore w:val="0"/>
              <w:widowControl/>
              <w:kinsoku/>
              <w:wordWrap w:val="0"/>
              <w:overflowPunct/>
              <w:topLinePunct w:val="0"/>
              <w:autoSpaceDE/>
              <w:autoSpaceDN/>
              <w:bidi w:val="0"/>
              <w:adjustRightInd w:val="0"/>
              <w:snapToGrid w:val="0"/>
              <w:spacing w:before="283" w:line="360" w:lineRule="auto"/>
              <w:ind w:left="367"/>
              <w:textAlignment w:val="baseline"/>
              <w:rPr>
                <w:highlight w:val="none"/>
              </w:rPr>
            </w:pPr>
            <w:r>
              <w:rPr>
                <w:highlight w:val="none"/>
              </w:rPr>
              <w:t>5</w:t>
            </w:r>
          </w:p>
        </w:tc>
        <w:tc>
          <w:tcPr>
            <w:tcW w:w="2183" w:type="dxa"/>
            <w:vAlign w:val="top"/>
          </w:tcPr>
          <w:p w14:paraId="3688257D">
            <w:pPr>
              <w:pStyle w:val="21"/>
              <w:keepNext w:val="0"/>
              <w:keepLines w:val="0"/>
              <w:pageBreakBefore w:val="0"/>
              <w:widowControl/>
              <w:kinsoku/>
              <w:wordWrap w:val="0"/>
              <w:overflowPunct/>
              <w:topLinePunct w:val="0"/>
              <w:autoSpaceDE/>
              <w:autoSpaceDN/>
              <w:bidi w:val="0"/>
              <w:adjustRightInd w:val="0"/>
              <w:snapToGrid w:val="0"/>
              <w:spacing w:before="261" w:line="360" w:lineRule="auto"/>
              <w:ind w:left="660"/>
              <w:textAlignment w:val="baseline"/>
              <w:rPr>
                <w:highlight w:val="none"/>
              </w:rPr>
            </w:pPr>
            <w:r>
              <w:rPr>
                <w:spacing w:val="-12"/>
                <w:highlight w:val="none"/>
              </w:rPr>
              <w:t>附加条件</w:t>
            </w:r>
          </w:p>
        </w:tc>
        <w:tc>
          <w:tcPr>
            <w:tcW w:w="6628" w:type="dxa"/>
            <w:vAlign w:val="top"/>
          </w:tcPr>
          <w:p w14:paraId="1363D2AF">
            <w:pPr>
              <w:pStyle w:val="21"/>
              <w:keepNext w:val="0"/>
              <w:keepLines w:val="0"/>
              <w:pageBreakBefore w:val="0"/>
              <w:widowControl/>
              <w:kinsoku/>
              <w:wordWrap w:val="0"/>
              <w:overflowPunct/>
              <w:topLinePunct w:val="0"/>
              <w:autoSpaceDE/>
              <w:autoSpaceDN/>
              <w:bidi w:val="0"/>
              <w:adjustRightInd w:val="0"/>
              <w:snapToGrid w:val="0"/>
              <w:spacing w:before="261" w:line="360" w:lineRule="auto"/>
              <w:ind w:left="127"/>
              <w:textAlignment w:val="baseline"/>
              <w:rPr>
                <w:highlight w:val="none"/>
              </w:rPr>
            </w:pPr>
            <w:r>
              <w:rPr>
                <w:spacing w:val="-2"/>
                <w:highlight w:val="none"/>
              </w:rPr>
              <w:t>投标文件未含有采购人不能接受的附加条件。</w:t>
            </w:r>
          </w:p>
        </w:tc>
      </w:tr>
      <w:tr w14:paraId="3F3C7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98" w:type="dxa"/>
            <w:vAlign w:val="top"/>
          </w:tcPr>
          <w:p w14:paraId="20053EBE">
            <w:pPr>
              <w:pStyle w:val="21"/>
              <w:keepNext w:val="0"/>
              <w:keepLines w:val="0"/>
              <w:pageBreakBefore w:val="0"/>
              <w:widowControl/>
              <w:kinsoku/>
              <w:wordWrap w:val="0"/>
              <w:overflowPunct/>
              <w:topLinePunct w:val="0"/>
              <w:autoSpaceDE/>
              <w:autoSpaceDN/>
              <w:bidi w:val="0"/>
              <w:adjustRightInd w:val="0"/>
              <w:snapToGrid w:val="0"/>
              <w:spacing w:before="284" w:line="360" w:lineRule="auto"/>
              <w:ind w:left="362"/>
              <w:textAlignment w:val="baseline"/>
              <w:rPr>
                <w:highlight w:val="none"/>
              </w:rPr>
            </w:pPr>
            <w:r>
              <w:rPr>
                <w:highlight w:val="none"/>
              </w:rPr>
              <w:t>6</w:t>
            </w:r>
          </w:p>
        </w:tc>
        <w:tc>
          <w:tcPr>
            <w:tcW w:w="2183" w:type="dxa"/>
            <w:vAlign w:val="top"/>
          </w:tcPr>
          <w:p w14:paraId="38D32D2C">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510"/>
              <w:textAlignment w:val="baseline"/>
              <w:rPr>
                <w:highlight w:val="none"/>
              </w:rPr>
            </w:pPr>
            <w:r>
              <w:rPr>
                <w:spacing w:val="-5"/>
                <w:highlight w:val="none"/>
              </w:rPr>
              <w:t>投标完整性</w:t>
            </w:r>
          </w:p>
        </w:tc>
        <w:tc>
          <w:tcPr>
            <w:tcW w:w="6628" w:type="dxa"/>
            <w:vAlign w:val="top"/>
          </w:tcPr>
          <w:p w14:paraId="7B33FA50">
            <w:pPr>
              <w:pStyle w:val="21"/>
              <w:keepNext w:val="0"/>
              <w:keepLines w:val="0"/>
              <w:pageBreakBefore w:val="0"/>
              <w:widowControl/>
              <w:kinsoku/>
              <w:wordWrap w:val="0"/>
              <w:overflowPunct/>
              <w:topLinePunct w:val="0"/>
              <w:autoSpaceDE/>
              <w:autoSpaceDN/>
              <w:bidi w:val="0"/>
              <w:adjustRightInd w:val="0"/>
              <w:snapToGrid w:val="0"/>
              <w:spacing w:before="263" w:line="360" w:lineRule="auto"/>
              <w:ind w:left="128"/>
              <w:textAlignment w:val="baseline"/>
              <w:rPr>
                <w:highlight w:val="none"/>
              </w:rPr>
            </w:pPr>
            <w:r>
              <w:rPr>
                <w:spacing w:val="-2"/>
                <w:highlight w:val="none"/>
              </w:rPr>
              <w:t>未将一个采购包中的内容拆开投标。</w:t>
            </w:r>
          </w:p>
        </w:tc>
      </w:tr>
      <w:tr w14:paraId="4F259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798" w:type="dxa"/>
            <w:vAlign w:val="top"/>
          </w:tcPr>
          <w:p w14:paraId="390F2FFC">
            <w:pPr>
              <w:pStyle w:val="21"/>
              <w:keepNext w:val="0"/>
              <w:keepLines w:val="0"/>
              <w:pageBreakBefore w:val="0"/>
              <w:widowControl/>
              <w:kinsoku/>
              <w:wordWrap w:val="0"/>
              <w:overflowPunct/>
              <w:topLinePunct w:val="0"/>
              <w:autoSpaceDE/>
              <w:autoSpaceDN/>
              <w:bidi w:val="0"/>
              <w:adjustRightInd w:val="0"/>
              <w:snapToGrid w:val="0"/>
              <w:spacing w:before="285" w:line="360" w:lineRule="auto"/>
              <w:ind w:left="368"/>
              <w:textAlignment w:val="baseline"/>
              <w:rPr>
                <w:highlight w:val="none"/>
              </w:rPr>
            </w:pPr>
            <w:r>
              <w:rPr>
                <w:highlight w:val="none"/>
              </w:rPr>
              <w:t>7</w:t>
            </w:r>
          </w:p>
        </w:tc>
        <w:tc>
          <w:tcPr>
            <w:tcW w:w="2183" w:type="dxa"/>
            <w:vAlign w:val="top"/>
          </w:tcPr>
          <w:p w14:paraId="69896F8B">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498"/>
              <w:textAlignment w:val="baseline"/>
              <w:rPr>
                <w:highlight w:val="none"/>
              </w:rPr>
            </w:pPr>
            <w:r>
              <w:rPr>
                <w:spacing w:val="-3"/>
                <w:highlight w:val="none"/>
              </w:rPr>
              <w:t>报价合理性</w:t>
            </w:r>
          </w:p>
        </w:tc>
        <w:tc>
          <w:tcPr>
            <w:tcW w:w="6628" w:type="dxa"/>
            <w:vAlign w:val="top"/>
          </w:tcPr>
          <w:p w14:paraId="1F553167">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128"/>
              <w:textAlignment w:val="baseline"/>
              <w:rPr>
                <w:highlight w:val="none"/>
              </w:rPr>
            </w:pPr>
            <w:r>
              <w:rPr>
                <w:spacing w:val="-3"/>
                <w:highlight w:val="none"/>
              </w:rPr>
              <w:t>是否按照要求进行报价。</w:t>
            </w:r>
          </w:p>
        </w:tc>
      </w:tr>
      <w:tr w14:paraId="26C4E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98" w:type="dxa"/>
            <w:vAlign w:val="top"/>
          </w:tcPr>
          <w:p w14:paraId="78FF67C0">
            <w:pPr>
              <w:pStyle w:val="21"/>
              <w:keepNext w:val="0"/>
              <w:keepLines w:val="0"/>
              <w:pageBreakBefore w:val="0"/>
              <w:widowControl/>
              <w:kinsoku/>
              <w:wordWrap w:val="0"/>
              <w:overflowPunct/>
              <w:topLinePunct w:val="0"/>
              <w:autoSpaceDE/>
              <w:autoSpaceDN/>
              <w:bidi w:val="0"/>
              <w:adjustRightInd w:val="0"/>
              <w:snapToGrid w:val="0"/>
              <w:spacing w:before="286" w:line="360" w:lineRule="auto"/>
              <w:ind w:left="188"/>
              <w:textAlignment w:val="baseline"/>
              <w:rPr>
                <w:highlight w:val="none"/>
              </w:rPr>
            </w:pPr>
            <w:r>
              <w:rPr>
                <w:spacing w:val="-8"/>
                <w:highlight w:val="none"/>
              </w:rPr>
              <w:t>结论</w:t>
            </w:r>
          </w:p>
        </w:tc>
        <w:tc>
          <w:tcPr>
            <w:tcW w:w="8811" w:type="dxa"/>
            <w:gridSpan w:val="2"/>
            <w:vAlign w:val="top"/>
          </w:tcPr>
          <w:p w14:paraId="001F71FB">
            <w:pPr>
              <w:pStyle w:val="21"/>
              <w:keepNext w:val="0"/>
              <w:keepLines w:val="0"/>
              <w:pageBreakBefore w:val="0"/>
              <w:widowControl/>
              <w:kinsoku/>
              <w:wordWrap w:val="0"/>
              <w:overflowPunct/>
              <w:topLinePunct w:val="0"/>
              <w:autoSpaceDE/>
              <w:autoSpaceDN/>
              <w:bidi w:val="0"/>
              <w:adjustRightInd w:val="0"/>
              <w:snapToGrid w:val="0"/>
              <w:spacing w:before="285" w:line="360" w:lineRule="auto"/>
              <w:ind w:left="3083"/>
              <w:textAlignment w:val="baseline"/>
              <w:rPr>
                <w:highlight w:val="none"/>
              </w:rPr>
            </w:pPr>
            <w:r>
              <w:rPr>
                <w:spacing w:val="3"/>
                <w:highlight w:val="none"/>
              </w:rPr>
              <w:t>审查结果“合格”或“不合格”</w:t>
            </w:r>
          </w:p>
        </w:tc>
      </w:tr>
    </w:tbl>
    <w:p w14:paraId="19D8E88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205F93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489761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9"/>
        <w:textAlignment w:val="baseline"/>
        <w:rPr>
          <w:sz w:val="24"/>
          <w:szCs w:val="24"/>
          <w:highlight w:val="none"/>
        </w:rPr>
      </w:pPr>
      <w:r>
        <w:rPr>
          <w:spacing w:val="-5"/>
          <w:sz w:val="24"/>
          <w:szCs w:val="24"/>
          <w:highlight w:val="none"/>
        </w:rPr>
        <w:t>注：</w:t>
      </w:r>
    </w:p>
    <w:p w14:paraId="1ADABC6C">
      <w:pPr>
        <w:pStyle w:val="2"/>
        <w:keepNext w:val="0"/>
        <w:keepLines w:val="0"/>
        <w:pageBreakBefore w:val="0"/>
        <w:widowControl/>
        <w:kinsoku/>
        <w:wordWrap w:val="0"/>
        <w:overflowPunct/>
        <w:topLinePunct w:val="0"/>
        <w:autoSpaceDE/>
        <w:autoSpaceDN/>
        <w:bidi w:val="0"/>
        <w:adjustRightInd w:val="0"/>
        <w:snapToGrid w:val="0"/>
        <w:spacing w:before="96" w:line="360" w:lineRule="auto"/>
        <w:ind w:left="656"/>
        <w:textAlignment w:val="baseline"/>
        <w:rPr>
          <w:sz w:val="24"/>
          <w:szCs w:val="24"/>
          <w:highlight w:val="none"/>
        </w:rPr>
      </w:pPr>
      <w:r>
        <w:rPr>
          <w:spacing w:val="-14"/>
          <w:sz w:val="24"/>
          <w:szCs w:val="24"/>
          <w:highlight w:val="none"/>
        </w:rPr>
        <w:t>1、上述内容合格用“√”表示，不合格用“×”表示；</w:t>
      </w:r>
    </w:p>
    <w:p w14:paraId="4FDDC454">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627"/>
        <w:textAlignment w:val="baseline"/>
        <w:rPr>
          <w:sz w:val="24"/>
          <w:szCs w:val="24"/>
          <w:highlight w:val="none"/>
        </w:rPr>
      </w:pPr>
      <w:r>
        <w:rPr>
          <w:spacing w:val="-5"/>
          <w:sz w:val="24"/>
          <w:szCs w:val="24"/>
          <w:highlight w:val="none"/>
        </w:rPr>
        <w:t>2、在结论栏中填写“合格”或“不合格”。</w:t>
      </w:r>
    </w:p>
    <w:p w14:paraId="2D8C9F3C">
      <w:pPr>
        <w:pStyle w:val="2"/>
        <w:keepNext w:val="0"/>
        <w:keepLines w:val="0"/>
        <w:pageBreakBefore w:val="0"/>
        <w:widowControl/>
        <w:kinsoku/>
        <w:wordWrap w:val="0"/>
        <w:overflowPunct/>
        <w:topLinePunct w:val="0"/>
        <w:autoSpaceDE/>
        <w:autoSpaceDN/>
        <w:bidi w:val="0"/>
        <w:adjustRightInd w:val="0"/>
        <w:snapToGrid w:val="0"/>
        <w:spacing w:before="181" w:line="360" w:lineRule="auto"/>
        <w:ind w:left="631"/>
        <w:textAlignment w:val="baseline"/>
        <w:rPr>
          <w:sz w:val="24"/>
          <w:szCs w:val="24"/>
          <w:highlight w:val="none"/>
        </w:rPr>
      </w:pPr>
      <w:r>
        <w:rPr>
          <w:spacing w:val="-2"/>
          <w:sz w:val="24"/>
          <w:szCs w:val="24"/>
          <w:highlight w:val="none"/>
        </w:rPr>
        <w:t>3、以上内容有一项不合格的，则初步评审的综合评定结果为不合格。</w:t>
      </w:r>
    </w:p>
    <w:p w14:paraId="33922FE7">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618"/>
        <w:textAlignment w:val="baseline"/>
        <w:rPr>
          <w:sz w:val="24"/>
          <w:szCs w:val="24"/>
          <w:highlight w:val="none"/>
        </w:rPr>
      </w:pPr>
      <w:r>
        <w:rPr>
          <w:spacing w:val="-3"/>
          <w:sz w:val="24"/>
          <w:szCs w:val="24"/>
          <w:highlight w:val="none"/>
        </w:rPr>
        <w:t>4、结论为“不合格”的供应商不得进入实质</w:t>
      </w:r>
      <w:r>
        <w:rPr>
          <w:spacing w:val="-4"/>
          <w:sz w:val="24"/>
          <w:szCs w:val="24"/>
          <w:highlight w:val="none"/>
        </w:rPr>
        <w:t>性评价打分程序。</w:t>
      </w:r>
    </w:p>
    <w:p w14:paraId="73950255">
      <w:pPr>
        <w:rPr>
          <w:b/>
          <w:bCs/>
          <w:spacing w:val="8"/>
          <w:sz w:val="19"/>
          <w:szCs w:val="19"/>
          <w:highlight w:val="none"/>
        </w:rPr>
      </w:pPr>
      <w:r>
        <w:rPr>
          <w:b/>
          <w:bCs/>
          <w:spacing w:val="8"/>
          <w:sz w:val="19"/>
          <w:szCs w:val="19"/>
          <w:highlight w:val="none"/>
        </w:rPr>
        <w:br w:type="page"/>
      </w:r>
    </w:p>
    <w:p w14:paraId="4880672C">
      <w:pPr>
        <w:pStyle w:val="6"/>
        <w:bidi w:val="0"/>
      </w:pPr>
      <w:bookmarkStart w:id="212" w:name="_Toc16357"/>
      <w:bookmarkStart w:id="213" w:name="_Toc8793"/>
      <w:r>
        <w:t>附表2符合性审查结果一览表</w:t>
      </w:r>
      <w:bookmarkEnd w:id="212"/>
      <w:bookmarkEnd w:id="213"/>
    </w:p>
    <w:p w14:paraId="7844AE1B">
      <w:pPr>
        <w:pStyle w:val="2"/>
        <w:keepNext w:val="0"/>
        <w:keepLines w:val="0"/>
        <w:pageBreakBefore w:val="0"/>
        <w:widowControl/>
        <w:kinsoku/>
        <w:wordWrap w:val="0"/>
        <w:overflowPunct/>
        <w:topLinePunct w:val="0"/>
        <w:autoSpaceDE/>
        <w:autoSpaceDN/>
        <w:bidi w:val="0"/>
        <w:adjustRightInd w:val="0"/>
        <w:snapToGrid w:val="0"/>
        <w:spacing w:before="290" w:line="360" w:lineRule="auto"/>
        <w:ind w:left="4041"/>
        <w:textAlignment w:val="baseline"/>
        <w:rPr>
          <w:sz w:val="24"/>
          <w:szCs w:val="24"/>
          <w:highlight w:val="none"/>
        </w:rPr>
      </w:pPr>
      <w:r>
        <w:rPr>
          <w:b/>
          <w:bCs/>
          <w:spacing w:val="-6"/>
          <w:sz w:val="24"/>
          <w:szCs w:val="24"/>
          <w:highlight w:val="none"/>
        </w:rPr>
        <w:t>符合性审查结果一览表</w:t>
      </w:r>
    </w:p>
    <w:p w14:paraId="09662AD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827C00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8"/>
        <w:textAlignment w:val="baseline"/>
        <w:rPr>
          <w:sz w:val="24"/>
          <w:szCs w:val="24"/>
          <w:highlight w:val="none"/>
        </w:rPr>
      </w:pPr>
      <w:r>
        <w:rPr>
          <w:spacing w:val="-5"/>
          <w:sz w:val="24"/>
          <w:szCs w:val="24"/>
          <w:highlight w:val="none"/>
        </w:rPr>
        <w:t>项目名称：</w:t>
      </w:r>
    </w:p>
    <w:p w14:paraId="244DE4A4">
      <w:pPr>
        <w:pStyle w:val="2"/>
        <w:keepNext w:val="0"/>
        <w:keepLines w:val="0"/>
        <w:pageBreakBefore w:val="0"/>
        <w:widowControl/>
        <w:kinsoku/>
        <w:wordWrap w:val="0"/>
        <w:overflowPunct/>
        <w:topLinePunct w:val="0"/>
        <w:autoSpaceDE/>
        <w:autoSpaceDN/>
        <w:bidi w:val="0"/>
        <w:adjustRightInd w:val="0"/>
        <w:snapToGrid w:val="0"/>
        <w:spacing w:before="179" w:line="360" w:lineRule="auto"/>
        <w:ind w:left="138"/>
        <w:textAlignment w:val="baseline"/>
        <w:rPr>
          <w:sz w:val="24"/>
          <w:szCs w:val="24"/>
          <w:highlight w:val="none"/>
        </w:rPr>
      </w:pPr>
      <w:r>
        <w:rPr>
          <w:spacing w:val="-3"/>
          <w:sz w:val="24"/>
          <w:szCs w:val="24"/>
          <w:highlight w:val="none"/>
        </w:rPr>
        <w:t>采购代理编号：</w:t>
      </w:r>
    </w:p>
    <w:p w14:paraId="5CC5391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highlight w:val="none"/>
        </w:rPr>
      </w:pPr>
    </w:p>
    <w:tbl>
      <w:tblPr>
        <w:tblStyle w:val="20"/>
        <w:tblW w:w="98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514"/>
        <w:gridCol w:w="3226"/>
        <w:gridCol w:w="2404"/>
      </w:tblGrid>
      <w:tr w14:paraId="52109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736" w:type="dxa"/>
            <w:vAlign w:val="top"/>
          </w:tcPr>
          <w:p w14:paraId="15020EAB">
            <w:pPr>
              <w:pStyle w:val="21"/>
              <w:keepNext w:val="0"/>
              <w:keepLines w:val="0"/>
              <w:pageBreakBefore w:val="0"/>
              <w:widowControl/>
              <w:kinsoku/>
              <w:wordWrap w:val="0"/>
              <w:overflowPunct/>
              <w:topLinePunct w:val="0"/>
              <w:autoSpaceDE/>
              <w:autoSpaceDN/>
              <w:bidi w:val="0"/>
              <w:adjustRightInd w:val="0"/>
              <w:snapToGrid w:val="0"/>
              <w:spacing w:before="311" w:line="360" w:lineRule="auto"/>
              <w:ind w:left="145"/>
              <w:textAlignment w:val="baseline"/>
              <w:rPr>
                <w:highlight w:val="none"/>
              </w:rPr>
            </w:pPr>
            <w:r>
              <w:rPr>
                <w:b/>
                <w:bCs/>
                <w:spacing w:val="-7"/>
                <w:highlight w:val="none"/>
              </w:rPr>
              <w:t>序号</w:t>
            </w:r>
          </w:p>
        </w:tc>
        <w:tc>
          <w:tcPr>
            <w:tcW w:w="3514" w:type="dxa"/>
            <w:vAlign w:val="top"/>
          </w:tcPr>
          <w:p w14:paraId="09C015F8">
            <w:pPr>
              <w:pStyle w:val="21"/>
              <w:keepNext w:val="0"/>
              <w:keepLines w:val="0"/>
              <w:pageBreakBefore w:val="0"/>
              <w:widowControl/>
              <w:kinsoku/>
              <w:wordWrap w:val="0"/>
              <w:overflowPunct/>
              <w:topLinePunct w:val="0"/>
              <w:autoSpaceDE/>
              <w:autoSpaceDN/>
              <w:bidi w:val="0"/>
              <w:adjustRightInd w:val="0"/>
              <w:snapToGrid w:val="0"/>
              <w:spacing w:before="308" w:line="360" w:lineRule="auto"/>
              <w:ind w:left="932"/>
              <w:textAlignment w:val="baseline"/>
              <w:rPr>
                <w:highlight w:val="none"/>
              </w:rPr>
            </w:pPr>
            <w:r>
              <w:rPr>
                <w:b/>
                <w:bCs/>
                <w:spacing w:val="-7"/>
                <w:highlight w:val="none"/>
              </w:rPr>
              <w:t>投标供应商名称</w:t>
            </w:r>
          </w:p>
        </w:tc>
        <w:tc>
          <w:tcPr>
            <w:tcW w:w="3226" w:type="dxa"/>
            <w:vAlign w:val="top"/>
          </w:tcPr>
          <w:p w14:paraId="1AB999C5">
            <w:pPr>
              <w:pStyle w:val="21"/>
              <w:keepNext w:val="0"/>
              <w:keepLines w:val="0"/>
              <w:pageBreakBefore w:val="0"/>
              <w:widowControl/>
              <w:kinsoku/>
              <w:wordWrap w:val="0"/>
              <w:overflowPunct/>
              <w:topLinePunct w:val="0"/>
              <w:autoSpaceDE/>
              <w:autoSpaceDN/>
              <w:bidi w:val="0"/>
              <w:adjustRightInd w:val="0"/>
              <w:snapToGrid w:val="0"/>
              <w:spacing w:before="156" w:line="360" w:lineRule="auto"/>
              <w:ind w:left="748" w:right="742" w:firstLine="40"/>
              <w:textAlignment w:val="baseline"/>
              <w:rPr>
                <w:highlight w:val="none"/>
              </w:rPr>
            </w:pPr>
            <w:r>
              <w:rPr>
                <w:b/>
                <w:bCs/>
                <w:spacing w:val="-7"/>
                <w:highlight w:val="none"/>
              </w:rPr>
              <w:t>符合性审查结果</w:t>
            </w:r>
            <w:r>
              <w:rPr>
                <w:b/>
                <w:bCs/>
                <w:spacing w:val="-12"/>
                <w:highlight w:val="none"/>
              </w:rPr>
              <w:t>（合格/不合格）</w:t>
            </w:r>
          </w:p>
        </w:tc>
        <w:tc>
          <w:tcPr>
            <w:tcW w:w="2404" w:type="dxa"/>
            <w:vAlign w:val="top"/>
          </w:tcPr>
          <w:p w14:paraId="51C72930">
            <w:pPr>
              <w:pStyle w:val="21"/>
              <w:keepNext w:val="0"/>
              <w:keepLines w:val="0"/>
              <w:pageBreakBefore w:val="0"/>
              <w:widowControl/>
              <w:kinsoku/>
              <w:wordWrap w:val="0"/>
              <w:overflowPunct/>
              <w:topLinePunct w:val="0"/>
              <w:autoSpaceDE/>
              <w:autoSpaceDN/>
              <w:bidi w:val="0"/>
              <w:adjustRightInd w:val="0"/>
              <w:snapToGrid w:val="0"/>
              <w:spacing w:before="155" w:line="360" w:lineRule="auto"/>
              <w:ind w:left="614"/>
              <w:textAlignment w:val="baseline"/>
              <w:rPr>
                <w:highlight w:val="none"/>
              </w:rPr>
            </w:pPr>
            <w:r>
              <w:rPr>
                <w:b/>
                <w:bCs/>
                <w:spacing w:val="-7"/>
                <w:highlight w:val="none"/>
              </w:rPr>
              <w:t>符合性审查</w:t>
            </w:r>
          </w:p>
          <w:p w14:paraId="03F72096">
            <w:pPr>
              <w:pStyle w:val="21"/>
              <w:keepNext w:val="0"/>
              <w:keepLines w:val="0"/>
              <w:pageBreakBefore w:val="0"/>
              <w:widowControl/>
              <w:kinsoku/>
              <w:wordWrap w:val="0"/>
              <w:overflowPunct/>
              <w:topLinePunct w:val="0"/>
              <w:autoSpaceDE/>
              <w:autoSpaceDN/>
              <w:bidi w:val="0"/>
              <w:adjustRightInd w:val="0"/>
              <w:snapToGrid w:val="0"/>
              <w:spacing w:before="24" w:line="360" w:lineRule="auto"/>
              <w:ind w:left="618"/>
              <w:textAlignment w:val="baseline"/>
              <w:rPr>
                <w:highlight w:val="none"/>
              </w:rPr>
            </w:pPr>
            <w:r>
              <w:rPr>
                <w:b/>
                <w:bCs/>
                <w:spacing w:val="-8"/>
                <w:highlight w:val="none"/>
              </w:rPr>
              <w:t>不合格原因</w:t>
            </w:r>
          </w:p>
        </w:tc>
      </w:tr>
      <w:tr w14:paraId="3DC5E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736" w:type="dxa"/>
            <w:vAlign w:val="top"/>
          </w:tcPr>
          <w:p w14:paraId="17DBF773">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363"/>
              <w:textAlignment w:val="baseline"/>
              <w:rPr>
                <w:highlight w:val="none"/>
              </w:rPr>
            </w:pPr>
            <w:r>
              <w:rPr>
                <w:highlight w:val="none"/>
              </w:rPr>
              <w:t>1</w:t>
            </w:r>
          </w:p>
        </w:tc>
        <w:tc>
          <w:tcPr>
            <w:tcW w:w="3514" w:type="dxa"/>
            <w:vAlign w:val="top"/>
          </w:tcPr>
          <w:p w14:paraId="79A3B97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226" w:type="dxa"/>
            <w:vAlign w:val="top"/>
          </w:tcPr>
          <w:p w14:paraId="1206104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404" w:type="dxa"/>
            <w:vAlign w:val="top"/>
          </w:tcPr>
          <w:p w14:paraId="54CCB7A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205E2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36" w:type="dxa"/>
            <w:vAlign w:val="top"/>
          </w:tcPr>
          <w:p w14:paraId="500F0F5D">
            <w:pPr>
              <w:pStyle w:val="21"/>
              <w:keepNext w:val="0"/>
              <w:keepLines w:val="0"/>
              <w:pageBreakBefore w:val="0"/>
              <w:widowControl/>
              <w:kinsoku/>
              <w:wordWrap w:val="0"/>
              <w:overflowPunct/>
              <w:topLinePunct w:val="0"/>
              <w:autoSpaceDE/>
              <w:autoSpaceDN/>
              <w:bidi w:val="0"/>
              <w:adjustRightInd w:val="0"/>
              <w:snapToGrid w:val="0"/>
              <w:spacing w:before="71" w:line="360" w:lineRule="auto"/>
              <w:ind w:left="331"/>
              <w:textAlignment w:val="baseline"/>
              <w:rPr>
                <w:highlight w:val="none"/>
              </w:rPr>
            </w:pPr>
            <w:r>
              <w:rPr>
                <w:highlight w:val="none"/>
              </w:rPr>
              <w:t>2</w:t>
            </w:r>
          </w:p>
        </w:tc>
        <w:tc>
          <w:tcPr>
            <w:tcW w:w="3514" w:type="dxa"/>
            <w:vAlign w:val="top"/>
          </w:tcPr>
          <w:p w14:paraId="7634872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226" w:type="dxa"/>
            <w:vAlign w:val="top"/>
          </w:tcPr>
          <w:p w14:paraId="5D067CE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404" w:type="dxa"/>
            <w:vAlign w:val="top"/>
          </w:tcPr>
          <w:p w14:paraId="5E50522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5335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736" w:type="dxa"/>
            <w:vAlign w:val="top"/>
          </w:tcPr>
          <w:p w14:paraId="37A9451F">
            <w:pPr>
              <w:pStyle w:val="21"/>
              <w:keepNext w:val="0"/>
              <w:keepLines w:val="0"/>
              <w:pageBreakBefore w:val="0"/>
              <w:widowControl/>
              <w:kinsoku/>
              <w:wordWrap w:val="0"/>
              <w:overflowPunct/>
              <w:topLinePunct w:val="0"/>
              <w:autoSpaceDE/>
              <w:autoSpaceDN/>
              <w:bidi w:val="0"/>
              <w:adjustRightInd w:val="0"/>
              <w:snapToGrid w:val="0"/>
              <w:spacing w:before="71" w:line="360" w:lineRule="auto"/>
              <w:ind w:left="336"/>
              <w:textAlignment w:val="baseline"/>
              <w:rPr>
                <w:highlight w:val="none"/>
              </w:rPr>
            </w:pPr>
            <w:r>
              <w:rPr>
                <w:highlight w:val="none"/>
              </w:rPr>
              <w:t>3</w:t>
            </w:r>
          </w:p>
        </w:tc>
        <w:tc>
          <w:tcPr>
            <w:tcW w:w="3514" w:type="dxa"/>
            <w:vAlign w:val="top"/>
          </w:tcPr>
          <w:p w14:paraId="17FAC53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226" w:type="dxa"/>
            <w:vAlign w:val="top"/>
          </w:tcPr>
          <w:p w14:paraId="515A380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404" w:type="dxa"/>
            <w:vAlign w:val="top"/>
          </w:tcPr>
          <w:p w14:paraId="2A2F754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089C4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36" w:type="dxa"/>
            <w:vAlign w:val="top"/>
          </w:tcPr>
          <w:p w14:paraId="388B15BD">
            <w:pPr>
              <w:pStyle w:val="21"/>
              <w:keepNext w:val="0"/>
              <w:keepLines w:val="0"/>
              <w:pageBreakBefore w:val="0"/>
              <w:widowControl/>
              <w:kinsoku/>
              <w:wordWrap w:val="0"/>
              <w:overflowPunct/>
              <w:topLinePunct w:val="0"/>
              <w:autoSpaceDE/>
              <w:autoSpaceDN/>
              <w:bidi w:val="0"/>
              <w:adjustRightInd w:val="0"/>
              <w:snapToGrid w:val="0"/>
              <w:spacing w:before="73" w:line="360" w:lineRule="auto"/>
              <w:ind w:left="325"/>
              <w:textAlignment w:val="baseline"/>
              <w:rPr>
                <w:highlight w:val="none"/>
              </w:rPr>
            </w:pPr>
            <w:r>
              <w:rPr>
                <w:highlight w:val="none"/>
              </w:rPr>
              <w:t>4</w:t>
            </w:r>
          </w:p>
        </w:tc>
        <w:tc>
          <w:tcPr>
            <w:tcW w:w="3514" w:type="dxa"/>
            <w:vAlign w:val="top"/>
          </w:tcPr>
          <w:p w14:paraId="4429F33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226" w:type="dxa"/>
            <w:vAlign w:val="top"/>
          </w:tcPr>
          <w:p w14:paraId="60A7DAE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404" w:type="dxa"/>
            <w:vAlign w:val="top"/>
          </w:tcPr>
          <w:p w14:paraId="3F9CF17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0BCEEC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736" w:type="dxa"/>
            <w:vAlign w:val="top"/>
          </w:tcPr>
          <w:p w14:paraId="383715B7">
            <w:pPr>
              <w:pStyle w:val="21"/>
              <w:keepNext w:val="0"/>
              <w:keepLines w:val="0"/>
              <w:pageBreakBefore w:val="0"/>
              <w:widowControl/>
              <w:kinsoku/>
              <w:wordWrap w:val="0"/>
              <w:overflowPunct/>
              <w:topLinePunct w:val="0"/>
              <w:autoSpaceDE/>
              <w:autoSpaceDN/>
              <w:bidi w:val="0"/>
              <w:adjustRightInd w:val="0"/>
              <w:snapToGrid w:val="0"/>
              <w:spacing w:before="138" w:line="360" w:lineRule="auto"/>
              <w:ind w:left="336"/>
              <w:textAlignment w:val="baseline"/>
              <w:rPr>
                <w:highlight w:val="none"/>
              </w:rPr>
            </w:pPr>
            <w:r>
              <w:rPr>
                <w:highlight w:val="none"/>
              </w:rPr>
              <w:t>5</w:t>
            </w:r>
          </w:p>
        </w:tc>
        <w:tc>
          <w:tcPr>
            <w:tcW w:w="3514" w:type="dxa"/>
            <w:vAlign w:val="top"/>
          </w:tcPr>
          <w:p w14:paraId="2572B38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3226" w:type="dxa"/>
            <w:vAlign w:val="top"/>
          </w:tcPr>
          <w:p w14:paraId="2B14B85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404" w:type="dxa"/>
            <w:vAlign w:val="top"/>
          </w:tcPr>
          <w:p w14:paraId="3F3563B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7018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736" w:type="dxa"/>
            <w:vAlign w:val="top"/>
          </w:tcPr>
          <w:p w14:paraId="63657F5B">
            <w:pPr>
              <w:pStyle w:val="21"/>
              <w:keepNext w:val="0"/>
              <w:keepLines w:val="0"/>
              <w:pageBreakBefore w:val="0"/>
              <w:widowControl/>
              <w:kinsoku/>
              <w:wordWrap w:val="0"/>
              <w:overflowPunct/>
              <w:topLinePunct w:val="0"/>
              <w:autoSpaceDE/>
              <w:autoSpaceDN/>
              <w:bidi w:val="0"/>
              <w:adjustRightInd w:val="0"/>
              <w:snapToGrid w:val="0"/>
              <w:spacing w:before="260" w:line="360" w:lineRule="auto"/>
              <w:ind w:left="220"/>
              <w:textAlignment w:val="baseline"/>
              <w:rPr>
                <w:highlight w:val="none"/>
              </w:rPr>
            </w:pPr>
            <w:r>
              <w:rPr>
                <w:position w:val="1"/>
                <w:highlight w:val="none"/>
              </w:rPr>
              <w:t>...</w:t>
            </w:r>
          </w:p>
        </w:tc>
        <w:tc>
          <w:tcPr>
            <w:tcW w:w="3514" w:type="dxa"/>
            <w:vAlign w:val="top"/>
          </w:tcPr>
          <w:p w14:paraId="249022E5">
            <w:pPr>
              <w:pStyle w:val="21"/>
              <w:keepNext w:val="0"/>
              <w:keepLines w:val="0"/>
              <w:pageBreakBefore w:val="0"/>
              <w:widowControl/>
              <w:kinsoku/>
              <w:wordWrap w:val="0"/>
              <w:overflowPunct/>
              <w:topLinePunct w:val="0"/>
              <w:autoSpaceDE/>
              <w:autoSpaceDN/>
              <w:bidi w:val="0"/>
              <w:adjustRightInd w:val="0"/>
              <w:snapToGrid w:val="0"/>
              <w:spacing w:before="260" w:line="360" w:lineRule="auto"/>
              <w:ind w:left="1603"/>
              <w:textAlignment w:val="baseline"/>
              <w:rPr>
                <w:highlight w:val="none"/>
              </w:rPr>
            </w:pPr>
            <w:r>
              <w:rPr>
                <w:position w:val="1"/>
                <w:highlight w:val="none"/>
              </w:rPr>
              <w:t>...</w:t>
            </w:r>
          </w:p>
        </w:tc>
        <w:tc>
          <w:tcPr>
            <w:tcW w:w="3226" w:type="dxa"/>
            <w:vAlign w:val="top"/>
          </w:tcPr>
          <w:p w14:paraId="46DE0A16">
            <w:pPr>
              <w:pStyle w:val="21"/>
              <w:keepNext w:val="0"/>
              <w:keepLines w:val="0"/>
              <w:pageBreakBefore w:val="0"/>
              <w:widowControl/>
              <w:kinsoku/>
              <w:wordWrap w:val="0"/>
              <w:overflowPunct/>
              <w:topLinePunct w:val="0"/>
              <w:autoSpaceDE/>
              <w:autoSpaceDN/>
              <w:bidi w:val="0"/>
              <w:adjustRightInd w:val="0"/>
              <w:snapToGrid w:val="0"/>
              <w:spacing w:before="260" w:line="360" w:lineRule="auto"/>
              <w:ind w:left="1463"/>
              <w:textAlignment w:val="baseline"/>
              <w:rPr>
                <w:highlight w:val="none"/>
              </w:rPr>
            </w:pPr>
            <w:r>
              <w:rPr>
                <w:position w:val="1"/>
                <w:highlight w:val="none"/>
              </w:rPr>
              <w:t>...</w:t>
            </w:r>
          </w:p>
        </w:tc>
        <w:tc>
          <w:tcPr>
            <w:tcW w:w="2404" w:type="dxa"/>
            <w:vAlign w:val="top"/>
          </w:tcPr>
          <w:p w14:paraId="5B15B149">
            <w:pPr>
              <w:pStyle w:val="21"/>
              <w:keepNext w:val="0"/>
              <w:keepLines w:val="0"/>
              <w:pageBreakBefore w:val="0"/>
              <w:widowControl/>
              <w:kinsoku/>
              <w:wordWrap w:val="0"/>
              <w:overflowPunct/>
              <w:topLinePunct w:val="0"/>
              <w:autoSpaceDE/>
              <w:autoSpaceDN/>
              <w:bidi w:val="0"/>
              <w:adjustRightInd w:val="0"/>
              <w:snapToGrid w:val="0"/>
              <w:spacing w:before="260" w:line="360" w:lineRule="auto"/>
              <w:ind w:left="1048"/>
              <w:textAlignment w:val="baseline"/>
              <w:rPr>
                <w:highlight w:val="none"/>
              </w:rPr>
            </w:pPr>
            <w:r>
              <w:rPr>
                <w:position w:val="1"/>
                <w:highlight w:val="none"/>
              </w:rPr>
              <w:t>...</w:t>
            </w:r>
          </w:p>
        </w:tc>
      </w:tr>
    </w:tbl>
    <w:p w14:paraId="1B378CA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F9727B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D1E425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38"/>
        <w:textAlignment w:val="baseline"/>
        <w:rPr>
          <w:sz w:val="24"/>
          <w:szCs w:val="24"/>
          <w:highlight w:val="none"/>
        </w:rPr>
      </w:pPr>
      <w:r>
        <w:rPr>
          <w:spacing w:val="-4"/>
          <w:sz w:val="24"/>
          <w:szCs w:val="24"/>
          <w:highlight w:val="none"/>
        </w:rPr>
        <w:t>评委签字：</w:t>
      </w:r>
    </w:p>
    <w:p w14:paraId="6058BA6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C45FB7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E8D090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102"/>
        <w:textAlignment w:val="baseline"/>
        <w:rPr>
          <w:sz w:val="24"/>
          <w:szCs w:val="24"/>
          <w:highlight w:val="none"/>
        </w:rPr>
      </w:pPr>
      <w:r>
        <w:rPr>
          <w:spacing w:val="-9"/>
          <w:sz w:val="24"/>
          <w:szCs w:val="24"/>
          <w:highlight w:val="none"/>
        </w:rPr>
        <w:t>年月日</w:t>
      </w:r>
    </w:p>
    <w:p w14:paraId="64051B1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7362CD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15D686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98B59C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7B56C09">
      <w:pPr>
        <w:rPr>
          <w:b/>
          <w:bCs/>
          <w:spacing w:val="10"/>
          <w:sz w:val="19"/>
          <w:szCs w:val="19"/>
          <w:highlight w:val="none"/>
        </w:rPr>
      </w:pPr>
      <w:bookmarkStart w:id="214" w:name="bookmark72"/>
      <w:bookmarkEnd w:id="214"/>
      <w:r>
        <w:rPr>
          <w:b/>
          <w:bCs/>
          <w:spacing w:val="10"/>
          <w:sz w:val="19"/>
          <w:szCs w:val="19"/>
          <w:highlight w:val="none"/>
        </w:rPr>
        <w:br w:type="page"/>
      </w:r>
    </w:p>
    <w:p w14:paraId="40F69BDC">
      <w:pPr>
        <w:pStyle w:val="6"/>
        <w:bidi w:val="0"/>
      </w:pPr>
      <w:bookmarkStart w:id="215" w:name="_Toc5630"/>
      <w:bookmarkStart w:id="216" w:name="_Toc2598"/>
      <w:r>
        <w:t>附表3符合性审查合格投标供应商名单</w:t>
      </w:r>
      <w:bookmarkEnd w:id="215"/>
      <w:bookmarkEnd w:id="216"/>
    </w:p>
    <w:p w14:paraId="4CF16DAC">
      <w:pPr>
        <w:pStyle w:val="2"/>
        <w:keepNext w:val="0"/>
        <w:keepLines w:val="0"/>
        <w:pageBreakBefore w:val="0"/>
        <w:widowControl/>
        <w:kinsoku/>
        <w:wordWrap w:val="0"/>
        <w:overflowPunct/>
        <w:topLinePunct w:val="0"/>
        <w:autoSpaceDE/>
        <w:autoSpaceDN/>
        <w:bidi w:val="0"/>
        <w:adjustRightInd w:val="0"/>
        <w:snapToGrid w:val="0"/>
        <w:spacing w:before="298" w:line="360" w:lineRule="auto"/>
        <w:ind w:left="3282"/>
        <w:textAlignment w:val="baseline"/>
        <w:rPr>
          <w:sz w:val="28"/>
          <w:szCs w:val="28"/>
          <w:highlight w:val="none"/>
        </w:rPr>
      </w:pPr>
      <w:r>
        <w:rPr>
          <w:b/>
          <w:bCs/>
          <w:spacing w:val="-6"/>
          <w:sz w:val="28"/>
          <w:szCs w:val="28"/>
          <w:highlight w:val="none"/>
        </w:rPr>
        <w:t>符合性审查合格投标供应商名单</w:t>
      </w:r>
    </w:p>
    <w:p w14:paraId="0EA04343">
      <w:pPr>
        <w:pStyle w:val="2"/>
        <w:keepNext w:val="0"/>
        <w:keepLines w:val="0"/>
        <w:pageBreakBefore w:val="0"/>
        <w:widowControl/>
        <w:kinsoku/>
        <w:wordWrap w:val="0"/>
        <w:overflowPunct/>
        <w:topLinePunct w:val="0"/>
        <w:autoSpaceDE/>
        <w:autoSpaceDN/>
        <w:bidi w:val="0"/>
        <w:adjustRightInd w:val="0"/>
        <w:snapToGrid w:val="0"/>
        <w:spacing w:before="201" w:line="360" w:lineRule="auto"/>
        <w:ind w:left="148"/>
        <w:textAlignment w:val="baseline"/>
        <w:rPr>
          <w:sz w:val="24"/>
          <w:szCs w:val="24"/>
          <w:highlight w:val="none"/>
        </w:rPr>
      </w:pPr>
      <w:r>
        <w:rPr>
          <w:spacing w:val="-5"/>
          <w:sz w:val="24"/>
          <w:szCs w:val="24"/>
          <w:highlight w:val="none"/>
        </w:rPr>
        <w:t>项目名称：</w:t>
      </w:r>
    </w:p>
    <w:p w14:paraId="03AB6F0D">
      <w:pPr>
        <w:pStyle w:val="2"/>
        <w:keepNext w:val="0"/>
        <w:keepLines w:val="0"/>
        <w:pageBreakBefore w:val="0"/>
        <w:widowControl/>
        <w:kinsoku/>
        <w:wordWrap w:val="0"/>
        <w:overflowPunct/>
        <w:topLinePunct w:val="0"/>
        <w:autoSpaceDE/>
        <w:autoSpaceDN/>
        <w:bidi w:val="0"/>
        <w:adjustRightInd w:val="0"/>
        <w:snapToGrid w:val="0"/>
        <w:spacing w:before="179" w:line="360" w:lineRule="auto"/>
        <w:ind w:left="138"/>
        <w:textAlignment w:val="baseline"/>
        <w:rPr>
          <w:sz w:val="24"/>
          <w:szCs w:val="24"/>
          <w:highlight w:val="none"/>
        </w:rPr>
      </w:pPr>
      <w:r>
        <w:rPr>
          <w:spacing w:val="-3"/>
          <w:sz w:val="24"/>
          <w:szCs w:val="24"/>
          <w:highlight w:val="none"/>
        </w:rPr>
        <w:t>采购代理编号：</w:t>
      </w:r>
    </w:p>
    <w:p w14:paraId="612677C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highlight w:val="none"/>
        </w:rPr>
      </w:pPr>
    </w:p>
    <w:tbl>
      <w:tblPr>
        <w:tblStyle w:val="20"/>
        <w:tblW w:w="95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3"/>
        <w:gridCol w:w="8381"/>
      </w:tblGrid>
      <w:tr w14:paraId="360E3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1183" w:type="dxa"/>
            <w:vAlign w:val="center"/>
          </w:tcPr>
          <w:p w14:paraId="4FFAA50C">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b/>
                <w:bCs/>
                <w:spacing w:val="-7"/>
                <w:highlight w:val="none"/>
              </w:rPr>
              <w:t>序号</w:t>
            </w:r>
          </w:p>
        </w:tc>
        <w:tc>
          <w:tcPr>
            <w:tcW w:w="8381" w:type="dxa"/>
            <w:vAlign w:val="center"/>
          </w:tcPr>
          <w:p w14:paraId="0F68E073">
            <w:pPr>
              <w:pStyle w:val="21"/>
              <w:keepNext w:val="0"/>
              <w:keepLines w:val="0"/>
              <w:pageBreakBefore w:val="0"/>
              <w:widowControl/>
              <w:kinsoku/>
              <w:wordWrap w:val="0"/>
              <w:overflowPunct/>
              <w:topLinePunct w:val="0"/>
              <w:autoSpaceDE/>
              <w:autoSpaceDN/>
              <w:bidi w:val="0"/>
              <w:adjustRightInd w:val="0"/>
              <w:snapToGrid w:val="0"/>
              <w:spacing w:before="319" w:line="360" w:lineRule="auto"/>
              <w:ind w:left="0" w:leftChars="0" w:firstLine="0" w:firstLineChars="0"/>
              <w:jc w:val="center"/>
              <w:textAlignment w:val="baseline"/>
              <w:rPr>
                <w:highlight w:val="none"/>
              </w:rPr>
            </w:pPr>
            <w:r>
              <w:rPr>
                <w:b/>
                <w:bCs/>
                <w:spacing w:val="-6"/>
                <w:highlight w:val="none"/>
              </w:rPr>
              <w:t>合格投标供应商名称</w:t>
            </w:r>
          </w:p>
        </w:tc>
      </w:tr>
      <w:tr w14:paraId="010CB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1183" w:type="dxa"/>
            <w:vAlign w:val="top"/>
          </w:tcPr>
          <w:p w14:paraId="5E919D3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6117584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6A5A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7" w:hRule="atLeast"/>
        </w:trPr>
        <w:tc>
          <w:tcPr>
            <w:tcW w:w="1183" w:type="dxa"/>
            <w:vAlign w:val="top"/>
          </w:tcPr>
          <w:p w14:paraId="09CA3F8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22D6A90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447B9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1183" w:type="dxa"/>
            <w:vAlign w:val="top"/>
          </w:tcPr>
          <w:p w14:paraId="56C6AF0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102EC50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70864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1183" w:type="dxa"/>
            <w:vAlign w:val="top"/>
          </w:tcPr>
          <w:p w14:paraId="7D4E132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7FF24F4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4B995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1183" w:type="dxa"/>
            <w:vAlign w:val="top"/>
          </w:tcPr>
          <w:p w14:paraId="60AF031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2F2E887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26456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1183" w:type="dxa"/>
            <w:vAlign w:val="top"/>
          </w:tcPr>
          <w:p w14:paraId="2CB3A5E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381" w:type="dxa"/>
            <w:vAlign w:val="top"/>
          </w:tcPr>
          <w:p w14:paraId="3EB4CE6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bl>
    <w:p w14:paraId="5F9151B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B8BAD7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38"/>
        <w:textAlignment w:val="baseline"/>
        <w:rPr>
          <w:sz w:val="24"/>
          <w:szCs w:val="24"/>
          <w:highlight w:val="none"/>
        </w:rPr>
      </w:pPr>
      <w:r>
        <w:rPr>
          <w:spacing w:val="-4"/>
          <w:sz w:val="24"/>
          <w:szCs w:val="24"/>
          <w:highlight w:val="none"/>
        </w:rPr>
        <w:t>评委签字：</w:t>
      </w:r>
    </w:p>
    <w:p w14:paraId="15F70A9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777302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28183C9">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38"/>
        <w:jc w:val="right"/>
        <w:textAlignment w:val="baseline"/>
        <w:rPr>
          <w:rFonts w:ascii="宋体" w:hAnsi="宋体" w:eastAsia="宋体" w:cs="宋体"/>
          <w:spacing w:val="-4"/>
          <w:sz w:val="24"/>
          <w:szCs w:val="24"/>
          <w:highlight w:val="none"/>
        </w:rPr>
      </w:pPr>
      <w:r>
        <w:rPr>
          <w:rFonts w:ascii="宋体" w:hAnsi="宋体" w:eastAsia="宋体" w:cs="宋体"/>
          <w:spacing w:val="-4"/>
          <w:sz w:val="24"/>
          <w:szCs w:val="24"/>
          <w:highlight w:val="none"/>
        </w:rPr>
        <w:t>年月日</w:t>
      </w:r>
    </w:p>
    <w:p w14:paraId="145135F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D9AA1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BD7687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8C56335">
      <w:pPr>
        <w:rPr>
          <w:b/>
          <w:bCs/>
          <w:spacing w:val="12"/>
          <w:highlight w:val="none"/>
        </w:rPr>
      </w:pPr>
      <w:r>
        <w:rPr>
          <w:b/>
          <w:bCs/>
          <w:spacing w:val="12"/>
          <w:highlight w:val="none"/>
        </w:rPr>
        <w:br w:type="page"/>
      </w:r>
    </w:p>
    <w:p w14:paraId="6911EBF1">
      <w:pPr>
        <w:pStyle w:val="5"/>
        <w:bidi w:val="0"/>
      </w:pPr>
      <w:bookmarkStart w:id="217" w:name="_Toc15780"/>
      <w:r>
        <w:t>第四节投标文件的比较与评价（综合评分法）</w:t>
      </w:r>
      <w:bookmarkEnd w:id="217"/>
    </w:p>
    <w:p w14:paraId="2E25CA71">
      <w:pPr>
        <w:pStyle w:val="6"/>
        <w:bidi w:val="0"/>
        <w:rPr>
          <w:b/>
          <w:bCs/>
          <w:spacing w:val="-7"/>
          <w:sz w:val="24"/>
          <w:szCs w:val="24"/>
          <w:highlight w:val="none"/>
        </w:rPr>
      </w:pPr>
      <w:bookmarkStart w:id="218" w:name="_Toc2599"/>
      <w:bookmarkStart w:id="219" w:name="_Toc18284"/>
      <w:bookmarkStart w:id="220" w:name="_Toc7480"/>
      <w:r>
        <w:rPr>
          <w:b/>
          <w:bCs/>
          <w:spacing w:val="-7"/>
          <w:sz w:val="24"/>
          <w:szCs w:val="24"/>
          <w:highlight w:val="none"/>
        </w:rPr>
        <w:t>1.综合评分法</w:t>
      </w:r>
      <w:bookmarkEnd w:id="218"/>
      <w:bookmarkEnd w:id="219"/>
      <w:bookmarkEnd w:id="220"/>
    </w:p>
    <w:p w14:paraId="612E3E8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84" w:firstLine="513"/>
        <w:textAlignment w:val="baseline"/>
        <w:rPr>
          <w:sz w:val="24"/>
          <w:szCs w:val="24"/>
          <w:highlight w:val="none"/>
        </w:rPr>
      </w:pPr>
      <w:r>
        <w:rPr>
          <w:spacing w:val="-3"/>
          <w:sz w:val="24"/>
          <w:szCs w:val="24"/>
          <w:highlight w:val="none"/>
        </w:rPr>
        <w:t>1.1综合评分法，指投标文件满足招标文件全部实质性要求，且按照评审因素的量化</w:t>
      </w:r>
      <w:r>
        <w:rPr>
          <w:spacing w:val="-4"/>
          <w:sz w:val="24"/>
          <w:szCs w:val="24"/>
          <w:highlight w:val="none"/>
        </w:rPr>
        <w:t>指标评审</w:t>
      </w:r>
      <w:r>
        <w:rPr>
          <w:spacing w:val="-2"/>
          <w:sz w:val="24"/>
          <w:szCs w:val="24"/>
          <w:highlight w:val="none"/>
        </w:rPr>
        <w:t>得分最高的供应商为中标候选人的评标方法。</w:t>
      </w:r>
    </w:p>
    <w:p w14:paraId="29F48FC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0" w:right="84" w:firstLine="512"/>
        <w:textAlignment w:val="baseline"/>
        <w:rPr>
          <w:sz w:val="24"/>
          <w:szCs w:val="24"/>
          <w:highlight w:val="none"/>
        </w:rPr>
      </w:pPr>
      <w:r>
        <w:rPr>
          <w:spacing w:val="-3"/>
          <w:sz w:val="24"/>
          <w:szCs w:val="24"/>
          <w:highlight w:val="none"/>
        </w:rPr>
        <w:t>1.2评标因素：评审因素的设定应当与供应商所提供货物服务的质量相关，包括投标报价、技术或者服务水平、履约能力、售后服务等，但不包括第一章供应商的资格</w:t>
      </w:r>
      <w:r>
        <w:rPr>
          <w:spacing w:val="-4"/>
          <w:sz w:val="24"/>
          <w:szCs w:val="24"/>
          <w:highlight w:val="none"/>
        </w:rPr>
        <w:t>要求。本采购项目的评标</w:t>
      </w:r>
      <w:r>
        <w:rPr>
          <w:spacing w:val="-3"/>
          <w:sz w:val="24"/>
          <w:szCs w:val="24"/>
          <w:highlight w:val="none"/>
        </w:rPr>
        <w:t>因素和标准见本章本节附页1“评标方法及标</w:t>
      </w:r>
      <w:r>
        <w:rPr>
          <w:spacing w:val="-4"/>
          <w:sz w:val="24"/>
          <w:szCs w:val="24"/>
          <w:highlight w:val="none"/>
        </w:rPr>
        <w:t>准表”。</w:t>
      </w:r>
    </w:p>
    <w:p w14:paraId="38A1625C">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33"/>
        <w:textAlignment w:val="baseline"/>
        <w:rPr>
          <w:sz w:val="24"/>
          <w:szCs w:val="24"/>
          <w:highlight w:val="none"/>
        </w:rPr>
      </w:pPr>
      <w:r>
        <w:rPr>
          <w:spacing w:val="-4"/>
          <w:sz w:val="24"/>
          <w:szCs w:val="24"/>
          <w:highlight w:val="none"/>
        </w:rPr>
        <w:t>1.3未通过符合性审查的投标文件不得进入比较与评价。</w:t>
      </w:r>
    </w:p>
    <w:p w14:paraId="4E538BFF">
      <w:pPr>
        <w:pStyle w:val="6"/>
        <w:bidi w:val="0"/>
        <w:rPr>
          <w:b/>
          <w:bCs/>
          <w:spacing w:val="-7"/>
          <w:sz w:val="24"/>
          <w:szCs w:val="24"/>
          <w:highlight w:val="none"/>
        </w:rPr>
      </w:pPr>
      <w:bookmarkStart w:id="221" w:name="_Toc14487"/>
      <w:bookmarkStart w:id="222" w:name="_Toc8641"/>
      <w:bookmarkStart w:id="223" w:name="_Toc15023"/>
      <w:r>
        <w:rPr>
          <w:b/>
          <w:bCs/>
          <w:spacing w:val="-7"/>
          <w:sz w:val="24"/>
          <w:szCs w:val="24"/>
          <w:highlight w:val="none"/>
        </w:rPr>
        <w:t>2.投标报价的算术修正及政府采购政策调整</w:t>
      </w:r>
      <w:bookmarkEnd w:id="221"/>
      <w:bookmarkEnd w:id="222"/>
      <w:bookmarkEnd w:id="223"/>
    </w:p>
    <w:p w14:paraId="7E58DFF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 w:leftChars="0" w:firstLine="499" w:firstLineChars="210"/>
        <w:textAlignment w:val="baseline"/>
        <w:rPr>
          <w:sz w:val="24"/>
          <w:szCs w:val="24"/>
          <w:highlight w:val="none"/>
        </w:rPr>
      </w:pPr>
      <w:r>
        <w:rPr>
          <w:spacing w:val="-1"/>
          <w:sz w:val="24"/>
          <w:szCs w:val="24"/>
          <w:highlight w:val="none"/>
        </w:rPr>
        <w:t>2.1如果有算术错误，投标报价将按本章第二节第4.2款、</w:t>
      </w:r>
      <w:r>
        <w:rPr>
          <w:spacing w:val="-2"/>
          <w:sz w:val="24"/>
          <w:szCs w:val="24"/>
          <w:highlight w:val="none"/>
        </w:rPr>
        <w:t>第4.3款规定进行算术修正。</w:t>
      </w:r>
    </w:p>
    <w:p w14:paraId="28FA0AF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 w:firstLine="479"/>
        <w:textAlignment w:val="baseline"/>
        <w:rPr>
          <w:sz w:val="24"/>
          <w:szCs w:val="24"/>
          <w:highlight w:val="none"/>
        </w:rPr>
      </w:pPr>
      <w:r>
        <w:rPr>
          <w:spacing w:val="-9"/>
          <w:sz w:val="24"/>
          <w:szCs w:val="24"/>
          <w:highlight w:val="none"/>
        </w:rPr>
        <w:t>2.2需落实政府采购政策（价格评审优惠）的，按第二章“投标须</w:t>
      </w:r>
      <w:r>
        <w:rPr>
          <w:spacing w:val="-10"/>
          <w:sz w:val="24"/>
          <w:szCs w:val="24"/>
          <w:highlight w:val="none"/>
        </w:rPr>
        <w:t>知”及本章第二节第5.3（1）</w:t>
      </w:r>
      <w:r>
        <w:rPr>
          <w:spacing w:val="-3"/>
          <w:sz w:val="24"/>
          <w:szCs w:val="24"/>
          <w:highlight w:val="none"/>
        </w:rPr>
        <w:t>项的相关规定进行价格调整。</w:t>
      </w:r>
    </w:p>
    <w:p w14:paraId="76DFC6C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84" w:firstLine="481"/>
        <w:textAlignment w:val="baseline"/>
        <w:rPr>
          <w:sz w:val="24"/>
          <w:szCs w:val="24"/>
          <w:highlight w:val="none"/>
        </w:rPr>
      </w:pPr>
      <w:r>
        <w:rPr>
          <w:spacing w:val="-4"/>
          <w:sz w:val="24"/>
          <w:szCs w:val="24"/>
          <w:highlight w:val="none"/>
        </w:rPr>
        <w:t>2.3按本章本节第2.1款、第2.2款规定，以修正或调整后的价格确定供应商的投</w:t>
      </w:r>
      <w:r>
        <w:rPr>
          <w:spacing w:val="-5"/>
          <w:sz w:val="24"/>
          <w:szCs w:val="24"/>
          <w:highlight w:val="none"/>
        </w:rPr>
        <w:t>标报价和评</w:t>
      </w:r>
      <w:r>
        <w:rPr>
          <w:spacing w:val="-2"/>
          <w:sz w:val="24"/>
          <w:szCs w:val="24"/>
          <w:highlight w:val="none"/>
        </w:rPr>
        <w:t>标基准价，用于投标报价评价。</w:t>
      </w:r>
    </w:p>
    <w:p w14:paraId="79ABA3E1">
      <w:pPr>
        <w:pStyle w:val="6"/>
        <w:bidi w:val="0"/>
        <w:rPr>
          <w:b/>
          <w:bCs/>
          <w:spacing w:val="-7"/>
          <w:sz w:val="24"/>
          <w:szCs w:val="24"/>
          <w:highlight w:val="none"/>
        </w:rPr>
      </w:pPr>
      <w:bookmarkStart w:id="224" w:name="_Toc22161"/>
      <w:bookmarkStart w:id="225" w:name="_Toc32292"/>
      <w:bookmarkStart w:id="226" w:name="_Toc2677"/>
      <w:r>
        <w:rPr>
          <w:b/>
          <w:bCs/>
          <w:spacing w:val="-7"/>
          <w:sz w:val="24"/>
          <w:szCs w:val="24"/>
          <w:highlight w:val="none"/>
        </w:rPr>
        <w:t>3.投标报价评价</w:t>
      </w:r>
      <w:bookmarkEnd w:id="224"/>
      <w:bookmarkEnd w:id="225"/>
      <w:bookmarkEnd w:id="226"/>
    </w:p>
    <w:p w14:paraId="7CD284D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6" w:right="82" w:firstLine="489"/>
        <w:jc w:val="both"/>
        <w:textAlignment w:val="baseline"/>
        <w:rPr>
          <w:sz w:val="24"/>
          <w:szCs w:val="24"/>
          <w:highlight w:val="none"/>
        </w:rPr>
      </w:pPr>
      <w:r>
        <w:rPr>
          <w:spacing w:val="-2"/>
          <w:sz w:val="24"/>
          <w:szCs w:val="24"/>
          <w:highlight w:val="none"/>
        </w:rPr>
        <w:t>3.1投标报价评价：价格分应当采用低价优先法计算</w:t>
      </w:r>
      <w:r>
        <w:rPr>
          <w:spacing w:val="-3"/>
          <w:sz w:val="24"/>
          <w:szCs w:val="24"/>
          <w:highlight w:val="none"/>
        </w:rPr>
        <w:t>，即满足招标文件要求且投标价格最低的投标报价为评标基准价，其价格分为满分（报价权重分）。其他供应商的价格分统一按照下列公式</w:t>
      </w:r>
      <w:r>
        <w:rPr>
          <w:spacing w:val="-5"/>
          <w:sz w:val="24"/>
          <w:szCs w:val="24"/>
          <w:highlight w:val="none"/>
        </w:rPr>
        <w:t>计算：</w:t>
      </w:r>
    </w:p>
    <w:p w14:paraId="27AE134E">
      <w:pPr>
        <w:pStyle w:val="2"/>
        <w:keepNext w:val="0"/>
        <w:keepLines w:val="0"/>
        <w:pageBreakBefore w:val="0"/>
        <w:widowControl/>
        <w:kinsoku/>
        <w:wordWrap w:val="0"/>
        <w:overflowPunct/>
        <w:topLinePunct w:val="0"/>
        <w:autoSpaceDE/>
        <w:autoSpaceDN/>
        <w:bidi w:val="0"/>
        <w:adjustRightInd w:val="0"/>
        <w:snapToGrid w:val="0"/>
        <w:spacing w:before="124" w:line="360" w:lineRule="auto"/>
        <w:ind w:left="504"/>
        <w:textAlignment w:val="baseline"/>
        <w:rPr>
          <w:sz w:val="24"/>
          <w:szCs w:val="24"/>
          <w:highlight w:val="none"/>
        </w:rPr>
      </w:pPr>
      <w:r>
        <w:rPr>
          <w:spacing w:val="-4"/>
          <w:sz w:val="24"/>
          <w:szCs w:val="24"/>
          <w:highlight w:val="none"/>
        </w:rPr>
        <w:t>投标报价得分=（评标基准价</w:t>
      </w:r>
      <w:r>
        <w:rPr>
          <w:spacing w:val="-4"/>
          <w:position w:val="-2"/>
          <w:sz w:val="12"/>
          <w:szCs w:val="12"/>
          <w:highlight w:val="none"/>
        </w:rPr>
        <w:t>修正或调整</w:t>
      </w:r>
      <w:r>
        <w:rPr>
          <w:spacing w:val="-4"/>
          <w:sz w:val="24"/>
          <w:szCs w:val="24"/>
          <w:highlight w:val="none"/>
        </w:rPr>
        <w:t>／投标报价</w:t>
      </w:r>
      <w:r>
        <w:rPr>
          <w:spacing w:val="-4"/>
          <w:position w:val="-2"/>
          <w:sz w:val="12"/>
          <w:szCs w:val="12"/>
          <w:highlight w:val="none"/>
        </w:rPr>
        <w:t>修正或调整</w:t>
      </w:r>
      <w:r>
        <w:rPr>
          <w:spacing w:val="-4"/>
          <w:sz w:val="24"/>
          <w:szCs w:val="24"/>
          <w:highlight w:val="none"/>
        </w:rPr>
        <w:t>）×报价权</w:t>
      </w:r>
      <w:r>
        <w:rPr>
          <w:spacing w:val="-5"/>
          <w:sz w:val="24"/>
          <w:szCs w:val="24"/>
          <w:highlight w:val="none"/>
        </w:rPr>
        <w:t>重分</w:t>
      </w:r>
    </w:p>
    <w:p w14:paraId="181A034D">
      <w:pPr>
        <w:pStyle w:val="6"/>
        <w:bidi w:val="0"/>
        <w:rPr>
          <w:b/>
          <w:bCs/>
          <w:spacing w:val="-7"/>
          <w:sz w:val="24"/>
          <w:szCs w:val="24"/>
          <w:highlight w:val="none"/>
        </w:rPr>
      </w:pPr>
      <w:bookmarkStart w:id="227" w:name="_Toc4406"/>
      <w:bookmarkStart w:id="228" w:name="_Toc17107"/>
      <w:bookmarkStart w:id="229" w:name="_Toc8001"/>
      <w:r>
        <w:rPr>
          <w:b/>
          <w:bCs/>
          <w:spacing w:val="-7"/>
          <w:sz w:val="24"/>
          <w:szCs w:val="24"/>
          <w:highlight w:val="none"/>
        </w:rPr>
        <w:t>4.技术、商务等评分项响应评价及政府采购政策加分</w:t>
      </w:r>
      <w:bookmarkEnd w:id="227"/>
      <w:bookmarkEnd w:id="228"/>
      <w:bookmarkEnd w:id="229"/>
    </w:p>
    <w:p w14:paraId="246C65A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9" w:right="91" w:firstLine="475"/>
        <w:textAlignment w:val="baseline"/>
        <w:rPr>
          <w:sz w:val="24"/>
          <w:szCs w:val="24"/>
          <w:highlight w:val="none"/>
        </w:rPr>
      </w:pPr>
      <w:r>
        <w:rPr>
          <w:spacing w:val="-4"/>
          <w:sz w:val="24"/>
          <w:szCs w:val="24"/>
          <w:highlight w:val="none"/>
        </w:rPr>
        <w:t>4.1技术、商务等评分项响应评分。按本章本节附页1“评标方法及标准表”规定的评标因素</w:t>
      </w:r>
      <w:r>
        <w:rPr>
          <w:spacing w:val="-2"/>
          <w:sz w:val="24"/>
          <w:szCs w:val="24"/>
          <w:highlight w:val="none"/>
        </w:rPr>
        <w:t>和标准，对技术、商务等评分项计算得分。</w:t>
      </w:r>
    </w:p>
    <w:p w14:paraId="380FB48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3" w:right="84" w:firstLine="442"/>
        <w:textAlignment w:val="baseline"/>
        <w:rPr>
          <w:sz w:val="24"/>
          <w:szCs w:val="24"/>
          <w:highlight w:val="none"/>
        </w:rPr>
      </w:pPr>
      <w:r>
        <w:rPr>
          <w:spacing w:val="-5"/>
          <w:sz w:val="24"/>
          <w:szCs w:val="24"/>
          <w:highlight w:val="none"/>
        </w:rPr>
        <w:t>4.2需落实政府采购政策（优先采购）的，按第二章、本章第二节第5.3（2）项以及本节附页</w:t>
      </w:r>
      <w:r>
        <w:rPr>
          <w:spacing w:val="-4"/>
          <w:sz w:val="24"/>
          <w:szCs w:val="24"/>
          <w:highlight w:val="none"/>
        </w:rPr>
        <w:t>1“评标方法及标准表”的相关规定进行技术、价格、商务项得分(加分)计算。</w:t>
      </w:r>
    </w:p>
    <w:p w14:paraId="20EA9FE0">
      <w:pPr>
        <w:pStyle w:val="6"/>
        <w:bidi w:val="0"/>
        <w:rPr>
          <w:b/>
          <w:bCs/>
          <w:spacing w:val="-7"/>
          <w:sz w:val="24"/>
          <w:szCs w:val="24"/>
          <w:highlight w:val="none"/>
        </w:rPr>
      </w:pPr>
      <w:bookmarkStart w:id="230" w:name="_Toc536"/>
      <w:bookmarkStart w:id="231" w:name="_Toc12860"/>
      <w:bookmarkStart w:id="232" w:name="_Toc28618"/>
      <w:r>
        <w:rPr>
          <w:b/>
          <w:bCs/>
          <w:spacing w:val="-7"/>
          <w:sz w:val="24"/>
          <w:szCs w:val="24"/>
          <w:highlight w:val="none"/>
        </w:rPr>
        <w:t>5.评标总得分</w:t>
      </w:r>
      <w:bookmarkEnd w:id="230"/>
      <w:bookmarkEnd w:id="231"/>
      <w:bookmarkEnd w:id="232"/>
    </w:p>
    <w:p w14:paraId="765EE4E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8"/>
        <w:textAlignment w:val="baseline"/>
        <w:rPr>
          <w:sz w:val="24"/>
          <w:szCs w:val="24"/>
          <w:highlight w:val="none"/>
        </w:rPr>
      </w:pPr>
      <w:r>
        <w:rPr>
          <w:spacing w:val="-2"/>
          <w:sz w:val="24"/>
          <w:szCs w:val="24"/>
          <w:highlight w:val="none"/>
        </w:rPr>
        <w:t>5.1评标总得分为投标报价、技术、商务等评分项得分(含优先采购政策加分)之和。</w:t>
      </w:r>
    </w:p>
    <w:p w14:paraId="437B828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48C851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5"/>
        <w:textAlignment w:val="baseline"/>
        <w:rPr>
          <w:sz w:val="12"/>
          <w:szCs w:val="12"/>
          <w:highlight w:val="none"/>
        </w:rPr>
      </w:pPr>
      <w:r>
        <w:rPr>
          <w:spacing w:val="-4"/>
          <w:sz w:val="24"/>
          <w:szCs w:val="24"/>
          <w:highlight w:val="none"/>
        </w:rPr>
        <w:t>评标总得分＝F</w:t>
      </w:r>
      <w:r>
        <w:rPr>
          <w:spacing w:val="-4"/>
          <w:position w:val="-2"/>
          <w:sz w:val="12"/>
          <w:szCs w:val="12"/>
          <w:highlight w:val="none"/>
        </w:rPr>
        <w:t>1</w:t>
      </w:r>
      <w:r>
        <w:rPr>
          <w:spacing w:val="-4"/>
          <w:sz w:val="24"/>
          <w:szCs w:val="24"/>
          <w:highlight w:val="none"/>
        </w:rPr>
        <w:t>×A</w:t>
      </w:r>
      <w:r>
        <w:rPr>
          <w:spacing w:val="-4"/>
          <w:position w:val="-2"/>
          <w:sz w:val="12"/>
          <w:szCs w:val="12"/>
          <w:highlight w:val="none"/>
        </w:rPr>
        <w:t>1</w:t>
      </w:r>
      <w:r>
        <w:rPr>
          <w:spacing w:val="-4"/>
          <w:sz w:val="24"/>
          <w:szCs w:val="24"/>
          <w:highlight w:val="none"/>
        </w:rPr>
        <w:t>＋F</w:t>
      </w:r>
      <w:r>
        <w:rPr>
          <w:spacing w:val="-4"/>
          <w:position w:val="-2"/>
          <w:sz w:val="12"/>
          <w:szCs w:val="12"/>
          <w:highlight w:val="none"/>
        </w:rPr>
        <w:t>2</w:t>
      </w:r>
      <w:r>
        <w:rPr>
          <w:spacing w:val="-4"/>
          <w:sz w:val="24"/>
          <w:szCs w:val="24"/>
          <w:highlight w:val="none"/>
        </w:rPr>
        <w:t>×A</w:t>
      </w:r>
      <w:r>
        <w:rPr>
          <w:spacing w:val="-4"/>
          <w:position w:val="-2"/>
          <w:sz w:val="12"/>
          <w:szCs w:val="12"/>
          <w:highlight w:val="none"/>
        </w:rPr>
        <w:t>2</w:t>
      </w:r>
      <w:r>
        <w:rPr>
          <w:spacing w:val="-4"/>
          <w:sz w:val="24"/>
          <w:szCs w:val="24"/>
          <w:highlight w:val="none"/>
        </w:rPr>
        <w:t>+……+F</w:t>
      </w:r>
      <w:r>
        <w:rPr>
          <w:spacing w:val="-4"/>
          <w:position w:val="-2"/>
          <w:sz w:val="12"/>
          <w:szCs w:val="12"/>
          <w:highlight w:val="none"/>
        </w:rPr>
        <w:t>n</w:t>
      </w:r>
      <w:r>
        <w:rPr>
          <w:spacing w:val="-4"/>
          <w:sz w:val="24"/>
          <w:szCs w:val="24"/>
          <w:highlight w:val="none"/>
        </w:rPr>
        <w:t>×A</w:t>
      </w:r>
      <w:r>
        <w:rPr>
          <w:spacing w:val="-4"/>
          <w:position w:val="-2"/>
          <w:sz w:val="12"/>
          <w:szCs w:val="12"/>
          <w:highlight w:val="none"/>
        </w:rPr>
        <w:t>n</w:t>
      </w:r>
    </w:p>
    <w:p w14:paraId="4417BFBD">
      <w:pPr>
        <w:pStyle w:val="2"/>
        <w:keepNext w:val="0"/>
        <w:keepLines w:val="0"/>
        <w:pageBreakBefore w:val="0"/>
        <w:widowControl/>
        <w:kinsoku/>
        <w:wordWrap w:val="0"/>
        <w:overflowPunct/>
        <w:topLinePunct w:val="0"/>
        <w:autoSpaceDE/>
        <w:autoSpaceDN/>
        <w:bidi w:val="0"/>
        <w:adjustRightInd w:val="0"/>
        <w:snapToGrid w:val="0"/>
        <w:spacing w:before="158" w:line="360" w:lineRule="auto"/>
        <w:ind w:left="490"/>
        <w:textAlignment w:val="baseline"/>
        <w:rPr>
          <w:sz w:val="24"/>
          <w:szCs w:val="24"/>
          <w:highlight w:val="none"/>
        </w:rPr>
      </w:pPr>
      <w:r>
        <w:rPr>
          <w:spacing w:val="-4"/>
          <w:sz w:val="24"/>
          <w:szCs w:val="24"/>
          <w:highlight w:val="none"/>
        </w:rPr>
        <w:t>F</w:t>
      </w:r>
      <w:r>
        <w:rPr>
          <w:spacing w:val="-4"/>
          <w:position w:val="-3"/>
          <w:sz w:val="12"/>
          <w:szCs w:val="12"/>
          <w:highlight w:val="none"/>
        </w:rPr>
        <w:t>1</w:t>
      </w:r>
      <w:r>
        <w:rPr>
          <w:spacing w:val="-5"/>
          <w:sz w:val="24"/>
          <w:szCs w:val="24"/>
          <w:highlight w:val="none"/>
        </w:rPr>
        <w:t>、F</w:t>
      </w:r>
      <w:r>
        <w:rPr>
          <w:spacing w:val="-5"/>
          <w:position w:val="-3"/>
          <w:sz w:val="12"/>
          <w:szCs w:val="12"/>
          <w:highlight w:val="none"/>
        </w:rPr>
        <w:t>2</w:t>
      </w:r>
      <w:r>
        <w:rPr>
          <w:spacing w:val="-5"/>
          <w:sz w:val="24"/>
          <w:szCs w:val="24"/>
          <w:highlight w:val="none"/>
        </w:rPr>
        <w:t>……F</w:t>
      </w:r>
      <w:r>
        <w:rPr>
          <w:spacing w:val="-5"/>
          <w:position w:val="-3"/>
          <w:sz w:val="12"/>
          <w:szCs w:val="12"/>
          <w:highlight w:val="none"/>
        </w:rPr>
        <w:t>n</w:t>
      </w:r>
      <w:r>
        <w:rPr>
          <w:spacing w:val="-5"/>
          <w:sz w:val="24"/>
          <w:szCs w:val="24"/>
          <w:highlight w:val="none"/>
        </w:rPr>
        <w:t>分别为各项评审因素的得分；</w:t>
      </w:r>
    </w:p>
    <w:p w14:paraId="0CC5D339">
      <w:pPr>
        <w:pStyle w:val="2"/>
        <w:keepNext w:val="0"/>
        <w:keepLines w:val="0"/>
        <w:pageBreakBefore w:val="0"/>
        <w:widowControl/>
        <w:kinsoku/>
        <w:wordWrap w:val="0"/>
        <w:overflowPunct/>
        <w:topLinePunct w:val="0"/>
        <w:autoSpaceDE/>
        <w:autoSpaceDN/>
        <w:bidi w:val="0"/>
        <w:adjustRightInd w:val="0"/>
        <w:snapToGrid w:val="0"/>
        <w:spacing w:before="165" w:line="360" w:lineRule="auto"/>
        <w:ind w:left="484"/>
        <w:textAlignment w:val="baseline"/>
        <w:rPr>
          <w:sz w:val="24"/>
          <w:szCs w:val="24"/>
          <w:highlight w:val="none"/>
        </w:rPr>
      </w:pPr>
      <w:r>
        <w:rPr>
          <w:spacing w:val="-6"/>
          <w:sz w:val="24"/>
          <w:szCs w:val="24"/>
          <w:highlight w:val="none"/>
        </w:rPr>
        <w:t>A</w:t>
      </w:r>
      <w:r>
        <w:rPr>
          <w:spacing w:val="-6"/>
          <w:position w:val="-2"/>
          <w:sz w:val="12"/>
          <w:szCs w:val="12"/>
          <w:highlight w:val="none"/>
        </w:rPr>
        <w:t>1</w:t>
      </w:r>
      <w:r>
        <w:rPr>
          <w:spacing w:val="-6"/>
          <w:sz w:val="24"/>
          <w:szCs w:val="24"/>
          <w:highlight w:val="none"/>
        </w:rPr>
        <w:t>、A</w:t>
      </w:r>
      <w:r>
        <w:rPr>
          <w:spacing w:val="-6"/>
          <w:position w:val="-2"/>
          <w:sz w:val="12"/>
          <w:szCs w:val="12"/>
          <w:highlight w:val="none"/>
        </w:rPr>
        <w:t>2</w:t>
      </w:r>
      <w:r>
        <w:rPr>
          <w:sz w:val="24"/>
          <w:szCs w:val="24"/>
          <w:highlight w:val="none"/>
        </w:rPr>
        <w:t>、……A</w:t>
      </w:r>
      <w:r>
        <w:rPr>
          <w:position w:val="-2"/>
          <w:sz w:val="12"/>
          <w:szCs w:val="12"/>
          <w:highlight w:val="none"/>
        </w:rPr>
        <w:t>n</w:t>
      </w:r>
      <w:r>
        <w:rPr>
          <w:sz w:val="24"/>
          <w:szCs w:val="24"/>
          <w:highlight w:val="none"/>
        </w:rPr>
        <w:t>分别为各项评审因素所占的权重（A</w:t>
      </w:r>
      <w:r>
        <w:rPr>
          <w:position w:val="-2"/>
          <w:sz w:val="12"/>
          <w:szCs w:val="12"/>
          <w:highlight w:val="none"/>
        </w:rPr>
        <w:t>1</w:t>
      </w:r>
      <w:r>
        <w:rPr>
          <w:sz w:val="24"/>
          <w:szCs w:val="24"/>
          <w:highlight w:val="none"/>
        </w:rPr>
        <w:t>＋A</w:t>
      </w:r>
      <w:r>
        <w:rPr>
          <w:position w:val="-2"/>
          <w:sz w:val="12"/>
          <w:szCs w:val="12"/>
          <w:highlight w:val="none"/>
        </w:rPr>
        <w:t>2</w:t>
      </w:r>
      <w:r>
        <w:rPr>
          <w:sz w:val="24"/>
          <w:szCs w:val="24"/>
          <w:highlight w:val="none"/>
        </w:rPr>
        <w:t>+…+A</w:t>
      </w:r>
      <w:r>
        <w:rPr>
          <w:position w:val="-2"/>
          <w:sz w:val="12"/>
          <w:szCs w:val="12"/>
          <w:highlight w:val="none"/>
        </w:rPr>
        <w:t>n</w:t>
      </w:r>
      <w:r>
        <w:rPr>
          <w:spacing w:val="-1"/>
          <w:sz w:val="24"/>
          <w:szCs w:val="24"/>
          <w:highlight w:val="none"/>
        </w:rPr>
        <w:t>＝1）。</w:t>
      </w:r>
    </w:p>
    <w:p w14:paraId="0FFED403">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508"/>
        <w:textAlignment w:val="baseline"/>
        <w:rPr>
          <w:sz w:val="24"/>
          <w:szCs w:val="24"/>
          <w:highlight w:val="none"/>
        </w:rPr>
      </w:pPr>
      <w:r>
        <w:rPr>
          <w:spacing w:val="-4"/>
          <w:sz w:val="24"/>
          <w:szCs w:val="24"/>
          <w:highlight w:val="none"/>
        </w:rPr>
        <w:t>5.2评分分值计算保留小数点后两位，小数点后第三位“四舍五入”。</w:t>
      </w:r>
    </w:p>
    <w:p w14:paraId="298B4BB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 w:right="14" w:firstLine="493"/>
        <w:textAlignment w:val="baseline"/>
        <w:rPr>
          <w:sz w:val="24"/>
          <w:szCs w:val="24"/>
          <w:highlight w:val="none"/>
        </w:rPr>
      </w:pPr>
      <w:r>
        <w:rPr>
          <w:spacing w:val="-2"/>
          <w:sz w:val="24"/>
          <w:szCs w:val="24"/>
          <w:highlight w:val="none"/>
        </w:rPr>
        <w:t>5.3评标时，评标委员会成员应当独立对满</w:t>
      </w:r>
      <w:r>
        <w:rPr>
          <w:spacing w:val="-3"/>
          <w:sz w:val="24"/>
          <w:szCs w:val="24"/>
          <w:highlight w:val="none"/>
        </w:rPr>
        <w:t>足招标文件全部实质性要求投标供应商的投标文件进行评价、评分，然后汇总每个投标供应商每项评分因素的得分。每个投标供应商</w:t>
      </w:r>
      <w:r>
        <w:rPr>
          <w:spacing w:val="-4"/>
          <w:sz w:val="24"/>
          <w:szCs w:val="24"/>
          <w:highlight w:val="none"/>
        </w:rPr>
        <w:t>的最终得分为所</w:t>
      </w:r>
      <w:r>
        <w:rPr>
          <w:spacing w:val="-2"/>
          <w:sz w:val="24"/>
          <w:szCs w:val="24"/>
          <w:highlight w:val="none"/>
        </w:rPr>
        <w:t>有评标委员会成员评分的算术平均值。</w:t>
      </w:r>
    </w:p>
    <w:p w14:paraId="77CC7135">
      <w:pPr>
        <w:pStyle w:val="6"/>
        <w:bidi w:val="0"/>
        <w:rPr>
          <w:b/>
          <w:bCs/>
          <w:spacing w:val="-7"/>
          <w:sz w:val="24"/>
          <w:szCs w:val="24"/>
          <w:highlight w:val="none"/>
        </w:rPr>
      </w:pPr>
      <w:bookmarkStart w:id="233" w:name="_Toc7813"/>
      <w:bookmarkStart w:id="234" w:name="_Toc28734"/>
      <w:bookmarkStart w:id="235" w:name="_Toc11491"/>
      <w:r>
        <w:rPr>
          <w:b/>
          <w:bCs/>
          <w:spacing w:val="-7"/>
          <w:sz w:val="24"/>
          <w:szCs w:val="24"/>
          <w:highlight w:val="none"/>
        </w:rPr>
        <w:t>6.中标候选人的推荐方法</w:t>
      </w:r>
      <w:bookmarkEnd w:id="233"/>
      <w:bookmarkEnd w:id="234"/>
      <w:bookmarkEnd w:id="235"/>
    </w:p>
    <w:p w14:paraId="524D4AE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485"/>
        <w:textAlignment w:val="baseline"/>
        <w:rPr>
          <w:sz w:val="24"/>
          <w:szCs w:val="24"/>
          <w:highlight w:val="none"/>
        </w:rPr>
      </w:pPr>
      <w:r>
        <w:rPr>
          <w:spacing w:val="-2"/>
          <w:sz w:val="24"/>
          <w:szCs w:val="24"/>
          <w:highlight w:val="none"/>
        </w:rPr>
        <w:t>6.1评标结果按评审后得分由高到低顺序排列。得分相同的，按投标报价由低到高顺序排列。</w:t>
      </w:r>
      <w:r>
        <w:rPr>
          <w:spacing w:val="-3"/>
          <w:sz w:val="24"/>
          <w:szCs w:val="24"/>
          <w:highlight w:val="none"/>
        </w:rPr>
        <w:t>得分且投标报价相同的并列。投标文件满足招标文件全部实质性要求，且按照评审因素的量化指标</w:t>
      </w:r>
      <w:r>
        <w:rPr>
          <w:spacing w:val="-2"/>
          <w:sz w:val="24"/>
          <w:szCs w:val="24"/>
          <w:highlight w:val="none"/>
        </w:rPr>
        <w:t>评审得分最高的投标供应商为排名第一的中标候选人。</w:t>
      </w:r>
    </w:p>
    <w:p w14:paraId="0BCAAE7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485"/>
        <w:textAlignment w:val="baseline"/>
        <w:rPr>
          <w:rFonts w:ascii="宋体" w:hAnsi="宋体" w:eastAsia="宋体" w:cs="宋体"/>
          <w:spacing w:val="-2"/>
          <w:sz w:val="24"/>
          <w:szCs w:val="24"/>
          <w:highlight w:val="none"/>
        </w:rPr>
      </w:pPr>
      <w:r>
        <w:rPr>
          <w:rFonts w:ascii="宋体" w:hAnsi="宋体" w:eastAsia="宋体" w:cs="宋体"/>
          <w:spacing w:val="-2"/>
          <w:sz w:val="24"/>
          <w:szCs w:val="24"/>
          <w:highlight w:val="none"/>
        </w:rPr>
        <w:t>6.2得分且投标报价相同的并列，按本章第二节规定确定中标候选人。</w:t>
      </w:r>
    </w:p>
    <w:p w14:paraId="5E26BADE">
      <w:pPr>
        <w:rPr>
          <w:b/>
          <w:bCs/>
          <w:spacing w:val="6"/>
          <w:sz w:val="19"/>
          <w:szCs w:val="19"/>
          <w:highlight w:val="none"/>
        </w:rPr>
      </w:pPr>
      <w:r>
        <w:rPr>
          <w:b/>
          <w:bCs/>
          <w:spacing w:val="6"/>
          <w:sz w:val="19"/>
          <w:szCs w:val="19"/>
          <w:highlight w:val="none"/>
        </w:rPr>
        <w:br w:type="page"/>
      </w:r>
    </w:p>
    <w:p w14:paraId="0F0FE52D">
      <w:pPr>
        <w:pStyle w:val="6"/>
        <w:bidi w:val="0"/>
      </w:pPr>
      <w:bookmarkStart w:id="236" w:name="_Toc15747"/>
      <w:bookmarkStart w:id="237" w:name="_Toc22317"/>
      <w:r>
        <w:t>附页1评标方法及标准表</w:t>
      </w:r>
      <w:bookmarkEnd w:id="236"/>
      <w:bookmarkEnd w:id="237"/>
    </w:p>
    <w:p w14:paraId="644CDD3A">
      <w:pPr>
        <w:pStyle w:val="2"/>
        <w:spacing w:before="248" w:line="224" w:lineRule="auto"/>
        <w:ind w:left="4129"/>
        <w:rPr>
          <w:sz w:val="27"/>
          <w:szCs w:val="27"/>
        </w:rPr>
      </w:pPr>
      <w:r>
        <w:rPr>
          <w:b/>
          <w:bCs/>
          <w:spacing w:val="3"/>
          <w:sz w:val="27"/>
          <w:szCs w:val="27"/>
        </w:rPr>
        <w:t>权值见下表</w:t>
      </w:r>
    </w:p>
    <w:p w14:paraId="0CCB8F5C">
      <w:pPr>
        <w:spacing w:line="123" w:lineRule="exact"/>
      </w:pPr>
    </w:p>
    <w:tbl>
      <w:tblPr>
        <w:tblStyle w:val="20"/>
        <w:tblW w:w="1015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0"/>
        <w:gridCol w:w="1895"/>
        <w:gridCol w:w="2155"/>
        <w:gridCol w:w="4960"/>
      </w:tblGrid>
      <w:tr w14:paraId="121F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40" w:type="dxa"/>
            <w:tcBorders>
              <w:top w:val="single" w:color="000000" w:sz="2" w:space="0"/>
              <w:left w:val="single" w:color="000000" w:sz="2" w:space="0"/>
            </w:tcBorders>
          </w:tcPr>
          <w:p w14:paraId="24895125">
            <w:pPr>
              <w:spacing w:before="202" w:line="219" w:lineRule="auto"/>
              <w:ind w:left="373"/>
              <w:rPr>
                <w:rFonts w:ascii="仿宋" w:hAnsi="仿宋" w:eastAsia="仿宋" w:cs="仿宋"/>
              </w:rPr>
            </w:pPr>
            <w:r>
              <w:rPr>
                <w:rFonts w:ascii="仿宋" w:hAnsi="仿宋" w:eastAsia="仿宋" w:cs="仿宋"/>
                <w:b/>
                <w:bCs/>
                <w:spacing w:val="-6"/>
              </w:rPr>
              <w:t>序号</w:t>
            </w:r>
          </w:p>
        </w:tc>
        <w:tc>
          <w:tcPr>
            <w:tcW w:w="1895" w:type="dxa"/>
            <w:tcBorders>
              <w:top w:val="single" w:color="000000" w:sz="2" w:space="0"/>
            </w:tcBorders>
          </w:tcPr>
          <w:p w14:paraId="05243792">
            <w:pPr>
              <w:spacing w:before="201" w:line="221" w:lineRule="auto"/>
              <w:ind w:left="480"/>
              <w:rPr>
                <w:rFonts w:ascii="仿宋" w:hAnsi="仿宋" w:eastAsia="仿宋" w:cs="仿宋"/>
              </w:rPr>
            </w:pPr>
            <w:r>
              <w:rPr>
                <w:rFonts w:ascii="仿宋" w:hAnsi="仿宋" w:eastAsia="仿宋" w:cs="仿宋"/>
                <w:b/>
                <w:bCs/>
                <w:spacing w:val="-9"/>
              </w:rPr>
              <w:t>项目</w:t>
            </w:r>
          </w:p>
        </w:tc>
        <w:tc>
          <w:tcPr>
            <w:tcW w:w="2155" w:type="dxa"/>
            <w:tcBorders>
              <w:top w:val="single" w:color="000000" w:sz="2" w:space="0"/>
            </w:tcBorders>
          </w:tcPr>
          <w:p w14:paraId="542E0F4F">
            <w:pPr>
              <w:spacing w:before="202" w:line="219" w:lineRule="auto"/>
              <w:ind w:left="562"/>
              <w:rPr>
                <w:rFonts w:ascii="仿宋" w:hAnsi="仿宋" w:eastAsia="仿宋" w:cs="仿宋"/>
              </w:rPr>
            </w:pPr>
            <w:r>
              <w:rPr>
                <w:rFonts w:ascii="仿宋" w:hAnsi="仿宋" w:eastAsia="仿宋" w:cs="仿宋"/>
                <w:b/>
                <w:bCs/>
                <w:spacing w:val="-4"/>
              </w:rPr>
              <w:t>权值的取值</w:t>
            </w:r>
          </w:p>
        </w:tc>
        <w:tc>
          <w:tcPr>
            <w:tcW w:w="4960" w:type="dxa"/>
            <w:tcBorders>
              <w:top w:val="single" w:color="000000" w:sz="2" w:space="0"/>
              <w:right w:val="single" w:color="000000" w:sz="2" w:space="0"/>
            </w:tcBorders>
          </w:tcPr>
          <w:p w14:paraId="669399AB">
            <w:pPr>
              <w:spacing w:before="202" w:line="221" w:lineRule="auto"/>
              <w:ind w:left="2275"/>
              <w:rPr>
                <w:rFonts w:ascii="仿宋" w:hAnsi="仿宋" w:eastAsia="仿宋" w:cs="仿宋"/>
              </w:rPr>
            </w:pPr>
            <w:r>
              <w:rPr>
                <w:rFonts w:ascii="仿宋" w:hAnsi="仿宋" w:eastAsia="仿宋" w:cs="仿宋"/>
                <w:b/>
                <w:bCs/>
                <w:spacing w:val="-6"/>
              </w:rPr>
              <w:t>备注</w:t>
            </w:r>
          </w:p>
        </w:tc>
      </w:tr>
      <w:tr w14:paraId="26A2D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2" w:hRule="atLeast"/>
        </w:trPr>
        <w:tc>
          <w:tcPr>
            <w:tcW w:w="1140" w:type="dxa"/>
            <w:tcBorders>
              <w:left w:val="single" w:color="000000" w:sz="2" w:space="0"/>
            </w:tcBorders>
          </w:tcPr>
          <w:p w14:paraId="0565035D">
            <w:pPr>
              <w:spacing w:before="196" w:line="239" w:lineRule="auto"/>
              <w:ind w:left="541"/>
              <w:rPr>
                <w:rFonts w:ascii="仿宋" w:hAnsi="仿宋" w:eastAsia="仿宋" w:cs="仿宋"/>
              </w:rPr>
            </w:pPr>
            <w:r>
              <w:rPr>
                <w:rFonts w:ascii="仿宋" w:hAnsi="仿宋" w:eastAsia="仿宋" w:cs="仿宋"/>
              </w:rPr>
              <w:t>1</w:t>
            </w:r>
          </w:p>
        </w:tc>
        <w:tc>
          <w:tcPr>
            <w:tcW w:w="1895" w:type="dxa"/>
          </w:tcPr>
          <w:p w14:paraId="69DE0C0C">
            <w:pPr>
              <w:spacing w:before="196" w:line="219" w:lineRule="auto"/>
              <w:ind w:left="426"/>
              <w:rPr>
                <w:rFonts w:ascii="仿宋" w:hAnsi="仿宋" w:eastAsia="仿宋" w:cs="仿宋"/>
              </w:rPr>
            </w:pPr>
            <w:r>
              <w:rPr>
                <w:rFonts w:ascii="仿宋" w:hAnsi="仿宋" w:eastAsia="仿宋" w:cs="仿宋"/>
                <w:spacing w:val="-2"/>
              </w:rPr>
              <w:t>报价（A1）</w:t>
            </w:r>
          </w:p>
        </w:tc>
        <w:tc>
          <w:tcPr>
            <w:tcW w:w="2155" w:type="dxa"/>
          </w:tcPr>
          <w:p w14:paraId="38F78F8E">
            <w:pPr>
              <w:spacing w:before="196" w:line="237" w:lineRule="auto"/>
              <w:ind w:left="875"/>
              <w:rPr>
                <w:rFonts w:ascii="仿宋" w:hAnsi="仿宋" w:eastAsia="仿宋" w:cs="仿宋"/>
                <w:b/>
                <w:bCs/>
              </w:rPr>
            </w:pPr>
            <w:r>
              <w:rPr>
                <w:rFonts w:ascii="仿宋" w:hAnsi="仿宋" w:eastAsia="仿宋" w:cs="仿宋"/>
                <w:b/>
                <w:bCs/>
                <w:spacing w:val="-2"/>
              </w:rPr>
              <w:t>0.30</w:t>
            </w:r>
          </w:p>
        </w:tc>
        <w:tc>
          <w:tcPr>
            <w:tcW w:w="4960" w:type="dxa"/>
            <w:tcBorders>
              <w:right w:val="single" w:color="000000" w:sz="2" w:space="0"/>
            </w:tcBorders>
          </w:tcPr>
          <w:p w14:paraId="1843089B">
            <w:pPr>
              <w:spacing w:before="195" w:line="218" w:lineRule="auto"/>
              <w:ind w:left="670"/>
              <w:rPr>
                <w:rFonts w:ascii="仿宋" w:hAnsi="仿宋" w:eastAsia="仿宋" w:cs="仿宋"/>
                <w:lang w:eastAsia="zh-CN"/>
              </w:rPr>
            </w:pPr>
            <w:r>
              <w:rPr>
                <w:rFonts w:ascii="仿宋" w:hAnsi="仿宋" w:eastAsia="仿宋" w:cs="仿宋"/>
                <w:spacing w:val="-2"/>
                <w:lang w:eastAsia="zh-CN"/>
              </w:rPr>
              <w:t>详见《附表1.1 投标报价评审标准表》</w:t>
            </w:r>
          </w:p>
        </w:tc>
      </w:tr>
      <w:tr w14:paraId="7E7F7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140" w:type="dxa"/>
            <w:tcBorders>
              <w:left w:val="single" w:color="000000" w:sz="2" w:space="0"/>
            </w:tcBorders>
          </w:tcPr>
          <w:p w14:paraId="16567F14">
            <w:pPr>
              <w:spacing w:before="197" w:line="239" w:lineRule="auto"/>
              <w:ind w:left="528"/>
              <w:rPr>
                <w:rFonts w:ascii="仿宋" w:hAnsi="仿宋" w:eastAsia="仿宋" w:cs="仿宋"/>
              </w:rPr>
            </w:pPr>
            <w:r>
              <w:rPr>
                <w:rFonts w:ascii="仿宋" w:hAnsi="仿宋" w:eastAsia="仿宋" w:cs="仿宋"/>
              </w:rPr>
              <w:t>2</w:t>
            </w:r>
          </w:p>
        </w:tc>
        <w:tc>
          <w:tcPr>
            <w:tcW w:w="1895" w:type="dxa"/>
          </w:tcPr>
          <w:p w14:paraId="7AFB000C">
            <w:pPr>
              <w:spacing w:before="197" w:line="219" w:lineRule="auto"/>
              <w:ind w:left="427"/>
              <w:rPr>
                <w:rFonts w:ascii="仿宋" w:hAnsi="仿宋" w:eastAsia="仿宋" w:cs="仿宋"/>
              </w:rPr>
            </w:pPr>
            <w:r>
              <w:rPr>
                <w:rFonts w:ascii="仿宋" w:hAnsi="仿宋" w:eastAsia="仿宋" w:cs="仿宋"/>
                <w:spacing w:val="-2"/>
              </w:rPr>
              <w:t>技术（A2）</w:t>
            </w:r>
          </w:p>
        </w:tc>
        <w:tc>
          <w:tcPr>
            <w:tcW w:w="2155" w:type="dxa"/>
          </w:tcPr>
          <w:p w14:paraId="01E9C1A4">
            <w:pPr>
              <w:spacing w:before="196" w:line="237" w:lineRule="auto"/>
              <w:ind w:left="875"/>
              <w:rPr>
                <w:rFonts w:ascii="仿宋" w:hAnsi="仿宋" w:eastAsia="仿宋" w:cs="仿宋"/>
                <w:b/>
                <w:bCs/>
                <w:spacing w:val="-2"/>
              </w:rPr>
            </w:pPr>
            <w:r>
              <w:rPr>
                <w:rFonts w:ascii="仿宋" w:hAnsi="仿宋" w:eastAsia="仿宋" w:cs="仿宋"/>
                <w:b/>
                <w:bCs/>
                <w:spacing w:val="-2"/>
              </w:rPr>
              <w:t>0.</w:t>
            </w:r>
            <w:r>
              <w:rPr>
                <w:rFonts w:hint="eastAsia" w:ascii="仿宋" w:hAnsi="仿宋" w:eastAsia="仿宋" w:cs="仿宋"/>
                <w:b/>
                <w:bCs/>
                <w:spacing w:val="-2"/>
                <w:lang w:val="en-US" w:eastAsia="zh-CN"/>
              </w:rPr>
              <w:t>6</w:t>
            </w:r>
            <w:r>
              <w:rPr>
                <w:rFonts w:ascii="仿宋" w:hAnsi="仿宋" w:eastAsia="仿宋" w:cs="仿宋"/>
                <w:b/>
                <w:bCs/>
                <w:spacing w:val="-2"/>
              </w:rPr>
              <w:t>0</w:t>
            </w:r>
          </w:p>
        </w:tc>
        <w:tc>
          <w:tcPr>
            <w:tcW w:w="4960" w:type="dxa"/>
            <w:tcBorders>
              <w:right w:val="single" w:color="000000" w:sz="2" w:space="0"/>
            </w:tcBorders>
          </w:tcPr>
          <w:p w14:paraId="168BA359">
            <w:pPr>
              <w:spacing w:before="196" w:line="218" w:lineRule="auto"/>
              <w:ind w:left="670"/>
              <w:rPr>
                <w:rFonts w:ascii="仿宋" w:hAnsi="仿宋" w:eastAsia="仿宋" w:cs="仿宋"/>
                <w:lang w:eastAsia="zh-CN"/>
              </w:rPr>
            </w:pPr>
            <w:r>
              <w:rPr>
                <w:rFonts w:ascii="仿宋" w:hAnsi="仿宋" w:eastAsia="仿宋" w:cs="仿宋"/>
                <w:spacing w:val="-2"/>
                <w:lang w:eastAsia="zh-CN"/>
              </w:rPr>
              <w:t>详见《附表1.2 技术部分评审标准表》</w:t>
            </w:r>
          </w:p>
        </w:tc>
      </w:tr>
      <w:tr w14:paraId="32EBD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1140" w:type="dxa"/>
            <w:tcBorders>
              <w:left w:val="single" w:color="000000" w:sz="2" w:space="0"/>
            </w:tcBorders>
          </w:tcPr>
          <w:p w14:paraId="6FA07C63">
            <w:pPr>
              <w:spacing w:before="193" w:line="238" w:lineRule="auto"/>
              <w:ind w:left="529"/>
              <w:rPr>
                <w:rFonts w:ascii="仿宋" w:hAnsi="仿宋" w:eastAsia="仿宋" w:cs="仿宋"/>
              </w:rPr>
            </w:pPr>
            <w:r>
              <w:rPr>
                <w:rFonts w:ascii="仿宋" w:hAnsi="仿宋" w:eastAsia="仿宋" w:cs="仿宋"/>
              </w:rPr>
              <w:t>3</w:t>
            </w:r>
          </w:p>
        </w:tc>
        <w:tc>
          <w:tcPr>
            <w:tcW w:w="1895" w:type="dxa"/>
          </w:tcPr>
          <w:p w14:paraId="1DA40E0F">
            <w:pPr>
              <w:spacing w:before="193" w:line="220" w:lineRule="auto"/>
              <w:ind w:left="434"/>
              <w:rPr>
                <w:rFonts w:ascii="仿宋" w:hAnsi="仿宋" w:eastAsia="仿宋" w:cs="仿宋"/>
              </w:rPr>
            </w:pPr>
            <w:r>
              <w:rPr>
                <w:rFonts w:ascii="仿宋" w:hAnsi="仿宋" w:eastAsia="仿宋" w:cs="仿宋"/>
                <w:spacing w:val="-3"/>
              </w:rPr>
              <w:t>商务（A3）</w:t>
            </w:r>
          </w:p>
        </w:tc>
        <w:tc>
          <w:tcPr>
            <w:tcW w:w="2155" w:type="dxa"/>
          </w:tcPr>
          <w:p w14:paraId="5E301EE7">
            <w:pPr>
              <w:spacing w:before="196" w:line="237" w:lineRule="auto"/>
              <w:ind w:left="875"/>
              <w:rPr>
                <w:rFonts w:ascii="仿宋" w:hAnsi="仿宋" w:eastAsia="仿宋" w:cs="仿宋"/>
                <w:b/>
                <w:bCs/>
                <w:spacing w:val="-2"/>
              </w:rPr>
            </w:pPr>
            <w:r>
              <w:rPr>
                <w:rFonts w:ascii="仿宋" w:hAnsi="仿宋" w:eastAsia="仿宋" w:cs="仿宋"/>
                <w:b/>
                <w:bCs/>
                <w:spacing w:val="-2"/>
              </w:rPr>
              <w:t>0.</w:t>
            </w:r>
            <w:r>
              <w:rPr>
                <w:rFonts w:hint="eastAsia" w:ascii="仿宋" w:hAnsi="仿宋" w:eastAsia="仿宋" w:cs="仿宋"/>
                <w:b/>
                <w:bCs/>
                <w:spacing w:val="-2"/>
                <w:lang w:val="en-US" w:eastAsia="zh-CN"/>
              </w:rPr>
              <w:t>1</w:t>
            </w:r>
            <w:r>
              <w:rPr>
                <w:rFonts w:ascii="仿宋" w:hAnsi="仿宋" w:eastAsia="仿宋" w:cs="仿宋"/>
                <w:b/>
                <w:bCs/>
                <w:spacing w:val="-2"/>
              </w:rPr>
              <w:t>0</w:t>
            </w:r>
          </w:p>
        </w:tc>
        <w:tc>
          <w:tcPr>
            <w:tcW w:w="4960" w:type="dxa"/>
            <w:tcBorders>
              <w:right w:val="single" w:color="000000" w:sz="2" w:space="0"/>
            </w:tcBorders>
          </w:tcPr>
          <w:p w14:paraId="6A3C3952">
            <w:pPr>
              <w:spacing w:before="193" w:line="218" w:lineRule="auto"/>
              <w:ind w:left="670"/>
              <w:rPr>
                <w:rFonts w:ascii="仿宋" w:hAnsi="仿宋" w:eastAsia="仿宋" w:cs="仿宋"/>
                <w:lang w:eastAsia="zh-CN"/>
              </w:rPr>
            </w:pPr>
            <w:r>
              <w:rPr>
                <w:rFonts w:ascii="仿宋" w:hAnsi="仿宋" w:eastAsia="仿宋" w:cs="仿宋"/>
                <w:spacing w:val="-2"/>
                <w:lang w:eastAsia="zh-CN"/>
              </w:rPr>
              <w:t>详见《附表1.3 商务部分评审标准表》</w:t>
            </w:r>
          </w:p>
        </w:tc>
      </w:tr>
      <w:tr w14:paraId="3AD39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3035" w:type="dxa"/>
            <w:gridSpan w:val="2"/>
            <w:tcBorders>
              <w:left w:val="single" w:color="000000" w:sz="2" w:space="0"/>
              <w:bottom w:val="single" w:color="000000" w:sz="2" w:space="0"/>
            </w:tcBorders>
          </w:tcPr>
          <w:p w14:paraId="1F5329D5">
            <w:pPr>
              <w:spacing w:before="198" w:line="219" w:lineRule="auto"/>
              <w:ind w:left="1330"/>
              <w:rPr>
                <w:rFonts w:ascii="仿宋" w:hAnsi="仿宋" w:eastAsia="仿宋" w:cs="仿宋"/>
              </w:rPr>
            </w:pPr>
            <w:r>
              <w:rPr>
                <w:rFonts w:ascii="仿宋" w:hAnsi="仿宋" w:eastAsia="仿宋" w:cs="仿宋"/>
                <w:spacing w:val="-5"/>
              </w:rPr>
              <w:t>合计</w:t>
            </w:r>
          </w:p>
        </w:tc>
        <w:tc>
          <w:tcPr>
            <w:tcW w:w="2155" w:type="dxa"/>
            <w:tcBorders>
              <w:bottom w:val="single" w:color="000000" w:sz="2" w:space="0"/>
            </w:tcBorders>
          </w:tcPr>
          <w:p w14:paraId="12EC745D">
            <w:pPr>
              <w:spacing w:before="198" w:line="237" w:lineRule="auto"/>
              <w:ind w:left="889"/>
              <w:rPr>
                <w:rFonts w:ascii="仿宋" w:hAnsi="仿宋" w:eastAsia="仿宋" w:cs="仿宋"/>
                <w:b/>
                <w:bCs/>
              </w:rPr>
            </w:pPr>
            <w:r>
              <w:rPr>
                <w:rFonts w:ascii="仿宋" w:hAnsi="仿宋" w:eastAsia="仿宋" w:cs="仿宋"/>
                <w:b/>
                <w:bCs/>
                <w:spacing w:val="-4"/>
              </w:rPr>
              <w:t>1.00</w:t>
            </w:r>
          </w:p>
        </w:tc>
        <w:tc>
          <w:tcPr>
            <w:tcW w:w="4960" w:type="dxa"/>
            <w:tcBorders>
              <w:bottom w:val="single" w:color="000000" w:sz="2" w:space="0"/>
              <w:right w:val="single" w:color="000000" w:sz="2" w:space="0"/>
            </w:tcBorders>
          </w:tcPr>
          <w:p w14:paraId="4B327003"/>
        </w:tc>
      </w:tr>
    </w:tbl>
    <w:p w14:paraId="0A9BB8AA">
      <w:pPr>
        <w:spacing w:line="329" w:lineRule="auto"/>
      </w:pPr>
    </w:p>
    <w:p w14:paraId="3724910F">
      <w:pPr>
        <w:pStyle w:val="2"/>
        <w:keepNext w:val="0"/>
        <w:keepLines w:val="0"/>
        <w:pageBreakBefore w:val="0"/>
        <w:widowControl/>
        <w:wordWrap/>
        <w:overflowPunct/>
        <w:topLinePunct w:val="0"/>
        <w:bidi w:val="0"/>
        <w:spacing w:before="78" w:line="240" w:lineRule="auto"/>
        <w:ind w:left="150"/>
        <w:outlineLvl w:val="3"/>
        <w:rPr>
          <w:sz w:val="24"/>
          <w:szCs w:val="24"/>
          <w:lang w:eastAsia="zh-CN"/>
        </w:rPr>
      </w:pPr>
      <w:r>
        <w:rPr>
          <w:b/>
          <w:bCs/>
          <w:spacing w:val="-6"/>
          <w:sz w:val="24"/>
          <w:szCs w:val="24"/>
          <w:lang w:eastAsia="zh-CN"/>
        </w:rPr>
        <w:t>附表1.1投标报价评审标准表</w:t>
      </w:r>
    </w:p>
    <w:p w14:paraId="47127C86">
      <w:pPr>
        <w:keepNext w:val="0"/>
        <w:keepLines w:val="0"/>
        <w:pageBreakBefore w:val="0"/>
        <w:widowControl/>
        <w:wordWrap/>
        <w:overflowPunct/>
        <w:topLinePunct w:val="0"/>
        <w:bidi w:val="0"/>
        <w:spacing w:line="240" w:lineRule="auto"/>
        <w:rPr>
          <w:lang w:eastAsia="zh-CN"/>
        </w:rPr>
      </w:pPr>
    </w:p>
    <w:tbl>
      <w:tblPr>
        <w:tblStyle w:val="20"/>
        <w:tblW w:w="101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2040"/>
        <w:gridCol w:w="7458"/>
      </w:tblGrid>
      <w:tr w14:paraId="3C01C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2" w:type="dxa"/>
            <w:tcBorders>
              <w:bottom w:val="single" w:color="000000" w:sz="4" w:space="0"/>
            </w:tcBorders>
          </w:tcPr>
          <w:p w14:paraId="507B7376">
            <w:pPr>
              <w:keepNext w:val="0"/>
              <w:keepLines w:val="0"/>
              <w:pageBreakBefore w:val="0"/>
              <w:widowControl/>
              <w:wordWrap/>
              <w:overflowPunct/>
              <w:topLinePunct w:val="0"/>
              <w:bidi w:val="0"/>
              <w:spacing w:line="240" w:lineRule="auto"/>
              <w:rPr>
                <w:lang w:eastAsia="zh-CN"/>
              </w:rPr>
            </w:pPr>
          </w:p>
          <w:p w14:paraId="6AAE4703">
            <w:pPr>
              <w:keepNext w:val="0"/>
              <w:keepLines w:val="0"/>
              <w:pageBreakBefore w:val="0"/>
              <w:widowControl/>
              <w:wordWrap/>
              <w:overflowPunct/>
              <w:topLinePunct w:val="0"/>
              <w:bidi w:val="0"/>
              <w:spacing w:before="68" w:line="240" w:lineRule="auto"/>
              <w:ind w:left="143"/>
              <w:rPr>
                <w:rFonts w:ascii="仿宋" w:hAnsi="仿宋" w:eastAsia="仿宋" w:cs="仿宋"/>
              </w:rPr>
            </w:pPr>
            <w:r>
              <w:rPr>
                <w:rFonts w:ascii="仿宋" w:hAnsi="仿宋" w:eastAsia="仿宋" w:cs="仿宋"/>
                <w:spacing w:val="-6"/>
              </w:rPr>
              <w:t>序号</w:t>
            </w:r>
          </w:p>
        </w:tc>
        <w:tc>
          <w:tcPr>
            <w:tcW w:w="2040" w:type="dxa"/>
            <w:tcBorders>
              <w:bottom w:val="single" w:color="000000" w:sz="4" w:space="0"/>
            </w:tcBorders>
          </w:tcPr>
          <w:p w14:paraId="2302D1A9">
            <w:pPr>
              <w:keepNext w:val="0"/>
              <w:keepLines w:val="0"/>
              <w:pageBreakBefore w:val="0"/>
              <w:widowControl/>
              <w:wordWrap/>
              <w:overflowPunct/>
              <w:topLinePunct w:val="0"/>
              <w:bidi w:val="0"/>
              <w:spacing w:before="164" w:line="240" w:lineRule="auto"/>
              <w:ind w:left="610"/>
              <w:rPr>
                <w:rFonts w:ascii="仿宋" w:hAnsi="仿宋" w:eastAsia="仿宋" w:cs="仿宋"/>
              </w:rPr>
            </w:pPr>
            <w:r>
              <w:rPr>
                <w:rFonts w:ascii="仿宋" w:hAnsi="仿宋" w:eastAsia="仿宋" w:cs="仿宋"/>
                <w:spacing w:val="-5"/>
              </w:rPr>
              <w:t>评标因素</w:t>
            </w:r>
          </w:p>
          <w:p w14:paraId="55EDBBC3">
            <w:pPr>
              <w:keepNext w:val="0"/>
              <w:keepLines w:val="0"/>
              <w:pageBreakBefore w:val="0"/>
              <w:widowControl/>
              <w:wordWrap/>
              <w:overflowPunct/>
              <w:topLinePunct w:val="0"/>
              <w:bidi w:val="0"/>
              <w:spacing w:before="153" w:line="240" w:lineRule="auto"/>
              <w:ind w:left="610"/>
              <w:rPr>
                <w:rFonts w:ascii="仿宋" w:hAnsi="仿宋" w:eastAsia="仿宋" w:cs="仿宋"/>
              </w:rPr>
            </w:pPr>
            <w:r>
              <w:rPr>
                <w:rFonts w:ascii="仿宋" w:hAnsi="仿宋" w:eastAsia="仿宋" w:cs="仿宋"/>
                <w:spacing w:val="-7"/>
              </w:rPr>
              <w:t>（分值）</w:t>
            </w:r>
          </w:p>
        </w:tc>
        <w:tc>
          <w:tcPr>
            <w:tcW w:w="7458" w:type="dxa"/>
            <w:tcBorders>
              <w:bottom w:val="single" w:color="000000" w:sz="4" w:space="0"/>
            </w:tcBorders>
          </w:tcPr>
          <w:p w14:paraId="17424C42">
            <w:pPr>
              <w:keepNext w:val="0"/>
              <w:keepLines w:val="0"/>
              <w:pageBreakBefore w:val="0"/>
              <w:widowControl/>
              <w:wordWrap/>
              <w:overflowPunct/>
              <w:topLinePunct w:val="0"/>
              <w:bidi w:val="0"/>
              <w:spacing w:line="240" w:lineRule="auto"/>
            </w:pPr>
          </w:p>
          <w:p w14:paraId="520B2B93">
            <w:pPr>
              <w:keepNext w:val="0"/>
              <w:keepLines w:val="0"/>
              <w:pageBreakBefore w:val="0"/>
              <w:widowControl/>
              <w:wordWrap/>
              <w:overflowPunct/>
              <w:topLinePunct w:val="0"/>
              <w:bidi w:val="0"/>
              <w:spacing w:before="68" w:line="240" w:lineRule="auto"/>
              <w:ind w:left="3309"/>
              <w:rPr>
                <w:rFonts w:ascii="仿宋" w:hAnsi="仿宋" w:eastAsia="仿宋" w:cs="仿宋"/>
              </w:rPr>
            </w:pPr>
            <w:r>
              <w:rPr>
                <w:rFonts w:ascii="仿宋" w:hAnsi="仿宋" w:eastAsia="仿宋" w:cs="仿宋"/>
                <w:spacing w:val="-5"/>
              </w:rPr>
              <w:t>评标标准</w:t>
            </w:r>
          </w:p>
        </w:tc>
      </w:tr>
      <w:tr w14:paraId="367B2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2" w:type="dxa"/>
            <w:vMerge w:val="restart"/>
            <w:tcBorders>
              <w:top w:val="single" w:color="000000" w:sz="4" w:space="0"/>
              <w:bottom w:val="nil"/>
            </w:tcBorders>
          </w:tcPr>
          <w:p w14:paraId="07B41E1F">
            <w:pPr>
              <w:keepNext w:val="0"/>
              <w:keepLines w:val="0"/>
              <w:pageBreakBefore w:val="0"/>
              <w:widowControl/>
              <w:wordWrap/>
              <w:overflowPunct/>
              <w:topLinePunct w:val="0"/>
              <w:bidi w:val="0"/>
              <w:spacing w:line="240" w:lineRule="auto"/>
            </w:pPr>
          </w:p>
          <w:p w14:paraId="392DA599">
            <w:pPr>
              <w:keepNext w:val="0"/>
              <w:keepLines w:val="0"/>
              <w:pageBreakBefore w:val="0"/>
              <w:widowControl/>
              <w:wordWrap/>
              <w:overflowPunct/>
              <w:topLinePunct w:val="0"/>
              <w:bidi w:val="0"/>
              <w:spacing w:line="240" w:lineRule="auto"/>
            </w:pPr>
          </w:p>
          <w:p w14:paraId="3E2B50DB">
            <w:pPr>
              <w:keepNext w:val="0"/>
              <w:keepLines w:val="0"/>
              <w:pageBreakBefore w:val="0"/>
              <w:widowControl/>
              <w:wordWrap/>
              <w:overflowPunct/>
              <w:topLinePunct w:val="0"/>
              <w:bidi w:val="0"/>
              <w:spacing w:line="240" w:lineRule="auto"/>
            </w:pPr>
          </w:p>
          <w:p w14:paraId="686921F0">
            <w:pPr>
              <w:keepNext w:val="0"/>
              <w:keepLines w:val="0"/>
              <w:pageBreakBefore w:val="0"/>
              <w:widowControl/>
              <w:wordWrap/>
              <w:overflowPunct/>
              <w:topLinePunct w:val="0"/>
              <w:bidi w:val="0"/>
              <w:spacing w:line="240" w:lineRule="auto"/>
            </w:pPr>
          </w:p>
          <w:p w14:paraId="566587B2">
            <w:pPr>
              <w:keepNext w:val="0"/>
              <w:keepLines w:val="0"/>
              <w:pageBreakBefore w:val="0"/>
              <w:widowControl/>
              <w:wordWrap/>
              <w:overflowPunct/>
              <w:topLinePunct w:val="0"/>
              <w:bidi w:val="0"/>
              <w:spacing w:line="240" w:lineRule="auto"/>
            </w:pPr>
          </w:p>
          <w:p w14:paraId="6D0EBE9D">
            <w:pPr>
              <w:keepNext w:val="0"/>
              <w:keepLines w:val="0"/>
              <w:pageBreakBefore w:val="0"/>
              <w:widowControl/>
              <w:wordWrap/>
              <w:overflowPunct/>
              <w:topLinePunct w:val="0"/>
              <w:bidi w:val="0"/>
              <w:spacing w:line="240" w:lineRule="auto"/>
            </w:pPr>
          </w:p>
          <w:p w14:paraId="410C0E0B">
            <w:pPr>
              <w:keepNext w:val="0"/>
              <w:keepLines w:val="0"/>
              <w:pageBreakBefore w:val="0"/>
              <w:widowControl/>
              <w:wordWrap/>
              <w:overflowPunct/>
              <w:topLinePunct w:val="0"/>
              <w:bidi w:val="0"/>
              <w:spacing w:line="240" w:lineRule="auto"/>
            </w:pPr>
          </w:p>
          <w:p w14:paraId="5DAA3AC7">
            <w:pPr>
              <w:keepNext w:val="0"/>
              <w:keepLines w:val="0"/>
              <w:pageBreakBefore w:val="0"/>
              <w:widowControl/>
              <w:wordWrap/>
              <w:overflowPunct/>
              <w:topLinePunct w:val="0"/>
              <w:bidi w:val="0"/>
              <w:spacing w:line="240" w:lineRule="auto"/>
            </w:pPr>
          </w:p>
          <w:p w14:paraId="28060520">
            <w:pPr>
              <w:keepNext w:val="0"/>
              <w:keepLines w:val="0"/>
              <w:pageBreakBefore w:val="0"/>
              <w:widowControl/>
              <w:wordWrap/>
              <w:overflowPunct/>
              <w:topLinePunct w:val="0"/>
              <w:bidi w:val="0"/>
              <w:spacing w:line="240" w:lineRule="auto"/>
            </w:pPr>
          </w:p>
          <w:p w14:paraId="2B9298AD">
            <w:pPr>
              <w:keepNext w:val="0"/>
              <w:keepLines w:val="0"/>
              <w:pageBreakBefore w:val="0"/>
              <w:widowControl/>
              <w:wordWrap/>
              <w:overflowPunct/>
              <w:topLinePunct w:val="0"/>
              <w:bidi w:val="0"/>
              <w:spacing w:line="240" w:lineRule="auto"/>
            </w:pPr>
          </w:p>
          <w:p w14:paraId="5D617B63">
            <w:pPr>
              <w:keepNext w:val="0"/>
              <w:keepLines w:val="0"/>
              <w:pageBreakBefore w:val="0"/>
              <w:widowControl/>
              <w:wordWrap/>
              <w:overflowPunct/>
              <w:topLinePunct w:val="0"/>
              <w:bidi w:val="0"/>
              <w:spacing w:line="240" w:lineRule="auto"/>
            </w:pPr>
          </w:p>
          <w:p w14:paraId="1DC11A62">
            <w:pPr>
              <w:keepNext w:val="0"/>
              <w:keepLines w:val="0"/>
              <w:pageBreakBefore w:val="0"/>
              <w:widowControl/>
              <w:wordWrap/>
              <w:overflowPunct/>
              <w:topLinePunct w:val="0"/>
              <w:bidi w:val="0"/>
              <w:spacing w:line="240" w:lineRule="auto"/>
            </w:pPr>
          </w:p>
          <w:p w14:paraId="5A4E13D3">
            <w:pPr>
              <w:keepNext w:val="0"/>
              <w:keepLines w:val="0"/>
              <w:pageBreakBefore w:val="0"/>
              <w:widowControl/>
              <w:wordWrap/>
              <w:overflowPunct/>
              <w:topLinePunct w:val="0"/>
              <w:bidi w:val="0"/>
              <w:spacing w:line="240" w:lineRule="auto"/>
            </w:pPr>
          </w:p>
          <w:p w14:paraId="14399EF4">
            <w:pPr>
              <w:keepNext w:val="0"/>
              <w:keepLines w:val="0"/>
              <w:pageBreakBefore w:val="0"/>
              <w:widowControl/>
              <w:wordWrap/>
              <w:overflowPunct/>
              <w:topLinePunct w:val="0"/>
              <w:bidi w:val="0"/>
              <w:spacing w:line="240" w:lineRule="auto"/>
            </w:pPr>
          </w:p>
          <w:p w14:paraId="09D38595">
            <w:pPr>
              <w:keepNext w:val="0"/>
              <w:keepLines w:val="0"/>
              <w:pageBreakBefore w:val="0"/>
              <w:widowControl/>
              <w:wordWrap/>
              <w:overflowPunct/>
              <w:topLinePunct w:val="0"/>
              <w:bidi w:val="0"/>
              <w:spacing w:before="68" w:line="240" w:lineRule="auto"/>
              <w:ind w:left="310"/>
              <w:rPr>
                <w:rFonts w:ascii="仿宋" w:hAnsi="仿宋" w:eastAsia="仿宋" w:cs="仿宋"/>
              </w:rPr>
            </w:pPr>
            <w:r>
              <w:rPr>
                <w:rFonts w:ascii="仿宋" w:hAnsi="仿宋" w:eastAsia="仿宋" w:cs="仿宋"/>
              </w:rPr>
              <w:t>1</w:t>
            </w:r>
          </w:p>
        </w:tc>
        <w:tc>
          <w:tcPr>
            <w:tcW w:w="2040" w:type="dxa"/>
            <w:vMerge w:val="restart"/>
            <w:tcBorders>
              <w:top w:val="single" w:color="000000" w:sz="4" w:space="0"/>
              <w:bottom w:val="nil"/>
            </w:tcBorders>
          </w:tcPr>
          <w:p w14:paraId="3794494C">
            <w:pPr>
              <w:keepNext w:val="0"/>
              <w:keepLines w:val="0"/>
              <w:pageBreakBefore w:val="0"/>
              <w:widowControl/>
              <w:wordWrap/>
              <w:overflowPunct/>
              <w:topLinePunct w:val="0"/>
              <w:bidi w:val="0"/>
              <w:spacing w:line="240" w:lineRule="auto"/>
            </w:pPr>
          </w:p>
          <w:p w14:paraId="20A253F0">
            <w:pPr>
              <w:keepNext w:val="0"/>
              <w:keepLines w:val="0"/>
              <w:pageBreakBefore w:val="0"/>
              <w:widowControl/>
              <w:wordWrap/>
              <w:overflowPunct/>
              <w:topLinePunct w:val="0"/>
              <w:bidi w:val="0"/>
              <w:spacing w:line="240" w:lineRule="auto"/>
            </w:pPr>
          </w:p>
          <w:p w14:paraId="7C9C7B80">
            <w:pPr>
              <w:keepNext w:val="0"/>
              <w:keepLines w:val="0"/>
              <w:pageBreakBefore w:val="0"/>
              <w:widowControl/>
              <w:wordWrap/>
              <w:overflowPunct/>
              <w:topLinePunct w:val="0"/>
              <w:bidi w:val="0"/>
              <w:spacing w:line="240" w:lineRule="auto"/>
            </w:pPr>
          </w:p>
          <w:p w14:paraId="600D737F">
            <w:pPr>
              <w:keepNext w:val="0"/>
              <w:keepLines w:val="0"/>
              <w:pageBreakBefore w:val="0"/>
              <w:widowControl/>
              <w:wordWrap/>
              <w:overflowPunct/>
              <w:topLinePunct w:val="0"/>
              <w:bidi w:val="0"/>
              <w:spacing w:line="240" w:lineRule="auto"/>
            </w:pPr>
          </w:p>
          <w:p w14:paraId="57A8BCE9">
            <w:pPr>
              <w:keepNext w:val="0"/>
              <w:keepLines w:val="0"/>
              <w:pageBreakBefore w:val="0"/>
              <w:widowControl/>
              <w:wordWrap/>
              <w:overflowPunct/>
              <w:topLinePunct w:val="0"/>
              <w:bidi w:val="0"/>
              <w:spacing w:line="240" w:lineRule="auto"/>
            </w:pPr>
          </w:p>
          <w:p w14:paraId="556846E7">
            <w:pPr>
              <w:keepNext w:val="0"/>
              <w:keepLines w:val="0"/>
              <w:pageBreakBefore w:val="0"/>
              <w:widowControl/>
              <w:wordWrap/>
              <w:overflowPunct/>
              <w:topLinePunct w:val="0"/>
              <w:bidi w:val="0"/>
              <w:spacing w:line="240" w:lineRule="auto"/>
            </w:pPr>
          </w:p>
          <w:p w14:paraId="4AAE7AE3">
            <w:pPr>
              <w:keepNext w:val="0"/>
              <w:keepLines w:val="0"/>
              <w:pageBreakBefore w:val="0"/>
              <w:widowControl/>
              <w:wordWrap/>
              <w:overflowPunct/>
              <w:topLinePunct w:val="0"/>
              <w:bidi w:val="0"/>
              <w:spacing w:line="240" w:lineRule="auto"/>
            </w:pPr>
          </w:p>
          <w:p w14:paraId="227C00C0">
            <w:pPr>
              <w:keepNext w:val="0"/>
              <w:keepLines w:val="0"/>
              <w:pageBreakBefore w:val="0"/>
              <w:widowControl/>
              <w:wordWrap/>
              <w:overflowPunct/>
              <w:topLinePunct w:val="0"/>
              <w:bidi w:val="0"/>
              <w:spacing w:line="240" w:lineRule="auto"/>
            </w:pPr>
          </w:p>
          <w:p w14:paraId="534E1447">
            <w:pPr>
              <w:keepNext w:val="0"/>
              <w:keepLines w:val="0"/>
              <w:pageBreakBefore w:val="0"/>
              <w:widowControl/>
              <w:wordWrap/>
              <w:overflowPunct/>
              <w:topLinePunct w:val="0"/>
              <w:bidi w:val="0"/>
              <w:spacing w:line="240" w:lineRule="auto"/>
            </w:pPr>
          </w:p>
          <w:p w14:paraId="340901CF">
            <w:pPr>
              <w:keepNext w:val="0"/>
              <w:keepLines w:val="0"/>
              <w:pageBreakBefore w:val="0"/>
              <w:widowControl/>
              <w:wordWrap/>
              <w:overflowPunct/>
              <w:topLinePunct w:val="0"/>
              <w:bidi w:val="0"/>
              <w:spacing w:line="240" w:lineRule="auto"/>
            </w:pPr>
          </w:p>
          <w:p w14:paraId="3F689056">
            <w:pPr>
              <w:keepNext w:val="0"/>
              <w:keepLines w:val="0"/>
              <w:pageBreakBefore w:val="0"/>
              <w:widowControl/>
              <w:wordWrap/>
              <w:overflowPunct/>
              <w:topLinePunct w:val="0"/>
              <w:bidi w:val="0"/>
              <w:spacing w:line="240" w:lineRule="auto"/>
            </w:pPr>
          </w:p>
          <w:p w14:paraId="2991980D">
            <w:pPr>
              <w:keepNext w:val="0"/>
              <w:keepLines w:val="0"/>
              <w:pageBreakBefore w:val="0"/>
              <w:widowControl/>
              <w:wordWrap/>
              <w:overflowPunct/>
              <w:topLinePunct w:val="0"/>
              <w:bidi w:val="0"/>
              <w:spacing w:line="240" w:lineRule="auto"/>
            </w:pPr>
          </w:p>
          <w:p w14:paraId="625AA11E">
            <w:pPr>
              <w:keepNext w:val="0"/>
              <w:keepLines w:val="0"/>
              <w:pageBreakBefore w:val="0"/>
              <w:widowControl/>
              <w:wordWrap/>
              <w:overflowPunct/>
              <w:topLinePunct w:val="0"/>
              <w:bidi w:val="0"/>
              <w:spacing w:line="240" w:lineRule="auto"/>
            </w:pPr>
          </w:p>
          <w:p w14:paraId="4BE12AA2">
            <w:pPr>
              <w:keepNext w:val="0"/>
              <w:keepLines w:val="0"/>
              <w:pageBreakBefore w:val="0"/>
              <w:widowControl/>
              <w:wordWrap/>
              <w:overflowPunct/>
              <w:topLinePunct w:val="0"/>
              <w:bidi w:val="0"/>
              <w:spacing w:before="68" w:line="240" w:lineRule="auto"/>
              <w:ind w:left="608"/>
              <w:rPr>
                <w:rFonts w:ascii="仿宋" w:hAnsi="仿宋" w:eastAsia="仿宋" w:cs="仿宋"/>
              </w:rPr>
            </w:pPr>
            <w:r>
              <w:rPr>
                <w:rFonts w:ascii="仿宋" w:hAnsi="仿宋" w:eastAsia="仿宋" w:cs="仿宋"/>
                <w:spacing w:val="-2"/>
              </w:rPr>
              <w:t>投标报价</w:t>
            </w:r>
          </w:p>
          <w:p w14:paraId="6551D401">
            <w:pPr>
              <w:keepNext w:val="0"/>
              <w:keepLines w:val="0"/>
              <w:pageBreakBefore w:val="0"/>
              <w:widowControl/>
              <w:wordWrap/>
              <w:overflowPunct/>
              <w:topLinePunct w:val="0"/>
              <w:bidi w:val="0"/>
              <w:spacing w:before="153" w:line="240" w:lineRule="auto"/>
              <w:ind w:left="427"/>
              <w:rPr>
                <w:rFonts w:ascii="仿宋" w:hAnsi="仿宋" w:eastAsia="仿宋" w:cs="仿宋"/>
              </w:rPr>
            </w:pPr>
            <w:r>
              <w:rPr>
                <w:rFonts w:ascii="仿宋" w:hAnsi="仿宋" w:eastAsia="仿宋" w:cs="仿宋"/>
                <w:spacing w:val="-4"/>
              </w:rPr>
              <w:t>（F=100分）</w:t>
            </w:r>
          </w:p>
        </w:tc>
        <w:tc>
          <w:tcPr>
            <w:tcW w:w="7458" w:type="dxa"/>
            <w:tcBorders>
              <w:top w:val="single" w:color="000000" w:sz="4" w:space="0"/>
              <w:bottom w:val="single" w:color="000000" w:sz="4" w:space="0"/>
            </w:tcBorders>
          </w:tcPr>
          <w:p w14:paraId="76600097">
            <w:pPr>
              <w:keepNext w:val="0"/>
              <w:keepLines w:val="0"/>
              <w:pageBreakBefore w:val="0"/>
              <w:widowControl/>
              <w:wordWrap/>
              <w:overflowPunct/>
              <w:topLinePunct w:val="0"/>
              <w:bidi w:val="0"/>
              <w:spacing w:before="137" w:line="240" w:lineRule="auto"/>
              <w:ind w:left="115" w:right="209"/>
              <w:jc w:val="both"/>
              <w:rPr>
                <w:rFonts w:ascii="仿宋" w:hAnsi="仿宋" w:eastAsia="仿宋" w:cs="仿宋"/>
                <w:lang w:eastAsia="zh-CN"/>
              </w:rPr>
            </w:pPr>
            <w:r>
              <w:rPr>
                <w:rFonts w:ascii="仿宋" w:hAnsi="仿宋" w:eastAsia="仿宋" w:cs="仿宋"/>
                <w:lang w:eastAsia="zh-CN"/>
              </w:rPr>
              <w:t>价格分应当采用低价优先法计算，即满足招标</w:t>
            </w:r>
            <w:r>
              <w:rPr>
                <w:rFonts w:ascii="仿宋" w:hAnsi="仿宋" w:eastAsia="仿宋" w:cs="仿宋"/>
                <w:spacing w:val="-1"/>
                <w:lang w:eastAsia="zh-CN"/>
              </w:rPr>
              <w:t>文件要求且投标价格最低的投标</w:t>
            </w:r>
            <w:r>
              <w:rPr>
                <w:rFonts w:ascii="仿宋" w:hAnsi="仿宋" w:eastAsia="仿宋" w:cs="仿宋"/>
                <w:lang w:eastAsia="zh-CN"/>
              </w:rPr>
              <w:t xml:space="preserve"> 报价为评标基准价，其价格分为满分（报价权</w:t>
            </w:r>
            <w:r>
              <w:rPr>
                <w:rFonts w:ascii="仿宋" w:hAnsi="仿宋" w:eastAsia="仿宋" w:cs="仿宋"/>
                <w:spacing w:val="-1"/>
                <w:lang w:eastAsia="zh-CN"/>
              </w:rPr>
              <w:t>重分）。其他投标人的价格分统一按照下列公式计算：</w:t>
            </w:r>
          </w:p>
          <w:p w14:paraId="6FE9A269">
            <w:pPr>
              <w:keepNext w:val="0"/>
              <w:keepLines w:val="0"/>
              <w:pageBreakBefore w:val="0"/>
              <w:widowControl/>
              <w:wordWrap/>
              <w:overflowPunct/>
              <w:topLinePunct w:val="0"/>
              <w:bidi w:val="0"/>
              <w:spacing w:line="240" w:lineRule="auto"/>
              <w:ind w:left="114"/>
              <w:rPr>
                <w:rFonts w:ascii="仿宋" w:hAnsi="仿宋" w:eastAsia="仿宋" w:cs="仿宋"/>
                <w:lang w:eastAsia="zh-CN"/>
              </w:rPr>
            </w:pPr>
            <w:r>
              <w:rPr>
                <w:rFonts w:ascii="仿宋" w:hAnsi="仿宋" w:eastAsia="仿宋" w:cs="仿宋"/>
                <w:spacing w:val="-2"/>
                <w:lang w:eastAsia="zh-CN"/>
              </w:rPr>
              <w:t>投标报价得分=（评标基准价</w:t>
            </w:r>
            <w:r>
              <w:rPr>
                <w:rFonts w:ascii="仿宋" w:hAnsi="仿宋" w:eastAsia="仿宋" w:cs="仿宋"/>
                <w:spacing w:val="-2"/>
                <w:sz w:val="11"/>
                <w:szCs w:val="11"/>
                <w:lang w:eastAsia="zh-CN"/>
              </w:rPr>
              <w:t>修正或调整</w:t>
            </w:r>
            <w:r>
              <w:rPr>
                <w:rFonts w:ascii="仿宋" w:hAnsi="仿宋" w:eastAsia="仿宋" w:cs="仿宋"/>
                <w:spacing w:val="-2"/>
                <w:lang w:eastAsia="zh-CN"/>
              </w:rPr>
              <w:t>／投标报价</w:t>
            </w:r>
            <w:r>
              <w:rPr>
                <w:rFonts w:ascii="仿宋" w:hAnsi="仿宋" w:eastAsia="仿宋" w:cs="仿宋"/>
                <w:spacing w:val="-2"/>
                <w:sz w:val="11"/>
                <w:szCs w:val="11"/>
                <w:lang w:eastAsia="zh-CN"/>
              </w:rPr>
              <w:t>修正或调整</w:t>
            </w:r>
            <w:r>
              <w:rPr>
                <w:rFonts w:ascii="仿宋" w:hAnsi="仿宋" w:eastAsia="仿宋" w:cs="仿宋"/>
                <w:spacing w:val="-2"/>
                <w:lang w:eastAsia="zh-CN"/>
              </w:rPr>
              <w:t>）×100×报价</w:t>
            </w:r>
            <w:r>
              <w:rPr>
                <w:rFonts w:ascii="仿宋" w:hAnsi="仿宋" w:eastAsia="仿宋" w:cs="仿宋"/>
                <w:spacing w:val="-3"/>
                <w:lang w:eastAsia="zh-CN"/>
              </w:rPr>
              <w:t>权值</w:t>
            </w:r>
          </w:p>
          <w:p w14:paraId="36D67C50">
            <w:pPr>
              <w:keepNext w:val="0"/>
              <w:keepLines w:val="0"/>
              <w:pageBreakBefore w:val="0"/>
              <w:widowControl/>
              <w:wordWrap/>
              <w:overflowPunct/>
              <w:topLinePunct w:val="0"/>
              <w:bidi w:val="0"/>
              <w:spacing w:line="240" w:lineRule="auto"/>
              <w:ind w:left="114"/>
              <w:rPr>
                <w:rFonts w:ascii="仿宋" w:hAnsi="仿宋" w:eastAsia="仿宋" w:cs="仿宋"/>
                <w:b/>
                <w:bCs/>
                <w:spacing w:val="-4"/>
                <w:lang w:eastAsia="zh-CN"/>
              </w:rPr>
            </w:pPr>
            <w:r>
              <w:rPr>
                <w:rFonts w:ascii="仿宋" w:hAnsi="仿宋" w:eastAsia="仿宋" w:cs="仿宋"/>
                <w:b/>
                <w:bCs/>
                <w:spacing w:val="-4"/>
                <w:lang w:eastAsia="zh-CN"/>
              </w:rPr>
              <w:t>注：</w:t>
            </w:r>
          </w:p>
          <w:p w14:paraId="3ACB4D99">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lang w:val="en-US" w:eastAsia="zh-CN"/>
              </w:rPr>
              <w:t>出现下列情形</w:t>
            </w:r>
            <w:r>
              <w:rPr>
                <w:rFonts w:hint="eastAsia" w:ascii="仿宋" w:hAnsi="仿宋" w:eastAsia="仿宋" w:cs="仿宋"/>
                <w:color w:val="auto"/>
                <w:spacing w:val="-2"/>
                <w:highlight w:val="none"/>
                <w:lang w:val="en-US" w:eastAsia="zh-CN"/>
              </w:rPr>
              <w:t xml:space="preserve">之一的，评审委员会应当启动异常低价投标（响应）审查程序： </w:t>
            </w:r>
          </w:p>
          <w:p w14:paraId="5C642553">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highlight w:val="none"/>
                <w:lang w:val="en-US" w:eastAsia="zh-CN"/>
              </w:rPr>
              <w:t xml:space="preserve">1.投标（响应）报价低于全部通过符合性审查供应商投标（响应）报价平均值 65% 的，即投标（响应）报价&lt;全部通过符合性审查供应商投标（响应）报价平均值×65%； </w:t>
            </w:r>
          </w:p>
          <w:p w14:paraId="21882967">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highlight w:val="none"/>
                <w:lang w:val="en-US" w:eastAsia="zh-CN"/>
              </w:rPr>
              <w:t xml:space="preserve">2.投标（响应）报价低于通过符合性审查的次低报价供应商投标（响应）报价 65%的，即投标（响应）报价&lt;通过符合性审查的次低报价供应商投标（响应）报价×65%； </w:t>
            </w:r>
          </w:p>
          <w:p w14:paraId="0416083D">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highlight w:val="none"/>
                <w:lang w:val="en-US" w:eastAsia="zh-CN"/>
              </w:rPr>
              <w:t xml:space="preserve">3.投标（响应）报价低于采购项目最高限价65%的，即投标（响应）报价&lt;采购项目最高限价×65%； </w:t>
            </w:r>
          </w:p>
          <w:p w14:paraId="14A2C822">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highlight w:val="none"/>
                <w:lang w:val="en-US" w:eastAsia="zh-CN"/>
              </w:rPr>
              <w:t xml:space="preserve">4.评审委员会基于专业判断，认为供应商报价过低，有可能影响产品质量或者不能诚信履约的其他情形。 </w:t>
            </w:r>
          </w:p>
          <w:p w14:paraId="4D7D713C">
            <w:pPr>
              <w:keepNext w:val="0"/>
              <w:keepLines w:val="0"/>
              <w:pageBreakBefore w:val="0"/>
              <w:widowControl/>
              <w:wordWrap/>
              <w:overflowPunct/>
              <w:topLinePunct w:val="0"/>
              <w:bidi w:val="0"/>
              <w:spacing w:line="240" w:lineRule="auto"/>
              <w:ind w:left="114"/>
              <w:rPr>
                <w:rFonts w:ascii="仿宋" w:hAnsi="仿宋" w:eastAsia="仿宋" w:cs="仿宋"/>
                <w:color w:val="auto"/>
                <w:spacing w:val="-2"/>
                <w:highlight w:val="none"/>
                <w:lang w:eastAsia="zh-CN"/>
              </w:rPr>
            </w:pPr>
            <w:r>
              <w:rPr>
                <w:rFonts w:hint="eastAsia" w:ascii="仿宋" w:hAnsi="仿宋" w:eastAsia="仿宋" w:cs="仿宋"/>
                <w:color w:val="auto"/>
                <w:spacing w:val="-2"/>
                <w:highlight w:val="none"/>
                <w:lang w:val="en-US" w:eastAsia="zh-CN"/>
              </w:rPr>
              <w:t xml:space="preserve">相关法律法规对供应商报价有规定的，从其规定。 </w:t>
            </w:r>
          </w:p>
          <w:p w14:paraId="7D5DD7A6">
            <w:pPr>
              <w:keepNext w:val="0"/>
              <w:keepLines w:val="0"/>
              <w:pageBreakBefore w:val="0"/>
              <w:widowControl/>
              <w:wordWrap/>
              <w:overflowPunct/>
              <w:topLinePunct w:val="0"/>
              <w:bidi w:val="0"/>
              <w:spacing w:line="240" w:lineRule="auto"/>
              <w:ind w:left="114" w:firstLine="412" w:firstLineChars="200"/>
              <w:rPr>
                <w:rFonts w:ascii="仿宋" w:hAnsi="仿宋" w:eastAsia="仿宋" w:cs="仿宋"/>
                <w:spacing w:val="-2"/>
                <w:lang w:eastAsia="zh-CN"/>
              </w:rPr>
            </w:pPr>
            <w:r>
              <w:rPr>
                <w:rFonts w:hint="eastAsia" w:ascii="仿宋" w:hAnsi="仿宋" w:eastAsia="仿宋" w:cs="仿宋"/>
                <w:color w:val="auto"/>
                <w:spacing w:val="-2"/>
                <w:highlight w:val="none"/>
                <w:lang w:val="en-US" w:eastAsia="zh-CN"/>
              </w:rPr>
              <w:t>评审委员会启动异常低价投标（响应）审查后，属于前述第 1 项至第 4 项情形的，应当要求相关供应商在评审现场合理的时间</w:t>
            </w:r>
            <w:r>
              <w:rPr>
                <w:rFonts w:hint="eastAsia" w:ascii="仿宋" w:hAnsi="仿宋" w:eastAsia="仿宋" w:cs="仿宋"/>
                <w:color w:val="auto"/>
                <w:spacing w:val="-2"/>
                <w:lang w:val="en-US" w:eastAsia="zh-CN"/>
              </w:rPr>
              <w:t>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5468A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2" w:type="dxa"/>
            <w:vMerge w:val="continue"/>
            <w:tcBorders>
              <w:top w:val="nil"/>
            </w:tcBorders>
          </w:tcPr>
          <w:p w14:paraId="2938143F">
            <w:pPr>
              <w:keepNext w:val="0"/>
              <w:keepLines w:val="0"/>
              <w:pageBreakBefore w:val="0"/>
              <w:widowControl/>
              <w:wordWrap/>
              <w:overflowPunct/>
              <w:topLinePunct w:val="0"/>
              <w:bidi w:val="0"/>
              <w:spacing w:line="240" w:lineRule="auto"/>
              <w:rPr>
                <w:lang w:eastAsia="zh-CN"/>
              </w:rPr>
            </w:pPr>
          </w:p>
        </w:tc>
        <w:tc>
          <w:tcPr>
            <w:tcW w:w="2040" w:type="dxa"/>
            <w:vMerge w:val="continue"/>
            <w:tcBorders>
              <w:top w:val="nil"/>
            </w:tcBorders>
          </w:tcPr>
          <w:p w14:paraId="6AA90942">
            <w:pPr>
              <w:keepNext w:val="0"/>
              <w:keepLines w:val="0"/>
              <w:pageBreakBefore w:val="0"/>
              <w:widowControl/>
              <w:wordWrap/>
              <w:overflowPunct/>
              <w:topLinePunct w:val="0"/>
              <w:bidi w:val="0"/>
              <w:spacing w:line="240" w:lineRule="auto"/>
              <w:rPr>
                <w:lang w:eastAsia="zh-CN"/>
              </w:rPr>
            </w:pPr>
          </w:p>
        </w:tc>
        <w:tc>
          <w:tcPr>
            <w:tcW w:w="7458" w:type="dxa"/>
            <w:tcBorders>
              <w:top w:val="single" w:color="000000" w:sz="4" w:space="0"/>
            </w:tcBorders>
          </w:tcPr>
          <w:p w14:paraId="62EE2230">
            <w:pPr>
              <w:keepNext w:val="0"/>
              <w:keepLines w:val="0"/>
              <w:pageBreakBefore w:val="0"/>
              <w:widowControl/>
              <w:wordWrap/>
              <w:overflowPunct/>
              <w:topLinePunct w:val="0"/>
              <w:bidi w:val="0"/>
              <w:spacing w:before="150" w:line="240" w:lineRule="auto"/>
              <w:ind w:left="119"/>
              <w:rPr>
                <w:rFonts w:ascii="仿宋" w:hAnsi="仿宋" w:eastAsia="仿宋" w:cs="仿宋"/>
                <w:b/>
                <w:bCs/>
                <w:lang w:eastAsia="zh-CN"/>
              </w:rPr>
            </w:pPr>
            <w:r>
              <w:rPr>
                <w:rFonts w:hint="eastAsia" w:ascii="仿宋" w:hAnsi="仿宋" w:eastAsia="仿宋" w:cs="仿宋"/>
                <w:b/>
                <w:bCs/>
                <w:spacing w:val="-3"/>
                <w:lang w:eastAsia="zh-CN"/>
              </w:rPr>
              <w:t>一、</w:t>
            </w:r>
            <w:r>
              <w:rPr>
                <w:rFonts w:ascii="仿宋" w:hAnsi="仿宋" w:eastAsia="仿宋" w:cs="仿宋"/>
                <w:b/>
                <w:bCs/>
                <w:spacing w:val="-3"/>
                <w:lang w:eastAsia="zh-CN"/>
              </w:rPr>
              <w:t>非专门面向中小企业采购</w:t>
            </w:r>
            <w:r>
              <w:rPr>
                <w:rFonts w:hint="eastAsia" w:ascii="仿宋" w:hAnsi="仿宋" w:eastAsia="仿宋" w:cs="仿宋"/>
                <w:b/>
                <w:bCs/>
                <w:spacing w:val="-3"/>
                <w:lang w:eastAsia="zh-CN"/>
              </w:rPr>
              <w:t>政策</w:t>
            </w:r>
          </w:p>
          <w:p w14:paraId="2D0792F6">
            <w:pPr>
              <w:keepNext w:val="0"/>
              <w:keepLines w:val="0"/>
              <w:pageBreakBefore w:val="0"/>
              <w:widowControl/>
              <w:wordWrap/>
              <w:overflowPunct/>
              <w:topLinePunct w:val="0"/>
              <w:bidi w:val="0"/>
              <w:spacing w:before="156" w:line="240" w:lineRule="auto"/>
              <w:ind w:left="117" w:right="58" w:hanging="1"/>
              <w:jc w:val="both"/>
              <w:rPr>
                <w:rFonts w:ascii="仿宋" w:hAnsi="仿宋" w:eastAsia="仿宋" w:cs="仿宋"/>
                <w:lang w:eastAsia="zh-CN"/>
              </w:rPr>
            </w:pPr>
            <w:r>
              <w:rPr>
                <w:rFonts w:ascii="仿宋" w:hAnsi="仿宋" w:eastAsia="仿宋" w:cs="仿宋"/>
                <w:spacing w:val="-1"/>
                <w:lang w:eastAsia="zh-CN"/>
              </w:rPr>
              <w:t>本项目对应的中小企业划分标准所属行业为：工业。从业人员1000 人以下或</w:t>
            </w:r>
            <w:r>
              <w:rPr>
                <w:rFonts w:ascii="仿宋" w:hAnsi="仿宋" w:eastAsia="仿宋" w:cs="仿宋"/>
                <w:spacing w:val="-4"/>
                <w:lang w:eastAsia="zh-CN"/>
              </w:rPr>
              <w:t>营业收入 40000 万元以下的为中小微型企业。其中，从业人员 300 人及以上，</w:t>
            </w:r>
            <w:r>
              <w:rPr>
                <w:rFonts w:ascii="仿宋" w:hAnsi="仿宋" w:eastAsia="仿宋" w:cs="仿宋"/>
                <w:spacing w:val="-1"/>
                <w:lang w:eastAsia="zh-CN"/>
              </w:rPr>
              <w:t>且营业收入 2000 万元及以上的为中型企业；从业人员 20人及以上，且营业</w:t>
            </w:r>
            <w:r>
              <w:rPr>
                <w:rFonts w:ascii="仿宋" w:hAnsi="仿宋" w:eastAsia="仿宋" w:cs="仿宋"/>
                <w:spacing w:val="-2"/>
                <w:lang w:eastAsia="zh-CN"/>
              </w:rPr>
              <w:t>收入 300 万元及以上的为小型企业；从业人员 20人以下或营业收入300万</w:t>
            </w:r>
            <w:r>
              <w:rPr>
                <w:rFonts w:ascii="仿宋" w:hAnsi="仿宋" w:eastAsia="仿宋" w:cs="仿宋"/>
                <w:spacing w:val="-6"/>
                <w:lang w:eastAsia="zh-CN"/>
              </w:rPr>
              <w:t>元以下的为微型企业。</w:t>
            </w:r>
          </w:p>
          <w:p w14:paraId="3E35ADEB">
            <w:pPr>
              <w:keepNext w:val="0"/>
              <w:keepLines w:val="0"/>
              <w:pageBreakBefore w:val="0"/>
              <w:widowControl/>
              <w:wordWrap/>
              <w:overflowPunct/>
              <w:topLinePunct w:val="0"/>
              <w:bidi w:val="0"/>
              <w:spacing w:before="164" w:line="240" w:lineRule="auto"/>
              <w:ind w:left="116"/>
              <w:rPr>
                <w:rFonts w:ascii="仿宋" w:hAnsi="仿宋" w:eastAsia="仿宋" w:cs="仿宋"/>
                <w:lang w:eastAsia="zh-CN"/>
              </w:rPr>
            </w:pPr>
            <w:r>
              <w:rPr>
                <w:rFonts w:ascii="仿宋" w:hAnsi="仿宋" w:eastAsia="仿宋" w:cs="仿宋"/>
                <w:spacing w:val="-6"/>
                <w:lang w:eastAsia="zh-CN"/>
              </w:rPr>
              <w:t>1、按照《政府采购促进中小企业发展管理办法》（财库〔2020〕46号）和《湖</w:t>
            </w:r>
            <w:r>
              <w:rPr>
                <w:rFonts w:ascii="仿宋" w:hAnsi="仿宋" w:eastAsia="仿宋" w:cs="仿宋"/>
                <w:spacing w:val="-1"/>
                <w:lang w:eastAsia="zh-CN"/>
              </w:rPr>
              <w:t>南省财政厅关于政府采购促进中小企业发展的有关措施的通知》的规定，供应</w:t>
            </w:r>
            <w:r>
              <w:rPr>
                <w:rFonts w:ascii="仿宋" w:hAnsi="仿宋" w:eastAsia="仿宋" w:cs="仿宋"/>
                <w:lang w:eastAsia="zh-CN"/>
              </w:rPr>
              <w:t>商提供的货物全部由符合政策要求的中小企业提供的</w:t>
            </w:r>
            <w:r>
              <w:rPr>
                <w:rFonts w:ascii="仿宋" w:hAnsi="仿宋" w:eastAsia="仿宋" w:cs="仿宋"/>
                <w:spacing w:val="-1"/>
                <w:lang w:eastAsia="zh-CN"/>
              </w:rPr>
              <w:t>，</w:t>
            </w:r>
            <w:r>
              <w:rPr>
                <w:rFonts w:ascii="仿宋" w:hAnsi="仿宋" w:eastAsia="仿宋" w:cs="仿宋"/>
                <w:b/>
                <w:bCs/>
                <w:spacing w:val="-1"/>
                <w:lang w:eastAsia="zh-CN"/>
              </w:rPr>
              <w:t>本项目对小微企业的报</w:t>
            </w:r>
            <w:r>
              <w:rPr>
                <w:rFonts w:ascii="仿宋" w:hAnsi="仿宋" w:eastAsia="仿宋" w:cs="仿宋"/>
                <w:b/>
                <w:bCs/>
                <w:spacing w:val="-3"/>
                <w:lang w:eastAsia="zh-CN"/>
              </w:rPr>
              <w:t>价给予10%的扣除，用扣除后的价格参加评审。</w:t>
            </w:r>
          </w:p>
          <w:p w14:paraId="6A3D6796">
            <w:pPr>
              <w:keepNext w:val="0"/>
              <w:keepLines w:val="0"/>
              <w:pageBreakBefore w:val="0"/>
              <w:widowControl/>
              <w:wordWrap/>
              <w:overflowPunct/>
              <w:topLinePunct w:val="0"/>
              <w:bidi w:val="0"/>
              <w:spacing w:before="155" w:line="240" w:lineRule="auto"/>
              <w:ind w:left="117" w:right="115" w:hanging="6"/>
              <w:rPr>
                <w:rFonts w:ascii="仿宋" w:hAnsi="仿宋" w:eastAsia="仿宋" w:cs="仿宋"/>
                <w:b/>
                <w:bCs/>
                <w:lang w:eastAsia="zh-CN"/>
              </w:rPr>
            </w:pPr>
            <w:r>
              <w:rPr>
                <w:rFonts w:ascii="仿宋" w:hAnsi="仿宋" w:eastAsia="仿宋" w:cs="仿宋"/>
                <w:spacing w:val="-9"/>
                <w:lang w:eastAsia="zh-CN"/>
              </w:rPr>
              <w:t>2、按照《财政部、司法部关于政府采购支持监狱企业发展</w:t>
            </w:r>
            <w:r>
              <w:rPr>
                <w:rFonts w:ascii="仿宋" w:hAnsi="仿宋" w:eastAsia="仿宋" w:cs="仿宋"/>
                <w:spacing w:val="-10"/>
                <w:lang w:eastAsia="zh-CN"/>
              </w:rPr>
              <w:t>有关问题的通知》（财</w:t>
            </w:r>
            <w:r>
              <w:rPr>
                <w:rFonts w:ascii="仿宋" w:hAnsi="仿宋" w:eastAsia="仿宋" w:cs="仿宋"/>
                <w:spacing w:val="-3"/>
                <w:lang w:eastAsia="zh-CN"/>
              </w:rPr>
              <w:t>库〔2014〕68 号）的规定，监狱企业视同小型、微型企业，享受预留份额、评</w:t>
            </w:r>
            <w:r>
              <w:rPr>
                <w:rFonts w:ascii="仿宋" w:hAnsi="仿宋" w:eastAsia="仿宋" w:cs="仿宋"/>
                <w:lang w:eastAsia="zh-CN"/>
              </w:rPr>
              <w:t>审中价格扣除等促进中小企业发展的政府采购政策。监狱企业参</w:t>
            </w:r>
            <w:r>
              <w:rPr>
                <w:rFonts w:ascii="仿宋" w:hAnsi="仿宋" w:eastAsia="仿宋" w:cs="仿宋"/>
                <w:spacing w:val="-1"/>
                <w:lang w:eastAsia="zh-CN"/>
              </w:rPr>
              <w:t>加政府采购活动时，应当提供由省级以上监狱管理局、戒毒管理局（含新疆生产建设兵团）</w:t>
            </w:r>
            <w:r>
              <w:rPr>
                <w:rFonts w:ascii="仿宋" w:hAnsi="仿宋" w:eastAsia="仿宋" w:cs="仿宋"/>
                <w:spacing w:val="-5"/>
                <w:lang w:eastAsia="zh-CN"/>
              </w:rPr>
              <w:t>出具的属于监狱企业的证明文件，</w:t>
            </w:r>
            <w:r>
              <w:rPr>
                <w:rFonts w:ascii="仿宋" w:hAnsi="仿宋" w:eastAsia="仿宋" w:cs="仿宋"/>
                <w:b/>
                <w:bCs/>
                <w:spacing w:val="-5"/>
                <w:lang w:eastAsia="zh-CN"/>
              </w:rPr>
              <w:t>本项目对监狱企业的报价给予10%</w:t>
            </w:r>
            <w:r>
              <w:rPr>
                <w:rFonts w:ascii="仿宋" w:hAnsi="仿宋" w:eastAsia="仿宋" w:cs="仿宋"/>
                <w:b/>
                <w:bCs/>
                <w:spacing w:val="-6"/>
                <w:lang w:eastAsia="zh-CN"/>
              </w:rPr>
              <w:t>的扣除，用</w:t>
            </w:r>
            <w:r>
              <w:rPr>
                <w:rFonts w:ascii="仿宋" w:hAnsi="仿宋" w:eastAsia="仿宋" w:cs="仿宋"/>
                <w:b/>
                <w:bCs/>
                <w:spacing w:val="-5"/>
                <w:lang w:eastAsia="zh-CN"/>
              </w:rPr>
              <w:t>扣除后的价格参加评审。</w:t>
            </w:r>
          </w:p>
          <w:p w14:paraId="6852C0D1">
            <w:pPr>
              <w:keepNext w:val="0"/>
              <w:keepLines w:val="0"/>
              <w:pageBreakBefore w:val="0"/>
              <w:widowControl/>
              <w:wordWrap/>
              <w:overflowPunct/>
              <w:topLinePunct w:val="0"/>
              <w:bidi w:val="0"/>
              <w:spacing w:before="156" w:line="240" w:lineRule="auto"/>
              <w:ind w:left="116" w:right="86" w:hanging="3"/>
              <w:rPr>
                <w:rFonts w:ascii="仿宋" w:hAnsi="仿宋" w:eastAsia="仿宋" w:cs="仿宋"/>
                <w:b/>
                <w:bCs/>
                <w:lang w:eastAsia="zh-CN"/>
              </w:rPr>
            </w:pPr>
            <w:r>
              <w:rPr>
                <w:rFonts w:ascii="仿宋" w:hAnsi="仿宋" w:eastAsia="仿宋" w:cs="仿宋"/>
                <w:spacing w:val="-2"/>
                <w:lang w:eastAsia="zh-CN"/>
              </w:rPr>
              <w:t>3、按照《关于促进残疾人就业政府采购政策的通知》（财库〔2017〕141 号）</w:t>
            </w:r>
            <w:r>
              <w:rPr>
                <w:rFonts w:ascii="仿宋" w:hAnsi="仿宋" w:eastAsia="仿宋" w:cs="仿宋"/>
                <w:lang w:eastAsia="zh-CN"/>
              </w:rPr>
              <w:t>的规定，残疾人福利性单位视同小型、微型企业，享受预留份额、评</w:t>
            </w:r>
            <w:r>
              <w:rPr>
                <w:rFonts w:ascii="仿宋" w:hAnsi="仿宋" w:eastAsia="仿宋" w:cs="仿宋"/>
                <w:spacing w:val="-1"/>
                <w:lang w:eastAsia="zh-CN"/>
              </w:rPr>
              <w:t>审中价格</w:t>
            </w:r>
            <w:r>
              <w:rPr>
                <w:rFonts w:ascii="仿宋" w:hAnsi="仿宋" w:eastAsia="仿宋" w:cs="仿宋"/>
                <w:lang w:eastAsia="zh-CN"/>
              </w:rPr>
              <w:t xml:space="preserve">  扣除等促进中小企业发展的政府采购政策。残疾人福利性单位参加政</w:t>
            </w:r>
            <w:r>
              <w:rPr>
                <w:rFonts w:ascii="仿宋" w:hAnsi="仿宋" w:eastAsia="仿宋" w:cs="仿宋"/>
                <w:spacing w:val="-1"/>
                <w:lang w:eastAsia="zh-CN"/>
              </w:rPr>
              <w:t>府采购活</w:t>
            </w:r>
            <w:r>
              <w:rPr>
                <w:rFonts w:ascii="仿宋" w:hAnsi="仿宋" w:eastAsia="仿宋" w:cs="仿宋"/>
                <w:lang w:eastAsia="zh-CN"/>
              </w:rPr>
              <w:t xml:space="preserve">  动时，应当提供该通知规定的《残疾人福利性单位声明函》，</w:t>
            </w:r>
            <w:r>
              <w:rPr>
                <w:rFonts w:ascii="仿宋" w:hAnsi="仿宋" w:eastAsia="仿宋" w:cs="仿宋"/>
                <w:b/>
                <w:bCs/>
                <w:lang w:eastAsia="zh-CN"/>
              </w:rPr>
              <w:t>本项目对</w:t>
            </w:r>
            <w:r>
              <w:rPr>
                <w:rFonts w:ascii="仿宋" w:hAnsi="仿宋" w:eastAsia="仿宋" w:cs="仿宋"/>
                <w:b/>
                <w:bCs/>
                <w:spacing w:val="-1"/>
                <w:lang w:eastAsia="zh-CN"/>
              </w:rPr>
              <w:t>残疾人</w:t>
            </w:r>
            <w:r>
              <w:rPr>
                <w:rFonts w:ascii="仿宋" w:hAnsi="仿宋" w:eastAsia="仿宋" w:cs="仿宋"/>
                <w:b/>
                <w:bCs/>
                <w:spacing w:val="-4"/>
                <w:lang w:eastAsia="zh-CN"/>
              </w:rPr>
              <w:t>福利性单位的报价给予10%的扣除，用扣除后的价格参加评审。</w:t>
            </w:r>
          </w:p>
          <w:p w14:paraId="51A90905">
            <w:pPr>
              <w:keepNext w:val="0"/>
              <w:keepLines w:val="0"/>
              <w:pageBreakBefore w:val="0"/>
              <w:widowControl/>
              <w:wordWrap/>
              <w:overflowPunct/>
              <w:topLinePunct w:val="0"/>
              <w:bidi w:val="0"/>
              <w:spacing w:before="2" w:line="240" w:lineRule="auto"/>
              <w:ind w:left="123" w:right="124" w:firstLine="1"/>
              <w:jc w:val="both"/>
              <w:rPr>
                <w:rFonts w:ascii="仿宋" w:hAnsi="仿宋" w:eastAsia="仿宋" w:cs="仿宋"/>
                <w:spacing w:val="-5"/>
                <w:lang w:eastAsia="zh-CN"/>
              </w:rPr>
            </w:pPr>
            <w:r>
              <w:rPr>
                <w:rFonts w:ascii="仿宋" w:hAnsi="仿宋" w:eastAsia="仿宋" w:cs="仿宋"/>
                <w:spacing w:val="-3"/>
                <w:lang w:eastAsia="zh-CN"/>
              </w:rPr>
              <w:t>注：投标人同时符合小型、 微型企业及监狱企业、残疾人福利性单位要</w:t>
            </w:r>
            <w:r>
              <w:rPr>
                <w:rFonts w:ascii="仿宋" w:hAnsi="仿宋" w:eastAsia="仿宋" w:cs="仿宋"/>
                <w:spacing w:val="-4"/>
                <w:lang w:eastAsia="zh-CN"/>
              </w:rPr>
              <w:t>求的，</w:t>
            </w:r>
            <w:r>
              <w:rPr>
                <w:rFonts w:ascii="仿宋" w:hAnsi="仿宋" w:eastAsia="仿宋" w:cs="仿宋"/>
                <w:lang w:eastAsia="zh-CN"/>
              </w:rPr>
              <w:t xml:space="preserve"> 评审时只有一种类型享受价格评审优惠政策（投标人自行选择，并在</w:t>
            </w:r>
            <w:r>
              <w:rPr>
                <w:rFonts w:ascii="仿宋" w:hAnsi="仿宋" w:eastAsia="仿宋" w:cs="仿宋"/>
                <w:spacing w:val="-1"/>
                <w:lang w:eastAsia="zh-CN"/>
              </w:rPr>
              <w:t>投标文件</w:t>
            </w:r>
            <w:r>
              <w:rPr>
                <w:rFonts w:ascii="仿宋" w:hAnsi="仿宋" w:eastAsia="仿宋" w:cs="仿宋"/>
                <w:spacing w:val="-5"/>
                <w:lang w:eastAsia="zh-CN"/>
              </w:rPr>
              <w:t>中填报相关信息及数据）。</w:t>
            </w:r>
          </w:p>
          <w:p w14:paraId="2C271B28">
            <w:pPr>
              <w:keepNext w:val="0"/>
              <w:keepLines w:val="0"/>
              <w:pageBreakBefore w:val="0"/>
              <w:widowControl/>
              <w:numPr>
                <w:ilvl w:val="0"/>
                <w:numId w:val="1"/>
              </w:numPr>
              <w:wordWrap/>
              <w:overflowPunct/>
              <w:topLinePunct w:val="0"/>
              <w:bidi w:val="0"/>
              <w:spacing w:before="2" w:line="240" w:lineRule="auto"/>
              <w:ind w:left="123" w:right="124" w:firstLine="1"/>
              <w:jc w:val="both"/>
              <w:rPr>
                <w:rFonts w:hint="eastAsia" w:ascii="仿宋" w:hAnsi="仿宋" w:eastAsia="仿宋" w:cs="仿宋"/>
                <w:b/>
                <w:bCs/>
                <w:spacing w:val="-3"/>
                <w:lang w:eastAsia="zh-CN"/>
              </w:rPr>
            </w:pPr>
            <w:r>
              <w:rPr>
                <w:rFonts w:hint="eastAsia" w:ascii="仿宋" w:hAnsi="仿宋" w:eastAsia="仿宋" w:cs="仿宋"/>
                <w:b/>
                <w:bCs/>
                <w:spacing w:val="-3"/>
                <w:lang w:eastAsia="zh-CN"/>
              </w:rPr>
              <w:t>采购本国产品政策</w:t>
            </w:r>
          </w:p>
          <w:p w14:paraId="1F6B8045">
            <w:pPr>
              <w:keepNext w:val="0"/>
              <w:keepLines w:val="0"/>
              <w:pageBreakBefore w:val="0"/>
              <w:widowControl/>
              <w:wordWrap/>
              <w:overflowPunct/>
              <w:topLinePunct w:val="0"/>
              <w:bidi w:val="0"/>
              <w:spacing w:before="2" w:line="240" w:lineRule="auto"/>
              <w:ind w:left="123" w:right="124" w:firstLine="1"/>
              <w:jc w:val="both"/>
              <w:rPr>
                <w:rFonts w:hint="eastAsia" w:ascii="仿宋" w:hAnsi="仿宋" w:eastAsia="仿宋" w:cs="仿宋"/>
                <w:spacing w:val="-3"/>
                <w:lang w:val="en-US" w:eastAsia="zh-CN"/>
              </w:rPr>
            </w:pPr>
            <w:r>
              <w:rPr>
                <w:rFonts w:hint="eastAsia" w:ascii="仿宋" w:hAnsi="仿宋" w:eastAsia="仿宋" w:cs="仿宋"/>
                <w:spacing w:val="-3"/>
                <w:lang w:val="en-US" w:eastAsia="zh-CN"/>
              </w:rPr>
              <w:t>1、本国产品要求详见《国务院办公厅关于在政府采购中实施本国产品标准及相关政策的通知》（国办发〔</w:t>
            </w:r>
            <w:r>
              <w:rPr>
                <w:rFonts w:ascii="仿宋" w:hAnsi="仿宋" w:eastAsia="仿宋" w:cs="仿宋"/>
                <w:spacing w:val="-3"/>
                <w:lang w:val="en-US" w:eastAsia="zh-CN"/>
              </w:rPr>
              <w:t>2025</w:t>
            </w:r>
            <w:r>
              <w:rPr>
                <w:rFonts w:hint="eastAsia" w:ascii="仿宋" w:hAnsi="仿宋" w:eastAsia="仿宋" w:cs="仿宋"/>
                <w:spacing w:val="-3"/>
                <w:lang w:val="en-US" w:eastAsia="zh-CN"/>
              </w:rPr>
              <w:t>〕</w:t>
            </w:r>
            <w:r>
              <w:rPr>
                <w:rFonts w:hint="default" w:ascii="仿宋" w:hAnsi="仿宋" w:eastAsia="仿宋" w:cs="仿宋"/>
                <w:spacing w:val="-3"/>
                <w:lang w:val="en-US" w:eastAsia="zh-CN"/>
              </w:rPr>
              <w:t>34</w:t>
            </w:r>
            <w:r>
              <w:rPr>
                <w:rFonts w:hint="eastAsia" w:ascii="仿宋" w:hAnsi="仿宋" w:eastAsia="仿宋" w:cs="仿宋"/>
                <w:spacing w:val="-3"/>
                <w:lang w:val="en-US" w:eastAsia="zh-CN"/>
              </w:rPr>
              <w:t xml:space="preserve">号）。 </w:t>
            </w:r>
          </w:p>
          <w:p w14:paraId="358E30E6">
            <w:pPr>
              <w:keepNext w:val="0"/>
              <w:keepLines w:val="0"/>
              <w:pageBreakBefore w:val="0"/>
              <w:widowControl/>
              <w:wordWrap/>
              <w:overflowPunct/>
              <w:topLinePunct w:val="0"/>
              <w:bidi w:val="0"/>
              <w:spacing w:before="2" w:line="240" w:lineRule="auto"/>
              <w:ind w:left="123" w:right="124" w:firstLine="1"/>
              <w:jc w:val="both"/>
              <w:rPr>
                <w:rFonts w:hint="eastAsia" w:ascii="仿宋" w:hAnsi="仿宋" w:eastAsia="仿宋" w:cs="仿宋"/>
                <w:spacing w:val="-3"/>
                <w:lang w:val="en-US" w:eastAsia="zh-CN"/>
              </w:rPr>
            </w:pPr>
            <w:r>
              <w:rPr>
                <w:rFonts w:hint="eastAsia" w:ascii="仿宋" w:hAnsi="仿宋" w:eastAsia="仿宋" w:cs="仿宋"/>
                <w:spacing w:val="-3"/>
                <w:lang w:val="en-US" w:eastAsia="zh-CN"/>
              </w:rPr>
              <w:t>2、本国产品标准适用于货物，包括政府采购货物项目和服务项目中涉及的货物。适用本国产品标准的货物具体是指《政府采购品目分类目录》（</w:t>
            </w:r>
            <w:r>
              <w:rPr>
                <w:rFonts w:hint="default" w:ascii="仿宋" w:hAnsi="仿宋" w:eastAsia="仿宋" w:cs="仿宋"/>
                <w:spacing w:val="-3"/>
                <w:lang w:val="en-US" w:eastAsia="zh-CN"/>
              </w:rPr>
              <w:t>2022</w:t>
            </w:r>
            <w:r>
              <w:rPr>
                <w:rFonts w:hint="eastAsia" w:ascii="仿宋" w:hAnsi="仿宋" w:eastAsia="仿宋" w:cs="仿宋"/>
                <w:spacing w:val="-3"/>
                <w:lang w:val="en-US" w:eastAsia="zh-CN"/>
              </w:rPr>
              <w:t>年版）中的货物类产品，但不包括其中的房屋和构筑物，文物和陈列品，图书和档案，特种动植物，农林牧渔业产品，矿与矿物，电力、城市燃气、蒸汽和热水、水，食品、饮料和烟草原料，无形资产。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b/>
                <w:bCs/>
                <w:spacing w:val="-3"/>
                <w:lang w:val="en-US" w:eastAsia="zh-CN"/>
              </w:rPr>
              <w:t>本项目所有标的均适用于本国产品。</w:t>
            </w:r>
            <w:r>
              <w:rPr>
                <w:rFonts w:hint="eastAsia" w:ascii="仿宋" w:hAnsi="仿宋" w:eastAsia="仿宋" w:cs="仿宋"/>
                <w:spacing w:val="-3"/>
                <w:lang w:val="en-US" w:eastAsia="zh-CN"/>
              </w:rPr>
              <w:t xml:space="preserve"> </w:t>
            </w:r>
          </w:p>
          <w:p w14:paraId="16F90328">
            <w:pPr>
              <w:keepNext w:val="0"/>
              <w:keepLines w:val="0"/>
              <w:pageBreakBefore w:val="0"/>
              <w:widowControl/>
              <w:wordWrap/>
              <w:overflowPunct/>
              <w:topLinePunct w:val="0"/>
              <w:bidi w:val="0"/>
              <w:spacing w:before="2" w:line="240" w:lineRule="auto"/>
              <w:ind w:left="123" w:right="124" w:firstLine="1"/>
              <w:jc w:val="both"/>
              <w:rPr>
                <w:rFonts w:hint="eastAsia" w:ascii="仿宋" w:hAnsi="仿宋" w:eastAsia="仿宋" w:cs="仿宋"/>
                <w:b/>
                <w:bCs/>
                <w:spacing w:val="-3"/>
                <w:lang w:val="en-US" w:eastAsia="zh-CN"/>
              </w:rPr>
            </w:pPr>
            <w:r>
              <w:rPr>
                <w:rFonts w:hint="eastAsia" w:ascii="仿宋" w:hAnsi="仿宋" w:eastAsia="仿宋" w:cs="仿宋"/>
                <w:b/>
                <w:bCs/>
                <w:spacing w:val="-3"/>
                <w:lang w:val="en-US" w:eastAsia="zh-CN"/>
              </w:rPr>
              <w:t>3、</w:t>
            </w:r>
            <w:r>
              <w:rPr>
                <w:rFonts w:hint="eastAsia" w:ascii="仿宋" w:hAnsi="仿宋" w:eastAsia="仿宋" w:cs="仿宋"/>
                <w:b/>
                <w:bCs/>
                <w:snapToGrid w:val="0"/>
                <w:color w:val="000000"/>
                <w:spacing w:val="-3"/>
                <w:kern w:val="0"/>
                <w:sz w:val="21"/>
                <w:szCs w:val="21"/>
                <w:lang w:val="en-US" w:eastAsia="zh-CN" w:bidi="ar-SA"/>
              </w:rPr>
              <w:t>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551DE890">
            <w:pPr>
              <w:keepNext w:val="0"/>
              <w:keepLines w:val="0"/>
              <w:pageBreakBefore w:val="0"/>
              <w:widowControl/>
              <w:wordWrap/>
              <w:overflowPunct/>
              <w:topLinePunct w:val="0"/>
              <w:bidi w:val="0"/>
              <w:spacing w:before="2" w:line="240" w:lineRule="auto"/>
              <w:ind w:left="123" w:right="124" w:firstLine="1"/>
              <w:jc w:val="both"/>
              <w:rPr>
                <w:rFonts w:hint="eastAsia" w:ascii="仿宋" w:hAnsi="仿宋" w:eastAsia="仿宋" w:cs="仿宋"/>
                <w:spacing w:val="-3"/>
                <w:lang w:val="en-US" w:eastAsia="zh-CN"/>
              </w:rPr>
            </w:pPr>
            <w:r>
              <w:rPr>
                <w:rFonts w:hint="eastAsia" w:ascii="仿宋" w:hAnsi="仿宋" w:eastAsia="仿宋" w:cs="仿宋"/>
                <w:spacing w:val="-3"/>
                <w:lang w:val="en-US" w:eastAsia="zh-CN"/>
              </w:rPr>
              <w:t>4、投标人对其提供的产品出具《关于符合本国产品标准的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5E393553">
            <w:pPr>
              <w:keepNext w:val="0"/>
              <w:keepLines w:val="0"/>
              <w:pageBreakBefore w:val="0"/>
              <w:widowControl/>
              <w:wordWrap/>
              <w:overflowPunct/>
              <w:topLinePunct w:val="0"/>
              <w:bidi w:val="0"/>
              <w:spacing w:before="2" w:line="240" w:lineRule="auto"/>
              <w:ind w:left="123" w:right="124" w:firstLine="1"/>
              <w:jc w:val="both"/>
              <w:rPr>
                <w:rFonts w:hint="default" w:ascii="仿宋" w:hAnsi="仿宋" w:eastAsia="仿宋" w:cs="仿宋"/>
                <w:b/>
                <w:bCs/>
                <w:spacing w:val="-3"/>
                <w:lang w:val="en-US" w:eastAsia="zh-CN"/>
              </w:rPr>
            </w:pPr>
            <w:r>
              <w:rPr>
                <w:rFonts w:hint="eastAsia" w:ascii="仿宋" w:hAnsi="仿宋" w:eastAsia="仿宋" w:cs="仿宋"/>
                <w:spacing w:val="-3"/>
                <w:lang w:val="en-US" w:eastAsia="zh-CN"/>
              </w:rPr>
              <w:t>5、根据《国务院办公厅关于在政府采购中实施本国产品标准及相关政策的通知》（国办发〔2025〕34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bCs/>
                <w:spacing w:val="-3"/>
                <w:lang w:val="en-US" w:eastAsia="zh-CN"/>
              </w:rPr>
              <w:t>对于仅有本国产品参与竞争的政府采购项目，本国产品不享受价格扣除评审优惠。</w:t>
            </w:r>
            <w:r>
              <w:rPr>
                <w:rFonts w:hint="eastAsia" w:ascii="仿宋" w:hAnsi="仿宋" w:eastAsia="仿宋" w:cs="仿宋"/>
                <w:spacing w:val="-3"/>
                <w:lang w:val="en-US" w:eastAsia="zh-CN"/>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w:t>
            </w:r>
            <w:r>
              <w:rPr>
                <w:rFonts w:hint="eastAsia" w:ascii="仿宋" w:hAnsi="仿宋" w:eastAsia="仿宋" w:cs="仿宋"/>
                <w:b/>
                <w:bCs/>
                <w:spacing w:val="-3"/>
                <w:lang w:val="en-US" w:eastAsia="zh-CN"/>
              </w:rPr>
              <w:t>对该供应商的产品同时给予支持本国产品和小微企业产品的价格评审优惠</w:t>
            </w:r>
            <w:r>
              <w:rPr>
                <w:rFonts w:hint="eastAsia" w:ascii="仿宋" w:hAnsi="仿宋" w:eastAsia="仿宋" w:cs="仿宋"/>
                <w:spacing w:val="-3"/>
                <w:lang w:val="en-US" w:eastAsia="zh-CN"/>
              </w:rPr>
              <w:t>。相关价格评审扣除优惠，均应该在供应商原始报价基础上计算，用扣除后的价格参与评审。</w:t>
            </w:r>
          </w:p>
        </w:tc>
      </w:tr>
      <w:tr w14:paraId="434FD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672" w:type="dxa"/>
            <w:tcBorders>
              <w:top w:val="single" w:color="000000" w:sz="4" w:space="0"/>
              <w:bottom w:val="single" w:color="000000" w:sz="4" w:space="0"/>
            </w:tcBorders>
          </w:tcPr>
          <w:p w14:paraId="08D05F4B">
            <w:pPr>
              <w:keepNext w:val="0"/>
              <w:keepLines w:val="0"/>
              <w:pageBreakBefore w:val="0"/>
              <w:widowControl/>
              <w:wordWrap/>
              <w:overflowPunct/>
              <w:topLinePunct w:val="0"/>
              <w:bidi w:val="0"/>
              <w:spacing w:line="240" w:lineRule="auto"/>
              <w:rPr>
                <w:lang w:eastAsia="zh-CN"/>
              </w:rPr>
            </w:pPr>
          </w:p>
          <w:p w14:paraId="4507C4F5">
            <w:pPr>
              <w:keepNext w:val="0"/>
              <w:keepLines w:val="0"/>
              <w:pageBreakBefore w:val="0"/>
              <w:widowControl/>
              <w:wordWrap/>
              <w:overflowPunct/>
              <w:topLinePunct w:val="0"/>
              <w:bidi w:val="0"/>
              <w:spacing w:before="69" w:line="240" w:lineRule="auto"/>
              <w:ind w:left="297"/>
              <w:rPr>
                <w:rFonts w:ascii="仿宋" w:hAnsi="仿宋" w:eastAsia="仿宋" w:cs="仿宋"/>
              </w:rPr>
            </w:pPr>
            <w:r>
              <w:rPr>
                <w:rFonts w:ascii="仿宋" w:hAnsi="仿宋" w:eastAsia="仿宋" w:cs="仿宋"/>
              </w:rPr>
              <w:t>2</w:t>
            </w:r>
          </w:p>
        </w:tc>
        <w:tc>
          <w:tcPr>
            <w:tcW w:w="2040" w:type="dxa"/>
            <w:tcBorders>
              <w:top w:val="single" w:color="000000" w:sz="4" w:space="0"/>
              <w:bottom w:val="single" w:color="000000" w:sz="4" w:space="0"/>
            </w:tcBorders>
          </w:tcPr>
          <w:p w14:paraId="2738E131">
            <w:pPr>
              <w:keepNext w:val="0"/>
              <w:keepLines w:val="0"/>
              <w:pageBreakBefore w:val="0"/>
              <w:widowControl/>
              <w:wordWrap/>
              <w:overflowPunct/>
              <w:topLinePunct w:val="0"/>
              <w:bidi w:val="0"/>
              <w:spacing w:before="146" w:line="240" w:lineRule="auto"/>
              <w:ind w:left="609"/>
              <w:rPr>
                <w:rFonts w:ascii="仿宋" w:hAnsi="仿宋" w:eastAsia="仿宋" w:cs="仿宋"/>
                <w:lang w:eastAsia="zh-CN"/>
              </w:rPr>
            </w:pPr>
            <w:r>
              <w:rPr>
                <w:rFonts w:ascii="仿宋" w:hAnsi="仿宋" w:eastAsia="仿宋" w:cs="仿宋"/>
                <w:spacing w:val="-2"/>
                <w:lang w:eastAsia="zh-CN"/>
              </w:rPr>
              <w:t>优先采购</w:t>
            </w:r>
          </w:p>
          <w:p w14:paraId="3A4CA085">
            <w:pPr>
              <w:keepNext w:val="0"/>
              <w:keepLines w:val="0"/>
              <w:pageBreakBefore w:val="0"/>
              <w:widowControl/>
              <w:wordWrap/>
              <w:overflowPunct/>
              <w:topLinePunct w:val="0"/>
              <w:bidi w:val="0"/>
              <w:spacing w:before="149" w:line="240" w:lineRule="auto"/>
              <w:ind w:left="820"/>
              <w:rPr>
                <w:rFonts w:ascii="仿宋" w:hAnsi="仿宋" w:eastAsia="仿宋" w:cs="仿宋"/>
                <w:lang w:eastAsia="zh-CN"/>
              </w:rPr>
            </w:pPr>
            <w:r>
              <w:rPr>
                <w:rFonts w:ascii="仿宋" w:hAnsi="仿宋" w:eastAsia="仿宋" w:cs="仿宋"/>
                <w:spacing w:val="-3"/>
                <w:lang w:eastAsia="zh-CN"/>
              </w:rPr>
              <w:t>加分</w:t>
            </w:r>
          </w:p>
          <w:p w14:paraId="42C1AB52">
            <w:pPr>
              <w:keepNext w:val="0"/>
              <w:keepLines w:val="0"/>
              <w:pageBreakBefore w:val="0"/>
              <w:widowControl/>
              <w:wordWrap/>
              <w:overflowPunct/>
              <w:topLinePunct w:val="0"/>
              <w:bidi w:val="0"/>
              <w:spacing w:before="147" w:line="240" w:lineRule="auto"/>
              <w:ind w:left="413"/>
              <w:rPr>
                <w:rFonts w:ascii="仿宋" w:hAnsi="仿宋" w:eastAsia="仿宋" w:cs="仿宋"/>
                <w:lang w:eastAsia="zh-CN"/>
              </w:rPr>
            </w:pPr>
            <w:r>
              <w:rPr>
                <w:rFonts w:ascii="仿宋" w:hAnsi="仿宋" w:eastAsia="仿宋" w:cs="仿宋"/>
                <w:spacing w:val="-2"/>
                <w:lang w:eastAsia="zh-CN"/>
              </w:rPr>
              <w:t>（F</w:t>
            </w:r>
            <w:r>
              <w:rPr>
                <w:rFonts w:ascii="仿宋" w:hAnsi="仿宋" w:eastAsia="仿宋" w:cs="仿宋"/>
                <w:spacing w:val="-2"/>
                <w:sz w:val="11"/>
                <w:szCs w:val="11"/>
                <w:lang w:eastAsia="zh-CN"/>
              </w:rPr>
              <w:t>优先采购加分</w:t>
            </w:r>
            <w:r>
              <w:rPr>
                <w:rFonts w:ascii="仿宋" w:hAnsi="仿宋" w:eastAsia="仿宋" w:cs="仿宋"/>
                <w:spacing w:val="-2"/>
                <w:lang w:eastAsia="zh-CN"/>
              </w:rPr>
              <w:t>）</w:t>
            </w:r>
          </w:p>
        </w:tc>
        <w:tc>
          <w:tcPr>
            <w:tcW w:w="7458" w:type="dxa"/>
            <w:tcBorders>
              <w:top w:val="single" w:color="000000" w:sz="4" w:space="0"/>
              <w:bottom w:val="single" w:color="000000" w:sz="4" w:space="0"/>
            </w:tcBorders>
          </w:tcPr>
          <w:p w14:paraId="16E719EC">
            <w:pPr>
              <w:keepNext w:val="0"/>
              <w:keepLines w:val="0"/>
              <w:pageBreakBefore w:val="0"/>
              <w:widowControl/>
              <w:wordWrap/>
              <w:overflowPunct/>
              <w:topLinePunct w:val="0"/>
              <w:bidi w:val="0"/>
              <w:spacing w:line="240" w:lineRule="auto"/>
              <w:rPr>
                <w:lang w:eastAsia="zh-CN"/>
              </w:rPr>
            </w:pPr>
          </w:p>
          <w:p w14:paraId="4F8D4C57">
            <w:pPr>
              <w:keepNext w:val="0"/>
              <w:keepLines w:val="0"/>
              <w:pageBreakBefore w:val="0"/>
              <w:widowControl/>
              <w:wordWrap/>
              <w:overflowPunct/>
              <w:topLinePunct w:val="0"/>
              <w:bidi w:val="0"/>
              <w:spacing w:before="68" w:line="240" w:lineRule="auto"/>
              <w:ind w:left="124"/>
              <w:rPr>
                <w:rFonts w:ascii="仿宋" w:hAnsi="仿宋" w:eastAsia="仿宋" w:cs="仿宋"/>
                <w:lang w:eastAsia="zh-CN"/>
              </w:rPr>
            </w:pPr>
            <w:r>
              <w:rPr>
                <w:rFonts w:ascii="仿宋" w:hAnsi="仿宋" w:eastAsia="仿宋" w:cs="仿宋"/>
                <w:spacing w:val="-2"/>
                <w:lang w:eastAsia="zh-CN"/>
              </w:rPr>
              <w:t>1、非强制采购节能产品:给予价格评价项</w:t>
            </w:r>
            <w:r>
              <w:rPr>
                <w:rFonts w:hint="eastAsia" w:ascii="仿宋" w:hAnsi="仿宋" w:eastAsia="仿宋" w:cs="仿宋"/>
                <w:spacing w:val="-2"/>
                <w:lang w:eastAsia="zh-CN"/>
              </w:rPr>
              <w:t>总分值</w:t>
            </w:r>
            <w:r>
              <w:rPr>
                <w:rFonts w:ascii="仿宋" w:hAnsi="仿宋" w:eastAsia="仿宋" w:cs="仿宋"/>
                <w:spacing w:val="-2"/>
                <w:u w:val="single"/>
                <w:lang w:eastAsia="zh-CN"/>
              </w:rPr>
              <w:t xml:space="preserve"> 4 </w:t>
            </w:r>
            <w:r>
              <w:rPr>
                <w:rFonts w:ascii="仿宋" w:hAnsi="仿宋" w:eastAsia="仿宋" w:cs="仿宋"/>
                <w:spacing w:val="-2"/>
                <w:lang w:eastAsia="zh-CN"/>
              </w:rPr>
              <w:t>%的加分；</w:t>
            </w:r>
          </w:p>
          <w:p w14:paraId="6FF3E55B">
            <w:pPr>
              <w:keepNext w:val="0"/>
              <w:keepLines w:val="0"/>
              <w:pageBreakBefore w:val="0"/>
              <w:widowControl/>
              <w:wordWrap/>
              <w:overflowPunct/>
              <w:topLinePunct w:val="0"/>
              <w:bidi w:val="0"/>
              <w:spacing w:before="154" w:line="240" w:lineRule="auto"/>
              <w:ind w:left="111"/>
              <w:rPr>
                <w:rFonts w:ascii="仿宋" w:hAnsi="仿宋" w:eastAsia="仿宋" w:cs="仿宋"/>
                <w:lang w:eastAsia="zh-CN"/>
              </w:rPr>
            </w:pPr>
            <w:r>
              <w:rPr>
                <w:rFonts w:ascii="仿宋" w:hAnsi="仿宋" w:eastAsia="仿宋" w:cs="仿宋"/>
                <w:spacing w:val="-1"/>
                <w:lang w:eastAsia="zh-CN"/>
              </w:rPr>
              <w:t>2、环境标志产品:给予价格评价项</w:t>
            </w:r>
            <w:r>
              <w:rPr>
                <w:rFonts w:hint="eastAsia" w:ascii="仿宋" w:hAnsi="仿宋" w:eastAsia="仿宋" w:cs="仿宋"/>
                <w:spacing w:val="-2"/>
                <w:lang w:eastAsia="zh-CN"/>
              </w:rPr>
              <w:t>总分值</w:t>
            </w:r>
            <w:r>
              <w:rPr>
                <w:rFonts w:ascii="仿宋" w:hAnsi="仿宋" w:eastAsia="仿宋" w:cs="仿宋"/>
                <w:spacing w:val="-1"/>
                <w:u w:val="single"/>
                <w:lang w:eastAsia="zh-CN"/>
              </w:rPr>
              <w:t xml:space="preserve"> 4 </w:t>
            </w:r>
            <w:r>
              <w:rPr>
                <w:rFonts w:ascii="仿宋" w:hAnsi="仿宋" w:eastAsia="仿宋" w:cs="仿宋"/>
                <w:spacing w:val="-1"/>
                <w:lang w:eastAsia="zh-CN"/>
              </w:rPr>
              <w:t>%的</w:t>
            </w:r>
            <w:r>
              <w:rPr>
                <w:rFonts w:ascii="仿宋" w:hAnsi="仿宋" w:eastAsia="仿宋" w:cs="仿宋"/>
                <w:spacing w:val="-2"/>
                <w:lang w:eastAsia="zh-CN"/>
              </w:rPr>
              <w:t>加分；</w:t>
            </w:r>
          </w:p>
        </w:tc>
      </w:tr>
      <w:tr w14:paraId="71694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72" w:type="dxa"/>
            <w:tcBorders>
              <w:top w:val="single" w:color="000000" w:sz="4" w:space="0"/>
            </w:tcBorders>
          </w:tcPr>
          <w:p w14:paraId="58A83DFF">
            <w:pPr>
              <w:keepNext w:val="0"/>
              <w:keepLines w:val="0"/>
              <w:pageBreakBefore w:val="0"/>
              <w:widowControl/>
              <w:wordWrap/>
              <w:overflowPunct/>
              <w:topLinePunct w:val="0"/>
              <w:bidi w:val="0"/>
              <w:spacing w:before="147" w:line="240" w:lineRule="auto"/>
              <w:ind w:left="267"/>
              <w:rPr>
                <w:rFonts w:ascii="仿宋" w:hAnsi="仿宋" w:eastAsia="仿宋" w:cs="仿宋"/>
              </w:rPr>
            </w:pPr>
            <w:r>
              <w:rPr>
                <w:rFonts w:ascii="仿宋" w:hAnsi="仿宋" w:eastAsia="仿宋" w:cs="仿宋"/>
              </w:rPr>
              <w:t>∑</w:t>
            </w:r>
          </w:p>
        </w:tc>
        <w:tc>
          <w:tcPr>
            <w:tcW w:w="9498" w:type="dxa"/>
            <w:gridSpan w:val="2"/>
            <w:tcBorders>
              <w:top w:val="single" w:color="000000" w:sz="4" w:space="0"/>
            </w:tcBorders>
          </w:tcPr>
          <w:p w14:paraId="410F8AA1">
            <w:pPr>
              <w:keepNext w:val="0"/>
              <w:keepLines w:val="0"/>
              <w:pageBreakBefore w:val="0"/>
              <w:widowControl/>
              <w:wordWrap/>
              <w:overflowPunct/>
              <w:topLinePunct w:val="0"/>
              <w:bidi w:val="0"/>
              <w:spacing w:before="187" w:line="240" w:lineRule="auto"/>
              <w:ind w:left="109"/>
              <w:rPr>
                <w:rFonts w:ascii="仿宋" w:hAnsi="仿宋" w:eastAsia="仿宋" w:cs="仿宋"/>
                <w:sz w:val="11"/>
                <w:szCs w:val="11"/>
              </w:rPr>
            </w:pPr>
            <w:r>
              <w:rPr>
                <w:rFonts w:ascii="仿宋" w:hAnsi="仿宋" w:eastAsia="仿宋" w:cs="仿宋"/>
                <w:spacing w:val="-1"/>
              </w:rPr>
              <w:t>F</w:t>
            </w:r>
            <w:r>
              <w:rPr>
                <w:rFonts w:ascii="仿宋" w:hAnsi="仿宋" w:eastAsia="仿宋" w:cs="仿宋"/>
                <w:spacing w:val="-1"/>
                <w:sz w:val="11"/>
                <w:szCs w:val="11"/>
              </w:rPr>
              <w:t>1</w:t>
            </w:r>
            <w:r>
              <w:rPr>
                <w:rFonts w:ascii="仿宋" w:hAnsi="仿宋" w:eastAsia="仿宋" w:cs="仿宋"/>
                <w:spacing w:val="-1"/>
              </w:rPr>
              <w:t>=F+ F</w:t>
            </w:r>
            <w:r>
              <w:rPr>
                <w:rFonts w:ascii="仿宋" w:hAnsi="仿宋" w:eastAsia="仿宋" w:cs="仿宋"/>
                <w:spacing w:val="-1"/>
                <w:sz w:val="11"/>
                <w:szCs w:val="11"/>
              </w:rPr>
              <w:t>优先采购加分</w:t>
            </w:r>
          </w:p>
        </w:tc>
      </w:tr>
    </w:tbl>
    <w:p w14:paraId="0DCE41B7">
      <w:pPr>
        <w:keepNext w:val="0"/>
        <w:keepLines w:val="0"/>
        <w:pageBreakBefore w:val="0"/>
        <w:widowControl/>
        <w:wordWrap/>
        <w:overflowPunct/>
        <w:topLinePunct w:val="0"/>
        <w:bidi w:val="0"/>
        <w:spacing w:line="240" w:lineRule="auto"/>
      </w:pPr>
    </w:p>
    <w:p w14:paraId="6ED59B71">
      <w:pPr>
        <w:keepNext w:val="0"/>
        <w:keepLines w:val="0"/>
        <w:pageBreakBefore w:val="0"/>
        <w:widowControl/>
        <w:wordWrap/>
        <w:overflowPunct/>
        <w:topLinePunct w:val="0"/>
        <w:bidi w:val="0"/>
        <w:spacing w:line="240" w:lineRule="auto"/>
      </w:pPr>
    </w:p>
    <w:p w14:paraId="71B32789">
      <w:pPr>
        <w:rPr>
          <w:b/>
          <w:bCs/>
          <w:spacing w:val="-6"/>
          <w:sz w:val="24"/>
          <w:szCs w:val="24"/>
          <w:lang w:eastAsia="zh-CN"/>
        </w:rPr>
      </w:pPr>
      <w:r>
        <w:rPr>
          <w:b/>
          <w:bCs/>
          <w:spacing w:val="-6"/>
          <w:sz w:val="24"/>
          <w:szCs w:val="24"/>
          <w:lang w:eastAsia="zh-CN"/>
        </w:rPr>
        <w:br w:type="page"/>
      </w:r>
    </w:p>
    <w:p w14:paraId="06C5BF55">
      <w:pPr>
        <w:pStyle w:val="2"/>
        <w:keepNext w:val="0"/>
        <w:keepLines w:val="0"/>
        <w:pageBreakBefore w:val="0"/>
        <w:widowControl/>
        <w:wordWrap/>
        <w:overflowPunct/>
        <w:topLinePunct w:val="0"/>
        <w:bidi w:val="0"/>
        <w:spacing w:before="78" w:line="240" w:lineRule="auto"/>
        <w:ind w:left="146"/>
        <w:outlineLvl w:val="3"/>
        <w:rPr>
          <w:sz w:val="24"/>
          <w:szCs w:val="24"/>
          <w:lang w:eastAsia="zh-CN"/>
        </w:rPr>
      </w:pPr>
      <w:r>
        <w:rPr>
          <w:b/>
          <w:bCs/>
          <w:spacing w:val="-6"/>
          <w:sz w:val="24"/>
          <w:szCs w:val="24"/>
          <w:lang w:eastAsia="zh-CN"/>
        </w:rPr>
        <w:t>附表1.2</w:t>
      </w:r>
      <w:r>
        <w:rPr>
          <w:rFonts w:hint="eastAsia"/>
          <w:b/>
          <w:bCs/>
          <w:spacing w:val="-6"/>
          <w:sz w:val="24"/>
          <w:szCs w:val="24"/>
          <w:lang w:val="en-US" w:eastAsia="zh-CN"/>
        </w:rPr>
        <w:t xml:space="preserve"> </w:t>
      </w:r>
      <w:r>
        <w:rPr>
          <w:b/>
          <w:bCs/>
          <w:spacing w:val="-6"/>
          <w:sz w:val="24"/>
          <w:szCs w:val="24"/>
          <w:lang w:eastAsia="zh-CN"/>
        </w:rPr>
        <w:t>技术部分评审标准表</w:t>
      </w:r>
    </w:p>
    <w:p w14:paraId="5177C2BD">
      <w:pPr>
        <w:keepNext w:val="0"/>
        <w:keepLines w:val="0"/>
        <w:pageBreakBefore w:val="0"/>
        <w:widowControl/>
        <w:wordWrap/>
        <w:overflowPunct/>
        <w:topLinePunct w:val="0"/>
        <w:bidi w:val="0"/>
        <w:spacing w:line="240" w:lineRule="auto"/>
        <w:rPr>
          <w:lang w:eastAsia="zh-CN"/>
        </w:rPr>
      </w:pPr>
    </w:p>
    <w:tbl>
      <w:tblPr>
        <w:tblStyle w:val="20"/>
        <w:tblW w:w="1016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1519"/>
        <w:gridCol w:w="1346"/>
        <w:gridCol w:w="6657"/>
      </w:tblGrid>
      <w:tr w14:paraId="45A3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638" w:type="dxa"/>
            <w:tcBorders>
              <w:top w:val="single" w:color="000000" w:sz="2" w:space="0"/>
              <w:left w:val="single" w:color="000000" w:sz="2" w:space="0"/>
              <w:right w:val="single" w:color="000000" w:sz="2" w:space="0"/>
            </w:tcBorders>
            <w:textDirection w:val="tbRlV"/>
          </w:tcPr>
          <w:p w14:paraId="5E14B010">
            <w:pPr>
              <w:keepNext w:val="0"/>
              <w:keepLines w:val="0"/>
              <w:pageBreakBefore w:val="0"/>
              <w:widowControl/>
              <w:wordWrap/>
              <w:overflowPunct/>
              <w:topLinePunct w:val="0"/>
              <w:bidi w:val="0"/>
              <w:spacing w:before="205" w:line="240" w:lineRule="auto"/>
              <w:ind w:left="163"/>
              <w:rPr>
                <w:rFonts w:ascii="仿宋" w:hAnsi="仿宋" w:eastAsia="仿宋" w:cs="仿宋"/>
              </w:rPr>
            </w:pPr>
            <w:r>
              <w:rPr>
                <w:rFonts w:ascii="仿宋" w:hAnsi="仿宋" w:eastAsia="仿宋" w:cs="仿宋"/>
                <w:spacing w:val="-2"/>
              </w:rPr>
              <w:t>序号</w:t>
            </w:r>
          </w:p>
        </w:tc>
        <w:tc>
          <w:tcPr>
            <w:tcW w:w="1519" w:type="dxa"/>
            <w:tcBorders>
              <w:top w:val="single" w:color="000000" w:sz="2" w:space="0"/>
              <w:left w:val="single" w:color="000000" w:sz="2" w:space="0"/>
              <w:right w:val="single" w:color="000000" w:sz="2" w:space="0"/>
            </w:tcBorders>
          </w:tcPr>
          <w:p w14:paraId="5A950014">
            <w:pPr>
              <w:keepNext w:val="0"/>
              <w:keepLines w:val="0"/>
              <w:pageBreakBefore w:val="0"/>
              <w:widowControl/>
              <w:wordWrap/>
              <w:overflowPunct/>
              <w:topLinePunct w:val="0"/>
              <w:bidi w:val="0"/>
              <w:spacing w:before="164" w:line="240" w:lineRule="auto"/>
              <w:ind w:left="351"/>
              <w:rPr>
                <w:rFonts w:ascii="仿宋" w:hAnsi="仿宋" w:eastAsia="仿宋" w:cs="仿宋"/>
              </w:rPr>
            </w:pPr>
            <w:r>
              <w:rPr>
                <w:rFonts w:ascii="仿宋" w:hAnsi="仿宋" w:eastAsia="仿宋" w:cs="仿宋"/>
                <w:spacing w:val="-5"/>
              </w:rPr>
              <w:t>评标因素</w:t>
            </w:r>
          </w:p>
          <w:p w14:paraId="5D413D22">
            <w:pPr>
              <w:keepNext w:val="0"/>
              <w:keepLines w:val="0"/>
              <w:pageBreakBefore w:val="0"/>
              <w:widowControl/>
              <w:wordWrap/>
              <w:overflowPunct/>
              <w:topLinePunct w:val="0"/>
              <w:bidi w:val="0"/>
              <w:spacing w:before="149" w:line="240" w:lineRule="auto"/>
              <w:ind w:left="351"/>
              <w:rPr>
                <w:rFonts w:ascii="仿宋" w:hAnsi="仿宋" w:eastAsia="仿宋" w:cs="仿宋"/>
              </w:rPr>
            </w:pPr>
            <w:r>
              <w:rPr>
                <w:rFonts w:ascii="仿宋" w:hAnsi="仿宋" w:eastAsia="仿宋" w:cs="仿宋"/>
                <w:spacing w:val="-7"/>
              </w:rPr>
              <w:t>（分值）</w:t>
            </w:r>
          </w:p>
        </w:tc>
        <w:tc>
          <w:tcPr>
            <w:tcW w:w="8003" w:type="dxa"/>
            <w:gridSpan w:val="2"/>
            <w:tcBorders>
              <w:top w:val="single" w:color="000000" w:sz="2" w:space="0"/>
              <w:left w:val="single" w:color="000000" w:sz="2" w:space="0"/>
              <w:right w:val="single" w:color="000000" w:sz="2" w:space="0"/>
            </w:tcBorders>
          </w:tcPr>
          <w:p w14:paraId="0DF94AC3">
            <w:pPr>
              <w:keepNext w:val="0"/>
              <w:keepLines w:val="0"/>
              <w:pageBreakBefore w:val="0"/>
              <w:widowControl/>
              <w:wordWrap/>
              <w:overflowPunct/>
              <w:topLinePunct w:val="0"/>
              <w:bidi w:val="0"/>
              <w:spacing w:line="240" w:lineRule="auto"/>
            </w:pPr>
          </w:p>
          <w:p w14:paraId="7E9A2D19">
            <w:pPr>
              <w:keepNext w:val="0"/>
              <w:keepLines w:val="0"/>
              <w:pageBreakBefore w:val="0"/>
              <w:widowControl/>
              <w:wordWrap/>
              <w:overflowPunct/>
              <w:topLinePunct w:val="0"/>
              <w:bidi w:val="0"/>
              <w:spacing w:before="68" w:line="240" w:lineRule="auto"/>
              <w:ind w:left="3581"/>
              <w:rPr>
                <w:rFonts w:ascii="仿宋" w:hAnsi="仿宋" w:eastAsia="仿宋" w:cs="仿宋"/>
              </w:rPr>
            </w:pPr>
            <w:r>
              <w:rPr>
                <w:rFonts w:ascii="仿宋" w:hAnsi="仿宋" w:eastAsia="仿宋" w:cs="仿宋"/>
                <w:spacing w:val="-5"/>
              </w:rPr>
              <w:t>评标标准</w:t>
            </w:r>
          </w:p>
        </w:tc>
      </w:tr>
      <w:tr w14:paraId="5A59A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638" w:type="dxa"/>
            <w:vMerge w:val="restart"/>
            <w:tcBorders>
              <w:left w:val="single" w:color="000000" w:sz="2" w:space="0"/>
              <w:bottom w:val="nil"/>
              <w:right w:val="single" w:color="000000" w:sz="2" w:space="0"/>
            </w:tcBorders>
          </w:tcPr>
          <w:p w14:paraId="200EC9E1">
            <w:pPr>
              <w:keepNext w:val="0"/>
              <w:keepLines w:val="0"/>
              <w:pageBreakBefore w:val="0"/>
              <w:widowControl/>
              <w:wordWrap/>
              <w:overflowPunct/>
              <w:topLinePunct w:val="0"/>
              <w:bidi w:val="0"/>
              <w:spacing w:line="240" w:lineRule="auto"/>
            </w:pPr>
          </w:p>
          <w:p w14:paraId="44DCDFEE">
            <w:pPr>
              <w:keepNext w:val="0"/>
              <w:keepLines w:val="0"/>
              <w:pageBreakBefore w:val="0"/>
              <w:widowControl/>
              <w:wordWrap/>
              <w:overflowPunct/>
              <w:topLinePunct w:val="0"/>
              <w:bidi w:val="0"/>
              <w:spacing w:line="240" w:lineRule="auto"/>
            </w:pPr>
          </w:p>
          <w:p w14:paraId="6122A28C">
            <w:pPr>
              <w:keepNext w:val="0"/>
              <w:keepLines w:val="0"/>
              <w:pageBreakBefore w:val="0"/>
              <w:widowControl/>
              <w:wordWrap/>
              <w:overflowPunct/>
              <w:topLinePunct w:val="0"/>
              <w:bidi w:val="0"/>
              <w:spacing w:line="240" w:lineRule="auto"/>
            </w:pPr>
          </w:p>
          <w:p w14:paraId="61A38D4D">
            <w:pPr>
              <w:keepNext w:val="0"/>
              <w:keepLines w:val="0"/>
              <w:pageBreakBefore w:val="0"/>
              <w:widowControl/>
              <w:wordWrap/>
              <w:overflowPunct/>
              <w:topLinePunct w:val="0"/>
              <w:bidi w:val="0"/>
              <w:spacing w:line="240" w:lineRule="auto"/>
            </w:pPr>
          </w:p>
          <w:p w14:paraId="72E75295">
            <w:pPr>
              <w:keepNext w:val="0"/>
              <w:keepLines w:val="0"/>
              <w:pageBreakBefore w:val="0"/>
              <w:widowControl/>
              <w:wordWrap/>
              <w:overflowPunct/>
              <w:topLinePunct w:val="0"/>
              <w:bidi w:val="0"/>
              <w:spacing w:line="240" w:lineRule="auto"/>
            </w:pPr>
          </w:p>
          <w:p w14:paraId="5E000962">
            <w:pPr>
              <w:keepNext w:val="0"/>
              <w:keepLines w:val="0"/>
              <w:pageBreakBefore w:val="0"/>
              <w:widowControl/>
              <w:wordWrap/>
              <w:overflowPunct/>
              <w:topLinePunct w:val="0"/>
              <w:bidi w:val="0"/>
              <w:spacing w:line="240" w:lineRule="auto"/>
            </w:pPr>
          </w:p>
          <w:p w14:paraId="61F716AB">
            <w:pPr>
              <w:keepNext w:val="0"/>
              <w:keepLines w:val="0"/>
              <w:pageBreakBefore w:val="0"/>
              <w:widowControl/>
              <w:wordWrap/>
              <w:overflowPunct/>
              <w:topLinePunct w:val="0"/>
              <w:bidi w:val="0"/>
              <w:spacing w:line="240" w:lineRule="auto"/>
            </w:pPr>
          </w:p>
          <w:p w14:paraId="12913A4E">
            <w:pPr>
              <w:keepNext w:val="0"/>
              <w:keepLines w:val="0"/>
              <w:pageBreakBefore w:val="0"/>
              <w:widowControl/>
              <w:wordWrap/>
              <w:overflowPunct/>
              <w:topLinePunct w:val="0"/>
              <w:bidi w:val="0"/>
              <w:spacing w:line="240" w:lineRule="auto"/>
            </w:pPr>
          </w:p>
          <w:p w14:paraId="45F76A2C">
            <w:pPr>
              <w:keepNext w:val="0"/>
              <w:keepLines w:val="0"/>
              <w:pageBreakBefore w:val="0"/>
              <w:widowControl/>
              <w:wordWrap/>
              <w:overflowPunct/>
              <w:topLinePunct w:val="0"/>
              <w:bidi w:val="0"/>
              <w:spacing w:line="240" w:lineRule="auto"/>
            </w:pPr>
          </w:p>
          <w:p w14:paraId="5FCC6A83">
            <w:pPr>
              <w:keepNext w:val="0"/>
              <w:keepLines w:val="0"/>
              <w:pageBreakBefore w:val="0"/>
              <w:widowControl/>
              <w:wordWrap/>
              <w:overflowPunct/>
              <w:topLinePunct w:val="0"/>
              <w:bidi w:val="0"/>
              <w:spacing w:line="240" w:lineRule="auto"/>
            </w:pPr>
          </w:p>
          <w:p w14:paraId="3554B91D">
            <w:pPr>
              <w:keepNext w:val="0"/>
              <w:keepLines w:val="0"/>
              <w:pageBreakBefore w:val="0"/>
              <w:widowControl/>
              <w:wordWrap/>
              <w:overflowPunct/>
              <w:topLinePunct w:val="0"/>
              <w:bidi w:val="0"/>
              <w:spacing w:line="240" w:lineRule="auto"/>
            </w:pPr>
          </w:p>
          <w:p w14:paraId="2B053300">
            <w:pPr>
              <w:keepNext w:val="0"/>
              <w:keepLines w:val="0"/>
              <w:pageBreakBefore w:val="0"/>
              <w:widowControl/>
              <w:wordWrap/>
              <w:overflowPunct/>
              <w:topLinePunct w:val="0"/>
              <w:bidi w:val="0"/>
              <w:spacing w:line="240" w:lineRule="auto"/>
            </w:pPr>
          </w:p>
          <w:p w14:paraId="587D491F">
            <w:pPr>
              <w:keepNext w:val="0"/>
              <w:keepLines w:val="0"/>
              <w:pageBreakBefore w:val="0"/>
              <w:widowControl/>
              <w:wordWrap/>
              <w:overflowPunct/>
              <w:topLinePunct w:val="0"/>
              <w:bidi w:val="0"/>
              <w:spacing w:line="240" w:lineRule="auto"/>
            </w:pPr>
          </w:p>
          <w:p w14:paraId="417F9666">
            <w:pPr>
              <w:keepNext w:val="0"/>
              <w:keepLines w:val="0"/>
              <w:pageBreakBefore w:val="0"/>
              <w:widowControl/>
              <w:wordWrap/>
              <w:overflowPunct/>
              <w:topLinePunct w:val="0"/>
              <w:bidi w:val="0"/>
              <w:spacing w:line="240" w:lineRule="auto"/>
            </w:pPr>
          </w:p>
          <w:p w14:paraId="131F780B">
            <w:pPr>
              <w:keepNext w:val="0"/>
              <w:keepLines w:val="0"/>
              <w:pageBreakBefore w:val="0"/>
              <w:widowControl/>
              <w:wordWrap/>
              <w:overflowPunct/>
              <w:topLinePunct w:val="0"/>
              <w:bidi w:val="0"/>
              <w:spacing w:line="240" w:lineRule="auto"/>
            </w:pPr>
          </w:p>
          <w:p w14:paraId="63808B87">
            <w:pPr>
              <w:keepNext w:val="0"/>
              <w:keepLines w:val="0"/>
              <w:pageBreakBefore w:val="0"/>
              <w:widowControl/>
              <w:wordWrap/>
              <w:overflowPunct/>
              <w:topLinePunct w:val="0"/>
              <w:bidi w:val="0"/>
              <w:spacing w:line="240" w:lineRule="auto"/>
            </w:pPr>
          </w:p>
          <w:p w14:paraId="5A7225C0">
            <w:pPr>
              <w:keepNext w:val="0"/>
              <w:keepLines w:val="0"/>
              <w:pageBreakBefore w:val="0"/>
              <w:widowControl/>
              <w:wordWrap/>
              <w:overflowPunct/>
              <w:topLinePunct w:val="0"/>
              <w:bidi w:val="0"/>
              <w:spacing w:line="240" w:lineRule="auto"/>
            </w:pPr>
          </w:p>
          <w:p w14:paraId="5CA9E818">
            <w:pPr>
              <w:keepNext w:val="0"/>
              <w:keepLines w:val="0"/>
              <w:pageBreakBefore w:val="0"/>
              <w:widowControl/>
              <w:wordWrap/>
              <w:overflowPunct/>
              <w:topLinePunct w:val="0"/>
              <w:bidi w:val="0"/>
              <w:spacing w:line="240" w:lineRule="auto"/>
            </w:pPr>
          </w:p>
          <w:p w14:paraId="4F2BFD79">
            <w:pPr>
              <w:keepNext w:val="0"/>
              <w:keepLines w:val="0"/>
              <w:pageBreakBefore w:val="0"/>
              <w:widowControl/>
              <w:wordWrap/>
              <w:overflowPunct/>
              <w:topLinePunct w:val="0"/>
              <w:bidi w:val="0"/>
              <w:spacing w:line="240" w:lineRule="auto"/>
            </w:pPr>
          </w:p>
          <w:p w14:paraId="2F991B90">
            <w:pPr>
              <w:keepNext w:val="0"/>
              <w:keepLines w:val="0"/>
              <w:pageBreakBefore w:val="0"/>
              <w:widowControl/>
              <w:wordWrap/>
              <w:overflowPunct/>
              <w:topLinePunct w:val="0"/>
              <w:bidi w:val="0"/>
              <w:spacing w:line="240" w:lineRule="auto"/>
            </w:pPr>
          </w:p>
          <w:p w14:paraId="08A16B22">
            <w:pPr>
              <w:keepNext w:val="0"/>
              <w:keepLines w:val="0"/>
              <w:pageBreakBefore w:val="0"/>
              <w:widowControl/>
              <w:wordWrap/>
              <w:overflowPunct/>
              <w:topLinePunct w:val="0"/>
              <w:bidi w:val="0"/>
              <w:spacing w:before="68" w:line="240" w:lineRule="auto"/>
              <w:ind w:left="291"/>
              <w:rPr>
                <w:rFonts w:ascii="仿宋" w:hAnsi="仿宋" w:eastAsia="仿宋" w:cs="仿宋"/>
              </w:rPr>
            </w:pPr>
            <w:r>
              <w:rPr>
                <w:rFonts w:ascii="仿宋" w:hAnsi="仿宋" w:eastAsia="仿宋" w:cs="仿宋"/>
              </w:rPr>
              <w:t>1</w:t>
            </w:r>
          </w:p>
        </w:tc>
        <w:tc>
          <w:tcPr>
            <w:tcW w:w="1519" w:type="dxa"/>
            <w:vMerge w:val="restart"/>
            <w:tcBorders>
              <w:left w:val="single" w:color="000000" w:sz="2" w:space="0"/>
              <w:bottom w:val="nil"/>
            </w:tcBorders>
          </w:tcPr>
          <w:p w14:paraId="56B560CA">
            <w:pPr>
              <w:keepNext w:val="0"/>
              <w:keepLines w:val="0"/>
              <w:pageBreakBefore w:val="0"/>
              <w:widowControl/>
              <w:wordWrap/>
              <w:overflowPunct/>
              <w:topLinePunct w:val="0"/>
              <w:bidi w:val="0"/>
              <w:spacing w:line="240" w:lineRule="auto"/>
            </w:pPr>
          </w:p>
          <w:p w14:paraId="0AFFCC2E">
            <w:pPr>
              <w:keepNext w:val="0"/>
              <w:keepLines w:val="0"/>
              <w:pageBreakBefore w:val="0"/>
              <w:widowControl/>
              <w:wordWrap/>
              <w:overflowPunct/>
              <w:topLinePunct w:val="0"/>
              <w:bidi w:val="0"/>
              <w:spacing w:line="240" w:lineRule="auto"/>
            </w:pPr>
          </w:p>
          <w:p w14:paraId="66E952F2">
            <w:pPr>
              <w:keepNext w:val="0"/>
              <w:keepLines w:val="0"/>
              <w:pageBreakBefore w:val="0"/>
              <w:widowControl/>
              <w:wordWrap/>
              <w:overflowPunct/>
              <w:topLinePunct w:val="0"/>
              <w:bidi w:val="0"/>
              <w:spacing w:line="240" w:lineRule="auto"/>
            </w:pPr>
          </w:p>
          <w:p w14:paraId="596AD79F">
            <w:pPr>
              <w:keepNext w:val="0"/>
              <w:keepLines w:val="0"/>
              <w:pageBreakBefore w:val="0"/>
              <w:widowControl/>
              <w:wordWrap/>
              <w:overflowPunct/>
              <w:topLinePunct w:val="0"/>
              <w:bidi w:val="0"/>
              <w:spacing w:line="240" w:lineRule="auto"/>
            </w:pPr>
          </w:p>
          <w:p w14:paraId="1516CD66">
            <w:pPr>
              <w:keepNext w:val="0"/>
              <w:keepLines w:val="0"/>
              <w:pageBreakBefore w:val="0"/>
              <w:widowControl/>
              <w:wordWrap/>
              <w:overflowPunct/>
              <w:topLinePunct w:val="0"/>
              <w:bidi w:val="0"/>
              <w:spacing w:line="240" w:lineRule="auto"/>
            </w:pPr>
          </w:p>
          <w:p w14:paraId="05FA52CB">
            <w:pPr>
              <w:keepNext w:val="0"/>
              <w:keepLines w:val="0"/>
              <w:pageBreakBefore w:val="0"/>
              <w:widowControl/>
              <w:wordWrap/>
              <w:overflowPunct/>
              <w:topLinePunct w:val="0"/>
              <w:bidi w:val="0"/>
              <w:spacing w:line="240" w:lineRule="auto"/>
            </w:pPr>
          </w:p>
          <w:p w14:paraId="634274B8">
            <w:pPr>
              <w:keepNext w:val="0"/>
              <w:keepLines w:val="0"/>
              <w:pageBreakBefore w:val="0"/>
              <w:widowControl/>
              <w:wordWrap/>
              <w:overflowPunct/>
              <w:topLinePunct w:val="0"/>
              <w:bidi w:val="0"/>
              <w:spacing w:line="240" w:lineRule="auto"/>
            </w:pPr>
          </w:p>
          <w:p w14:paraId="072999B3">
            <w:pPr>
              <w:keepNext w:val="0"/>
              <w:keepLines w:val="0"/>
              <w:pageBreakBefore w:val="0"/>
              <w:widowControl/>
              <w:wordWrap/>
              <w:overflowPunct/>
              <w:topLinePunct w:val="0"/>
              <w:bidi w:val="0"/>
              <w:spacing w:line="240" w:lineRule="auto"/>
            </w:pPr>
          </w:p>
          <w:p w14:paraId="1BB48B40">
            <w:pPr>
              <w:keepNext w:val="0"/>
              <w:keepLines w:val="0"/>
              <w:pageBreakBefore w:val="0"/>
              <w:widowControl/>
              <w:wordWrap/>
              <w:overflowPunct/>
              <w:topLinePunct w:val="0"/>
              <w:bidi w:val="0"/>
              <w:spacing w:line="240" w:lineRule="auto"/>
            </w:pPr>
          </w:p>
          <w:p w14:paraId="08110C5A">
            <w:pPr>
              <w:keepNext w:val="0"/>
              <w:keepLines w:val="0"/>
              <w:pageBreakBefore w:val="0"/>
              <w:widowControl/>
              <w:wordWrap/>
              <w:overflowPunct/>
              <w:topLinePunct w:val="0"/>
              <w:bidi w:val="0"/>
              <w:spacing w:line="240" w:lineRule="auto"/>
            </w:pPr>
          </w:p>
          <w:p w14:paraId="7ADA811C">
            <w:pPr>
              <w:keepNext w:val="0"/>
              <w:keepLines w:val="0"/>
              <w:pageBreakBefore w:val="0"/>
              <w:widowControl/>
              <w:wordWrap/>
              <w:overflowPunct/>
              <w:topLinePunct w:val="0"/>
              <w:bidi w:val="0"/>
              <w:spacing w:line="240" w:lineRule="auto"/>
            </w:pPr>
          </w:p>
          <w:p w14:paraId="5ED8148B">
            <w:pPr>
              <w:keepNext w:val="0"/>
              <w:keepLines w:val="0"/>
              <w:pageBreakBefore w:val="0"/>
              <w:widowControl/>
              <w:wordWrap/>
              <w:overflowPunct/>
              <w:topLinePunct w:val="0"/>
              <w:bidi w:val="0"/>
              <w:spacing w:line="240" w:lineRule="auto"/>
            </w:pPr>
          </w:p>
          <w:p w14:paraId="56738B7E">
            <w:pPr>
              <w:keepNext w:val="0"/>
              <w:keepLines w:val="0"/>
              <w:pageBreakBefore w:val="0"/>
              <w:widowControl/>
              <w:wordWrap/>
              <w:overflowPunct/>
              <w:topLinePunct w:val="0"/>
              <w:bidi w:val="0"/>
              <w:spacing w:line="240" w:lineRule="auto"/>
            </w:pPr>
          </w:p>
          <w:p w14:paraId="18A4879D">
            <w:pPr>
              <w:keepNext w:val="0"/>
              <w:keepLines w:val="0"/>
              <w:pageBreakBefore w:val="0"/>
              <w:widowControl/>
              <w:wordWrap/>
              <w:overflowPunct/>
              <w:topLinePunct w:val="0"/>
              <w:bidi w:val="0"/>
              <w:spacing w:line="240" w:lineRule="auto"/>
            </w:pPr>
          </w:p>
          <w:p w14:paraId="4AD7A644">
            <w:pPr>
              <w:keepNext w:val="0"/>
              <w:keepLines w:val="0"/>
              <w:pageBreakBefore w:val="0"/>
              <w:widowControl/>
              <w:wordWrap/>
              <w:overflowPunct/>
              <w:topLinePunct w:val="0"/>
              <w:bidi w:val="0"/>
              <w:spacing w:line="240" w:lineRule="auto"/>
            </w:pPr>
          </w:p>
          <w:p w14:paraId="1EDBADA5">
            <w:pPr>
              <w:keepNext w:val="0"/>
              <w:keepLines w:val="0"/>
              <w:pageBreakBefore w:val="0"/>
              <w:widowControl/>
              <w:wordWrap/>
              <w:overflowPunct/>
              <w:topLinePunct w:val="0"/>
              <w:bidi w:val="0"/>
              <w:spacing w:line="240" w:lineRule="auto"/>
            </w:pPr>
          </w:p>
          <w:p w14:paraId="4D61F7E7">
            <w:pPr>
              <w:keepNext w:val="0"/>
              <w:keepLines w:val="0"/>
              <w:pageBreakBefore w:val="0"/>
              <w:widowControl/>
              <w:wordWrap/>
              <w:overflowPunct/>
              <w:topLinePunct w:val="0"/>
              <w:bidi w:val="0"/>
              <w:spacing w:line="240" w:lineRule="auto"/>
            </w:pPr>
          </w:p>
          <w:p w14:paraId="0497E243">
            <w:pPr>
              <w:keepNext w:val="0"/>
              <w:keepLines w:val="0"/>
              <w:pageBreakBefore w:val="0"/>
              <w:widowControl/>
              <w:wordWrap/>
              <w:overflowPunct/>
              <w:topLinePunct w:val="0"/>
              <w:bidi w:val="0"/>
              <w:spacing w:line="240" w:lineRule="auto"/>
            </w:pPr>
          </w:p>
          <w:p w14:paraId="6D88DB84">
            <w:pPr>
              <w:keepNext w:val="0"/>
              <w:keepLines w:val="0"/>
              <w:pageBreakBefore w:val="0"/>
              <w:widowControl/>
              <w:wordWrap/>
              <w:overflowPunct/>
              <w:topLinePunct w:val="0"/>
              <w:bidi w:val="0"/>
              <w:spacing w:line="240" w:lineRule="auto"/>
            </w:pPr>
          </w:p>
          <w:p w14:paraId="77324262">
            <w:pPr>
              <w:keepNext w:val="0"/>
              <w:keepLines w:val="0"/>
              <w:pageBreakBefore w:val="0"/>
              <w:widowControl/>
              <w:wordWrap/>
              <w:overflowPunct/>
              <w:topLinePunct w:val="0"/>
              <w:bidi w:val="0"/>
              <w:spacing w:before="68" w:line="240" w:lineRule="auto"/>
              <w:ind w:left="245"/>
              <w:rPr>
                <w:rFonts w:ascii="仿宋" w:hAnsi="仿宋" w:eastAsia="仿宋" w:cs="仿宋"/>
              </w:rPr>
            </w:pPr>
            <w:r>
              <w:rPr>
                <w:rFonts w:ascii="仿宋" w:hAnsi="仿宋" w:eastAsia="仿宋" w:cs="仿宋"/>
                <w:spacing w:val="-2"/>
              </w:rPr>
              <w:t>技术评价项</w:t>
            </w:r>
          </w:p>
          <w:p w14:paraId="09E1CD30">
            <w:pPr>
              <w:keepNext w:val="0"/>
              <w:keepLines w:val="0"/>
              <w:pageBreakBefore w:val="0"/>
              <w:widowControl/>
              <w:wordWrap/>
              <w:overflowPunct/>
              <w:topLinePunct w:val="0"/>
              <w:bidi w:val="0"/>
              <w:spacing w:before="149" w:line="240" w:lineRule="auto"/>
              <w:ind w:left="168"/>
              <w:rPr>
                <w:rFonts w:ascii="仿宋" w:hAnsi="仿宋" w:eastAsia="仿宋" w:cs="仿宋"/>
              </w:rPr>
            </w:pPr>
            <w:r>
              <w:rPr>
                <w:rFonts w:ascii="仿宋" w:hAnsi="仿宋" w:eastAsia="仿宋" w:cs="仿宋"/>
                <w:spacing w:val="-4"/>
              </w:rPr>
              <w:t>（F=100分）</w:t>
            </w:r>
          </w:p>
        </w:tc>
        <w:tc>
          <w:tcPr>
            <w:tcW w:w="1346" w:type="dxa"/>
            <w:tcBorders>
              <w:right w:val="single" w:color="000000" w:sz="2" w:space="0"/>
            </w:tcBorders>
            <w:vAlign w:val="center"/>
          </w:tcPr>
          <w:p w14:paraId="3711F26E">
            <w:pPr>
              <w:keepNext w:val="0"/>
              <w:keepLines w:val="0"/>
              <w:pageBreakBefore w:val="0"/>
              <w:widowControl/>
              <w:wordWrap/>
              <w:overflowPunct/>
              <w:topLinePunct w:val="0"/>
              <w:bidi w:val="0"/>
              <w:spacing w:before="149" w:line="240" w:lineRule="auto"/>
              <w:jc w:val="center"/>
              <w:rPr>
                <w:rFonts w:ascii="仿宋" w:hAnsi="仿宋" w:eastAsia="仿宋" w:cs="仿宋"/>
                <w:lang w:eastAsia="zh-CN"/>
              </w:rPr>
            </w:pPr>
            <w:r>
              <w:rPr>
                <w:rFonts w:hint="eastAsia" w:ascii="仿宋" w:hAnsi="仿宋" w:eastAsia="仿宋" w:cs="仿宋"/>
                <w:spacing w:val="-2"/>
                <w:lang w:eastAsia="zh-CN"/>
              </w:rPr>
              <w:t>满足招标文件技术要求程度</w:t>
            </w:r>
            <w:r>
              <w:rPr>
                <w:rFonts w:ascii="仿宋" w:hAnsi="仿宋" w:eastAsia="仿宋" w:cs="仿宋"/>
                <w:spacing w:val="-6"/>
                <w:lang w:eastAsia="zh-CN"/>
              </w:rPr>
              <w:t>（</w:t>
            </w:r>
            <w:r>
              <w:rPr>
                <w:rFonts w:hint="eastAsia" w:ascii="仿宋" w:hAnsi="仿宋" w:eastAsia="仿宋" w:cs="仿宋"/>
                <w:spacing w:val="-6"/>
                <w:lang w:eastAsia="zh-CN"/>
              </w:rPr>
              <w:t>50</w:t>
            </w:r>
            <w:r>
              <w:rPr>
                <w:rFonts w:ascii="仿宋" w:hAnsi="仿宋" w:eastAsia="仿宋" w:cs="仿宋"/>
                <w:spacing w:val="-6"/>
                <w:lang w:eastAsia="zh-CN"/>
              </w:rPr>
              <w:t>分）</w:t>
            </w:r>
          </w:p>
        </w:tc>
        <w:tc>
          <w:tcPr>
            <w:tcW w:w="6657" w:type="dxa"/>
            <w:tcBorders>
              <w:left w:val="single" w:color="000000" w:sz="2" w:space="0"/>
              <w:right w:val="single" w:color="000000" w:sz="2" w:space="0"/>
            </w:tcBorders>
          </w:tcPr>
          <w:p w14:paraId="662D4F8B">
            <w:pPr>
              <w:keepNext w:val="0"/>
              <w:keepLines w:val="0"/>
              <w:pageBreakBefore w:val="0"/>
              <w:widowControl/>
              <w:wordWrap/>
              <w:overflowPunct/>
              <w:topLinePunct w:val="0"/>
              <w:bidi w:val="0"/>
              <w:spacing w:before="141" w:line="240" w:lineRule="auto"/>
              <w:ind w:left="173" w:right="153"/>
              <w:rPr>
                <w:rFonts w:ascii="仿宋" w:hAnsi="仿宋" w:eastAsia="仿宋" w:cs="仿宋"/>
                <w:color w:val="auto"/>
                <w:spacing w:val="-8"/>
                <w:lang w:eastAsia="zh-CN"/>
              </w:rPr>
            </w:pPr>
            <w:r>
              <w:rPr>
                <w:rFonts w:hint="eastAsia" w:ascii="仿宋" w:hAnsi="仿宋" w:eastAsia="仿宋" w:cs="仿宋"/>
                <w:color w:val="auto"/>
                <w:spacing w:val="-3"/>
                <w:lang w:eastAsia="zh-CN"/>
              </w:rPr>
              <w:t>1、投标人对“第五章采购需求”中“技术参数及要求”的各项技术指标要求进行逐项响应：完全满足所有技术指标要求的计50分。</w:t>
            </w:r>
            <w:r>
              <w:rPr>
                <w:rFonts w:ascii="仿宋" w:hAnsi="仿宋" w:eastAsia="仿宋" w:cs="仿宋"/>
                <w:color w:val="auto"/>
                <w:spacing w:val="-4"/>
                <w:lang w:eastAsia="zh-CN"/>
              </w:rPr>
              <w:t>除带★的技术</w:t>
            </w:r>
            <w:r>
              <w:rPr>
                <w:rFonts w:ascii="仿宋" w:hAnsi="仿宋" w:eastAsia="仿宋" w:cs="仿宋"/>
                <w:color w:val="auto"/>
                <w:lang w:eastAsia="zh-CN"/>
              </w:rPr>
              <w:t>参数外，一般性技术参数有一条不满足、不详、不清、缺漏项的，每</w:t>
            </w:r>
            <w:r>
              <w:rPr>
                <w:rFonts w:ascii="仿宋" w:hAnsi="仿宋" w:eastAsia="仿宋" w:cs="仿宋"/>
                <w:color w:val="auto"/>
                <w:spacing w:val="-8"/>
                <w:lang w:eastAsia="zh-CN"/>
              </w:rPr>
              <w:t>处扣</w:t>
            </w:r>
            <w:r>
              <w:rPr>
                <w:rFonts w:hint="eastAsia" w:ascii="仿宋" w:hAnsi="仿宋" w:eastAsia="仿宋" w:cs="仿宋"/>
                <w:color w:val="auto"/>
                <w:spacing w:val="-8"/>
                <w:lang w:eastAsia="zh-CN"/>
              </w:rPr>
              <w:t>5</w:t>
            </w:r>
            <w:r>
              <w:rPr>
                <w:rFonts w:ascii="仿宋" w:hAnsi="仿宋" w:eastAsia="仿宋" w:cs="仿宋"/>
                <w:color w:val="auto"/>
                <w:spacing w:val="-8"/>
                <w:lang w:eastAsia="zh-CN"/>
              </w:rPr>
              <w:t>分，扣完</w:t>
            </w:r>
            <w:r>
              <w:rPr>
                <w:rFonts w:hint="eastAsia" w:ascii="仿宋" w:hAnsi="仿宋" w:eastAsia="仿宋" w:cs="仿宋"/>
                <w:color w:val="auto"/>
                <w:spacing w:val="-8"/>
                <w:lang w:eastAsia="zh-CN"/>
              </w:rPr>
              <w:t>50</w:t>
            </w:r>
            <w:r>
              <w:rPr>
                <w:rFonts w:ascii="仿宋" w:hAnsi="仿宋" w:eastAsia="仿宋" w:cs="仿宋"/>
                <w:color w:val="auto"/>
                <w:spacing w:val="-8"/>
                <w:lang w:eastAsia="zh-CN"/>
              </w:rPr>
              <w:t>分为止。</w:t>
            </w:r>
          </w:p>
          <w:p w14:paraId="2DC50593">
            <w:pPr>
              <w:keepNext w:val="0"/>
              <w:keepLines w:val="0"/>
              <w:pageBreakBefore w:val="0"/>
              <w:widowControl/>
              <w:wordWrap/>
              <w:overflowPunct/>
              <w:topLinePunct w:val="0"/>
              <w:bidi w:val="0"/>
              <w:spacing w:before="141" w:line="240" w:lineRule="auto"/>
              <w:ind w:left="173" w:right="153"/>
              <w:rPr>
                <w:rFonts w:ascii="仿宋" w:hAnsi="仿宋" w:eastAsia="仿宋" w:cs="仿宋"/>
                <w:color w:val="auto"/>
                <w:lang w:eastAsia="zh-CN"/>
              </w:rPr>
            </w:pPr>
            <w:r>
              <w:rPr>
                <w:rFonts w:hint="eastAsia" w:ascii="仿宋" w:hAnsi="仿宋" w:eastAsia="仿宋" w:cs="仿宋"/>
                <w:color w:val="auto"/>
                <w:lang w:eastAsia="zh-CN"/>
              </w:rPr>
              <w:t>2、</w:t>
            </w:r>
            <w:r>
              <w:rPr>
                <w:rFonts w:ascii="仿宋" w:hAnsi="仿宋" w:eastAsia="仿宋" w:cs="仿宋"/>
                <w:color w:val="auto"/>
                <w:lang w:eastAsia="zh-CN"/>
              </w:rPr>
              <w:t>本次招标允许</w:t>
            </w:r>
            <w:r>
              <w:rPr>
                <w:rFonts w:hint="eastAsia" w:ascii="仿宋" w:hAnsi="仿宋" w:eastAsia="仿宋" w:cs="仿宋"/>
                <w:color w:val="auto"/>
                <w:lang w:eastAsia="zh-CN"/>
              </w:rPr>
              <w:t>&lt;10</w:t>
            </w:r>
            <w:r>
              <w:rPr>
                <w:rFonts w:ascii="仿宋" w:hAnsi="仿宋" w:eastAsia="仿宋" w:cs="仿宋"/>
                <w:color w:val="auto"/>
                <w:lang w:eastAsia="zh-CN"/>
              </w:rPr>
              <w:t>项负偏离，偏离项数之和</w:t>
            </w:r>
            <w:r>
              <w:rPr>
                <w:rFonts w:hint="eastAsia" w:ascii="仿宋" w:hAnsi="仿宋" w:eastAsia="仿宋" w:cs="仿宋"/>
                <w:color w:val="auto"/>
                <w:lang w:eastAsia="zh-CN"/>
              </w:rPr>
              <w:t>≥10</w:t>
            </w:r>
            <w:r>
              <w:rPr>
                <w:rFonts w:ascii="仿宋" w:hAnsi="仿宋" w:eastAsia="仿宋" w:cs="仿宋"/>
                <w:color w:val="auto"/>
                <w:lang w:eastAsia="zh-CN"/>
              </w:rPr>
              <w:t xml:space="preserve"> 项将导致无效投标</w:t>
            </w:r>
          </w:p>
          <w:p w14:paraId="4899F7D5">
            <w:pPr>
              <w:keepNext w:val="0"/>
              <w:keepLines w:val="0"/>
              <w:pageBreakBefore w:val="0"/>
              <w:widowControl/>
              <w:wordWrap/>
              <w:overflowPunct/>
              <w:topLinePunct w:val="0"/>
              <w:bidi w:val="0"/>
              <w:spacing w:before="1" w:line="240" w:lineRule="auto"/>
              <w:ind w:left="127"/>
              <w:rPr>
                <w:rFonts w:ascii="仿宋" w:hAnsi="仿宋" w:eastAsia="仿宋" w:cs="仿宋"/>
                <w:color w:val="auto"/>
                <w:lang w:eastAsia="zh-CN"/>
              </w:rPr>
            </w:pPr>
            <w:r>
              <w:rPr>
                <w:rFonts w:ascii="仿宋" w:hAnsi="仿宋" w:eastAsia="仿宋" w:cs="仿宋"/>
                <w:color w:val="auto"/>
                <w:spacing w:val="-2"/>
                <w:lang w:eastAsia="zh-CN"/>
              </w:rPr>
              <w:t>3、货物指标正偏离的不加分。</w:t>
            </w:r>
          </w:p>
        </w:tc>
      </w:tr>
      <w:tr w14:paraId="35A1D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0" w:hRule="atLeast"/>
        </w:trPr>
        <w:tc>
          <w:tcPr>
            <w:tcW w:w="638" w:type="dxa"/>
            <w:vMerge w:val="continue"/>
            <w:tcBorders>
              <w:top w:val="nil"/>
              <w:left w:val="single" w:color="000000" w:sz="2" w:space="0"/>
              <w:bottom w:val="nil"/>
              <w:right w:val="single" w:color="000000" w:sz="2" w:space="0"/>
            </w:tcBorders>
          </w:tcPr>
          <w:p w14:paraId="463F9294">
            <w:pPr>
              <w:keepNext w:val="0"/>
              <w:keepLines w:val="0"/>
              <w:pageBreakBefore w:val="0"/>
              <w:widowControl/>
              <w:wordWrap/>
              <w:overflowPunct/>
              <w:topLinePunct w:val="0"/>
              <w:bidi w:val="0"/>
              <w:spacing w:line="240" w:lineRule="auto"/>
              <w:rPr>
                <w:lang w:eastAsia="zh-CN"/>
              </w:rPr>
            </w:pPr>
          </w:p>
        </w:tc>
        <w:tc>
          <w:tcPr>
            <w:tcW w:w="1519" w:type="dxa"/>
            <w:vMerge w:val="continue"/>
            <w:tcBorders>
              <w:top w:val="nil"/>
              <w:left w:val="single" w:color="000000" w:sz="2" w:space="0"/>
              <w:bottom w:val="nil"/>
            </w:tcBorders>
          </w:tcPr>
          <w:p w14:paraId="38264946">
            <w:pPr>
              <w:keepNext w:val="0"/>
              <w:keepLines w:val="0"/>
              <w:pageBreakBefore w:val="0"/>
              <w:widowControl/>
              <w:wordWrap/>
              <w:overflowPunct/>
              <w:topLinePunct w:val="0"/>
              <w:bidi w:val="0"/>
              <w:spacing w:line="240" w:lineRule="auto"/>
              <w:rPr>
                <w:lang w:eastAsia="zh-CN"/>
              </w:rPr>
            </w:pPr>
          </w:p>
        </w:tc>
        <w:tc>
          <w:tcPr>
            <w:tcW w:w="1346" w:type="dxa"/>
            <w:vMerge w:val="restart"/>
            <w:tcBorders>
              <w:right w:val="single" w:color="000000" w:sz="2" w:space="0"/>
            </w:tcBorders>
            <w:vAlign w:val="center"/>
          </w:tcPr>
          <w:p w14:paraId="530493FA">
            <w:pPr>
              <w:keepNext w:val="0"/>
              <w:keepLines w:val="0"/>
              <w:pageBreakBefore w:val="0"/>
              <w:widowControl/>
              <w:wordWrap/>
              <w:overflowPunct/>
              <w:topLinePunct w:val="0"/>
              <w:bidi w:val="0"/>
              <w:spacing w:before="150" w:line="240" w:lineRule="auto"/>
              <w:jc w:val="center"/>
              <w:rPr>
                <w:rFonts w:ascii="仿宋" w:hAnsi="仿宋" w:eastAsia="仿宋" w:cs="仿宋"/>
              </w:rPr>
            </w:pPr>
            <w:r>
              <w:rPr>
                <w:rFonts w:hint="eastAsia" w:ascii="仿宋" w:hAnsi="仿宋" w:eastAsia="仿宋" w:cs="仿宋"/>
                <w:spacing w:val="-2"/>
                <w:lang w:eastAsia="zh-CN"/>
              </w:rPr>
              <w:t>投标设备质量</w:t>
            </w:r>
            <w:r>
              <w:rPr>
                <w:rFonts w:ascii="仿宋" w:hAnsi="仿宋" w:eastAsia="仿宋" w:cs="仿宋"/>
                <w:spacing w:val="-6"/>
              </w:rPr>
              <w:t>（</w:t>
            </w:r>
            <w:r>
              <w:rPr>
                <w:rFonts w:hint="eastAsia" w:ascii="仿宋" w:hAnsi="仿宋" w:eastAsia="仿宋" w:cs="仿宋"/>
                <w:spacing w:val="-6"/>
                <w:lang w:eastAsia="zh-CN"/>
              </w:rPr>
              <w:t>26</w:t>
            </w:r>
            <w:r>
              <w:rPr>
                <w:rFonts w:ascii="仿宋" w:hAnsi="仿宋" w:eastAsia="仿宋" w:cs="仿宋"/>
                <w:spacing w:val="-6"/>
              </w:rPr>
              <w:t>分）</w:t>
            </w:r>
          </w:p>
        </w:tc>
        <w:tc>
          <w:tcPr>
            <w:tcW w:w="6657" w:type="dxa"/>
            <w:tcBorders>
              <w:left w:val="single" w:color="000000" w:sz="2" w:space="0"/>
              <w:bottom w:val="single" w:color="auto" w:sz="4" w:space="0"/>
              <w:right w:val="single" w:color="000000" w:sz="2" w:space="0"/>
            </w:tcBorders>
          </w:tcPr>
          <w:p w14:paraId="340C5957">
            <w:pPr>
              <w:keepNext w:val="0"/>
              <w:keepLines w:val="0"/>
              <w:pageBreakBefore w:val="0"/>
              <w:widowControl/>
              <w:wordWrap/>
              <w:overflowPunct/>
              <w:topLinePunct w:val="0"/>
              <w:bidi w:val="0"/>
              <w:spacing w:before="141" w:line="240" w:lineRule="auto"/>
              <w:ind w:left="173" w:right="153"/>
              <w:rPr>
                <w:rFonts w:hint="eastAsia" w:ascii="仿宋" w:hAnsi="仿宋" w:eastAsia="仿宋" w:cs="仿宋"/>
                <w:color w:val="auto"/>
                <w:spacing w:val="-3"/>
                <w:lang w:eastAsia="zh-CN"/>
              </w:rPr>
            </w:pPr>
            <w:r>
              <w:rPr>
                <w:rFonts w:hint="eastAsia" w:ascii="仿宋" w:hAnsi="仿宋" w:eastAsia="仿宋" w:cs="仿宋"/>
                <w:color w:val="auto"/>
                <w:spacing w:val="-3"/>
                <w:lang w:eastAsia="zh-CN"/>
              </w:rPr>
              <w:t>所投</w:t>
            </w:r>
            <w:r>
              <w:rPr>
                <w:rFonts w:hint="eastAsia" w:ascii="仿宋" w:hAnsi="仿宋" w:eastAsia="仿宋" w:cs="仿宋"/>
                <w:color w:val="auto"/>
                <w:spacing w:val="-3"/>
                <w:lang w:val="en-US" w:eastAsia="zh-CN"/>
              </w:rPr>
              <w:t>多用途货车（环境监测用）或环境监测车</w:t>
            </w:r>
            <w:r>
              <w:rPr>
                <w:rFonts w:hint="eastAsia" w:ascii="仿宋" w:hAnsi="仿宋" w:eastAsia="仿宋" w:cs="仿宋"/>
                <w:color w:val="auto"/>
                <w:spacing w:val="-3"/>
                <w:lang w:eastAsia="zh-CN"/>
              </w:rPr>
              <w:t>取得正规检测机构出具的检验报告的计 16 分。</w:t>
            </w:r>
          </w:p>
          <w:p w14:paraId="0142BF6D">
            <w:pPr>
              <w:keepNext w:val="0"/>
              <w:keepLines w:val="0"/>
              <w:pageBreakBefore w:val="0"/>
              <w:widowControl/>
              <w:wordWrap/>
              <w:overflowPunct/>
              <w:topLinePunct w:val="0"/>
              <w:bidi w:val="0"/>
              <w:spacing w:before="141" w:line="240" w:lineRule="auto"/>
              <w:ind w:left="173" w:right="153"/>
              <w:rPr>
                <w:rFonts w:ascii="仿宋" w:hAnsi="仿宋" w:eastAsia="仿宋" w:cs="仿宋"/>
                <w:color w:val="auto"/>
                <w:spacing w:val="-3"/>
                <w:lang w:eastAsia="zh-CN"/>
              </w:rPr>
            </w:pPr>
            <w:r>
              <w:rPr>
                <w:rFonts w:hint="eastAsia" w:ascii="仿宋" w:hAnsi="仿宋" w:eastAsia="仿宋" w:cs="仿宋"/>
                <w:color w:val="auto"/>
                <w:spacing w:val="-3"/>
                <w:lang w:eastAsia="zh-CN"/>
              </w:rPr>
              <w:t>（注：提供检验报告复印件作为评审依据，未提供的检验报告或提供的检验报告模糊不清不计分）。</w:t>
            </w:r>
          </w:p>
        </w:tc>
      </w:tr>
      <w:tr w14:paraId="4CF67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trPr>
        <w:tc>
          <w:tcPr>
            <w:tcW w:w="638" w:type="dxa"/>
            <w:vMerge w:val="continue"/>
            <w:tcBorders>
              <w:top w:val="nil"/>
              <w:left w:val="single" w:color="000000" w:sz="2" w:space="0"/>
              <w:bottom w:val="nil"/>
              <w:right w:val="single" w:color="000000" w:sz="2" w:space="0"/>
            </w:tcBorders>
          </w:tcPr>
          <w:p w14:paraId="030090A8">
            <w:pPr>
              <w:keepNext w:val="0"/>
              <w:keepLines w:val="0"/>
              <w:pageBreakBefore w:val="0"/>
              <w:widowControl/>
              <w:wordWrap/>
              <w:overflowPunct/>
              <w:topLinePunct w:val="0"/>
              <w:bidi w:val="0"/>
              <w:spacing w:line="240" w:lineRule="auto"/>
              <w:rPr>
                <w:lang w:eastAsia="zh-CN"/>
              </w:rPr>
            </w:pPr>
          </w:p>
        </w:tc>
        <w:tc>
          <w:tcPr>
            <w:tcW w:w="1519" w:type="dxa"/>
            <w:vMerge w:val="continue"/>
            <w:tcBorders>
              <w:top w:val="nil"/>
              <w:left w:val="single" w:color="000000" w:sz="2" w:space="0"/>
              <w:bottom w:val="nil"/>
            </w:tcBorders>
          </w:tcPr>
          <w:p w14:paraId="5A98BB6D">
            <w:pPr>
              <w:keepNext w:val="0"/>
              <w:keepLines w:val="0"/>
              <w:pageBreakBefore w:val="0"/>
              <w:widowControl/>
              <w:wordWrap/>
              <w:overflowPunct/>
              <w:topLinePunct w:val="0"/>
              <w:bidi w:val="0"/>
              <w:spacing w:line="240" w:lineRule="auto"/>
              <w:rPr>
                <w:lang w:eastAsia="zh-CN"/>
              </w:rPr>
            </w:pPr>
          </w:p>
        </w:tc>
        <w:tc>
          <w:tcPr>
            <w:tcW w:w="1346" w:type="dxa"/>
            <w:vMerge w:val="continue"/>
            <w:tcBorders>
              <w:right w:val="single" w:color="000000" w:sz="2" w:space="0"/>
            </w:tcBorders>
          </w:tcPr>
          <w:p w14:paraId="007558E5">
            <w:pPr>
              <w:keepNext w:val="0"/>
              <w:keepLines w:val="0"/>
              <w:pageBreakBefore w:val="0"/>
              <w:widowControl/>
              <w:wordWrap/>
              <w:overflowPunct/>
              <w:topLinePunct w:val="0"/>
              <w:bidi w:val="0"/>
              <w:spacing w:before="150" w:line="240" w:lineRule="auto"/>
              <w:ind w:left="236"/>
              <w:rPr>
                <w:rFonts w:ascii="仿宋" w:hAnsi="仿宋" w:eastAsia="仿宋" w:cs="仿宋"/>
                <w:spacing w:val="-2"/>
                <w:lang w:eastAsia="zh-CN"/>
              </w:rPr>
            </w:pPr>
          </w:p>
        </w:tc>
        <w:tc>
          <w:tcPr>
            <w:tcW w:w="6657" w:type="dxa"/>
            <w:tcBorders>
              <w:top w:val="single" w:color="auto" w:sz="4" w:space="0"/>
              <w:left w:val="single" w:color="000000" w:sz="2" w:space="0"/>
              <w:right w:val="single" w:color="000000" w:sz="2" w:space="0"/>
            </w:tcBorders>
          </w:tcPr>
          <w:p w14:paraId="55E64C24">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hint="eastAsia" w:ascii="仿宋" w:hAnsi="仿宋" w:eastAsia="仿宋" w:cs="仿宋"/>
                <w:spacing w:val="-3"/>
                <w:lang w:eastAsia="zh-CN"/>
              </w:rPr>
            </w:pPr>
            <w:r>
              <w:rPr>
                <w:rFonts w:hint="eastAsia" w:ascii="仿宋" w:hAnsi="仿宋" w:eastAsia="仿宋" w:cs="仿宋"/>
                <w:spacing w:val="-3"/>
                <w:lang w:val="en-US" w:eastAsia="zh-CN"/>
              </w:rPr>
              <w:t>多用途货车（环境监测用）或环境监测车</w:t>
            </w:r>
            <w:r>
              <w:rPr>
                <w:rFonts w:hint="eastAsia" w:ascii="仿宋" w:hAnsi="仿宋" w:eastAsia="仿宋" w:cs="仿宋"/>
                <w:spacing w:val="-3"/>
                <w:lang w:eastAsia="zh-CN"/>
              </w:rPr>
              <w:t>在招标文件规定（质保期1年）质保期的基础上，免费质保期每增加 1 年计5分，本项最多计10 分。</w:t>
            </w:r>
          </w:p>
          <w:p w14:paraId="74F733AB">
            <w:pPr>
              <w:keepNext w:val="0"/>
              <w:keepLines w:val="0"/>
              <w:pageBreakBefore w:val="0"/>
              <w:widowControl/>
              <w:wordWrap/>
              <w:overflowPunct/>
              <w:topLinePunct w:val="0"/>
              <w:bidi w:val="0"/>
              <w:spacing w:before="141" w:line="240" w:lineRule="auto"/>
              <w:ind w:left="173" w:right="153"/>
              <w:rPr>
                <w:rFonts w:ascii="仿宋" w:hAnsi="仿宋" w:eastAsia="仿宋" w:cs="仿宋"/>
                <w:color w:val="auto"/>
                <w:spacing w:val="-3"/>
                <w:lang w:eastAsia="zh-CN"/>
              </w:rPr>
            </w:pPr>
            <w:r>
              <w:rPr>
                <w:rFonts w:hint="eastAsia" w:ascii="仿宋" w:hAnsi="仿宋" w:eastAsia="仿宋" w:cs="仿宋"/>
                <w:spacing w:val="-3"/>
                <w:lang w:eastAsia="zh-CN"/>
              </w:rPr>
              <w:t>（</w:t>
            </w:r>
            <w:r>
              <w:rPr>
                <w:rFonts w:ascii="仿宋" w:hAnsi="仿宋" w:eastAsia="仿宋" w:cs="仿宋"/>
                <w:spacing w:val="-3"/>
                <w:lang w:eastAsia="zh-CN"/>
              </w:rPr>
              <w:t>注：投标文件中提供承诺书并加盖投标人公章，否则不计分。</w:t>
            </w:r>
            <w:r>
              <w:rPr>
                <w:rFonts w:hint="eastAsia" w:ascii="仿宋" w:hAnsi="仿宋" w:eastAsia="仿宋" w:cs="仿宋"/>
                <w:spacing w:val="-3"/>
                <w:lang w:eastAsia="zh-CN"/>
              </w:rPr>
              <w:t>）</w:t>
            </w:r>
          </w:p>
        </w:tc>
      </w:tr>
      <w:tr w14:paraId="2B73E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38" w:type="dxa"/>
            <w:vMerge w:val="continue"/>
            <w:tcBorders>
              <w:top w:val="nil"/>
              <w:left w:val="single" w:color="000000" w:sz="2" w:space="0"/>
              <w:bottom w:val="nil"/>
              <w:right w:val="single" w:color="000000" w:sz="2" w:space="0"/>
            </w:tcBorders>
          </w:tcPr>
          <w:p w14:paraId="02817CEB">
            <w:pPr>
              <w:keepNext w:val="0"/>
              <w:keepLines w:val="0"/>
              <w:pageBreakBefore w:val="0"/>
              <w:widowControl/>
              <w:wordWrap/>
              <w:overflowPunct/>
              <w:topLinePunct w:val="0"/>
              <w:bidi w:val="0"/>
              <w:spacing w:line="240" w:lineRule="auto"/>
            </w:pPr>
          </w:p>
        </w:tc>
        <w:tc>
          <w:tcPr>
            <w:tcW w:w="1519" w:type="dxa"/>
            <w:vMerge w:val="continue"/>
            <w:tcBorders>
              <w:top w:val="nil"/>
              <w:left w:val="single" w:color="000000" w:sz="2" w:space="0"/>
              <w:bottom w:val="nil"/>
            </w:tcBorders>
          </w:tcPr>
          <w:p w14:paraId="7AD39E29">
            <w:pPr>
              <w:keepNext w:val="0"/>
              <w:keepLines w:val="0"/>
              <w:pageBreakBefore w:val="0"/>
              <w:widowControl/>
              <w:wordWrap/>
              <w:overflowPunct/>
              <w:topLinePunct w:val="0"/>
              <w:bidi w:val="0"/>
              <w:spacing w:line="240" w:lineRule="auto"/>
            </w:pPr>
          </w:p>
        </w:tc>
        <w:tc>
          <w:tcPr>
            <w:tcW w:w="1346" w:type="dxa"/>
            <w:tcBorders>
              <w:right w:val="single" w:color="000000" w:sz="2" w:space="0"/>
            </w:tcBorders>
            <w:vAlign w:val="center"/>
          </w:tcPr>
          <w:p w14:paraId="74B97177">
            <w:pPr>
              <w:keepNext w:val="0"/>
              <w:keepLines w:val="0"/>
              <w:pageBreakBefore w:val="0"/>
              <w:widowControl/>
              <w:wordWrap/>
              <w:overflowPunct/>
              <w:topLinePunct w:val="0"/>
              <w:bidi w:val="0"/>
              <w:spacing w:before="68" w:line="240" w:lineRule="auto"/>
              <w:ind w:left="156"/>
              <w:jc w:val="center"/>
              <w:rPr>
                <w:rFonts w:ascii="仿宋" w:hAnsi="仿宋" w:eastAsia="仿宋" w:cs="仿宋"/>
                <w:lang w:eastAsia="zh-CN"/>
              </w:rPr>
            </w:pPr>
            <w:r>
              <w:rPr>
                <w:rFonts w:hint="eastAsia" w:ascii="仿宋" w:hAnsi="仿宋" w:eastAsia="仿宋" w:cs="仿宋"/>
                <w:lang w:eastAsia="zh-CN"/>
              </w:rPr>
              <w:t>项目实施方案</w:t>
            </w:r>
          </w:p>
          <w:p w14:paraId="321F7DB7">
            <w:pPr>
              <w:keepNext w:val="0"/>
              <w:keepLines w:val="0"/>
              <w:pageBreakBefore w:val="0"/>
              <w:widowControl/>
              <w:wordWrap/>
              <w:overflowPunct/>
              <w:topLinePunct w:val="0"/>
              <w:bidi w:val="0"/>
              <w:spacing w:before="154" w:line="240" w:lineRule="auto"/>
              <w:ind w:left="236"/>
              <w:jc w:val="center"/>
              <w:rPr>
                <w:rFonts w:ascii="仿宋" w:hAnsi="仿宋" w:eastAsia="仿宋" w:cs="仿宋"/>
              </w:rPr>
            </w:pPr>
            <w:r>
              <w:rPr>
                <w:rFonts w:ascii="仿宋" w:hAnsi="仿宋" w:eastAsia="仿宋" w:cs="仿宋"/>
                <w:spacing w:val="-6"/>
              </w:rPr>
              <w:t>（</w:t>
            </w:r>
            <w:r>
              <w:rPr>
                <w:rFonts w:hint="eastAsia" w:ascii="仿宋" w:hAnsi="仿宋" w:eastAsia="仿宋" w:cs="仿宋"/>
                <w:spacing w:val="-6"/>
                <w:lang w:eastAsia="zh-CN"/>
              </w:rPr>
              <w:t>24</w:t>
            </w:r>
            <w:r>
              <w:rPr>
                <w:rFonts w:ascii="仿宋" w:hAnsi="仿宋" w:eastAsia="仿宋" w:cs="仿宋"/>
                <w:spacing w:val="-6"/>
              </w:rPr>
              <w:t>分）</w:t>
            </w:r>
          </w:p>
        </w:tc>
        <w:tc>
          <w:tcPr>
            <w:tcW w:w="6657" w:type="dxa"/>
            <w:tcBorders>
              <w:left w:val="single" w:color="000000" w:sz="2" w:space="0"/>
              <w:right w:val="single" w:color="000000" w:sz="2" w:space="0"/>
            </w:tcBorders>
          </w:tcPr>
          <w:p w14:paraId="3F1B2C07">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投标人的方案应具有人员配备安排情况、交货期保证措施，质量保证措施、安全责任措施、规范流程、设备调试、培训等方面内容，评标委员会根据投标人提供的实施方案进行评审，并分别对照以下量化标准进行计分：</w:t>
            </w:r>
          </w:p>
          <w:p w14:paraId="3793B83E">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①人员配备安排情况：投标人提供配备人员数量、姓名及具体的分工安排（包括从项目开始至验收环节整个流程），满足采购需求的要求和项目实际情况的计</w:t>
            </w:r>
            <w:r>
              <w:rPr>
                <w:rFonts w:ascii="仿宋" w:hAnsi="仿宋" w:eastAsia="仿宋" w:cs="仿宋"/>
                <w:spacing w:val="-3"/>
                <w:lang w:eastAsia="zh-CN"/>
              </w:rPr>
              <w:t>3分，未提供技术方案或者方案有明显漏洞或错误的，不计分。</w:t>
            </w:r>
          </w:p>
          <w:p w14:paraId="6CE54621">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②交货期保证措施：投标人根据招标文件采购需求中要求的交货时间和地点，提供实际可行的、满足采购需求的要求和项目实际情况的交货期保证措施的计</w:t>
            </w:r>
            <w:r>
              <w:rPr>
                <w:rFonts w:ascii="仿宋" w:hAnsi="仿宋" w:eastAsia="仿宋" w:cs="仿宋"/>
                <w:spacing w:val="-3"/>
                <w:lang w:eastAsia="zh-CN"/>
              </w:rPr>
              <w:t>4分，未提供技术方案或者方案有明显漏洞或错误的，不计分。</w:t>
            </w:r>
          </w:p>
          <w:p w14:paraId="19DD323B">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③质量保证措施：投标人有提供实际可行的质量保障措施内容的计</w:t>
            </w:r>
            <w:r>
              <w:rPr>
                <w:rFonts w:ascii="仿宋" w:hAnsi="仿宋" w:eastAsia="仿宋" w:cs="仿宋"/>
                <w:spacing w:val="-3"/>
                <w:lang w:eastAsia="zh-CN"/>
              </w:rPr>
              <w:t xml:space="preserve">4 </w:t>
            </w:r>
            <w:r>
              <w:rPr>
                <w:rFonts w:hint="eastAsia" w:ascii="仿宋" w:hAnsi="仿宋" w:eastAsia="仿宋" w:cs="仿宋"/>
                <w:spacing w:val="-3"/>
                <w:lang w:eastAsia="zh-CN"/>
              </w:rPr>
              <w:t>分；未提供方案或者方案有明显漏洞或错误的，不计分。</w:t>
            </w:r>
          </w:p>
          <w:p w14:paraId="15D0C9E1">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④安全责任措施：投标人有提供实际可行的从项目开始至验收环节整个流程的安全责任措施的计</w:t>
            </w:r>
            <w:r>
              <w:rPr>
                <w:rFonts w:ascii="仿宋" w:hAnsi="仿宋" w:eastAsia="仿宋" w:cs="仿宋"/>
                <w:spacing w:val="-3"/>
                <w:lang w:eastAsia="zh-CN"/>
              </w:rPr>
              <w:t xml:space="preserve">4 </w:t>
            </w:r>
            <w:r>
              <w:rPr>
                <w:rFonts w:hint="eastAsia" w:ascii="仿宋" w:hAnsi="仿宋" w:eastAsia="仿宋" w:cs="仿宋"/>
                <w:spacing w:val="-3"/>
                <w:lang w:eastAsia="zh-CN"/>
              </w:rPr>
              <w:t>分；未提供方案或者方案有明显漏洞或错误的，不计分。</w:t>
            </w:r>
          </w:p>
          <w:p w14:paraId="1382D8C7">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⑤规范流程：投标人有提供实际可行的从项目开始、配送、收货至验收环节的规范流程的计</w:t>
            </w:r>
            <w:r>
              <w:rPr>
                <w:rFonts w:ascii="仿宋" w:hAnsi="仿宋" w:eastAsia="仿宋" w:cs="仿宋"/>
                <w:spacing w:val="-3"/>
                <w:lang w:eastAsia="zh-CN"/>
              </w:rPr>
              <w:t xml:space="preserve">3 </w:t>
            </w:r>
            <w:r>
              <w:rPr>
                <w:rFonts w:hint="eastAsia" w:ascii="仿宋" w:hAnsi="仿宋" w:eastAsia="仿宋" w:cs="仿宋"/>
                <w:spacing w:val="-3"/>
                <w:lang w:eastAsia="zh-CN"/>
              </w:rPr>
              <w:t>分；未提供方案或者方案有明显漏洞或错误的，不计分。</w:t>
            </w:r>
          </w:p>
          <w:p w14:paraId="39E0FA82">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⑥设备调试：投标人有提供实际可行的设备调试的具体内容、方法、步骤等内容计</w:t>
            </w:r>
            <w:r>
              <w:rPr>
                <w:rFonts w:ascii="仿宋" w:hAnsi="仿宋" w:eastAsia="仿宋" w:cs="仿宋"/>
                <w:spacing w:val="-3"/>
                <w:lang w:eastAsia="zh-CN"/>
              </w:rPr>
              <w:t xml:space="preserve">4 </w:t>
            </w:r>
            <w:r>
              <w:rPr>
                <w:rFonts w:hint="eastAsia" w:ascii="仿宋" w:hAnsi="仿宋" w:eastAsia="仿宋" w:cs="仿宋"/>
                <w:spacing w:val="-3"/>
                <w:lang w:eastAsia="zh-CN"/>
              </w:rPr>
              <w:t>分；未提供方案或者方案有明显漏洞或错误的，不计分。</w:t>
            </w:r>
          </w:p>
          <w:p w14:paraId="7AE81AA0">
            <w:pPr>
              <w:keepNext w:val="0"/>
              <w:keepLines w:val="0"/>
              <w:pageBreakBefore w:val="0"/>
              <w:widowControl/>
              <w:kinsoku/>
              <w:wordWrap/>
              <w:overflowPunct/>
              <w:topLinePunct w:val="0"/>
              <w:autoSpaceDE/>
              <w:autoSpaceDN/>
              <w:bidi w:val="0"/>
              <w:adjustRightInd/>
              <w:snapToGrid/>
              <w:spacing w:before="141" w:line="240" w:lineRule="auto"/>
              <w:ind w:left="173" w:right="153"/>
              <w:textAlignment w:val="auto"/>
              <w:rPr>
                <w:rFonts w:ascii="仿宋" w:hAnsi="仿宋" w:eastAsia="仿宋" w:cs="仿宋"/>
                <w:spacing w:val="-3"/>
                <w:lang w:eastAsia="zh-CN"/>
              </w:rPr>
            </w:pPr>
            <w:r>
              <w:rPr>
                <w:rFonts w:hint="eastAsia" w:ascii="仿宋" w:hAnsi="仿宋" w:eastAsia="仿宋" w:cs="仿宋"/>
                <w:spacing w:val="-3"/>
                <w:lang w:eastAsia="zh-CN"/>
              </w:rPr>
              <w:t>⑦培训：投标人有提供实际可行的培训方案，至少包括培训的人员、培训的大概内容、培训的安排等内容的计</w:t>
            </w:r>
            <w:r>
              <w:rPr>
                <w:rFonts w:ascii="仿宋" w:hAnsi="仿宋" w:eastAsia="仿宋" w:cs="仿宋"/>
                <w:spacing w:val="-3"/>
                <w:lang w:eastAsia="zh-CN"/>
              </w:rPr>
              <w:t xml:space="preserve">2 </w:t>
            </w:r>
            <w:r>
              <w:rPr>
                <w:rFonts w:hint="eastAsia" w:ascii="仿宋" w:hAnsi="仿宋" w:eastAsia="仿宋" w:cs="仿宋"/>
                <w:spacing w:val="-3"/>
                <w:lang w:eastAsia="zh-CN"/>
              </w:rPr>
              <w:t>分；未提供方案或者方案有明显漏洞或错误的，不计分。</w:t>
            </w:r>
          </w:p>
          <w:p w14:paraId="6A29EEDE">
            <w:pPr>
              <w:keepNext w:val="0"/>
              <w:keepLines w:val="0"/>
              <w:pageBreakBefore w:val="0"/>
              <w:widowControl/>
              <w:wordWrap/>
              <w:overflowPunct/>
              <w:topLinePunct w:val="0"/>
              <w:bidi w:val="0"/>
              <w:spacing w:before="141" w:line="240" w:lineRule="auto"/>
              <w:ind w:left="173" w:right="153"/>
              <w:rPr>
                <w:rFonts w:ascii="仿宋" w:hAnsi="仿宋" w:eastAsia="仿宋" w:cs="仿宋"/>
                <w:lang w:eastAsia="zh-CN"/>
              </w:rPr>
            </w:pPr>
            <w:r>
              <w:rPr>
                <w:rFonts w:hint="eastAsia" w:ascii="仿宋" w:hAnsi="仿宋" w:eastAsia="仿宋" w:cs="仿宋"/>
                <w:spacing w:val="-3"/>
                <w:lang w:eastAsia="zh-CN"/>
              </w:rPr>
              <w:t>“项目实施方案</w:t>
            </w:r>
            <w:r>
              <w:rPr>
                <w:rFonts w:ascii="仿宋" w:hAnsi="仿宋" w:eastAsia="仿宋" w:cs="仿宋"/>
                <w:spacing w:val="-3"/>
                <w:lang w:eastAsia="zh-CN"/>
              </w:rPr>
              <w:t xml:space="preserve"> </w:t>
            </w:r>
            <w:r>
              <w:rPr>
                <w:rFonts w:hint="eastAsia" w:ascii="仿宋" w:hAnsi="仿宋" w:eastAsia="仿宋" w:cs="仿宋"/>
                <w:spacing w:val="-3"/>
                <w:lang w:eastAsia="zh-CN"/>
              </w:rPr>
              <w:t>”评审因素汇总（</w:t>
            </w:r>
            <w:r>
              <w:rPr>
                <w:rFonts w:ascii="仿宋" w:hAnsi="仿宋" w:eastAsia="仿宋" w:cs="仿宋"/>
                <w:spacing w:val="-3"/>
                <w:lang w:eastAsia="zh-CN"/>
              </w:rPr>
              <w:t xml:space="preserve">1 </w:t>
            </w:r>
            <w:r>
              <w:rPr>
                <w:rFonts w:hint="eastAsia" w:ascii="仿宋" w:hAnsi="仿宋" w:eastAsia="仿宋" w:cs="仿宋"/>
                <w:spacing w:val="-3"/>
                <w:lang w:eastAsia="zh-CN"/>
              </w:rPr>
              <w:t>至</w:t>
            </w:r>
            <w:r>
              <w:rPr>
                <w:rFonts w:ascii="仿宋" w:hAnsi="仿宋" w:eastAsia="仿宋" w:cs="仿宋"/>
                <w:spacing w:val="-3"/>
                <w:lang w:eastAsia="zh-CN"/>
              </w:rPr>
              <w:t xml:space="preserve"> 7 </w:t>
            </w:r>
            <w:r>
              <w:rPr>
                <w:rFonts w:hint="eastAsia" w:ascii="仿宋" w:hAnsi="仿宋" w:eastAsia="仿宋" w:cs="仿宋"/>
                <w:spacing w:val="-3"/>
                <w:lang w:eastAsia="zh-CN"/>
              </w:rPr>
              <w:t>项）得分最多计</w:t>
            </w:r>
            <w:r>
              <w:rPr>
                <w:rFonts w:ascii="仿宋" w:hAnsi="仿宋" w:eastAsia="仿宋" w:cs="仿宋"/>
                <w:spacing w:val="-3"/>
                <w:lang w:eastAsia="zh-CN"/>
              </w:rPr>
              <w:t>24分。</w:t>
            </w:r>
          </w:p>
        </w:tc>
      </w:tr>
      <w:tr w14:paraId="470A2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638" w:type="dxa"/>
            <w:tcBorders>
              <w:left w:val="single" w:color="000000" w:sz="2" w:space="0"/>
              <w:right w:val="single" w:color="000000" w:sz="2" w:space="0"/>
            </w:tcBorders>
          </w:tcPr>
          <w:p w14:paraId="79BBEB9F">
            <w:pPr>
              <w:keepNext w:val="0"/>
              <w:keepLines w:val="0"/>
              <w:pageBreakBefore w:val="0"/>
              <w:widowControl/>
              <w:wordWrap/>
              <w:overflowPunct/>
              <w:topLinePunct w:val="0"/>
              <w:bidi w:val="0"/>
              <w:spacing w:line="240" w:lineRule="auto"/>
              <w:rPr>
                <w:lang w:eastAsia="zh-CN"/>
              </w:rPr>
            </w:pPr>
          </w:p>
          <w:p w14:paraId="68A6B185">
            <w:pPr>
              <w:keepNext w:val="0"/>
              <w:keepLines w:val="0"/>
              <w:pageBreakBefore w:val="0"/>
              <w:widowControl/>
              <w:wordWrap/>
              <w:overflowPunct/>
              <w:topLinePunct w:val="0"/>
              <w:bidi w:val="0"/>
              <w:spacing w:before="68" w:line="240" w:lineRule="auto"/>
              <w:ind w:left="278"/>
              <w:rPr>
                <w:rFonts w:ascii="仿宋" w:hAnsi="仿宋" w:eastAsia="仿宋" w:cs="仿宋"/>
              </w:rPr>
            </w:pPr>
            <w:r>
              <w:rPr>
                <w:rFonts w:ascii="仿宋" w:hAnsi="仿宋" w:eastAsia="仿宋" w:cs="仿宋"/>
              </w:rPr>
              <w:t>2</w:t>
            </w:r>
          </w:p>
        </w:tc>
        <w:tc>
          <w:tcPr>
            <w:tcW w:w="1519" w:type="dxa"/>
            <w:tcBorders>
              <w:left w:val="single" w:color="000000" w:sz="2" w:space="0"/>
            </w:tcBorders>
          </w:tcPr>
          <w:p w14:paraId="1B382E14">
            <w:pPr>
              <w:keepNext w:val="0"/>
              <w:keepLines w:val="0"/>
              <w:pageBreakBefore w:val="0"/>
              <w:widowControl/>
              <w:wordWrap/>
              <w:overflowPunct/>
              <w:topLinePunct w:val="0"/>
              <w:bidi w:val="0"/>
              <w:spacing w:before="141" w:line="240" w:lineRule="auto"/>
              <w:ind w:left="350"/>
              <w:rPr>
                <w:rFonts w:ascii="仿宋" w:hAnsi="仿宋" w:eastAsia="仿宋" w:cs="仿宋"/>
                <w:lang w:eastAsia="zh-CN"/>
              </w:rPr>
            </w:pPr>
            <w:r>
              <w:rPr>
                <w:rFonts w:ascii="仿宋" w:hAnsi="仿宋" w:eastAsia="仿宋" w:cs="仿宋"/>
                <w:spacing w:val="-2"/>
                <w:lang w:eastAsia="zh-CN"/>
              </w:rPr>
              <w:t>优先采购</w:t>
            </w:r>
          </w:p>
          <w:p w14:paraId="21AD3378">
            <w:pPr>
              <w:keepNext w:val="0"/>
              <w:keepLines w:val="0"/>
              <w:pageBreakBefore w:val="0"/>
              <w:widowControl/>
              <w:wordWrap/>
              <w:overflowPunct/>
              <w:topLinePunct w:val="0"/>
              <w:bidi w:val="0"/>
              <w:spacing w:before="149" w:line="240" w:lineRule="auto"/>
              <w:ind w:left="561"/>
              <w:rPr>
                <w:rFonts w:ascii="仿宋" w:hAnsi="仿宋" w:eastAsia="仿宋" w:cs="仿宋"/>
                <w:lang w:eastAsia="zh-CN"/>
              </w:rPr>
            </w:pPr>
            <w:r>
              <w:rPr>
                <w:rFonts w:ascii="仿宋" w:hAnsi="仿宋" w:eastAsia="仿宋" w:cs="仿宋"/>
                <w:spacing w:val="-3"/>
                <w:lang w:eastAsia="zh-CN"/>
              </w:rPr>
              <w:t>加分</w:t>
            </w:r>
          </w:p>
          <w:p w14:paraId="7B26DBF2">
            <w:pPr>
              <w:keepNext w:val="0"/>
              <w:keepLines w:val="0"/>
              <w:pageBreakBefore w:val="0"/>
              <w:widowControl/>
              <w:wordWrap/>
              <w:overflowPunct/>
              <w:topLinePunct w:val="0"/>
              <w:bidi w:val="0"/>
              <w:spacing w:before="151" w:line="240" w:lineRule="auto"/>
              <w:ind w:left="153"/>
              <w:rPr>
                <w:rFonts w:ascii="仿宋" w:hAnsi="仿宋" w:eastAsia="仿宋" w:cs="仿宋"/>
                <w:lang w:eastAsia="zh-CN"/>
              </w:rPr>
            </w:pPr>
            <w:r>
              <w:rPr>
                <w:rFonts w:ascii="仿宋" w:hAnsi="仿宋" w:eastAsia="仿宋" w:cs="仿宋"/>
                <w:spacing w:val="-2"/>
                <w:lang w:eastAsia="zh-CN"/>
              </w:rPr>
              <w:t>（F</w:t>
            </w:r>
            <w:r>
              <w:rPr>
                <w:rFonts w:ascii="仿宋" w:hAnsi="仿宋" w:eastAsia="仿宋" w:cs="仿宋"/>
                <w:spacing w:val="-2"/>
                <w:sz w:val="11"/>
                <w:szCs w:val="11"/>
                <w:lang w:eastAsia="zh-CN"/>
              </w:rPr>
              <w:t>优先采购加分</w:t>
            </w:r>
            <w:r>
              <w:rPr>
                <w:rFonts w:ascii="仿宋" w:hAnsi="仿宋" w:eastAsia="仿宋" w:cs="仿宋"/>
                <w:spacing w:val="-2"/>
                <w:lang w:eastAsia="zh-CN"/>
              </w:rPr>
              <w:t>）</w:t>
            </w:r>
          </w:p>
        </w:tc>
        <w:tc>
          <w:tcPr>
            <w:tcW w:w="8003" w:type="dxa"/>
            <w:gridSpan w:val="2"/>
            <w:tcBorders>
              <w:right w:val="single" w:color="000000" w:sz="2" w:space="0"/>
            </w:tcBorders>
          </w:tcPr>
          <w:p w14:paraId="177D23CC">
            <w:pPr>
              <w:keepNext w:val="0"/>
              <w:keepLines w:val="0"/>
              <w:pageBreakBefore w:val="0"/>
              <w:widowControl/>
              <w:wordWrap/>
              <w:overflowPunct/>
              <w:topLinePunct w:val="0"/>
              <w:bidi w:val="0"/>
              <w:spacing w:line="240" w:lineRule="auto"/>
              <w:rPr>
                <w:lang w:eastAsia="zh-CN"/>
              </w:rPr>
            </w:pPr>
          </w:p>
          <w:p w14:paraId="07D99152">
            <w:pPr>
              <w:keepNext w:val="0"/>
              <w:keepLines w:val="0"/>
              <w:pageBreakBefore w:val="0"/>
              <w:widowControl/>
              <w:wordWrap/>
              <w:overflowPunct/>
              <w:topLinePunct w:val="0"/>
              <w:bidi w:val="0"/>
              <w:spacing w:before="68" w:line="240" w:lineRule="auto"/>
              <w:ind w:left="125"/>
              <w:rPr>
                <w:rFonts w:ascii="仿宋" w:hAnsi="仿宋" w:eastAsia="仿宋" w:cs="仿宋"/>
                <w:lang w:eastAsia="zh-CN"/>
              </w:rPr>
            </w:pPr>
            <w:r>
              <w:rPr>
                <w:rFonts w:ascii="仿宋" w:hAnsi="仿宋" w:eastAsia="仿宋" w:cs="仿宋"/>
                <w:spacing w:val="-2"/>
                <w:lang w:eastAsia="zh-CN"/>
              </w:rPr>
              <w:t>1、非强制采购节能产品:给予技术评价项</w:t>
            </w:r>
            <w:r>
              <w:rPr>
                <w:rFonts w:hint="eastAsia" w:ascii="仿宋" w:hAnsi="仿宋" w:eastAsia="仿宋" w:cs="仿宋"/>
                <w:spacing w:val="-2"/>
                <w:lang w:eastAsia="zh-CN"/>
              </w:rPr>
              <w:t>总分值</w:t>
            </w:r>
            <w:r>
              <w:rPr>
                <w:rFonts w:hint="eastAsia" w:ascii="仿宋" w:hAnsi="仿宋" w:eastAsia="仿宋" w:cs="仿宋"/>
                <w:spacing w:val="-2"/>
                <w:u w:val="single"/>
                <w:lang w:eastAsia="zh-CN"/>
              </w:rPr>
              <w:t>4</w:t>
            </w:r>
            <w:r>
              <w:rPr>
                <w:rFonts w:ascii="仿宋" w:hAnsi="仿宋" w:eastAsia="仿宋" w:cs="仿宋"/>
                <w:spacing w:val="-2"/>
                <w:lang w:eastAsia="zh-CN"/>
              </w:rPr>
              <w:t>%的加分；</w:t>
            </w:r>
          </w:p>
          <w:p w14:paraId="1888E1FC">
            <w:pPr>
              <w:keepNext w:val="0"/>
              <w:keepLines w:val="0"/>
              <w:pageBreakBefore w:val="0"/>
              <w:widowControl/>
              <w:wordWrap/>
              <w:overflowPunct/>
              <w:topLinePunct w:val="0"/>
              <w:bidi w:val="0"/>
              <w:spacing w:before="150" w:line="240" w:lineRule="auto"/>
              <w:ind w:left="111"/>
              <w:rPr>
                <w:rFonts w:ascii="仿宋" w:hAnsi="仿宋" w:eastAsia="仿宋" w:cs="仿宋"/>
                <w:lang w:eastAsia="zh-CN"/>
              </w:rPr>
            </w:pPr>
            <w:r>
              <w:rPr>
                <w:rFonts w:ascii="仿宋" w:hAnsi="仿宋" w:eastAsia="仿宋" w:cs="仿宋"/>
                <w:spacing w:val="-1"/>
                <w:lang w:eastAsia="zh-CN"/>
              </w:rPr>
              <w:t>2、环境标志产品:给予技术评价项</w:t>
            </w:r>
            <w:r>
              <w:rPr>
                <w:rFonts w:hint="eastAsia" w:ascii="仿宋" w:hAnsi="仿宋" w:eastAsia="仿宋" w:cs="仿宋"/>
                <w:spacing w:val="-2"/>
                <w:lang w:eastAsia="zh-CN"/>
              </w:rPr>
              <w:t>总分值</w:t>
            </w:r>
            <w:r>
              <w:rPr>
                <w:rFonts w:hint="eastAsia" w:ascii="仿宋" w:hAnsi="仿宋" w:eastAsia="仿宋" w:cs="仿宋"/>
                <w:spacing w:val="-1"/>
                <w:u w:val="single"/>
                <w:lang w:eastAsia="zh-CN"/>
              </w:rPr>
              <w:t>4</w:t>
            </w:r>
            <w:r>
              <w:rPr>
                <w:rFonts w:ascii="仿宋" w:hAnsi="仿宋" w:eastAsia="仿宋" w:cs="仿宋"/>
                <w:spacing w:val="-1"/>
                <w:lang w:eastAsia="zh-CN"/>
              </w:rPr>
              <w:t>%的</w:t>
            </w:r>
            <w:r>
              <w:rPr>
                <w:rFonts w:ascii="仿宋" w:hAnsi="仿宋" w:eastAsia="仿宋" w:cs="仿宋"/>
                <w:spacing w:val="-2"/>
                <w:lang w:eastAsia="zh-CN"/>
              </w:rPr>
              <w:t>加分；</w:t>
            </w:r>
          </w:p>
        </w:tc>
      </w:tr>
      <w:tr w14:paraId="7DE28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638" w:type="dxa"/>
            <w:tcBorders>
              <w:left w:val="single" w:color="000000" w:sz="2" w:space="0"/>
              <w:bottom w:val="single" w:color="000000" w:sz="2" w:space="0"/>
              <w:right w:val="single" w:color="000000" w:sz="2" w:space="0"/>
            </w:tcBorders>
          </w:tcPr>
          <w:p w14:paraId="424177A1">
            <w:pPr>
              <w:keepNext w:val="0"/>
              <w:keepLines w:val="0"/>
              <w:pageBreakBefore w:val="0"/>
              <w:widowControl/>
              <w:wordWrap/>
              <w:overflowPunct/>
              <w:topLinePunct w:val="0"/>
              <w:bidi w:val="0"/>
              <w:spacing w:before="146" w:line="240" w:lineRule="auto"/>
              <w:ind w:left="247"/>
              <w:rPr>
                <w:rFonts w:ascii="仿宋" w:hAnsi="仿宋" w:eastAsia="仿宋" w:cs="仿宋"/>
              </w:rPr>
            </w:pPr>
            <w:r>
              <w:rPr>
                <w:rFonts w:ascii="仿宋" w:hAnsi="仿宋" w:eastAsia="仿宋" w:cs="仿宋"/>
              </w:rPr>
              <w:t>∑</w:t>
            </w:r>
          </w:p>
        </w:tc>
        <w:tc>
          <w:tcPr>
            <w:tcW w:w="9522" w:type="dxa"/>
            <w:gridSpan w:val="3"/>
            <w:tcBorders>
              <w:left w:val="single" w:color="000000" w:sz="2" w:space="0"/>
              <w:bottom w:val="single" w:color="000000" w:sz="2" w:space="0"/>
              <w:right w:val="single" w:color="000000" w:sz="2" w:space="0"/>
            </w:tcBorders>
          </w:tcPr>
          <w:p w14:paraId="7A605D34">
            <w:pPr>
              <w:keepNext w:val="0"/>
              <w:keepLines w:val="0"/>
              <w:pageBreakBefore w:val="0"/>
              <w:widowControl/>
              <w:wordWrap/>
              <w:overflowPunct/>
              <w:topLinePunct w:val="0"/>
              <w:bidi w:val="0"/>
              <w:spacing w:before="187" w:line="240" w:lineRule="auto"/>
              <w:ind w:left="110"/>
              <w:rPr>
                <w:rFonts w:ascii="仿宋" w:hAnsi="仿宋" w:eastAsia="仿宋" w:cs="仿宋"/>
                <w:sz w:val="11"/>
                <w:szCs w:val="11"/>
              </w:rPr>
            </w:pPr>
            <w:r>
              <w:rPr>
                <w:rFonts w:ascii="仿宋" w:hAnsi="仿宋" w:eastAsia="仿宋" w:cs="仿宋"/>
                <w:spacing w:val="-1"/>
              </w:rPr>
              <w:t>F</w:t>
            </w:r>
            <w:r>
              <w:rPr>
                <w:rFonts w:ascii="仿宋" w:hAnsi="仿宋" w:eastAsia="仿宋" w:cs="仿宋"/>
                <w:spacing w:val="-1"/>
                <w:sz w:val="11"/>
                <w:szCs w:val="11"/>
              </w:rPr>
              <w:t>2</w:t>
            </w:r>
            <w:r>
              <w:rPr>
                <w:rFonts w:ascii="仿宋" w:hAnsi="仿宋" w:eastAsia="仿宋" w:cs="仿宋"/>
                <w:spacing w:val="-1"/>
              </w:rPr>
              <w:t>=F+ F</w:t>
            </w:r>
            <w:r>
              <w:rPr>
                <w:rFonts w:ascii="仿宋" w:hAnsi="仿宋" w:eastAsia="仿宋" w:cs="仿宋"/>
                <w:spacing w:val="-1"/>
                <w:sz w:val="11"/>
                <w:szCs w:val="11"/>
              </w:rPr>
              <w:t>优先采购加分</w:t>
            </w:r>
          </w:p>
        </w:tc>
      </w:tr>
    </w:tbl>
    <w:p w14:paraId="0F08EF09">
      <w:pPr>
        <w:keepNext w:val="0"/>
        <w:keepLines w:val="0"/>
        <w:pageBreakBefore w:val="0"/>
        <w:widowControl/>
        <w:wordWrap/>
        <w:overflowPunct/>
        <w:topLinePunct w:val="0"/>
        <w:bidi w:val="0"/>
        <w:spacing w:line="240" w:lineRule="auto"/>
      </w:pPr>
    </w:p>
    <w:p w14:paraId="0E784773">
      <w:pPr>
        <w:keepNext w:val="0"/>
        <w:keepLines w:val="0"/>
        <w:pageBreakBefore w:val="0"/>
        <w:widowControl/>
        <w:wordWrap/>
        <w:overflowPunct/>
        <w:topLinePunct w:val="0"/>
        <w:bidi w:val="0"/>
        <w:spacing w:line="240" w:lineRule="auto"/>
      </w:pPr>
    </w:p>
    <w:p w14:paraId="46EA8097">
      <w:pPr>
        <w:rPr>
          <w:b/>
          <w:bCs/>
          <w:spacing w:val="-8"/>
          <w:sz w:val="24"/>
          <w:szCs w:val="24"/>
          <w:lang w:eastAsia="zh-CN"/>
        </w:rPr>
      </w:pPr>
      <w:r>
        <w:rPr>
          <w:b/>
          <w:bCs/>
          <w:spacing w:val="-8"/>
          <w:sz w:val="24"/>
          <w:szCs w:val="24"/>
          <w:lang w:eastAsia="zh-CN"/>
        </w:rPr>
        <w:br w:type="page"/>
      </w:r>
    </w:p>
    <w:p w14:paraId="49D1FC86">
      <w:pPr>
        <w:pStyle w:val="2"/>
        <w:keepNext w:val="0"/>
        <w:keepLines w:val="0"/>
        <w:pageBreakBefore w:val="0"/>
        <w:widowControl/>
        <w:wordWrap/>
        <w:overflowPunct/>
        <w:topLinePunct w:val="0"/>
        <w:bidi w:val="0"/>
        <w:spacing w:before="78" w:line="240" w:lineRule="auto"/>
        <w:ind w:left="54"/>
        <w:outlineLvl w:val="3"/>
        <w:rPr>
          <w:sz w:val="24"/>
          <w:szCs w:val="24"/>
          <w:lang w:eastAsia="zh-CN"/>
        </w:rPr>
      </w:pPr>
      <w:r>
        <w:rPr>
          <w:b/>
          <w:bCs/>
          <w:spacing w:val="-8"/>
          <w:sz w:val="24"/>
          <w:szCs w:val="24"/>
          <w:lang w:eastAsia="zh-CN"/>
        </w:rPr>
        <w:t>附表1.3</w:t>
      </w:r>
      <w:r>
        <w:rPr>
          <w:rFonts w:hint="eastAsia"/>
          <w:b/>
          <w:bCs/>
          <w:spacing w:val="-8"/>
          <w:sz w:val="24"/>
          <w:szCs w:val="24"/>
          <w:lang w:val="en-US" w:eastAsia="zh-CN"/>
        </w:rPr>
        <w:t xml:space="preserve"> </w:t>
      </w:r>
      <w:r>
        <w:rPr>
          <w:b/>
          <w:bCs/>
          <w:spacing w:val="-8"/>
          <w:sz w:val="24"/>
          <w:szCs w:val="24"/>
          <w:lang w:eastAsia="zh-CN"/>
        </w:rPr>
        <w:t>商务部分评审标准表</w:t>
      </w:r>
    </w:p>
    <w:p w14:paraId="01F03316">
      <w:pPr>
        <w:keepNext w:val="0"/>
        <w:keepLines w:val="0"/>
        <w:pageBreakBefore w:val="0"/>
        <w:widowControl/>
        <w:wordWrap/>
        <w:overflowPunct/>
        <w:topLinePunct w:val="0"/>
        <w:bidi w:val="0"/>
        <w:spacing w:line="240" w:lineRule="auto"/>
        <w:rPr>
          <w:lang w:eastAsia="zh-CN"/>
        </w:rPr>
      </w:pPr>
    </w:p>
    <w:tbl>
      <w:tblPr>
        <w:tblStyle w:val="20"/>
        <w:tblpPr w:leftFromText="180" w:rightFromText="180" w:vertAnchor="text" w:horzAnchor="page" w:tblpX="1387" w:tblpY="147"/>
        <w:tblOverlap w:val="never"/>
        <w:tblW w:w="987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3"/>
        <w:gridCol w:w="1204"/>
        <w:gridCol w:w="1105"/>
        <w:gridCol w:w="6842"/>
      </w:tblGrid>
      <w:tr w14:paraId="55463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723" w:type="dxa"/>
            <w:tcBorders>
              <w:bottom w:val="single" w:color="000000" w:sz="4" w:space="0"/>
            </w:tcBorders>
            <w:textDirection w:val="tbRlV"/>
          </w:tcPr>
          <w:p w14:paraId="0DEFF025">
            <w:pPr>
              <w:keepNext w:val="0"/>
              <w:keepLines w:val="0"/>
              <w:pageBreakBefore w:val="0"/>
              <w:widowControl/>
              <w:wordWrap/>
              <w:overflowPunct/>
              <w:topLinePunct w:val="0"/>
              <w:bidi w:val="0"/>
              <w:spacing w:before="157" w:line="240" w:lineRule="auto"/>
              <w:ind w:left="149"/>
              <w:rPr>
                <w:rFonts w:ascii="仿宋" w:hAnsi="仿宋" w:eastAsia="仿宋" w:cs="仿宋"/>
                <w:lang w:eastAsia="zh-CN"/>
              </w:rPr>
            </w:pPr>
            <w:r>
              <w:rPr>
                <w:rFonts w:hint="eastAsia" w:ascii="仿宋" w:hAnsi="仿宋" w:eastAsia="仿宋" w:cs="仿宋"/>
                <w:lang w:eastAsia="zh-CN"/>
              </w:rPr>
              <w:t>序号</w:t>
            </w:r>
          </w:p>
        </w:tc>
        <w:tc>
          <w:tcPr>
            <w:tcW w:w="1204" w:type="dxa"/>
            <w:tcBorders>
              <w:bottom w:val="single" w:color="000000" w:sz="4" w:space="0"/>
            </w:tcBorders>
          </w:tcPr>
          <w:p w14:paraId="100D7C9C">
            <w:pPr>
              <w:keepNext w:val="0"/>
              <w:keepLines w:val="0"/>
              <w:pageBreakBefore w:val="0"/>
              <w:widowControl/>
              <w:wordWrap/>
              <w:overflowPunct/>
              <w:topLinePunct w:val="0"/>
              <w:bidi w:val="0"/>
              <w:spacing w:before="149" w:line="240" w:lineRule="auto"/>
              <w:ind w:left="279"/>
              <w:rPr>
                <w:rFonts w:ascii="仿宋" w:hAnsi="仿宋" w:eastAsia="仿宋" w:cs="仿宋"/>
              </w:rPr>
            </w:pPr>
            <w:r>
              <w:rPr>
                <w:rFonts w:ascii="仿宋" w:hAnsi="仿宋" w:eastAsia="仿宋" w:cs="仿宋"/>
                <w:spacing w:val="-5"/>
              </w:rPr>
              <w:t>评标因素</w:t>
            </w:r>
          </w:p>
          <w:p w14:paraId="0F192C66">
            <w:pPr>
              <w:keepNext w:val="0"/>
              <w:keepLines w:val="0"/>
              <w:pageBreakBefore w:val="0"/>
              <w:widowControl/>
              <w:wordWrap/>
              <w:overflowPunct/>
              <w:topLinePunct w:val="0"/>
              <w:bidi w:val="0"/>
              <w:spacing w:before="129" w:line="240" w:lineRule="auto"/>
              <w:ind w:left="279"/>
              <w:rPr>
                <w:rFonts w:ascii="仿宋" w:hAnsi="仿宋" w:eastAsia="仿宋" w:cs="仿宋"/>
              </w:rPr>
            </w:pPr>
            <w:r>
              <w:rPr>
                <w:rFonts w:ascii="仿宋" w:hAnsi="仿宋" w:eastAsia="仿宋" w:cs="仿宋"/>
                <w:spacing w:val="-7"/>
              </w:rPr>
              <w:t>（分值）</w:t>
            </w:r>
          </w:p>
        </w:tc>
        <w:tc>
          <w:tcPr>
            <w:tcW w:w="7947" w:type="dxa"/>
            <w:gridSpan w:val="2"/>
            <w:tcBorders>
              <w:bottom w:val="single" w:color="000000" w:sz="4" w:space="0"/>
            </w:tcBorders>
          </w:tcPr>
          <w:p w14:paraId="14909DEA">
            <w:pPr>
              <w:keepNext w:val="0"/>
              <w:keepLines w:val="0"/>
              <w:pageBreakBefore w:val="0"/>
              <w:widowControl/>
              <w:wordWrap/>
              <w:overflowPunct/>
              <w:topLinePunct w:val="0"/>
              <w:bidi w:val="0"/>
              <w:spacing w:line="240" w:lineRule="auto"/>
            </w:pPr>
          </w:p>
          <w:p w14:paraId="569FA5D9">
            <w:pPr>
              <w:keepNext w:val="0"/>
              <w:keepLines w:val="0"/>
              <w:pageBreakBefore w:val="0"/>
              <w:widowControl/>
              <w:wordWrap/>
              <w:overflowPunct/>
              <w:topLinePunct w:val="0"/>
              <w:bidi w:val="0"/>
              <w:spacing w:before="69" w:line="240" w:lineRule="auto"/>
              <w:ind w:left="3014"/>
              <w:rPr>
                <w:rFonts w:ascii="仿宋" w:hAnsi="仿宋" w:eastAsia="仿宋" w:cs="仿宋"/>
              </w:rPr>
            </w:pPr>
            <w:r>
              <w:rPr>
                <w:rFonts w:ascii="仿宋" w:hAnsi="仿宋" w:eastAsia="仿宋" w:cs="仿宋"/>
                <w:spacing w:val="-5"/>
              </w:rPr>
              <w:t>评标标准</w:t>
            </w:r>
          </w:p>
        </w:tc>
      </w:tr>
      <w:tr w14:paraId="40C20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723" w:type="dxa"/>
            <w:vMerge w:val="restart"/>
            <w:tcBorders>
              <w:top w:val="single" w:color="000000" w:sz="4" w:space="0"/>
              <w:bottom w:val="nil"/>
            </w:tcBorders>
          </w:tcPr>
          <w:p w14:paraId="48BAB166">
            <w:pPr>
              <w:keepNext w:val="0"/>
              <w:keepLines w:val="0"/>
              <w:pageBreakBefore w:val="0"/>
              <w:widowControl/>
              <w:wordWrap/>
              <w:overflowPunct/>
              <w:topLinePunct w:val="0"/>
              <w:bidi w:val="0"/>
              <w:spacing w:line="240" w:lineRule="auto"/>
            </w:pPr>
          </w:p>
          <w:p w14:paraId="5DEE4BCC">
            <w:pPr>
              <w:keepNext w:val="0"/>
              <w:keepLines w:val="0"/>
              <w:pageBreakBefore w:val="0"/>
              <w:widowControl/>
              <w:wordWrap/>
              <w:overflowPunct/>
              <w:topLinePunct w:val="0"/>
              <w:bidi w:val="0"/>
              <w:spacing w:line="240" w:lineRule="auto"/>
            </w:pPr>
          </w:p>
          <w:p w14:paraId="7B5B1366">
            <w:pPr>
              <w:keepNext w:val="0"/>
              <w:keepLines w:val="0"/>
              <w:pageBreakBefore w:val="0"/>
              <w:widowControl/>
              <w:wordWrap/>
              <w:overflowPunct/>
              <w:topLinePunct w:val="0"/>
              <w:bidi w:val="0"/>
              <w:spacing w:line="240" w:lineRule="auto"/>
            </w:pPr>
          </w:p>
          <w:p w14:paraId="33B65806">
            <w:pPr>
              <w:keepNext w:val="0"/>
              <w:keepLines w:val="0"/>
              <w:pageBreakBefore w:val="0"/>
              <w:widowControl/>
              <w:wordWrap/>
              <w:overflowPunct/>
              <w:topLinePunct w:val="0"/>
              <w:bidi w:val="0"/>
              <w:spacing w:line="240" w:lineRule="auto"/>
            </w:pPr>
          </w:p>
          <w:p w14:paraId="78570082">
            <w:pPr>
              <w:keepNext w:val="0"/>
              <w:keepLines w:val="0"/>
              <w:pageBreakBefore w:val="0"/>
              <w:widowControl/>
              <w:wordWrap/>
              <w:overflowPunct/>
              <w:topLinePunct w:val="0"/>
              <w:bidi w:val="0"/>
              <w:spacing w:line="240" w:lineRule="auto"/>
            </w:pPr>
          </w:p>
          <w:p w14:paraId="1FBD1C74">
            <w:pPr>
              <w:keepNext w:val="0"/>
              <w:keepLines w:val="0"/>
              <w:pageBreakBefore w:val="0"/>
              <w:widowControl/>
              <w:wordWrap/>
              <w:overflowPunct/>
              <w:topLinePunct w:val="0"/>
              <w:bidi w:val="0"/>
              <w:spacing w:line="240" w:lineRule="auto"/>
            </w:pPr>
          </w:p>
          <w:p w14:paraId="75F7CAC1">
            <w:pPr>
              <w:keepNext w:val="0"/>
              <w:keepLines w:val="0"/>
              <w:pageBreakBefore w:val="0"/>
              <w:widowControl/>
              <w:wordWrap/>
              <w:overflowPunct/>
              <w:topLinePunct w:val="0"/>
              <w:bidi w:val="0"/>
              <w:spacing w:line="240" w:lineRule="auto"/>
            </w:pPr>
          </w:p>
          <w:p w14:paraId="057449D6">
            <w:pPr>
              <w:keepNext w:val="0"/>
              <w:keepLines w:val="0"/>
              <w:pageBreakBefore w:val="0"/>
              <w:widowControl/>
              <w:wordWrap/>
              <w:overflowPunct/>
              <w:topLinePunct w:val="0"/>
              <w:bidi w:val="0"/>
              <w:spacing w:line="240" w:lineRule="auto"/>
            </w:pPr>
          </w:p>
          <w:p w14:paraId="08561716">
            <w:pPr>
              <w:keepNext w:val="0"/>
              <w:keepLines w:val="0"/>
              <w:pageBreakBefore w:val="0"/>
              <w:widowControl/>
              <w:wordWrap/>
              <w:overflowPunct/>
              <w:topLinePunct w:val="0"/>
              <w:bidi w:val="0"/>
              <w:spacing w:line="240" w:lineRule="auto"/>
            </w:pPr>
          </w:p>
          <w:p w14:paraId="4D4DADC1">
            <w:pPr>
              <w:keepNext w:val="0"/>
              <w:keepLines w:val="0"/>
              <w:pageBreakBefore w:val="0"/>
              <w:widowControl/>
              <w:wordWrap/>
              <w:overflowPunct/>
              <w:topLinePunct w:val="0"/>
              <w:bidi w:val="0"/>
              <w:spacing w:line="240" w:lineRule="auto"/>
            </w:pPr>
          </w:p>
          <w:p w14:paraId="7CE2D535">
            <w:pPr>
              <w:keepNext w:val="0"/>
              <w:keepLines w:val="0"/>
              <w:pageBreakBefore w:val="0"/>
              <w:widowControl/>
              <w:wordWrap/>
              <w:overflowPunct/>
              <w:topLinePunct w:val="0"/>
              <w:bidi w:val="0"/>
              <w:spacing w:line="240" w:lineRule="auto"/>
            </w:pPr>
          </w:p>
          <w:p w14:paraId="4500F3BF">
            <w:pPr>
              <w:keepNext w:val="0"/>
              <w:keepLines w:val="0"/>
              <w:pageBreakBefore w:val="0"/>
              <w:widowControl/>
              <w:wordWrap/>
              <w:overflowPunct/>
              <w:topLinePunct w:val="0"/>
              <w:bidi w:val="0"/>
              <w:spacing w:line="240" w:lineRule="auto"/>
            </w:pPr>
          </w:p>
          <w:p w14:paraId="5081E9FC">
            <w:pPr>
              <w:keepNext w:val="0"/>
              <w:keepLines w:val="0"/>
              <w:pageBreakBefore w:val="0"/>
              <w:widowControl/>
              <w:wordWrap/>
              <w:overflowPunct/>
              <w:topLinePunct w:val="0"/>
              <w:bidi w:val="0"/>
              <w:spacing w:line="240" w:lineRule="auto"/>
            </w:pPr>
          </w:p>
          <w:p w14:paraId="22E7D529">
            <w:pPr>
              <w:keepNext w:val="0"/>
              <w:keepLines w:val="0"/>
              <w:pageBreakBefore w:val="0"/>
              <w:widowControl/>
              <w:wordWrap/>
              <w:overflowPunct/>
              <w:topLinePunct w:val="0"/>
              <w:bidi w:val="0"/>
              <w:spacing w:line="240" w:lineRule="auto"/>
            </w:pPr>
          </w:p>
          <w:p w14:paraId="4EF135F8">
            <w:pPr>
              <w:keepNext w:val="0"/>
              <w:keepLines w:val="0"/>
              <w:pageBreakBefore w:val="0"/>
              <w:widowControl/>
              <w:wordWrap/>
              <w:overflowPunct/>
              <w:topLinePunct w:val="0"/>
              <w:bidi w:val="0"/>
              <w:spacing w:line="240" w:lineRule="auto"/>
            </w:pPr>
          </w:p>
          <w:p w14:paraId="58DEBA83">
            <w:pPr>
              <w:keepNext w:val="0"/>
              <w:keepLines w:val="0"/>
              <w:pageBreakBefore w:val="0"/>
              <w:widowControl/>
              <w:wordWrap/>
              <w:overflowPunct/>
              <w:topLinePunct w:val="0"/>
              <w:bidi w:val="0"/>
              <w:spacing w:line="240" w:lineRule="auto"/>
            </w:pPr>
          </w:p>
          <w:p w14:paraId="652AA3F3">
            <w:pPr>
              <w:keepNext w:val="0"/>
              <w:keepLines w:val="0"/>
              <w:pageBreakBefore w:val="0"/>
              <w:widowControl/>
              <w:wordWrap/>
              <w:overflowPunct/>
              <w:topLinePunct w:val="0"/>
              <w:bidi w:val="0"/>
              <w:spacing w:line="240" w:lineRule="auto"/>
            </w:pPr>
          </w:p>
          <w:p w14:paraId="0714FB81">
            <w:pPr>
              <w:keepNext w:val="0"/>
              <w:keepLines w:val="0"/>
              <w:pageBreakBefore w:val="0"/>
              <w:widowControl/>
              <w:wordWrap/>
              <w:overflowPunct/>
              <w:topLinePunct w:val="0"/>
              <w:bidi w:val="0"/>
              <w:spacing w:line="240" w:lineRule="auto"/>
            </w:pPr>
          </w:p>
          <w:p w14:paraId="35263BBA">
            <w:pPr>
              <w:keepNext w:val="0"/>
              <w:keepLines w:val="0"/>
              <w:pageBreakBefore w:val="0"/>
              <w:widowControl/>
              <w:wordWrap/>
              <w:overflowPunct/>
              <w:topLinePunct w:val="0"/>
              <w:bidi w:val="0"/>
              <w:spacing w:line="240" w:lineRule="auto"/>
            </w:pPr>
          </w:p>
          <w:p w14:paraId="0949A22B">
            <w:pPr>
              <w:keepNext w:val="0"/>
              <w:keepLines w:val="0"/>
              <w:pageBreakBefore w:val="0"/>
              <w:widowControl/>
              <w:wordWrap/>
              <w:overflowPunct/>
              <w:topLinePunct w:val="0"/>
              <w:bidi w:val="0"/>
              <w:spacing w:line="240" w:lineRule="auto"/>
            </w:pPr>
          </w:p>
          <w:p w14:paraId="447F044B">
            <w:pPr>
              <w:keepNext w:val="0"/>
              <w:keepLines w:val="0"/>
              <w:pageBreakBefore w:val="0"/>
              <w:widowControl/>
              <w:wordWrap/>
              <w:overflowPunct/>
              <w:topLinePunct w:val="0"/>
              <w:bidi w:val="0"/>
              <w:spacing w:before="68" w:line="240" w:lineRule="auto"/>
              <w:ind w:left="248"/>
              <w:rPr>
                <w:rFonts w:ascii="仿宋" w:hAnsi="仿宋" w:eastAsia="仿宋" w:cs="仿宋"/>
              </w:rPr>
            </w:pPr>
            <w:r>
              <w:rPr>
                <w:rFonts w:ascii="仿宋" w:hAnsi="仿宋" w:eastAsia="仿宋" w:cs="仿宋"/>
              </w:rPr>
              <w:t>1</w:t>
            </w:r>
          </w:p>
        </w:tc>
        <w:tc>
          <w:tcPr>
            <w:tcW w:w="1204" w:type="dxa"/>
            <w:vMerge w:val="restart"/>
            <w:tcBorders>
              <w:top w:val="single" w:color="000000" w:sz="4" w:space="0"/>
              <w:bottom w:val="nil"/>
              <w:right w:val="single" w:color="000000" w:sz="4" w:space="0"/>
            </w:tcBorders>
          </w:tcPr>
          <w:p w14:paraId="6F2D98A9">
            <w:pPr>
              <w:keepNext w:val="0"/>
              <w:keepLines w:val="0"/>
              <w:pageBreakBefore w:val="0"/>
              <w:widowControl/>
              <w:wordWrap/>
              <w:overflowPunct/>
              <w:topLinePunct w:val="0"/>
              <w:bidi w:val="0"/>
              <w:spacing w:line="240" w:lineRule="auto"/>
            </w:pPr>
          </w:p>
          <w:p w14:paraId="12DD12A8">
            <w:pPr>
              <w:keepNext w:val="0"/>
              <w:keepLines w:val="0"/>
              <w:pageBreakBefore w:val="0"/>
              <w:widowControl/>
              <w:wordWrap/>
              <w:overflowPunct/>
              <w:topLinePunct w:val="0"/>
              <w:bidi w:val="0"/>
              <w:spacing w:line="240" w:lineRule="auto"/>
            </w:pPr>
          </w:p>
          <w:p w14:paraId="3781B95D">
            <w:pPr>
              <w:keepNext w:val="0"/>
              <w:keepLines w:val="0"/>
              <w:pageBreakBefore w:val="0"/>
              <w:widowControl/>
              <w:wordWrap/>
              <w:overflowPunct/>
              <w:topLinePunct w:val="0"/>
              <w:bidi w:val="0"/>
              <w:spacing w:line="240" w:lineRule="auto"/>
            </w:pPr>
          </w:p>
          <w:p w14:paraId="2FD427FA">
            <w:pPr>
              <w:keepNext w:val="0"/>
              <w:keepLines w:val="0"/>
              <w:pageBreakBefore w:val="0"/>
              <w:widowControl/>
              <w:wordWrap/>
              <w:overflowPunct/>
              <w:topLinePunct w:val="0"/>
              <w:bidi w:val="0"/>
              <w:spacing w:line="240" w:lineRule="auto"/>
            </w:pPr>
          </w:p>
          <w:p w14:paraId="607BA668">
            <w:pPr>
              <w:keepNext w:val="0"/>
              <w:keepLines w:val="0"/>
              <w:pageBreakBefore w:val="0"/>
              <w:widowControl/>
              <w:wordWrap/>
              <w:overflowPunct/>
              <w:topLinePunct w:val="0"/>
              <w:bidi w:val="0"/>
              <w:spacing w:line="240" w:lineRule="auto"/>
            </w:pPr>
          </w:p>
          <w:p w14:paraId="14B1FD2A">
            <w:pPr>
              <w:keepNext w:val="0"/>
              <w:keepLines w:val="0"/>
              <w:pageBreakBefore w:val="0"/>
              <w:widowControl/>
              <w:wordWrap/>
              <w:overflowPunct/>
              <w:topLinePunct w:val="0"/>
              <w:bidi w:val="0"/>
              <w:spacing w:line="240" w:lineRule="auto"/>
            </w:pPr>
          </w:p>
          <w:p w14:paraId="29AEC6B9">
            <w:pPr>
              <w:keepNext w:val="0"/>
              <w:keepLines w:val="0"/>
              <w:pageBreakBefore w:val="0"/>
              <w:widowControl/>
              <w:wordWrap/>
              <w:overflowPunct/>
              <w:topLinePunct w:val="0"/>
              <w:bidi w:val="0"/>
              <w:spacing w:line="240" w:lineRule="auto"/>
            </w:pPr>
          </w:p>
          <w:p w14:paraId="730E0AAA">
            <w:pPr>
              <w:keepNext w:val="0"/>
              <w:keepLines w:val="0"/>
              <w:pageBreakBefore w:val="0"/>
              <w:widowControl/>
              <w:wordWrap/>
              <w:overflowPunct/>
              <w:topLinePunct w:val="0"/>
              <w:bidi w:val="0"/>
              <w:spacing w:line="240" w:lineRule="auto"/>
            </w:pPr>
          </w:p>
          <w:p w14:paraId="094B213A">
            <w:pPr>
              <w:keepNext w:val="0"/>
              <w:keepLines w:val="0"/>
              <w:pageBreakBefore w:val="0"/>
              <w:widowControl/>
              <w:wordWrap/>
              <w:overflowPunct/>
              <w:topLinePunct w:val="0"/>
              <w:bidi w:val="0"/>
              <w:spacing w:line="240" w:lineRule="auto"/>
            </w:pPr>
          </w:p>
          <w:p w14:paraId="225EBB82">
            <w:pPr>
              <w:keepNext w:val="0"/>
              <w:keepLines w:val="0"/>
              <w:pageBreakBefore w:val="0"/>
              <w:widowControl/>
              <w:wordWrap/>
              <w:overflowPunct/>
              <w:topLinePunct w:val="0"/>
              <w:bidi w:val="0"/>
              <w:spacing w:line="240" w:lineRule="auto"/>
            </w:pPr>
          </w:p>
          <w:p w14:paraId="79C90858">
            <w:pPr>
              <w:keepNext w:val="0"/>
              <w:keepLines w:val="0"/>
              <w:pageBreakBefore w:val="0"/>
              <w:widowControl/>
              <w:wordWrap/>
              <w:overflowPunct/>
              <w:topLinePunct w:val="0"/>
              <w:bidi w:val="0"/>
              <w:spacing w:line="240" w:lineRule="auto"/>
            </w:pPr>
          </w:p>
          <w:p w14:paraId="6CF2E763">
            <w:pPr>
              <w:keepNext w:val="0"/>
              <w:keepLines w:val="0"/>
              <w:pageBreakBefore w:val="0"/>
              <w:widowControl/>
              <w:wordWrap/>
              <w:overflowPunct/>
              <w:topLinePunct w:val="0"/>
              <w:bidi w:val="0"/>
              <w:spacing w:line="240" w:lineRule="auto"/>
            </w:pPr>
          </w:p>
          <w:p w14:paraId="6176D470">
            <w:pPr>
              <w:keepNext w:val="0"/>
              <w:keepLines w:val="0"/>
              <w:pageBreakBefore w:val="0"/>
              <w:widowControl/>
              <w:wordWrap/>
              <w:overflowPunct/>
              <w:topLinePunct w:val="0"/>
              <w:bidi w:val="0"/>
              <w:spacing w:line="240" w:lineRule="auto"/>
            </w:pPr>
          </w:p>
          <w:p w14:paraId="0288C46B">
            <w:pPr>
              <w:keepNext w:val="0"/>
              <w:keepLines w:val="0"/>
              <w:pageBreakBefore w:val="0"/>
              <w:widowControl/>
              <w:wordWrap/>
              <w:overflowPunct/>
              <w:topLinePunct w:val="0"/>
              <w:bidi w:val="0"/>
              <w:spacing w:line="240" w:lineRule="auto"/>
            </w:pPr>
          </w:p>
          <w:p w14:paraId="38DDB26B">
            <w:pPr>
              <w:keepNext w:val="0"/>
              <w:keepLines w:val="0"/>
              <w:pageBreakBefore w:val="0"/>
              <w:widowControl/>
              <w:wordWrap/>
              <w:overflowPunct/>
              <w:topLinePunct w:val="0"/>
              <w:bidi w:val="0"/>
              <w:spacing w:line="240" w:lineRule="auto"/>
            </w:pPr>
          </w:p>
          <w:p w14:paraId="1DA77649">
            <w:pPr>
              <w:keepNext w:val="0"/>
              <w:keepLines w:val="0"/>
              <w:pageBreakBefore w:val="0"/>
              <w:widowControl/>
              <w:wordWrap/>
              <w:overflowPunct/>
              <w:topLinePunct w:val="0"/>
              <w:bidi w:val="0"/>
              <w:spacing w:line="240" w:lineRule="auto"/>
            </w:pPr>
          </w:p>
          <w:p w14:paraId="185D40EF">
            <w:pPr>
              <w:keepNext w:val="0"/>
              <w:keepLines w:val="0"/>
              <w:pageBreakBefore w:val="0"/>
              <w:widowControl/>
              <w:wordWrap/>
              <w:overflowPunct/>
              <w:topLinePunct w:val="0"/>
              <w:bidi w:val="0"/>
              <w:spacing w:line="240" w:lineRule="auto"/>
            </w:pPr>
          </w:p>
          <w:p w14:paraId="119C3458">
            <w:pPr>
              <w:keepNext w:val="0"/>
              <w:keepLines w:val="0"/>
              <w:pageBreakBefore w:val="0"/>
              <w:widowControl/>
              <w:wordWrap/>
              <w:overflowPunct/>
              <w:topLinePunct w:val="0"/>
              <w:bidi w:val="0"/>
              <w:spacing w:line="240" w:lineRule="auto"/>
            </w:pPr>
          </w:p>
          <w:p w14:paraId="16A04BE8">
            <w:pPr>
              <w:keepNext w:val="0"/>
              <w:keepLines w:val="0"/>
              <w:pageBreakBefore w:val="0"/>
              <w:widowControl/>
              <w:wordWrap/>
              <w:overflowPunct/>
              <w:topLinePunct w:val="0"/>
              <w:bidi w:val="0"/>
              <w:spacing w:line="240" w:lineRule="auto"/>
            </w:pPr>
          </w:p>
          <w:p w14:paraId="6746E651">
            <w:pPr>
              <w:keepNext w:val="0"/>
              <w:keepLines w:val="0"/>
              <w:pageBreakBefore w:val="0"/>
              <w:widowControl/>
              <w:wordWrap/>
              <w:overflowPunct/>
              <w:topLinePunct w:val="0"/>
              <w:bidi w:val="0"/>
              <w:spacing w:before="69" w:line="240" w:lineRule="auto"/>
              <w:ind w:left="180"/>
              <w:rPr>
                <w:rFonts w:ascii="仿宋" w:hAnsi="仿宋" w:eastAsia="仿宋" w:cs="仿宋"/>
              </w:rPr>
            </w:pPr>
            <w:r>
              <w:rPr>
                <w:rFonts w:ascii="仿宋" w:hAnsi="仿宋" w:eastAsia="仿宋" w:cs="仿宋"/>
                <w:spacing w:val="-3"/>
              </w:rPr>
              <w:t>商务评价项</w:t>
            </w:r>
          </w:p>
          <w:p w14:paraId="3358BD9F">
            <w:pPr>
              <w:keepNext w:val="0"/>
              <w:keepLines w:val="0"/>
              <w:pageBreakBefore w:val="0"/>
              <w:widowControl/>
              <w:wordWrap/>
              <w:overflowPunct/>
              <w:topLinePunct w:val="0"/>
              <w:bidi w:val="0"/>
              <w:spacing w:before="129" w:line="240" w:lineRule="auto"/>
              <w:ind w:left="120"/>
              <w:rPr>
                <w:rFonts w:ascii="仿宋" w:hAnsi="仿宋" w:eastAsia="仿宋" w:cs="仿宋"/>
              </w:rPr>
            </w:pPr>
            <w:r>
              <w:rPr>
                <w:rFonts w:ascii="仿宋" w:hAnsi="仿宋" w:eastAsia="仿宋" w:cs="仿宋"/>
                <w:spacing w:val="-4"/>
              </w:rPr>
              <w:t>（F=100分）</w:t>
            </w:r>
          </w:p>
        </w:tc>
        <w:tc>
          <w:tcPr>
            <w:tcW w:w="1105" w:type="dxa"/>
            <w:vMerge w:val="restart"/>
            <w:tcBorders>
              <w:top w:val="single" w:color="000000" w:sz="4" w:space="0"/>
              <w:left w:val="single" w:color="000000" w:sz="4" w:space="0"/>
            </w:tcBorders>
            <w:vAlign w:val="center"/>
          </w:tcPr>
          <w:p w14:paraId="75AEEAAE">
            <w:pPr>
              <w:keepNext w:val="0"/>
              <w:keepLines w:val="0"/>
              <w:pageBreakBefore w:val="0"/>
              <w:widowControl/>
              <w:wordWrap/>
              <w:overflowPunct/>
              <w:topLinePunct w:val="0"/>
              <w:bidi w:val="0"/>
              <w:spacing w:line="240" w:lineRule="auto"/>
              <w:jc w:val="center"/>
              <w:rPr>
                <w:lang w:eastAsia="zh-CN"/>
              </w:rPr>
            </w:pPr>
          </w:p>
          <w:p w14:paraId="0E0066AF">
            <w:pPr>
              <w:keepNext w:val="0"/>
              <w:keepLines w:val="0"/>
              <w:pageBreakBefore w:val="0"/>
              <w:widowControl/>
              <w:wordWrap/>
              <w:overflowPunct/>
              <w:topLinePunct w:val="0"/>
              <w:bidi w:val="0"/>
              <w:spacing w:before="148" w:line="240" w:lineRule="auto"/>
              <w:jc w:val="center"/>
              <w:rPr>
                <w:rFonts w:ascii="仿宋" w:hAnsi="仿宋" w:eastAsia="仿宋" w:cs="仿宋"/>
                <w:lang w:eastAsia="zh-CN"/>
              </w:rPr>
            </w:pPr>
            <w:r>
              <w:rPr>
                <w:rFonts w:hint="eastAsia" w:ascii="仿宋" w:hAnsi="仿宋" w:eastAsia="仿宋" w:cs="仿宋"/>
                <w:spacing w:val="-3"/>
                <w:lang w:eastAsia="zh-CN"/>
              </w:rPr>
              <w:t>企业实力及信誉</w:t>
            </w:r>
          </w:p>
          <w:p w14:paraId="4DDE42FF">
            <w:pPr>
              <w:keepNext w:val="0"/>
              <w:keepLines w:val="0"/>
              <w:pageBreakBefore w:val="0"/>
              <w:widowControl/>
              <w:wordWrap/>
              <w:overflowPunct/>
              <w:topLinePunct w:val="0"/>
              <w:bidi w:val="0"/>
              <w:spacing w:before="147" w:line="240" w:lineRule="auto"/>
              <w:ind w:left="120"/>
              <w:jc w:val="center"/>
              <w:rPr>
                <w:rFonts w:ascii="仿宋" w:hAnsi="仿宋" w:eastAsia="仿宋" w:cs="仿宋"/>
                <w:lang w:eastAsia="zh-CN"/>
              </w:rPr>
            </w:pPr>
            <w:r>
              <w:rPr>
                <w:rFonts w:ascii="仿宋" w:hAnsi="仿宋" w:eastAsia="仿宋" w:cs="仿宋"/>
                <w:spacing w:val="-6"/>
                <w:lang w:eastAsia="zh-CN"/>
              </w:rPr>
              <w:t>（</w:t>
            </w:r>
            <w:r>
              <w:rPr>
                <w:rFonts w:hint="eastAsia" w:ascii="仿宋" w:hAnsi="仿宋" w:eastAsia="仿宋" w:cs="仿宋"/>
                <w:spacing w:val="-6"/>
                <w:lang w:eastAsia="zh-CN"/>
              </w:rPr>
              <w:t>35</w:t>
            </w:r>
            <w:r>
              <w:rPr>
                <w:rFonts w:ascii="仿宋" w:hAnsi="仿宋" w:eastAsia="仿宋" w:cs="仿宋"/>
                <w:spacing w:val="-6"/>
                <w:lang w:eastAsia="zh-CN"/>
              </w:rPr>
              <w:t>分）</w:t>
            </w:r>
          </w:p>
        </w:tc>
        <w:tc>
          <w:tcPr>
            <w:tcW w:w="6842" w:type="dxa"/>
            <w:tcBorders>
              <w:top w:val="single" w:color="000000" w:sz="4" w:space="0"/>
              <w:bottom w:val="single" w:color="auto" w:sz="4" w:space="0"/>
            </w:tcBorders>
          </w:tcPr>
          <w:p w14:paraId="4BDB79BD">
            <w:pPr>
              <w:keepNext w:val="0"/>
              <w:keepLines w:val="0"/>
              <w:pageBreakBefore w:val="0"/>
              <w:widowControl/>
              <w:wordWrap/>
              <w:overflowPunct/>
              <w:topLinePunct w:val="0"/>
              <w:bidi w:val="0"/>
              <w:spacing w:before="150" w:line="240" w:lineRule="auto"/>
              <w:ind w:left="118" w:right="115" w:firstLine="5"/>
              <w:jc w:val="both"/>
              <w:rPr>
                <w:rFonts w:ascii="仿宋" w:hAnsi="仿宋" w:eastAsia="仿宋" w:cs="仿宋"/>
                <w:color w:val="auto"/>
                <w:spacing w:val="2"/>
                <w:lang w:eastAsia="zh-CN"/>
              </w:rPr>
            </w:pPr>
            <w:r>
              <w:rPr>
                <w:rFonts w:hint="eastAsia" w:ascii="仿宋" w:hAnsi="仿宋" w:eastAsia="仿宋" w:cs="仿宋"/>
                <w:color w:val="auto"/>
                <w:spacing w:val="2"/>
                <w:lang w:eastAsia="zh-CN"/>
              </w:rPr>
              <w:t>投标人具有有效的"质量管理体系认证"、"环境管理体系认证"、"健康安全管理体系认证（iso45001:2018）"的每有一个证书的计5分，最多计满15分为止。（注：提供证书复印件作为评审依据，不按要求提供的证书复印件或提供的证书复印件模糊不清的不计分）。</w:t>
            </w:r>
          </w:p>
        </w:tc>
      </w:tr>
      <w:tr w14:paraId="0C66A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3" w:type="dxa"/>
            <w:vMerge w:val="continue"/>
          </w:tcPr>
          <w:p w14:paraId="37A8A50D">
            <w:pPr>
              <w:keepNext w:val="0"/>
              <w:keepLines w:val="0"/>
              <w:pageBreakBefore w:val="0"/>
              <w:widowControl/>
              <w:wordWrap/>
              <w:overflowPunct/>
              <w:topLinePunct w:val="0"/>
              <w:bidi w:val="0"/>
              <w:spacing w:before="68" w:line="240" w:lineRule="auto"/>
              <w:ind w:left="248"/>
              <w:rPr>
                <w:rFonts w:ascii="仿宋" w:hAnsi="仿宋" w:eastAsia="仿宋" w:cs="仿宋"/>
                <w:lang w:eastAsia="zh-CN"/>
              </w:rPr>
            </w:pPr>
          </w:p>
        </w:tc>
        <w:tc>
          <w:tcPr>
            <w:tcW w:w="1204" w:type="dxa"/>
            <w:vMerge w:val="continue"/>
            <w:tcBorders>
              <w:right w:val="single" w:color="000000" w:sz="4" w:space="0"/>
            </w:tcBorders>
          </w:tcPr>
          <w:p w14:paraId="29E8A5EE">
            <w:pPr>
              <w:keepNext w:val="0"/>
              <w:keepLines w:val="0"/>
              <w:pageBreakBefore w:val="0"/>
              <w:widowControl/>
              <w:wordWrap/>
              <w:overflowPunct/>
              <w:topLinePunct w:val="0"/>
              <w:bidi w:val="0"/>
              <w:spacing w:before="129" w:line="240" w:lineRule="auto"/>
              <w:ind w:left="120"/>
              <w:rPr>
                <w:rFonts w:ascii="仿宋" w:hAnsi="仿宋" w:eastAsia="仿宋" w:cs="仿宋"/>
                <w:spacing w:val="-4"/>
                <w:lang w:eastAsia="zh-CN"/>
              </w:rPr>
            </w:pPr>
          </w:p>
        </w:tc>
        <w:tc>
          <w:tcPr>
            <w:tcW w:w="1105" w:type="dxa"/>
            <w:vMerge w:val="continue"/>
            <w:tcBorders>
              <w:left w:val="single" w:color="000000" w:sz="4" w:space="0"/>
            </w:tcBorders>
            <w:vAlign w:val="center"/>
          </w:tcPr>
          <w:p w14:paraId="76502B25">
            <w:pPr>
              <w:keepNext w:val="0"/>
              <w:keepLines w:val="0"/>
              <w:pageBreakBefore w:val="0"/>
              <w:widowControl/>
              <w:wordWrap/>
              <w:overflowPunct/>
              <w:topLinePunct w:val="0"/>
              <w:bidi w:val="0"/>
              <w:spacing w:before="147" w:line="240" w:lineRule="auto"/>
              <w:ind w:left="120"/>
              <w:jc w:val="center"/>
              <w:rPr>
                <w:rFonts w:ascii="仿宋" w:hAnsi="仿宋" w:eastAsia="仿宋" w:cs="仿宋"/>
                <w:spacing w:val="-6"/>
                <w:lang w:eastAsia="zh-CN"/>
              </w:rPr>
            </w:pPr>
          </w:p>
        </w:tc>
        <w:tc>
          <w:tcPr>
            <w:tcW w:w="6842" w:type="dxa"/>
            <w:tcBorders>
              <w:top w:val="single" w:color="auto" w:sz="4" w:space="0"/>
              <w:bottom w:val="single" w:color="auto" w:sz="4" w:space="0"/>
            </w:tcBorders>
          </w:tcPr>
          <w:p w14:paraId="08DB1D67">
            <w:pPr>
              <w:keepNext w:val="0"/>
              <w:keepLines w:val="0"/>
              <w:pageBreakBefore w:val="0"/>
              <w:widowControl/>
              <w:wordWrap/>
              <w:overflowPunct/>
              <w:topLinePunct w:val="0"/>
              <w:bidi w:val="0"/>
              <w:spacing w:before="150" w:line="240" w:lineRule="auto"/>
              <w:ind w:left="118" w:right="115" w:firstLine="5"/>
              <w:jc w:val="both"/>
              <w:rPr>
                <w:rFonts w:ascii="仿宋" w:hAnsi="仿宋" w:eastAsia="仿宋" w:cs="仿宋"/>
                <w:color w:val="auto"/>
                <w:spacing w:val="2"/>
                <w:lang w:eastAsia="zh-CN"/>
              </w:rPr>
            </w:pPr>
            <w:r>
              <w:rPr>
                <w:rFonts w:hint="eastAsia" w:ascii="仿宋" w:hAnsi="仿宋" w:eastAsia="仿宋" w:cs="仿宋"/>
                <w:color w:val="auto"/>
                <w:spacing w:val="2"/>
                <w:lang w:val="en-US" w:eastAsia="zh-CN"/>
              </w:rPr>
              <w:t>投标人或产品（多用途货车（环境监测用）或环境监测车）</w:t>
            </w:r>
            <w:r>
              <w:rPr>
                <w:rFonts w:hint="eastAsia" w:ascii="仿宋" w:hAnsi="仿宋" w:eastAsia="仿宋" w:cs="仿宋"/>
                <w:color w:val="auto"/>
                <w:spacing w:val="2"/>
                <w:lang w:eastAsia="zh-CN"/>
              </w:rPr>
              <w:t>制造商获得国家知识产权局颁发的中国专利奖的（获奖专利须与所投产品功能相关），每有一项计5分，最多计满20分为止（注：提供证书复印件或奖牌照片或知识产权局官方发文页面截图作为证明材料）。</w:t>
            </w:r>
          </w:p>
        </w:tc>
      </w:tr>
      <w:tr w14:paraId="60457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3" w:hRule="atLeast"/>
        </w:trPr>
        <w:tc>
          <w:tcPr>
            <w:tcW w:w="723" w:type="dxa"/>
            <w:vMerge w:val="continue"/>
            <w:tcBorders>
              <w:top w:val="nil"/>
              <w:bottom w:val="nil"/>
            </w:tcBorders>
          </w:tcPr>
          <w:p w14:paraId="28221F16">
            <w:pPr>
              <w:keepNext w:val="0"/>
              <w:keepLines w:val="0"/>
              <w:pageBreakBefore w:val="0"/>
              <w:widowControl/>
              <w:wordWrap/>
              <w:overflowPunct/>
              <w:topLinePunct w:val="0"/>
              <w:bidi w:val="0"/>
              <w:spacing w:line="240" w:lineRule="auto"/>
              <w:rPr>
                <w:lang w:eastAsia="zh-CN"/>
              </w:rPr>
            </w:pPr>
          </w:p>
        </w:tc>
        <w:tc>
          <w:tcPr>
            <w:tcW w:w="1204" w:type="dxa"/>
            <w:vMerge w:val="continue"/>
            <w:tcBorders>
              <w:top w:val="nil"/>
              <w:bottom w:val="nil"/>
              <w:right w:val="single" w:color="000000" w:sz="4" w:space="0"/>
            </w:tcBorders>
          </w:tcPr>
          <w:p w14:paraId="06FABF01">
            <w:pPr>
              <w:keepNext w:val="0"/>
              <w:keepLines w:val="0"/>
              <w:pageBreakBefore w:val="0"/>
              <w:widowControl/>
              <w:wordWrap/>
              <w:overflowPunct/>
              <w:topLinePunct w:val="0"/>
              <w:bidi w:val="0"/>
              <w:spacing w:line="240" w:lineRule="auto"/>
              <w:rPr>
                <w:lang w:eastAsia="zh-CN"/>
              </w:rPr>
            </w:pPr>
          </w:p>
        </w:tc>
        <w:tc>
          <w:tcPr>
            <w:tcW w:w="1105" w:type="dxa"/>
            <w:tcBorders>
              <w:top w:val="single" w:color="000000" w:sz="4" w:space="0"/>
              <w:left w:val="single" w:color="000000" w:sz="4" w:space="0"/>
              <w:bottom w:val="single" w:color="auto" w:sz="4" w:space="0"/>
            </w:tcBorders>
            <w:vAlign w:val="center"/>
          </w:tcPr>
          <w:p w14:paraId="6E55C0E4">
            <w:pPr>
              <w:keepNext w:val="0"/>
              <w:keepLines w:val="0"/>
              <w:pageBreakBefore w:val="0"/>
              <w:widowControl/>
              <w:wordWrap/>
              <w:overflowPunct/>
              <w:topLinePunct w:val="0"/>
              <w:bidi w:val="0"/>
              <w:spacing w:before="125" w:line="240" w:lineRule="auto"/>
              <w:jc w:val="center"/>
              <w:rPr>
                <w:rFonts w:ascii="仿宋" w:hAnsi="仿宋" w:eastAsia="仿宋" w:cs="仿宋"/>
              </w:rPr>
            </w:pPr>
            <w:r>
              <w:rPr>
                <w:rFonts w:hint="eastAsia" w:ascii="仿宋" w:hAnsi="仿宋" w:eastAsia="仿宋" w:cs="仿宋"/>
                <w:spacing w:val="-4"/>
                <w:lang w:eastAsia="zh-CN"/>
              </w:rPr>
              <w:t>类似项目业绩</w:t>
            </w:r>
            <w:r>
              <w:rPr>
                <w:rFonts w:ascii="仿宋" w:hAnsi="仿宋" w:eastAsia="仿宋" w:cs="仿宋"/>
                <w:spacing w:val="-6"/>
              </w:rPr>
              <w:t>（</w:t>
            </w:r>
            <w:r>
              <w:rPr>
                <w:rFonts w:hint="eastAsia" w:ascii="仿宋" w:hAnsi="仿宋" w:eastAsia="仿宋" w:cs="仿宋"/>
                <w:spacing w:val="-6"/>
                <w:lang w:eastAsia="zh-CN"/>
              </w:rPr>
              <w:t>30</w:t>
            </w:r>
            <w:r>
              <w:rPr>
                <w:rFonts w:ascii="仿宋" w:hAnsi="仿宋" w:eastAsia="仿宋" w:cs="仿宋"/>
                <w:spacing w:val="-6"/>
              </w:rPr>
              <w:t>分）</w:t>
            </w:r>
          </w:p>
        </w:tc>
        <w:tc>
          <w:tcPr>
            <w:tcW w:w="6842" w:type="dxa"/>
            <w:tcBorders>
              <w:top w:val="single" w:color="000000" w:sz="4" w:space="0"/>
              <w:bottom w:val="single" w:color="auto" w:sz="4" w:space="0"/>
            </w:tcBorders>
          </w:tcPr>
          <w:p w14:paraId="232875A2">
            <w:pPr>
              <w:keepNext w:val="0"/>
              <w:keepLines w:val="0"/>
              <w:pageBreakBefore w:val="0"/>
              <w:widowControl/>
              <w:wordWrap/>
              <w:overflowPunct/>
              <w:topLinePunct w:val="0"/>
              <w:bidi w:val="0"/>
              <w:spacing w:before="150" w:line="240" w:lineRule="auto"/>
              <w:ind w:left="118" w:right="115" w:firstLine="5"/>
              <w:jc w:val="both"/>
              <w:rPr>
                <w:rFonts w:ascii="仿宋" w:hAnsi="仿宋" w:eastAsia="仿宋" w:cs="仿宋"/>
                <w:lang w:eastAsia="zh-CN"/>
              </w:rPr>
            </w:pPr>
            <w:r>
              <w:rPr>
                <w:rFonts w:hint="eastAsia" w:ascii="仿宋" w:hAnsi="仿宋" w:eastAsia="仿宋" w:cs="仿宋"/>
                <w:color w:val="auto"/>
                <w:spacing w:val="2"/>
                <w:lang w:eastAsia="zh-CN"/>
              </w:rPr>
              <w:t>投标人或产品制造商自 2023 年以来每有一个类似项目业绩</w:t>
            </w:r>
            <w:r>
              <w:rPr>
                <w:rFonts w:hint="eastAsia" w:ascii="仿宋" w:hAnsi="仿宋" w:eastAsia="仿宋" w:cs="仿宋"/>
                <w:b/>
                <w:bCs/>
                <w:color w:val="auto"/>
                <w:spacing w:val="2"/>
                <w:lang w:eastAsia="zh-CN"/>
              </w:rPr>
              <w:t>（须含</w:t>
            </w:r>
            <w:r>
              <w:rPr>
                <w:rFonts w:hint="eastAsia" w:ascii="仿宋" w:hAnsi="仿宋" w:eastAsia="仿宋" w:cs="仿宋"/>
                <w:b/>
                <w:bCs/>
                <w:color w:val="auto"/>
                <w:spacing w:val="2"/>
                <w:lang w:val="en-US" w:eastAsia="zh-CN"/>
              </w:rPr>
              <w:t>多用途货车(环境监测用)或环境监测车</w:t>
            </w:r>
            <w:r>
              <w:rPr>
                <w:rFonts w:hint="eastAsia" w:ascii="仿宋" w:hAnsi="仿宋" w:eastAsia="仿宋" w:cs="仿宋"/>
                <w:b/>
                <w:bCs/>
                <w:color w:val="auto"/>
                <w:spacing w:val="2"/>
                <w:lang w:eastAsia="zh-CN"/>
              </w:rPr>
              <w:t>）</w:t>
            </w:r>
            <w:r>
              <w:rPr>
                <w:rFonts w:hint="eastAsia" w:ascii="仿宋" w:hAnsi="仿宋" w:eastAsia="仿宋" w:cs="仿宋"/>
                <w:color w:val="auto"/>
                <w:spacing w:val="2"/>
                <w:lang w:eastAsia="zh-CN"/>
              </w:rPr>
              <w:t>的计 5 分，最多计满30分为止（注：提供合同及相关证明材料复印件作为评审依据，时间以合同签订时间为准；不按要求提供的合同复印件或提供的合同复印件模糊不清不计分）</w:t>
            </w:r>
          </w:p>
        </w:tc>
      </w:tr>
      <w:tr w14:paraId="374F83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8" w:hRule="atLeast"/>
        </w:trPr>
        <w:tc>
          <w:tcPr>
            <w:tcW w:w="723" w:type="dxa"/>
            <w:vMerge w:val="continue"/>
            <w:tcBorders>
              <w:bottom w:val="nil"/>
            </w:tcBorders>
          </w:tcPr>
          <w:p w14:paraId="2E5CDF4C">
            <w:pPr>
              <w:keepNext w:val="0"/>
              <w:keepLines w:val="0"/>
              <w:pageBreakBefore w:val="0"/>
              <w:widowControl/>
              <w:wordWrap/>
              <w:overflowPunct/>
              <w:topLinePunct w:val="0"/>
              <w:bidi w:val="0"/>
              <w:spacing w:line="240" w:lineRule="auto"/>
              <w:rPr>
                <w:lang w:eastAsia="zh-CN"/>
              </w:rPr>
            </w:pPr>
          </w:p>
        </w:tc>
        <w:tc>
          <w:tcPr>
            <w:tcW w:w="1204" w:type="dxa"/>
            <w:vMerge w:val="continue"/>
            <w:tcBorders>
              <w:bottom w:val="nil"/>
              <w:right w:val="single" w:color="000000" w:sz="4" w:space="0"/>
            </w:tcBorders>
          </w:tcPr>
          <w:p w14:paraId="5DAEDA38">
            <w:pPr>
              <w:keepNext w:val="0"/>
              <w:keepLines w:val="0"/>
              <w:pageBreakBefore w:val="0"/>
              <w:widowControl/>
              <w:wordWrap/>
              <w:overflowPunct/>
              <w:topLinePunct w:val="0"/>
              <w:bidi w:val="0"/>
              <w:spacing w:line="240" w:lineRule="auto"/>
              <w:rPr>
                <w:lang w:eastAsia="zh-CN"/>
              </w:rPr>
            </w:pPr>
          </w:p>
        </w:tc>
        <w:tc>
          <w:tcPr>
            <w:tcW w:w="1105" w:type="dxa"/>
            <w:vMerge w:val="restart"/>
            <w:tcBorders>
              <w:top w:val="single" w:color="auto" w:sz="4" w:space="0"/>
              <w:left w:val="single" w:color="000000" w:sz="4" w:space="0"/>
            </w:tcBorders>
            <w:vAlign w:val="center"/>
          </w:tcPr>
          <w:p w14:paraId="7069D8E4">
            <w:pPr>
              <w:keepNext w:val="0"/>
              <w:keepLines w:val="0"/>
              <w:pageBreakBefore w:val="0"/>
              <w:widowControl/>
              <w:wordWrap/>
              <w:overflowPunct/>
              <w:topLinePunct w:val="0"/>
              <w:bidi w:val="0"/>
              <w:spacing w:before="125" w:line="240" w:lineRule="auto"/>
              <w:ind w:left="120"/>
              <w:jc w:val="center"/>
              <w:rPr>
                <w:rFonts w:ascii="仿宋" w:hAnsi="仿宋" w:eastAsia="仿宋" w:cs="仿宋"/>
                <w:spacing w:val="-6"/>
                <w:lang w:eastAsia="zh-CN"/>
              </w:rPr>
            </w:pPr>
            <w:r>
              <w:rPr>
                <w:rFonts w:hint="eastAsia" w:ascii="仿宋" w:hAnsi="仿宋" w:eastAsia="仿宋" w:cs="仿宋"/>
                <w:spacing w:val="-6"/>
                <w:lang w:eastAsia="zh-CN"/>
              </w:rPr>
              <w:t>售后服务（35分）</w:t>
            </w:r>
          </w:p>
        </w:tc>
        <w:tc>
          <w:tcPr>
            <w:tcW w:w="6842" w:type="dxa"/>
            <w:tcBorders>
              <w:top w:val="single" w:color="auto" w:sz="4" w:space="0"/>
              <w:bottom w:val="single" w:color="auto" w:sz="4" w:space="0"/>
            </w:tcBorders>
            <w:shd w:val="clear" w:color="auto" w:fill="auto"/>
            <w:vAlign w:val="center"/>
          </w:tcPr>
          <w:p w14:paraId="704445CF">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根据投标人提供的售后服务方案，对照招标文件采购需求，从：①售后服务模式、②售后服务理念、③售后服务体系、④售后服务政策等方面进行评审，并分别对照以下量化标准进行计分：</w:t>
            </w:r>
          </w:p>
          <w:p w14:paraId="5578F0B2">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①售后服务模式：投标人有提供售后服务模式及售后机构设置内容，包括但不限于售后服务机构名称、地址，以及专业技术人员名单和联系电话等内容、满足采购需求的要求和项目实际情况的计</w:t>
            </w:r>
            <w:r>
              <w:rPr>
                <w:rFonts w:ascii="仿宋" w:hAnsi="仿宋" w:eastAsia="仿宋" w:cs="仿宋"/>
                <w:color w:val="auto"/>
                <w:lang w:eastAsia="zh-CN"/>
              </w:rPr>
              <w:t>5分，未提供方案或者方案有明显漏洞或错误的，不计分。</w:t>
            </w:r>
          </w:p>
          <w:p w14:paraId="526FD0F4">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②售后服务理念：投标人有提供售后服务理念，且满足采购需求的要求和切合项目实际情况的计</w:t>
            </w:r>
            <w:r>
              <w:rPr>
                <w:rFonts w:ascii="仿宋" w:hAnsi="仿宋" w:eastAsia="仿宋" w:cs="仿宋"/>
                <w:color w:val="auto"/>
                <w:lang w:eastAsia="zh-CN"/>
              </w:rPr>
              <w:t>5分，未提供方案或者方案有明显漏洞或错误的，不计分。</w:t>
            </w:r>
          </w:p>
          <w:p w14:paraId="75F33F81">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③售后服务体系：投标人有提供售后服务体系及相关服务流程，且满足采购需求的要求和项目实际情况、实际可行的计</w:t>
            </w:r>
            <w:r>
              <w:rPr>
                <w:rFonts w:ascii="仿宋" w:hAnsi="仿宋" w:eastAsia="仿宋" w:cs="仿宋"/>
                <w:color w:val="auto"/>
                <w:lang w:eastAsia="zh-CN"/>
              </w:rPr>
              <w:t>5分，未提供方案或者方案有明显漏洞或错误的，不计分。</w:t>
            </w:r>
          </w:p>
          <w:p w14:paraId="04C1931F">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④售后服务政策：投标人有提供售后服务政策，且满足采购需求的要求和项目实际情况的计</w:t>
            </w:r>
            <w:r>
              <w:rPr>
                <w:rFonts w:ascii="仿宋" w:hAnsi="仿宋" w:eastAsia="仿宋" w:cs="仿宋"/>
                <w:color w:val="auto"/>
                <w:lang w:eastAsia="zh-CN"/>
              </w:rPr>
              <w:t>5分，未提供方案或者方案有明显漏洞或错误的，不计分。</w:t>
            </w:r>
          </w:p>
          <w:p w14:paraId="67552D86">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rFonts w:ascii="仿宋" w:hAnsi="仿宋" w:eastAsia="仿宋" w:cs="仿宋"/>
                <w:color w:val="auto"/>
                <w:lang w:eastAsia="zh-CN"/>
              </w:rPr>
            </w:pPr>
            <w:r>
              <w:rPr>
                <w:rFonts w:hint="eastAsia" w:ascii="仿宋" w:hAnsi="仿宋" w:eastAsia="仿宋" w:cs="仿宋"/>
                <w:color w:val="auto"/>
                <w:lang w:eastAsia="zh-CN"/>
              </w:rPr>
              <w:t>“售后服务第</w:t>
            </w:r>
            <w:r>
              <w:rPr>
                <w:rFonts w:ascii="仿宋" w:hAnsi="仿宋" w:eastAsia="仿宋" w:cs="仿宋"/>
                <w:color w:val="auto"/>
                <w:lang w:eastAsia="zh-CN"/>
              </w:rPr>
              <w:t xml:space="preserve">1项售后服务方案 </w:t>
            </w:r>
            <w:r>
              <w:rPr>
                <w:rFonts w:hint="eastAsia" w:ascii="仿宋" w:hAnsi="仿宋" w:eastAsia="仿宋" w:cs="仿宋"/>
                <w:color w:val="auto"/>
                <w:lang w:eastAsia="zh-CN"/>
              </w:rPr>
              <w:t>”评审因素汇总（</w:t>
            </w:r>
            <w:r>
              <w:rPr>
                <w:rFonts w:ascii="仿宋" w:hAnsi="仿宋" w:eastAsia="仿宋" w:cs="仿宋"/>
                <w:color w:val="auto"/>
                <w:lang w:eastAsia="zh-CN"/>
              </w:rPr>
              <w:t>1 至 4 项）得分最多计20分。</w:t>
            </w:r>
          </w:p>
        </w:tc>
      </w:tr>
      <w:tr w14:paraId="6F202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723" w:type="dxa"/>
            <w:vMerge w:val="continue"/>
            <w:tcBorders>
              <w:bottom w:val="nil"/>
            </w:tcBorders>
          </w:tcPr>
          <w:p w14:paraId="74FC257E">
            <w:pPr>
              <w:keepNext w:val="0"/>
              <w:keepLines w:val="0"/>
              <w:pageBreakBefore w:val="0"/>
              <w:widowControl/>
              <w:wordWrap/>
              <w:overflowPunct/>
              <w:topLinePunct w:val="0"/>
              <w:bidi w:val="0"/>
              <w:spacing w:line="240" w:lineRule="auto"/>
              <w:rPr>
                <w:lang w:eastAsia="zh-CN"/>
              </w:rPr>
            </w:pPr>
          </w:p>
        </w:tc>
        <w:tc>
          <w:tcPr>
            <w:tcW w:w="1204" w:type="dxa"/>
            <w:vMerge w:val="continue"/>
            <w:tcBorders>
              <w:bottom w:val="nil"/>
              <w:right w:val="single" w:color="000000" w:sz="4" w:space="0"/>
            </w:tcBorders>
          </w:tcPr>
          <w:p w14:paraId="1891DD57">
            <w:pPr>
              <w:keepNext w:val="0"/>
              <w:keepLines w:val="0"/>
              <w:pageBreakBefore w:val="0"/>
              <w:widowControl/>
              <w:wordWrap/>
              <w:overflowPunct/>
              <w:topLinePunct w:val="0"/>
              <w:bidi w:val="0"/>
              <w:spacing w:line="240" w:lineRule="auto"/>
              <w:rPr>
                <w:lang w:eastAsia="zh-CN"/>
              </w:rPr>
            </w:pPr>
          </w:p>
        </w:tc>
        <w:tc>
          <w:tcPr>
            <w:tcW w:w="1105" w:type="dxa"/>
            <w:vMerge w:val="continue"/>
            <w:tcBorders>
              <w:left w:val="single" w:color="000000" w:sz="4" w:space="0"/>
              <w:bottom w:val="single" w:color="000000" w:sz="4" w:space="0"/>
            </w:tcBorders>
          </w:tcPr>
          <w:p w14:paraId="3FB90162">
            <w:pPr>
              <w:keepNext w:val="0"/>
              <w:keepLines w:val="0"/>
              <w:pageBreakBefore w:val="0"/>
              <w:widowControl/>
              <w:wordWrap/>
              <w:overflowPunct/>
              <w:topLinePunct w:val="0"/>
              <w:bidi w:val="0"/>
              <w:spacing w:before="125" w:line="240" w:lineRule="auto"/>
              <w:ind w:left="120"/>
              <w:rPr>
                <w:rFonts w:ascii="仿宋" w:hAnsi="仿宋" w:eastAsia="仿宋" w:cs="仿宋"/>
                <w:spacing w:val="-6"/>
                <w:lang w:eastAsia="zh-CN"/>
              </w:rPr>
            </w:pPr>
          </w:p>
        </w:tc>
        <w:tc>
          <w:tcPr>
            <w:tcW w:w="6842" w:type="dxa"/>
            <w:tcBorders>
              <w:top w:val="single" w:color="auto" w:sz="4" w:space="0"/>
              <w:bottom w:val="single" w:color="000000" w:sz="4" w:space="0"/>
            </w:tcBorders>
          </w:tcPr>
          <w:p w14:paraId="3652BA4A">
            <w:pPr>
              <w:keepNext w:val="0"/>
              <w:keepLines w:val="0"/>
              <w:pageBreakBefore w:val="0"/>
              <w:widowControl/>
              <w:kinsoku/>
              <w:wordWrap/>
              <w:overflowPunct/>
              <w:topLinePunct w:val="0"/>
              <w:autoSpaceDE/>
              <w:autoSpaceDN/>
              <w:bidi w:val="0"/>
              <w:adjustRightInd/>
              <w:snapToGrid/>
              <w:spacing w:before="150" w:line="240" w:lineRule="auto"/>
              <w:ind w:left="118" w:right="115" w:firstLine="5"/>
              <w:jc w:val="both"/>
              <w:textAlignment w:val="auto"/>
              <w:rPr>
                <w:color w:val="auto"/>
                <w:spacing w:val="2"/>
                <w:sz w:val="21"/>
                <w:szCs w:val="21"/>
                <w:lang w:eastAsia="zh-CN"/>
              </w:rPr>
            </w:pPr>
            <w:r>
              <w:rPr>
                <w:rFonts w:hint="eastAsia" w:ascii="仿宋" w:hAnsi="仿宋" w:eastAsia="仿宋" w:cs="仿宋"/>
                <w:color w:val="auto"/>
                <w:lang w:eastAsia="zh-CN"/>
              </w:rPr>
              <w:t>根据投标人提供的售后服务承诺评审计分，对照招标文件采购需求，承诺完全响应“采购需求四、售后服务要求”3项要求的计15分，每一项未提供或未完全承诺响应的扣5分，扣完为止。</w:t>
            </w:r>
          </w:p>
        </w:tc>
      </w:tr>
      <w:tr w14:paraId="04529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723" w:type="dxa"/>
            <w:tcBorders>
              <w:top w:val="single" w:color="000000" w:sz="4" w:space="0"/>
            </w:tcBorders>
          </w:tcPr>
          <w:p w14:paraId="328D7E8C">
            <w:pPr>
              <w:keepNext w:val="0"/>
              <w:keepLines w:val="0"/>
              <w:pageBreakBefore w:val="0"/>
              <w:widowControl/>
              <w:wordWrap/>
              <w:overflowPunct/>
              <w:topLinePunct w:val="0"/>
              <w:bidi w:val="0"/>
              <w:spacing w:before="180" w:line="240" w:lineRule="auto"/>
              <w:ind w:left="205"/>
              <w:rPr>
                <w:rFonts w:ascii="仿宋" w:hAnsi="仿宋" w:eastAsia="仿宋" w:cs="仿宋"/>
              </w:rPr>
            </w:pPr>
            <w:r>
              <w:rPr>
                <w:rFonts w:ascii="仿宋" w:hAnsi="仿宋" w:eastAsia="仿宋" w:cs="仿宋"/>
              </w:rPr>
              <w:t>∑</w:t>
            </w:r>
          </w:p>
        </w:tc>
        <w:tc>
          <w:tcPr>
            <w:tcW w:w="9151" w:type="dxa"/>
            <w:gridSpan w:val="3"/>
            <w:tcBorders>
              <w:top w:val="single" w:color="000000" w:sz="4" w:space="0"/>
            </w:tcBorders>
          </w:tcPr>
          <w:p w14:paraId="66867E78">
            <w:pPr>
              <w:keepNext w:val="0"/>
              <w:keepLines w:val="0"/>
              <w:pageBreakBefore w:val="0"/>
              <w:widowControl/>
              <w:wordWrap/>
              <w:overflowPunct/>
              <w:topLinePunct w:val="0"/>
              <w:bidi w:val="0"/>
              <w:spacing w:before="221" w:line="240" w:lineRule="auto"/>
              <w:ind w:left="110"/>
              <w:rPr>
                <w:rFonts w:ascii="仿宋" w:hAnsi="仿宋" w:eastAsia="仿宋" w:cs="仿宋"/>
                <w:sz w:val="11"/>
                <w:szCs w:val="11"/>
              </w:rPr>
            </w:pPr>
            <w:r>
              <w:rPr>
                <w:rFonts w:ascii="仿宋" w:hAnsi="仿宋" w:eastAsia="仿宋" w:cs="仿宋"/>
                <w:spacing w:val="-1"/>
              </w:rPr>
              <w:t>F</w:t>
            </w:r>
            <w:r>
              <w:rPr>
                <w:rFonts w:ascii="仿宋" w:hAnsi="仿宋" w:eastAsia="仿宋" w:cs="仿宋"/>
                <w:spacing w:val="-1"/>
                <w:sz w:val="11"/>
                <w:szCs w:val="11"/>
              </w:rPr>
              <w:t>3</w:t>
            </w:r>
            <w:r>
              <w:rPr>
                <w:rFonts w:ascii="仿宋" w:hAnsi="仿宋" w:eastAsia="仿宋" w:cs="仿宋"/>
                <w:spacing w:val="-1"/>
              </w:rPr>
              <w:t>=F+ F</w:t>
            </w:r>
            <w:r>
              <w:rPr>
                <w:rFonts w:ascii="仿宋" w:hAnsi="仿宋" w:eastAsia="仿宋" w:cs="仿宋"/>
                <w:spacing w:val="-1"/>
                <w:sz w:val="11"/>
                <w:szCs w:val="11"/>
              </w:rPr>
              <w:t>优先采购加分</w:t>
            </w:r>
          </w:p>
        </w:tc>
      </w:tr>
    </w:tbl>
    <w:p w14:paraId="3C13B34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485"/>
        <w:textAlignment w:val="baseline"/>
        <w:rPr>
          <w:b/>
          <w:bCs/>
          <w:spacing w:val="8"/>
          <w:sz w:val="31"/>
          <w:szCs w:val="31"/>
          <w:highlight w:val="none"/>
        </w:rPr>
      </w:pPr>
      <w:r>
        <w:rPr>
          <w:rFonts w:hint="eastAsia"/>
          <w:spacing w:val="-2"/>
          <w:sz w:val="24"/>
          <w:szCs w:val="24"/>
          <w:highlight w:val="none"/>
          <w:lang w:val="en-US" w:eastAsia="zh-CN"/>
        </w:rPr>
        <w:t>注：投标人应确保其所投产品技术参数及投标资料的真实性。采购单位在正式合同签订前，有权对中标产品的技术参数及中标人投标资料进行核查，中标人应无条件配合并按采购单位要求提供相关证明材料（包括但不限于相关投标资料的原件）。如中标人拒不配合或无法提供佐证材料证明其参数真实性的，按照虚假应标处理，采购单位将依法取消其中标资格，并上报财政部门。</w:t>
      </w:r>
      <w:r>
        <w:rPr>
          <w:b/>
          <w:bCs/>
          <w:spacing w:val="8"/>
          <w:sz w:val="31"/>
          <w:szCs w:val="31"/>
          <w:highlight w:val="none"/>
        </w:rPr>
        <w:br w:type="page"/>
      </w:r>
    </w:p>
    <w:p w14:paraId="2106CE8F">
      <w:pPr>
        <w:pStyle w:val="4"/>
        <w:bidi w:val="0"/>
        <w:rPr>
          <w:color w:val="auto"/>
        </w:rPr>
      </w:pPr>
      <w:bookmarkStart w:id="238" w:name="_Toc29420"/>
      <w:r>
        <w:rPr>
          <w:color w:val="auto"/>
        </w:rPr>
        <w:t>第五章</w:t>
      </w:r>
      <w:r>
        <w:rPr>
          <w:rFonts w:hint="eastAsia"/>
          <w:color w:val="auto"/>
          <w:lang w:val="en-US" w:eastAsia="zh-CN"/>
        </w:rPr>
        <w:t xml:space="preserve"> </w:t>
      </w:r>
      <w:r>
        <w:rPr>
          <w:color w:val="auto"/>
        </w:rPr>
        <w:t>采购需求</w:t>
      </w:r>
      <w:bookmarkEnd w:id="238"/>
    </w:p>
    <w:p w14:paraId="7CDE9736">
      <w:pPr>
        <w:spacing w:before="236" w:line="221" w:lineRule="auto"/>
        <w:ind w:left="3508"/>
        <w:rPr>
          <w:rFonts w:hint="eastAsia" w:asciiTheme="minorEastAsia" w:hAnsiTheme="minorEastAsia" w:eastAsiaTheme="minorEastAsia" w:cstheme="minorEastAsia"/>
          <w:b/>
          <w:bCs/>
          <w:color w:val="auto"/>
          <w:spacing w:val="-10"/>
          <w:sz w:val="24"/>
          <w:szCs w:val="24"/>
        </w:rPr>
      </w:pPr>
      <w:r>
        <w:rPr>
          <w:rFonts w:hint="eastAsia" w:asciiTheme="minorEastAsia" w:hAnsiTheme="minorEastAsia" w:eastAsiaTheme="minorEastAsia" w:cstheme="minorEastAsia"/>
          <w:b/>
          <w:bCs/>
          <w:color w:val="auto"/>
          <w:spacing w:val="-10"/>
          <w:sz w:val="24"/>
          <w:szCs w:val="24"/>
        </w:rPr>
        <w:t>第 一 节  技 术 要 求</w:t>
      </w:r>
    </w:p>
    <w:tbl>
      <w:tblPr>
        <w:tblStyle w:val="18"/>
        <w:tblW w:w="93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9"/>
        <w:gridCol w:w="1618"/>
        <w:gridCol w:w="675"/>
        <w:gridCol w:w="660"/>
        <w:gridCol w:w="4965"/>
        <w:gridCol w:w="631"/>
      </w:tblGrid>
      <w:tr w14:paraId="2659C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6C9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序号</w:t>
            </w:r>
          </w:p>
        </w:tc>
        <w:tc>
          <w:tcPr>
            <w:tcW w:w="1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9FC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品名</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C776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数量</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7B9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单位</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341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规格</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65B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snapToGrid w:val="0"/>
                <w:color w:val="000000"/>
                <w:kern w:val="0"/>
                <w:sz w:val="22"/>
                <w:szCs w:val="22"/>
                <w:highlight w:val="none"/>
                <w:u w:val="none"/>
                <w:lang w:val="en-US" w:eastAsia="zh-CN" w:bidi="ar"/>
              </w:rPr>
              <w:t>备注</w:t>
            </w:r>
          </w:p>
        </w:tc>
      </w:tr>
      <w:tr w14:paraId="604BB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7D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DCB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val="0"/>
                <w:bCs w:val="0"/>
                <w:color w:val="auto"/>
                <w:sz w:val="24"/>
                <w:szCs w:val="24"/>
                <w:lang w:val="en-US" w:eastAsia="zh-CN"/>
              </w:rPr>
              <w:t>多用途货车（环境监测用）或环境监测车</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315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3D9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辆</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01EBB">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1、整车外形尺寸长宽高（mm）：≥5500*1900*1800</w:t>
            </w:r>
          </w:p>
          <w:p w14:paraId="3F2297D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2、轴距（mm）：≥3300</w:t>
            </w:r>
          </w:p>
          <w:p w14:paraId="187D4124">
            <w:pPr>
              <w:pStyle w:val="2"/>
              <w:rPr>
                <w:rFonts w:hint="eastAsia" w:ascii="宋体" w:hAnsi="宋体" w:eastAsia="宋体" w:cs="宋体"/>
                <w:b/>
                <w:bCs/>
                <w:sz w:val="24"/>
                <w:szCs w:val="24"/>
                <w:lang w:val="en-US" w:eastAsia="zh-CN"/>
              </w:rPr>
            </w:pPr>
            <w:r>
              <w:rPr>
                <w:rFonts w:hint="eastAsia" w:ascii="仿宋" w:hAnsi="仿宋" w:eastAsia="仿宋" w:cs="仿宋"/>
                <w:b/>
                <w:bCs/>
                <w:sz w:val="24"/>
                <w:szCs w:val="24"/>
                <w:lang w:val="en-US" w:eastAsia="zh-CN"/>
              </w:rPr>
              <w:t>★</w:t>
            </w:r>
            <w:r>
              <w:rPr>
                <w:rFonts w:hint="eastAsia" w:ascii="宋体" w:hAnsi="宋体" w:eastAsia="宋体" w:cs="宋体"/>
                <w:b/>
                <w:bCs/>
                <w:sz w:val="24"/>
                <w:szCs w:val="24"/>
                <w:lang w:val="en-US" w:eastAsia="zh-CN"/>
              </w:rPr>
              <w:t>以上参数需提供国家工信部公告参数页截图</w:t>
            </w:r>
          </w:p>
          <w:p w14:paraId="7CDD429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3、悬架系统（前）：双叉臂独立悬架</w:t>
            </w:r>
          </w:p>
          <w:p w14:paraId="4B56A87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4、悬架系统（后）：钢板弹簧非独立悬架</w:t>
            </w:r>
          </w:p>
          <w:p w14:paraId="7EC3A6DB">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5、动力性能：新能源类型增程</w:t>
            </w:r>
          </w:p>
          <w:p w14:paraId="74898BEB">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6、发动机最大功率（kW）：≥115</w:t>
            </w:r>
          </w:p>
          <w:p w14:paraId="69EA309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7、动力电池类型：磷酸铁锂电池</w:t>
            </w:r>
          </w:p>
          <w:p w14:paraId="5E79CB36">
            <w:pPr>
              <w:pStyle w:val="2"/>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8、动力电池容量（KWh）：≥25</w:t>
            </w:r>
          </w:p>
          <w:p w14:paraId="17F65A5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9、电机型式双电机</w:t>
            </w:r>
          </w:p>
          <w:p w14:paraId="13087A3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10、驱动形式电机四驱</w:t>
            </w:r>
          </w:p>
          <w:p w14:paraId="1FBF612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11、NEDC纯电续航里程(km)≥120</w:t>
            </w:r>
          </w:p>
          <w:p w14:paraId="2582598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12、快充时间（h）≦0.5</w:t>
            </w:r>
          </w:p>
          <w:p w14:paraId="6CA22DE5">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13、配备车载扩音器和喇叭。</w:t>
            </w:r>
          </w:p>
          <w:p w14:paraId="5776BD63">
            <w:pPr>
              <w:pStyle w:val="2"/>
              <w:rPr>
                <w:rFonts w:hint="eastAsia"/>
              </w:rPr>
            </w:pPr>
            <w:r>
              <w:rPr>
                <w:rFonts w:hint="eastAsia" w:ascii="宋体" w:hAnsi="宋体" w:eastAsia="宋体" w:cs="宋体"/>
                <w:sz w:val="24"/>
                <w:szCs w:val="24"/>
                <w:lang w:val="en-US" w:eastAsia="zh-CN"/>
              </w:rPr>
              <w:t>14、车身颜色为红色（消防红）</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15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r>
      <w:tr w14:paraId="05AA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AD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1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3982">
            <w:pPr>
              <w:keepNext w:val="0"/>
              <w:keepLines w:val="0"/>
              <w:widowControl/>
              <w:suppressLineNumbers w:val="0"/>
              <w:jc w:val="left"/>
              <w:textAlignment w:val="center"/>
              <w:rPr>
                <w:rFonts w:hint="default" w:ascii="宋体" w:hAnsi="宋体" w:eastAsia="宋体" w:cs="宋体"/>
                <w:i w:val="0"/>
                <w:iCs w:val="0"/>
                <w:color w:val="000000"/>
                <w:sz w:val="22"/>
                <w:szCs w:val="22"/>
                <w:highlight w:val="none"/>
                <w:u w:val="none"/>
                <w:lang w:val="en-US"/>
              </w:rPr>
            </w:pPr>
            <w:bookmarkStart w:id="365" w:name="_GoBack"/>
            <w:r>
              <w:rPr>
                <w:rFonts w:hint="eastAsia" w:ascii="宋体" w:hAnsi="宋体" w:eastAsia="宋体" w:cs="宋体"/>
                <w:i w:val="0"/>
                <w:iCs w:val="0"/>
                <w:snapToGrid w:val="0"/>
                <w:color w:val="000000"/>
                <w:kern w:val="0"/>
                <w:sz w:val="22"/>
                <w:szCs w:val="22"/>
                <w:highlight w:val="none"/>
                <w:u w:val="none"/>
                <w:lang w:val="en-US" w:eastAsia="zh-CN" w:bidi="ar"/>
              </w:rPr>
              <w:t>塑料垃圾桶（240L)</w:t>
            </w:r>
            <w:bookmarkEnd w:id="365"/>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F1B4">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100</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559D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58CD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1、垃圾桶容量（L）：≥240；</w:t>
            </w:r>
          </w:p>
          <w:p w14:paraId="6FC53BE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2、垃圾桶尺寸为（mm）：≥L700*W580*H1000；</w:t>
            </w:r>
          </w:p>
          <w:p w14:paraId="42F5A87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3、单桶体重量（kg）≥9；</w:t>
            </w:r>
          </w:p>
          <w:p w14:paraId="374F592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4、产品使用高密度聚乙烯全新料（HDPE）一次性注模成型。</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89DA2">
            <w:pPr>
              <w:jc w:val="center"/>
              <w:rPr>
                <w:rFonts w:hint="eastAsia" w:ascii="宋体" w:hAnsi="宋体" w:eastAsia="宋体" w:cs="宋体"/>
                <w:i w:val="0"/>
                <w:iCs w:val="0"/>
                <w:color w:val="000000"/>
                <w:sz w:val="22"/>
                <w:szCs w:val="22"/>
                <w:highlight w:val="none"/>
                <w:u w:val="none"/>
              </w:rPr>
            </w:pPr>
          </w:p>
        </w:tc>
      </w:tr>
      <w:tr w14:paraId="4C480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6BE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1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85C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勾臂式垃圾箱</w:t>
            </w:r>
          </w:p>
        </w:tc>
        <w:tc>
          <w:tcPr>
            <w:tcW w:w="6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FF84">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15</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639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snapToGrid w:val="0"/>
                <w:color w:val="000000"/>
                <w:kern w:val="0"/>
                <w:sz w:val="22"/>
                <w:szCs w:val="22"/>
                <w:highlight w:val="none"/>
                <w:u w:val="none"/>
                <w:lang w:val="en-US" w:eastAsia="zh-CN" w:bidi="ar"/>
              </w:rPr>
              <w:t>个</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BA1D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1、尺寸（长宽高 mm）:≥2450*1450*1230；</w:t>
            </w:r>
          </w:p>
          <w:p w14:paraId="62192A4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2、底板厚度（mm）:≥3.0；</w:t>
            </w:r>
          </w:p>
          <w:p w14:paraId="2AFA3F3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3、侧板厚度（mm）:≥2.0；</w:t>
            </w:r>
          </w:p>
          <w:p w14:paraId="31B35A85">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4、箱体总成：由钩环总成、前后轮，底架总成、箱体总成、投料门总成、后门总成、后门锁紧总成组成；</w:t>
            </w:r>
          </w:p>
          <w:p w14:paraId="131A225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技术特点要求：箱体采用高强度碳钢制作而成，保证常年使用不锈蚀、不发生变形，外型美观，耐腐蚀，使用寿命长；两侧门采用向上举升开启并具有自锁功能，操作轻便、安全可靠；箱体后门加装密封装置，内侧防腐，并且后门密封胶条为耐油、耐腐蚀，耐老化，无污水泄漏；后门框和后门具有足够的刚度，确保正常使用中不会出现变形，后门密封胶条，使用寿命3年以上。</w:t>
            </w:r>
          </w:p>
        </w:tc>
        <w:tc>
          <w:tcPr>
            <w:tcW w:w="6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F946">
            <w:pPr>
              <w:jc w:val="center"/>
              <w:rPr>
                <w:rFonts w:hint="eastAsia" w:ascii="宋体" w:hAnsi="宋体" w:eastAsia="宋体" w:cs="宋体"/>
                <w:i w:val="0"/>
                <w:iCs w:val="0"/>
                <w:color w:val="000000"/>
                <w:sz w:val="22"/>
                <w:szCs w:val="22"/>
                <w:highlight w:val="none"/>
                <w:u w:val="none"/>
              </w:rPr>
            </w:pPr>
          </w:p>
        </w:tc>
      </w:tr>
    </w:tbl>
    <w:p w14:paraId="0C779F78">
      <w:pPr>
        <w:pStyle w:val="2"/>
        <w:rPr>
          <w:rFonts w:hint="eastAsia" w:asciiTheme="minorEastAsia" w:hAnsiTheme="minorEastAsia" w:eastAsiaTheme="minorEastAsia" w:cstheme="minorEastAsia"/>
          <w:b/>
          <w:bCs/>
          <w:color w:val="auto"/>
          <w:spacing w:val="-10"/>
          <w:sz w:val="24"/>
          <w:szCs w:val="24"/>
        </w:rPr>
      </w:pPr>
    </w:p>
    <w:p w14:paraId="350EEDD0">
      <w:pPr>
        <w:pStyle w:val="3"/>
        <w:rPr>
          <w:rFonts w:hint="eastAsia"/>
        </w:rPr>
      </w:pPr>
    </w:p>
    <w:p w14:paraId="1975D750">
      <w:pPr>
        <w:jc w:val="center"/>
        <w:rPr>
          <w:rFonts w:hint="eastAsia" w:asciiTheme="minorEastAsia" w:hAnsiTheme="minorEastAsia" w:eastAsiaTheme="minorEastAsia" w:cstheme="minorEastAsia"/>
          <w:b/>
          <w:bCs/>
          <w:color w:val="auto"/>
          <w:spacing w:val="-10"/>
          <w:sz w:val="24"/>
          <w:szCs w:val="24"/>
        </w:rPr>
      </w:pPr>
      <w:r>
        <w:rPr>
          <w:rFonts w:hint="eastAsia" w:asciiTheme="minorEastAsia" w:hAnsiTheme="minorEastAsia" w:eastAsiaTheme="minorEastAsia" w:cstheme="minorEastAsia"/>
          <w:b/>
          <w:bCs/>
          <w:color w:val="auto"/>
          <w:spacing w:val="-10"/>
          <w:sz w:val="24"/>
          <w:szCs w:val="24"/>
        </w:rPr>
        <w:t>第</w:t>
      </w:r>
      <w:r>
        <w:rPr>
          <w:rFonts w:hint="eastAsia" w:asciiTheme="minorEastAsia" w:hAnsiTheme="minorEastAsia" w:eastAsiaTheme="minorEastAsia" w:cstheme="minorEastAsia"/>
          <w:b/>
          <w:bCs/>
          <w:color w:val="auto"/>
          <w:spacing w:val="-10"/>
          <w:sz w:val="24"/>
          <w:szCs w:val="24"/>
          <w:lang w:eastAsia="zh-CN"/>
        </w:rPr>
        <w:t>二</w:t>
      </w:r>
      <w:r>
        <w:rPr>
          <w:rFonts w:hint="eastAsia" w:asciiTheme="minorEastAsia" w:hAnsiTheme="minorEastAsia" w:eastAsiaTheme="minorEastAsia" w:cstheme="minorEastAsia"/>
          <w:b/>
          <w:bCs/>
          <w:color w:val="auto"/>
          <w:spacing w:val="-10"/>
          <w:sz w:val="24"/>
          <w:szCs w:val="24"/>
        </w:rPr>
        <w:t>节</w:t>
      </w:r>
      <w:r>
        <w:rPr>
          <w:rFonts w:hint="eastAsia" w:asciiTheme="minorEastAsia" w:hAnsiTheme="minorEastAsia" w:eastAsiaTheme="minorEastAsia" w:cstheme="minorEastAsia"/>
          <w:b/>
          <w:bCs/>
          <w:color w:val="auto"/>
          <w:spacing w:val="-10"/>
          <w:sz w:val="24"/>
          <w:szCs w:val="24"/>
          <w:lang w:eastAsia="zh-CN"/>
        </w:rPr>
        <w:t>商务</w:t>
      </w:r>
      <w:r>
        <w:rPr>
          <w:rFonts w:hint="eastAsia" w:asciiTheme="minorEastAsia" w:hAnsiTheme="minorEastAsia" w:eastAsiaTheme="minorEastAsia" w:cstheme="minorEastAsia"/>
          <w:b/>
          <w:bCs/>
          <w:color w:val="auto"/>
          <w:spacing w:val="-10"/>
          <w:sz w:val="24"/>
          <w:szCs w:val="24"/>
        </w:rPr>
        <w:t>要求</w:t>
      </w:r>
    </w:p>
    <w:p w14:paraId="24751692">
      <w:pPr>
        <w:pStyle w:val="2"/>
        <w:keepNext w:val="0"/>
        <w:keepLines w:val="0"/>
        <w:pageBreakBefore w:val="0"/>
        <w:wordWrap/>
        <w:overflowPunct/>
        <w:topLinePunct w:val="0"/>
        <w:bidi w:val="0"/>
        <w:spacing w:before="219" w:line="360" w:lineRule="auto"/>
        <w:ind w:left="5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lang w:eastAsia="zh-CN"/>
        </w:rPr>
        <w:t>一</w:t>
      </w:r>
      <w:r>
        <w:rPr>
          <w:rFonts w:hint="eastAsia" w:asciiTheme="minorEastAsia" w:hAnsiTheme="minorEastAsia" w:eastAsiaTheme="minorEastAsia" w:cstheme="minorEastAsia"/>
          <w:b/>
          <w:bCs/>
          <w:color w:val="auto"/>
          <w:spacing w:val="-6"/>
          <w:sz w:val="24"/>
          <w:szCs w:val="24"/>
        </w:rPr>
        <w:t>、报价说明</w:t>
      </w:r>
    </w:p>
    <w:p w14:paraId="7B6E8C27">
      <w:pPr>
        <w:pStyle w:val="2"/>
        <w:keepNext w:val="0"/>
        <w:keepLines w:val="0"/>
        <w:pageBreakBefore w:val="0"/>
        <w:wordWrap/>
        <w:overflowPunct/>
        <w:topLinePunct w:val="0"/>
        <w:bidi w:val="0"/>
        <w:spacing w:before="154" w:line="360" w:lineRule="auto"/>
        <w:ind w:left="43" w:right="70" w:firstLine="491"/>
        <w:rPr>
          <w:rFonts w:hint="eastAsia" w:asciiTheme="minorEastAsia" w:hAnsiTheme="minorEastAsia" w:eastAsiaTheme="minorEastAsia" w:cstheme="minorEastAsia"/>
          <w:color w:val="auto"/>
          <w:spacing w:val="-8"/>
          <w:sz w:val="24"/>
          <w:szCs w:val="24"/>
          <w:lang w:eastAsia="zh-CN"/>
        </w:rPr>
      </w:pPr>
      <w:r>
        <w:rPr>
          <w:rFonts w:hint="eastAsia" w:asciiTheme="minorEastAsia" w:hAnsiTheme="minorEastAsia" w:eastAsiaTheme="minorEastAsia" w:cstheme="minorEastAsia"/>
          <w:color w:val="auto"/>
          <w:spacing w:val="-1"/>
          <w:sz w:val="24"/>
          <w:szCs w:val="24"/>
          <w:lang w:eastAsia="zh-CN"/>
        </w:rPr>
        <w:t>1、投标人必须对本项目所投所有采购内容进行投标报价响应，不得只对部分内容投标报价响应，投标人对本项目所投</w:t>
      </w:r>
      <w:r>
        <w:rPr>
          <w:rFonts w:hint="eastAsia" w:asciiTheme="minorEastAsia" w:hAnsiTheme="minorEastAsia" w:eastAsiaTheme="minorEastAsia" w:cstheme="minorEastAsia"/>
          <w:color w:val="auto"/>
          <w:spacing w:val="-2"/>
          <w:sz w:val="24"/>
          <w:szCs w:val="24"/>
          <w:lang w:eastAsia="zh-CN"/>
        </w:rPr>
        <w:t>的投标报价不得超过采购预算，否则</w:t>
      </w:r>
      <w:r>
        <w:rPr>
          <w:rFonts w:hint="eastAsia" w:asciiTheme="minorEastAsia" w:hAnsiTheme="minorEastAsia" w:eastAsiaTheme="minorEastAsia" w:cstheme="minorEastAsia"/>
          <w:color w:val="auto"/>
          <w:spacing w:val="-8"/>
          <w:sz w:val="24"/>
          <w:szCs w:val="24"/>
          <w:lang w:eastAsia="zh-CN"/>
        </w:rPr>
        <w:t>投标无效。</w:t>
      </w:r>
    </w:p>
    <w:p w14:paraId="0F24BE24">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bookmarkStart w:id="239" w:name="_Toc14262"/>
      <w:r>
        <w:rPr>
          <w:rFonts w:hint="eastAsia" w:asciiTheme="minorEastAsia" w:hAnsiTheme="minorEastAsia" w:eastAsiaTheme="minorEastAsia" w:cstheme="minorEastAsia"/>
          <w:color w:val="auto"/>
          <w:kern w:val="2"/>
          <w:sz w:val="24"/>
          <w:szCs w:val="24"/>
          <w:lang w:eastAsia="zh-CN"/>
        </w:rPr>
        <w:t>2.</w:t>
      </w:r>
      <w:r>
        <w:rPr>
          <w:rFonts w:hint="eastAsia" w:asciiTheme="minorEastAsia" w:hAnsiTheme="minorEastAsia" w:eastAsiaTheme="minorEastAsia" w:cstheme="minorEastAsia"/>
          <w:color w:val="auto"/>
          <w:sz w:val="24"/>
          <w:szCs w:val="24"/>
          <w:lang w:eastAsia="zh-CN"/>
        </w:rPr>
        <w:t>投标人的报价应包含为完成本招标文件提出的货物生产制造费、运输、安装、调试、检测、售后服务以及车辆交付后上牌、检测、购买交强险等全部相关工作所有可能发生的费用，即所需的一切人工、物耗、工具、设备、用水、用电、保险和调研、咨询、测试、验收、培训、税金等所有可能发生的一切费用，即投标总报价为“交钥匙”价。对在合同实施过程中可能发生的其他费用（如：增加耗材、材料涨价、人工、运输成本增加等因素），采购人概不负责。本文件所要求内容应视为保证产品运行所需最低要求，如有遗漏，投标人应予补充。</w:t>
      </w:r>
    </w:p>
    <w:p w14:paraId="66F9C4DE">
      <w:pPr>
        <w:keepNext w:val="0"/>
        <w:keepLines w:val="0"/>
        <w:pageBreakBefore w:val="0"/>
        <w:widowControl w:val="0"/>
        <w:kinsoku/>
        <w:wordWrap/>
        <w:overflowPunct/>
        <w:topLinePunct w:val="0"/>
        <w:autoSpaceDE/>
        <w:autoSpaceDN/>
        <w:bidi w:val="0"/>
        <w:spacing w:line="360" w:lineRule="auto"/>
        <w:ind w:firstLine="480" w:firstLineChars="200"/>
        <w:jc w:val="both"/>
        <w:textAlignment w:val="auto"/>
        <w:outlineLvl w:val="0"/>
        <w:rPr>
          <w:rFonts w:hint="eastAsia" w:asciiTheme="minorEastAsia" w:hAnsiTheme="minorEastAsia" w:eastAsiaTheme="minorEastAsia" w:cstheme="minorEastAsia"/>
          <w:color w:val="auto"/>
          <w:spacing w:val="-8"/>
          <w:sz w:val="24"/>
          <w:szCs w:val="24"/>
          <w:lang w:eastAsia="zh-CN"/>
        </w:rPr>
      </w:pPr>
      <w:bookmarkStart w:id="240" w:name="_Toc14104"/>
      <w:bookmarkStart w:id="241" w:name="_Toc21430"/>
      <w:r>
        <w:rPr>
          <w:rFonts w:hint="eastAsia" w:asciiTheme="minorEastAsia" w:hAnsiTheme="minorEastAsia" w:eastAsiaTheme="minorEastAsia" w:cstheme="minorEastAsia"/>
          <w:color w:val="auto"/>
          <w:sz w:val="24"/>
          <w:szCs w:val="24"/>
          <w:lang w:eastAsia="zh-CN"/>
        </w:rPr>
        <w:t>3.对本文件未列明，而投标人认为必需的费用也需列入投标总报价。在合同实施时，采购人将不予支付中标人没有列入的项目费用，并认为此项目的费用已包含在投标总报价中</w:t>
      </w:r>
      <w:r>
        <w:rPr>
          <w:rFonts w:hint="eastAsia" w:asciiTheme="minorEastAsia" w:hAnsiTheme="minorEastAsia" w:eastAsiaTheme="minorEastAsia" w:cstheme="minorEastAsia"/>
          <w:color w:val="auto"/>
          <w:kern w:val="2"/>
          <w:sz w:val="24"/>
          <w:szCs w:val="24"/>
          <w:lang w:eastAsia="zh-CN"/>
        </w:rPr>
        <w:t>。</w:t>
      </w:r>
      <w:bookmarkEnd w:id="239"/>
      <w:bookmarkEnd w:id="240"/>
      <w:bookmarkEnd w:id="241"/>
    </w:p>
    <w:p w14:paraId="1287F69F">
      <w:pPr>
        <w:pStyle w:val="2"/>
        <w:keepNext w:val="0"/>
        <w:keepLines w:val="0"/>
        <w:pageBreakBefore w:val="0"/>
        <w:wordWrap/>
        <w:overflowPunct/>
        <w:topLinePunct w:val="0"/>
        <w:bidi w:val="0"/>
        <w:spacing w:before="153" w:line="360" w:lineRule="auto"/>
        <w:ind w:left="5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5"/>
          <w:sz w:val="24"/>
          <w:szCs w:val="24"/>
          <w:lang w:eastAsia="zh-CN"/>
        </w:rPr>
        <w:t>二、交货及验收要求</w:t>
      </w:r>
    </w:p>
    <w:p w14:paraId="19E1F683">
      <w:pPr>
        <w:pStyle w:val="2"/>
        <w:keepNext w:val="0"/>
        <w:keepLines w:val="0"/>
        <w:pageBreakBefore w:val="0"/>
        <w:wordWrap/>
        <w:overflowPunct/>
        <w:topLinePunct w:val="0"/>
        <w:bidi w:val="0"/>
        <w:spacing w:before="158" w:line="360" w:lineRule="auto"/>
        <w:ind w:left="535"/>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1"/>
          <w:sz w:val="24"/>
          <w:szCs w:val="24"/>
          <w:lang w:eastAsia="zh-CN"/>
        </w:rPr>
        <w:t>1、交货时间：</w:t>
      </w:r>
    </w:p>
    <w:p w14:paraId="7AA908BA">
      <w:pPr>
        <w:pStyle w:val="2"/>
        <w:keepNext w:val="0"/>
        <w:keepLines w:val="0"/>
        <w:pageBreakBefore w:val="0"/>
        <w:wordWrap/>
        <w:overflowPunct/>
        <w:topLinePunct w:val="0"/>
        <w:bidi w:val="0"/>
        <w:spacing w:before="129" w:line="360" w:lineRule="auto"/>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合同签订之日起</w:t>
      </w:r>
      <w:r>
        <w:rPr>
          <w:rFonts w:hint="eastAsia" w:asciiTheme="minorEastAsia" w:hAnsiTheme="minorEastAsia" w:eastAsiaTheme="minorEastAsia" w:cstheme="minorEastAsia"/>
          <w:color w:val="auto"/>
          <w:spacing w:val="-1"/>
          <w:sz w:val="24"/>
          <w:szCs w:val="24"/>
          <w:lang w:val="en-US" w:eastAsia="zh-CN"/>
        </w:rPr>
        <w:t>30个日历天</w:t>
      </w:r>
      <w:r>
        <w:rPr>
          <w:rFonts w:hint="eastAsia" w:asciiTheme="minorEastAsia" w:hAnsiTheme="minorEastAsia" w:eastAsiaTheme="minorEastAsia" w:cstheme="minorEastAsia"/>
          <w:color w:val="auto"/>
          <w:spacing w:val="-1"/>
          <w:sz w:val="24"/>
          <w:szCs w:val="24"/>
          <w:lang w:eastAsia="zh-CN"/>
        </w:rPr>
        <w:t>内完成交付及验收；</w:t>
      </w:r>
    </w:p>
    <w:p w14:paraId="09B05015">
      <w:pPr>
        <w:pStyle w:val="2"/>
        <w:keepNext w:val="0"/>
        <w:keepLines w:val="0"/>
        <w:pageBreakBefore w:val="0"/>
        <w:wordWrap/>
        <w:overflowPunct/>
        <w:topLinePunct w:val="0"/>
        <w:bidi w:val="0"/>
        <w:spacing w:before="190" w:line="360" w:lineRule="auto"/>
        <w:ind w:left="52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4"/>
          <w:sz w:val="24"/>
          <w:szCs w:val="24"/>
          <w:lang w:eastAsia="zh-CN"/>
        </w:rPr>
        <w:t>2、交货地点：采购人指定地点；</w:t>
      </w:r>
    </w:p>
    <w:p w14:paraId="214711FE">
      <w:pPr>
        <w:pStyle w:val="2"/>
        <w:keepNext w:val="0"/>
        <w:keepLines w:val="0"/>
        <w:pageBreakBefore w:val="0"/>
        <w:wordWrap/>
        <w:overflowPunct/>
        <w:topLinePunct w:val="0"/>
        <w:bidi w:val="0"/>
        <w:spacing w:before="181" w:line="360" w:lineRule="auto"/>
        <w:ind w:left="52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3、产品运输、保管及保险</w:t>
      </w:r>
    </w:p>
    <w:p w14:paraId="72E49BCC">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lang w:eastAsia="zh-CN"/>
        </w:rPr>
        <w:t>3.1、中标人负责产品在没有任何损坏的情况下安全运抵采购人指定的交货地点，中标人应承担由于其包装或防护措施不当而引起的产品损坏和丢失的责任或费用；</w:t>
      </w:r>
    </w:p>
    <w:p w14:paraId="0234EEAC">
      <w:pPr>
        <w:pStyle w:val="2"/>
        <w:keepNext w:val="0"/>
        <w:keepLines w:val="0"/>
        <w:pageBreakBefore w:val="0"/>
        <w:wordWrap/>
        <w:overflowPunct/>
        <w:topLinePunct w:val="0"/>
        <w:bidi w:val="0"/>
        <w:spacing w:before="191" w:line="360" w:lineRule="auto"/>
        <w:ind w:left="52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3.2、中标人负责</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2"/>
          <w:sz w:val="24"/>
          <w:szCs w:val="24"/>
          <w:lang w:eastAsia="zh-CN"/>
        </w:rPr>
        <w:t>在交货地点的保管，直至</w:t>
      </w:r>
      <w:r>
        <w:rPr>
          <w:rFonts w:hint="eastAsia" w:asciiTheme="minorEastAsia" w:hAnsiTheme="minorEastAsia" w:eastAsiaTheme="minorEastAsia" w:cstheme="minorEastAsia"/>
          <w:color w:val="auto"/>
          <w:spacing w:val="-3"/>
          <w:sz w:val="24"/>
          <w:szCs w:val="24"/>
          <w:lang w:eastAsia="zh-CN"/>
        </w:rPr>
        <w:t>项目验收合格；</w:t>
      </w:r>
    </w:p>
    <w:p w14:paraId="50723D97">
      <w:pPr>
        <w:pStyle w:val="2"/>
        <w:keepNext w:val="0"/>
        <w:keepLines w:val="0"/>
        <w:pageBreakBefore w:val="0"/>
        <w:wordWrap/>
        <w:overflowPunct/>
        <w:topLinePunct w:val="0"/>
        <w:bidi w:val="0"/>
        <w:spacing w:before="186" w:line="360" w:lineRule="auto"/>
        <w:ind w:left="44" w:right="91" w:firstLine="477"/>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3.3、中标人应对交付的</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1"/>
          <w:sz w:val="24"/>
          <w:szCs w:val="24"/>
          <w:lang w:eastAsia="zh-CN"/>
        </w:rPr>
        <w:t>在运输、存放及交货过程中的毁损或丢失负全部责</w:t>
      </w:r>
      <w:r>
        <w:rPr>
          <w:rFonts w:hint="eastAsia" w:asciiTheme="minorEastAsia" w:hAnsiTheme="minorEastAsia" w:eastAsiaTheme="minorEastAsia" w:cstheme="minorEastAsia"/>
          <w:color w:val="auto"/>
          <w:spacing w:val="-4"/>
          <w:sz w:val="24"/>
          <w:szCs w:val="24"/>
          <w:lang w:eastAsia="zh-CN"/>
        </w:rPr>
        <w:t>任，负责其派出的交货人员的人身意外保险；</w:t>
      </w:r>
    </w:p>
    <w:p w14:paraId="07C5253E">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3.4、项目交付完成后，中标人应将项目有关的全部资料，包括产品资料、技术文档等，移交给采购人。上述资料文件应编辑正确、内容充实、容易理解， 详尽描述所供产品的性能、原理、结构和尺寸， 并包括部件的型号、规格、技术参数等，保证采购人能够正确进行操作和使用。</w:t>
      </w:r>
    </w:p>
    <w:p w14:paraId="3E6B6667">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4、产品验收</w:t>
      </w:r>
    </w:p>
    <w:p w14:paraId="65F78FF7">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4.1、项目验收按国家、行业或企业标准等执行， 国家有强制性规定的，按国家规定执行；</w:t>
      </w:r>
    </w:p>
    <w:p w14:paraId="012FD65D">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4.2、项目验收费用由中标人承担，验收报告作为申请付款的凭证之一；</w:t>
      </w:r>
    </w:p>
    <w:p w14:paraId="4BD357CB">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4.3、验收过程中产生纠纷的， 由质量技术监督部门认定的检测机构检测,如为中标人原因造成的，由中标人承担检测费用；否则，由采购人承担；</w:t>
      </w:r>
    </w:p>
    <w:p w14:paraId="1C4D4763">
      <w:pPr>
        <w:pStyle w:val="2"/>
        <w:keepNext w:val="0"/>
        <w:keepLines w:val="0"/>
        <w:pageBreakBefore w:val="0"/>
        <w:wordWrap/>
        <w:overflowPunct/>
        <w:topLinePunct w:val="0"/>
        <w:bidi w:val="0"/>
        <w:spacing w:before="189" w:line="360" w:lineRule="auto"/>
        <w:ind w:left="75" w:firstLine="446"/>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4.4、项目验收不合格，由中标人负责更换等直至合格，有关更换、再行验收，以及给采购人造成的损失等费用由中标人承担。连续两次项目验收不合格的， 采购人可终止合同，由此带来的一切损失由中标人承担。</w:t>
      </w:r>
    </w:p>
    <w:p w14:paraId="3B35C07D">
      <w:pPr>
        <w:pStyle w:val="2"/>
        <w:keepNext w:val="0"/>
        <w:keepLines w:val="0"/>
        <w:pageBreakBefore w:val="0"/>
        <w:wordWrap/>
        <w:overflowPunct/>
        <w:topLinePunct w:val="0"/>
        <w:bidi w:val="0"/>
        <w:spacing w:before="213" w:line="360" w:lineRule="auto"/>
        <w:ind w:left="72"/>
        <w:rPr>
          <w:rFonts w:hint="eastAsia" w:asciiTheme="minorEastAsia" w:hAnsiTheme="minorEastAsia" w:eastAsiaTheme="minorEastAsia" w:cstheme="minorEastAsia"/>
          <w:b/>
          <w:bCs/>
          <w:color w:val="auto"/>
          <w:spacing w:val="-8"/>
          <w:sz w:val="24"/>
          <w:szCs w:val="24"/>
          <w:lang w:eastAsia="zh-CN"/>
        </w:rPr>
      </w:pPr>
      <w:r>
        <w:rPr>
          <w:rFonts w:hint="eastAsia" w:asciiTheme="minorEastAsia" w:hAnsiTheme="minorEastAsia" w:eastAsiaTheme="minorEastAsia" w:cstheme="minorEastAsia"/>
          <w:b/>
          <w:bCs/>
          <w:color w:val="auto"/>
          <w:spacing w:val="-8"/>
          <w:sz w:val="24"/>
          <w:szCs w:val="24"/>
          <w:lang w:eastAsia="zh-CN"/>
        </w:rPr>
        <w:t>三、货款支付</w:t>
      </w:r>
    </w:p>
    <w:p w14:paraId="71630509">
      <w:pPr>
        <w:pStyle w:val="15"/>
        <w:keepNext w:val="0"/>
        <w:keepLines w:val="0"/>
        <w:pageBreakBefore w:val="0"/>
        <w:kinsoku/>
        <w:wordWrap/>
        <w:overflowPunct/>
        <w:topLinePunct w:val="0"/>
        <w:autoSpaceDE/>
        <w:autoSpaceDN/>
        <w:bidi w:val="0"/>
        <w:adjustRightInd/>
        <w:snapToGrid/>
        <w:spacing w:before="0" w:beforeAutospacing="0" w:after="200" w:afterAutospacing="0" w:line="360" w:lineRule="auto"/>
        <w:ind w:firstLine="420"/>
        <w:textAlignment w:val="auto"/>
        <w:rPr>
          <w:rFonts w:hint="eastAsia" w:asciiTheme="minorEastAsia" w:hAnsiTheme="minorEastAsia" w:eastAsiaTheme="minorEastAsia" w:cstheme="minorEastAsia"/>
          <w:color w:val="auto"/>
          <w:spacing w:val="2"/>
          <w:szCs w:val="24"/>
        </w:rPr>
      </w:pPr>
      <w:r>
        <w:rPr>
          <w:rFonts w:hint="eastAsia" w:asciiTheme="minorEastAsia" w:hAnsiTheme="minorEastAsia" w:eastAsiaTheme="minorEastAsia" w:cstheme="minorEastAsia"/>
          <w:color w:val="auto"/>
          <w:spacing w:val="2"/>
          <w:szCs w:val="24"/>
        </w:rPr>
        <w:t>中标人签订合同后15个工作日内支付合同总额的20%后发货，货到验收合格之日起30个工作日内付清。</w:t>
      </w:r>
    </w:p>
    <w:p w14:paraId="37293F92">
      <w:pPr>
        <w:pStyle w:val="2"/>
        <w:keepNext w:val="0"/>
        <w:keepLines w:val="0"/>
        <w:pageBreakBefore w:val="0"/>
        <w:wordWrap/>
        <w:overflowPunct/>
        <w:topLinePunct w:val="0"/>
        <w:bidi w:val="0"/>
        <w:spacing w:before="213" w:line="360" w:lineRule="auto"/>
        <w:ind w:left="7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8"/>
          <w:sz w:val="24"/>
          <w:szCs w:val="24"/>
          <w:lang w:eastAsia="zh-CN"/>
        </w:rPr>
        <w:t>四、售后服务要求</w:t>
      </w:r>
    </w:p>
    <w:p w14:paraId="5C69069C">
      <w:pPr>
        <w:pStyle w:val="2"/>
        <w:keepNext w:val="0"/>
        <w:keepLines w:val="0"/>
        <w:pageBreakBefore w:val="0"/>
        <w:wordWrap/>
        <w:overflowPunct/>
        <w:topLinePunct w:val="0"/>
        <w:bidi w:val="0"/>
        <w:spacing w:before="130" w:line="360" w:lineRule="auto"/>
        <w:ind w:left="45" w:right="29" w:firstLine="48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1、投标人应提供及时周到的售后服务，并负</w:t>
      </w:r>
      <w:r>
        <w:rPr>
          <w:rFonts w:hint="eastAsia" w:asciiTheme="minorEastAsia" w:hAnsiTheme="minorEastAsia" w:eastAsiaTheme="minorEastAsia" w:cstheme="minorEastAsia"/>
          <w:color w:val="auto"/>
          <w:spacing w:val="1"/>
          <w:sz w:val="24"/>
          <w:szCs w:val="24"/>
          <w:lang w:eastAsia="zh-CN"/>
        </w:rPr>
        <w:t>责对使用人员、维护人员等进行相</w:t>
      </w:r>
      <w:r>
        <w:rPr>
          <w:rFonts w:hint="eastAsia" w:asciiTheme="minorEastAsia" w:hAnsiTheme="minorEastAsia" w:eastAsiaTheme="minorEastAsia" w:cstheme="minorEastAsia"/>
          <w:color w:val="auto"/>
          <w:spacing w:val="-2"/>
          <w:sz w:val="24"/>
          <w:szCs w:val="24"/>
          <w:lang w:eastAsia="zh-CN"/>
        </w:rPr>
        <w:t>关培训。若产品出现任何质量问题，中标人须在1小时内作出响应，4小时内到达现场并解决问题，不能在规定时间内修好的要免费提供备品（机）备件。</w:t>
      </w:r>
    </w:p>
    <w:p w14:paraId="52E045E8">
      <w:pPr>
        <w:pStyle w:val="2"/>
        <w:keepNext w:val="0"/>
        <w:keepLines w:val="0"/>
        <w:pageBreakBefore w:val="0"/>
        <w:wordWrap/>
        <w:overflowPunct/>
        <w:topLinePunct w:val="0"/>
        <w:bidi w:val="0"/>
        <w:spacing w:before="216" w:line="360" w:lineRule="auto"/>
        <w:ind w:left="46" w:right="113" w:firstLine="474"/>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2、对于一些重大故障，如中标人不能在承诺的时</w:t>
      </w:r>
      <w:r>
        <w:rPr>
          <w:rFonts w:hint="eastAsia" w:asciiTheme="minorEastAsia" w:hAnsiTheme="minorEastAsia" w:eastAsiaTheme="minorEastAsia" w:cstheme="minorEastAsia"/>
          <w:color w:val="auto"/>
          <w:spacing w:val="-1"/>
          <w:sz w:val="24"/>
          <w:szCs w:val="24"/>
          <w:lang w:eastAsia="zh-CN"/>
        </w:rPr>
        <w:t>间内修复故障，采购人有权请</w:t>
      </w:r>
      <w:r>
        <w:rPr>
          <w:rFonts w:hint="eastAsia" w:asciiTheme="minorEastAsia" w:hAnsiTheme="minorEastAsia" w:eastAsiaTheme="minorEastAsia" w:cstheme="minorEastAsia"/>
          <w:color w:val="auto"/>
          <w:spacing w:val="-2"/>
          <w:sz w:val="24"/>
          <w:szCs w:val="24"/>
          <w:lang w:eastAsia="zh-CN"/>
        </w:rPr>
        <w:t>其他第三方专业服务公司进行维修，该费用由中标人承担。</w:t>
      </w:r>
    </w:p>
    <w:p w14:paraId="5BA7FC88">
      <w:pPr>
        <w:pStyle w:val="2"/>
        <w:keepNext w:val="0"/>
        <w:keepLines w:val="0"/>
        <w:pageBreakBefore w:val="0"/>
        <w:wordWrap/>
        <w:overflowPunct/>
        <w:topLinePunct w:val="0"/>
        <w:bidi w:val="0"/>
        <w:spacing w:before="159" w:line="360" w:lineRule="auto"/>
        <w:ind w:left="43" w:right="131" w:firstLine="47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3、质保期：质保期为一年。质保期按国家三包法的规定为准。质保期内，整车和所有配件的维</w:t>
      </w:r>
      <w:r>
        <w:rPr>
          <w:rFonts w:hint="eastAsia" w:asciiTheme="minorEastAsia" w:hAnsiTheme="minorEastAsia" w:eastAsiaTheme="minorEastAsia" w:cstheme="minorEastAsia"/>
          <w:color w:val="auto"/>
          <w:spacing w:val="-3"/>
          <w:sz w:val="24"/>
          <w:szCs w:val="24"/>
          <w:lang w:eastAsia="zh-CN"/>
        </w:rPr>
        <w:t>修、维护服务不得收取任何额外的费用。</w:t>
      </w:r>
    </w:p>
    <w:p w14:paraId="5D45FADA">
      <w:pPr>
        <w:pStyle w:val="2"/>
        <w:keepNext w:val="0"/>
        <w:keepLines w:val="0"/>
        <w:pageBreakBefore w:val="0"/>
        <w:wordWrap/>
        <w:overflowPunct/>
        <w:topLinePunct w:val="0"/>
        <w:bidi w:val="0"/>
        <w:spacing w:before="160" w:line="360" w:lineRule="auto"/>
        <w:ind w:left="4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6"/>
          <w:sz w:val="24"/>
          <w:szCs w:val="24"/>
          <w:lang w:eastAsia="zh-CN"/>
        </w:rPr>
        <w:t>五、质量要求</w:t>
      </w:r>
    </w:p>
    <w:p w14:paraId="5D563578">
      <w:pPr>
        <w:pStyle w:val="2"/>
        <w:keepNext w:val="0"/>
        <w:keepLines w:val="0"/>
        <w:pageBreakBefore w:val="0"/>
        <w:wordWrap/>
        <w:overflowPunct/>
        <w:topLinePunct w:val="0"/>
        <w:bidi w:val="0"/>
        <w:spacing w:before="153" w:line="360" w:lineRule="auto"/>
        <w:ind w:left="46" w:right="131" w:firstLine="488"/>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1、中标人应保证合同项目下所供</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1"/>
          <w:sz w:val="24"/>
          <w:szCs w:val="24"/>
          <w:lang w:eastAsia="zh-CN"/>
        </w:rPr>
        <w:t>是全新的、未使用</w:t>
      </w:r>
      <w:r>
        <w:rPr>
          <w:rFonts w:hint="eastAsia" w:asciiTheme="minorEastAsia" w:hAnsiTheme="minorEastAsia" w:eastAsiaTheme="minorEastAsia" w:cstheme="minorEastAsia"/>
          <w:color w:val="auto"/>
          <w:spacing w:val="-2"/>
          <w:sz w:val="24"/>
          <w:szCs w:val="24"/>
          <w:lang w:eastAsia="zh-CN"/>
        </w:rPr>
        <w:t>过的，并完全符合国家相关标准和合同规定的质量、规格、性能和技术规范等的要求，</w:t>
      </w:r>
      <w:r>
        <w:rPr>
          <w:rFonts w:hint="eastAsia" w:asciiTheme="minorEastAsia" w:hAnsiTheme="minorEastAsia" w:eastAsiaTheme="minorEastAsia" w:cstheme="minorEastAsia"/>
          <w:color w:val="auto"/>
          <w:spacing w:val="-2"/>
          <w:sz w:val="24"/>
          <w:szCs w:val="24"/>
          <w:lang w:val="en-US" w:eastAsia="zh-CN"/>
        </w:rPr>
        <w:t>具有合格证书</w:t>
      </w:r>
      <w:r>
        <w:rPr>
          <w:rFonts w:hint="eastAsia" w:asciiTheme="minorEastAsia" w:hAnsiTheme="minorEastAsia" w:eastAsiaTheme="minorEastAsia" w:cstheme="minorEastAsia"/>
          <w:color w:val="auto"/>
          <w:spacing w:val="-2"/>
          <w:sz w:val="24"/>
          <w:szCs w:val="24"/>
          <w:lang w:eastAsia="zh-CN"/>
        </w:rPr>
        <w:t>。</w:t>
      </w:r>
    </w:p>
    <w:p w14:paraId="02A9A261">
      <w:pPr>
        <w:pStyle w:val="2"/>
        <w:keepNext w:val="0"/>
        <w:keepLines w:val="0"/>
        <w:pageBreakBefore w:val="0"/>
        <w:wordWrap/>
        <w:overflowPunct/>
        <w:topLinePunct w:val="0"/>
        <w:bidi w:val="0"/>
        <w:spacing w:before="159" w:line="360" w:lineRule="auto"/>
        <w:ind w:left="44" w:right="27" w:firstLine="475"/>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lang w:eastAsia="zh-CN"/>
        </w:rPr>
        <w:t>2、中标人所提供的</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1"/>
          <w:sz w:val="24"/>
          <w:szCs w:val="24"/>
          <w:lang w:eastAsia="zh-CN"/>
        </w:rPr>
        <w:t>送达现场后，如采购人发现有任何问题（如外观有损伤</w:t>
      </w:r>
      <w:r>
        <w:rPr>
          <w:rFonts w:hint="eastAsia" w:asciiTheme="minorEastAsia" w:hAnsiTheme="minorEastAsia" w:eastAsiaTheme="minorEastAsia" w:cstheme="minorEastAsia"/>
          <w:color w:val="auto"/>
          <w:spacing w:val="-2"/>
          <w:sz w:val="24"/>
          <w:szCs w:val="24"/>
          <w:lang w:eastAsia="zh-CN"/>
        </w:rPr>
        <w:t>等</w:t>
      </w:r>
      <w:r>
        <w:rPr>
          <w:rFonts w:hint="eastAsia" w:asciiTheme="minorEastAsia" w:hAnsiTheme="minorEastAsia" w:eastAsiaTheme="minorEastAsia" w:cstheme="minorEastAsia"/>
          <w:color w:val="auto"/>
          <w:spacing w:val="9"/>
          <w:sz w:val="24"/>
          <w:szCs w:val="24"/>
          <w:lang w:eastAsia="zh-CN"/>
        </w:rPr>
        <w:t>），</w:t>
      </w:r>
      <w:r>
        <w:rPr>
          <w:rFonts w:hint="eastAsia" w:asciiTheme="minorEastAsia" w:hAnsiTheme="minorEastAsia" w:eastAsiaTheme="minorEastAsia" w:cstheme="minorEastAsia"/>
          <w:color w:val="auto"/>
          <w:spacing w:val="-2"/>
          <w:sz w:val="24"/>
          <w:szCs w:val="24"/>
          <w:lang w:eastAsia="zh-CN"/>
        </w:rPr>
        <w:t>中标人必须立即以同样型号的</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2"/>
          <w:sz w:val="24"/>
          <w:szCs w:val="24"/>
          <w:lang w:eastAsia="zh-CN"/>
        </w:rPr>
        <w:t>在采购人规定的时间内更换，确保其正常使</w:t>
      </w:r>
      <w:r>
        <w:rPr>
          <w:rFonts w:hint="eastAsia" w:asciiTheme="minorEastAsia" w:hAnsiTheme="minorEastAsia" w:eastAsiaTheme="minorEastAsia" w:cstheme="minorEastAsia"/>
          <w:color w:val="auto"/>
          <w:spacing w:val="-12"/>
          <w:sz w:val="24"/>
          <w:szCs w:val="24"/>
          <w:lang w:eastAsia="zh-CN"/>
        </w:rPr>
        <w:t>用。</w:t>
      </w:r>
    </w:p>
    <w:p w14:paraId="7558A005">
      <w:pPr>
        <w:pStyle w:val="2"/>
        <w:keepNext w:val="0"/>
        <w:keepLines w:val="0"/>
        <w:pageBreakBefore w:val="0"/>
        <w:wordWrap/>
        <w:overflowPunct/>
        <w:topLinePunct w:val="0"/>
        <w:bidi w:val="0"/>
        <w:spacing w:before="157" w:line="360" w:lineRule="auto"/>
        <w:ind w:left="52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3、所有</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2"/>
          <w:sz w:val="24"/>
          <w:szCs w:val="24"/>
          <w:lang w:eastAsia="zh-CN"/>
        </w:rPr>
        <w:t>须满足国家及行业对节能、环保、质量方面的要求。</w:t>
      </w:r>
    </w:p>
    <w:p w14:paraId="0225B5CD">
      <w:pPr>
        <w:pStyle w:val="2"/>
        <w:keepNext w:val="0"/>
        <w:keepLines w:val="0"/>
        <w:pageBreakBefore w:val="0"/>
        <w:numPr>
          <w:ilvl w:val="0"/>
          <w:numId w:val="2"/>
        </w:numPr>
        <w:wordWrap/>
        <w:overflowPunct/>
        <w:topLinePunct w:val="0"/>
        <w:bidi w:val="0"/>
        <w:spacing w:before="78" w:line="360" w:lineRule="auto"/>
        <w:ind w:left="46" w:right="27" w:firstLine="470"/>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1"/>
          <w:sz w:val="24"/>
          <w:szCs w:val="24"/>
          <w:lang w:eastAsia="zh-CN"/>
        </w:rPr>
        <w:t>中标人须保障采购人在使用该</w:t>
      </w:r>
      <w:r>
        <w:rPr>
          <w:rFonts w:hint="eastAsia" w:asciiTheme="minorEastAsia" w:hAnsiTheme="minorEastAsia" w:eastAsiaTheme="minorEastAsia" w:cstheme="minorEastAsia"/>
          <w:color w:val="auto"/>
          <w:spacing w:val="-3"/>
          <w:sz w:val="24"/>
          <w:szCs w:val="24"/>
          <w:lang w:eastAsia="zh-CN"/>
        </w:rPr>
        <w:t>产品</w:t>
      </w:r>
      <w:r>
        <w:rPr>
          <w:rFonts w:hint="eastAsia" w:asciiTheme="minorEastAsia" w:hAnsiTheme="minorEastAsia" w:eastAsiaTheme="minorEastAsia" w:cstheme="minorEastAsia"/>
          <w:color w:val="auto"/>
          <w:spacing w:val="-1"/>
          <w:sz w:val="24"/>
          <w:szCs w:val="24"/>
          <w:lang w:eastAsia="zh-CN"/>
        </w:rPr>
        <w:t>时不受到第三方关于侵犯专利权、商标权</w:t>
      </w:r>
      <w:r>
        <w:rPr>
          <w:rFonts w:hint="eastAsia" w:asciiTheme="minorEastAsia" w:hAnsiTheme="minorEastAsia" w:eastAsiaTheme="minorEastAsia" w:cstheme="minorEastAsia"/>
          <w:color w:val="auto"/>
          <w:spacing w:val="-7"/>
          <w:sz w:val="24"/>
          <w:szCs w:val="24"/>
          <w:lang w:eastAsia="zh-CN"/>
        </w:rPr>
        <w:t>或工业设计权的指控。如果任何第三方提出侵权指控，中标人须与第三方交涉，并承</w:t>
      </w:r>
      <w:r>
        <w:rPr>
          <w:rFonts w:hint="eastAsia" w:asciiTheme="minorEastAsia" w:hAnsiTheme="minorEastAsia" w:eastAsiaTheme="minorEastAsia" w:cstheme="minorEastAsia"/>
          <w:color w:val="auto"/>
          <w:spacing w:val="-1"/>
          <w:sz w:val="24"/>
          <w:szCs w:val="24"/>
          <w:lang w:eastAsia="zh-CN"/>
        </w:rPr>
        <w:t>担由此而产生的索赔、损失、损害、支出等一切</w:t>
      </w:r>
      <w:r>
        <w:rPr>
          <w:rFonts w:hint="eastAsia" w:asciiTheme="minorEastAsia" w:hAnsiTheme="minorEastAsia" w:eastAsiaTheme="minorEastAsia" w:cstheme="minorEastAsia"/>
          <w:color w:val="auto"/>
          <w:spacing w:val="-2"/>
          <w:sz w:val="24"/>
          <w:szCs w:val="24"/>
          <w:lang w:eastAsia="zh-CN"/>
        </w:rPr>
        <w:t>费用（含律师费）。如采购人因此而</w:t>
      </w:r>
      <w:r>
        <w:rPr>
          <w:rFonts w:hint="eastAsia" w:asciiTheme="minorEastAsia" w:hAnsiTheme="minorEastAsia" w:eastAsiaTheme="minorEastAsia" w:cstheme="minorEastAsia"/>
          <w:color w:val="auto"/>
          <w:spacing w:val="-3"/>
          <w:sz w:val="24"/>
          <w:szCs w:val="24"/>
          <w:lang w:eastAsia="zh-CN"/>
        </w:rPr>
        <w:t>遭致损失的，中标人应赔偿该损失。</w:t>
      </w:r>
    </w:p>
    <w:p w14:paraId="332DDD62">
      <w:pPr>
        <w:pStyle w:val="2"/>
        <w:keepNext w:val="0"/>
        <w:keepLines w:val="0"/>
        <w:pageBreakBefore w:val="0"/>
        <w:wordWrap/>
        <w:overflowPunct/>
        <w:topLinePunct w:val="0"/>
        <w:bidi w:val="0"/>
        <w:spacing w:before="160" w:line="360" w:lineRule="auto"/>
        <w:ind w:left="48"/>
        <w:rPr>
          <w:rFonts w:hint="eastAsia" w:asciiTheme="minorEastAsia" w:hAnsiTheme="minorEastAsia" w:eastAsiaTheme="minorEastAsia" w:cstheme="minorEastAsia"/>
          <w:b/>
          <w:bCs/>
          <w:color w:val="auto"/>
          <w:spacing w:val="-6"/>
          <w:sz w:val="24"/>
          <w:szCs w:val="24"/>
          <w:lang w:eastAsia="zh-CN"/>
        </w:rPr>
      </w:pPr>
      <w:r>
        <w:rPr>
          <w:rFonts w:hint="eastAsia" w:asciiTheme="minorEastAsia" w:hAnsiTheme="minorEastAsia" w:eastAsiaTheme="minorEastAsia" w:cstheme="minorEastAsia"/>
          <w:b/>
          <w:bCs/>
          <w:color w:val="auto"/>
          <w:spacing w:val="-6"/>
          <w:sz w:val="24"/>
          <w:szCs w:val="24"/>
          <w:lang w:eastAsia="zh-CN"/>
        </w:rPr>
        <w:t>六、履约担保</w:t>
      </w:r>
    </w:p>
    <w:p w14:paraId="54EECDEA">
      <w:pPr>
        <w:pStyle w:val="2"/>
        <w:keepNext w:val="0"/>
        <w:keepLines w:val="0"/>
        <w:pageBreakBefore w:val="0"/>
        <w:wordWrap/>
        <w:overflowPunct/>
        <w:topLinePunct w:val="0"/>
        <w:bidi w:val="0"/>
        <w:spacing w:before="78" w:line="360" w:lineRule="auto"/>
        <w:ind w:right="27"/>
        <w:jc w:val="both"/>
        <w:rPr>
          <w:rFonts w:hint="eastAsia" w:asciiTheme="minorEastAsia" w:hAnsiTheme="minorEastAsia" w:eastAsiaTheme="minorEastAsia" w:cstheme="minorEastAsia"/>
          <w:color w:val="FF0000"/>
          <w:spacing w:val="-3"/>
          <w:sz w:val="24"/>
          <w:szCs w:val="24"/>
          <w:lang w:eastAsia="zh-CN"/>
        </w:rPr>
      </w:pPr>
      <w:r>
        <w:rPr>
          <w:rFonts w:hint="eastAsia" w:asciiTheme="minorEastAsia" w:hAnsiTheme="minorEastAsia" w:eastAsiaTheme="minorEastAsia" w:cstheme="minorEastAsia"/>
          <w:color w:val="auto"/>
          <w:spacing w:val="-3"/>
          <w:sz w:val="24"/>
          <w:szCs w:val="24"/>
          <w:lang w:eastAsia="zh-CN"/>
        </w:rPr>
        <w:t xml:space="preserve">    中标人应在签订合同后10日内提供合同金额10%的履约保证金，履约保证金形式可以是现金或转账，也可用保函、电子增信替代履约担保。</w:t>
      </w:r>
    </w:p>
    <w:p w14:paraId="11BFC619">
      <w:pPr>
        <w:pStyle w:val="2"/>
        <w:keepNext w:val="0"/>
        <w:keepLines w:val="0"/>
        <w:pageBreakBefore w:val="0"/>
        <w:wordWrap/>
        <w:overflowPunct/>
        <w:topLinePunct w:val="0"/>
        <w:bidi w:val="0"/>
        <w:spacing w:line="360" w:lineRule="auto"/>
        <w:ind w:left="46"/>
        <w:rPr>
          <w:rFonts w:hint="eastAsia" w:asciiTheme="minorEastAsia" w:hAnsiTheme="minorEastAsia" w:eastAsiaTheme="minorEastAsia" w:cstheme="minorEastAsia"/>
          <w:b/>
          <w:bCs/>
          <w:color w:val="auto"/>
          <w:spacing w:val="-4"/>
          <w:sz w:val="24"/>
          <w:szCs w:val="24"/>
          <w:lang w:eastAsia="zh-CN"/>
        </w:rPr>
      </w:pPr>
      <w:r>
        <w:rPr>
          <w:rFonts w:hint="eastAsia" w:asciiTheme="minorEastAsia" w:hAnsiTheme="minorEastAsia" w:eastAsiaTheme="minorEastAsia" w:cstheme="minorEastAsia"/>
          <w:b/>
          <w:bCs/>
          <w:color w:val="auto"/>
          <w:spacing w:val="-4"/>
          <w:sz w:val="24"/>
          <w:szCs w:val="24"/>
          <w:lang w:eastAsia="zh-CN"/>
        </w:rPr>
        <w:t>七、其他要求及说明</w:t>
      </w:r>
    </w:p>
    <w:p w14:paraId="66AF0C9D">
      <w:pPr>
        <w:pStyle w:val="2"/>
        <w:keepNext w:val="0"/>
        <w:keepLines w:val="0"/>
        <w:pageBreakBefore w:val="0"/>
        <w:wordWrap/>
        <w:overflowPunct/>
        <w:topLinePunct w:val="0"/>
        <w:bidi w:val="0"/>
        <w:spacing w:before="78" w:line="360" w:lineRule="auto"/>
        <w:ind w:left="46" w:right="27" w:firstLine="470"/>
        <w:jc w:val="both"/>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1、投标人在投标时须明确所投车辆的生产厂家、品牌、型号、规格、尺寸及一些必须说明的技术参数及图片资料（仅需2张正面、侧面外观照片），并提供详细的技术参数、性能说明书或整车检验报告。</w:t>
      </w:r>
    </w:p>
    <w:p w14:paraId="656945A2">
      <w:pPr>
        <w:pStyle w:val="2"/>
        <w:keepNext w:val="0"/>
        <w:keepLines w:val="0"/>
        <w:pageBreakBefore w:val="0"/>
        <w:wordWrap/>
        <w:overflowPunct/>
        <w:topLinePunct w:val="0"/>
        <w:bidi w:val="0"/>
        <w:spacing w:before="78" w:line="360" w:lineRule="auto"/>
        <w:ind w:left="46" w:right="27" w:firstLine="470"/>
        <w:jc w:val="both"/>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lang w:eastAsia="zh-CN"/>
        </w:rPr>
        <w:t>2、投标人承诺能够提供公安和车辆管理部门落户上牌所需要的一切资料，确保所投车辆能够在使用地上牌。</w:t>
      </w:r>
    </w:p>
    <w:p w14:paraId="03D8921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spacing w:val="-1"/>
          <w:sz w:val="24"/>
          <w:szCs w:val="24"/>
        </w:rPr>
      </w:pPr>
    </w:p>
    <w:p w14:paraId="14C4F2C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1"/>
          <w:highlight w:val="none"/>
        </w:rPr>
      </w:pPr>
      <w:r>
        <w:rPr>
          <w:b/>
          <w:bCs/>
          <w:spacing w:val="11"/>
          <w:highlight w:val="none"/>
        </w:rPr>
        <w:br w:type="page"/>
      </w:r>
    </w:p>
    <w:p w14:paraId="0A190E5B">
      <w:pPr>
        <w:pStyle w:val="4"/>
        <w:bidi w:val="0"/>
        <w:rPr>
          <w:highlight w:val="none"/>
        </w:rPr>
      </w:pPr>
      <w:bookmarkStart w:id="242" w:name="_Toc25651"/>
      <w:r>
        <w:rPr>
          <w:highlight w:val="none"/>
        </w:rPr>
        <w:t>第六章</w:t>
      </w:r>
      <w:r>
        <w:rPr>
          <w:rFonts w:hint="eastAsia"/>
          <w:highlight w:val="none"/>
          <w:lang w:val="en-US" w:eastAsia="zh-CN"/>
        </w:rPr>
        <w:t xml:space="preserve"> </w:t>
      </w:r>
      <w:r>
        <w:rPr>
          <w:highlight w:val="none"/>
        </w:rPr>
        <w:t>政府采购合同</w:t>
      </w:r>
      <w:bookmarkEnd w:id="242"/>
    </w:p>
    <w:p w14:paraId="1AE93D08">
      <w:pPr>
        <w:pStyle w:val="2"/>
        <w:spacing w:before="134" w:line="225" w:lineRule="auto"/>
        <w:ind w:left="3026"/>
        <w:outlineLvl w:val="1"/>
        <w:rPr>
          <w:sz w:val="25"/>
          <w:szCs w:val="25"/>
        </w:rPr>
      </w:pPr>
      <w:bookmarkStart w:id="243" w:name="_Toc27995"/>
      <w:bookmarkStart w:id="244" w:name="_Toc20377"/>
      <w:r>
        <w:rPr>
          <w:b/>
          <w:bCs/>
          <w:spacing w:val="7"/>
          <w:sz w:val="25"/>
          <w:szCs w:val="25"/>
        </w:rPr>
        <w:t>第一节</w:t>
      </w:r>
      <w:r>
        <w:rPr>
          <w:spacing w:val="7"/>
          <w:sz w:val="25"/>
          <w:szCs w:val="25"/>
        </w:rPr>
        <w:t xml:space="preserve"> </w:t>
      </w:r>
      <w:r>
        <w:rPr>
          <w:b/>
          <w:bCs/>
          <w:spacing w:val="7"/>
          <w:sz w:val="25"/>
          <w:szCs w:val="25"/>
        </w:rPr>
        <w:t>政府采购合同协议书</w:t>
      </w:r>
      <w:bookmarkEnd w:id="243"/>
      <w:bookmarkEnd w:id="244"/>
    </w:p>
    <w:p w14:paraId="538BB14D">
      <w:pPr>
        <w:spacing w:line="271" w:lineRule="auto"/>
        <w:rPr>
          <w:rFonts w:ascii="Arial"/>
          <w:sz w:val="21"/>
        </w:rPr>
      </w:pPr>
    </w:p>
    <w:p w14:paraId="4A1B6666">
      <w:pPr>
        <w:pStyle w:val="2"/>
        <w:spacing w:before="78" w:line="219" w:lineRule="auto"/>
        <w:ind w:left="6247"/>
        <w:rPr>
          <w:sz w:val="24"/>
          <w:szCs w:val="24"/>
        </w:rPr>
      </w:pPr>
      <w:r>
        <w:rPr>
          <w:spacing w:val="-2"/>
          <w:sz w:val="24"/>
          <w:szCs w:val="24"/>
        </w:rPr>
        <w:t>采购合同编号：</w:t>
      </w:r>
      <w:r>
        <w:rPr>
          <w:sz w:val="24"/>
          <w:szCs w:val="24"/>
          <w:u w:val="single" w:color="auto"/>
        </w:rPr>
        <w:t xml:space="preserve">            </w:t>
      </w:r>
    </w:p>
    <w:p w14:paraId="117861B8">
      <w:pPr>
        <w:spacing w:line="259" w:lineRule="auto"/>
        <w:rPr>
          <w:rFonts w:ascii="Arial"/>
          <w:sz w:val="21"/>
        </w:rPr>
      </w:pPr>
    </w:p>
    <w:p w14:paraId="4F285D38">
      <w:pPr>
        <w:pStyle w:val="2"/>
        <w:spacing w:before="78" w:line="219" w:lineRule="auto"/>
        <w:ind w:left="7"/>
        <w:rPr>
          <w:sz w:val="24"/>
          <w:szCs w:val="24"/>
        </w:rPr>
      </w:pPr>
      <w:r>
        <w:rPr>
          <w:spacing w:val="2"/>
          <w:sz w:val="24"/>
          <w:szCs w:val="24"/>
        </w:rPr>
        <w:t>采购人（全称</w:t>
      </w:r>
      <w:r>
        <w:rPr>
          <w:spacing w:val="-10"/>
          <w:sz w:val="24"/>
          <w:szCs w:val="24"/>
        </w:rPr>
        <w:t>）：</w:t>
      </w:r>
      <w:r>
        <w:rPr>
          <w:spacing w:val="4"/>
          <w:sz w:val="24"/>
          <w:szCs w:val="24"/>
          <w:u w:val="single" w:color="auto"/>
        </w:rPr>
        <w:t xml:space="preserve">                            </w:t>
      </w:r>
      <w:r>
        <w:rPr>
          <w:spacing w:val="-10"/>
          <w:sz w:val="24"/>
          <w:szCs w:val="24"/>
        </w:rPr>
        <w:t>（</w:t>
      </w:r>
      <w:r>
        <w:rPr>
          <w:spacing w:val="2"/>
          <w:sz w:val="24"/>
          <w:szCs w:val="24"/>
        </w:rPr>
        <w:t>甲方）</w:t>
      </w:r>
    </w:p>
    <w:p w14:paraId="7D2C0E0C">
      <w:pPr>
        <w:pStyle w:val="2"/>
        <w:spacing w:before="181" w:line="219" w:lineRule="auto"/>
        <w:ind w:left="8"/>
        <w:rPr>
          <w:sz w:val="24"/>
          <w:szCs w:val="24"/>
        </w:rPr>
      </w:pPr>
      <w:r>
        <w:rPr>
          <w:spacing w:val="2"/>
          <w:sz w:val="24"/>
          <w:szCs w:val="24"/>
        </w:rPr>
        <w:t>供应商（全称</w:t>
      </w:r>
      <w:r>
        <w:rPr>
          <w:spacing w:val="-10"/>
          <w:sz w:val="24"/>
          <w:szCs w:val="24"/>
        </w:rPr>
        <w:t>）：</w:t>
      </w:r>
      <w:r>
        <w:rPr>
          <w:spacing w:val="4"/>
          <w:sz w:val="24"/>
          <w:szCs w:val="24"/>
          <w:u w:val="single" w:color="auto"/>
        </w:rPr>
        <w:t xml:space="preserve">                            </w:t>
      </w:r>
      <w:r>
        <w:rPr>
          <w:spacing w:val="-10"/>
          <w:sz w:val="24"/>
          <w:szCs w:val="24"/>
        </w:rPr>
        <w:t>（</w:t>
      </w:r>
      <w:r>
        <w:rPr>
          <w:spacing w:val="2"/>
          <w:sz w:val="24"/>
          <w:szCs w:val="24"/>
        </w:rPr>
        <w:t>乙方）</w:t>
      </w:r>
    </w:p>
    <w:p w14:paraId="4C43C3E0">
      <w:pPr>
        <w:pStyle w:val="2"/>
        <w:spacing w:before="183" w:line="242" w:lineRule="auto"/>
        <w:ind w:left="7" w:right="1" w:firstLine="483"/>
        <w:rPr>
          <w:sz w:val="24"/>
          <w:szCs w:val="24"/>
        </w:rPr>
      </w:pPr>
      <w:r>
        <w:rPr>
          <w:spacing w:val="-2"/>
          <w:sz w:val="24"/>
          <w:szCs w:val="24"/>
        </w:rPr>
        <w:t>为了保护甲、乙双方合法权益，根据《中华人民共和国民法典》、《中华人民共</w:t>
      </w:r>
      <w:r>
        <w:rPr>
          <w:spacing w:val="-3"/>
          <w:sz w:val="24"/>
          <w:szCs w:val="24"/>
        </w:rPr>
        <w:t>和国</w:t>
      </w:r>
      <w:r>
        <w:rPr>
          <w:sz w:val="24"/>
          <w:szCs w:val="24"/>
        </w:rPr>
        <w:t>政府采购法》及其他有关法律、法规、规章，双</w:t>
      </w:r>
      <w:r>
        <w:rPr>
          <w:spacing w:val="-1"/>
          <w:sz w:val="24"/>
          <w:szCs w:val="24"/>
        </w:rPr>
        <w:t>方签订本合同协议书。</w:t>
      </w:r>
    </w:p>
    <w:p w14:paraId="34FFF794">
      <w:pPr>
        <w:pStyle w:val="2"/>
        <w:spacing w:before="149" w:line="219" w:lineRule="auto"/>
        <w:ind w:left="506"/>
        <w:rPr>
          <w:sz w:val="24"/>
          <w:szCs w:val="24"/>
        </w:rPr>
      </w:pPr>
      <w:r>
        <w:rPr>
          <w:b/>
          <w:bCs/>
          <w:spacing w:val="-7"/>
          <w:sz w:val="24"/>
          <w:szCs w:val="24"/>
        </w:rPr>
        <w:t>1.项目信息</w:t>
      </w:r>
    </w:p>
    <w:p w14:paraId="679AAA50">
      <w:pPr>
        <w:spacing w:line="258" w:lineRule="auto"/>
        <w:rPr>
          <w:rFonts w:ascii="Arial"/>
          <w:sz w:val="21"/>
        </w:rPr>
      </w:pPr>
    </w:p>
    <w:p w14:paraId="774873E1">
      <w:pPr>
        <w:pStyle w:val="2"/>
        <w:spacing w:before="79" w:line="219" w:lineRule="auto"/>
        <w:ind w:left="440"/>
        <w:rPr>
          <w:sz w:val="24"/>
          <w:szCs w:val="24"/>
        </w:rPr>
      </w:pPr>
      <w:r>
        <w:rPr>
          <w:spacing w:val="-3"/>
          <w:sz w:val="24"/>
          <w:szCs w:val="24"/>
        </w:rPr>
        <w:t>（1）采购项目名称：</w:t>
      </w:r>
      <w:r>
        <w:rPr>
          <w:sz w:val="24"/>
          <w:szCs w:val="24"/>
          <w:u w:val="single" w:color="auto"/>
        </w:rPr>
        <w:t xml:space="preserve">                           </w:t>
      </w:r>
    </w:p>
    <w:p w14:paraId="095595A4">
      <w:pPr>
        <w:pStyle w:val="2"/>
        <w:spacing w:before="183" w:line="219" w:lineRule="auto"/>
        <w:ind w:left="440"/>
        <w:rPr>
          <w:sz w:val="24"/>
          <w:szCs w:val="24"/>
        </w:rPr>
      </w:pPr>
      <w:r>
        <w:rPr>
          <w:spacing w:val="-3"/>
          <w:sz w:val="24"/>
          <w:szCs w:val="24"/>
        </w:rPr>
        <w:t>（2）采购计划编号：</w:t>
      </w:r>
      <w:r>
        <w:rPr>
          <w:sz w:val="24"/>
          <w:szCs w:val="24"/>
          <w:u w:val="single" w:color="auto"/>
        </w:rPr>
        <w:t xml:space="preserve">                           </w:t>
      </w:r>
    </w:p>
    <w:p w14:paraId="138414ED">
      <w:pPr>
        <w:pStyle w:val="2"/>
        <w:spacing w:before="185" w:line="219" w:lineRule="auto"/>
        <w:ind w:left="500"/>
        <w:rPr>
          <w:sz w:val="24"/>
          <w:szCs w:val="24"/>
        </w:rPr>
      </w:pPr>
      <w:r>
        <w:rPr>
          <w:spacing w:val="-3"/>
          <w:sz w:val="24"/>
          <w:szCs w:val="24"/>
        </w:rPr>
        <w:t>（3）项目内容：</w:t>
      </w:r>
      <w:r>
        <w:rPr>
          <w:sz w:val="24"/>
          <w:szCs w:val="24"/>
          <w:u w:val="single" w:color="auto"/>
        </w:rPr>
        <w:t xml:space="preserve">                               </w:t>
      </w:r>
    </w:p>
    <w:p w14:paraId="746238B4">
      <w:pPr>
        <w:pStyle w:val="2"/>
        <w:spacing w:before="180" w:line="220" w:lineRule="auto"/>
        <w:ind w:left="500"/>
        <w:rPr>
          <w:sz w:val="24"/>
          <w:szCs w:val="24"/>
        </w:rPr>
      </w:pPr>
      <w:r>
        <w:rPr>
          <w:spacing w:val="-3"/>
          <w:sz w:val="24"/>
          <w:szCs w:val="24"/>
        </w:rPr>
        <w:t>（4）是否分包：</w:t>
      </w:r>
      <w:r>
        <w:rPr>
          <w:sz w:val="24"/>
          <w:szCs w:val="24"/>
          <w:u w:val="single" w:color="auto"/>
        </w:rPr>
        <w:t xml:space="preserve">                               </w:t>
      </w:r>
    </w:p>
    <w:p w14:paraId="216353F7">
      <w:pPr>
        <w:pStyle w:val="2"/>
        <w:spacing w:before="183" w:line="219" w:lineRule="auto"/>
        <w:ind w:left="500"/>
        <w:rPr>
          <w:sz w:val="24"/>
          <w:szCs w:val="24"/>
        </w:rPr>
      </w:pPr>
      <w:r>
        <w:rPr>
          <w:spacing w:val="-3"/>
          <w:sz w:val="24"/>
          <w:szCs w:val="24"/>
        </w:rPr>
        <w:t>（5）项目负责人：</w:t>
      </w:r>
      <w:r>
        <w:rPr>
          <w:sz w:val="24"/>
          <w:szCs w:val="24"/>
          <w:u w:val="single" w:color="auto"/>
        </w:rPr>
        <w:t xml:space="preserve">                             </w:t>
      </w:r>
    </w:p>
    <w:p w14:paraId="630B0990">
      <w:pPr>
        <w:pStyle w:val="2"/>
        <w:spacing w:before="181" w:line="221" w:lineRule="auto"/>
        <w:ind w:left="500"/>
        <w:rPr>
          <w:sz w:val="24"/>
          <w:szCs w:val="24"/>
        </w:rPr>
      </w:pPr>
      <w:r>
        <w:rPr>
          <w:spacing w:val="-3"/>
          <w:sz w:val="24"/>
          <w:szCs w:val="24"/>
        </w:rPr>
        <w:t>（6）联系电话：</w:t>
      </w:r>
      <w:r>
        <w:rPr>
          <w:sz w:val="24"/>
          <w:szCs w:val="24"/>
          <w:u w:val="single" w:color="auto"/>
        </w:rPr>
        <w:t xml:space="preserve">                               </w:t>
      </w:r>
    </w:p>
    <w:p w14:paraId="527D18B6">
      <w:pPr>
        <w:pStyle w:val="2"/>
        <w:spacing w:before="180" w:line="219" w:lineRule="auto"/>
        <w:ind w:left="481"/>
        <w:rPr>
          <w:sz w:val="24"/>
          <w:szCs w:val="24"/>
        </w:rPr>
      </w:pPr>
      <w:r>
        <w:rPr>
          <w:b/>
          <w:bCs/>
          <w:spacing w:val="-4"/>
          <w:sz w:val="24"/>
          <w:szCs w:val="24"/>
        </w:rPr>
        <w:t>2.合同金额</w:t>
      </w:r>
    </w:p>
    <w:p w14:paraId="7A8207E7">
      <w:pPr>
        <w:pStyle w:val="2"/>
        <w:spacing w:before="184" w:line="219" w:lineRule="auto"/>
        <w:ind w:left="500"/>
        <w:rPr>
          <w:sz w:val="24"/>
          <w:szCs w:val="24"/>
        </w:rPr>
      </w:pPr>
      <w:r>
        <w:rPr>
          <w:spacing w:val="-3"/>
          <w:sz w:val="24"/>
          <w:szCs w:val="24"/>
        </w:rPr>
        <w:t>（1）合同金额小写：</w:t>
      </w:r>
      <w:r>
        <w:rPr>
          <w:sz w:val="24"/>
          <w:szCs w:val="24"/>
          <w:u w:val="single" w:color="auto"/>
        </w:rPr>
        <w:t xml:space="preserve">                           </w:t>
      </w:r>
    </w:p>
    <w:p w14:paraId="3CBA4543">
      <w:pPr>
        <w:pStyle w:val="2"/>
        <w:spacing w:before="182" w:line="220" w:lineRule="auto"/>
        <w:ind w:left="1451"/>
        <w:rPr>
          <w:sz w:val="24"/>
          <w:szCs w:val="24"/>
        </w:rPr>
      </w:pPr>
      <w:r>
        <w:rPr>
          <w:spacing w:val="-5"/>
          <w:sz w:val="24"/>
          <w:szCs w:val="24"/>
        </w:rPr>
        <w:t>大写：</w:t>
      </w:r>
      <w:r>
        <w:rPr>
          <w:sz w:val="24"/>
          <w:szCs w:val="24"/>
          <w:u w:val="single" w:color="auto"/>
        </w:rPr>
        <w:t xml:space="preserve">                                </w:t>
      </w:r>
    </w:p>
    <w:p w14:paraId="2C8131F7">
      <w:pPr>
        <w:pStyle w:val="2"/>
        <w:spacing w:before="179" w:line="219" w:lineRule="auto"/>
        <w:ind w:left="500"/>
        <w:rPr>
          <w:sz w:val="24"/>
          <w:szCs w:val="24"/>
        </w:rPr>
      </w:pPr>
      <w:r>
        <w:rPr>
          <w:spacing w:val="-2"/>
          <w:sz w:val="24"/>
          <w:szCs w:val="24"/>
        </w:rPr>
        <w:t>（2）具体标的见附件。</w:t>
      </w:r>
    </w:p>
    <w:p w14:paraId="1C28744B">
      <w:pPr>
        <w:pStyle w:val="2"/>
        <w:spacing w:before="173" w:line="238" w:lineRule="auto"/>
        <w:ind w:left="500"/>
        <w:rPr>
          <w:sz w:val="24"/>
          <w:szCs w:val="24"/>
        </w:rPr>
      </w:pPr>
      <w:r>
        <w:rPr>
          <w:spacing w:val="-1"/>
          <w:sz w:val="24"/>
          <w:szCs w:val="24"/>
        </w:rPr>
        <w:t>（3）合同定价方式：</w:t>
      </w:r>
      <w:r>
        <w:rPr>
          <w:rFonts w:ascii="Wingdings" w:hAnsi="Wingdings" w:eastAsia="Wingdings" w:cs="Wingdings"/>
          <w:spacing w:val="-1"/>
          <w:sz w:val="24"/>
          <w:szCs w:val="24"/>
        </w:rPr>
        <w:t>o</w:t>
      </w:r>
      <w:r>
        <w:rPr>
          <w:spacing w:val="-1"/>
          <w:sz w:val="24"/>
          <w:szCs w:val="24"/>
        </w:rPr>
        <w:t xml:space="preserve">固定总价 </w:t>
      </w:r>
      <w:r>
        <w:rPr>
          <w:rFonts w:ascii="Wingdings" w:hAnsi="Wingdings" w:eastAsia="Wingdings" w:cs="Wingdings"/>
          <w:spacing w:val="-1"/>
          <w:sz w:val="24"/>
          <w:szCs w:val="24"/>
        </w:rPr>
        <w:t>o</w:t>
      </w:r>
      <w:r>
        <w:rPr>
          <w:spacing w:val="-1"/>
          <w:sz w:val="24"/>
          <w:szCs w:val="24"/>
        </w:rPr>
        <w:t xml:space="preserve">固定单价 </w:t>
      </w:r>
      <w:r>
        <w:rPr>
          <w:rFonts w:ascii="Wingdings" w:hAnsi="Wingdings" w:eastAsia="Wingdings" w:cs="Wingdings"/>
          <w:spacing w:val="-1"/>
          <w:sz w:val="24"/>
          <w:szCs w:val="24"/>
        </w:rPr>
        <w:t>o</w:t>
      </w:r>
      <w:r>
        <w:rPr>
          <w:spacing w:val="-1"/>
          <w:sz w:val="24"/>
          <w:szCs w:val="24"/>
        </w:rPr>
        <w:t xml:space="preserve">成本补偿 </w:t>
      </w:r>
      <w:r>
        <w:rPr>
          <w:rFonts w:ascii="Wingdings" w:hAnsi="Wingdings" w:eastAsia="Wingdings" w:cs="Wingdings"/>
          <w:spacing w:val="-1"/>
          <w:sz w:val="24"/>
          <w:szCs w:val="24"/>
        </w:rPr>
        <w:t>o</w:t>
      </w:r>
      <w:r>
        <w:rPr>
          <w:spacing w:val="-1"/>
          <w:sz w:val="24"/>
          <w:szCs w:val="24"/>
        </w:rPr>
        <w:t>绩效激励</w:t>
      </w:r>
    </w:p>
    <w:p w14:paraId="4F110ED9">
      <w:pPr>
        <w:pStyle w:val="2"/>
        <w:spacing w:before="14" w:line="219" w:lineRule="auto"/>
        <w:ind w:left="500"/>
        <w:rPr>
          <w:sz w:val="24"/>
          <w:szCs w:val="24"/>
        </w:rPr>
      </w:pPr>
      <w:r>
        <w:rPr>
          <w:spacing w:val="-2"/>
          <w:sz w:val="24"/>
          <w:szCs w:val="24"/>
        </w:rPr>
        <w:t>（4）付款方式（按项目实际勾选填写</w:t>
      </w:r>
      <w:r>
        <w:rPr>
          <w:spacing w:val="6"/>
          <w:sz w:val="24"/>
          <w:szCs w:val="24"/>
        </w:rPr>
        <w:t>）：</w:t>
      </w:r>
    </w:p>
    <w:p w14:paraId="4D1F02A4">
      <w:pPr>
        <w:pStyle w:val="2"/>
        <w:spacing w:before="170" w:line="239" w:lineRule="auto"/>
        <w:ind w:left="739"/>
        <w:rPr>
          <w:sz w:val="24"/>
          <w:szCs w:val="24"/>
        </w:rPr>
      </w:pPr>
      <w:r>
        <w:rPr>
          <w:rFonts w:ascii="Wingdings" w:hAnsi="Wingdings" w:eastAsia="Wingdings" w:cs="Wingdings"/>
          <w:sz w:val="24"/>
          <w:szCs w:val="24"/>
        </w:rPr>
        <w:t>o</w:t>
      </w:r>
      <w:r>
        <w:rPr>
          <w:sz w:val="24"/>
          <w:szCs w:val="24"/>
        </w:rPr>
        <w:t>全额付款</w:t>
      </w:r>
      <w:r>
        <w:rPr>
          <w:spacing w:val="-12"/>
          <w:sz w:val="24"/>
          <w:szCs w:val="24"/>
        </w:rPr>
        <w:t>：</w:t>
      </w:r>
      <w:r>
        <w:rPr>
          <w:sz w:val="24"/>
          <w:szCs w:val="24"/>
          <w:u w:val="single" w:color="auto"/>
        </w:rPr>
        <w:t xml:space="preserve">   </w:t>
      </w:r>
      <w:r>
        <w:rPr>
          <w:spacing w:val="-12"/>
          <w:sz w:val="24"/>
          <w:szCs w:val="24"/>
          <w:u w:val="single" w:color="auto"/>
        </w:rPr>
        <w:t>（</w:t>
      </w:r>
      <w:r>
        <w:rPr>
          <w:sz w:val="24"/>
          <w:szCs w:val="24"/>
          <w:u w:val="single" w:color="auto"/>
        </w:rPr>
        <w:t xml:space="preserve">应一次性支付全部合同款项）         </w:t>
      </w:r>
    </w:p>
    <w:p w14:paraId="1A27BBED">
      <w:pPr>
        <w:pStyle w:val="2"/>
        <w:spacing w:before="157" w:line="239" w:lineRule="auto"/>
        <w:ind w:left="739"/>
        <w:rPr>
          <w:sz w:val="24"/>
          <w:szCs w:val="24"/>
        </w:rPr>
      </w:pPr>
      <w:r>
        <w:rPr>
          <w:rFonts w:ascii="Wingdings" w:hAnsi="Wingdings" w:eastAsia="Wingdings" w:cs="Wingdings"/>
          <w:sz w:val="24"/>
          <w:szCs w:val="24"/>
        </w:rPr>
        <w:t>o</w:t>
      </w:r>
      <w:r>
        <w:rPr>
          <w:sz w:val="24"/>
          <w:szCs w:val="24"/>
        </w:rPr>
        <w:t>预付款</w:t>
      </w:r>
      <w:r>
        <w:rPr>
          <w:spacing w:val="-12"/>
          <w:sz w:val="24"/>
          <w:szCs w:val="24"/>
        </w:rPr>
        <w:t>：</w:t>
      </w:r>
      <w:r>
        <w:rPr>
          <w:sz w:val="24"/>
          <w:szCs w:val="24"/>
          <w:u w:val="single" w:color="auto"/>
        </w:rPr>
        <w:t xml:space="preserve">   </w:t>
      </w:r>
      <w:r>
        <w:rPr>
          <w:spacing w:val="-12"/>
          <w:sz w:val="24"/>
          <w:szCs w:val="24"/>
          <w:u w:val="single" w:color="auto"/>
        </w:rPr>
        <w:t>（</w:t>
      </w:r>
      <w:r>
        <w:rPr>
          <w:sz w:val="24"/>
          <w:szCs w:val="24"/>
          <w:u w:val="single" w:color="auto"/>
        </w:rPr>
        <w:t xml:space="preserve">应明确预付款的支付比例和支付条件）   </w:t>
      </w:r>
    </w:p>
    <w:p w14:paraId="16847ABA">
      <w:pPr>
        <w:pStyle w:val="2"/>
        <w:spacing w:before="157" w:line="239" w:lineRule="auto"/>
        <w:ind w:left="739"/>
        <w:rPr>
          <w:sz w:val="24"/>
          <w:szCs w:val="24"/>
        </w:rPr>
      </w:pPr>
      <w:r>
        <w:rPr>
          <w:rFonts w:ascii="Wingdings" w:hAnsi="Wingdings" w:eastAsia="Wingdings" w:cs="Wingdings"/>
          <w:sz w:val="24"/>
          <w:szCs w:val="24"/>
        </w:rPr>
        <w:t>o</w:t>
      </w:r>
      <w:r>
        <w:rPr>
          <w:sz w:val="24"/>
          <w:szCs w:val="24"/>
        </w:rPr>
        <w:t>分期付款</w:t>
      </w:r>
      <w:r>
        <w:rPr>
          <w:spacing w:val="-11"/>
          <w:sz w:val="24"/>
          <w:szCs w:val="24"/>
          <w:u w:val="single" w:color="auto"/>
        </w:rPr>
        <w:t>：</w:t>
      </w:r>
      <w:r>
        <w:rPr>
          <w:sz w:val="24"/>
          <w:szCs w:val="24"/>
          <w:u w:val="single" w:color="auto"/>
        </w:rPr>
        <w:t xml:space="preserve"> </w:t>
      </w:r>
      <w:r>
        <w:rPr>
          <w:spacing w:val="-11"/>
          <w:sz w:val="24"/>
          <w:szCs w:val="24"/>
          <w:u w:val="single" w:color="auto"/>
        </w:rPr>
        <w:t>（</w:t>
      </w:r>
      <w:r>
        <w:rPr>
          <w:sz w:val="24"/>
          <w:szCs w:val="24"/>
          <w:u w:val="single" w:color="auto"/>
        </w:rPr>
        <w:t xml:space="preserve">应按照季度分期支付合同款项）  </w:t>
      </w:r>
    </w:p>
    <w:p w14:paraId="377A8370">
      <w:pPr>
        <w:pStyle w:val="2"/>
        <w:spacing w:before="157" w:line="239" w:lineRule="auto"/>
        <w:ind w:left="739"/>
        <w:rPr>
          <w:sz w:val="24"/>
          <w:szCs w:val="24"/>
        </w:rPr>
      </w:pPr>
      <w:r>
        <w:rPr>
          <w:rFonts w:ascii="Wingdings" w:hAnsi="Wingdings" w:eastAsia="Wingdings" w:cs="Wingdings"/>
          <w:sz w:val="24"/>
          <w:szCs w:val="24"/>
        </w:rPr>
        <w:t>o</w:t>
      </w:r>
      <w:r>
        <w:rPr>
          <w:sz w:val="24"/>
          <w:szCs w:val="24"/>
        </w:rPr>
        <w:t>成本补偿</w:t>
      </w:r>
      <w:r>
        <w:rPr>
          <w:spacing w:val="-12"/>
          <w:sz w:val="24"/>
          <w:szCs w:val="24"/>
        </w:rPr>
        <w:t>：</w:t>
      </w:r>
      <w:r>
        <w:rPr>
          <w:spacing w:val="1"/>
          <w:sz w:val="24"/>
          <w:szCs w:val="24"/>
          <w:u w:val="single" w:color="auto"/>
        </w:rPr>
        <w:t xml:space="preserve">  </w:t>
      </w:r>
      <w:r>
        <w:rPr>
          <w:spacing w:val="-12"/>
          <w:sz w:val="24"/>
          <w:szCs w:val="24"/>
          <w:u w:val="single" w:color="auto"/>
        </w:rPr>
        <w:t>（</w:t>
      </w:r>
      <w:r>
        <w:rPr>
          <w:sz w:val="24"/>
          <w:szCs w:val="24"/>
          <w:u w:val="single" w:color="auto"/>
        </w:rPr>
        <w:t xml:space="preserve">应明确按照成本补偿方式的支付方式和支付条件）   </w:t>
      </w:r>
    </w:p>
    <w:p w14:paraId="02A58BF9">
      <w:pPr>
        <w:pStyle w:val="2"/>
        <w:spacing w:before="155" w:line="239" w:lineRule="auto"/>
        <w:ind w:left="739"/>
        <w:rPr>
          <w:sz w:val="24"/>
          <w:szCs w:val="24"/>
        </w:rPr>
      </w:pPr>
      <w:r>
        <w:rPr>
          <w:rFonts w:ascii="Wingdings" w:hAnsi="Wingdings" w:eastAsia="Wingdings" w:cs="Wingdings"/>
          <w:sz w:val="24"/>
          <w:szCs w:val="24"/>
        </w:rPr>
        <w:t>o</w:t>
      </w:r>
      <w:r>
        <w:rPr>
          <w:sz w:val="24"/>
          <w:szCs w:val="24"/>
        </w:rPr>
        <w:t>绩效激励</w:t>
      </w:r>
      <w:r>
        <w:rPr>
          <w:spacing w:val="-12"/>
          <w:sz w:val="24"/>
          <w:szCs w:val="24"/>
        </w:rPr>
        <w:t>：</w:t>
      </w:r>
      <w:r>
        <w:rPr>
          <w:sz w:val="24"/>
          <w:szCs w:val="24"/>
          <w:u w:val="single" w:color="auto"/>
        </w:rPr>
        <w:t xml:space="preserve">   </w:t>
      </w:r>
      <w:r>
        <w:rPr>
          <w:spacing w:val="-12"/>
          <w:sz w:val="24"/>
          <w:szCs w:val="24"/>
          <w:u w:val="single" w:color="auto"/>
        </w:rPr>
        <w:t>（</w:t>
      </w:r>
      <w:r>
        <w:rPr>
          <w:sz w:val="24"/>
          <w:szCs w:val="24"/>
          <w:u w:val="single" w:color="auto"/>
        </w:rPr>
        <w:t xml:space="preserve">应明确按照绩效激励方式的支付方式和支付条件）   </w:t>
      </w:r>
    </w:p>
    <w:p w14:paraId="3CD8DA4B">
      <w:pPr>
        <w:pStyle w:val="2"/>
        <w:spacing w:before="169" w:line="220" w:lineRule="auto"/>
        <w:ind w:left="493"/>
        <w:rPr>
          <w:sz w:val="24"/>
          <w:szCs w:val="24"/>
        </w:rPr>
      </w:pPr>
      <w:r>
        <w:rPr>
          <w:b/>
          <w:bCs/>
          <w:spacing w:val="-5"/>
          <w:sz w:val="24"/>
          <w:szCs w:val="24"/>
        </w:rPr>
        <w:t>3.合同履行</w:t>
      </w:r>
    </w:p>
    <w:p w14:paraId="66A11098">
      <w:pPr>
        <w:pStyle w:val="2"/>
        <w:spacing w:before="182" w:line="229" w:lineRule="auto"/>
        <w:ind w:left="13" w:right="59" w:firstLine="486"/>
        <w:rPr>
          <w:sz w:val="24"/>
          <w:szCs w:val="24"/>
        </w:rPr>
      </w:pPr>
      <w:r>
        <w:rPr>
          <w:spacing w:val="-5"/>
          <w:sz w:val="24"/>
          <w:szCs w:val="24"/>
        </w:rPr>
        <w:t>（1）起始日期：</w:t>
      </w:r>
      <w:r>
        <w:rPr>
          <w:spacing w:val="-5"/>
          <w:sz w:val="24"/>
          <w:szCs w:val="24"/>
          <w:u w:val="single" w:color="auto"/>
        </w:rPr>
        <w:t xml:space="preserve">    </w:t>
      </w:r>
      <w:r>
        <w:rPr>
          <w:spacing w:val="-109"/>
          <w:sz w:val="24"/>
          <w:szCs w:val="24"/>
        </w:rPr>
        <w:t xml:space="preserve"> </w:t>
      </w:r>
      <w:r>
        <w:rPr>
          <w:spacing w:val="-5"/>
          <w:sz w:val="24"/>
          <w:szCs w:val="24"/>
        </w:rPr>
        <w:t>年</w:t>
      </w:r>
      <w:r>
        <w:rPr>
          <w:spacing w:val="-5"/>
          <w:sz w:val="24"/>
          <w:szCs w:val="24"/>
          <w:u w:val="single" w:color="auto"/>
        </w:rPr>
        <w:t xml:space="preserve">   </w:t>
      </w:r>
      <w:r>
        <w:rPr>
          <w:spacing w:val="-104"/>
          <w:sz w:val="24"/>
          <w:szCs w:val="24"/>
        </w:rPr>
        <w:t xml:space="preserve"> </w:t>
      </w:r>
      <w:r>
        <w:rPr>
          <w:spacing w:val="-5"/>
          <w:sz w:val="24"/>
          <w:szCs w:val="24"/>
        </w:rPr>
        <w:t>月</w:t>
      </w:r>
      <w:r>
        <w:rPr>
          <w:spacing w:val="-5"/>
          <w:sz w:val="24"/>
          <w:szCs w:val="24"/>
          <w:u w:val="single" w:color="auto"/>
        </w:rPr>
        <w:t xml:space="preserve">   </w:t>
      </w:r>
      <w:r>
        <w:rPr>
          <w:spacing w:val="-69"/>
          <w:sz w:val="24"/>
          <w:szCs w:val="24"/>
        </w:rPr>
        <w:t xml:space="preserve"> </w:t>
      </w:r>
      <w:r>
        <w:rPr>
          <w:spacing w:val="-5"/>
          <w:sz w:val="24"/>
          <w:szCs w:val="24"/>
        </w:rPr>
        <w:t>日，完成日期：</w:t>
      </w:r>
      <w:r>
        <w:rPr>
          <w:spacing w:val="2"/>
          <w:sz w:val="24"/>
          <w:szCs w:val="24"/>
          <w:u w:val="single" w:color="auto"/>
        </w:rPr>
        <w:t xml:space="preserve">    </w:t>
      </w:r>
      <w:r>
        <w:rPr>
          <w:spacing w:val="-110"/>
          <w:sz w:val="24"/>
          <w:szCs w:val="24"/>
        </w:rPr>
        <w:t xml:space="preserve"> </w:t>
      </w:r>
      <w:r>
        <w:rPr>
          <w:spacing w:val="-5"/>
          <w:sz w:val="24"/>
          <w:szCs w:val="24"/>
        </w:rPr>
        <w:t>年</w:t>
      </w:r>
      <w:r>
        <w:rPr>
          <w:spacing w:val="1"/>
          <w:sz w:val="24"/>
          <w:szCs w:val="24"/>
          <w:u w:val="single" w:color="auto"/>
        </w:rPr>
        <w:t xml:space="preserve">   </w:t>
      </w:r>
      <w:r>
        <w:rPr>
          <w:spacing w:val="-103"/>
          <w:sz w:val="24"/>
          <w:szCs w:val="24"/>
        </w:rPr>
        <w:t xml:space="preserve"> </w:t>
      </w:r>
      <w:r>
        <w:rPr>
          <w:spacing w:val="-6"/>
          <w:sz w:val="24"/>
          <w:szCs w:val="24"/>
        </w:rPr>
        <w:t>月</w:t>
      </w:r>
      <w:r>
        <w:rPr>
          <w:spacing w:val="1"/>
          <w:sz w:val="24"/>
          <w:szCs w:val="24"/>
          <w:u w:val="single" w:color="auto"/>
        </w:rPr>
        <w:t xml:space="preserve">   </w:t>
      </w:r>
      <w:r>
        <w:rPr>
          <w:spacing w:val="-68"/>
          <w:sz w:val="24"/>
          <w:szCs w:val="24"/>
        </w:rPr>
        <w:t xml:space="preserve"> </w:t>
      </w:r>
      <w:r>
        <w:rPr>
          <w:spacing w:val="-6"/>
          <w:sz w:val="24"/>
          <w:szCs w:val="24"/>
        </w:rPr>
        <w:t>日。总日历天数：</w:t>
      </w:r>
      <w:r>
        <w:rPr>
          <w:spacing w:val="-8"/>
          <w:sz w:val="24"/>
          <w:szCs w:val="24"/>
        </w:rPr>
        <w:t>天。</w:t>
      </w:r>
    </w:p>
    <w:p w14:paraId="6906CFF8">
      <w:pPr>
        <w:pStyle w:val="2"/>
        <w:spacing w:before="182" w:line="224" w:lineRule="auto"/>
        <w:ind w:left="500"/>
        <w:rPr>
          <w:sz w:val="24"/>
          <w:szCs w:val="24"/>
        </w:rPr>
      </w:pPr>
      <w:r>
        <w:rPr>
          <w:spacing w:val="-4"/>
          <w:sz w:val="24"/>
          <w:szCs w:val="24"/>
        </w:rPr>
        <w:t>（2）地点</w:t>
      </w:r>
      <w:r>
        <w:rPr>
          <w:b/>
          <w:bCs/>
          <w:spacing w:val="-4"/>
          <w:sz w:val="24"/>
          <w:szCs w:val="24"/>
        </w:rPr>
        <w:t>：</w:t>
      </w:r>
      <w:r>
        <w:rPr>
          <w:sz w:val="24"/>
          <w:szCs w:val="24"/>
          <w:u w:val="single" w:color="auto"/>
        </w:rPr>
        <w:t xml:space="preserve">                               </w:t>
      </w:r>
    </w:p>
    <w:p w14:paraId="1412AF40">
      <w:pPr>
        <w:spacing w:line="222" w:lineRule="auto"/>
        <w:rPr>
          <w:rFonts w:ascii="仿宋" w:hAnsi="仿宋" w:eastAsia="仿宋" w:cs="仿宋"/>
          <w:sz w:val="18"/>
          <w:szCs w:val="18"/>
        </w:rPr>
        <w:sectPr>
          <w:headerReference r:id="rId5" w:type="default"/>
          <w:footerReference r:id="rId6" w:type="default"/>
          <w:pgSz w:w="11906" w:h="16839"/>
          <w:pgMar w:top="1163" w:right="1304" w:bottom="1060" w:left="1303" w:header="831" w:footer="843" w:gutter="0"/>
          <w:pgNumType w:fmt="decimal"/>
          <w:cols w:space="720" w:num="1"/>
        </w:sectPr>
      </w:pPr>
    </w:p>
    <w:p w14:paraId="61D47BAB">
      <w:pPr>
        <w:pStyle w:val="2"/>
        <w:spacing w:before="176" w:line="221" w:lineRule="auto"/>
        <w:ind w:left="500"/>
        <w:rPr>
          <w:sz w:val="24"/>
          <w:szCs w:val="24"/>
        </w:rPr>
      </w:pPr>
      <w:r>
        <w:rPr>
          <w:spacing w:val="-4"/>
          <w:sz w:val="24"/>
          <w:szCs w:val="24"/>
        </w:rPr>
        <w:t>（3）方式：</w:t>
      </w:r>
      <w:r>
        <w:rPr>
          <w:sz w:val="24"/>
          <w:szCs w:val="24"/>
          <w:u w:val="single" w:color="auto"/>
        </w:rPr>
        <w:t xml:space="preserve">                               </w:t>
      </w:r>
    </w:p>
    <w:p w14:paraId="634F4FFF">
      <w:pPr>
        <w:pStyle w:val="2"/>
        <w:spacing w:before="179" w:line="219" w:lineRule="auto"/>
        <w:ind w:left="500"/>
        <w:rPr>
          <w:sz w:val="24"/>
          <w:szCs w:val="24"/>
        </w:rPr>
      </w:pPr>
      <w:r>
        <w:rPr>
          <w:spacing w:val="-1"/>
          <w:sz w:val="24"/>
          <w:szCs w:val="24"/>
        </w:rPr>
        <w:t>（4）履约担保：</w:t>
      </w:r>
      <w:r>
        <w:rPr>
          <w:spacing w:val="-1"/>
          <w:sz w:val="24"/>
          <w:szCs w:val="24"/>
          <w:u w:val="single" w:color="auto"/>
        </w:rPr>
        <w:t xml:space="preserve"> 履约担保的金额、形式和期限要求</w:t>
      </w:r>
      <w:r>
        <w:rPr>
          <w:spacing w:val="2"/>
          <w:sz w:val="24"/>
          <w:szCs w:val="24"/>
          <w:u w:val="single" w:color="auto"/>
        </w:rPr>
        <w:t xml:space="preserve"> </w:t>
      </w:r>
    </w:p>
    <w:p w14:paraId="7C7C9CB2">
      <w:pPr>
        <w:pStyle w:val="2"/>
        <w:spacing w:before="183" w:line="219" w:lineRule="auto"/>
        <w:ind w:left="500"/>
        <w:rPr>
          <w:sz w:val="24"/>
          <w:szCs w:val="24"/>
        </w:rPr>
      </w:pPr>
      <w:r>
        <w:rPr>
          <w:spacing w:val="-1"/>
          <w:sz w:val="24"/>
          <w:szCs w:val="24"/>
        </w:rPr>
        <w:t>（5）质量保证金：</w:t>
      </w:r>
      <w:r>
        <w:rPr>
          <w:spacing w:val="-1"/>
          <w:sz w:val="24"/>
          <w:szCs w:val="24"/>
          <w:u w:val="single" w:color="auto"/>
        </w:rPr>
        <w:t xml:space="preserve"> 质量保证金的金额、形式和期限要求</w:t>
      </w:r>
      <w:r>
        <w:rPr>
          <w:spacing w:val="4"/>
          <w:sz w:val="24"/>
          <w:szCs w:val="24"/>
          <w:u w:val="single" w:color="auto"/>
        </w:rPr>
        <w:t xml:space="preserve"> </w:t>
      </w:r>
    </w:p>
    <w:p w14:paraId="54E25EB9">
      <w:pPr>
        <w:pStyle w:val="2"/>
        <w:spacing w:before="180" w:line="219" w:lineRule="auto"/>
        <w:ind w:left="487"/>
        <w:rPr>
          <w:sz w:val="24"/>
          <w:szCs w:val="24"/>
        </w:rPr>
      </w:pPr>
      <w:r>
        <w:rPr>
          <w:b/>
          <w:bCs/>
          <w:spacing w:val="-4"/>
          <w:sz w:val="24"/>
          <w:szCs w:val="24"/>
        </w:rPr>
        <w:t>4.合同验收</w:t>
      </w:r>
    </w:p>
    <w:p w14:paraId="279270CA">
      <w:pPr>
        <w:pStyle w:val="2"/>
        <w:spacing w:before="183" w:line="219" w:lineRule="auto"/>
        <w:ind w:left="500"/>
        <w:rPr>
          <w:sz w:val="24"/>
          <w:szCs w:val="24"/>
        </w:rPr>
      </w:pPr>
      <w:r>
        <w:rPr>
          <w:spacing w:val="-3"/>
          <w:sz w:val="24"/>
          <w:szCs w:val="24"/>
        </w:rPr>
        <w:t>（1）验收主体：</w:t>
      </w:r>
      <w:r>
        <w:rPr>
          <w:sz w:val="24"/>
          <w:szCs w:val="24"/>
          <w:u w:val="single" w:color="auto"/>
        </w:rPr>
        <w:t xml:space="preserve">                             </w:t>
      </w:r>
    </w:p>
    <w:p w14:paraId="4F9559B5">
      <w:pPr>
        <w:pStyle w:val="2"/>
        <w:spacing w:before="183" w:line="219" w:lineRule="auto"/>
        <w:ind w:left="500"/>
        <w:rPr>
          <w:sz w:val="24"/>
          <w:szCs w:val="24"/>
        </w:rPr>
      </w:pPr>
      <w:r>
        <w:rPr>
          <w:spacing w:val="-3"/>
          <w:sz w:val="24"/>
          <w:szCs w:val="24"/>
        </w:rPr>
        <w:t>（2）验收方式：</w:t>
      </w:r>
      <w:r>
        <w:rPr>
          <w:sz w:val="24"/>
          <w:szCs w:val="24"/>
          <w:u w:val="single" w:color="auto"/>
        </w:rPr>
        <w:t xml:space="preserve">                             </w:t>
      </w:r>
    </w:p>
    <w:p w14:paraId="6BFC9539">
      <w:pPr>
        <w:pStyle w:val="2"/>
        <w:spacing w:before="183" w:line="219" w:lineRule="auto"/>
        <w:ind w:left="500"/>
        <w:rPr>
          <w:sz w:val="24"/>
          <w:szCs w:val="24"/>
        </w:rPr>
      </w:pPr>
      <w:r>
        <w:rPr>
          <w:spacing w:val="-3"/>
          <w:sz w:val="24"/>
          <w:szCs w:val="24"/>
        </w:rPr>
        <w:t>（3）验收标准：</w:t>
      </w:r>
      <w:r>
        <w:rPr>
          <w:sz w:val="24"/>
          <w:szCs w:val="24"/>
          <w:u w:val="single" w:color="auto"/>
        </w:rPr>
        <w:t xml:space="preserve">                             </w:t>
      </w:r>
    </w:p>
    <w:p w14:paraId="6702788C">
      <w:pPr>
        <w:pStyle w:val="2"/>
        <w:spacing w:before="181" w:line="219" w:lineRule="auto"/>
        <w:ind w:left="493"/>
        <w:rPr>
          <w:sz w:val="24"/>
          <w:szCs w:val="24"/>
        </w:rPr>
      </w:pPr>
      <w:r>
        <w:rPr>
          <w:b/>
          <w:bCs/>
          <w:spacing w:val="-4"/>
          <w:sz w:val="24"/>
          <w:szCs w:val="24"/>
        </w:rPr>
        <w:t>5.组成合同的文件</w:t>
      </w:r>
    </w:p>
    <w:p w14:paraId="302A9AD7">
      <w:pPr>
        <w:pStyle w:val="2"/>
        <w:spacing w:before="183" w:line="242" w:lineRule="auto"/>
        <w:ind w:left="8" w:firstLine="480"/>
        <w:rPr>
          <w:sz w:val="24"/>
          <w:szCs w:val="24"/>
        </w:rPr>
      </w:pPr>
      <w:r>
        <w:rPr>
          <w:spacing w:val="-2"/>
          <w:sz w:val="24"/>
          <w:szCs w:val="24"/>
        </w:rPr>
        <w:t>本协议书与下列文件一起构成合同文件，如下述文件之间有任何抵触、矛盾或歧义，应按以下顺序解释：</w:t>
      </w:r>
    </w:p>
    <w:p w14:paraId="20288E26">
      <w:pPr>
        <w:pStyle w:val="2"/>
        <w:spacing w:before="148" w:line="219" w:lineRule="auto"/>
        <w:ind w:left="500"/>
        <w:rPr>
          <w:sz w:val="24"/>
          <w:szCs w:val="24"/>
        </w:rPr>
      </w:pPr>
      <w:r>
        <w:rPr>
          <w:spacing w:val="-1"/>
          <w:sz w:val="24"/>
          <w:szCs w:val="24"/>
        </w:rPr>
        <w:t>（1）在采购或合同履行过程中乙方作出的承诺以及双方协商达成的变更或补充协议</w:t>
      </w:r>
    </w:p>
    <w:p w14:paraId="46D19564">
      <w:pPr>
        <w:pStyle w:val="2"/>
        <w:spacing w:before="183" w:line="219" w:lineRule="auto"/>
        <w:ind w:left="500"/>
        <w:rPr>
          <w:sz w:val="24"/>
          <w:szCs w:val="24"/>
        </w:rPr>
      </w:pPr>
      <w:r>
        <w:rPr>
          <w:spacing w:val="-3"/>
          <w:sz w:val="24"/>
          <w:szCs w:val="24"/>
        </w:rPr>
        <w:t>（2）本合同协议书</w:t>
      </w:r>
    </w:p>
    <w:p w14:paraId="61DB2141">
      <w:pPr>
        <w:pStyle w:val="2"/>
        <w:spacing w:before="183" w:line="219" w:lineRule="auto"/>
        <w:ind w:left="500"/>
        <w:rPr>
          <w:sz w:val="24"/>
          <w:szCs w:val="24"/>
        </w:rPr>
      </w:pPr>
      <w:r>
        <w:rPr>
          <w:spacing w:val="-3"/>
          <w:sz w:val="24"/>
          <w:szCs w:val="24"/>
        </w:rPr>
        <w:t>（3）中标通知书</w:t>
      </w:r>
    </w:p>
    <w:p w14:paraId="2BF43828">
      <w:pPr>
        <w:pStyle w:val="2"/>
        <w:spacing w:before="184" w:line="219" w:lineRule="auto"/>
        <w:ind w:left="500"/>
        <w:rPr>
          <w:sz w:val="24"/>
          <w:szCs w:val="24"/>
        </w:rPr>
      </w:pPr>
      <w:r>
        <w:rPr>
          <w:spacing w:val="-3"/>
          <w:sz w:val="24"/>
          <w:szCs w:val="24"/>
        </w:rPr>
        <w:t>（4）投标文件</w:t>
      </w:r>
    </w:p>
    <w:p w14:paraId="15A751ED">
      <w:pPr>
        <w:pStyle w:val="2"/>
        <w:spacing w:before="180" w:line="219" w:lineRule="auto"/>
        <w:ind w:left="500"/>
        <w:rPr>
          <w:sz w:val="24"/>
          <w:szCs w:val="24"/>
        </w:rPr>
      </w:pPr>
      <w:r>
        <w:rPr>
          <w:spacing w:val="-2"/>
          <w:sz w:val="24"/>
          <w:szCs w:val="24"/>
        </w:rPr>
        <w:t>（5）政府采购合同专用条款</w:t>
      </w:r>
    </w:p>
    <w:p w14:paraId="316AA641">
      <w:pPr>
        <w:pStyle w:val="2"/>
        <w:spacing w:before="184" w:line="219" w:lineRule="auto"/>
        <w:ind w:left="500"/>
        <w:rPr>
          <w:sz w:val="24"/>
          <w:szCs w:val="24"/>
        </w:rPr>
      </w:pPr>
      <w:r>
        <w:rPr>
          <w:spacing w:val="-2"/>
          <w:sz w:val="24"/>
          <w:szCs w:val="24"/>
        </w:rPr>
        <w:t>（6）政府采购合同通用条款</w:t>
      </w:r>
    </w:p>
    <w:p w14:paraId="470B7A8D">
      <w:pPr>
        <w:pStyle w:val="2"/>
        <w:spacing w:before="184" w:line="219" w:lineRule="auto"/>
        <w:ind w:left="500"/>
        <w:rPr>
          <w:sz w:val="24"/>
          <w:szCs w:val="24"/>
        </w:rPr>
      </w:pPr>
      <w:r>
        <w:rPr>
          <w:spacing w:val="-2"/>
          <w:sz w:val="24"/>
          <w:szCs w:val="24"/>
        </w:rPr>
        <w:t>（7）标准、规范及有关技术文件，图纸。</w:t>
      </w:r>
    </w:p>
    <w:p w14:paraId="25443DC4">
      <w:pPr>
        <w:pStyle w:val="2"/>
        <w:spacing w:before="181" w:line="219" w:lineRule="auto"/>
        <w:ind w:left="500"/>
        <w:rPr>
          <w:sz w:val="24"/>
          <w:szCs w:val="24"/>
        </w:rPr>
      </w:pPr>
      <w:r>
        <w:rPr>
          <w:spacing w:val="-3"/>
          <w:sz w:val="24"/>
          <w:szCs w:val="24"/>
        </w:rPr>
        <w:t>（8）其他合同文件。</w:t>
      </w:r>
    </w:p>
    <w:p w14:paraId="0696B479">
      <w:pPr>
        <w:pStyle w:val="2"/>
        <w:spacing w:before="183" w:line="220" w:lineRule="auto"/>
        <w:ind w:left="363"/>
        <w:rPr>
          <w:sz w:val="24"/>
          <w:szCs w:val="24"/>
        </w:rPr>
      </w:pPr>
      <w:r>
        <w:rPr>
          <w:b/>
          <w:bCs/>
          <w:spacing w:val="-4"/>
          <w:sz w:val="24"/>
          <w:szCs w:val="24"/>
        </w:rPr>
        <w:t>6.合同生效</w:t>
      </w:r>
    </w:p>
    <w:p w14:paraId="398A9220">
      <w:pPr>
        <w:pStyle w:val="2"/>
        <w:spacing w:before="179" w:line="219" w:lineRule="auto"/>
        <w:ind w:left="489"/>
        <w:rPr>
          <w:sz w:val="24"/>
          <w:szCs w:val="24"/>
        </w:rPr>
      </w:pPr>
      <w:r>
        <w:rPr>
          <w:spacing w:val="-1"/>
          <w:sz w:val="24"/>
          <w:szCs w:val="24"/>
        </w:rPr>
        <w:t>本合同自</w:t>
      </w:r>
      <w:r>
        <w:rPr>
          <w:spacing w:val="-1"/>
          <w:sz w:val="24"/>
          <w:szCs w:val="24"/>
          <w:u w:val="single" w:color="auto"/>
        </w:rPr>
        <w:t xml:space="preserve">                             </w:t>
      </w:r>
      <w:r>
        <w:rPr>
          <w:spacing w:val="-96"/>
          <w:sz w:val="24"/>
          <w:szCs w:val="24"/>
        </w:rPr>
        <w:t xml:space="preserve"> </w:t>
      </w:r>
      <w:r>
        <w:rPr>
          <w:spacing w:val="-1"/>
          <w:sz w:val="24"/>
          <w:szCs w:val="24"/>
        </w:rPr>
        <w:t>生效。</w:t>
      </w:r>
    </w:p>
    <w:p w14:paraId="1E3FC0CF">
      <w:pPr>
        <w:pStyle w:val="2"/>
        <w:spacing w:before="184" w:line="219" w:lineRule="auto"/>
        <w:ind w:left="367"/>
        <w:rPr>
          <w:sz w:val="24"/>
          <w:szCs w:val="24"/>
        </w:rPr>
      </w:pPr>
      <w:r>
        <w:rPr>
          <w:b/>
          <w:bCs/>
          <w:spacing w:val="-5"/>
          <w:sz w:val="24"/>
          <w:szCs w:val="24"/>
        </w:rPr>
        <w:t>7.合同份数</w:t>
      </w:r>
    </w:p>
    <w:p w14:paraId="52E33BC4">
      <w:pPr>
        <w:pStyle w:val="2"/>
        <w:spacing w:before="183" w:line="242" w:lineRule="auto"/>
        <w:ind w:left="10" w:right="3" w:firstLine="479"/>
        <w:rPr>
          <w:sz w:val="24"/>
          <w:szCs w:val="24"/>
        </w:rPr>
      </w:pPr>
      <w:r>
        <w:rPr>
          <w:spacing w:val="-2"/>
          <w:sz w:val="24"/>
          <w:szCs w:val="24"/>
        </w:rPr>
        <w:t>本合同一式</w:t>
      </w:r>
      <w:r>
        <w:rPr>
          <w:spacing w:val="-2"/>
          <w:sz w:val="24"/>
          <w:szCs w:val="24"/>
          <w:u w:val="single" w:color="auto"/>
        </w:rPr>
        <w:t xml:space="preserve">    </w:t>
      </w:r>
      <w:r>
        <w:rPr>
          <w:spacing w:val="-111"/>
          <w:sz w:val="24"/>
          <w:szCs w:val="24"/>
        </w:rPr>
        <w:t xml:space="preserve"> </w:t>
      </w:r>
      <w:r>
        <w:rPr>
          <w:spacing w:val="-2"/>
          <w:sz w:val="24"/>
          <w:szCs w:val="24"/>
        </w:rPr>
        <w:t>份，采购人执</w:t>
      </w:r>
      <w:r>
        <w:rPr>
          <w:spacing w:val="-2"/>
          <w:sz w:val="24"/>
          <w:szCs w:val="24"/>
          <w:u w:val="single" w:color="auto"/>
        </w:rPr>
        <w:t xml:space="preserve">   </w:t>
      </w:r>
      <w:r>
        <w:rPr>
          <w:spacing w:val="-110"/>
          <w:sz w:val="24"/>
          <w:szCs w:val="24"/>
        </w:rPr>
        <w:t xml:space="preserve"> </w:t>
      </w:r>
      <w:r>
        <w:rPr>
          <w:spacing w:val="-2"/>
          <w:sz w:val="24"/>
          <w:szCs w:val="24"/>
        </w:rPr>
        <w:t>份，供应商执</w:t>
      </w:r>
      <w:r>
        <w:rPr>
          <w:spacing w:val="-2"/>
          <w:sz w:val="24"/>
          <w:szCs w:val="24"/>
          <w:u w:val="single" w:color="auto"/>
        </w:rPr>
        <w:t xml:space="preserve">  </w:t>
      </w:r>
      <w:r>
        <w:rPr>
          <w:spacing w:val="-3"/>
          <w:sz w:val="24"/>
          <w:szCs w:val="24"/>
          <w:u w:val="single" w:color="auto"/>
        </w:rPr>
        <w:t xml:space="preserve"> </w:t>
      </w:r>
      <w:r>
        <w:rPr>
          <w:spacing w:val="-110"/>
          <w:sz w:val="24"/>
          <w:szCs w:val="24"/>
        </w:rPr>
        <w:t xml:space="preserve"> </w:t>
      </w:r>
      <w:r>
        <w:rPr>
          <w:spacing w:val="-3"/>
          <w:sz w:val="24"/>
          <w:szCs w:val="24"/>
        </w:rPr>
        <w:t>份，代理机构执</w:t>
      </w:r>
      <w:r>
        <w:rPr>
          <w:spacing w:val="-3"/>
          <w:sz w:val="24"/>
          <w:szCs w:val="24"/>
          <w:u w:val="single" w:color="auto"/>
        </w:rPr>
        <w:t xml:space="preserve"> 壹 </w:t>
      </w:r>
      <w:r>
        <w:rPr>
          <w:spacing w:val="-3"/>
          <w:sz w:val="24"/>
          <w:szCs w:val="24"/>
        </w:rPr>
        <w:t>份，均具有同</w:t>
      </w:r>
      <w:r>
        <w:rPr>
          <w:spacing w:val="-2"/>
          <w:sz w:val="24"/>
          <w:szCs w:val="24"/>
        </w:rPr>
        <w:t>等法律效力。</w:t>
      </w:r>
    </w:p>
    <w:p w14:paraId="2C0FFDCA">
      <w:pPr>
        <w:pStyle w:val="2"/>
        <w:spacing w:before="149" w:line="219" w:lineRule="auto"/>
        <w:ind w:left="489"/>
        <w:rPr>
          <w:sz w:val="24"/>
          <w:szCs w:val="24"/>
        </w:rPr>
      </w:pPr>
      <w:r>
        <w:rPr>
          <w:spacing w:val="-1"/>
          <w:sz w:val="24"/>
          <w:szCs w:val="24"/>
        </w:rPr>
        <w:t>合同订立时间：</w:t>
      </w:r>
      <w:r>
        <w:rPr>
          <w:spacing w:val="-1"/>
          <w:sz w:val="24"/>
          <w:szCs w:val="24"/>
          <w:u w:val="single" w:color="auto"/>
        </w:rPr>
        <w:t xml:space="preserve">         </w:t>
      </w:r>
      <w:r>
        <w:rPr>
          <w:spacing w:val="-109"/>
          <w:sz w:val="24"/>
          <w:szCs w:val="24"/>
        </w:rPr>
        <w:t xml:space="preserve"> </w:t>
      </w:r>
      <w:r>
        <w:rPr>
          <w:spacing w:val="-1"/>
          <w:sz w:val="24"/>
          <w:szCs w:val="24"/>
        </w:rPr>
        <w:t>年</w:t>
      </w:r>
      <w:r>
        <w:rPr>
          <w:spacing w:val="-1"/>
          <w:sz w:val="24"/>
          <w:szCs w:val="24"/>
          <w:u w:val="single" w:color="auto"/>
        </w:rPr>
        <w:t xml:space="preserve">      </w:t>
      </w:r>
      <w:r>
        <w:rPr>
          <w:spacing w:val="-105"/>
          <w:sz w:val="24"/>
          <w:szCs w:val="24"/>
        </w:rPr>
        <w:t xml:space="preserve"> </w:t>
      </w:r>
      <w:r>
        <w:rPr>
          <w:spacing w:val="-1"/>
          <w:sz w:val="24"/>
          <w:szCs w:val="24"/>
        </w:rPr>
        <w:t>月</w:t>
      </w:r>
      <w:r>
        <w:rPr>
          <w:spacing w:val="-2"/>
          <w:sz w:val="24"/>
          <w:szCs w:val="24"/>
          <w:u w:val="single" w:color="auto"/>
        </w:rPr>
        <w:t xml:space="preserve">      </w:t>
      </w:r>
      <w:r>
        <w:rPr>
          <w:spacing w:val="-69"/>
          <w:sz w:val="24"/>
          <w:szCs w:val="24"/>
        </w:rPr>
        <w:t xml:space="preserve"> </w:t>
      </w:r>
      <w:r>
        <w:rPr>
          <w:spacing w:val="-2"/>
          <w:sz w:val="24"/>
          <w:szCs w:val="24"/>
        </w:rPr>
        <w:t>日</w:t>
      </w:r>
    </w:p>
    <w:p w14:paraId="42938DB9">
      <w:pPr>
        <w:pStyle w:val="2"/>
        <w:spacing w:before="183" w:line="221" w:lineRule="auto"/>
        <w:ind w:left="489"/>
        <w:rPr>
          <w:sz w:val="24"/>
          <w:szCs w:val="24"/>
        </w:rPr>
      </w:pPr>
      <w:r>
        <w:rPr>
          <w:spacing w:val="-2"/>
          <w:sz w:val="24"/>
          <w:szCs w:val="24"/>
        </w:rPr>
        <w:t>合同订立地点：</w:t>
      </w:r>
      <w:r>
        <w:rPr>
          <w:sz w:val="24"/>
          <w:szCs w:val="24"/>
          <w:u w:val="single" w:color="auto"/>
        </w:rPr>
        <w:t xml:space="preserve">                           </w:t>
      </w:r>
    </w:p>
    <w:p w14:paraId="0B15E900">
      <w:pPr>
        <w:pStyle w:val="2"/>
        <w:spacing w:before="180" w:line="219" w:lineRule="auto"/>
        <w:ind w:left="507"/>
        <w:rPr>
          <w:sz w:val="24"/>
          <w:szCs w:val="24"/>
        </w:rPr>
      </w:pPr>
      <w:r>
        <w:rPr>
          <w:spacing w:val="-2"/>
          <w:sz w:val="24"/>
          <w:szCs w:val="24"/>
        </w:rPr>
        <w:t>附件：具体标的明细、分包合同等。</w:t>
      </w:r>
    </w:p>
    <w:p w14:paraId="3D969C83">
      <w:pPr>
        <w:rPr>
          <w:rFonts w:ascii="Arial"/>
          <w:sz w:val="21"/>
        </w:rPr>
      </w:pPr>
    </w:p>
    <w:p w14:paraId="61ED77E6">
      <w:pPr>
        <w:spacing w:line="241" w:lineRule="auto"/>
        <w:rPr>
          <w:rFonts w:ascii="Arial"/>
          <w:sz w:val="21"/>
        </w:rPr>
      </w:pPr>
    </w:p>
    <w:p w14:paraId="3F4F7818">
      <w:pPr>
        <w:spacing w:line="241" w:lineRule="auto"/>
        <w:rPr>
          <w:rFonts w:ascii="Arial"/>
          <w:sz w:val="21"/>
        </w:rPr>
      </w:pPr>
    </w:p>
    <w:p w14:paraId="53CA2646">
      <w:pPr>
        <w:pStyle w:val="2"/>
        <w:spacing w:before="78" w:line="219" w:lineRule="auto"/>
        <w:ind w:left="39"/>
        <w:rPr>
          <w:sz w:val="24"/>
          <w:szCs w:val="24"/>
        </w:rPr>
      </w:pPr>
      <w:r>
        <w:rPr>
          <w:spacing w:val="3"/>
          <w:sz w:val="24"/>
          <w:szCs w:val="24"/>
        </w:rPr>
        <w:t>甲</w:t>
      </w:r>
      <w:r>
        <w:rPr>
          <w:spacing w:val="2"/>
          <w:sz w:val="24"/>
          <w:szCs w:val="24"/>
        </w:rPr>
        <w:t xml:space="preserve">      </w:t>
      </w:r>
      <w:r>
        <w:rPr>
          <w:spacing w:val="3"/>
          <w:sz w:val="24"/>
          <w:szCs w:val="24"/>
        </w:rPr>
        <w:t>方</w:t>
      </w:r>
      <w:r>
        <w:rPr>
          <w:spacing w:val="-32"/>
          <w:sz w:val="24"/>
          <w:szCs w:val="24"/>
        </w:rPr>
        <w:t>：（</w:t>
      </w:r>
      <w:r>
        <w:rPr>
          <w:spacing w:val="3"/>
          <w:sz w:val="24"/>
          <w:szCs w:val="24"/>
        </w:rPr>
        <w:t>公章）</w:t>
      </w:r>
      <w:r>
        <w:rPr>
          <w:spacing w:val="1"/>
          <w:sz w:val="24"/>
          <w:szCs w:val="24"/>
        </w:rPr>
        <w:t xml:space="preserve">                     </w:t>
      </w:r>
      <w:r>
        <w:rPr>
          <w:spacing w:val="3"/>
          <w:sz w:val="24"/>
          <w:szCs w:val="24"/>
        </w:rPr>
        <w:t>乙      方</w:t>
      </w:r>
      <w:r>
        <w:rPr>
          <w:spacing w:val="-32"/>
          <w:sz w:val="24"/>
          <w:szCs w:val="24"/>
        </w:rPr>
        <w:t>：（</w:t>
      </w:r>
      <w:r>
        <w:rPr>
          <w:spacing w:val="3"/>
          <w:sz w:val="24"/>
          <w:szCs w:val="24"/>
        </w:rPr>
        <w:t>公章）</w:t>
      </w:r>
    </w:p>
    <w:p w14:paraId="34158DEA">
      <w:pPr>
        <w:pStyle w:val="2"/>
        <w:spacing w:before="185" w:line="219" w:lineRule="auto"/>
        <w:ind w:left="9"/>
        <w:rPr>
          <w:sz w:val="24"/>
          <w:szCs w:val="24"/>
        </w:rPr>
      </w:pPr>
      <w:r>
        <w:rPr>
          <w:spacing w:val="-2"/>
          <w:sz w:val="24"/>
          <w:szCs w:val="24"/>
        </w:rPr>
        <w:t>法定代表人：</w:t>
      </w:r>
      <w:r>
        <w:rPr>
          <w:spacing w:val="-2"/>
          <w:sz w:val="24"/>
          <w:szCs w:val="24"/>
          <w:u w:val="single" w:color="auto"/>
        </w:rPr>
        <w:t xml:space="preserve">                   </w:t>
      </w:r>
      <w:r>
        <w:rPr>
          <w:spacing w:val="-2"/>
          <w:sz w:val="24"/>
          <w:szCs w:val="24"/>
        </w:rPr>
        <w:t xml:space="preserve">         法定代表人：</w:t>
      </w:r>
      <w:r>
        <w:rPr>
          <w:spacing w:val="-2"/>
          <w:sz w:val="24"/>
          <w:szCs w:val="24"/>
          <w:u w:val="single" w:color="auto"/>
        </w:rPr>
        <w:t xml:space="preserve">        </w:t>
      </w:r>
      <w:r>
        <w:rPr>
          <w:spacing w:val="-3"/>
          <w:sz w:val="24"/>
          <w:szCs w:val="24"/>
          <w:u w:val="single" w:color="auto"/>
        </w:rPr>
        <w:t xml:space="preserve">            </w:t>
      </w:r>
    </w:p>
    <w:p w14:paraId="1C6F4D03">
      <w:pPr>
        <w:pStyle w:val="2"/>
        <w:spacing w:before="183" w:line="219" w:lineRule="auto"/>
        <w:ind w:left="7"/>
        <w:rPr>
          <w:sz w:val="24"/>
          <w:szCs w:val="24"/>
        </w:rPr>
      </w:pPr>
      <w:r>
        <w:rPr>
          <w:sz w:val="24"/>
          <w:szCs w:val="24"/>
        </w:rPr>
        <w:t>委托代理人：</w:t>
      </w:r>
      <w:r>
        <w:rPr>
          <w:sz w:val="24"/>
          <w:szCs w:val="24"/>
          <w:u w:val="single" w:color="auto"/>
        </w:rPr>
        <w:t xml:space="preserve">                   </w:t>
      </w:r>
      <w:r>
        <w:rPr>
          <w:sz w:val="24"/>
          <w:szCs w:val="24"/>
        </w:rPr>
        <w:t xml:space="preserve">     </w:t>
      </w:r>
      <w:r>
        <w:rPr>
          <w:spacing w:val="-1"/>
          <w:sz w:val="24"/>
          <w:szCs w:val="24"/>
        </w:rPr>
        <w:t xml:space="preserve">    委托代理人：</w:t>
      </w:r>
      <w:r>
        <w:rPr>
          <w:sz w:val="24"/>
          <w:szCs w:val="24"/>
          <w:u w:val="single" w:color="auto"/>
        </w:rPr>
        <w:t xml:space="preserve">                   </w:t>
      </w:r>
    </w:p>
    <w:p w14:paraId="2916DEBB">
      <w:pPr>
        <w:spacing w:before="26" w:line="222" w:lineRule="auto"/>
        <w:ind w:left="15"/>
        <w:rPr>
          <w:rFonts w:ascii="仿宋" w:hAnsi="仿宋" w:eastAsia="仿宋" w:cs="仿宋"/>
          <w:sz w:val="18"/>
          <w:szCs w:val="18"/>
        </w:rPr>
      </w:pPr>
      <w:r>
        <w:rPr>
          <w:rFonts w:ascii="仿宋" w:hAnsi="仿宋" w:eastAsia="仿宋" w:cs="仿宋"/>
          <w:sz w:val="18"/>
          <w:szCs w:val="18"/>
        </w:rPr>
        <w:t xml:space="preserve">                     </w:t>
      </w:r>
      <w:r>
        <w:rPr>
          <w:rFonts w:ascii="仿宋" w:hAnsi="仿宋" w:eastAsia="仿宋" w:cs="仿宋"/>
          <w:spacing w:val="-1"/>
          <w:sz w:val="18"/>
          <w:szCs w:val="18"/>
        </w:rPr>
        <w:t xml:space="preserve">               </w:t>
      </w:r>
    </w:p>
    <w:p w14:paraId="1339FDA5">
      <w:pPr>
        <w:spacing w:line="222" w:lineRule="auto"/>
        <w:rPr>
          <w:rFonts w:ascii="仿宋" w:hAnsi="仿宋" w:eastAsia="仿宋" w:cs="仿宋"/>
          <w:sz w:val="18"/>
          <w:szCs w:val="18"/>
        </w:rPr>
        <w:sectPr>
          <w:headerReference r:id="rId7" w:type="default"/>
          <w:footerReference r:id="rId8" w:type="default"/>
          <w:pgSz w:w="11906" w:h="16839"/>
          <w:pgMar w:top="1163" w:right="1301" w:bottom="1060" w:left="1303" w:header="831" w:footer="843" w:gutter="0"/>
          <w:pgNumType w:fmt="decimal"/>
          <w:cols w:space="720" w:num="1"/>
        </w:sectPr>
      </w:pPr>
    </w:p>
    <w:p w14:paraId="099EEC45">
      <w:pPr>
        <w:pStyle w:val="2"/>
        <w:spacing w:before="177" w:line="221" w:lineRule="auto"/>
        <w:ind w:left="36"/>
        <w:rPr>
          <w:sz w:val="24"/>
          <w:szCs w:val="24"/>
        </w:rPr>
      </w:pPr>
      <w:r>
        <w:rPr>
          <w:spacing w:val="-13"/>
          <w:sz w:val="24"/>
          <w:szCs w:val="24"/>
        </w:rPr>
        <w:t>电</w:t>
      </w:r>
      <w:r>
        <w:rPr>
          <w:spacing w:val="1"/>
          <w:sz w:val="24"/>
          <w:szCs w:val="24"/>
        </w:rPr>
        <w:t xml:space="preserve">      </w:t>
      </w:r>
      <w:r>
        <w:rPr>
          <w:spacing w:val="-13"/>
          <w:sz w:val="24"/>
          <w:szCs w:val="24"/>
        </w:rPr>
        <w:t>话</w:t>
      </w:r>
      <w:r>
        <w:rPr>
          <w:spacing w:val="-86"/>
          <w:sz w:val="24"/>
          <w:szCs w:val="24"/>
        </w:rPr>
        <w:t xml:space="preserve"> </w:t>
      </w:r>
      <w:r>
        <w:rPr>
          <w:spacing w:val="-13"/>
          <w:sz w:val="24"/>
          <w:szCs w:val="24"/>
        </w:rPr>
        <w:t>：</w:t>
      </w:r>
      <w:r>
        <w:rPr>
          <w:sz w:val="24"/>
          <w:szCs w:val="24"/>
          <w:u w:val="single" w:color="auto"/>
        </w:rPr>
        <w:t xml:space="preserve">                   </w:t>
      </w:r>
      <w:r>
        <w:rPr>
          <w:spacing w:val="-13"/>
          <w:sz w:val="24"/>
          <w:szCs w:val="24"/>
        </w:rPr>
        <w:t xml:space="preserve">          电</w:t>
      </w:r>
      <w:r>
        <w:rPr>
          <w:spacing w:val="1"/>
          <w:sz w:val="24"/>
          <w:szCs w:val="24"/>
        </w:rPr>
        <w:t xml:space="preserve">      </w:t>
      </w:r>
      <w:r>
        <w:rPr>
          <w:spacing w:val="-13"/>
          <w:sz w:val="24"/>
          <w:szCs w:val="24"/>
        </w:rPr>
        <w:t>话：</w:t>
      </w:r>
    </w:p>
    <w:p w14:paraId="28C3783A">
      <w:pPr>
        <w:pStyle w:val="2"/>
        <w:spacing w:before="177" w:line="219" w:lineRule="auto"/>
        <w:ind w:left="6"/>
        <w:rPr>
          <w:sz w:val="24"/>
          <w:szCs w:val="24"/>
        </w:rPr>
      </w:pPr>
      <w:r>
        <mc:AlternateContent>
          <mc:Choice Requires="wps">
            <w:drawing>
              <wp:anchor distT="0" distB="0" distL="114300" distR="114300" simplePos="0" relativeHeight="251659264" behindDoc="0" locked="0" layoutInCell="1" allowOverlap="1">
                <wp:simplePos x="0" y="0"/>
                <wp:positionH relativeFrom="column">
                  <wp:posOffset>3949065</wp:posOffset>
                </wp:positionH>
                <wp:positionV relativeFrom="paragraph">
                  <wp:posOffset>-52070</wp:posOffset>
                </wp:positionV>
                <wp:extent cx="1549400" cy="92456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549400" cy="924560"/>
                        </a:xfrm>
                        <a:prstGeom prst="rect">
                          <a:avLst/>
                        </a:prstGeom>
                        <a:noFill/>
                        <a:ln>
                          <a:noFill/>
                        </a:ln>
                      </wps:spPr>
                      <wps:txbx>
                        <w:txbxContent>
                          <w:p w14:paraId="4988C244">
                            <w:pPr>
                              <w:spacing w:line="20" w:lineRule="exact"/>
                            </w:pPr>
                          </w:p>
                          <w:tbl>
                            <w:tblPr>
                              <w:tblStyle w:val="20"/>
                              <w:tblW w:w="2400"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400"/>
                            </w:tblGrid>
                            <w:tr w14:paraId="5CA0D8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0" w:hRule="atLeast"/>
                              </w:trPr>
                              <w:tc>
                                <w:tcPr>
                                  <w:tcW w:w="2400" w:type="dxa"/>
                                  <w:tcBorders>
                                    <w:top w:val="single" w:color="000000" w:sz="4" w:space="0"/>
                                    <w:bottom w:val="single" w:color="000000" w:sz="4" w:space="0"/>
                                  </w:tcBorders>
                                  <w:vAlign w:val="top"/>
                                </w:tcPr>
                                <w:p w14:paraId="3C7BCE0F">
                                  <w:pPr>
                                    <w:rPr>
                                      <w:rFonts w:ascii="Arial"/>
                                      <w:sz w:val="21"/>
                                    </w:rPr>
                                  </w:pPr>
                                </w:p>
                              </w:tc>
                            </w:tr>
                            <w:tr w14:paraId="72FAF3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5" w:hRule="atLeast"/>
                              </w:trPr>
                              <w:tc>
                                <w:tcPr>
                                  <w:tcW w:w="2400" w:type="dxa"/>
                                  <w:tcBorders>
                                    <w:top w:val="single" w:color="000000" w:sz="4" w:space="0"/>
                                    <w:bottom w:val="single" w:color="000000" w:sz="4" w:space="0"/>
                                  </w:tcBorders>
                                  <w:vAlign w:val="top"/>
                                </w:tcPr>
                                <w:p w14:paraId="45E9B475">
                                  <w:pPr>
                                    <w:rPr>
                                      <w:rFonts w:ascii="Arial"/>
                                      <w:sz w:val="21"/>
                                    </w:rPr>
                                  </w:pPr>
                                </w:p>
                              </w:tc>
                            </w:tr>
                            <w:tr w14:paraId="31D475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0" w:hRule="atLeast"/>
                              </w:trPr>
                              <w:tc>
                                <w:tcPr>
                                  <w:tcW w:w="2400" w:type="dxa"/>
                                  <w:tcBorders>
                                    <w:top w:val="single" w:color="000000" w:sz="4" w:space="0"/>
                                    <w:bottom w:val="single" w:color="000000" w:sz="4" w:space="0"/>
                                  </w:tcBorders>
                                  <w:vAlign w:val="top"/>
                                </w:tcPr>
                                <w:p w14:paraId="48D6CE41">
                                  <w:pPr>
                                    <w:rPr>
                                      <w:rFonts w:ascii="Arial"/>
                                      <w:sz w:val="21"/>
                                    </w:rPr>
                                  </w:pPr>
                                </w:p>
                              </w:tc>
                            </w:tr>
                          </w:tbl>
                          <w:p w14:paraId="23B213D4">
                            <w:pPr>
                              <w:rPr>
                                <w:rFonts w:ascii="Arial"/>
                                <w:sz w:val="21"/>
                              </w:rPr>
                            </w:pPr>
                          </w:p>
                        </w:txbxContent>
                      </wps:txbx>
                      <wps:bodyPr lIns="0" tIns="0" rIns="0" bIns="0" upright="1"/>
                    </wps:wsp>
                  </a:graphicData>
                </a:graphic>
              </wp:anchor>
            </w:drawing>
          </mc:Choice>
          <mc:Fallback>
            <w:pict>
              <v:shape id="_x0000_s1026" o:spid="_x0000_s1026" o:spt="202" type="#_x0000_t202" style="position:absolute;left:0pt;margin-left:310.95pt;margin-top:-4.1pt;height:72.8pt;width:122pt;z-index:251659264;mso-width-relative:page;mso-height-relative:page;" filled="f" stroked="f" coordsize="21600,21600" o:gfxdata="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tiANkAAAAKAQAADwAAAAAAAAABACAAAAAiAAAAZHJzL2Rvd25yZXYueG1sUEsB&#10;AhQAFAAAAAgAh07iQPoalru7AQAAdAMAAA4AAAAAAAAAAQAgAAAAKAEAAGRycy9lMm9Eb2MueG1s&#10;UEsFBgAAAAAGAAYAWQEAAFUFAAAAAA==&#10;">
                <v:fill on="f" focussize="0,0"/>
                <v:stroke on="f"/>
                <v:imagedata o:title=""/>
                <o:lock v:ext="edit" aspectratio="f"/>
                <v:textbox inset="0mm,0mm,0mm,0mm">
                  <w:txbxContent>
                    <w:p w14:paraId="4988C244">
                      <w:pPr>
                        <w:spacing w:line="20" w:lineRule="exact"/>
                      </w:pPr>
                    </w:p>
                    <w:tbl>
                      <w:tblPr>
                        <w:tblStyle w:val="20"/>
                        <w:tblW w:w="2400"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400"/>
                      </w:tblGrid>
                      <w:tr w14:paraId="5CA0D8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0" w:hRule="atLeast"/>
                        </w:trPr>
                        <w:tc>
                          <w:tcPr>
                            <w:tcW w:w="2400" w:type="dxa"/>
                            <w:tcBorders>
                              <w:top w:val="single" w:color="000000" w:sz="4" w:space="0"/>
                              <w:bottom w:val="single" w:color="000000" w:sz="4" w:space="0"/>
                            </w:tcBorders>
                            <w:vAlign w:val="top"/>
                          </w:tcPr>
                          <w:p w14:paraId="3C7BCE0F">
                            <w:pPr>
                              <w:rPr>
                                <w:rFonts w:ascii="Arial"/>
                                <w:sz w:val="21"/>
                              </w:rPr>
                            </w:pPr>
                          </w:p>
                        </w:tc>
                      </w:tr>
                      <w:tr w14:paraId="72FAF3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5" w:hRule="atLeast"/>
                        </w:trPr>
                        <w:tc>
                          <w:tcPr>
                            <w:tcW w:w="2400" w:type="dxa"/>
                            <w:tcBorders>
                              <w:top w:val="single" w:color="000000" w:sz="4" w:space="0"/>
                              <w:bottom w:val="single" w:color="000000" w:sz="4" w:space="0"/>
                            </w:tcBorders>
                            <w:vAlign w:val="top"/>
                          </w:tcPr>
                          <w:p w14:paraId="45E9B475">
                            <w:pPr>
                              <w:rPr>
                                <w:rFonts w:ascii="Arial"/>
                                <w:sz w:val="21"/>
                              </w:rPr>
                            </w:pPr>
                          </w:p>
                        </w:tc>
                      </w:tr>
                      <w:tr w14:paraId="31D475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0" w:hRule="atLeast"/>
                        </w:trPr>
                        <w:tc>
                          <w:tcPr>
                            <w:tcW w:w="2400" w:type="dxa"/>
                            <w:tcBorders>
                              <w:top w:val="single" w:color="000000" w:sz="4" w:space="0"/>
                              <w:bottom w:val="single" w:color="000000" w:sz="4" w:space="0"/>
                            </w:tcBorders>
                            <w:vAlign w:val="top"/>
                          </w:tcPr>
                          <w:p w14:paraId="48D6CE41">
                            <w:pPr>
                              <w:rPr>
                                <w:rFonts w:ascii="Arial"/>
                                <w:sz w:val="21"/>
                              </w:rPr>
                            </w:pPr>
                          </w:p>
                        </w:tc>
                      </w:tr>
                    </w:tbl>
                    <w:p w14:paraId="23B213D4">
                      <w:pPr>
                        <w:rPr>
                          <w:rFonts w:ascii="Arial"/>
                          <w:sz w:val="21"/>
                        </w:rPr>
                      </w:pPr>
                    </w:p>
                  </w:txbxContent>
                </v:textbox>
              </v:shape>
            </w:pict>
          </mc:Fallback>
        </mc:AlternateContent>
      </w:r>
      <w:r>
        <w:rPr>
          <w:spacing w:val="-12"/>
          <w:sz w:val="24"/>
          <w:szCs w:val="24"/>
        </w:rPr>
        <w:t>传</w:t>
      </w:r>
      <w:r>
        <w:rPr>
          <w:spacing w:val="2"/>
          <w:sz w:val="24"/>
          <w:szCs w:val="24"/>
        </w:rPr>
        <w:t xml:space="preserve">      </w:t>
      </w:r>
      <w:r>
        <w:rPr>
          <w:spacing w:val="-12"/>
          <w:sz w:val="24"/>
          <w:szCs w:val="24"/>
        </w:rPr>
        <w:t>真</w:t>
      </w:r>
      <w:r>
        <w:rPr>
          <w:spacing w:val="-89"/>
          <w:sz w:val="24"/>
          <w:szCs w:val="24"/>
        </w:rPr>
        <w:t xml:space="preserve"> </w:t>
      </w:r>
      <w:r>
        <w:rPr>
          <w:spacing w:val="-12"/>
          <w:sz w:val="24"/>
          <w:szCs w:val="24"/>
        </w:rPr>
        <w:t>：</w:t>
      </w:r>
      <w:r>
        <w:rPr>
          <w:sz w:val="24"/>
          <w:szCs w:val="24"/>
          <w:u w:val="single" w:color="auto"/>
        </w:rPr>
        <w:t xml:space="preserve">                   </w:t>
      </w:r>
      <w:r>
        <w:rPr>
          <w:sz w:val="24"/>
          <w:szCs w:val="24"/>
        </w:rPr>
        <w:t xml:space="preserve">         </w:t>
      </w:r>
      <w:r>
        <w:rPr>
          <w:spacing w:val="-12"/>
          <w:sz w:val="24"/>
          <w:szCs w:val="24"/>
        </w:rPr>
        <w:t>传</w:t>
      </w:r>
      <w:r>
        <w:rPr>
          <w:spacing w:val="3"/>
          <w:sz w:val="24"/>
          <w:szCs w:val="24"/>
        </w:rPr>
        <w:t xml:space="preserve">      </w:t>
      </w:r>
      <w:r>
        <w:rPr>
          <w:spacing w:val="-12"/>
          <w:sz w:val="24"/>
          <w:szCs w:val="24"/>
        </w:rPr>
        <w:t>真：</w:t>
      </w:r>
    </w:p>
    <w:p w14:paraId="327C58C0">
      <w:pPr>
        <w:pStyle w:val="2"/>
        <w:spacing w:before="183" w:line="220" w:lineRule="auto"/>
        <w:ind w:left="4809"/>
        <w:rPr>
          <w:sz w:val="24"/>
          <w:szCs w:val="24"/>
        </w:rPr>
      </w:pPr>
      <w:r>
        <w:rPr>
          <w:spacing w:val="-9"/>
          <w:sz w:val="24"/>
          <w:szCs w:val="24"/>
        </w:rPr>
        <w:t>开</w:t>
      </w:r>
      <w:r>
        <w:rPr>
          <w:spacing w:val="10"/>
          <w:sz w:val="24"/>
          <w:szCs w:val="24"/>
        </w:rPr>
        <w:t xml:space="preserve"> </w:t>
      </w:r>
      <w:r>
        <w:rPr>
          <w:spacing w:val="-9"/>
          <w:sz w:val="24"/>
          <w:szCs w:val="24"/>
        </w:rPr>
        <w:t>户</w:t>
      </w:r>
      <w:r>
        <w:rPr>
          <w:spacing w:val="10"/>
          <w:sz w:val="24"/>
          <w:szCs w:val="24"/>
        </w:rPr>
        <w:t xml:space="preserve"> </w:t>
      </w:r>
      <w:r>
        <w:rPr>
          <w:spacing w:val="-9"/>
          <w:sz w:val="24"/>
          <w:szCs w:val="24"/>
        </w:rPr>
        <w:t>银</w:t>
      </w:r>
      <w:r>
        <w:rPr>
          <w:spacing w:val="13"/>
          <w:sz w:val="24"/>
          <w:szCs w:val="24"/>
        </w:rPr>
        <w:t xml:space="preserve"> </w:t>
      </w:r>
      <w:r>
        <w:rPr>
          <w:spacing w:val="-9"/>
          <w:sz w:val="24"/>
          <w:szCs w:val="24"/>
        </w:rPr>
        <w:t>行：</w:t>
      </w:r>
    </w:p>
    <w:p w14:paraId="4186907F">
      <w:pPr>
        <w:pStyle w:val="2"/>
        <w:spacing w:before="179" w:line="221" w:lineRule="auto"/>
        <w:ind w:left="4781"/>
        <w:outlineLvl w:val="1"/>
        <w:rPr>
          <w:sz w:val="24"/>
          <w:szCs w:val="24"/>
        </w:rPr>
      </w:pPr>
      <w:bookmarkStart w:id="245" w:name="_Toc29242"/>
      <w:bookmarkStart w:id="246" w:name="_Toc26743"/>
      <w:bookmarkStart w:id="247" w:name="_Toc25310"/>
      <w:r>
        <w:rPr>
          <w:spacing w:val="-10"/>
          <w:sz w:val="24"/>
          <w:szCs w:val="24"/>
        </w:rPr>
        <w:t>账</w:t>
      </w:r>
      <w:r>
        <w:rPr>
          <w:spacing w:val="2"/>
          <w:sz w:val="24"/>
          <w:szCs w:val="24"/>
        </w:rPr>
        <w:t xml:space="preserve">       </w:t>
      </w:r>
      <w:r>
        <w:rPr>
          <w:spacing w:val="-10"/>
          <w:sz w:val="24"/>
          <w:szCs w:val="24"/>
        </w:rPr>
        <w:t>号：</w:t>
      </w:r>
      <w:bookmarkEnd w:id="245"/>
      <w:bookmarkEnd w:id="246"/>
      <w:bookmarkEnd w:id="247"/>
    </w:p>
    <w:p w14:paraId="17D8232E">
      <w:pPr>
        <w:spacing w:line="242" w:lineRule="auto"/>
        <w:rPr>
          <w:rFonts w:ascii="Arial"/>
          <w:sz w:val="21"/>
        </w:rPr>
      </w:pPr>
    </w:p>
    <w:p w14:paraId="3312A09D">
      <w:pPr>
        <w:spacing w:line="242" w:lineRule="auto"/>
        <w:rPr>
          <w:rFonts w:ascii="Arial"/>
          <w:sz w:val="21"/>
        </w:rPr>
      </w:pPr>
    </w:p>
    <w:p w14:paraId="2A2DD64B">
      <w:pPr>
        <w:spacing w:line="242" w:lineRule="auto"/>
        <w:rPr>
          <w:rFonts w:ascii="Arial"/>
          <w:sz w:val="21"/>
        </w:rPr>
      </w:pPr>
    </w:p>
    <w:p w14:paraId="4675D8DB">
      <w:pPr>
        <w:spacing w:line="242" w:lineRule="auto"/>
        <w:rPr>
          <w:rFonts w:ascii="Arial"/>
          <w:sz w:val="21"/>
        </w:rPr>
      </w:pPr>
    </w:p>
    <w:p w14:paraId="6902F2DC">
      <w:pPr>
        <w:spacing w:line="242" w:lineRule="auto"/>
        <w:rPr>
          <w:rFonts w:ascii="Arial"/>
          <w:sz w:val="21"/>
        </w:rPr>
      </w:pPr>
    </w:p>
    <w:p w14:paraId="518A4586">
      <w:pPr>
        <w:spacing w:line="242" w:lineRule="auto"/>
        <w:rPr>
          <w:rFonts w:ascii="Arial"/>
          <w:sz w:val="21"/>
        </w:rPr>
      </w:pPr>
    </w:p>
    <w:p w14:paraId="6D6F05AC">
      <w:pPr>
        <w:spacing w:line="242" w:lineRule="auto"/>
        <w:rPr>
          <w:rFonts w:ascii="Arial"/>
          <w:sz w:val="21"/>
        </w:rPr>
      </w:pPr>
    </w:p>
    <w:p w14:paraId="7AF2BB15">
      <w:pPr>
        <w:spacing w:line="242" w:lineRule="auto"/>
        <w:rPr>
          <w:rFonts w:ascii="Arial"/>
          <w:sz w:val="21"/>
        </w:rPr>
      </w:pPr>
    </w:p>
    <w:p w14:paraId="755D15E1">
      <w:pPr>
        <w:spacing w:line="242" w:lineRule="auto"/>
        <w:rPr>
          <w:rFonts w:ascii="Arial"/>
          <w:sz w:val="21"/>
        </w:rPr>
      </w:pPr>
    </w:p>
    <w:p w14:paraId="3EFBD4E2">
      <w:pPr>
        <w:spacing w:line="242" w:lineRule="auto"/>
        <w:rPr>
          <w:rFonts w:ascii="Arial"/>
          <w:sz w:val="21"/>
        </w:rPr>
      </w:pPr>
    </w:p>
    <w:p w14:paraId="3E8D0389">
      <w:pPr>
        <w:spacing w:line="242" w:lineRule="auto"/>
        <w:rPr>
          <w:rFonts w:ascii="Arial"/>
          <w:sz w:val="21"/>
        </w:rPr>
      </w:pPr>
    </w:p>
    <w:p w14:paraId="6134FAF7">
      <w:pPr>
        <w:spacing w:line="242" w:lineRule="auto"/>
        <w:rPr>
          <w:rFonts w:ascii="Arial"/>
          <w:sz w:val="21"/>
        </w:rPr>
      </w:pPr>
    </w:p>
    <w:p w14:paraId="23BBFB38">
      <w:pPr>
        <w:spacing w:line="243" w:lineRule="auto"/>
        <w:rPr>
          <w:rFonts w:ascii="Arial"/>
          <w:sz w:val="21"/>
        </w:rPr>
      </w:pPr>
    </w:p>
    <w:p w14:paraId="0E67D7F4">
      <w:pPr>
        <w:spacing w:line="243" w:lineRule="auto"/>
        <w:rPr>
          <w:rFonts w:ascii="Arial"/>
          <w:sz w:val="21"/>
        </w:rPr>
      </w:pPr>
    </w:p>
    <w:p w14:paraId="24465F13">
      <w:pPr>
        <w:spacing w:line="243" w:lineRule="auto"/>
        <w:rPr>
          <w:rFonts w:ascii="Arial"/>
          <w:sz w:val="21"/>
        </w:rPr>
      </w:pPr>
    </w:p>
    <w:p w14:paraId="7072DA31">
      <w:pPr>
        <w:spacing w:line="243" w:lineRule="auto"/>
        <w:rPr>
          <w:rFonts w:ascii="Arial"/>
          <w:sz w:val="21"/>
        </w:rPr>
      </w:pPr>
    </w:p>
    <w:p w14:paraId="5B4F238F">
      <w:pPr>
        <w:spacing w:line="243" w:lineRule="auto"/>
        <w:rPr>
          <w:rFonts w:ascii="Arial"/>
          <w:sz w:val="21"/>
        </w:rPr>
      </w:pPr>
    </w:p>
    <w:p w14:paraId="3FBBB06A">
      <w:pPr>
        <w:spacing w:line="243" w:lineRule="auto"/>
        <w:rPr>
          <w:rFonts w:ascii="Arial"/>
          <w:sz w:val="21"/>
        </w:rPr>
      </w:pPr>
    </w:p>
    <w:p w14:paraId="125B4AB2">
      <w:pPr>
        <w:spacing w:line="243" w:lineRule="auto"/>
        <w:rPr>
          <w:rFonts w:ascii="Arial"/>
          <w:sz w:val="21"/>
        </w:rPr>
      </w:pPr>
    </w:p>
    <w:p w14:paraId="214C7661">
      <w:pPr>
        <w:spacing w:line="243" w:lineRule="auto"/>
        <w:rPr>
          <w:rFonts w:ascii="Arial"/>
          <w:sz w:val="21"/>
        </w:rPr>
      </w:pPr>
    </w:p>
    <w:p w14:paraId="4FC3BDAF">
      <w:pPr>
        <w:spacing w:line="243" w:lineRule="auto"/>
        <w:rPr>
          <w:rFonts w:ascii="Arial"/>
          <w:sz w:val="21"/>
        </w:rPr>
      </w:pPr>
    </w:p>
    <w:p w14:paraId="0DD4797C">
      <w:pPr>
        <w:spacing w:line="243" w:lineRule="auto"/>
        <w:rPr>
          <w:rFonts w:ascii="Arial"/>
          <w:sz w:val="21"/>
        </w:rPr>
      </w:pPr>
    </w:p>
    <w:p w14:paraId="3B54D0B7">
      <w:pPr>
        <w:spacing w:line="243" w:lineRule="auto"/>
        <w:rPr>
          <w:rFonts w:ascii="Arial"/>
          <w:sz w:val="21"/>
        </w:rPr>
      </w:pPr>
    </w:p>
    <w:p w14:paraId="4BACE896">
      <w:pPr>
        <w:spacing w:line="243" w:lineRule="auto"/>
        <w:rPr>
          <w:rFonts w:ascii="Arial"/>
          <w:sz w:val="21"/>
        </w:rPr>
      </w:pPr>
    </w:p>
    <w:p w14:paraId="07D1CAAA">
      <w:pPr>
        <w:spacing w:line="243" w:lineRule="auto"/>
        <w:rPr>
          <w:rFonts w:ascii="Arial"/>
          <w:sz w:val="21"/>
        </w:rPr>
      </w:pPr>
    </w:p>
    <w:p w14:paraId="42B25C24">
      <w:pPr>
        <w:spacing w:line="243" w:lineRule="auto"/>
        <w:rPr>
          <w:rFonts w:ascii="Arial"/>
          <w:sz w:val="21"/>
        </w:rPr>
      </w:pPr>
    </w:p>
    <w:p w14:paraId="4DC219DB">
      <w:pPr>
        <w:spacing w:line="243" w:lineRule="auto"/>
        <w:rPr>
          <w:rFonts w:ascii="Arial"/>
          <w:sz w:val="21"/>
        </w:rPr>
      </w:pPr>
    </w:p>
    <w:p w14:paraId="0D078041">
      <w:pPr>
        <w:spacing w:line="243" w:lineRule="auto"/>
        <w:rPr>
          <w:rFonts w:ascii="Arial"/>
          <w:sz w:val="21"/>
        </w:rPr>
      </w:pPr>
    </w:p>
    <w:p w14:paraId="04391549">
      <w:pPr>
        <w:spacing w:line="243" w:lineRule="auto"/>
        <w:rPr>
          <w:rFonts w:ascii="Arial"/>
          <w:sz w:val="21"/>
        </w:rPr>
      </w:pPr>
    </w:p>
    <w:p w14:paraId="4BA2C56D">
      <w:pPr>
        <w:spacing w:line="243" w:lineRule="auto"/>
        <w:rPr>
          <w:rFonts w:ascii="Arial"/>
          <w:sz w:val="21"/>
        </w:rPr>
      </w:pPr>
    </w:p>
    <w:p w14:paraId="5A91A83F">
      <w:pPr>
        <w:spacing w:line="243" w:lineRule="auto"/>
        <w:rPr>
          <w:rFonts w:ascii="Arial"/>
          <w:sz w:val="21"/>
        </w:rPr>
      </w:pPr>
    </w:p>
    <w:p w14:paraId="0640ABC3">
      <w:pPr>
        <w:spacing w:line="243" w:lineRule="auto"/>
        <w:rPr>
          <w:rFonts w:ascii="Arial"/>
          <w:sz w:val="21"/>
        </w:rPr>
      </w:pPr>
    </w:p>
    <w:p w14:paraId="7D6FA7A5">
      <w:pPr>
        <w:spacing w:line="243" w:lineRule="auto"/>
        <w:rPr>
          <w:rFonts w:ascii="Arial"/>
          <w:sz w:val="21"/>
        </w:rPr>
      </w:pPr>
    </w:p>
    <w:p w14:paraId="6DC4B570">
      <w:pPr>
        <w:spacing w:line="243" w:lineRule="auto"/>
        <w:rPr>
          <w:rFonts w:ascii="Arial"/>
          <w:sz w:val="21"/>
        </w:rPr>
      </w:pPr>
    </w:p>
    <w:p w14:paraId="15DC81F9">
      <w:pPr>
        <w:spacing w:line="243" w:lineRule="auto"/>
        <w:rPr>
          <w:rFonts w:ascii="Arial"/>
          <w:sz w:val="21"/>
        </w:rPr>
      </w:pPr>
    </w:p>
    <w:p w14:paraId="66692862">
      <w:pPr>
        <w:spacing w:line="243" w:lineRule="auto"/>
        <w:rPr>
          <w:rFonts w:ascii="Arial"/>
          <w:sz w:val="21"/>
        </w:rPr>
      </w:pPr>
    </w:p>
    <w:p w14:paraId="27F697F6">
      <w:pPr>
        <w:spacing w:line="243" w:lineRule="auto"/>
        <w:rPr>
          <w:rFonts w:ascii="Arial"/>
          <w:sz w:val="21"/>
        </w:rPr>
      </w:pPr>
    </w:p>
    <w:p w14:paraId="3DAF5136">
      <w:pPr>
        <w:spacing w:line="243" w:lineRule="auto"/>
        <w:rPr>
          <w:rFonts w:ascii="Arial"/>
          <w:sz w:val="21"/>
        </w:rPr>
      </w:pPr>
    </w:p>
    <w:p w14:paraId="3CDF43EF">
      <w:pPr>
        <w:spacing w:line="243" w:lineRule="auto"/>
        <w:rPr>
          <w:rFonts w:ascii="Arial"/>
          <w:sz w:val="21"/>
        </w:rPr>
      </w:pPr>
    </w:p>
    <w:p w14:paraId="409602F3">
      <w:pPr>
        <w:spacing w:line="243" w:lineRule="auto"/>
        <w:rPr>
          <w:rFonts w:ascii="Arial"/>
          <w:sz w:val="21"/>
        </w:rPr>
      </w:pPr>
    </w:p>
    <w:p w14:paraId="0002FEB6">
      <w:pPr>
        <w:spacing w:line="243" w:lineRule="auto"/>
        <w:rPr>
          <w:rFonts w:ascii="Arial"/>
          <w:sz w:val="21"/>
        </w:rPr>
      </w:pPr>
    </w:p>
    <w:p w14:paraId="325C87D9">
      <w:pPr>
        <w:spacing w:line="243" w:lineRule="auto"/>
        <w:rPr>
          <w:rFonts w:ascii="Arial"/>
          <w:sz w:val="21"/>
        </w:rPr>
      </w:pPr>
    </w:p>
    <w:p w14:paraId="45928152">
      <w:pPr>
        <w:spacing w:line="243" w:lineRule="auto"/>
        <w:rPr>
          <w:rFonts w:ascii="Arial"/>
          <w:sz w:val="21"/>
        </w:rPr>
      </w:pPr>
    </w:p>
    <w:p w14:paraId="6D0B56FE">
      <w:pPr>
        <w:spacing w:line="243" w:lineRule="auto"/>
        <w:rPr>
          <w:rFonts w:ascii="Arial"/>
          <w:sz w:val="21"/>
        </w:rPr>
      </w:pPr>
    </w:p>
    <w:p w14:paraId="0ACD05DD">
      <w:pPr>
        <w:spacing w:line="243" w:lineRule="auto"/>
        <w:rPr>
          <w:rFonts w:ascii="Arial"/>
          <w:sz w:val="21"/>
        </w:rPr>
      </w:pPr>
    </w:p>
    <w:p w14:paraId="62339793">
      <w:pPr>
        <w:spacing w:line="243" w:lineRule="auto"/>
        <w:rPr>
          <w:rFonts w:ascii="Arial"/>
          <w:sz w:val="21"/>
        </w:rPr>
      </w:pPr>
    </w:p>
    <w:p w14:paraId="37094EAC">
      <w:pPr>
        <w:spacing w:line="243" w:lineRule="auto"/>
        <w:rPr>
          <w:rFonts w:ascii="Arial"/>
          <w:sz w:val="21"/>
        </w:rPr>
      </w:pPr>
    </w:p>
    <w:p w14:paraId="19D14365">
      <w:pPr>
        <w:spacing w:line="243" w:lineRule="auto"/>
        <w:rPr>
          <w:rFonts w:ascii="Arial"/>
          <w:sz w:val="21"/>
        </w:rPr>
      </w:pPr>
    </w:p>
    <w:p w14:paraId="3F3D6385">
      <w:pPr>
        <w:spacing w:line="243" w:lineRule="auto"/>
        <w:rPr>
          <w:rFonts w:ascii="Arial"/>
          <w:sz w:val="21"/>
        </w:rPr>
      </w:pPr>
    </w:p>
    <w:p w14:paraId="0B4DD651">
      <w:pPr>
        <w:spacing w:line="243" w:lineRule="auto"/>
        <w:rPr>
          <w:rFonts w:ascii="Arial"/>
          <w:sz w:val="21"/>
        </w:rPr>
      </w:pPr>
    </w:p>
    <w:p w14:paraId="5E33EB37">
      <w:pPr>
        <w:spacing w:before="26" w:line="222" w:lineRule="auto"/>
        <w:ind w:left="15"/>
        <w:rPr>
          <w:rFonts w:ascii="仿宋" w:hAnsi="仿宋" w:eastAsia="仿宋" w:cs="仿宋"/>
          <w:sz w:val="18"/>
          <w:szCs w:val="18"/>
        </w:rPr>
      </w:pPr>
      <w:r>
        <w:rPr>
          <w:rFonts w:ascii="仿宋" w:hAnsi="仿宋" w:eastAsia="仿宋" w:cs="仿宋"/>
          <w:sz w:val="18"/>
          <w:szCs w:val="18"/>
        </w:rPr>
        <w:t xml:space="preserve">        </w:t>
      </w:r>
      <w:r>
        <w:rPr>
          <w:rFonts w:ascii="仿宋" w:hAnsi="仿宋" w:eastAsia="仿宋" w:cs="仿宋"/>
          <w:spacing w:val="-1"/>
          <w:sz w:val="18"/>
          <w:szCs w:val="18"/>
        </w:rPr>
        <w:t xml:space="preserve">                </w:t>
      </w:r>
    </w:p>
    <w:p w14:paraId="572188DC">
      <w:pPr>
        <w:spacing w:line="222" w:lineRule="auto"/>
        <w:rPr>
          <w:rFonts w:ascii="仿宋" w:hAnsi="仿宋" w:eastAsia="仿宋" w:cs="仿宋"/>
          <w:sz w:val="18"/>
          <w:szCs w:val="18"/>
        </w:rPr>
        <w:sectPr>
          <w:headerReference r:id="rId9" w:type="default"/>
          <w:footerReference r:id="rId10" w:type="default"/>
          <w:pgSz w:w="11906" w:h="16839"/>
          <w:pgMar w:top="1163" w:right="1304" w:bottom="1060" w:left="1303" w:header="831" w:footer="843" w:gutter="0"/>
          <w:pgNumType w:fmt="decimal"/>
          <w:cols w:space="720" w:num="1"/>
        </w:sectPr>
      </w:pPr>
    </w:p>
    <w:p w14:paraId="1DACD2EF">
      <w:pPr>
        <w:pStyle w:val="2"/>
        <w:spacing w:before="215" w:line="225" w:lineRule="auto"/>
        <w:ind w:left="2896"/>
        <w:outlineLvl w:val="1"/>
        <w:rPr>
          <w:sz w:val="25"/>
          <w:szCs w:val="25"/>
        </w:rPr>
      </w:pPr>
      <w:bookmarkStart w:id="248" w:name="_Toc24544"/>
      <w:bookmarkStart w:id="249" w:name="_Toc30818"/>
      <w:bookmarkStart w:id="250" w:name="_Toc8217"/>
      <w:r>
        <w:rPr>
          <w:b/>
          <w:bCs/>
          <w:spacing w:val="7"/>
          <w:sz w:val="25"/>
          <w:szCs w:val="25"/>
        </w:rPr>
        <w:t>第二节</w:t>
      </w:r>
      <w:r>
        <w:rPr>
          <w:spacing w:val="7"/>
          <w:sz w:val="25"/>
          <w:szCs w:val="25"/>
        </w:rPr>
        <w:t xml:space="preserve"> </w:t>
      </w:r>
      <w:r>
        <w:rPr>
          <w:b/>
          <w:bCs/>
          <w:spacing w:val="7"/>
          <w:sz w:val="25"/>
          <w:szCs w:val="25"/>
        </w:rPr>
        <w:t>政府采购合同通用条款</w:t>
      </w:r>
      <w:bookmarkEnd w:id="248"/>
      <w:bookmarkEnd w:id="249"/>
      <w:bookmarkEnd w:id="250"/>
    </w:p>
    <w:p w14:paraId="7FC3D78E">
      <w:pPr>
        <w:pStyle w:val="2"/>
        <w:spacing w:before="240" w:line="229"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1.定义</w:t>
      </w:r>
    </w:p>
    <w:p w14:paraId="09EE3E35">
      <w:pPr>
        <w:pStyle w:val="2"/>
        <w:spacing w:before="203" w:line="229"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1.1合同当事人</w:t>
      </w:r>
    </w:p>
    <w:p w14:paraId="325D84AC">
      <w:pPr>
        <w:pStyle w:val="2"/>
        <w:spacing w:before="202" w:line="303" w:lineRule="auto"/>
        <w:ind w:left="6" w:right="1" w:firstLine="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（1）采购人（以下称甲方）是指使用财政性资金，通过政府采购方式向供应商购买货物、服务的国家机关、事业单位、团体组织。本次采购的甲方名称、地址见</w:t>
      </w:r>
      <w:r>
        <w:rPr>
          <w:rFonts w:hint="eastAsia" w:asciiTheme="minorEastAsia" w:hAnsiTheme="minorEastAsia" w:eastAsiaTheme="minorEastAsia" w:cstheme="minorEastAsia"/>
          <w:b/>
          <w:bCs/>
          <w:spacing w:val="9"/>
          <w:sz w:val="24"/>
          <w:szCs w:val="24"/>
        </w:rPr>
        <w:t>【政府采购合</w:t>
      </w:r>
      <w:r>
        <w:rPr>
          <w:rFonts w:hint="eastAsia" w:asciiTheme="minorEastAsia" w:hAnsiTheme="minorEastAsia" w:eastAsiaTheme="minorEastAsia" w:cstheme="minorEastAsia"/>
          <w:b/>
          <w:bCs/>
          <w:spacing w:val="8"/>
          <w:sz w:val="24"/>
          <w:szCs w:val="24"/>
        </w:rPr>
        <w:t>同专用条款】。</w:t>
      </w:r>
    </w:p>
    <w:p w14:paraId="137B757B">
      <w:pPr>
        <w:pStyle w:val="2"/>
        <w:spacing w:before="209" w:line="303" w:lineRule="auto"/>
        <w:ind w:left="8" w:right="1" w:firstLine="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（2）供应商（以下称乙方）是指参加政府采购活动而取得中标结果，并向采购人提供货物、服务的法</w:t>
      </w:r>
      <w:r>
        <w:rPr>
          <w:rFonts w:hint="eastAsia" w:asciiTheme="minorEastAsia" w:hAnsiTheme="minorEastAsia" w:eastAsiaTheme="minorEastAsia" w:cstheme="minorEastAsia"/>
          <w:spacing w:val="8"/>
          <w:sz w:val="24"/>
          <w:szCs w:val="24"/>
        </w:rPr>
        <w:t>人、其他组织或者自然人。</w:t>
      </w:r>
    </w:p>
    <w:p w14:paraId="5A3327F6">
      <w:pPr>
        <w:pStyle w:val="2"/>
        <w:spacing w:before="204"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1.2</w:t>
      </w:r>
      <w:r>
        <w:rPr>
          <w:rFonts w:hint="eastAsia" w:asciiTheme="minorEastAsia" w:hAnsiTheme="minorEastAsia" w:eastAsiaTheme="minorEastAsia" w:cstheme="minorEastAsia"/>
          <w:spacing w:val="-35"/>
          <w:sz w:val="24"/>
          <w:szCs w:val="24"/>
        </w:rPr>
        <w:t xml:space="preserve"> </w:t>
      </w:r>
      <w:r>
        <w:rPr>
          <w:rFonts w:hint="eastAsia" w:asciiTheme="minorEastAsia" w:hAnsiTheme="minorEastAsia" w:eastAsiaTheme="minorEastAsia" w:cstheme="minorEastAsia"/>
          <w:spacing w:val="6"/>
          <w:sz w:val="24"/>
          <w:szCs w:val="24"/>
        </w:rPr>
        <w:t>本合同下列术语应解释为：</w:t>
      </w:r>
    </w:p>
    <w:p w14:paraId="380972E6">
      <w:pPr>
        <w:pStyle w:val="2"/>
        <w:spacing w:before="202" w:line="304" w:lineRule="auto"/>
        <w:ind w:left="23" w:right="1" w:firstLine="3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（1）“合同</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9"/>
          <w:sz w:val="24"/>
          <w:szCs w:val="24"/>
        </w:rPr>
        <w:t>”系指甲乙双方签署的、政府采购合同协议书中载明的甲乙双</w:t>
      </w:r>
      <w:r>
        <w:rPr>
          <w:rFonts w:hint="eastAsia" w:asciiTheme="minorEastAsia" w:hAnsiTheme="minorEastAsia" w:eastAsiaTheme="minorEastAsia" w:cstheme="minorEastAsia"/>
          <w:spacing w:val="8"/>
          <w:sz w:val="24"/>
          <w:szCs w:val="24"/>
        </w:rPr>
        <w:t>方所达成的协议，包括所有的附件、附录和上述文件所提到的构成合同的所有文件。</w:t>
      </w:r>
    </w:p>
    <w:p w14:paraId="2763D6AD">
      <w:pPr>
        <w:pStyle w:val="2"/>
        <w:spacing w:before="202"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（2）“合同价</w:t>
      </w:r>
      <w:r>
        <w:rPr>
          <w:rFonts w:hint="eastAsia" w:asciiTheme="minorEastAsia" w:hAnsiTheme="minorEastAsia" w:eastAsiaTheme="minorEastAsia" w:cstheme="minorEastAsia"/>
          <w:spacing w:val="-68"/>
          <w:sz w:val="24"/>
          <w:szCs w:val="24"/>
        </w:rPr>
        <w:t xml:space="preserve"> </w:t>
      </w:r>
      <w:r>
        <w:rPr>
          <w:rFonts w:hint="eastAsia" w:asciiTheme="minorEastAsia" w:hAnsiTheme="minorEastAsia" w:eastAsiaTheme="minorEastAsia" w:cstheme="minorEastAsia"/>
          <w:spacing w:val="9"/>
          <w:sz w:val="24"/>
          <w:szCs w:val="24"/>
        </w:rPr>
        <w:t>”系指根据本合同规定乙方在正确地完全</w:t>
      </w:r>
      <w:r>
        <w:rPr>
          <w:rFonts w:hint="eastAsia" w:asciiTheme="minorEastAsia" w:hAnsiTheme="minorEastAsia" w:eastAsiaTheme="minorEastAsia" w:cstheme="minorEastAsia"/>
          <w:spacing w:val="8"/>
          <w:sz w:val="24"/>
          <w:szCs w:val="24"/>
        </w:rPr>
        <w:t>履行合同义务后甲方应支付给乙方的价款。</w:t>
      </w:r>
    </w:p>
    <w:p w14:paraId="3D8245F2">
      <w:pPr>
        <w:pStyle w:val="2"/>
        <w:spacing w:before="206" w:line="303" w:lineRule="auto"/>
        <w:ind w:left="6" w:right="32"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（3）“货物</w:t>
      </w:r>
      <w:r>
        <w:rPr>
          <w:rFonts w:hint="eastAsia" w:asciiTheme="minorEastAsia" w:hAnsiTheme="minorEastAsia" w:eastAsiaTheme="minorEastAsia" w:cstheme="minorEastAsia"/>
          <w:spacing w:val="-63"/>
          <w:sz w:val="24"/>
          <w:szCs w:val="24"/>
        </w:rPr>
        <w:t xml:space="preserve"> </w:t>
      </w:r>
      <w:r>
        <w:rPr>
          <w:rFonts w:hint="eastAsia" w:asciiTheme="minorEastAsia" w:hAnsiTheme="minorEastAsia" w:eastAsiaTheme="minorEastAsia" w:cstheme="minorEastAsia"/>
          <w:spacing w:val="8"/>
          <w:sz w:val="24"/>
          <w:szCs w:val="24"/>
        </w:rPr>
        <w:t>”系指乙方根据本合同规定须向甲方提供的各种形态和种类的物品，包括原材料、设备、</w:t>
      </w:r>
      <w:r>
        <w:rPr>
          <w:rFonts w:hint="eastAsia" w:asciiTheme="minorEastAsia" w:hAnsiTheme="minorEastAsia" w:eastAsiaTheme="minorEastAsia" w:cstheme="minorEastAsia"/>
          <w:spacing w:val="9"/>
          <w:sz w:val="24"/>
          <w:szCs w:val="24"/>
        </w:rPr>
        <w:t>产品（包括软件）及相关的其备品备件、工具、手册及其它技术资料和材料。</w:t>
      </w:r>
    </w:p>
    <w:p w14:paraId="690C2923">
      <w:pPr>
        <w:pStyle w:val="2"/>
        <w:spacing w:before="204" w:line="329" w:lineRule="auto"/>
        <w:ind w:left="6" w:right="1"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（4）“服务</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9"/>
          <w:sz w:val="24"/>
          <w:szCs w:val="24"/>
        </w:rPr>
        <w:t>”系指根据合同规定，乙方应提供的技术、管理和其它服务，</w:t>
      </w:r>
      <w:r>
        <w:rPr>
          <w:rFonts w:hint="eastAsia" w:asciiTheme="minorEastAsia" w:hAnsiTheme="minorEastAsia" w:eastAsiaTheme="minorEastAsia" w:cstheme="minorEastAsia"/>
          <w:spacing w:val="8"/>
          <w:sz w:val="24"/>
          <w:szCs w:val="24"/>
        </w:rPr>
        <w:t>包括但不限于：管理和质量</w:t>
      </w:r>
      <w:r>
        <w:rPr>
          <w:rFonts w:hint="eastAsia" w:asciiTheme="minorEastAsia" w:hAnsiTheme="minorEastAsia" w:eastAsiaTheme="minorEastAsia" w:cstheme="minorEastAsia"/>
          <w:spacing w:val="10"/>
          <w:sz w:val="24"/>
          <w:szCs w:val="24"/>
        </w:rPr>
        <w:t>保证、运输、保险、检验、现场准备、安装、集成、调试、培训、维修、技术支</w:t>
      </w:r>
      <w:r>
        <w:rPr>
          <w:rFonts w:hint="eastAsia" w:asciiTheme="minorEastAsia" w:hAnsiTheme="minorEastAsia" w:eastAsiaTheme="minorEastAsia" w:cstheme="minorEastAsia"/>
          <w:spacing w:val="9"/>
          <w:sz w:val="24"/>
          <w:szCs w:val="24"/>
        </w:rPr>
        <w:t>持等以及合同中规定乙方</w:t>
      </w:r>
      <w:r>
        <w:rPr>
          <w:rFonts w:hint="eastAsia" w:asciiTheme="minorEastAsia" w:hAnsiTheme="minorEastAsia" w:eastAsiaTheme="minorEastAsia" w:cstheme="minorEastAsia"/>
          <w:spacing w:val="7"/>
          <w:sz w:val="24"/>
          <w:szCs w:val="24"/>
        </w:rPr>
        <w:t>应承担的其它义务。</w:t>
      </w:r>
    </w:p>
    <w:p w14:paraId="592282DD">
      <w:pPr>
        <w:pStyle w:val="2"/>
        <w:spacing w:before="202"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（5）“合同条款</w:t>
      </w:r>
      <w:r>
        <w:rPr>
          <w:rFonts w:hint="eastAsia" w:asciiTheme="minorEastAsia" w:hAnsiTheme="minorEastAsia" w:eastAsiaTheme="minorEastAsia" w:cstheme="minorEastAsia"/>
          <w:spacing w:val="-68"/>
          <w:sz w:val="24"/>
          <w:szCs w:val="24"/>
        </w:rPr>
        <w:t xml:space="preserve"> </w:t>
      </w:r>
      <w:r>
        <w:rPr>
          <w:rFonts w:hint="eastAsia" w:asciiTheme="minorEastAsia" w:hAnsiTheme="minorEastAsia" w:eastAsiaTheme="minorEastAsia" w:cstheme="minorEastAsia"/>
          <w:spacing w:val="8"/>
          <w:sz w:val="24"/>
          <w:szCs w:val="24"/>
        </w:rPr>
        <w:t>”系指本合同及其附件、补充文件约定的全部条款。</w:t>
      </w:r>
    </w:p>
    <w:p w14:paraId="0D08DDBD">
      <w:pPr>
        <w:pStyle w:val="2"/>
        <w:spacing w:before="204" w:line="329" w:lineRule="auto"/>
        <w:ind w:left="6" w:right="1" w:firstLine="410"/>
        <w:rPr>
          <w:rFonts w:hint="eastAsia" w:asciiTheme="minorEastAsia" w:hAnsiTheme="minorEastAsia" w:eastAsiaTheme="minorEastAsia" w:cstheme="minorEastAsia"/>
          <w:b/>
          <w:bCs/>
          <w:spacing w:val="9"/>
          <w:sz w:val="24"/>
          <w:szCs w:val="24"/>
        </w:rPr>
      </w:pPr>
      <w:r>
        <w:rPr>
          <w:rFonts w:hint="eastAsia" w:asciiTheme="minorEastAsia" w:hAnsiTheme="minorEastAsia" w:eastAsiaTheme="minorEastAsia" w:cstheme="minorEastAsia"/>
          <w:spacing w:val="9"/>
          <w:sz w:val="24"/>
          <w:szCs w:val="24"/>
        </w:rPr>
        <w:t>（6）“项目现场 ”系指本合同项下货物安装、运行的现场，其名称见</w:t>
      </w:r>
      <w:r>
        <w:rPr>
          <w:rFonts w:hint="eastAsia" w:asciiTheme="minorEastAsia" w:hAnsiTheme="minorEastAsia" w:eastAsiaTheme="minorEastAsia" w:cstheme="minorEastAsia"/>
          <w:b/>
          <w:bCs/>
          <w:spacing w:val="9"/>
          <w:sz w:val="24"/>
          <w:szCs w:val="24"/>
        </w:rPr>
        <w:t>【政府采购合同专用条款】。</w:t>
      </w:r>
    </w:p>
    <w:p w14:paraId="3145C601">
      <w:pPr>
        <w:pStyle w:val="2"/>
        <w:spacing w:before="205" w:line="229" w:lineRule="auto"/>
        <w:ind w:left="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2.合同的适用范围</w:t>
      </w:r>
    </w:p>
    <w:p w14:paraId="447E393D">
      <w:pPr>
        <w:pStyle w:val="2"/>
        <w:spacing w:before="204" w:line="227"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2.1 本合同条款适用于没有被本合同其他部分的</w:t>
      </w:r>
      <w:r>
        <w:rPr>
          <w:rFonts w:hint="eastAsia" w:asciiTheme="minorEastAsia" w:hAnsiTheme="minorEastAsia" w:eastAsiaTheme="minorEastAsia" w:cstheme="minorEastAsia"/>
          <w:spacing w:val="8"/>
          <w:sz w:val="24"/>
          <w:szCs w:val="24"/>
        </w:rPr>
        <w:t>条款所取代的范围。</w:t>
      </w:r>
    </w:p>
    <w:p w14:paraId="453F7BB1">
      <w:pPr>
        <w:pStyle w:val="2"/>
        <w:spacing w:before="205" w:line="228"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2.2 合同内容根据招标文件、投标文件而确定。</w:t>
      </w:r>
    </w:p>
    <w:p w14:paraId="2A1A5F54">
      <w:pPr>
        <w:pStyle w:val="2"/>
        <w:spacing w:before="205" w:line="228" w:lineRule="auto"/>
        <w:ind w:left="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3.合同标的及金额</w:t>
      </w:r>
    </w:p>
    <w:p w14:paraId="7DCC82D1">
      <w:pPr>
        <w:pStyle w:val="2"/>
        <w:spacing w:before="204" w:line="228" w:lineRule="auto"/>
        <w:ind w:left="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3.1 合同标的及金额应与中标结果一致。</w:t>
      </w:r>
    </w:p>
    <w:p w14:paraId="66B3B211">
      <w:pPr>
        <w:pStyle w:val="2"/>
        <w:spacing w:before="204" w:line="227" w:lineRule="auto"/>
        <w:ind w:left="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4.合同价款</w:t>
      </w:r>
    </w:p>
    <w:p w14:paraId="37B72374">
      <w:pPr>
        <w:pStyle w:val="2"/>
        <w:spacing w:before="206" w:line="379" w:lineRule="auto"/>
        <w:ind w:left="7" w:right="1" w:firstLine="39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4.1</w:t>
      </w:r>
      <w:r>
        <w:rPr>
          <w:rFonts w:hint="eastAsia" w:asciiTheme="minorEastAsia" w:hAnsiTheme="minorEastAsia" w:eastAsiaTheme="minorEastAsia" w:cstheme="minorEastAsia"/>
          <w:spacing w:val="-17"/>
          <w:sz w:val="24"/>
          <w:szCs w:val="24"/>
        </w:rPr>
        <w:t xml:space="preserve"> </w:t>
      </w:r>
      <w:r>
        <w:rPr>
          <w:rFonts w:hint="eastAsia" w:asciiTheme="minorEastAsia" w:hAnsiTheme="minorEastAsia" w:eastAsiaTheme="minorEastAsia" w:cstheme="minorEastAsia"/>
          <w:spacing w:val="7"/>
          <w:sz w:val="24"/>
          <w:szCs w:val="24"/>
        </w:rPr>
        <w:t>具体合同价款见本合同第</w:t>
      </w:r>
      <w:r>
        <w:rPr>
          <w:rFonts w:hint="eastAsia" w:asciiTheme="minorEastAsia" w:hAnsiTheme="minorEastAsia" w:eastAsiaTheme="minorEastAsia" w:cstheme="minorEastAsia"/>
          <w:spacing w:val="-33"/>
          <w:sz w:val="24"/>
          <w:szCs w:val="24"/>
        </w:rPr>
        <w:t xml:space="preserve"> </w:t>
      </w:r>
      <w:r>
        <w:rPr>
          <w:rFonts w:hint="eastAsia" w:asciiTheme="minorEastAsia" w:hAnsiTheme="minorEastAsia" w:eastAsiaTheme="minorEastAsia" w:cstheme="minorEastAsia"/>
          <w:spacing w:val="7"/>
          <w:sz w:val="24"/>
          <w:szCs w:val="24"/>
        </w:rPr>
        <w:t>3.1</w:t>
      </w:r>
      <w:r>
        <w:rPr>
          <w:rFonts w:hint="eastAsia" w:asciiTheme="minorEastAsia" w:hAnsiTheme="minorEastAsia" w:eastAsiaTheme="minorEastAsia" w:cstheme="minorEastAsia"/>
          <w:spacing w:val="-36"/>
          <w:sz w:val="24"/>
          <w:szCs w:val="24"/>
        </w:rPr>
        <w:t xml:space="preserve"> </w:t>
      </w:r>
      <w:r>
        <w:rPr>
          <w:rFonts w:hint="eastAsia" w:asciiTheme="minorEastAsia" w:hAnsiTheme="minorEastAsia" w:eastAsiaTheme="minorEastAsia" w:cstheme="minorEastAsia"/>
          <w:spacing w:val="7"/>
          <w:sz w:val="24"/>
          <w:szCs w:val="24"/>
        </w:rPr>
        <w:t>条。乙方为履行本合同而发生的所有费用均应包含在合同价款中，甲</w:t>
      </w:r>
      <w:r>
        <w:rPr>
          <w:rFonts w:hint="eastAsia" w:asciiTheme="minorEastAsia" w:hAnsiTheme="minorEastAsia" w:eastAsiaTheme="minorEastAsia" w:cstheme="minorEastAsia"/>
          <w:spacing w:val="8"/>
          <w:sz w:val="24"/>
          <w:szCs w:val="24"/>
        </w:rPr>
        <w:t>方不再另行支付其它任何费用。</w:t>
      </w:r>
    </w:p>
    <w:p w14:paraId="2E48EC9D">
      <w:pPr>
        <w:pStyle w:val="2"/>
        <w:spacing w:before="48" w:line="229" w:lineRule="auto"/>
        <w:ind w:left="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7"/>
          <w:sz w:val="24"/>
          <w:szCs w:val="24"/>
        </w:rPr>
        <w:t>5.履行合同的时间、地点和方式</w:t>
      </w:r>
    </w:p>
    <w:p w14:paraId="566593FB">
      <w:pPr>
        <w:pStyle w:val="2"/>
        <w:spacing w:before="203" w:line="303" w:lineRule="auto"/>
        <w:ind w:left="7" w:right="95" w:firstLine="40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5.1</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9"/>
          <w:sz w:val="24"/>
          <w:szCs w:val="24"/>
        </w:rPr>
        <w:t>乙方应当在甲方确定的时间、指定的地点履行合同，具体</w:t>
      </w:r>
      <w:r>
        <w:rPr>
          <w:rFonts w:hint="eastAsia" w:asciiTheme="minorEastAsia" w:hAnsiTheme="minorEastAsia" w:eastAsiaTheme="minorEastAsia" w:cstheme="minorEastAsia"/>
          <w:spacing w:val="8"/>
          <w:sz w:val="24"/>
          <w:szCs w:val="24"/>
        </w:rPr>
        <w:t>的交货时间、地点和方式见</w:t>
      </w:r>
      <w:r>
        <w:rPr>
          <w:rFonts w:hint="eastAsia" w:asciiTheme="minorEastAsia" w:hAnsiTheme="minorEastAsia" w:eastAsiaTheme="minorEastAsia" w:cstheme="minorEastAsia"/>
          <w:b/>
          <w:bCs/>
          <w:spacing w:val="8"/>
          <w:sz w:val="24"/>
          <w:szCs w:val="24"/>
        </w:rPr>
        <w:t>【政府采购</w:t>
      </w:r>
      <w:r>
        <w:rPr>
          <w:rFonts w:hint="eastAsia" w:asciiTheme="minorEastAsia" w:hAnsiTheme="minorEastAsia" w:eastAsiaTheme="minorEastAsia" w:cstheme="minorEastAsia"/>
          <w:b/>
          <w:bCs/>
          <w:spacing w:val="4"/>
          <w:sz w:val="24"/>
          <w:szCs w:val="24"/>
        </w:rPr>
        <w:t>合同专用条款】</w:t>
      </w:r>
      <w:r>
        <w:rPr>
          <w:rFonts w:hint="eastAsia" w:asciiTheme="minorEastAsia" w:hAnsiTheme="minorEastAsia" w:eastAsiaTheme="minorEastAsia" w:cstheme="minorEastAsia"/>
          <w:spacing w:val="4"/>
          <w:sz w:val="24"/>
          <w:szCs w:val="24"/>
        </w:rPr>
        <w:t>。</w:t>
      </w:r>
    </w:p>
    <w:p w14:paraId="7B501034">
      <w:pPr>
        <w:pStyle w:val="2"/>
        <w:spacing w:before="205" w:line="227" w:lineRule="auto"/>
        <w:ind w:left="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5.2</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8"/>
          <w:sz w:val="24"/>
          <w:szCs w:val="24"/>
        </w:rPr>
        <w:t>乙方提供服务的应当在甲方指定的时间和地点完</w:t>
      </w:r>
      <w:r>
        <w:rPr>
          <w:rFonts w:hint="eastAsia" w:asciiTheme="minorEastAsia" w:hAnsiTheme="minorEastAsia" w:eastAsiaTheme="minorEastAsia" w:cstheme="minorEastAsia"/>
          <w:spacing w:val="7"/>
          <w:sz w:val="24"/>
          <w:szCs w:val="24"/>
        </w:rPr>
        <w:t>成服务项目。</w:t>
      </w:r>
    </w:p>
    <w:p w14:paraId="02E20724">
      <w:pPr>
        <w:pStyle w:val="2"/>
        <w:spacing w:before="206" w:line="227" w:lineRule="auto"/>
        <w:ind w:left="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6.货物的验收</w:t>
      </w:r>
    </w:p>
    <w:p w14:paraId="0D2DC11A">
      <w:pPr>
        <w:pStyle w:val="2"/>
        <w:spacing w:before="205" w:line="227" w:lineRule="auto"/>
        <w:ind w:left="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6.1</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7"/>
          <w:sz w:val="24"/>
          <w:szCs w:val="24"/>
        </w:rPr>
        <w:t>甲方在收到乙方交付的货物后应当及时组织验收。</w:t>
      </w:r>
    </w:p>
    <w:p w14:paraId="75EAFAC7">
      <w:pPr>
        <w:pStyle w:val="2"/>
        <w:spacing w:before="171" w:line="303" w:lineRule="auto"/>
        <w:ind w:left="7" w:right="148" w:firstLine="40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6.2 货物的表面瑕疵，</w:t>
      </w:r>
      <w:r>
        <w:rPr>
          <w:rFonts w:hint="eastAsia" w:asciiTheme="minorEastAsia" w:hAnsiTheme="minorEastAsia" w:eastAsiaTheme="minorEastAsia" w:cstheme="minorEastAsia"/>
          <w:spacing w:val="-53"/>
          <w:sz w:val="24"/>
          <w:szCs w:val="24"/>
        </w:rPr>
        <w:t xml:space="preserve"> </w:t>
      </w:r>
      <w:r>
        <w:rPr>
          <w:rFonts w:hint="eastAsia" w:asciiTheme="minorEastAsia" w:hAnsiTheme="minorEastAsia" w:eastAsiaTheme="minorEastAsia" w:cstheme="minorEastAsia"/>
          <w:spacing w:val="9"/>
          <w:sz w:val="24"/>
          <w:szCs w:val="24"/>
        </w:rPr>
        <w:t>甲方应在验收时</w:t>
      </w:r>
      <w:r>
        <w:rPr>
          <w:rFonts w:hint="eastAsia" w:asciiTheme="minorEastAsia" w:hAnsiTheme="minorEastAsia" w:eastAsiaTheme="minorEastAsia" w:cstheme="minorEastAsia"/>
          <w:spacing w:val="8"/>
          <w:sz w:val="24"/>
          <w:szCs w:val="24"/>
        </w:rPr>
        <w:t>当面提出；对质量问题有异议的应在安装调试后十个工作日内</w:t>
      </w:r>
      <w:r>
        <w:rPr>
          <w:rFonts w:hint="eastAsia" w:asciiTheme="minorEastAsia" w:hAnsiTheme="minorEastAsia" w:eastAsiaTheme="minorEastAsia" w:cstheme="minorEastAsia"/>
          <w:spacing w:val="3"/>
          <w:sz w:val="24"/>
          <w:szCs w:val="24"/>
        </w:rPr>
        <w:t>提出。</w:t>
      </w:r>
    </w:p>
    <w:p w14:paraId="6638225F">
      <w:pPr>
        <w:pStyle w:val="2"/>
        <w:spacing w:before="202" w:line="303" w:lineRule="auto"/>
        <w:ind w:left="9" w:right="148" w:firstLine="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6.3 在验收过程中发现数量不足或有质量、技术等问题，乙方应负责按照甲方的要求采取补足、更换或退货等处理措施，并承担由此发生的一切费用和损失。</w:t>
      </w:r>
    </w:p>
    <w:p w14:paraId="3C55C373">
      <w:pPr>
        <w:pStyle w:val="2"/>
        <w:spacing w:before="205" w:line="303" w:lineRule="auto"/>
        <w:ind w:left="6" w:firstLine="4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6.4</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8"/>
          <w:sz w:val="24"/>
          <w:szCs w:val="24"/>
        </w:rPr>
        <w:t>甲方在乙方按合同规定交货或安装、调试后，无正当理由</w:t>
      </w:r>
      <w:r>
        <w:rPr>
          <w:rFonts w:hint="eastAsia" w:asciiTheme="minorEastAsia" w:hAnsiTheme="minorEastAsia" w:eastAsiaTheme="minorEastAsia" w:cstheme="minorEastAsia"/>
          <w:spacing w:val="7"/>
          <w:sz w:val="24"/>
          <w:szCs w:val="24"/>
        </w:rPr>
        <w:t>而拖延接收、验收或拒绝接收、验收的，</w:t>
      </w:r>
      <w:r>
        <w:rPr>
          <w:rFonts w:hint="eastAsia" w:asciiTheme="minorEastAsia" w:hAnsiTheme="minorEastAsia" w:eastAsiaTheme="minorEastAsia" w:cstheme="minorEastAsia"/>
          <w:spacing w:val="8"/>
          <w:sz w:val="24"/>
          <w:szCs w:val="24"/>
        </w:rPr>
        <w:t>应承担因此给乙方造成的直接损失。</w:t>
      </w:r>
    </w:p>
    <w:p w14:paraId="1E69DCEE">
      <w:pPr>
        <w:pStyle w:val="2"/>
        <w:spacing w:before="203" w:line="303" w:lineRule="auto"/>
        <w:ind w:left="22" w:right="148" w:firstLine="38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6.5</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9"/>
          <w:sz w:val="24"/>
          <w:szCs w:val="24"/>
        </w:rPr>
        <w:t>甲方对货物进行检查验收合格后，应当收取发票并在《交货验收</w:t>
      </w:r>
      <w:r>
        <w:rPr>
          <w:rFonts w:hint="eastAsia" w:asciiTheme="minorEastAsia" w:hAnsiTheme="minorEastAsia" w:eastAsiaTheme="minorEastAsia" w:cstheme="minorEastAsia"/>
          <w:spacing w:val="8"/>
          <w:sz w:val="24"/>
          <w:szCs w:val="24"/>
        </w:rPr>
        <w:t>单》上签署验收意见及加盖单位</w:t>
      </w:r>
      <w:r>
        <w:rPr>
          <w:rFonts w:hint="eastAsia" w:asciiTheme="minorEastAsia" w:hAnsiTheme="minorEastAsia" w:eastAsiaTheme="minorEastAsia" w:cstheme="minorEastAsia"/>
          <w:spacing w:val="-2"/>
          <w:sz w:val="24"/>
          <w:szCs w:val="24"/>
        </w:rPr>
        <w:t>印章。</w:t>
      </w:r>
    </w:p>
    <w:p w14:paraId="53CF8893">
      <w:pPr>
        <w:pStyle w:val="2"/>
        <w:spacing w:before="205" w:line="302" w:lineRule="auto"/>
        <w:ind w:left="10" w:right="148" w:firstLine="3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6.6 大型或者复杂的货物采购项目，</w:t>
      </w:r>
      <w:r>
        <w:rPr>
          <w:rFonts w:hint="eastAsia" w:asciiTheme="minorEastAsia" w:hAnsiTheme="minorEastAsia" w:eastAsiaTheme="minorEastAsia" w:cstheme="minorEastAsia"/>
          <w:spacing w:val="-53"/>
          <w:sz w:val="24"/>
          <w:szCs w:val="24"/>
        </w:rPr>
        <w:t xml:space="preserve"> </w:t>
      </w:r>
      <w:r>
        <w:rPr>
          <w:rFonts w:hint="eastAsia" w:asciiTheme="minorEastAsia" w:hAnsiTheme="minorEastAsia" w:eastAsiaTheme="minorEastAsia" w:cstheme="minorEastAsia"/>
          <w:spacing w:val="9"/>
          <w:sz w:val="24"/>
          <w:szCs w:val="24"/>
        </w:rPr>
        <w:t>甲</w:t>
      </w:r>
      <w:r>
        <w:rPr>
          <w:rFonts w:hint="eastAsia" w:asciiTheme="minorEastAsia" w:hAnsiTheme="minorEastAsia" w:eastAsiaTheme="minorEastAsia" w:cstheme="minorEastAsia"/>
          <w:spacing w:val="8"/>
          <w:sz w:val="24"/>
          <w:szCs w:val="24"/>
        </w:rPr>
        <w:t>方可以邀请国家认可的质量检测机构参加验收工作，并由其出</w:t>
      </w:r>
      <w:r>
        <w:rPr>
          <w:rFonts w:hint="eastAsia" w:asciiTheme="minorEastAsia" w:hAnsiTheme="minorEastAsia" w:eastAsiaTheme="minorEastAsia" w:cstheme="minorEastAsia"/>
          <w:spacing w:val="6"/>
          <w:sz w:val="24"/>
          <w:szCs w:val="24"/>
        </w:rPr>
        <w:t>具验收报告单。</w:t>
      </w:r>
    </w:p>
    <w:p w14:paraId="6BBA0207">
      <w:pPr>
        <w:pStyle w:val="2"/>
        <w:spacing w:before="205" w:line="303" w:lineRule="auto"/>
        <w:ind w:left="6" w:right="148" w:firstLine="40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6.7</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9"/>
          <w:sz w:val="24"/>
          <w:szCs w:val="24"/>
        </w:rPr>
        <w:t>乙方提供的进口产品，乙方应出示中华人民共和国进出口商品检验部门出具的</w:t>
      </w:r>
      <w:r>
        <w:rPr>
          <w:rFonts w:hint="eastAsia" w:asciiTheme="minorEastAsia" w:hAnsiTheme="minorEastAsia" w:eastAsiaTheme="minorEastAsia" w:cstheme="minorEastAsia"/>
          <w:spacing w:val="8"/>
          <w:sz w:val="24"/>
          <w:szCs w:val="24"/>
        </w:rPr>
        <w:t>检验证书（招标文件第五章采购需求另有约定的除外）。</w:t>
      </w:r>
    </w:p>
    <w:p w14:paraId="73A8FE5D">
      <w:pPr>
        <w:pStyle w:val="2"/>
        <w:spacing w:before="206" w:line="227" w:lineRule="auto"/>
        <w:ind w:left="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7.货物包装要求</w:t>
      </w:r>
    </w:p>
    <w:p w14:paraId="17F9E06A">
      <w:pPr>
        <w:pStyle w:val="2"/>
        <w:spacing w:before="205" w:line="328" w:lineRule="auto"/>
        <w:ind w:left="9" w:right="181" w:firstLine="40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7.1</w:t>
      </w:r>
      <w:r>
        <w:rPr>
          <w:rFonts w:hint="eastAsia" w:asciiTheme="minorEastAsia" w:hAnsiTheme="minorEastAsia" w:eastAsiaTheme="minorEastAsia" w:cstheme="minorEastAsia"/>
          <w:spacing w:val="33"/>
          <w:sz w:val="24"/>
          <w:szCs w:val="24"/>
        </w:rPr>
        <w:t xml:space="preserve"> </w:t>
      </w:r>
      <w:r>
        <w:rPr>
          <w:rFonts w:hint="eastAsia" w:asciiTheme="minorEastAsia" w:hAnsiTheme="minorEastAsia" w:eastAsiaTheme="minorEastAsia" w:cstheme="minorEastAsia"/>
          <w:spacing w:val="8"/>
          <w:sz w:val="24"/>
          <w:szCs w:val="24"/>
        </w:rPr>
        <w:t>乙方所出售的全部货物均应按标准保护措施进行包装，包装应适应于远距离运输、防潮、防震、防锈和防野蛮装卸等要求，以确保货物安全无损地运抵指定现场。</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8"/>
          <w:sz w:val="24"/>
          <w:szCs w:val="24"/>
        </w:rPr>
        <w:t>由于包装防护措施不妥而引起的损坏、</w:t>
      </w:r>
      <w:r>
        <w:rPr>
          <w:rFonts w:hint="eastAsia" w:asciiTheme="minorEastAsia" w:hAnsiTheme="minorEastAsia" w:eastAsiaTheme="minorEastAsia" w:cstheme="minorEastAsia"/>
          <w:spacing w:val="7"/>
          <w:sz w:val="24"/>
          <w:szCs w:val="24"/>
        </w:rPr>
        <w:t>丢失由乙方负责。</w:t>
      </w:r>
    </w:p>
    <w:p w14:paraId="59975202">
      <w:pPr>
        <w:pStyle w:val="2"/>
        <w:spacing w:before="205" w:line="227" w:lineRule="auto"/>
        <w:ind w:left="41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7.2 每一个包装箱内应附一份详细装箱单、</w:t>
      </w:r>
      <w:r>
        <w:rPr>
          <w:rFonts w:hint="eastAsia" w:asciiTheme="minorEastAsia" w:hAnsiTheme="minorEastAsia" w:eastAsiaTheme="minorEastAsia" w:cstheme="minorEastAsia"/>
          <w:spacing w:val="8"/>
          <w:sz w:val="24"/>
          <w:szCs w:val="24"/>
        </w:rPr>
        <w:t>质量证书和保修保养证书。</w:t>
      </w:r>
    </w:p>
    <w:p w14:paraId="1238157D">
      <w:pPr>
        <w:pStyle w:val="2"/>
        <w:spacing w:before="205" w:line="228" w:lineRule="auto"/>
        <w:ind w:left="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8.运输和保险</w:t>
      </w:r>
    </w:p>
    <w:p w14:paraId="2362F4DB">
      <w:pPr>
        <w:pStyle w:val="2"/>
        <w:spacing w:before="205" w:line="302" w:lineRule="auto"/>
        <w:ind w:left="12" w:right="52" w:firstLine="39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8.1</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7"/>
          <w:sz w:val="24"/>
          <w:szCs w:val="24"/>
        </w:rPr>
        <w:t>乙方负责办理将货物运抵本合同第</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7"/>
          <w:sz w:val="24"/>
          <w:szCs w:val="24"/>
        </w:rPr>
        <w:t>5.1</w:t>
      </w:r>
      <w:r>
        <w:rPr>
          <w:rFonts w:hint="eastAsia" w:asciiTheme="minorEastAsia" w:hAnsiTheme="minorEastAsia" w:eastAsiaTheme="minorEastAsia" w:cstheme="minorEastAsia"/>
          <w:spacing w:val="-37"/>
          <w:sz w:val="24"/>
          <w:szCs w:val="24"/>
        </w:rPr>
        <w:t xml:space="preserve"> </w:t>
      </w:r>
      <w:r>
        <w:rPr>
          <w:rFonts w:hint="eastAsia" w:asciiTheme="minorEastAsia" w:hAnsiTheme="minorEastAsia" w:eastAsiaTheme="minorEastAsia" w:cstheme="minorEastAsia"/>
          <w:spacing w:val="7"/>
          <w:sz w:val="24"/>
          <w:szCs w:val="24"/>
        </w:rPr>
        <w:t>条规定的交货地点的一切运输事项，相关费用应包括在合同</w:t>
      </w:r>
      <w:r>
        <w:rPr>
          <w:rFonts w:hint="eastAsia" w:asciiTheme="minorEastAsia" w:hAnsiTheme="minorEastAsia" w:eastAsiaTheme="minorEastAsia" w:cstheme="minorEastAsia"/>
          <w:spacing w:val="4"/>
          <w:sz w:val="24"/>
          <w:szCs w:val="24"/>
        </w:rPr>
        <w:t>总价中。</w:t>
      </w:r>
    </w:p>
    <w:p w14:paraId="6C96A2A1">
      <w:pPr>
        <w:pStyle w:val="2"/>
        <w:spacing w:before="205" w:line="302" w:lineRule="auto"/>
        <w:ind w:left="12" w:right="52" w:firstLine="396"/>
        <w:rPr>
          <w:rFonts w:hint="eastAsia" w:asciiTheme="minorEastAsia" w:hAnsiTheme="minorEastAsia" w:eastAsiaTheme="minorEastAsia" w:cstheme="minorEastAsia"/>
          <w:spacing w:val="7"/>
          <w:sz w:val="24"/>
          <w:szCs w:val="24"/>
        </w:rPr>
      </w:pPr>
      <w:r>
        <w:rPr>
          <w:rFonts w:hint="eastAsia" w:asciiTheme="minorEastAsia" w:hAnsiTheme="minorEastAsia" w:eastAsiaTheme="minorEastAsia" w:cstheme="minorEastAsia"/>
          <w:spacing w:val="7"/>
          <w:sz w:val="24"/>
          <w:szCs w:val="24"/>
        </w:rPr>
        <w:t>8.2 乙方应向保险公司投保以甲方为受益人的发运合同货物发票金额的 110％运输一切险。</w:t>
      </w:r>
    </w:p>
    <w:p w14:paraId="6333A87E">
      <w:pPr>
        <w:pStyle w:val="2"/>
        <w:spacing w:before="205" w:line="229" w:lineRule="auto"/>
        <w:ind w:left="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9.质量标准和保证</w:t>
      </w:r>
    </w:p>
    <w:p w14:paraId="2A00C06D">
      <w:pPr>
        <w:pStyle w:val="2"/>
        <w:spacing w:before="204" w:line="229" w:lineRule="auto"/>
        <w:ind w:left="40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9.1 质量标准</w:t>
      </w:r>
    </w:p>
    <w:p w14:paraId="5D0BD4FF">
      <w:pPr>
        <w:pStyle w:val="2"/>
        <w:spacing w:before="202" w:line="303" w:lineRule="auto"/>
        <w:ind w:left="6" w:right="51" w:firstLine="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（1）本合同下交付的货物应符合招标文件第四章“技术规格、参数与要求</w:t>
      </w:r>
      <w:r>
        <w:rPr>
          <w:rFonts w:hint="eastAsia" w:asciiTheme="minorEastAsia" w:hAnsiTheme="minorEastAsia" w:eastAsiaTheme="minorEastAsia" w:cstheme="minorEastAsia"/>
          <w:spacing w:val="-69"/>
          <w:sz w:val="24"/>
          <w:szCs w:val="24"/>
        </w:rPr>
        <w:t xml:space="preserve"> </w:t>
      </w:r>
      <w:r>
        <w:rPr>
          <w:rFonts w:hint="eastAsia" w:asciiTheme="minorEastAsia" w:hAnsiTheme="minorEastAsia" w:eastAsiaTheme="minorEastAsia" w:cstheme="minorEastAsia"/>
          <w:spacing w:val="9"/>
          <w:sz w:val="24"/>
          <w:szCs w:val="24"/>
        </w:rPr>
        <w:t>”所述</w:t>
      </w:r>
      <w:r>
        <w:rPr>
          <w:rFonts w:hint="eastAsia" w:asciiTheme="minorEastAsia" w:hAnsiTheme="minorEastAsia" w:eastAsiaTheme="minorEastAsia" w:cstheme="minorEastAsia"/>
          <w:spacing w:val="8"/>
          <w:sz w:val="24"/>
          <w:szCs w:val="24"/>
        </w:rPr>
        <w:t>的标准。如果没有提</w:t>
      </w:r>
      <w:r>
        <w:rPr>
          <w:rFonts w:hint="eastAsia" w:asciiTheme="minorEastAsia" w:hAnsiTheme="minorEastAsia" w:eastAsiaTheme="minorEastAsia" w:cstheme="minorEastAsia"/>
          <w:spacing w:val="9"/>
          <w:sz w:val="24"/>
          <w:szCs w:val="24"/>
        </w:rPr>
        <w:t>及适用标准，则应符合中华人民共和国有关机构发布的最新版本的标准。</w:t>
      </w:r>
    </w:p>
    <w:p w14:paraId="6CD2AE95">
      <w:pPr>
        <w:pStyle w:val="2"/>
        <w:spacing w:before="206"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（2）采用中华人民共和国法定计量单位。</w:t>
      </w:r>
    </w:p>
    <w:p w14:paraId="27589A00">
      <w:pPr>
        <w:pStyle w:val="2"/>
        <w:spacing w:before="206"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（3）乙方所出售的货物还应符合国家有关安全、环保、卫生</w:t>
      </w:r>
      <w:r>
        <w:rPr>
          <w:rFonts w:hint="eastAsia" w:asciiTheme="minorEastAsia" w:hAnsiTheme="minorEastAsia" w:eastAsiaTheme="minorEastAsia" w:cstheme="minorEastAsia"/>
          <w:spacing w:val="8"/>
          <w:sz w:val="24"/>
          <w:szCs w:val="24"/>
        </w:rPr>
        <w:t>之规定。</w:t>
      </w:r>
    </w:p>
    <w:p w14:paraId="14E49482">
      <w:pPr>
        <w:pStyle w:val="2"/>
        <w:spacing w:before="205" w:line="229" w:lineRule="auto"/>
        <w:ind w:left="40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9.2</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3"/>
          <w:sz w:val="24"/>
          <w:szCs w:val="24"/>
        </w:rPr>
        <w:t>保证</w:t>
      </w:r>
    </w:p>
    <w:p w14:paraId="247D1BBF">
      <w:pPr>
        <w:pStyle w:val="2"/>
        <w:spacing w:before="204" w:line="340" w:lineRule="auto"/>
        <w:ind w:left="6" w:right="82"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（1）乙方应保证所供货物是全新的、未使用过的，并完全符合合同规定</w:t>
      </w:r>
      <w:r>
        <w:rPr>
          <w:rFonts w:hint="eastAsia" w:asciiTheme="minorEastAsia" w:hAnsiTheme="minorEastAsia" w:eastAsiaTheme="minorEastAsia" w:cstheme="minorEastAsia"/>
          <w:spacing w:val="8"/>
          <w:sz w:val="24"/>
          <w:szCs w:val="24"/>
        </w:rPr>
        <w:t>的质量、规格和性能的要求。</w:t>
      </w:r>
      <w:r>
        <w:rPr>
          <w:rFonts w:hint="eastAsia" w:asciiTheme="minorEastAsia" w:hAnsiTheme="minorEastAsia" w:eastAsiaTheme="minorEastAsia" w:cstheme="minorEastAsia"/>
          <w:spacing w:val="10"/>
          <w:sz w:val="24"/>
          <w:szCs w:val="24"/>
        </w:rPr>
        <w:t>乙方应保证其货物在正确安装、正常使用和保养条件下，在其使用寿命期内应具</w:t>
      </w:r>
      <w:r>
        <w:rPr>
          <w:rFonts w:hint="eastAsia" w:asciiTheme="minorEastAsia" w:hAnsiTheme="minorEastAsia" w:eastAsiaTheme="minorEastAsia" w:cstheme="minorEastAsia"/>
          <w:spacing w:val="9"/>
          <w:sz w:val="24"/>
          <w:szCs w:val="24"/>
        </w:rPr>
        <w:t>有满意的性能，或者没有</w:t>
      </w:r>
      <w:r>
        <w:rPr>
          <w:rFonts w:hint="eastAsia" w:asciiTheme="minorEastAsia" w:hAnsiTheme="minorEastAsia" w:eastAsiaTheme="minorEastAsia" w:cstheme="minorEastAsia"/>
          <w:spacing w:val="10"/>
          <w:sz w:val="24"/>
          <w:szCs w:val="24"/>
        </w:rPr>
        <w:t>因乙方的行为或疏忽而产生的缺陷。在货物最终</w:t>
      </w:r>
      <w:r>
        <w:rPr>
          <w:rFonts w:hint="eastAsia" w:asciiTheme="minorEastAsia" w:hAnsiTheme="minorEastAsia" w:eastAsiaTheme="minorEastAsia" w:cstheme="minorEastAsia"/>
          <w:spacing w:val="9"/>
          <w:sz w:val="24"/>
          <w:szCs w:val="24"/>
        </w:rPr>
        <w:t>交付验收后不少于</w:t>
      </w:r>
      <w:r>
        <w:rPr>
          <w:rFonts w:hint="eastAsia" w:asciiTheme="minorEastAsia" w:hAnsiTheme="minorEastAsia" w:eastAsiaTheme="minorEastAsia" w:cstheme="minorEastAsia"/>
          <w:b/>
          <w:bCs/>
          <w:spacing w:val="9"/>
          <w:sz w:val="24"/>
          <w:szCs w:val="24"/>
        </w:rPr>
        <w:t>【政府采购合同专用条款】</w:t>
      </w:r>
      <w:r>
        <w:rPr>
          <w:rFonts w:hint="eastAsia" w:asciiTheme="minorEastAsia" w:hAnsiTheme="minorEastAsia" w:eastAsiaTheme="minorEastAsia" w:cstheme="minorEastAsia"/>
          <w:spacing w:val="9"/>
          <w:sz w:val="24"/>
          <w:szCs w:val="24"/>
        </w:rPr>
        <w:t>规定或乙方承诺（两者以较长的为准）的质量保证期内，本保证保持有效。</w:t>
      </w:r>
    </w:p>
    <w:p w14:paraId="1E344508">
      <w:pPr>
        <w:pStyle w:val="2"/>
        <w:spacing w:before="206"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（2）在质量保证期内所发现的缺陷，</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甲方应</w:t>
      </w:r>
      <w:r>
        <w:rPr>
          <w:rFonts w:hint="eastAsia" w:asciiTheme="minorEastAsia" w:hAnsiTheme="minorEastAsia" w:eastAsiaTheme="minorEastAsia" w:cstheme="minorEastAsia"/>
          <w:spacing w:val="7"/>
          <w:sz w:val="24"/>
          <w:szCs w:val="24"/>
        </w:rPr>
        <w:t>尽快以书面形式通知乙方。</w:t>
      </w:r>
    </w:p>
    <w:p w14:paraId="1DA6C80B">
      <w:pPr>
        <w:pStyle w:val="2"/>
        <w:spacing w:before="170" w:line="303" w:lineRule="auto"/>
        <w:ind w:left="7" w:right="52" w:firstLine="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（3）乙方收到通知后应在</w:t>
      </w:r>
      <w:r>
        <w:rPr>
          <w:rFonts w:hint="eastAsia" w:asciiTheme="minorEastAsia" w:hAnsiTheme="minorEastAsia" w:eastAsiaTheme="minorEastAsia" w:cstheme="minorEastAsia"/>
          <w:b/>
          <w:bCs/>
          <w:spacing w:val="9"/>
          <w:sz w:val="24"/>
          <w:szCs w:val="24"/>
        </w:rPr>
        <w:t>【政府采购合同专用条款】</w:t>
      </w:r>
      <w:r>
        <w:rPr>
          <w:rFonts w:hint="eastAsia" w:asciiTheme="minorEastAsia" w:hAnsiTheme="minorEastAsia" w:eastAsiaTheme="minorEastAsia" w:cstheme="minorEastAsia"/>
          <w:spacing w:val="9"/>
          <w:sz w:val="24"/>
          <w:szCs w:val="24"/>
        </w:rPr>
        <w:t>规定的响应时间内以合理的速度</w:t>
      </w:r>
      <w:r>
        <w:rPr>
          <w:rFonts w:hint="eastAsia" w:asciiTheme="minorEastAsia" w:hAnsiTheme="minorEastAsia" w:eastAsiaTheme="minorEastAsia" w:cstheme="minorEastAsia"/>
          <w:spacing w:val="8"/>
          <w:sz w:val="24"/>
          <w:szCs w:val="24"/>
        </w:rPr>
        <w:t>免费维修或更换有缺陷的货物或部件。</w:t>
      </w:r>
    </w:p>
    <w:p w14:paraId="0976A2A0">
      <w:pPr>
        <w:pStyle w:val="2"/>
        <w:spacing w:before="204" w:line="303" w:lineRule="auto"/>
        <w:ind w:left="9" w:right="51" w:firstLine="40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（4）在质量保证期内，如果货物的质量或规格与合同不符，或证实货物是有缺陷的，包括潜在的缺陷</w:t>
      </w:r>
      <w:r>
        <w:rPr>
          <w:rFonts w:hint="eastAsia" w:asciiTheme="minorEastAsia" w:hAnsiTheme="minorEastAsia" w:eastAsiaTheme="minorEastAsia" w:cstheme="minorEastAsia"/>
          <w:spacing w:val="8"/>
          <w:sz w:val="24"/>
          <w:szCs w:val="24"/>
        </w:rPr>
        <w:t>或使用不符合要求的材料等，</w:t>
      </w:r>
      <w:r>
        <w:rPr>
          <w:rFonts w:hint="eastAsia" w:asciiTheme="minorEastAsia" w:hAnsiTheme="minorEastAsia" w:eastAsiaTheme="minorEastAsia" w:cstheme="minorEastAsia"/>
          <w:spacing w:val="-41"/>
          <w:sz w:val="24"/>
          <w:szCs w:val="24"/>
        </w:rPr>
        <w:t xml:space="preserve"> </w:t>
      </w:r>
      <w:r>
        <w:rPr>
          <w:rFonts w:hint="eastAsia" w:asciiTheme="minorEastAsia" w:hAnsiTheme="minorEastAsia" w:eastAsiaTheme="minorEastAsia" w:cstheme="minorEastAsia"/>
          <w:spacing w:val="8"/>
          <w:sz w:val="24"/>
          <w:szCs w:val="24"/>
        </w:rPr>
        <w:t>甲方可以根据本合同第15.1条规定以书面形式向乙方提出补救措施或索赔。</w:t>
      </w:r>
    </w:p>
    <w:p w14:paraId="251D0232">
      <w:pPr>
        <w:pStyle w:val="2"/>
        <w:spacing w:before="205" w:line="303" w:lineRule="auto"/>
        <w:ind w:left="32" w:firstLine="3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（5）乙方在约定的时间内未能弥补缺陷，甲方可采取必要的补救措施，但其风险和费用将由乙方承担，</w:t>
      </w:r>
      <w:r>
        <w:rPr>
          <w:rFonts w:hint="eastAsia" w:asciiTheme="minorEastAsia" w:hAnsiTheme="minorEastAsia" w:eastAsiaTheme="minorEastAsia" w:cstheme="minorEastAsia"/>
          <w:spacing w:val="8"/>
          <w:sz w:val="24"/>
          <w:szCs w:val="24"/>
        </w:rPr>
        <w:t>甲方根据合同规定对乙方行使的其他权利不受影响。</w:t>
      </w:r>
    </w:p>
    <w:p w14:paraId="2B160F42">
      <w:pPr>
        <w:pStyle w:val="2"/>
        <w:spacing w:before="204" w:line="228"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10.权利瑕疵担保</w:t>
      </w:r>
    </w:p>
    <w:p w14:paraId="43EB2A60">
      <w:pPr>
        <w:pStyle w:val="2"/>
        <w:spacing w:before="204"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10.1</w:t>
      </w:r>
      <w:r>
        <w:rPr>
          <w:rFonts w:hint="eastAsia" w:asciiTheme="minorEastAsia" w:hAnsiTheme="minorEastAsia" w:eastAsiaTheme="minorEastAsia" w:cstheme="minorEastAsia"/>
          <w:spacing w:val="42"/>
          <w:sz w:val="24"/>
          <w:szCs w:val="24"/>
        </w:rPr>
        <w:t xml:space="preserve"> </w:t>
      </w:r>
      <w:r>
        <w:rPr>
          <w:rFonts w:hint="eastAsia" w:asciiTheme="minorEastAsia" w:hAnsiTheme="minorEastAsia" w:eastAsiaTheme="minorEastAsia" w:cstheme="minorEastAsia"/>
          <w:spacing w:val="6"/>
          <w:sz w:val="24"/>
          <w:szCs w:val="24"/>
        </w:rPr>
        <w:t>乙方保证对其出售的货物享有合法的权利。</w:t>
      </w:r>
    </w:p>
    <w:p w14:paraId="07F8059A">
      <w:pPr>
        <w:pStyle w:val="2"/>
        <w:spacing w:before="205" w:line="303" w:lineRule="auto"/>
        <w:ind w:left="8" w:right="51" w:firstLine="41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10.2</w:t>
      </w:r>
      <w:r>
        <w:rPr>
          <w:rFonts w:hint="eastAsia" w:asciiTheme="minorEastAsia" w:hAnsiTheme="minorEastAsia" w:eastAsiaTheme="minorEastAsia" w:cstheme="minorEastAsia"/>
          <w:spacing w:val="50"/>
          <w:sz w:val="24"/>
          <w:szCs w:val="24"/>
        </w:rPr>
        <w:t xml:space="preserve"> </w:t>
      </w:r>
      <w:r>
        <w:rPr>
          <w:rFonts w:hint="eastAsia" w:asciiTheme="minorEastAsia" w:hAnsiTheme="minorEastAsia" w:eastAsiaTheme="minorEastAsia" w:cstheme="minorEastAsia"/>
          <w:spacing w:val="8"/>
          <w:sz w:val="24"/>
          <w:szCs w:val="24"/>
        </w:rPr>
        <w:t>乙方保证在其出售的货物上不存在任何未曾向甲方透露的担保物权，如抵押权、质押权、留置权</w:t>
      </w:r>
      <w:r>
        <w:rPr>
          <w:rFonts w:hint="eastAsia" w:asciiTheme="minorEastAsia" w:hAnsiTheme="minorEastAsia" w:eastAsiaTheme="minorEastAsia" w:cstheme="minorEastAsia"/>
          <w:spacing w:val="-1"/>
          <w:sz w:val="24"/>
          <w:szCs w:val="24"/>
        </w:rPr>
        <w:t>等。</w:t>
      </w:r>
    </w:p>
    <w:p w14:paraId="7A1B0CC5">
      <w:pPr>
        <w:pStyle w:val="2"/>
        <w:spacing w:before="204"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10.3 如甲方使用该货物构成上述侵权的，则由乙方承担全部责任。</w:t>
      </w:r>
    </w:p>
    <w:p w14:paraId="02320019">
      <w:pPr>
        <w:pStyle w:val="2"/>
        <w:spacing w:before="206" w:line="228"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11.知识产权保护</w:t>
      </w:r>
    </w:p>
    <w:p w14:paraId="644F9324">
      <w:pPr>
        <w:pStyle w:val="2"/>
        <w:spacing w:before="204" w:line="303" w:lineRule="auto"/>
        <w:ind w:left="6" w:right="52" w:firstLine="4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11.1</w:t>
      </w:r>
      <w:r>
        <w:rPr>
          <w:rFonts w:hint="eastAsia" w:asciiTheme="minorEastAsia" w:hAnsiTheme="minorEastAsia" w:eastAsiaTheme="minorEastAsia" w:cstheme="minorEastAsia"/>
          <w:spacing w:val="49"/>
          <w:w w:val="101"/>
          <w:sz w:val="24"/>
          <w:szCs w:val="24"/>
        </w:rPr>
        <w:t xml:space="preserve"> </w:t>
      </w:r>
      <w:r>
        <w:rPr>
          <w:rFonts w:hint="eastAsia" w:asciiTheme="minorEastAsia" w:hAnsiTheme="minorEastAsia" w:eastAsiaTheme="minorEastAsia" w:cstheme="minorEastAsia"/>
          <w:spacing w:val="8"/>
          <w:sz w:val="24"/>
          <w:szCs w:val="24"/>
        </w:rPr>
        <w:t>乙方对其所销售的货物应当享有知识产权或经权利人合法授权，保证没有侵犯任何第三人的知识产权和商业秘密等权利。</w:t>
      </w:r>
    </w:p>
    <w:p w14:paraId="64724703">
      <w:pPr>
        <w:pStyle w:val="2"/>
        <w:spacing w:before="204" w:line="303" w:lineRule="auto"/>
        <w:ind w:left="23" w:right="51" w:firstLine="39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11.2</w:t>
      </w:r>
      <w:r>
        <w:rPr>
          <w:rFonts w:hint="eastAsia" w:asciiTheme="minorEastAsia" w:hAnsiTheme="minorEastAsia" w:eastAsiaTheme="minorEastAsia" w:cstheme="minorEastAsia"/>
          <w:spacing w:val="50"/>
          <w:sz w:val="24"/>
          <w:szCs w:val="24"/>
        </w:rPr>
        <w:t xml:space="preserve"> </w:t>
      </w:r>
      <w:r>
        <w:rPr>
          <w:rFonts w:hint="eastAsia" w:asciiTheme="minorEastAsia" w:hAnsiTheme="minorEastAsia" w:eastAsiaTheme="minorEastAsia" w:cstheme="minorEastAsia"/>
          <w:spacing w:val="8"/>
          <w:sz w:val="24"/>
          <w:szCs w:val="24"/>
        </w:rPr>
        <w:t>甲方使用乙方提供的货物对第三人构成侵权的，应当由乙方承担全部法律责任，给甲方造成损害</w:t>
      </w:r>
      <w:r>
        <w:rPr>
          <w:rFonts w:hint="eastAsia" w:asciiTheme="minorEastAsia" w:hAnsiTheme="minorEastAsia" w:eastAsiaTheme="minorEastAsia" w:cstheme="minorEastAsia"/>
          <w:spacing w:val="7"/>
          <w:sz w:val="24"/>
          <w:szCs w:val="24"/>
        </w:rPr>
        <w:t>的，乙方应当承担赔偿责任。</w:t>
      </w:r>
    </w:p>
    <w:p w14:paraId="4C58C9A9">
      <w:pPr>
        <w:pStyle w:val="2"/>
        <w:spacing w:before="204" w:line="303" w:lineRule="auto"/>
        <w:ind w:left="23" w:right="51" w:firstLine="399"/>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11.3 甲方委托乙方开发的产品， 甲方享有知识产权，未经甲方许可不得转让任何第三人。</w:t>
      </w:r>
    </w:p>
    <w:p w14:paraId="6F2AD0B1">
      <w:pPr>
        <w:pStyle w:val="2"/>
        <w:spacing w:before="205" w:line="227" w:lineRule="auto"/>
        <w:ind w:left="21"/>
        <w:rPr>
          <w:rFonts w:hint="eastAsia" w:asciiTheme="minorEastAsia" w:hAnsiTheme="minorEastAsia" w:eastAsiaTheme="minorEastAsia" w:cstheme="minorEastAsia"/>
          <w:b/>
          <w:bCs/>
          <w:spacing w:val="4"/>
          <w:sz w:val="24"/>
          <w:szCs w:val="24"/>
        </w:rPr>
      </w:pPr>
      <w:r>
        <w:rPr>
          <w:rFonts w:hint="eastAsia" w:asciiTheme="minorEastAsia" w:hAnsiTheme="minorEastAsia" w:eastAsiaTheme="minorEastAsia" w:cstheme="minorEastAsia"/>
          <w:b/>
          <w:bCs/>
          <w:spacing w:val="4"/>
          <w:sz w:val="24"/>
          <w:szCs w:val="24"/>
        </w:rPr>
        <w:t>12.保密义务</w:t>
      </w:r>
    </w:p>
    <w:p w14:paraId="21482DD4">
      <w:pPr>
        <w:pStyle w:val="2"/>
        <w:spacing w:before="204" w:line="303" w:lineRule="auto"/>
        <w:ind w:left="23" w:right="51" w:firstLine="399"/>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12.1 甲、乙双方在采购和履行合同过程中所获悉的对方属于保密的内容，双方均有保密义务。</w:t>
      </w:r>
    </w:p>
    <w:p w14:paraId="40237D6E">
      <w:pPr>
        <w:pStyle w:val="2"/>
        <w:spacing w:before="205" w:line="227"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13.合同价款支付</w:t>
      </w:r>
    </w:p>
    <w:p w14:paraId="271F28B3">
      <w:pPr>
        <w:pStyle w:val="2"/>
        <w:spacing w:before="206" w:line="303" w:lineRule="auto"/>
        <w:ind w:left="7" w:right="100" w:firstLine="414"/>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13.1 验收合格后，乙方出具正规发票给甲方，凭甲方开具的《政府采购合同验收报告单》办理合同价款结算手续。</w:t>
      </w:r>
    </w:p>
    <w:p w14:paraId="7F317F37">
      <w:pPr>
        <w:pStyle w:val="2"/>
        <w:spacing w:before="206" w:line="303" w:lineRule="auto"/>
        <w:ind w:left="7" w:right="100" w:firstLine="414"/>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13.2 合同价款构成中应当由财政支付的部分，甲方应当在货物验收合格后的十五个工作日内向国库管理部门申请支付，经国库管理部门审核后直接支付给乙方。</w:t>
      </w:r>
    </w:p>
    <w:p w14:paraId="6F833D45">
      <w:pPr>
        <w:pStyle w:val="2"/>
        <w:spacing w:before="206" w:line="303" w:lineRule="auto"/>
        <w:ind w:left="7" w:right="100" w:firstLine="414"/>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13.3 合同价款构成中应当由甲方自行支付的部分， 甲方应当在货物验收合格后十五个工作日内支付。</w:t>
      </w:r>
    </w:p>
    <w:p w14:paraId="316E5252">
      <w:pPr>
        <w:pStyle w:val="2"/>
        <w:spacing w:before="206" w:line="303" w:lineRule="auto"/>
        <w:ind w:left="7" w:right="100" w:firstLine="414"/>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13.4 支付合同价款时，一律不向乙方以外的任何第三方办理付款手续。开户行和账号以签订的政府采购合同为准，如果乙方要求变更，则乙方必须提供加盖了财务专用章、法定代表人签字的证明文件，报经甲方审查同意。</w:t>
      </w:r>
    </w:p>
    <w:p w14:paraId="65E7C8DD">
      <w:pPr>
        <w:pStyle w:val="2"/>
        <w:spacing w:before="203"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13.5 合同价款支付方式和条件在</w:t>
      </w:r>
      <w:r>
        <w:rPr>
          <w:rFonts w:hint="eastAsia" w:asciiTheme="minorEastAsia" w:hAnsiTheme="minorEastAsia" w:eastAsiaTheme="minorEastAsia" w:cstheme="minorEastAsia"/>
          <w:b/>
          <w:bCs/>
          <w:spacing w:val="7"/>
          <w:sz w:val="24"/>
          <w:szCs w:val="24"/>
        </w:rPr>
        <w:t>【政府采购合同专用</w:t>
      </w:r>
      <w:r>
        <w:rPr>
          <w:rFonts w:hint="eastAsia" w:asciiTheme="minorEastAsia" w:hAnsiTheme="minorEastAsia" w:eastAsiaTheme="minorEastAsia" w:cstheme="minorEastAsia"/>
          <w:b/>
          <w:bCs/>
          <w:spacing w:val="6"/>
          <w:sz w:val="24"/>
          <w:szCs w:val="24"/>
        </w:rPr>
        <w:t>条款】</w:t>
      </w:r>
      <w:r>
        <w:rPr>
          <w:rFonts w:hint="eastAsia" w:asciiTheme="minorEastAsia" w:hAnsiTheme="minorEastAsia" w:eastAsiaTheme="minorEastAsia" w:cstheme="minorEastAsia"/>
          <w:spacing w:val="-57"/>
          <w:sz w:val="24"/>
          <w:szCs w:val="24"/>
        </w:rPr>
        <w:t xml:space="preserve"> </w:t>
      </w:r>
      <w:r>
        <w:rPr>
          <w:rFonts w:hint="eastAsia" w:asciiTheme="minorEastAsia" w:hAnsiTheme="minorEastAsia" w:eastAsiaTheme="minorEastAsia" w:cstheme="minorEastAsia"/>
          <w:spacing w:val="6"/>
          <w:sz w:val="24"/>
          <w:szCs w:val="24"/>
        </w:rPr>
        <w:t>中另有规定。</w:t>
      </w:r>
    </w:p>
    <w:p w14:paraId="7B2C0577">
      <w:pPr>
        <w:pStyle w:val="2"/>
        <w:spacing w:before="206" w:line="227"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14.乙方应提供的服务</w:t>
      </w:r>
    </w:p>
    <w:p w14:paraId="49250E09">
      <w:pPr>
        <w:pStyle w:val="2"/>
        <w:spacing w:before="205" w:line="303" w:lineRule="auto"/>
        <w:ind w:left="7" w:right="51" w:firstLine="41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14.1</w:t>
      </w:r>
      <w:r>
        <w:rPr>
          <w:rFonts w:hint="eastAsia" w:asciiTheme="minorEastAsia" w:hAnsiTheme="minorEastAsia" w:eastAsiaTheme="minorEastAsia" w:cstheme="minorEastAsia"/>
          <w:spacing w:val="50"/>
          <w:sz w:val="24"/>
          <w:szCs w:val="24"/>
        </w:rPr>
        <w:t xml:space="preserve"> </w:t>
      </w:r>
      <w:r>
        <w:rPr>
          <w:rFonts w:hint="eastAsia" w:asciiTheme="minorEastAsia" w:hAnsiTheme="minorEastAsia" w:eastAsiaTheme="minorEastAsia" w:cstheme="minorEastAsia"/>
          <w:spacing w:val="8"/>
          <w:sz w:val="24"/>
          <w:szCs w:val="24"/>
        </w:rPr>
        <w:t>乙方应向甲方提交所提供货物的技术文件，包括相应的中文技术文件，如：产品目录、图纸、操</w:t>
      </w:r>
      <w:r>
        <w:rPr>
          <w:rFonts w:hint="eastAsia" w:asciiTheme="minorEastAsia" w:hAnsiTheme="minorEastAsia" w:eastAsiaTheme="minorEastAsia" w:cstheme="minorEastAsia"/>
          <w:spacing w:val="9"/>
          <w:sz w:val="24"/>
          <w:szCs w:val="24"/>
        </w:rPr>
        <w:t>作手册、使用说明、维护手册或服务指南。这些文件应包装好随同货物一起发运。</w:t>
      </w:r>
    </w:p>
    <w:p w14:paraId="3E437D68">
      <w:pPr>
        <w:pStyle w:val="2"/>
        <w:spacing w:before="205" w:line="227" w:lineRule="auto"/>
        <w:ind w:left="422"/>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14.2</w:t>
      </w:r>
      <w:r>
        <w:rPr>
          <w:rFonts w:hint="eastAsia" w:asciiTheme="minorEastAsia" w:hAnsiTheme="minorEastAsia" w:eastAsiaTheme="minorEastAsia" w:cstheme="minorEastAsia"/>
          <w:spacing w:val="39"/>
          <w:sz w:val="24"/>
          <w:szCs w:val="24"/>
        </w:rPr>
        <w:t xml:space="preserve"> </w:t>
      </w:r>
      <w:r>
        <w:rPr>
          <w:rFonts w:hint="eastAsia" w:asciiTheme="minorEastAsia" w:hAnsiTheme="minorEastAsia" w:eastAsiaTheme="minorEastAsia" w:cstheme="minorEastAsia"/>
          <w:spacing w:val="4"/>
          <w:sz w:val="24"/>
          <w:szCs w:val="24"/>
        </w:rPr>
        <w:t>乙方还应提供下列服务：</w:t>
      </w:r>
    </w:p>
    <w:p w14:paraId="1C425AE3">
      <w:pPr>
        <w:pStyle w:val="2"/>
        <w:spacing w:before="205"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（1）货物的现场移动、安装、调试、启动</w:t>
      </w:r>
      <w:r>
        <w:rPr>
          <w:rFonts w:hint="eastAsia" w:asciiTheme="minorEastAsia" w:hAnsiTheme="minorEastAsia" w:eastAsiaTheme="minorEastAsia" w:cstheme="minorEastAsia"/>
          <w:spacing w:val="8"/>
          <w:sz w:val="24"/>
          <w:szCs w:val="24"/>
        </w:rPr>
        <w:t>监督及技术支持；</w:t>
      </w:r>
    </w:p>
    <w:p w14:paraId="14B0E9DF">
      <w:pPr>
        <w:pStyle w:val="2"/>
        <w:spacing w:before="205" w:line="227"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（2）提供货物组装和维修所需的专用工具和辅助材料；</w:t>
      </w:r>
    </w:p>
    <w:p w14:paraId="41BED439">
      <w:pPr>
        <w:pStyle w:val="2"/>
        <w:spacing w:before="205" w:line="303" w:lineRule="auto"/>
        <w:ind w:left="18" w:right="1" w:firstLine="3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（3）在合同各方商定的一定期限内对所有的货物实施运行监督、维修，但前提条件是该服务并不能免</w:t>
      </w:r>
      <w:r>
        <w:rPr>
          <w:rFonts w:hint="eastAsia" w:asciiTheme="minorEastAsia" w:hAnsiTheme="minorEastAsia" w:eastAsiaTheme="minorEastAsia" w:cstheme="minorEastAsia"/>
          <w:spacing w:val="8"/>
          <w:sz w:val="24"/>
          <w:szCs w:val="24"/>
        </w:rPr>
        <w:t>除乙方在质量保证期内所承担的义务；</w:t>
      </w:r>
    </w:p>
    <w:p w14:paraId="36F1FDEF">
      <w:pPr>
        <w:pStyle w:val="2"/>
        <w:spacing w:before="205" w:line="303" w:lineRule="auto"/>
        <w:ind w:left="18" w:right="1" w:firstLine="398"/>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（4）在制造商或项目现场就货物的安装、启动、运营、维护对甲方操作人员进行培训；</w:t>
      </w:r>
    </w:p>
    <w:p w14:paraId="171CC9BB">
      <w:pPr>
        <w:pStyle w:val="2"/>
        <w:spacing w:before="205" w:line="303" w:lineRule="auto"/>
        <w:ind w:left="18" w:right="1" w:firstLine="39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（5）</w:t>
      </w:r>
      <w:r>
        <w:rPr>
          <w:rFonts w:hint="eastAsia" w:asciiTheme="minorEastAsia" w:hAnsiTheme="minorEastAsia" w:eastAsiaTheme="minorEastAsia" w:cstheme="minorEastAsia"/>
          <w:b/>
          <w:bCs/>
          <w:spacing w:val="9"/>
          <w:sz w:val="24"/>
          <w:szCs w:val="24"/>
        </w:rPr>
        <w:t>【政府</w:t>
      </w:r>
      <w:r>
        <w:rPr>
          <w:rFonts w:hint="eastAsia" w:asciiTheme="minorEastAsia" w:hAnsiTheme="minorEastAsia" w:eastAsiaTheme="minorEastAsia" w:cstheme="minorEastAsia"/>
          <w:b/>
          <w:bCs/>
          <w:spacing w:val="8"/>
          <w:sz w:val="24"/>
          <w:szCs w:val="24"/>
        </w:rPr>
        <w:t>采购合同专用条款】</w:t>
      </w:r>
      <w:r>
        <w:rPr>
          <w:rFonts w:hint="eastAsia" w:asciiTheme="minorEastAsia" w:hAnsiTheme="minorEastAsia" w:eastAsiaTheme="minorEastAsia" w:cstheme="minorEastAsia"/>
          <w:spacing w:val="8"/>
          <w:sz w:val="24"/>
          <w:szCs w:val="24"/>
        </w:rPr>
        <w:t>规定由乙方提供的其他服务。</w:t>
      </w:r>
    </w:p>
    <w:p w14:paraId="092D415A">
      <w:pPr>
        <w:pStyle w:val="2"/>
        <w:spacing w:before="205"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14.3</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6"/>
          <w:sz w:val="24"/>
          <w:szCs w:val="24"/>
        </w:rPr>
        <w:t>乙方提供的服务的费用应包含在合同价款中，</w:t>
      </w:r>
      <w:r>
        <w:rPr>
          <w:rFonts w:hint="eastAsia" w:asciiTheme="minorEastAsia" w:hAnsiTheme="minorEastAsia" w:eastAsiaTheme="minorEastAsia" w:cstheme="minorEastAsia"/>
          <w:spacing w:val="-52"/>
          <w:sz w:val="24"/>
          <w:szCs w:val="24"/>
        </w:rPr>
        <w:t xml:space="preserve"> </w:t>
      </w:r>
      <w:r>
        <w:rPr>
          <w:rFonts w:hint="eastAsia" w:asciiTheme="minorEastAsia" w:hAnsiTheme="minorEastAsia" w:eastAsiaTheme="minorEastAsia" w:cstheme="minorEastAsia"/>
          <w:spacing w:val="6"/>
          <w:sz w:val="24"/>
          <w:szCs w:val="24"/>
        </w:rPr>
        <w:t>甲方不再另行支付。</w:t>
      </w:r>
    </w:p>
    <w:p w14:paraId="61E02670">
      <w:pPr>
        <w:pStyle w:val="2"/>
        <w:spacing w:before="206" w:line="228"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15.违约责任</w:t>
      </w:r>
    </w:p>
    <w:p w14:paraId="0C673688">
      <w:pPr>
        <w:pStyle w:val="2"/>
        <w:spacing w:before="204" w:line="228"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15.1</w:t>
      </w:r>
      <w:r>
        <w:rPr>
          <w:rFonts w:hint="eastAsia" w:asciiTheme="minorEastAsia" w:hAnsiTheme="minorEastAsia" w:eastAsiaTheme="minorEastAsia" w:cstheme="minorEastAsia"/>
          <w:spacing w:val="-26"/>
          <w:sz w:val="24"/>
          <w:szCs w:val="24"/>
        </w:rPr>
        <w:t xml:space="preserve"> </w:t>
      </w:r>
      <w:r>
        <w:rPr>
          <w:rFonts w:hint="eastAsia" w:asciiTheme="minorEastAsia" w:hAnsiTheme="minorEastAsia" w:eastAsiaTheme="minorEastAsia" w:cstheme="minorEastAsia"/>
          <w:spacing w:val="6"/>
          <w:sz w:val="24"/>
          <w:szCs w:val="24"/>
        </w:rPr>
        <w:t>质量瑕疵的补救措施和索赔</w:t>
      </w:r>
    </w:p>
    <w:p w14:paraId="394FB1E8">
      <w:pPr>
        <w:pStyle w:val="2"/>
        <w:spacing w:before="201" w:line="380" w:lineRule="auto"/>
        <w:ind w:left="6" w:right="97" w:firstLine="4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（1）如果乙方提供的产品不符合质量标准或存在产品质量缺陷，而甲方在合同条款第9条或合同的其</w:t>
      </w:r>
      <w:r>
        <w:rPr>
          <w:rFonts w:hint="eastAsia" w:asciiTheme="minorEastAsia" w:hAnsiTheme="minorEastAsia" w:eastAsiaTheme="minorEastAsia" w:cstheme="minorEastAsia"/>
          <w:spacing w:val="10"/>
          <w:sz w:val="24"/>
          <w:szCs w:val="24"/>
        </w:rPr>
        <w:t>他条款规定的检验、安装、调试、验收和质量保证期内，根据法定质量检测部门</w:t>
      </w:r>
      <w:r>
        <w:rPr>
          <w:rFonts w:hint="eastAsia" w:asciiTheme="minorEastAsia" w:hAnsiTheme="minorEastAsia" w:eastAsiaTheme="minorEastAsia" w:cstheme="minorEastAsia"/>
          <w:spacing w:val="9"/>
          <w:sz w:val="24"/>
          <w:szCs w:val="24"/>
        </w:rPr>
        <w:t>出具的检验证书向乙方提出了索赔，乙方应按照甲方同意的下列一种或几种方式结合起来解决索赔事宜：</w:t>
      </w:r>
    </w:p>
    <w:p w14:paraId="407ACF76">
      <w:pPr>
        <w:pStyle w:val="2"/>
        <w:spacing w:before="47" w:line="226" w:lineRule="auto"/>
        <w:ind w:left="40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①乙方同意退货并将货款退还给甲方，</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8"/>
          <w:sz w:val="24"/>
          <w:szCs w:val="24"/>
        </w:rPr>
        <w:t>由此发生的一切费用和损失由乙方承担。</w:t>
      </w:r>
    </w:p>
    <w:p w14:paraId="3A01172B">
      <w:pPr>
        <w:pStyle w:val="2"/>
        <w:spacing w:before="201" w:line="380" w:lineRule="auto"/>
        <w:ind w:left="6" w:right="97" w:firstLine="410"/>
        <w:jc w:val="both"/>
        <w:rPr>
          <w:rFonts w:hint="eastAsia" w:asciiTheme="minorEastAsia" w:hAnsiTheme="minorEastAsia" w:eastAsiaTheme="minorEastAsia" w:cstheme="minorEastAsia"/>
          <w:spacing w:val="9"/>
          <w:sz w:val="24"/>
          <w:szCs w:val="24"/>
        </w:rPr>
      </w:pPr>
      <w:r>
        <w:rPr>
          <w:rFonts w:hint="eastAsia" w:asciiTheme="minorEastAsia" w:hAnsiTheme="minorEastAsia" w:eastAsiaTheme="minorEastAsia" w:cstheme="minorEastAsia"/>
          <w:spacing w:val="9"/>
          <w:sz w:val="24"/>
          <w:szCs w:val="24"/>
        </w:rPr>
        <w:t>②根据货物的质量状况以及甲方所遭受的损失，经过甲乙双方商定降低货物的价格。</w:t>
      </w:r>
    </w:p>
    <w:p w14:paraId="137D00CE">
      <w:pPr>
        <w:pStyle w:val="2"/>
        <w:spacing w:before="201" w:line="380" w:lineRule="auto"/>
        <w:ind w:left="6" w:right="97" w:firstLine="41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③乙方应在接到</w:t>
      </w:r>
      <w:r>
        <w:rPr>
          <w:rFonts w:hint="eastAsia" w:asciiTheme="minorEastAsia" w:hAnsiTheme="minorEastAsia" w:eastAsiaTheme="minorEastAsia" w:cstheme="minorEastAsia"/>
          <w:spacing w:val="10"/>
          <w:sz w:val="24"/>
          <w:szCs w:val="24"/>
        </w:rPr>
        <w:t>甲方通知后七日内负责采用符合合同规定的规格、质量和性能</w:t>
      </w:r>
      <w:r>
        <w:rPr>
          <w:rFonts w:hint="eastAsia" w:asciiTheme="minorEastAsia" w:hAnsiTheme="minorEastAsia" w:eastAsiaTheme="minorEastAsia" w:cstheme="minorEastAsia"/>
          <w:spacing w:val="9"/>
          <w:sz w:val="24"/>
          <w:szCs w:val="24"/>
        </w:rPr>
        <w:t>要求的新零件、部件和</w:t>
      </w:r>
      <w:r>
        <w:rPr>
          <w:rFonts w:hint="eastAsia" w:asciiTheme="minorEastAsia" w:hAnsiTheme="minorEastAsia" w:eastAsiaTheme="minorEastAsia" w:cstheme="minorEastAsia"/>
          <w:spacing w:val="10"/>
          <w:sz w:val="24"/>
          <w:szCs w:val="24"/>
        </w:rPr>
        <w:t>设备来更换有缺陷的部分或修补缺陷部分，其费用由乙方负担。同时，乙方应在</w:t>
      </w:r>
      <w:r>
        <w:rPr>
          <w:rFonts w:hint="eastAsia" w:asciiTheme="minorEastAsia" w:hAnsiTheme="minorEastAsia" w:eastAsiaTheme="minorEastAsia" w:cstheme="minorEastAsia"/>
          <w:spacing w:val="9"/>
          <w:sz w:val="24"/>
          <w:szCs w:val="24"/>
        </w:rPr>
        <w:t>约定的质量保证期基础上</w:t>
      </w:r>
      <w:r>
        <w:rPr>
          <w:rFonts w:hint="eastAsia" w:asciiTheme="minorEastAsia" w:hAnsiTheme="minorEastAsia" w:eastAsiaTheme="minorEastAsia" w:cstheme="minorEastAsia"/>
          <w:spacing w:val="8"/>
          <w:sz w:val="24"/>
          <w:szCs w:val="24"/>
        </w:rPr>
        <w:t>相应延长修补和更换件的质量保证期。</w:t>
      </w:r>
    </w:p>
    <w:p w14:paraId="7AB27B4D">
      <w:pPr>
        <w:pStyle w:val="2"/>
        <w:spacing w:before="206" w:line="340" w:lineRule="auto"/>
        <w:ind w:left="6" w:right="1" w:firstLine="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（2）如果在甲方发出索赔通知后十日内乙方未作答复，上述索赔应视为已被乙方接受。如果乙方未能在甲方发出索赔通知后十日内或甲方同意延长的期限内，按照上述规定的任何一种方法采取补救</w:t>
      </w:r>
      <w:r>
        <w:rPr>
          <w:rFonts w:hint="eastAsia" w:asciiTheme="minorEastAsia" w:hAnsiTheme="minorEastAsia" w:eastAsiaTheme="minorEastAsia" w:cstheme="minorEastAsia"/>
          <w:spacing w:val="8"/>
          <w:sz w:val="24"/>
          <w:szCs w:val="24"/>
        </w:rPr>
        <w:t>措施，</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w:t>
      </w:r>
      <w:r>
        <w:rPr>
          <w:rFonts w:hint="eastAsia" w:asciiTheme="minorEastAsia" w:hAnsiTheme="minorEastAsia" w:eastAsiaTheme="minorEastAsia" w:cstheme="minorEastAsia"/>
          <w:spacing w:val="9"/>
          <w:sz w:val="24"/>
          <w:szCs w:val="24"/>
        </w:rPr>
        <w:t>方有权从应付货款中扣除索赔金额或者没收质量保证金，如不足以弥补甲方损失的，</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9"/>
          <w:sz w:val="24"/>
          <w:szCs w:val="24"/>
        </w:rPr>
        <w:t>甲方有权进</w:t>
      </w:r>
      <w:r>
        <w:rPr>
          <w:rFonts w:hint="eastAsia" w:asciiTheme="minorEastAsia" w:hAnsiTheme="minorEastAsia" w:eastAsiaTheme="minorEastAsia" w:cstheme="minorEastAsia"/>
          <w:spacing w:val="8"/>
          <w:sz w:val="24"/>
          <w:szCs w:val="24"/>
        </w:rPr>
        <w:t>一步要求</w:t>
      </w:r>
      <w:r>
        <w:rPr>
          <w:rFonts w:hint="eastAsia" w:asciiTheme="minorEastAsia" w:hAnsiTheme="minorEastAsia" w:eastAsiaTheme="minorEastAsia" w:cstheme="minorEastAsia"/>
          <w:spacing w:val="6"/>
          <w:sz w:val="24"/>
          <w:szCs w:val="24"/>
        </w:rPr>
        <w:t>乙方赔偿。</w:t>
      </w:r>
    </w:p>
    <w:p w14:paraId="1B010302">
      <w:pPr>
        <w:pStyle w:val="2"/>
        <w:spacing w:before="205" w:line="227"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15.2 迟延交货的违约责任</w:t>
      </w:r>
    </w:p>
    <w:p w14:paraId="19CD5B7B">
      <w:pPr>
        <w:pStyle w:val="2"/>
        <w:spacing w:before="206" w:line="327" w:lineRule="auto"/>
        <w:ind w:left="6" w:right="1" w:firstLine="4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（1）乙方应按照本合同规定的时间、地点交货和提供服务。在履行合同过程中，如果乙方遇到可能妨碍按时交货和提供服务的情形时，应及时以书面形式将迟延的事实、可能迟延的期限和理由通知甲</w:t>
      </w:r>
      <w:r>
        <w:rPr>
          <w:rFonts w:hint="eastAsia" w:asciiTheme="minorEastAsia" w:hAnsiTheme="minorEastAsia" w:eastAsiaTheme="minorEastAsia" w:cstheme="minorEastAsia"/>
          <w:spacing w:val="8"/>
          <w:sz w:val="24"/>
          <w:szCs w:val="24"/>
        </w:rPr>
        <w:t>方。</w:t>
      </w:r>
      <w:r>
        <w:rPr>
          <w:rFonts w:hint="eastAsia" w:asciiTheme="minorEastAsia" w:hAnsiTheme="minorEastAsia" w:eastAsiaTheme="minorEastAsia" w:cstheme="minorEastAsia"/>
          <w:spacing w:val="-56"/>
          <w:sz w:val="24"/>
          <w:szCs w:val="24"/>
        </w:rPr>
        <w:t xml:space="preserve"> </w:t>
      </w:r>
      <w:r>
        <w:rPr>
          <w:rFonts w:hint="eastAsia" w:asciiTheme="minorEastAsia" w:hAnsiTheme="minorEastAsia" w:eastAsiaTheme="minorEastAsia" w:cstheme="minorEastAsia"/>
          <w:spacing w:val="8"/>
          <w:sz w:val="24"/>
          <w:szCs w:val="24"/>
        </w:rPr>
        <w:t>甲</w:t>
      </w:r>
      <w:r>
        <w:rPr>
          <w:rFonts w:hint="eastAsia" w:asciiTheme="minorEastAsia" w:hAnsiTheme="minorEastAsia" w:eastAsiaTheme="minorEastAsia" w:cstheme="minorEastAsia"/>
          <w:spacing w:val="10"/>
          <w:sz w:val="24"/>
          <w:szCs w:val="24"/>
        </w:rPr>
        <w:t>方在收到乙方通知后，应尽快对情况进行评价，</w:t>
      </w:r>
      <w:r>
        <w:rPr>
          <w:rFonts w:hint="eastAsia" w:asciiTheme="minorEastAsia" w:hAnsiTheme="minorEastAsia" w:eastAsiaTheme="minorEastAsia" w:cstheme="minorEastAsia"/>
          <w:spacing w:val="9"/>
          <w:sz w:val="24"/>
          <w:szCs w:val="24"/>
        </w:rPr>
        <w:t>并确定是否同意迟延交货时间或延期提供服务。</w:t>
      </w:r>
    </w:p>
    <w:p w14:paraId="402076B9">
      <w:pPr>
        <w:pStyle w:val="2"/>
        <w:spacing w:before="208" w:line="348" w:lineRule="auto"/>
        <w:ind w:left="7" w:right="1" w:firstLine="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（2）除本合同第20条规定情况外，如果乙方没有按照合同规定的时间交货和提供服务，</w:t>
      </w:r>
      <w:r>
        <w:rPr>
          <w:rFonts w:hint="eastAsia" w:asciiTheme="minorEastAsia" w:hAnsiTheme="minorEastAsia" w:eastAsiaTheme="minorEastAsia" w:cstheme="minorEastAsia"/>
          <w:spacing w:val="-41"/>
          <w:sz w:val="24"/>
          <w:szCs w:val="24"/>
        </w:rPr>
        <w:t xml:space="preserve"> </w:t>
      </w:r>
      <w:r>
        <w:rPr>
          <w:rFonts w:hint="eastAsia" w:asciiTheme="minorEastAsia" w:hAnsiTheme="minorEastAsia" w:eastAsiaTheme="minorEastAsia" w:cstheme="minorEastAsia"/>
          <w:spacing w:val="8"/>
          <w:sz w:val="24"/>
          <w:szCs w:val="24"/>
        </w:rPr>
        <w:t>甲方有权从货</w:t>
      </w:r>
      <w:r>
        <w:rPr>
          <w:rFonts w:hint="eastAsia" w:asciiTheme="minorEastAsia" w:hAnsiTheme="minorEastAsia" w:eastAsiaTheme="minorEastAsia" w:cstheme="minorEastAsia"/>
          <w:spacing w:val="10"/>
          <w:sz w:val="24"/>
          <w:szCs w:val="24"/>
        </w:rPr>
        <w:t>款中扣除误期赔偿费而不影响合同项下的其他补救方法，赔偿费按每周（一周</w:t>
      </w:r>
      <w:r>
        <w:rPr>
          <w:rFonts w:hint="eastAsia" w:asciiTheme="minorEastAsia" w:hAnsiTheme="minorEastAsia" w:eastAsiaTheme="minorEastAsia" w:cstheme="minorEastAsia"/>
          <w:spacing w:val="9"/>
          <w:sz w:val="24"/>
          <w:szCs w:val="24"/>
        </w:rPr>
        <w:t>按七天计算，不足七日按一</w:t>
      </w:r>
      <w:r>
        <w:rPr>
          <w:rFonts w:hint="eastAsia" w:asciiTheme="minorEastAsia" w:hAnsiTheme="minorEastAsia" w:eastAsiaTheme="minorEastAsia" w:cstheme="minorEastAsia"/>
          <w:spacing w:val="10"/>
          <w:sz w:val="24"/>
          <w:szCs w:val="24"/>
        </w:rPr>
        <w:t>周计算）赔偿迟交货物的交货价或延期服务</w:t>
      </w:r>
      <w:r>
        <w:rPr>
          <w:rFonts w:hint="eastAsia" w:asciiTheme="minorEastAsia" w:hAnsiTheme="minorEastAsia" w:eastAsiaTheme="minorEastAsia" w:cstheme="minorEastAsia"/>
          <w:spacing w:val="9"/>
          <w:sz w:val="24"/>
          <w:szCs w:val="24"/>
        </w:rPr>
        <w:t>的服务费用的百分之零点五（0.5%）计收，直至交货或提供服务为止。但误期赔偿费的最高限额不超过合同价的百分之五（5%）。一旦达到</w:t>
      </w:r>
      <w:r>
        <w:rPr>
          <w:rFonts w:hint="eastAsia" w:asciiTheme="minorEastAsia" w:hAnsiTheme="minorEastAsia" w:eastAsiaTheme="minorEastAsia" w:cstheme="minorEastAsia"/>
          <w:spacing w:val="8"/>
          <w:sz w:val="24"/>
          <w:szCs w:val="24"/>
        </w:rPr>
        <w:t>误期赔偿的最高限额，</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甲方</w:t>
      </w:r>
      <w:r>
        <w:rPr>
          <w:rFonts w:hint="eastAsia" w:asciiTheme="minorEastAsia" w:hAnsiTheme="minorEastAsia" w:eastAsiaTheme="minorEastAsia" w:cstheme="minorEastAsia"/>
          <w:spacing w:val="7"/>
          <w:sz w:val="24"/>
          <w:szCs w:val="24"/>
        </w:rPr>
        <w:t>可以终止合同。</w:t>
      </w:r>
    </w:p>
    <w:p w14:paraId="6C496FA0">
      <w:pPr>
        <w:pStyle w:val="2"/>
        <w:spacing w:before="201" w:line="329" w:lineRule="auto"/>
        <w:ind w:left="6" w:right="1"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（3）如果乙方迟延交货，甲方有权终止全部或部分合同，并依其认为适当的条件和方法购买与未交货</w:t>
      </w:r>
      <w:r>
        <w:rPr>
          <w:rFonts w:hint="eastAsia" w:asciiTheme="minorEastAsia" w:hAnsiTheme="minorEastAsia" w:eastAsiaTheme="minorEastAsia" w:cstheme="minorEastAsia"/>
          <w:spacing w:val="10"/>
          <w:sz w:val="24"/>
          <w:szCs w:val="24"/>
        </w:rPr>
        <w:t>物类似的货物，乙方应对购买类似货物所超出的那部分费用负责。但是，乙方应</w:t>
      </w:r>
      <w:r>
        <w:rPr>
          <w:rFonts w:hint="eastAsia" w:asciiTheme="minorEastAsia" w:hAnsiTheme="minorEastAsia" w:eastAsiaTheme="minorEastAsia" w:cstheme="minorEastAsia"/>
          <w:spacing w:val="9"/>
          <w:sz w:val="24"/>
          <w:szCs w:val="24"/>
        </w:rPr>
        <w:t>继续执行合同中未终止的</w:t>
      </w:r>
      <w:r>
        <w:rPr>
          <w:rFonts w:hint="eastAsia" w:asciiTheme="minorEastAsia" w:hAnsiTheme="minorEastAsia" w:eastAsiaTheme="minorEastAsia" w:cstheme="minorEastAsia"/>
          <w:spacing w:val="3"/>
          <w:sz w:val="24"/>
          <w:szCs w:val="24"/>
        </w:rPr>
        <w:t>部分。</w:t>
      </w:r>
    </w:p>
    <w:p w14:paraId="60D95103">
      <w:pPr>
        <w:pStyle w:val="2"/>
        <w:spacing w:before="170" w:line="230"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16.合同的变更</w:t>
      </w:r>
    </w:p>
    <w:p w14:paraId="27D643B2">
      <w:pPr>
        <w:pStyle w:val="2"/>
        <w:spacing w:before="202" w:line="303" w:lineRule="auto"/>
        <w:ind w:left="6" w:firstLine="4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16.1 在合同履行过程中，甲、乙双方可就合同履行的时间、地点和方式等协商进行变</w:t>
      </w:r>
      <w:r>
        <w:rPr>
          <w:rFonts w:hint="eastAsia" w:asciiTheme="minorEastAsia" w:hAnsiTheme="minorEastAsia" w:eastAsiaTheme="minorEastAsia" w:cstheme="minorEastAsia"/>
          <w:spacing w:val="5"/>
          <w:sz w:val="24"/>
          <w:szCs w:val="24"/>
        </w:rPr>
        <w:t>更。协商一致后，</w:t>
      </w:r>
      <w:r>
        <w:rPr>
          <w:rFonts w:hint="eastAsia" w:asciiTheme="minorEastAsia" w:hAnsiTheme="minorEastAsia" w:eastAsiaTheme="minorEastAsia" w:cstheme="minorEastAsia"/>
          <w:spacing w:val="8"/>
          <w:sz w:val="24"/>
          <w:szCs w:val="24"/>
        </w:rPr>
        <w:t>双方应签订书面的补充协议。</w:t>
      </w:r>
    </w:p>
    <w:p w14:paraId="6D47E112">
      <w:pPr>
        <w:pStyle w:val="2"/>
        <w:spacing w:before="204" w:line="303" w:lineRule="auto"/>
        <w:ind w:left="11" w:right="52"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16.2 在不改变合同其他条款的前提下，甲方有权在合同价款百分之十的范围内追加与合</w:t>
      </w:r>
      <w:r>
        <w:rPr>
          <w:rFonts w:hint="eastAsia" w:asciiTheme="minorEastAsia" w:hAnsiTheme="minorEastAsia" w:eastAsiaTheme="minorEastAsia" w:cstheme="minorEastAsia"/>
          <w:spacing w:val="8"/>
          <w:sz w:val="24"/>
          <w:szCs w:val="24"/>
        </w:rPr>
        <w:t>同标的相同的</w:t>
      </w:r>
      <w:r>
        <w:rPr>
          <w:rFonts w:hint="eastAsia" w:asciiTheme="minorEastAsia" w:hAnsiTheme="minorEastAsia" w:eastAsiaTheme="minorEastAsia" w:cstheme="minorEastAsia"/>
          <w:spacing w:val="9"/>
          <w:sz w:val="24"/>
          <w:szCs w:val="24"/>
        </w:rPr>
        <w:t>货物或服务，并就此与乙方签订补充合同，乙方不得拒绝。</w:t>
      </w:r>
    </w:p>
    <w:p w14:paraId="6F2019FD">
      <w:pPr>
        <w:pStyle w:val="2"/>
        <w:spacing w:before="202" w:line="303" w:lineRule="auto"/>
        <w:ind w:left="6" w:firstLine="415"/>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16.3 除双方签署书面协议，并成为合同不可分割的一部分外，本合同条件不得有任何变更。</w:t>
      </w:r>
    </w:p>
    <w:p w14:paraId="700D0B4C">
      <w:pPr>
        <w:pStyle w:val="2"/>
        <w:spacing w:before="204" w:line="229"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17.合同中止与终止</w:t>
      </w:r>
    </w:p>
    <w:p w14:paraId="1A36781D">
      <w:pPr>
        <w:pStyle w:val="2"/>
        <w:spacing w:before="204" w:line="229"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17.1</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4"/>
          <w:sz w:val="24"/>
          <w:szCs w:val="24"/>
        </w:rPr>
        <w:t>合同的中止</w:t>
      </w:r>
    </w:p>
    <w:p w14:paraId="32F27F24">
      <w:pPr>
        <w:pStyle w:val="2"/>
        <w:spacing w:before="206" w:line="303" w:lineRule="auto"/>
        <w:ind w:left="6" w:firstLine="410"/>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（1）合同在履行过程中，因采购计划调整， 甲方可以要求中止履行，待计划确定后继续履行；</w:t>
      </w:r>
    </w:p>
    <w:p w14:paraId="19F91FFF">
      <w:pPr>
        <w:pStyle w:val="2"/>
        <w:spacing w:before="206" w:line="303" w:lineRule="auto"/>
        <w:ind w:left="6" w:firstLine="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（2）合同履行过程中因供应商就采购过程或结果提起投诉的，甲方认为有必要或财政部门责令中止的，</w:t>
      </w:r>
      <w:r>
        <w:rPr>
          <w:rFonts w:hint="eastAsia" w:asciiTheme="minorEastAsia" w:hAnsiTheme="minorEastAsia" w:eastAsiaTheme="minorEastAsia" w:cstheme="minorEastAsia"/>
          <w:spacing w:val="8"/>
          <w:sz w:val="24"/>
          <w:szCs w:val="24"/>
        </w:rPr>
        <w:t>应当中止合同的履行。</w:t>
      </w:r>
    </w:p>
    <w:p w14:paraId="429DCEDA">
      <w:pPr>
        <w:pStyle w:val="2"/>
        <w:spacing w:before="203" w:line="230"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17.2</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4"/>
          <w:sz w:val="24"/>
          <w:szCs w:val="24"/>
        </w:rPr>
        <w:t>合同的终止</w:t>
      </w:r>
    </w:p>
    <w:p w14:paraId="607D436A">
      <w:pPr>
        <w:pStyle w:val="2"/>
        <w:spacing w:before="203" w:line="228" w:lineRule="auto"/>
        <w:ind w:left="4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（1）合同因有效期限届满而终止；</w:t>
      </w:r>
    </w:p>
    <w:p w14:paraId="4982D4A4">
      <w:pPr>
        <w:pStyle w:val="2"/>
        <w:spacing w:before="202" w:line="304" w:lineRule="auto"/>
        <w:ind w:left="7" w:right="51" w:firstLine="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（2）乙方未能依照本合同约定条件履行合同，已</w:t>
      </w:r>
      <w:r>
        <w:rPr>
          <w:rFonts w:hint="eastAsia" w:asciiTheme="minorEastAsia" w:hAnsiTheme="minorEastAsia" w:eastAsiaTheme="minorEastAsia" w:cstheme="minorEastAsia"/>
          <w:spacing w:val="8"/>
          <w:sz w:val="24"/>
          <w:szCs w:val="24"/>
        </w:rPr>
        <w:t>构成根本性违约的，</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甲方有权终止本合同，并追究乙</w:t>
      </w:r>
      <w:r>
        <w:rPr>
          <w:rFonts w:hint="eastAsia" w:asciiTheme="minorEastAsia" w:hAnsiTheme="minorEastAsia" w:eastAsiaTheme="minorEastAsia" w:cstheme="minorEastAsia"/>
          <w:spacing w:val="7"/>
          <w:sz w:val="24"/>
          <w:szCs w:val="24"/>
        </w:rPr>
        <w:t>方的违约责任。</w:t>
      </w:r>
    </w:p>
    <w:p w14:paraId="368DD1F3">
      <w:pPr>
        <w:pStyle w:val="2"/>
        <w:spacing w:before="203" w:line="304" w:lineRule="auto"/>
        <w:ind w:left="7" w:right="52" w:firstLine="40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（3）如果乙方丧失履约能力或被宣告破产，</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9"/>
          <w:sz w:val="24"/>
          <w:szCs w:val="24"/>
        </w:rPr>
        <w:t>甲方</w:t>
      </w:r>
      <w:r>
        <w:rPr>
          <w:rFonts w:hint="eastAsia" w:asciiTheme="minorEastAsia" w:hAnsiTheme="minorEastAsia" w:eastAsiaTheme="minorEastAsia" w:cstheme="minorEastAsia"/>
          <w:spacing w:val="8"/>
          <w:sz w:val="24"/>
          <w:szCs w:val="24"/>
        </w:rPr>
        <w:t>可在任何时候以书面形式通知乙方终止合同而不给乙</w:t>
      </w:r>
      <w:r>
        <w:rPr>
          <w:rFonts w:hint="eastAsia" w:asciiTheme="minorEastAsia" w:hAnsiTheme="minorEastAsia" w:eastAsiaTheme="minorEastAsia" w:cstheme="minorEastAsia"/>
          <w:spacing w:val="5"/>
          <w:sz w:val="24"/>
          <w:szCs w:val="24"/>
        </w:rPr>
        <w:t>方补偿。</w:t>
      </w:r>
    </w:p>
    <w:p w14:paraId="072D6064">
      <w:pPr>
        <w:pStyle w:val="2"/>
        <w:spacing w:before="203" w:line="303" w:lineRule="auto"/>
        <w:ind w:left="10" w:right="52" w:firstLine="40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（4）如果乙方在履行合同过程中有不正当竞争行</w:t>
      </w:r>
      <w:r>
        <w:rPr>
          <w:rFonts w:hint="eastAsia" w:asciiTheme="minorEastAsia" w:hAnsiTheme="minorEastAsia" w:eastAsiaTheme="minorEastAsia" w:cstheme="minorEastAsia"/>
          <w:spacing w:val="8"/>
          <w:sz w:val="24"/>
          <w:szCs w:val="24"/>
        </w:rPr>
        <w:t>为，</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甲方有权解除合同，并按《中华人民共和国反不正当竞争法》规定由有关部门追究其法律责任。</w:t>
      </w:r>
    </w:p>
    <w:p w14:paraId="2A495CA4">
      <w:pPr>
        <w:pStyle w:val="2"/>
        <w:spacing w:before="206" w:line="303" w:lineRule="auto"/>
        <w:ind w:left="13" w:right="54" w:firstLine="40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（5）如果合同的履行将损害国家利益或社会</w:t>
      </w:r>
      <w:r>
        <w:rPr>
          <w:rFonts w:hint="eastAsia" w:asciiTheme="minorEastAsia" w:hAnsiTheme="minorEastAsia" w:eastAsiaTheme="minorEastAsia" w:cstheme="minorEastAsia"/>
          <w:spacing w:val="8"/>
          <w:sz w:val="24"/>
          <w:szCs w:val="24"/>
        </w:rPr>
        <w:t>公共利益，</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pacing w:val="8"/>
          <w:sz w:val="24"/>
          <w:szCs w:val="24"/>
        </w:rPr>
        <w:t>甲方有权终止合同的履行，给乙方造成损失的</w:t>
      </w:r>
      <w:r>
        <w:rPr>
          <w:rFonts w:hint="eastAsia" w:asciiTheme="minorEastAsia" w:hAnsiTheme="minorEastAsia" w:eastAsiaTheme="minorEastAsia" w:cstheme="minorEastAsia"/>
          <w:spacing w:val="6"/>
          <w:sz w:val="24"/>
          <w:szCs w:val="24"/>
        </w:rPr>
        <w:t>予以相应补偿。</w:t>
      </w:r>
    </w:p>
    <w:p w14:paraId="5634449A">
      <w:pPr>
        <w:pStyle w:val="2"/>
        <w:spacing w:before="203" w:line="229"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18.合同转让和分包</w:t>
      </w:r>
    </w:p>
    <w:p w14:paraId="570A3BE5">
      <w:pPr>
        <w:pStyle w:val="2"/>
        <w:spacing w:before="204" w:line="228"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18.1</w:t>
      </w:r>
      <w:r>
        <w:rPr>
          <w:rFonts w:hint="eastAsia" w:asciiTheme="minorEastAsia" w:hAnsiTheme="minorEastAsia" w:eastAsiaTheme="minorEastAsia" w:cstheme="minorEastAsia"/>
          <w:spacing w:val="43"/>
          <w:sz w:val="24"/>
          <w:szCs w:val="24"/>
        </w:rPr>
        <w:t xml:space="preserve"> </w:t>
      </w:r>
      <w:r>
        <w:rPr>
          <w:rFonts w:hint="eastAsia" w:asciiTheme="minorEastAsia" w:hAnsiTheme="minorEastAsia" w:eastAsiaTheme="minorEastAsia" w:cstheme="minorEastAsia"/>
          <w:spacing w:val="5"/>
          <w:sz w:val="24"/>
          <w:szCs w:val="24"/>
        </w:rPr>
        <w:t>乙方不得以任何形式将合同转包。</w:t>
      </w:r>
    </w:p>
    <w:p w14:paraId="0D841E31">
      <w:pPr>
        <w:pStyle w:val="2"/>
        <w:spacing w:before="205" w:line="228" w:lineRule="auto"/>
        <w:ind w:left="4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18.2</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8"/>
          <w:sz w:val="24"/>
          <w:szCs w:val="24"/>
        </w:rPr>
        <w:t>乙方未在投标文件中说明，不得将合同的非主体、非关键性工作</w:t>
      </w:r>
      <w:r>
        <w:rPr>
          <w:rFonts w:hint="eastAsia" w:asciiTheme="minorEastAsia" w:hAnsiTheme="minorEastAsia" w:eastAsiaTheme="minorEastAsia" w:cstheme="minorEastAsia"/>
          <w:spacing w:val="7"/>
          <w:sz w:val="24"/>
          <w:szCs w:val="24"/>
        </w:rPr>
        <w:t>分包给他人。</w:t>
      </w:r>
    </w:p>
    <w:p w14:paraId="12BE96F7">
      <w:pPr>
        <w:pStyle w:val="2"/>
        <w:spacing w:before="204" w:line="228" w:lineRule="auto"/>
        <w:ind w:left="2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19.不可抗力</w:t>
      </w:r>
    </w:p>
    <w:p w14:paraId="31A657F0">
      <w:pPr>
        <w:pStyle w:val="2"/>
        <w:spacing w:before="203" w:line="303" w:lineRule="auto"/>
        <w:ind w:left="27" w:firstLine="395"/>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19.1 不可抗力是指合同双方不可预见、不可避免、不可克服的自然灾害和社会事件。</w:t>
      </w:r>
    </w:p>
    <w:p w14:paraId="54141C80">
      <w:pPr>
        <w:pStyle w:val="2"/>
        <w:spacing w:before="203" w:line="303" w:lineRule="auto"/>
        <w:ind w:left="27" w:firstLine="395"/>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19.2 任何一方对由于不可抗力造成的部分或全部不能履行合同不承担违约责任。但迟延履行后发生不可抗力的，不能免除责任。</w:t>
      </w:r>
    </w:p>
    <w:p w14:paraId="133A7475">
      <w:pPr>
        <w:pStyle w:val="2"/>
        <w:spacing w:before="203" w:line="303" w:lineRule="auto"/>
        <w:ind w:left="27" w:firstLine="39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19.3 遇有不可抗力的一方，应在三日内将事件的情况以书面形式通知另一方，并在事</w:t>
      </w:r>
      <w:r>
        <w:rPr>
          <w:rFonts w:hint="eastAsia" w:asciiTheme="minorEastAsia" w:hAnsiTheme="minorEastAsia" w:eastAsiaTheme="minorEastAsia" w:cstheme="minorEastAsia"/>
          <w:spacing w:val="5"/>
          <w:sz w:val="24"/>
          <w:szCs w:val="24"/>
        </w:rPr>
        <w:t>件发生后十日内，</w:t>
      </w:r>
      <w:r>
        <w:rPr>
          <w:rFonts w:hint="eastAsia" w:asciiTheme="minorEastAsia" w:hAnsiTheme="minorEastAsia" w:eastAsiaTheme="minorEastAsia" w:cstheme="minorEastAsia"/>
          <w:spacing w:val="9"/>
          <w:sz w:val="24"/>
          <w:szCs w:val="24"/>
        </w:rPr>
        <w:t>向另一方提交合同不能履行或部分不能履行或需要延</w:t>
      </w:r>
      <w:r>
        <w:rPr>
          <w:rFonts w:hint="eastAsia" w:asciiTheme="minorEastAsia" w:hAnsiTheme="minorEastAsia" w:eastAsiaTheme="minorEastAsia" w:cstheme="minorEastAsia"/>
          <w:spacing w:val="8"/>
          <w:sz w:val="24"/>
          <w:szCs w:val="24"/>
        </w:rPr>
        <w:t>期履行理由的报告。</w:t>
      </w:r>
    </w:p>
    <w:p w14:paraId="6A087B36">
      <w:pPr>
        <w:pStyle w:val="2"/>
        <w:spacing w:before="203" w:line="228" w:lineRule="auto"/>
        <w:ind w:left="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6"/>
          <w:sz w:val="24"/>
          <w:szCs w:val="24"/>
        </w:rPr>
        <w:t>20.解决争议的方法</w:t>
      </w:r>
    </w:p>
    <w:p w14:paraId="5A2FC956">
      <w:pPr>
        <w:pStyle w:val="2"/>
        <w:spacing w:before="206" w:line="381" w:lineRule="auto"/>
        <w:ind w:left="7" w:right="51" w:firstLine="40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20.1 合同各方应通过友好协商，解决在执行合同过程中所发生的或与合同有关的一切争端。如从协商开始后十日内仍不能解决，可以向财政部门提请调解。</w:t>
      </w:r>
    </w:p>
    <w:p w14:paraId="0E936A62">
      <w:pPr>
        <w:pStyle w:val="2"/>
        <w:spacing w:before="170" w:line="229"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20.2 调解不成可以向甲方所在地人民法院提起诉讼。</w:t>
      </w:r>
    </w:p>
    <w:p w14:paraId="5D1AB96D">
      <w:pPr>
        <w:pStyle w:val="2"/>
        <w:spacing w:before="203" w:line="303" w:lineRule="auto"/>
        <w:ind w:left="9" w:right="1" w:firstLine="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20.3 如仲裁或诉讼事项不影响合同其它部分的履行，则在仲裁或诉讼期间，除正在进行仲裁或诉讼的</w:t>
      </w:r>
      <w:r>
        <w:rPr>
          <w:rFonts w:hint="eastAsia" w:asciiTheme="minorEastAsia" w:hAnsiTheme="minorEastAsia" w:eastAsiaTheme="minorEastAsia" w:cstheme="minorEastAsia"/>
          <w:spacing w:val="8"/>
          <w:sz w:val="24"/>
          <w:szCs w:val="24"/>
        </w:rPr>
        <w:t>部分外，合同的其它部分应继续执行。</w:t>
      </w:r>
    </w:p>
    <w:p w14:paraId="67912744">
      <w:pPr>
        <w:pStyle w:val="2"/>
        <w:spacing w:before="204" w:line="228" w:lineRule="auto"/>
        <w:ind w:left="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21.法律适用</w:t>
      </w:r>
    </w:p>
    <w:p w14:paraId="22D007E1">
      <w:pPr>
        <w:pStyle w:val="2"/>
        <w:spacing w:before="204" w:line="379" w:lineRule="auto"/>
        <w:ind w:left="10" w:right="1" w:firstLine="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21.1 本合同适用中华人民共和国现行法律、行政法规和规章，如合同条款与法律、行政法规和规章不一致的，按照法律、行政法规和规章修改本合同。</w:t>
      </w:r>
    </w:p>
    <w:p w14:paraId="1A8ADD55">
      <w:pPr>
        <w:pStyle w:val="2"/>
        <w:spacing w:before="48" w:line="230" w:lineRule="auto"/>
        <w:ind w:left="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3"/>
          <w:sz w:val="24"/>
          <w:szCs w:val="24"/>
        </w:rPr>
        <w:t>22.通知</w:t>
      </w:r>
    </w:p>
    <w:p w14:paraId="5760A5AD">
      <w:pPr>
        <w:pStyle w:val="2"/>
        <w:spacing w:before="202" w:line="303" w:lineRule="auto"/>
        <w:ind w:left="9" w:right="49" w:firstLine="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22.1</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pacing w:val="9"/>
          <w:sz w:val="24"/>
          <w:szCs w:val="24"/>
        </w:rPr>
        <w:t>本合同一方给另一方的通知均应采用书面形式，传真或快递送到本合同中规定的对方的地址和办</w:t>
      </w:r>
      <w:r>
        <w:rPr>
          <w:rFonts w:hint="eastAsia" w:asciiTheme="minorEastAsia" w:hAnsiTheme="minorEastAsia" w:eastAsiaTheme="minorEastAsia" w:cstheme="minorEastAsia"/>
          <w:spacing w:val="6"/>
          <w:sz w:val="24"/>
          <w:szCs w:val="24"/>
        </w:rPr>
        <w:t>理签收手续。</w:t>
      </w:r>
    </w:p>
    <w:p w14:paraId="446F7894">
      <w:pPr>
        <w:pStyle w:val="2"/>
        <w:spacing w:before="205" w:line="227"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rPr>
        <w:t>22.2</w:t>
      </w:r>
      <w:r>
        <w:rPr>
          <w:rFonts w:hint="eastAsia" w:asciiTheme="minorEastAsia" w:hAnsiTheme="minorEastAsia" w:eastAsiaTheme="minorEastAsia" w:cstheme="minorEastAsia"/>
          <w:spacing w:val="-38"/>
          <w:sz w:val="24"/>
          <w:szCs w:val="24"/>
        </w:rPr>
        <w:t xml:space="preserve"> </w:t>
      </w:r>
      <w:r>
        <w:rPr>
          <w:rFonts w:hint="eastAsia" w:asciiTheme="minorEastAsia" w:hAnsiTheme="minorEastAsia" w:eastAsiaTheme="minorEastAsia" w:cstheme="minorEastAsia"/>
          <w:spacing w:val="9"/>
          <w:sz w:val="24"/>
          <w:szCs w:val="24"/>
        </w:rPr>
        <w:t>通知以送到之日或通知书中规定的生效之日起生效</w:t>
      </w:r>
      <w:r>
        <w:rPr>
          <w:rFonts w:hint="eastAsia" w:asciiTheme="minorEastAsia" w:hAnsiTheme="minorEastAsia" w:eastAsiaTheme="minorEastAsia" w:cstheme="minorEastAsia"/>
          <w:spacing w:val="8"/>
          <w:sz w:val="24"/>
          <w:szCs w:val="24"/>
        </w:rPr>
        <w:t>，两者中以较迟之日为准。</w:t>
      </w:r>
    </w:p>
    <w:p w14:paraId="6B517E74">
      <w:pPr>
        <w:pStyle w:val="2"/>
        <w:spacing w:before="205" w:line="229" w:lineRule="auto"/>
        <w:ind w:left="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23.</w:t>
      </w:r>
      <w:r>
        <w:rPr>
          <w:rFonts w:hint="eastAsia" w:asciiTheme="minorEastAsia" w:hAnsiTheme="minorEastAsia" w:eastAsiaTheme="minorEastAsia" w:cstheme="minorEastAsia"/>
          <w:spacing w:val="5"/>
          <w:sz w:val="24"/>
          <w:szCs w:val="24"/>
        </w:rPr>
        <w:t xml:space="preserve"> </w:t>
      </w:r>
      <w:r>
        <w:rPr>
          <w:rFonts w:hint="eastAsia" w:asciiTheme="minorEastAsia" w:hAnsiTheme="minorEastAsia" w:eastAsiaTheme="minorEastAsia" w:cstheme="minorEastAsia"/>
          <w:b/>
          <w:bCs/>
          <w:spacing w:val="5"/>
          <w:sz w:val="24"/>
          <w:szCs w:val="24"/>
        </w:rPr>
        <w:t>合同未尽事项</w:t>
      </w:r>
    </w:p>
    <w:p w14:paraId="3E958CFF">
      <w:pPr>
        <w:pStyle w:val="2"/>
        <w:spacing w:before="204" w:line="227"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23.1</w:t>
      </w:r>
      <w:r>
        <w:rPr>
          <w:rFonts w:hint="eastAsia" w:asciiTheme="minorEastAsia" w:hAnsiTheme="minorEastAsia" w:eastAsiaTheme="minorEastAsia" w:cstheme="minorEastAsia"/>
          <w:spacing w:val="-37"/>
          <w:sz w:val="24"/>
          <w:szCs w:val="24"/>
        </w:rPr>
        <w:t xml:space="preserve"> </w:t>
      </w:r>
      <w:r>
        <w:rPr>
          <w:rFonts w:hint="eastAsia" w:asciiTheme="minorEastAsia" w:hAnsiTheme="minorEastAsia" w:eastAsiaTheme="minorEastAsia" w:cstheme="minorEastAsia"/>
          <w:spacing w:val="7"/>
          <w:sz w:val="24"/>
          <w:szCs w:val="24"/>
        </w:rPr>
        <w:t>合同未尽事项见</w:t>
      </w:r>
      <w:r>
        <w:rPr>
          <w:rFonts w:hint="eastAsia" w:asciiTheme="minorEastAsia" w:hAnsiTheme="minorEastAsia" w:eastAsiaTheme="minorEastAsia" w:cstheme="minorEastAsia"/>
          <w:b/>
          <w:bCs/>
          <w:spacing w:val="7"/>
          <w:sz w:val="24"/>
          <w:szCs w:val="24"/>
        </w:rPr>
        <w:t>【政府采购合同专</w:t>
      </w:r>
      <w:r>
        <w:rPr>
          <w:rFonts w:hint="eastAsia" w:asciiTheme="minorEastAsia" w:hAnsiTheme="minorEastAsia" w:eastAsiaTheme="minorEastAsia" w:cstheme="minorEastAsia"/>
          <w:b/>
          <w:bCs/>
          <w:spacing w:val="6"/>
          <w:sz w:val="24"/>
          <w:szCs w:val="24"/>
        </w:rPr>
        <w:t>用条款】。</w:t>
      </w:r>
    </w:p>
    <w:p w14:paraId="761398C7">
      <w:pPr>
        <w:pStyle w:val="2"/>
        <w:spacing w:before="205" w:line="229" w:lineRule="auto"/>
        <w:ind w:left="9"/>
        <w:outlineLvl w:val="1"/>
        <w:rPr>
          <w:rFonts w:hint="eastAsia" w:asciiTheme="minorEastAsia" w:hAnsiTheme="minorEastAsia" w:eastAsiaTheme="minorEastAsia" w:cstheme="minorEastAsia"/>
          <w:sz w:val="24"/>
          <w:szCs w:val="24"/>
        </w:rPr>
      </w:pPr>
      <w:bookmarkStart w:id="251" w:name="_Toc30786"/>
      <w:bookmarkStart w:id="252" w:name="_Toc29912"/>
      <w:bookmarkStart w:id="253" w:name="_Toc10031"/>
      <w:r>
        <w:rPr>
          <w:rFonts w:hint="eastAsia" w:asciiTheme="minorEastAsia" w:hAnsiTheme="minorEastAsia" w:eastAsiaTheme="minorEastAsia" w:cstheme="minorEastAsia"/>
          <w:b/>
          <w:bCs/>
          <w:spacing w:val="4"/>
          <w:sz w:val="24"/>
          <w:szCs w:val="24"/>
        </w:rPr>
        <w:t>24.合同生效</w:t>
      </w:r>
      <w:bookmarkEnd w:id="251"/>
      <w:bookmarkEnd w:id="252"/>
      <w:bookmarkEnd w:id="253"/>
    </w:p>
    <w:p w14:paraId="7C4EE752">
      <w:pPr>
        <w:pStyle w:val="2"/>
        <w:spacing w:before="202" w:line="227" w:lineRule="auto"/>
        <w:ind w:left="41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24.1 本合同在合同双方签字盖章后生效。</w:t>
      </w:r>
    </w:p>
    <w:p w14:paraId="46154B37">
      <w:pPr>
        <w:spacing w:line="244" w:lineRule="auto"/>
        <w:rPr>
          <w:rFonts w:hint="eastAsia" w:asciiTheme="minorEastAsia" w:hAnsiTheme="minorEastAsia" w:eastAsiaTheme="minorEastAsia" w:cstheme="minorEastAsia"/>
          <w:sz w:val="24"/>
          <w:szCs w:val="24"/>
        </w:rPr>
      </w:pPr>
    </w:p>
    <w:p w14:paraId="5A19820A">
      <w:pPr>
        <w:spacing w:line="244" w:lineRule="auto"/>
        <w:rPr>
          <w:rFonts w:ascii="Arial"/>
          <w:sz w:val="21"/>
        </w:rPr>
      </w:pPr>
    </w:p>
    <w:p w14:paraId="6A02C352">
      <w:pPr>
        <w:pStyle w:val="2"/>
        <w:spacing w:before="179" w:line="225" w:lineRule="auto"/>
        <w:ind w:left="2910"/>
        <w:outlineLvl w:val="1"/>
        <w:rPr>
          <w:sz w:val="25"/>
          <w:szCs w:val="25"/>
        </w:rPr>
      </w:pPr>
      <w:bookmarkStart w:id="254" w:name="_Toc16554"/>
      <w:bookmarkStart w:id="255" w:name="_Toc17611"/>
      <w:bookmarkStart w:id="256" w:name="_Toc7100"/>
      <w:r>
        <w:rPr>
          <w:b/>
          <w:bCs/>
          <w:spacing w:val="7"/>
          <w:sz w:val="25"/>
          <w:szCs w:val="25"/>
        </w:rPr>
        <w:t>第三节</w:t>
      </w:r>
      <w:r>
        <w:rPr>
          <w:spacing w:val="7"/>
          <w:sz w:val="25"/>
          <w:szCs w:val="25"/>
        </w:rPr>
        <w:t xml:space="preserve"> </w:t>
      </w:r>
      <w:r>
        <w:rPr>
          <w:b/>
          <w:bCs/>
          <w:spacing w:val="7"/>
          <w:sz w:val="25"/>
          <w:szCs w:val="25"/>
        </w:rPr>
        <w:t>政府采购合同专用条款</w:t>
      </w:r>
      <w:bookmarkEnd w:id="254"/>
      <w:bookmarkEnd w:id="255"/>
      <w:bookmarkEnd w:id="256"/>
    </w:p>
    <w:p w14:paraId="375797C1">
      <w:pPr>
        <w:spacing w:before="232"/>
      </w:pPr>
    </w:p>
    <w:tbl>
      <w:tblPr>
        <w:tblStyle w:val="20"/>
        <w:tblW w:w="903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4"/>
        <w:gridCol w:w="1842"/>
        <w:gridCol w:w="5475"/>
      </w:tblGrid>
      <w:tr w14:paraId="37E5E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1714" w:type="dxa"/>
            <w:tcBorders>
              <w:top w:val="single" w:color="000000" w:sz="2" w:space="0"/>
              <w:left w:val="single" w:color="000000" w:sz="2" w:space="0"/>
            </w:tcBorders>
            <w:vAlign w:val="top"/>
          </w:tcPr>
          <w:p w14:paraId="40708438">
            <w:pPr>
              <w:pStyle w:val="21"/>
              <w:spacing w:before="105" w:line="219" w:lineRule="auto"/>
              <w:ind w:left="268"/>
            </w:pPr>
            <w:r>
              <w:rPr>
                <w:spacing w:val="-3"/>
              </w:rPr>
              <w:t>本章第二节</w:t>
            </w:r>
          </w:p>
          <w:p w14:paraId="7529BCE0">
            <w:pPr>
              <w:pStyle w:val="21"/>
              <w:spacing w:before="75" w:line="212" w:lineRule="auto"/>
              <w:ind w:left="387"/>
            </w:pPr>
            <w:r>
              <w:rPr>
                <w:spacing w:val="-8"/>
              </w:rPr>
              <w:t>第</w:t>
            </w:r>
            <w:r>
              <w:rPr>
                <w:spacing w:val="-31"/>
              </w:rPr>
              <w:t xml:space="preserve"> </w:t>
            </w:r>
            <w:r>
              <w:rPr>
                <w:spacing w:val="-8"/>
              </w:rPr>
              <w:t>1.1</w:t>
            </w:r>
            <w:r>
              <w:rPr>
                <w:spacing w:val="-50"/>
              </w:rPr>
              <w:t xml:space="preserve"> </w:t>
            </w:r>
            <w:r>
              <w:rPr>
                <w:spacing w:val="-8"/>
              </w:rPr>
              <w:t>款</w:t>
            </w:r>
          </w:p>
        </w:tc>
        <w:tc>
          <w:tcPr>
            <w:tcW w:w="1842" w:type="dxa"/>
            <w:tcBorders>
              <w:top w:val="single" w:color="000000" w:sz="2" w:space="0"/>
            </w:tcBorders>
            <w:vAlign w:val="top"/>
          </w:tcPr>
          <w:p w14:paraId="792FF420">
            <w:pPr>
              <w:pStyle w:val="21"/>
              <w:spacing w:before="285" w:line="221" w:lineRule="auto"/>
              <w:ind w:left="142"/>
            </w:pPr>
            <w:r>
              <w:rPr>
                <w:spacing w:val="-14"/>
              </w:rPr>
              <w:t>甲方名称、地址</w:t>
            </w:r>
          </w:p>
        </w:tc>
        <w:tc>
          <w:tcPr>
            <w:tcW w:w="5475" w:type="dxa"/>
            <w:tcBorders>
              <w:top w:val="single" w:color="000000" w:sz="2" w:space="0"/>
              <w:right w:val="single" w:color="000000" w:sz="2" w:space="0"/>
            </w:tcBorders>
            <w:vAlign w:val="top"/>
          </w:tcPr>
          <w:p w14:paraId="5D8527F4">
            <w:pPr>
              <w:pStyle w:val="21"/>
              <w:spacing w:before="106" w:line="219" w:lineRule="auto"/>
              <w:ind w:left="143"/>
            </w:pPr>
            <w:r>
              <w:rPr>
                <w:spacing w:val="-3"/>
              </w:rPr>
              <w:t>甲方名称：白云山国家级自然保护区管理局</w:t>
            </w:r>
          </w:p>
          <w:p w14:paraId="0C9D6188">
            <w:pPr>
              <w:pStyle w:val="21"/>
              <w:spacing w:before="75" w:line="212" w:lineRule="auto"/>
              <w:ind w:left="112"/>
            </w:pPr>
            <w:r>
              <w:rPr>
                <w:spacing w:val="3"/>
              </w:rPr>
              <w:t>地址：保靖县酉水北路86</w:t>
            </w:r>
            <w:r>
              <w:rPr>
                <w:spacing w:val="-35"/>
              </w:rPr>
              <w:t xml:space="preserve"> </w:t>
            </w:r>
            <w:r>
              <w:rPr>
                <w:spacing w:val="3"/>
              </w:rPr>
              <w:t>号</w:t>
            </w:r>
          </w:p>
        </w:tc>
      </w:tr>
      <w:tr w14:paraId="24AFB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714" w:type="dxa"/>
            <w:tcBorders>
              <w:left w:val="single" w:color="000000" w:sz="2" w:space="0"/>
            </w:tcBorders>
            <w:vAlign w:val="top"/>
          </w:tcPr>
          <w:p w14:paraId="1C88102F">
            <w:pPr>
              <w:pStyle w:val="21"/>
              <w:spacing w:before="77" w:line="245" w:lineRule="auto"/>
              <w:ind w:left="125" w:right="104" w:firstLine="142"/>
            </w:pPr>
            <w:r>
              <w:rPr>
                <w:spacing w:val="-3"/>
              </w:rPr>
              <w:t>本章第二节</w:t>
            </w:r>
            <w:r>
              <w:rPr>
                <w:spacing w:val="-7"/>
              </w:rPr>
              <w:t>第</w:t>
            </w:r>
            <w:r>
              <w:rPr>
                <w:spacing w:val="-29"/>
              </w:rPr>
              <w:t xml:space="preserve"> </w:t>
            </w:r>
            <w:r>
              <w:rPr>
                <w:spacing w:val="-7"/>
              </w:rPr>
              <w:t>1.2（6）项</w:t>
            </w:r>
          </w:p>
        </w:tc>
        <w:tc>
          <w:tcPr>
            <w:tcW w:w="1842" w:type="dxa"/>
            <w:vAlign w:val="top"/>
          </w:tcPr>
          <w:p w14:paraId="2B76AF5D">
            <w:pPr>
              <w:pStyle w:val="21"/>
              <w:spacing w:before="258" w:line="220" w:lineRule="auto"/>
              <w:ind w:left="448"/>
            </w:pPr>
            <w:r>
              <w:rPr>
                <w:spacing w:val="-4"/>
              </w:rPr>
              <w:t>项目现场</w:t>
            </w:r>
          </w:p>
        </w:tc>
        <w:tc>
          <w:tcPr>
            <w:tcW w:w="5475" w:type="dxa"/>
            <w:tcBorders>
              <w:right w:val="single" w:color="000000" w:sz="2" w:space="0"/>
            </w:tcBorders>
            <w:vAlign w:val="top"/>
          </w:tcPr>
          <w:p w14:paraId="7630F3E0">
            <w:pPr>
              <w:pStyle w:val="21"/>
              <w:spacing w:before="258" w:line="219" w:lineRule="auto"/>
              <w:ind w:left="111"/>
              <w:rPr>
                <w:color w:val="auto"/>
              </w:rPr>
            </w:pPr>
            <w:r>
              <w:rPr>
                <w:color w:val="auto"/>
                <w:spacing w:val="-2"/>
              </w:rPr>
              <w:t>采购人指定地点</w:t>
            </w:r>
          </w:p>
        </w:tc>
      </w:tr>
      <w:tr w14:paraId="42679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1714" w:type="dxa"/>
            <w:tcBorders>
              <w:left w:val="single" w:color="000000" w:sz="2" w:space="0"/>
            </w:tcBorders>
            <w:vAlign w:val="top"/>
          </w:tcPr>
          <w:p w14:paraId="6C224C05">
            <w:pPr>
              <w:pStyle w:val="21"/>
              <w:spacing w:before="260" w:line="279" w:lineRule="auto"/>
              <w:ind w:left="387" w:right="248" w:hanging="119"/>
            </w:pPr>
            <w:r>
              <w:rPr>
                <w:spacing w:val="-3"/>
              </w:rPr>
              <w:t>本章第二节</w:t>
            </w:r>
            <w:r>
              <w:rPr>
                <w:spacing w:val="-5"/>
              </w:rPr>
              <w:t>第</w:t>
            </w:r>
            <w:r>
              <w:rPr>
                <w:spacing w:val="-46"/>
              </w:rPr>
              <w:t xml:space="preserve"> </w:t>
            </w:r>
            <w:r>
              <w:rPr>
                <w:spacing w:val="-5"/>
              </w:rPr>
              <w:t>5.1</w:t>
            </w:r>
            <w:r>
              <w:rPr>
                <w:spacing w:val="-50"/>
              </w:rPr>
              <w:t xml:space="preserve"> </w:t>
            </w:r>
            <w:r>
              <w:rPr>
                <w:spacing w:val="-5"/>
              </w:rPr>
              <w:t>款</w:t>
            </w:r>
          </w:p>
        </w:tc>
        <w:tc>
          <w:tcPr>
            <w:tcW w:w="1842" w:type="dxa"/>
            <w:vAlign w:val="top"/>
          </w:tcPr>
          <w:p w14:paraId="298B8F06">
            <w:pPr>
              <w:pStyle w:val="21"/>
              <w:spacing w:before="259" w:line="280" w:lineRule="auto"/>
              <w:ind w:left="129" w:right="103" w:firstLine="78"/>
            </w:pPr>
            <w:r>
              <w:rPr>
                <w:spacing w:val="-3"/>
              </w:rPr>
              <w:t>履行合同的时</w:t>
            </w:r>
            <w:r>
              <w:rPr>
                <w:spacing w:val="-12"/>
              </w:rPr>
              <w:t>间、地点及方式</w:t>
            </w:r>
          </w:p>
        </w:tc>
        <w:tc>
          <w:tcPr>
            <w:tcW w:w="5475" w:type="dxa"/>
            <w:tcBorders>
              <w:right w:val="single" w:color="000000" w:sz="2" w:space="0"/>
            </w:tcBorders>
            <w:vAlign w:val="top"/>
          </w:tcPr>
          <w:p w14:paraId="4F2BC79A">
            <w:pPr>
              <w:pStyle w:val="21"/>
              <w:spacing w:before="80" w:line="277" w:lineRule="auto"/>
              <w:ind w:left="112" w:right="115" w:firstLine="4"/>
              <w:rPr>
                <w:color w:val="auto"/>
              </w:rPr>
            </w:pPr>
            <w:r>
              <w:rPr>
                <w:color w:val="auto"/>
                <w:spacing w:val="-8"/>
              </w:rPr>
              <w:t>交货时间：</w:t>
            </w:r>
            <w:r>
              <w:rPr>
                <w:color w:val="auto"/>
                <w:spacing w:val="-1"/>
                <w:sz w:val="24"/>
                <w:szCs w:val="24"/>
                <w:lang w:eastAsia="zh-CN"/>
              </w:rPr>
              <w:t>合同签订之日起</w:t>
            </w:r>
            <w:r>
              <w:rPr>
                <w:rFonts w:hint="eastAsia"/>
                <w:color w:val="auto"/>
                <w:spacing w:val="-1"/>
                <w:sz w:val="24"/>
                <w:szCs w:val="24"/>
                <w:lang w:val="en-US" w:eastAsia="zh-CN"/>
              </w:rPr>
              <w:t>30个日历天</w:t>
            </w:r>
            <w:r>
              <w:rPr>
                <w:color w:val="auto"/>
                <w:spacing w:val="-1"/>
                <w:sz w:val="24"/>
                <w:szCs w:val="24"/>
                <w:lang w:eastAsia="zh-CN"/>
              </w:rPr>
              <w:t>内完成交付及验收</w:t>
            </w:r>
          </w:p>
          <w:p w14:paraId="00580260">
            <w:pPr>
              <w:pStyle w:val="21"/>
              <w:spacing w:line="210" w:lineRule="auto"/>
              <w:ind w:left="117"/>
              <w:rPr>
                <w:color w:val="auto"/>
              </w:rPr>
            </w:pPr>
            <w:r>
              <w:rPr>
                <w:color w:val="auto"/>
                <w:spacing w:val="-2"/>
              </w:rPr>
              <w:t>交货地点：采购人指定地点</w:t>
            </w:r>
          </w:p>
        </w:tc>
      </w:tr>
      <w:tr w14:paraId="355FB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1" w:hRule="atLeast"/>
        </w:trPr>
        <w:tc>
          <w:tcPr>
            <w:tcW w:w="1714" w:type="dxa"/>
            <w:tcBorders>
              <w:left w:val="single" w:color="000000" w:sz="2" w:space="0"/>
            </w:tcBorders>
            <w:vAlign w:val="center"/>
          </w:tcPr>
          <w:p w14:paraId="164A1095">
            <w:pPr>
              <w:pStyle w:val="21"/>
              <w:spacing w:before="78" w:line="279" w:lineRule="auto"/>
              <w:ind w:left="125" w:right="104" w:firstLine="142"/>
              <w:jc w:val="center"/>
            </w:pPr>
            <w:r>
              <w:rPr>
                <w:spacing w:val="-3"/>
              </w:rPr>
              <w:t>本章第二节</w:t>
            </w:r>
            <w:r>
              <w:rPr>
                <w:spacing w:val="-5"/>
              </w:rPr>
              <w:t>第</w:t>
            </w:r>
            <w:r>
              <w:rPr>
                <w:spacing w:val="-45"/>
              </w:rPr>
              <w:t xml:space="preserve"> </w:t>
            </w:r>
            <w:r>
              <w:rPr>
                <w:spacing w:val="-5"/>
              </w:rPr>
              <w:t>9.2（1）项</w:t>
            </w:r>
          </w:p>
        </w:tc>
        <w:tc>
          <w:tcPr>
            <w:tcW w:w="1842" w:type="dxa"/>
            <w:vAlign w:val="center"/>
          </w:tcPr>
          <w:p w14:paraId="29C1428D">
            <w:pPr>
              <w:pStyle w:val="21"/>
              <w:spacing w:before="80" w:line="277" w:lineRule="auto"/>
              <w:ind w:right="115"/>
              <w:jc w:val="center"/>
              <w:rPr>
                <w:rFonts w:hint="eastAsia" w:ascii="宋体" w:hAnsi="宋体" w:eastAsia="宋体" w:cs="宋体"/>
                <w:color w:val="auto"/>
                <w:spacing w:val="-2"/>
                <w:sz w:val="24"/>
                <w:szCs w:val="24"/>
                <w:highlight w:val="none"/>
                <w:u w:val="none" w:color="auto"/>
                <w:lang w:val="en-US" w:eastAsia="zh-CN"/>
              </w:rPr>
            </w:pPr>
            <w:r>
              <w:rPr>
                <w:rFonts w:hint="eastAsia" w:ascii="宋体" w:hAnsi="宋体" w:eastAsia="宋体" w:cs="宋体"/>
                <w:color w:val="auto"/>
                <w:spacing w:val="-2"/>
                <w:sz w:val="24"/>
                <w:szCs w:val="24"/>
                <w:highlight w:val="none"/>
                <w:u w:val="none" w:color="auto"/>
                <w:lang w:val="en-US" w:eastAsia="zh-CN"/>
              </w:rPr>
              <w:t>质量保证期</w:t>
            </w:r>
          </w:p>
        </w:tc>
        <w:tc>
          <w:tcPr>
            <w:tcW w:w="5475" w:type="dxa"/>
            <w:tcBorders>
              <w:right w:val="single" w:color="000000" w:sz="2" w:space="0"/>
            </w:tcBorders>
            <w:vAlign w:val="center"/>
          </w:tcPr>
          <w:p w14:paraId="41D089C6">
            <w:pPr>
              <w:pStyle w:val="21"/>
              <w:spacing w:before="80" w:line="277" w:lineRule="auto"/>
              <w:ind w:right="115"/>
              <w:jc w:val="left"/>
              <w:rPr>
                <w:rFonts w:hint="eastAsia" w:ascii="宋体" w:hAnsi="宋体" w:eastAsia="宋体" w:cs="宋体"/>
                <w:color w:val="auto"/>
                <w:spacing w:val="-2"/>
                <w:sz w:val="24"/>
                <w:szCs w:val="24"/>
                <w:highlight w:val="none"/>
                <w:u w:val="none" w:color="auto"/>
                <w:lang w:val="en-US" w:eastAsia="zh-CN"/>
              </w:rPr>
            </w:pPr>
            <w:r>
              <w:rPr>
                <w:rFonts w:hint="eastAsia" w:ascii="宋体" w:hAnsi="宋体" w:eastAsia="宋体" w:cs="宋体"/>
                <w:color w:val="auto"/>
                <w:spacing w:val="-2"/>
                <w:sz w:val="24"/>
                <w:szCs w:val="24"/>
                <w:highlight w:val="none"/>
                <w:u w:val="none" w:color="auto"/>
                <w:lang w:val="en-US" w:eastAsia="zh-CN"/>
              </w:rPr>
              <w:t>本项目免费质量保证期（简称“质保期”) 为</w:t>
            </w:r>
            <w:r>
              <w:rPr>
                <w:rFonts w:hint="eastAsia" w:cs="宋体"/>
                <w:color w:val="auto"/>
                <w:spacing w:val="-2"/>
                <w:sz w:val="24"/>
                <w:szCs w:val="24"/>
                <w:highlight w:val="none"/>
                <w:u w:val="single" w:color="auto"/>
                <w:lang w:val="en-US" w:eastAsia="zh-CN"/>
              </w:rPr>
              <w:t xml:space="preserve"> 1 </w:t>
            </w:r>
            <w:r>
              <w:rPr>
                <w:rFonts w:hint="eastAsia" w:ascii="宋体" w:hAnsi="宋体" w:eastAsia="宋体" w:cs="宋体"/>
                <w:color w:val="auto"/>
                <w:spacing w:val="-2"/>
                <w:sz w:val="24"/>
                <w:szCs w:val="24"/>
                <w:highlight w:val="none"/>
                <w:u w:val="none" w:color="auto"/>
                <w:lang w:val="en-US" w:eastAsia="zh-CN"/>
              </w:rPr>
              <w:t>年，</w:t>
            </w:r>
            <w:r>
              <w:rPr>
                <w:color w:val="auto"/>
                <w:spacing w:val="-1"/>
                <w:sz w:val="24"/>
                <w:szCs w:val="24"/>
                <w:lang w:eastAsia="zh-CN"/>
              </w:rPr>
              <w:t>质保期按国家三包法的规定为准。质保期内，整车和所有配件的维</w:t>
            </w:r>
            <w:r>
              <w:rPr>
                <w:color w:val="auto"/>
                <w:spacing w:val="-3"/>
                <w:sz w:val="24"/>
                <w:szCs w:val="24"/>
                <w:lang w:eastAsia="zh-CN"/>
              </w:rPr>
              <w:t>修、维护服务不得收取任何额外的费用。</w:t>
            </w:r>
          </w:p>
        </w:tc>
      </w:tr>
      <w:tr w14:paraId="2E1DB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1714" w:type="dxa"/>
            <w:tcBorders>
              <w:left w:val="single" w:color="000000" w:sz="2" w:space="0"/>
            </w:tcBorders>
            <w:vAlign w:val="center"/>
          </w:tcPr>
          <w:p w14:paraId="5FB5905A">
            <w:pPr>
              <w:pStyle w:val="21"/>
              <w:spacing w:before="78" w:line="279" w:lineRule="auto"/>
              <w:ind w:left="125" w:right="104" w:firstLine="142"/>
              <w:jc w:val="center"/>
            </w:pPr>
            <w:r>
              <w:rPr>
                <w:spacing w:val="-3"/>
              </w:rPr>
              <w:t>本章第二节</w:t>
            </w:r>
            <w:r>
              <w:rPr>
                <w:spacing w:val="-5"/>
              </w:rPr>
              <w:t>第</w:t>
            </w:r>
            <w:r>
              <w:rPr>
                <w:spacing w:val="-45"/>
              </w:rPr>
              <w:t xml:space="preserve"> </w:t>
            </w:r>
            <w:r>
              <w:rPr>
                <w:spacing w:val="-5"/>
              </w:rPr>
              <w:t>9.2（3）项</w:t>
            </w:r>
          </w:p>
        </w:tc>
        <w:tc>
          <w:tcPr>
            <w:tcW w:w="1842" w:type="dxa"/>
            <w:vAlign w:val="center"/>
          </w:tcPr>
          <w:p w14:paraId="5479A6AA">
            <w:pPr>
              <w:pStyle w:val="21"/>
              <w:spacing w:before="78" w:line="221" w:lineRule="auto"/>
              <w:ind w:left="456"/>
              <w:jc w:val="both"/>
            </w:pPr>
            <w:r>
              <w:rPr>
                <w:spacing w:val="-6"/>
              </w:rPr>
              <w:t>响应时间</w:t>
            </w:r>
          </w:p>
        </w:tc>
        <w:tc>
          <w:tcPr>
            <w:tcW w:w="5475" w:type="dxa"/>
            <w:tcBorders>
              <w:right w:val="single" w:color="000000" w:sz="2" w:space="0"/>
            </w:tcBorders>
            <w:vAlign w:val="center"/>
          </w:tcPr>
          <w:p w14:paraId="394B71EB">
            <w:pPr>
              <w:pStyle w:val="21"/>
              <w:spacing w:before="72" w:line="264" w:lineRule="auto"/>
              <w:ind w:left="115" w:right="54"/>
              <w:jc w:val="left"/>
              <w:rPr>
                <w:color w:val="auto"/>
              </w:rPr>
            </w:pPr>
            <w:r>
              <w:rPr>
                <w:color w:val="auto"/>
                <w:spacing w:val="-12"/>
              </w:rPr>
              <w:t>1小时</w:t>
            </w:r>
          </w:p>
        </w:tc>
      </w:tr>
      <w:tr w14:paraId="21D2B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trPr>
        <w:tc>
          <w:tcPr>
            <w:tcW w:w="1714" w:type="dxa"/>
            <w:tcBorders>
              <w:left w:val="single" w:color="000000" w:sz="2" w:space="0"/>
            </w:tcBorders>
            <w:vAlign w:val="top"/>
          </w:tcPr>
          <w:p w14:paraId="5F88339E">
            <w:pPr>
              <w:spacing w:line="287" w:lineRule="auto"/>
              <w:rPr>
                <w:rFonts w:ascii="Arial"/>
                <w:sz w:val="21"/>
              </w:rPr>
            </w:pPr>
          </w:p>
          <w:p w14:paraId="0A5763C7">
            <w:pPr>
              <w:pStyle w:val="21"/>
              <w:spacing w:before="78" w:line="279" w:lineRule="auto"/>
              <w:ind w:left="327" w:right="248" w:hanging="59"/>
            </w:pPr>
            <w:r>
              <w:rPr>
                <w:spacing w:val="-3"/>
              </w:rPr>
              <w:t>本章第二节</w:t>
            </w:r>
            <w:r>
              <w:rPr>
                <w:spacing w:val="-7"/>
              </w:rPr>
              <w:t>第</w:t>
            </w:r>
            <w:r>
              <w:rPr>
                <w:spacing w:val="-29"/>
              </w:rPr>
              <w:t xml:space="preserve"> </w:t>
            </w:r>
            <w:r>
              <w:rPr>
                <w:spacing w:val="-7"/>
              </w:rPr>
              <w:t>13.5</w:t>
            </w:r>
            <w:r>
              <w:rPr>
                <w:spacing w:val="-50"/>
              </w:rPr>
              <w:t xml:space="preserve"> </w:t>
            </w:r>
            <w:r>
              <w:rPr>
                <w:spacing w:val="-7"/>
              </w:rPr>
              <w:t>款</w:t>
            </w:r>
          </w:p>
        </w:tc>
        <w:tc>
          <w:tcPr>
            <w:tcW w:w="1842" w:type="dxa"/>
            <w:vAlign w:val="top"/>
          </w:tcPr>
          <w:p w14:paraId="445E7F72">
            <w:pPr>
              <w:spacing w:line="287" w:lineRule="auto"/>
              <w:rPr>
                <w:rFonts w:ascii="Arial"/>
                <w:sz w:val="21"/>
              </w:rPr>
            </w:pPr>
          </w:p>
          <w:p w14:paraId="21414D96">
            <w:pPr>
              <w:pStyle w:val="21"/>
              <w:spacing w:before="78" w:line="279" w:lineRule="auto"/>
              <w:ind w:left="325" w:right="196" w:hanging="120"/>
            </w:pPr>
            <w:r>
              <w:rPr>
                <w:spacing w:val="-2"/>
              </w:rPr>
              <w:t>合同价款支付</w:t>
            </w:r>
            <w:r>
              <w:rPr>
                <w:spacing w:val="-3"/>
              </w:rPr>
              <w:t>方式和条件</w:t>
            </w:r>
          </w:p>
        </w:tc>
        <w:tc>
          <w:tcPr>
            <w:tcW w:w="5475" w:type="dxa"/>
            <w:tcBorders>
              <w:right w:val="single" w:color="000000" w:sz="2" w:space="0"/>
            </w:tcBorders>
            <w:vAlign w:val="top"/>
          </w:tcPr>
          <w:p w14:paraId="2A4A916B">
            <w:pPr>
              <w:pStyle w:val="21"/>
              <w:spacing w:before="80" w:line="277" w:lineRule="auto"/>
              <w:ind w:left="112" w:right="115" w:firstLine="4"/>
              <w:rPr>
                <w:rFonts w:hint="eastAsia" w:ascii="宋体" w:hAnsi="宋体" w:eastAsia="宋体" w:cs="宋体"/>
                <w:color w:val="auto"/>
                <w:spacing w:val="-2"/>
                <w:sz w:val="24"/>
                <w:szCs w:val="24"/>
                <w:highlight w:val="none"/>
                <w:u w:val="none" w:color="auto"/>
                <w:lang w:val="en-US" w:eastAsia="zh-CN"/>
              </w:rPr>
            </w:pPr>
            <w:r>
              <w:rPr>
                <w:rFonts w:hint="eastAsia" w:ascii="宋体" w:hAnsi="宋体" w:eastAsia="宋体" w:cs="宋体"/>
                <w:color w:val="auto"/>
                <w:spacing w:val="-2"/>
                <w:sz w:val="24"/>
                <w:szCs w:val="24"/>
                <w:highlight w:val="none"/>
                <w:u w:val="none" w:color="auto"/>
                <w:lang w:val="en-US" w:eastAsia="zh-CN"/>
              </w:rPr>
              <w:t>付款方式：</w:t>
            </w:r>
            <w:r>
              <w:rPr>
                <w:rFonts w:hint="eastAsia"/>
                <w:color w:val="auto"/>
                <w:spacing w:val="-6"/>
                <w:lang w:eastAsia="zh-CN"/>
              </w:rPr>
              <w:t>中标人签订合同后15个工作日内支付合同总额的20%后发货，货到验收合格之日起30个工作日内付清。</w:t>
            </w:r>
          </w:p>
          <w:p w14:paraId="3D68E0C9">
            <w:pPr>
              <w:pStyle w:val="21"/>
              <w:spacing w:before="80" w:line="277" w:lineRule="auto"/>
              <w:ind w:left="112" w:right="115" w:firstLine="4"/>
              <w:rPr>
                <w:color w:val="auto"/>
              </w:rPr>
            </w:pPr>
            <w:r>
              <w:rPr>
                <w:rFonts w:hint="eastAsia" w:ascii="宋体" w:hAnsi="宋体" w:eastAsia="宋体" w:cs="宋体"/>
                <w:color w:val="auto"/>
                <w:spacing w:val="-2"/>
                <w:sz w:val="24"/>
                <w:szCs w:val="24"/>
                <w:highlight w:val="none"/>
                <w:u w:val="none" w:color="auto"/>
                <w:lang w:val="en-US" w:eastAsia="zh-CN"/>
              </w:rPr>
              <w:t>付款单位：白云山国家级自然保护区管理局</w:t>
            </w:r>
          </w:p>
        </w:tc>
      </w:tr>
      <w:tr w14:paraId="2D950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1714" w:type="dxa"/>
            <w:tcBorders>
              <w:left w:val="single" w:color="000000" w:sz="2" w:space="0"/>
            </w:tcBorders>
            <w:vAlign w:val="top"/>
          </w:tcPr>
          <w:p w14:paraId="682231CE">
            <w:pPr>
              <w:pStyle w:val="21"/>
              <w:spacing w:before="82" w:line="219" w:lineRule="auto"/>
              <w:ind w:left="268"/>
            </w:pPr>
            <w:r>
              <w:rPr>
                <w:spacing w:val="-3"/>
              </w:rPr>
              <w:t>本章第二节</w:t>
            </w:r>
          </w:p>
          <w:p w14:paraId="11DCC48E">
            <w:pPr>
              <w:pStyle w:val="21"/>
              <w:spacing w:before="76" w:line="219" w:lineRule="auto"/>
              <w:ind w:left="178"/>
            </w:pPr>
            <w:r>
              <w:rPr>
                <w:spacing w:val="-5"/>
              </w:rPr>
              <w:t>第</w:t>
            </w:r>
            <w:r>
              <w:rPr>
                <w:spacing w:val="-31"/>
              </w:rPr>
              <w:t xml:space="preserve"> </w:t>
            </w:r>
            <w:r>
              <w:rPr>
                <w:spacing w:val="-5"/>
              </w:rPr>
              <w:t>14.2（6）</w:t>
            </w:r>
          </w:p>
          <w:p w14:paraId="4CBD8004">
            <w:pPr>
              <w:pStyle w:val="21"/>
              <w:spacing w:before="75" w:line="208" w:lineRule="auto"/>
              <w:ind w:left="751"/>
            </w:pPr>
            <w:r>
              <w:t>项</w:t>
            </w:r>
          </w:p>
        </w:tc>
        <w:tc>
          <w:tcPr>
            <w:tcW w:w="1842" w:type="dxa"/>
            <w:vAlign w:val="top"/>
          </w:tcPr>
          <w:p w14:paraId="4B4F6C09">
            <w:pPr>
              <w:pStyle w:val="21"/>
              <w:spacing w:before="263" w:line="279" w:lineRule="auto"/>
              <w:ind w:left="564" w:right="196" w:hanging="336"/>
            </w:pPr>
            <w:r>
              <w:rPr>
                <w:spacing w:val="-6"/>
              </w:rPr>
              <w:t>乙方提供的其</w:t>
            </w:r>
            <w:r>
              <w:rPr>
                <w:spacing w:val="-4"/>
              </w:rPr>
              <w:t>他服务</w:t>
            </w:r>
          </w:p>
        </w:tc>
        <w:tc>
          <w:tcPr>
            <w:tcW w:w="5475" w:type="dxa"/>
            <w:tcBorders>
              <w:right w:val="single" w:color="000000" w:sz="2" w:space="0"/>
            </w:tcBorders>
            <w:vAlign w:val="top"/>
          </w:tcPr>
          <w:p w14:paraId="186D1061">
            <w:pPr>
              <w:spacing w:line="362" w:lineRule="auto"/>
              <w:rPr>
                <w:rFonts w:ascii="Arial"/>
                <w:sz w:val="21"/>
              </w:rPr>
            </w:pPr>
          </w:p>
          <w:p w14:paraId="792C1ABE">
            <w:pPr>
              <w:pStyle w:val="21"/>
              <w:spacing w:before="78" w:line="219" w:lineRule="auto"/>
              <w:ind w:left="116"/>
            </w:pPr>
            <w:r>
              <w:rPr>
                <w:spacing w:val="-2"/>
              </w:rPr>
              <w:t>见第五章采购需求。</w:t>
            </w:r>
          </w:p>
        </w:tc>
      </w:tr>
      <w:tr w14:paraId="55E8C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1714" w:type="dxa"/>
            <w:tcBorders>
              <w:left w:val="single" w:color="000000" w:sz="2" w:space="0"/>
              <w:bottom w:val="single" w:color="000000" w:sz="2" w:space="0"/>
            </w:tcBorders>
            <w:vAlign w:val="top"/>
          </w:tcPr>
          <w:p w14:paraId="3AC515BC">
            <w:pPr>
              <w:pStyle w:val="21"/>
              <w:spacing w:before="83" w:line="251" w:lineRule="auto"/>
              <w:ind w:left="327" w:right="248" w:hanging="59"/>
            </w:pPr>
            <w:r>
              <w:rPr>
                <w:spacing w:val="-3"/>
              </w:rPr>
              <w:t>本章第二节</w:t>
            </w:r>
            <w:r>
              <w:rPr>
                <w:spacing w:val="-4"/>
              </w:rPr>
              <w:t>第</w:t>
            </w:r>
            <w:r>
              <w:rPr>
                <w:spacing w:val="-47"/>
              </w:rPr>
              <w:t xml:space="preserve"> </w:t>
            </w:r>
            <w:r>
              <w:rPr>
                <w:spacing w:val="-4"/>
              </w:rPr>
              <w:t>23.1</w:t>
            </w:r>
            <w:r>
              <w:rPr>
                <w:spacing w:val="-50"/>
              </w:rPr>
              <w:t xml:space="preserve"> </w:t>
            </w:r>
            <w:r>
              <w:rPr>
                <w:spacing w:val="-4"/>
              </w:rPr>
              <w:t>款</w:t>
            </w:r>
          </w:p>
        </w:tc>
        <w:tc>
          <w:tcPr>
            <w:tcW w:w="1842" w:type="dxa"/>
            <w:tcBorders>
              <w:bottom w:val="single" w:color="000000" w:sz="2" w:space="0"/>
            </w:tcBorders>
            <w:vAlign w:val="top"/>
          </w:tcPr>
          <w:p w14:paraId="3EA68FC5">
            <w:pPr>
              <w:pStyle w:val="21"/>
              <w:spacing w:before="263" w:line="220" w:lineRule="auto"/>
              <w:ind w:left="205"/>
            </w:pPr>
            <w:r>
              <w:rPr>
                <w:spacing w:val="-2"/>
              </w:rPr>
              <w:t>合同未尽事项</w:t>
            </w:r>
          </w:p>
        </w:tc>
        <w:tc>
          <w:tcPr>
            <w:tcW w:w="5475" w:type="dxa"/>
            <w:tcBorders>
              <w:bottom w:val="single" w:color="000000" w:sz="2" w:space="0"/>
              <w:right w:val="single" w:color="000000" w:sz="2" w:space="0"/>
            </w:tcBorders>
            <w:vAlign w:val="top"/>
          </w:tcPr>
          <w:p w14:paraId="38B9C54D">
            <w:pPr>
              <w:pStyle w:val="21"/>
              <w:spacing w:before="264" w:line="219" w:lineRule="auto"/>
              <w:ind w:left="112"/>
              <w:outlineLvl w:val="0"/>
            </w:pPr>
            <w:bookmarkStart w:id="257" w:name="_Toc28911"/>
            <w:bookmarkStart w:id="258" w:name="_Toc6246"/>
            <w:bookmarkStart w:id="259" w:name="_Toc10645"/>
            <w:r>
              <w:rPr>
                <w:spacing w:val="-2"/>
              </w:rPr>
              <w:t>双方协商解决</w:t>
            </w:r>
            <w:bookmarkEnd w:id="257"/>
            <w:bookmarkEnd w:id="258"/>
            <w:bookmarkEnd w:id="259"/>
          </w:p>
        </w:tc>
      </w:tr>
    </w:tbl>
    <w:p w14:paraId="11CB76BE"/>
    <w:p w14:paraId="0491D7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659C775">
      <w:pPr>
        <w:rPr>
          <w:b/>
          <w:bCs/>
          <w:spacing w:val="11"/>
          <w:highlight w:val="none"/>
        </w:rPr>
      </w:pPr>
      <w:r>
        <w:rPr>
          <w:b/>
          <w:bCs/>
          <w:spacing w:val="11"/>
          <w:highlight w:val="none"/>
        </w:rPr>
        <w:br w:type="page"/>
      </w:r>
    </w:p>
    <w:p w14:paraId="1FAE6386">
      <w:pPr>
        <w:pStyle w:val="4"/>
        <w:bidi w:val="0"/>
      </w:pPr>
      <w:bookmarkStart w:id="260" w:name="_Toc32696"/>
      <w:r>
        <w:t>第七章</w:t>
      </w:r>
      <w:r>
        <w:rPr>
          <w:rFonts w:hint="eastAsia"/>
          <w:lang w:val="en-US" w:eastAsia="zh-CN"/>
        </w:rPr>
        <w:t xml:space="preserve"> </w:t>
      </w:r>
      <w:r>
        <w:t>投标文件的组成</w:t>
      </w:r>
      <w:bookmarkEnd w:id="260"/>
    </w:p>
    <w:p w14:paraId="6D49F9E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9D1A95D">
      <w:pPr>
        <w:pStyle w:val="2"/>
        <w:keepNext w:val="0"/>
        <w:keepLines w:val="0"/>
        <w:pageBreakBefore w:val="0"/>
        <w:widowControl/>
        <w:kinsoku/>
        <w:wordWrap w:val="0"/>
        <w:overflowPunct/>
        <w:topLinePunct w:val="0"/>
        <w:autoSpaceDE/>
        <w:autoSpaceDN/>
        <w:bidi w:val="0"/>
        <w:adjustRightInd w:val="0"/>
        <w:snapToGrid w:val="0"/>
        <w:spacing w:before="78" w:line="360" w:lineRule="auto"/>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第一部分</w:t>
      </w:r>
      <w:r>
        <w:rPr>
          <w:rFonts w:hint="eastAsia" w:ascii="宋体" w:hAnsi="宋体" w:eastAsia="宋体" w:cs="宋体"/>
          <w:b/>
          <w:bCs/>
          <w:spacing w:val="-2"/>
          <w:sz w:val="24"/>
          <w:szCs w:val="24"/>
          <w:highlight w:val="none"/>
          <w:lang w:val="en-US" w:eastAsia="zh-CN"/>
        </w:rPr>
        <w:t xml:space="preserve"> </w:t>
      </w:r>
      <w:r>
        <w:rPr>
          <w:rFonts w:ascii="宋体" w:hAnsi="宋体" w:eastAsia="宋体" w:cs="宋体"/>
          <w:b/>
          <w:bCs/>
          <w:spacing w:val="-2"/>
          <w:sz w:val="24"/>
          <w:szCs w:val="24"/>
          <w:highlight w:val="none"/>
        </w:rPr>
        <w:t>资格证明文件</w:t>
      </w:r>
    </w:p>
    <w:p w14:paraId="6D7EC4B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sz w:val="24"/>
          <w:szCs w:val="24"/>
          <w:highlight w:val="none"/>
        </w:rPr>
      </w:pPr>
      <w:r>
        <w:rPr>
          <w:spacing w:val="-4"/>
          <w:sz w:val="24"/>
          <w:szCs w:val="24"/>
          <w:highlight w:val="none"/>
        </w:rPr>
        <w:t>一、开标一览表</w:t>
      </w:r>
    </w:p>
    <w:p w14:paraId="6B70F87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sz w:val="24"/>
          <w:szCs w:val="24"/>
          <w:highlight w:val="none"/>
        </w:rPr>
      </w:pPr>
      <w:r>
        <w:rPr>
          <w:spacing w:val="-2"/>
          <w:sz w:val="24"/>
          <w:szCs w:val="24"/>
          <w:highlight w:val="none"/>
        </w:rPr>
        <w:t>二、法定代表人（单位负责人）身份证明</w:t>
      </w:r>
    </w:p>
    <w:p w14:paraId="754E865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6"/>
        <w:textAlignment w:val="baseline"/>
        <w:rPr>
          <w:sz w:val="24"/>
          <w:szCs w:val="24"/>
          <w:highlight w:val="none"/>
        </w:rPr>
      </w:pPr>
      <w:r>
        <w:rPr>
          <w:spacing w:val="-2"/>
          <w:sz w:val="24"/>
          <w:szCs w:val="24"/>
          <w:highlight w:val="none"/>
        </w:rPr>
        <w:t>三、投标供应商提供的资格证明文件</w:t>
      </w:r>
    </w:p>
    <w:p w14:paraId="1068302C">
      <w:pPr>
        <w:pStyle w:val="2"/>
        <w:keepNext w:val="0"/>
        <w:keepLines w:val="0"/>
        <w:pageBreakBefore w:val="0"/>
        <w:widowControl/>
        <w:kinsoku/>
        <w:wordWrap w:val="0"/>
        <w:overflowPunct/>
        <w:topLinePunct w:val="0"/>
        <w:autoSpaceDE/>
        <w:autoSpaceDN/>
        <w:bidi w:val="0"/>
        <w:adjustRightInd w:val="0"/>
        <w:snapToGrid w:val="0"/>
        <w:spacing w:before="78" w:line="360" w:lineRule="auto"/>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第二部分</w:t>
      </w:r>
      <w:r>
        <w:rPr>
          <w:rFonts w:hint="eastAsia" w:ascii="宋体" w:hAnsi="宋体" w:eastAsia="宋体" w:cs="宋体"/>
          <w:b/>
          <w:bCs/>
          <w:spacing w:val="-2"/>
          <w:sz w:val="24"/>
          <w:szCs w:val="24"/>
          <w:highlight w:val="none"/>
          <w:lang w:val="en-US" w:eastAsia="zh-CN"/>
        </w:rPr>
        <w:t xml:space="preserve"> </w:t>
      </w:r>
      <w:r>
        <w:rPr>
          <w:rFonts w:ascii="宋体" w:hAnsi="宋体" w:eastAsia="宋体" w:cs="宋体"/>
          <w:b/>
          <w:bCs/>
          <w:spacing w:val="-2"/>
          <w:sz w:val="24"/>
          <w:szCs w:val="24"/>
          <w:highlight w:val="none"/>
        </w:rPr>
        <w:t>商务文件</w:t>
      </w:r>
    </w:p>
    <w:p w14:paraId="30179914">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83"/>
        <w:textAlignment w:val="baseline"/>
        <w:rPr>
          <w:sz w:val="24"/>
          <w:szCs w:val="24"/>
          <w:highlight w:val="none"/>
        </w:rPr>
      </w:pPr>
      <w:r>
        <w:rPr>
          <w:spacing w:val="-11"/>
          <w:sz w:val="24"/>
          <w:szCs w:val="24"/>
          <w:highlight w:val="none"/>
        </w:rPr>
        <w:t>四、投标函</w:t>
      </w:r>
    </w:p>
    <w:p w14:paraId="6305A2F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rFonts w:hint="eastAsia" w:eastAsia="宋体"/>
          <w:sz w:val="24"/>
          <w:szCs w:val="24"/>
          <w:highlight w:val="none"/>
          <w:lang w:eastAsia="zh-CN"/>
        </w:rPr>
      </w:pPr>
      <w:r>
        <w:rPr>
          <w:spacing w:val="-4"/>
          <w:sz w:val="24"/>
          <w:szCs w:val="24"/>
          <w:highlight w:val="none"/>
        </w:rPr>
        <w:t>五、</w:t>
      </w:r>
      <w:r>
        <w:rPr>
          <w:rFonts w:hint="eastAsia"/>
          <w:spacing w:val="-4"/>
          <w:sz w:val="24"/>
          <w:szCs w:val="24"/>
          <w:highlight w:val="none"/>
          <w:lang w:eastAsia="zh-CN"/>
        </w:rPr>
        <w:t>分项报价</w:t>
      </w:r>
    </w:p>
    <w:p w14:paraId="50551E7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0"/>
        <w:textAlignment w:val="baseline"/>
        <w:rPr>
          <w:sz w:val="24"/>
          <w:szCs w:val="24"/>
          <w:highlight w:val="none"/>
        </w:rPr>
      </w:pPr>
      <w:r>
        <w:rPr>
          <w:spacing w:val="-2"/>
          <w:sz w:val="24"/>
          <w:szCs w:val="24"/>
          <w:highlight w:val="none"/>
        </w:rPr>
        <w:t>六、商务、合同条款偏离表</w:t>
      </w:r>
    </w:p>
    <w:p w14:paraId="3A4AEF0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5"/>
        <w:textAlignment w:val="baseline"/>
        <w:rPr>
          <w:sz w:val="24"/>
          <w:szCs w:val="24"/>
          <w:highlight w:val="none"/>
        </w:rPr>
      </w:pPr>
      <w:r>
        <w:rPr>
          <w:spacing w:val="-2"/>
          <w:sz w:val="24"/>
          <w:szCs w:val="24"/>
          <w:highlight w:val="none"/>
        </w:rPr>
        <w:t>七、享受政府采购政策优惠的证明资料</w:t>
      </w:r>
    </w:p>
    <w:p w14:paraId="590A3CA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sz w:val="24"/>
          <w:szCs w:val="24"/>
          <w:highlight w:val="none"/>
        </w:rPr>
      </w:pPr>
      <w:r>
        <w:rPr>
          <w:spacing w:val="-2"/>
          <w:sz w:val="24"/>
          <w:szCs w:val="24"/>
          <w:highlight w:val="none"/>
        </w:rPr>
        <w:t>八、投标供应商认为需提供的其他资料</w:t>
      </w:r>
    </w:p>
    <w:p w14:paraId="581EBB91">
      <w:pPr>
        <w:pStyle w:val="2"/>
        <w:keepNext w:val="0"/>
        <w:keepLines w:val="0"/>
        <w:pageBreakBefore w:val="0"/>
        <w:widowControl/>
        <w:kinsoku/>
        <w:wordWrap w:val="0"/>
        <w:overflowPunct/>
        <w:topLinePunct w:val="0"/>
        <w:autoSpaceDE/>
        <w:autoSpaceDN/>
        <w:bidi w:val="0"/>
        <w:adjustRightInd w:val="0"/>
        <w:snapToGrid w:val="0"/>
        <w:spacing w:before="78" w:line="360" w:lineRule="auto"/>
        <w:textAlignment w:val="baseline"/>
        <w:rPr>
          <w:rFonts w:ascii="宋体" w:hAnsi="宋体" w:eastAsia="宋体" w:cs="宋体"/>
          <w:b/>
          <w:bCs/>
          <w:spacing w:val="-2"/>
          <w:sz w:val="24"/>
          <w:szCs w:val="24"/>
          <w:highlight w:val="none"/>
        </w:rPr>
      </w:pPr>
      <w:r>
        <w:rPr>
          <w:rFonts w:ascii="宋体" w:hAnsi="宋体" w:eastAsia="宋体" w:cs="宋体"/>
          <w:b/>
          <w:bCs/>
          <w:spacing w:val="-2"/>
          <w:sz w:val="24"/>
          <w:szCs w:val="24"/>
          <w:highlight w:val="none"/>
        </w:rPr>
        <w:t>第三部分</w:t>
      </w:r>
      <w:r>
        <w:rPr>
          <w:rFonts w:hint="eastAsia" w:ascii="宋体" w:hAnsi="宋体" w:eastAsia="宋体" w:cs="宋体"/>
          <w:b/>
          <w:bCs/>
          <w:spacing w:val="-2"/>
          <w:sz w:val="24"/>
          <w:szCs w:val="24"/>
          <w:highlight w:val="none"/>
          <w:lang w:val="en-US" w:eastAsia="zh-CN"/>
        </w:rPr>
        <w:t xml:space="preserve"> </w:t>
      </w:r>
      <w:r>
        <w:rPr>
          <w:rFonts w:ascii="宋体" w:hAnsi="宋体" w:eastAsia="宋体" w:cs="宋体"/>
          <w:b/>
          <w:bCs/>
          <w:spacing w:val="-2"/>
          <w:sz w:val="24"/>
          <w:szCs w:val="24"/>
          <w:highlight w:val="none"/>
        </w:rPr>
        <w:t>技术文件</w:t>
      </w:r>
    </w:p>
    <w:p w14:paraId="19663E7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9"/>
        <w:textAlignment w:val="baseline"/>
        <w:rPr>
          <w:sz w:val="24"/>
          <w:szCs w:val="24"/>
          <w:highlight w:val="none"/>
        </w:rPr>
      </w:pPr>
      <w:r>
        <w:rPr>
          <w:spacing w:val="-4"/>
          <w:sz w:val="24"/>
          <w:szCs w:val="24"/>
          <w:highlight w:val="none"/>
        </w:rPr>
        <w:t>九、采购需求响应</w:t>
      </w:r>
    </w:p>
    <w:p w14:paraId="3C9D30C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9"/>
        <w:textAlignment w:val="baseline"/>
        <w:rPr>
          <w:sz w:val="24"/>
          <w:szCs w:val="24"/>
          <w:highlight w:val="none"/>
        </w:rPr>
      </w:pPr>
      <w:r>
        <w:rPr>
          <w:spacing w:val="-3"/>
          <w:sz w:val="24"/>
          <w:szCs w:val="24"/>
          <w:highlight w:val="none"/>
        </w:rPr>
        <w:t>十、采购需求偏离表</w:t>
      </w:r>
    </w:p>
    <w:p w14:paraId="6E9FD1E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9"/>
        <w:textAlignment w:val="baseline"/>
        <w:rPr>
          <w:sz w:val="24"/>
          <w:szCs w:val="24"/>
          <w:highlight w:val="none"/>
        </w:rPr>
      </w:pPr>
      <w:r>
        <w:rPr>
          <w:spacing w:val="-2"/>
          <w:sz w:val="24"/>
          <w:szCs w:val="24"/>
          <w:highlight w:val="none"/>
        </w:rPr>
        <w:t>十一、投标货物符合招标文件规定的证明文件</w:t>
      </w:r>
    </w:p>
    <w:p w14:paraId="26B756B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r>
        <w:rPr>
          <w:rFonts w:ascii="Arial"/>
          <w:sz w:val="21"/>
          <w:highlight w:val="none"/>
        </w:rPr>
        <w:br w:type="page"/>
      </w:r>
    </w:p>
    <w:p w14:paraId="7F640AD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0D988A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C7E8A9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CD4EDA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66EA91E">
      <w:pPr>
        <w:pStyle w:val="2"/>
        <w:keepNext w:val="0"/>
        <w:keepLines w:val="0"/>
        <w:pageBreakBefore w:val="0"/>
        <w:widowControl/>
        <w:kinsoku/>
        <w:wordWrap w:val="0"/>
        <w:overflowPunct/>
        <w:topLinePunct w:val="0"/>
        <w:autoSpaceDE/>
        <w:autoSpaceDN/>
        <w:bidi w:val="0"/>
        <w:adjustRightInd w:val="0"/>
        <w:snapToGrid w:val="0"/>
        <w:spacing w:before="228" w:line="360" w:lineRule="auto"/>
        <w:ind w:left="0" w:leftChars="0" w:firstLine="0" w:firstLineChars="0"/>
        <w:jc w:val="center"/>
        <w:textAlignment w:val="baseline"/>
        <w:rPr>
          <w:sz w:val="70"/>
          <w:szCs w:val="70"/>
          <w:highlight w:val="none"/>
        </w:rPr>
      </w:pPr>
      <w:bookmarkStart w:id="261" w:name="bookmark36"/>
      <w:bookmarkEnd w:id="261"/>
      <w:r>
        <w:rPr>
          <w:b/>
          <w:bCs/>
          <w:spacing w:val="-4"/>
          <w:sz w:val="70"/>
          <w:szCs w:val="70"/>
          <w:highlight w:val="none"/>
        </w:rPr>
        <w:t>政府采购</w:t>
      </w:r>
    </w:p>
    <w:p w14:paraId="61EC4EE7">
      <w:pPr>
        <w:pStyle w:val="2"/>
        <w:keepNext w:val="0"/>
        <w:keepLines w:val="0"/>
        <w:pageBreakBefore w:val="0"/>
        <w:widowControl/>
        <w:kinsoku/>
        <w:wordWrap w:val="0"/>
        <w:overflowPunct/>
        <w:topLinePunct w:val="0"/>
        <w:autoSpaceDE/>
        <w:autoSpaceDN/>
        <w:bidi w:val="0"/>
        <w:adjustRightInd w:val="0"/>
        <w:snapToGrid w:val="0"/>
        <w:spacing w:before="267" w:line="360" w:lineRule="auto"/>
        <w:ind w:left="0" w:leftChars="0" w:firstLine="0" w:firstLineChars="0"/>
        <w:jc w:val="center"/>
        <w:textAlignment w:val="baseline"/>
        <w:rPr>
          <w:sz w:val="82"/>
          <w:szCs w:val="82"/>
          <w:highlight w:val="none"/>
        </w:rPr>
      </w:pPr>
      <w:r>
        <w:rPr>
          <w:b/>
          <w:bCs/>
          <w:spacing w:val="-31"/>
          <w:sz w:val="82"/>
          <w:szCs w:val="82"/>
          <w:highlight w:val="none"/>
        </w:rPr>
        <w:t>投标文件</w:t>
      </w:r>
    </w:p>
    <w:p w14:paraId="458DEDA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B5C0D7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A3D8645">
      <w:pPr>
        <w:pStyle w:val="5"/>
        <w:bidi w:val="0"/>
      </w:pPr>
      <w:bookmarkStart w:id="262" w:name="_Toc1213"/>
      <w:bookmarkStart w:id="263" w:name="_Toc19341"/>
      <w:bookmarkStart w:id="264" w:name="_Toc22788"/>
      <w:r>
        <w:t>第一部分资格证明文件</w:t>
      </w:r>
      <w:bookmarkEnd w:id="262"/>
      <w:bookmarkEnd w:id="263"/>
      <w:bookmarkEnd w:id="264"/>
    </w:p>
    <w:p w14:paraId="6662702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C8FF95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E02EA1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006D016">
      <w:pPr>
        <w:pStyle w:val="2"/>
        <w:keepNext w:val="0"/>
        <w:keepLines w:val="0"/>
        <w:pageBreakBefore w:val="0"/>
        <w:widowControl/>
        <w:tabs>
          <w:tab w:val="left" w:pos="8660"/>
          <w:tab w:val="left" w:pos="8694"/>
        </w:tabs>
        <w:kinsoku/>
        <w:wordWrap w:val="0"/>
        <w:overflowPunct/>
        <w:topLinePunct w:val="0"/>
        <w:autoSpaceDE/>
        <w:autoSpaceDN/>
        <w:bidi w:val="0"/>
        <w:adjustRightInd w:val="0"/>
        <w:snapToGrid w:val="0"/>
        <w:spacing w:before="98" w:line="360" w:lineRule="auto"/>
        <w:ind w:left="620" w:right="1510"/>
        <w:jc w:val="both"/>
        <w:textAlignment w:val="baseline"/>
        <w:rPr>
          <w:highlight w:val="none"/>
          <w:u w:val="single" w:color="auto"/>
        </w:rPr>
      </w:pPr>
      <w:r>
        <w:rPr>
          <w:b/>
          <w:bCs/>
          <w:spacing w:val="-5"/>
          <w:highlight w:val="none"/>
        </w:rPr>
        <w:t>采购项目名称:</w:t>
      </w:r>
      <w:r>
        <w:rPr>
          <w:rFonts w:hint="eastAsia"/>
          <w:spacing w:val="-4"/>
          <w:sz w:val="24"/>
          <w:szCs w:val="24"/>
          <w:highlight w:val="none"/>
          <w:u w:val="single"/>
          <w:lang w:val="en-US" w:eastAsia="zh-CN"/>
        </w:rPr>
        <w:t xml:space="preserve">                                    </w:t>
      </w:r>
    </w:p>
    <w:p w14:paraId="2E074962">
      <w:pPr>
        <w:pStyle w:val="2"/>
        <w:keepNext w:val="0"/>
        <w:keepLines w:val="0"/>
        <w:pageBreakBefore w:val="0"/>
        <w:widowControl/>
        <w:tabs>
          <w:tab w:val="left" w:pos="8660"/>
          <w:tab w:val="left" w:pos="8694"/>
        </w:tabs>
        <w:kinsoku/>
        <w:wordWrap w:val="0"/>
        <w:overflowPunct/>
        <w:topLinePunct w:val="0"/>
        <w:autoSpaceDE/>
        <w:autoSpaceDN/>
        <w:bidi w:val="0"/>
        <w:adjustRightInd w:val="0"/>
        <w:snapToGrid w:val="0"/>
        <w:spacing w:before="98" w:line="360" w:lineRule="auto"/>
        <w:ind w:left="620" w:right="1510"/>
        <w:jc w:val="both"/>
        <w:textAlignment w:val="baseline"/>
        <w:rPr>
          <w:highlight w:val="none"/>
          <w:u w:val="single" w:color="auto"/>
        </w:rPr>
      </w:pPr>
      <w:r>
        <w:rPr>
          <w:b/>
          <w:bCs/>
          <w:spacing w:val="-8"/>
          <w:highlight w:val="none"/>
        </w:rPr>
        <w:t>采购人：</w:t>
      </w:r>
      <w:r>
        <w:rPr>
          <w:rFonts w:hint="eastAsia"/>
          <w:spacing w:val="-4"/>
          <w:sz w:val="24"/>
          <w:szCs w:val="24"/>
          <w:highlight w:val="none"/>
          <w:u w:val="single"/>
          <w:lang w:val="en-US" w:eastAsia="zh-CN"/>
        </w:rPr>
        <w:t xml:space="preserve">                                             </w:t>
      </w:r>
    </w:p>
    <w:p w14:paraId="60E83BE2">
      <w:pPr>
        <w:pStyle w:val="2"/>
        <w:keepNext w:val="0"/>
        <w:keepLines w:val="0"/>
        <w:pageBreakBefore w:val="0"/>
        <w:widowControl/>
        <w:tabs>
          <w:tab w:val="left" w:pos="8660"/>
          <w:tab w:val="left" w:pos="8694"/>
        </w:tabs>
        <w:kinsoku/>
        <w:wordWrap w:val="0"/>
        <w:overflowPunct/>
        <w:topLinePunct w:val="0"/>
        <w:autoSpaceDE/>
        <w:autoSpaceDN/>
        <w:bidi w:val="0"/>
        <w:adjustRightInd w:val="0"/>
        <w:snapToGrid w:val="0"/>
        <w:spacing w:before="98" w:line="360" w:lineRule="auto"/>
        <w:ind w:left="620" w:right="1510"/>
        <w:jc w:val="both"/>
        <w:textAlignment w:val="baseline"/>
        <w:rPr>
          <w:rFonts w:hint="eastAsia" w:eastAsia="宋体"/>
          <w:highlight w:val="none"/>
          <w:lang w:eastAsia="zh-CN"/>
        </w:rPr>
      </w:pPr>
      <w:r>
        <w:rPr>
          <w:b/>
          <w:bCs/>
          <w:spacing w:val="-2"/>
          <w:highlight w:val="none"/>
        </w:rPr>
        <w:t>政府采购编号:</w:t>
      </w:r>
      <w:r>
        <w:rPr>
          <w:rFonts w:hint="eastAsia"/>
          <w:spacing w:val="-4"/>
          <w:sz w:val="24"/>
          <w:szCs w:val="24"/>
          <w:highlight w:val="none"/>
          <w:u w:val="single"/>
          <w:lang w:val="en-US" w:eastAsia="zh-CN"/>
        </w:rPr>
        <w:t xml:space="preserve">                                             </w:t>
      </w:r>
    </w:p>
    <w:p w14:paraId="79BB9C02">
      <w:pPr>
        <w:pStyle w:val="2"/>
        <w:keepNext w:val="0"/>
        <w:keepLines w:val="0"/>
        <w:pageBreakBefore w:val="0"/>
        <w:widowControl/>
        <w:kinsoku/>
        <w:wordWrap w:val="0"/>
        <w:overflowPunct/>
        <w:topLinePunct w:val="0"/>
        <w:autoSpaceDE/>
        <w:autoSpaceDN/>
        <w:bidi w:val="0"/>
        <w:adjustRightInd w:val="0"/>
        <w:snapToGrid w:val="0"/>
        <w:spacing w:line="360" w:lineRule="auto"/>
        <w:ind w:left="620"/>
        <w:textAlignment w:val="baseline"/>
        <w:rPr>
          <w:rFonts w:hint="eastAsia" w:eastAsia="宋体"/>
          <w:highlight w:val="none"/>
          <w:lang w:eastAsia="zh-CN"/>
        </w:rPr>
      </w:pPr>
      <w:r>
        <w:rPr>
          <w:b/>
          <w:bCs/>
          <w:spacing w:val="-2"/>
          <w:highlight w:val="none"/>
        </w:rPr>
        <w:t>采购代理编号:</w:t>
      </w:r>
      <w:r>
        <w:rPr>
          <w:rFonts w:hint="eastAsia"/>
          <w:spacing w:val="-4"/>
          <w:sz w:val="24"/>
          <w:szCs w:val="24"/>
          <w:highlight w:val="none"/>
          <w:u w:val="single"/>
          <w:lang w:val="en-US" w:eastAsia="zh-CN"/>
        </w:rPr>
        <w:t xml:space="preserve">                                             </w:t>
      </w:r>
    </w:p>
    <w:p w14:paraId="32912817">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4"/>
          <w:highlight w:val="none"/>
        </w:rPr>
        <w:t>采购代理机构：</w:t>
      </w:r>
      <w:r>
        <w:rPr>
          <w:rFonts w:hint="eastAsia"/>
          <w:spacing w:val="-4"/>
          <w:sz w:val="24"/>
          <w:szCs w:val="24"/>
          <w:highlight w:val="none"/>
          <w:u w:val="single"/>
          <w:lang w:val="en-US" w:eastAsia="zh-CN"/>
        </w:rPr>
        <w:t xml:space="preserve">                                             </w:t>
      </w:r>
    </w:p>
    <w:p w14:paraId="10C2A15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049C5C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FD90CC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017B53F">
      <w:pPr>
        <w:pStyle w:val="2"/>
        <w:keepNext w:val="0"/>
        <w:keepLines w:val="0"/>
        <w:pageBreakBefore w:val="0"/>
        <w:widowControl/>
        <w:kinsoku/>
        <w:wordWrap w:val="0"/>
        <w:overflowPunct/>
        <w:topLinePunct w:val="0"/>
        <w:autoSpaceDE/>
        <w:autoSpaceDN/>
        <w:bidi w:val="0"/>
        <w:adjustRightInd w:val="0"/>
        <w:snapToGrid w:val="0"/>
        <w:spacing w:before="97" w:line="360" w:lineRule="auto"/>
        <w:ind w:left="2015"/>
        <w:textAlignment w:val="baseline"/>
        <w:rPr>
          <w:rFonts w:hint="eastAsia" w:eastAsia="宋体"/>
          <w:highlight w:val="none"/>
          <w:lang w:eastAsia="zh-CN"/>
        </w:rPr>
      </w:pPr>
      <w:r>
        <w:rPr>
          <w:b/>
          <w:bCs/>
          <w:spacing w:val="7"/>
          <w:highlight w:val="none"/>
        </w:rPr>
        <w:t>投标供应商</w:t>
      </w:r>
      <w:r>
        <w:rPr>
          <w:rFonts w:hint="eastAsia"/>
          <w:spacing w:val="-4"/>
          <w:sz w:val="24"/>
          <w:szCs w:val="24"/>
          <w:highlight w:val="none"/>
          <w:u w:val="single"/>
          <w:lang w:val="en-US" w:eastAsia="zh-CN"/>
        </w:rPr>
        <w:t xml:space="preserve">                           </w:t>
      </w:r>
    </w:p>
    <w:p w14:paraId="17EF613E">
      <w:pPr>
        <w:pStyle w:val="2"/>
        <w:keepNext w:val="0"/>
        <w:keepLines w:val="0"/>
        <w:pageBreakBefore w:val="0"/>
        <w:widowControl/>
        <w:tabs>
          <w:tab w:val="left" w:pos="4200"/>
        </w:tabs>
        <w:kinsoku/>
        <w:wordWrap w:val="0"/>
        <w:overflowPunct/>
        <w:topLinePunct w:val="0"/>
        <w:autoSpaceDE/>
        <w:autoSpaceDN/>
        <w:bidi w:val="0"/>
        <w:adjustRightInd w:val="0"/>
        <w:snapToGrid w:val="0"/>
        <w:spacing w:before="257" w:line="360" w:lineRule="auto"/>
        <w:ind w:left="0" w:leftChars="0" w:firstLine="0" w:firstLineChars="0"/>
        <w:jc w:val="center"/>
        <w:textAlignment w:val="baseline"/>
        <w:rPr>
          <w:highlight w:val="none"/>
        </w:rPr>
      </w:pPr>
      <w:r>
        <w:rPr>
          <w:rFonts w:hint="eastAsia"/>
          <w:spacing w:val="-4"/>
          <w:sz w:val="24"/>
          <w:szCs w:val="24"/>
          <w:highlight w:val="none"/>
          <w:u w:val="single"/>
          <w:lang w:val="en-US" w:eastAsia="zh-CN"/>
        </w:rPr>
        <w:t xml:space="preserve">         </w:t>
      </w:r>
      <w:r>
        <w:rPr>
          <w:b/>
          <w:bCs/>
          <w:spacing w:val="-5"/>
          <w:highlight w:val="none"/>
        </w:rPr>
        <w:t>年</w:t>
      </w:r>
      <w:r>
        <w:rPr>
          <w:rFonts w:hint="eastAsia"/>
          <w:spacing w:val="-4"/>
          <w:sz w:val="24"/>
          <w:szCs w:val="24"/>
          <w:highlight w:val="none"/>
          <w:u w:val="single"/>
          <w:lang w:val="en-US" w:eastAsia="zh-CN"/>
        </w:rPr>
        <w:t xml:space="preserve">         </w:t>
      </w:r>
      <w:r>
        <w:rPr>
          <w:b/>
          <w:bCs/>
          <w:spacing w:val="-5"/>
          <w:highlight w:val="none"/>
        </w:rPr>
        <w:t>月</w:t>
      </w:r>
      <w:r>
        <w:rPr>
          <w:rFonts w:hint="eastAsia"/>
          <w:spacing w:val="-4"/>
          <w:sz w:val="24"/>
          <w:szCs w:val="24"/>
          <w:highlight w:val="none"/>
          <w:u w:val="single"/>
          <w:lang w:val="en-US" w:eastAsia="zh-CN"/>
        </w:rPr>
        <w:t xml:space="preserve">         </w:t>
      </w:r>
      <w:r>
        <w:rPr>
          <w:b/>
          <w:bCs/>
          <w:spacing w:val="-5"/>
          <w:highlight w:val="none"/>
        </w:rPr>
        <w:t>日</w:t>
      </w:r>
    </w:p>
    <w:p w14:paraId="2C64447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r>
        <w:rPr>
          <w:rFonts w:ascii="Arial"/>
          <w:sz w:val="21"/>
          <w:highlight w:val="none"/>
        </w:rPr>
        <w:br w:type="page"/>
      </w:r>
    </w:p>
    <w:p w14:paraId="025A4363">
      <w:pPr>
        <w:pStyle w:val="5"/>
        <w:bidi w:val="0"/>
      </w:pPr>
      <w:bookmarkStart w:id="265" w:name="bookmark37"/>
      <w:bookmarkEnd w:id="265"/>
      <w:bookmarkStart w:id="266" w:name="_Toc24722"/>
      <w:r>
        <w:t>一、开标一览表</w:t>
      </w:r>
      <w:bookmarkEnd w:id="266"/>
    </w:p>
    <w:p w14:paraId="47315613">
      <w:pPr>
        <w:pStyle w:val="2"/>
        <w:keepNext w:val="0"/>
        <w:keepLines w:val="0"/>
        <w:pageBreakBefore w:val="0"/>
        <w:widowControl/>
        <w:kinsoku/>
        <w:wordWrap w:val="0"/>
        <w:overflowPunct/>
        <w:topLinePunct w:val="0"/>
        <w:autoSpaceDE/>
        <w:autoSpaceDN/>
        <w:bidi w:val="0"/>
        <w:adjustRightInd w:val="0"/>
        <w:snapToGrid w:val="0"/>
        <w:spacing w:before="252" w:line="360" w:lineRule="auto"/>
        <w:ind w:left="132"/>
        <w:textAlignment w:val="baseline"/>
        <w:rPr>
          <w:highlight w:val="none"/>
        </w:rPr>
      </w:pPr>
      <w:r>
        <w:rPr>
          <w:spacing w:val="-3"/>
          <w:sz w:val="28"/>
          <w:szCs w:val="28"/>
          <w:highlight w:val="none"/>
        </w:rPr>
        <w:t>政府采购编号：</w:t>
      </w:r>
      <w:r>
        <w:rPr>
          <w:rFonts w:hint="eastAsia"/>
          <w:spacing w:val="-4"/>
          <w:sz w:val="24"/>
          <w:szCs w:val="24"/>
          <w:highlight w:val="none"/>
          <w:u w:val="single"/>
          <w:lang w:val="en-US" w:eastAsia="zh-CN"/>
        </w:rPr>
        <w:t xml:space="preserve">                  </w:t>
      </w:r>
      <w:r>
        <w:rPr>
          <w:rFonts w:hint="eastAsia"/>
          <w:spacing w:val="-3"/>
          <w:sz w:val="28"/>
          <w:szCs w:val="28"/>
          <w:highlight w:val="none"/>
          <w:lang w:val="en-US" w:eastAsia="zh-CN"/>
        </w:rPr>
        <w:t xml:space="preserve">            </w:t>
      </w:r>
      <w:r>
        <w:rPr>
          <w:spacing w:val="-3"/>
          <w:sz w:val="28"/>
          <w:szCs w:val="28"/>
          <w:highlight w:val="none"/>
        </w:rPr>
        <w:t>项目名称：</w:t>
      </w:r>
      <w:r>
        <w:rPr>
          <w:rFonts w:hint="eastAsia"/>
          <w:spacing w:val="-4"/>
          <w:sz w:val="24"/>
          <w:szCs w:val="24"/>
          <w:highlight w:val="none"/>
          <w:u w:val="single"/>
          <w:lang w:val="en-US" w:eastAsia="zh-CN"/>
        </w:rPr>
        <w:t xml:space="preserve">                  </w:t>
      </w:r>
    </w:p>
    <w:tbl>
      <w:tblPr>
        <w:tblStyle w:val="20"/>
        <w:tblW w:w="9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81"/>
        <w:gridCol w:w="5948"/>
      </w:tblGrid>
      <w:tr w14:paraId="55EBB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3481" w:type="dxa"/>
            <w:vAlign w:val="top"/>
          </w:tcPr>
          <w:p w14:paraId="7DFD9ED2">
            <w:pPr>
              <w:pStyle w:val="21"/>
              <w:keepNext w:val="0"/>
              <w:keepLines w:val="0"/>
              <w:pageBreakBefore w:val="0"/>
              <w:widowControl/>
              <w:kinsoku/>
              <w:wordWrap w:val="0"/>
              <w:overflowPunct/>
              <w:topLinePunct w:val="0"/>
              <w:autoSpaceDE/>
              <w:autoSpaceDN/>
              <w:bidi w:val="0"/>
              <w:adjustRightInd w:val="0"/>
              <w:snapToGrid w:val="0"/>
              <w:spacing w:before="193" w:line="360" w:lineRule="auto"/>
              <w:ind w:left="1480"/>
              <w:textAlignment w:val="baseline"/>
              <w:rPr>
                <w:sz w:val="28"/>
                <w:szCs w:val="28"/>
                <w:highlight w:val="none"/>
              </w:rPr>
            </w:pPr>
            <w:r>
              <w:rPr>
                <w:b/>
                <w:bCs/>
                <w:spacing w:val="-9"/>
                <w:sz w:val="28"/>
                <w:szCs w:val="28"/>
                <w:highlight w:val="none"/>
              </w:rPr>
              <w:t>标题</w:t>
            </w:r>
          </w:p>
        </w:tc>
        <w:tc>
          <w:tcPr>
            <w:tcW w:w="5948" w:type="dxa"/>
            <w:vAlign w:val="top"/>
          </w:tcPr>
          <w:p w14:paraId="4CEF99C9">
            <w:pPr>
              <w:pStyle w:val="21"/>
              <w:keepNext w:val="0"/>
              <w:keepLines w:val="0"/>
              <w:pageBreakBefore w:val="0"/>
              <w:widowControl/>
              <w:kinsoku/>
              <w:wordWrap w:val="0"/>
              <w:overflowPunct/>
              <w:topLinePunct w:val="0"/>
              <w:autoSpaceDE/>
              <w:autoSpaceDN/>
              <w:bidi w:val="0"/>
              <w:adjustRightInd w:val="0"/>
              <w:snapToGrid w:val="0"/>
              <w:spacing w:before="191" w:line="360" w:lineRule="auto"/>
              <w:ind w:left="3053"/>
              <w:textAlignment w:val="baseline"/>
              <w:rPr>
                <w:sz w:val="28"/>
                <w:szCs w:val="28"/>
                <w:highlight w:val="none"/>
              </w:rPr>
            </w:pPr>
            <w:r>
              <w:rPr>
                <w:b/>
                <w:bCs/>
                <w:spacing w:val="-25"/>
                <w:sz w:val="28"/>
                <w:szCs w:val="28"/>
                <w:highlight w:val="none"/>
              </w:rPr>
              <w:t>内容</w:t>
            </w:r>
          </w:p>
        </w:tc>
      </w:tr>
      <w:tr w14:paraId="07BAA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3481" w:type="dxa"/>
            <w:vAlign w:val="top"/>
          </w:tcPr>
          <w:p w14:paraId="037239DF">
            <w:pPr>
              <w:pStyle w:val="21"/>
              <w:keepNext w:val="0"/>
              <w:keepLines w:val="0"/>
              <w:pageBreakBefore w:val="0"/>
              <w:widowControl/>
              <w:kinsoku/>
              <w:wordWrap w:val="0"/>
              <w:overflowPunct/>
              <w:topLinePunct w:val="0"/>
              <w:autoSpaceDE/>
              <w:autoSpaceDN/>
              <w:bidi w:val="0"/>
              <w:adjustRightInd w:val="0"/>
              <w:snapToGrid w:val="0"/>
              <w:spacing w:before="221" w:line="360" w:lineRule="auto"/>
              <w:ind w:left="1212"/>
              <w:textAlignment w:val="baseline"/>
              <w:rPr>
                <w:sz w:val="28"/>
                <w:szCs w:val="28"/>
                <w:highlight w:val="none"/>
              </w:rPr>
            </w:pPr>
            <w:r>
              <w:rPr>
                <w:b/>
                <w:bCs/>
                <w:spacing w:val="-11"/>
                <w:sz w:val="28"/>
                <w:szCs w:val="28"/>
                <w:highlight w:val="none"/>
              </w:rPr>
              <w:t>货物名称</w:t>
            </w:r>
          </w:p>
        </w:tc>
        <w:tc>
          <w:tcPr>
            <w:tcW w:w="5948" w:type="dxa"/>
            <w:vAlign w:val="top"/>
          </w:tcPr>
          <w:p w14:paraId="561EFCD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46C72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3481" w:type="dxa"/>
            <w:vAlign w:val="top"/>
          </w:tcPr>
          <w:p w14:paraId="225E5805">
            <w:pPr>
              <w:pStyle w:val="21"/>
              <w:keepNext w:val="0"/>
              <w:keepLines w:val="0"/>
              <w:pageBreakBefore w:val="0"/>
              <w:widowControl/>
              <w:kinsoku/>
              <w:wordWrap w:val="0"/>
              <w:overflowPunct/>
              <w:topLinePunct w:val="0"/>
              <w:autoSpaceDE/>
              <w:autoSpaceDN/>
              <w:bidi w:val="0"/>
              <w:adjustRightInd w:val="0"/>
              <w:snapToGrid w:val="0"/>
              <w:spacing w:before="184" w:line="360" w:lineRule="auto"/>
              <w:ind w:left="649"/>
              <w:textAlignment w:val="baseline"/>
              <w:rPr>
                <w:sz w:val="28"/>
                <w:szCs w:val="28"/>
                <w:highlight w:val="none"/>
              </w:rPr>
            </w:pPr>
            <w:r>
              <w:rPr>
                <w:b/>
                <w:bCs/>
                <w:spacing w:val="-9"/>
                <w:sz w:val="28"/>
                <w:szCs w:val="28"/>
                <w:highlight w:val="none"/>
              </w:rPr>
              <w:t>总报价/折扣/单价</w:t>
            </w:r>
          </w:p>
        </w:tc>
        <w:tc>
          <w:tcPr>
            <w:tcW w:w="5948" w:type="dxa"/>
            <w:vAlign w:val="top"/>
          </w:tcPr>
          <w:p w14:paraId="0618F20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64CF4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3481" w:type="dxa"/>
            <w:vAlign w:val="top"/>
          </w:tcPr>
          <w:p w14:paraId="43434339">
            <w:pPr>
              <w:pStyle w:val="21"/>
              <w:keepNext w:val="0"/>
              <w:keepLines w:val="0"/>
              <w:pageBreakBefore w:val="0"/>
              <w:widowControl/>
              <w:kinsoku/>
              <w:wordWrap w:val="0"/>
              <w:overflowPunct/>
              <w:topLinePunct w:val="0"/>
              <w:autoSpaceDE/>
              <w:autoSpaceDN/>
              <w:bidi w:val="0"/>
              <w:adjustRightInd w:val="0"/>
              <w:snapToGrid w:val="0"/>
              <w:spacing w:before="190" w:line="360" w:lineRule="auto"/>
              <w:ind w:left="1209"/>
              <w:textAlignment w:val="baseline"/>
              <w:rPr>
                <w:sz w:val="28"/>
                <w:szCs w:val="28"/>
                <w:highlight w:val="none"/>
              </w:rPr>
            </w:pPr>
            <w:r>
              <w:rPr>
                <w:b/>
                <w:bCs/>
                <w:spacing w:val="-11"/>
                <w:sz w:val="28"/>
                <w:szCs w:val="28"/>
                <w:highlight w:val="none"/>
              </w:rPr>
              <w:t>交货时间</w:t>
            </w:r>
          </w:p>
        </w:tc>
        <w:tc>
          <w:tcPr>
            <w:tcW w:w="5948" w:type="dxa"/>
            <w:vAlign w:val="top"/>
          </w:tcPr>
          <w:p w14:paraId="1D5D3FD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64CE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3481" w:type="dxa"/>
            <w:vAlign w:val="top"/>
          </w:tcPr>
          <w:p w14:paraId="451C70CA">
            <w:pPr>
              <w:pStyle w:val="21"/>
              <w:keepNext w:val="0"/>
              <w:keepLines w:val="0"/>
              <w:pageBreakBefore w:val="0"/>
              <w:widowControl/>
              <w:kinsoku/>
              <w:wordWrap w:val="0"/>
              <w:overflowPunct/>
              <w:topLinePunct w:val="0"/>
              <w:autoSpaceDE/>
              <w:autoSpaceDN/>
              <w:bidi w:val="0"/>
              <w:adjustRightInd w:val="0"/>
              <w:snapToGrid w:val="0"/>
              <w:spacing w:before="191" w:line="360" w:lineRule="auto"/>
              <w:ind w:left="1198"/>
              <w:textAlignment w:val="baseline"/>
              <w:rPr>
                <w:sz w:val="28"/>
                <w:szCs w:val="28"/>
                <w:highlight w:val="none"/>
              </w:rPr>
            </w:pPr>
            <w:r>
              <w:rPr>
                <w:b/>
                <w:bCs/>
                <w:spacing w:val="-8"/>
                <w:sz w:val="28"/>
                <w:szCs w:val="28"/>
                <w:highlight w:val="none"/>
              </w:rPr>
              <w:t>服务要求</w:t>
            </w:r>
          </w:p>
        </w:tc>
        <w:tc>
          <w:tcPr>
            <w:tcW w:w="5948" w:type="dxa"/>
            <w:vAlign w:val="top"/>
          </w:tcPr>
          <w:p w14:paraId="5E4149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1FBCC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3481" w:type="dxa"/>
            <w:vAlign w:val="top"/>
          </w:tcPr>
          <w:p w14:paraId="39851220">
            <w:pPr>
              <w:pStyle w:val="21"/>
              <w:keepNext w:val="0"/>
              <w:keepLines w:val="0"/>
              <w:pageBreakBefore w:val="0"/>
              <w:widowControl/>
              <w:kinsoku/>
              <w:wordWrap w:val="0"/>
              <w:overflowPunct/>
              <w:topLinePunct w:val="0"/>
              <w:autoSpaceDE/>
              <w:autoSpaceDN/>
              <w:bidi w:val="0"/>
              <w:adjustRightInd w:val="0"/>
              <w:snapToGrid w:val="0"/>
              <w:spacing w:before="195" w:line="360" w:lineRule="auto"/>
              <w:ind w:left="1339"/>
              <w:textAlignment w:val="baseline"/>
              <w:rPr>
                <w:sz w:val="28"/>
                <w:szCs w:val="28"/>
                <w:highlight w:val="none"/>
              </w:rPr>
            </w:pPr>
            <w:r>
              <w:rPr>
                <w:b/>
                <w:bCs/>
                <w:spacing w:val="-9"/>
                <w:sz w:val="28"/>
                <w:szCs w:val="28"/>
                <w:highlight w:val="none"/>
              </w:rPr>
              <w:t>保证金</w:t>
            </w:r>
          </w:p>
        </w:tc>
        <w:tc>
          <w:tcPr>
            <w:tcW w:w="5948" w:type="dxa"/>
            <w:vAlign w:val="top"/>
          </w:tcPr>
          <w:p w14:paraId="78A983E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2BB7F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3481" w:type="dxa"/>
            <w:vAlign w:val="top"/>
          </w:tcPr>
          <w:p w14:paraId="0DB2EE38">
            <w:pPr>
              <w:pStyle w:val="21"/>
              <w:keepNext w:val="0"/>
              <w:keepLines w:val="0"/>
              <w:pageBreakBefore w:val="0"/>
              <w:widowControl/>
              <w:kinsoku/>
              <w:wordWrap w:val="0"/>
              <w:overflowPunct/>
              <w:topLinePunct w:val="0"/>
              <w:autoSpaceDE/>
              <w:autoSpaceDN/>
              <w:bidi w:val="0"/>
              <w:adjustRightInd w:val="0"/>
              <w:snapToGrid w:val="0"/>
              <w:spacing w:before="204" w:line="360" w:lineRule="auto"/>
              <w:ind w:left="1485"/>
              <w:textAlignment w:val="baseline"/>
              <w:rPr>
                <w:sz w:val="28"/>
                <w:szCs w:val="28"/>
                <w:highlight w:val="none"/>
              </w:rPr>
            </w:pPr>
            <w:r>
              <w:rPr>
                <w:b/>
                <w:bCs/>
                <w:spacing w:val="-10"/>
                <w:sz w:val="28"/>
                <w:szCs w:val="28"/>
                <w:highlight w:val="none"/>
              </w:rPr>
              <w:t>备注</w:t>
            </w:r>
          </w:p>
        </w:tc>
        <w:tc>
          <w:tcPr>
            <w:tcW w:w="5948" w:type="dxa"/>
            <w:vAlign w:val="top"/>
          </w:tcPr>
          <w:p w14:paraId="7AB51B2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bl>
    <w:p w14:paraId="01E4A6B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8C3579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29"/>
        <w:textAlignment w:val="baseline"/>
        <w:rPr>
          <w:sz w:val="24"/>
          <w:szCs w:val="24"/>
          <w:highlight w:val="none"/>
        </w:rPr>
      </w:pPr>
      <w:r>
        <w:rPr>
          <w:spacing w:val="-3"/>
          <w:sz w:val="24"/>
          <w:szCs w:val="24"/>
          <w:highlight w:val="none"/>
        </w:rPr>
        <w:t>注</w:t>
      </w:r>
      <w:r>
        <w:rPr>
          <w:spacing w:val="-49"/>
          <w:sz w:val="24"/>
          <w:szCs w:val="24"/>
          <w:highlight w:val="none"/>
        </w:rPr>
        <w:t>：（</w:t>
      </w:r>
      <w:r>
        <w:rPr>
          <w:spacing w:val="-3"/>
          <w:sz w:val="24"/>
          <w:szCs w:val="24"/>
          <w:highlight w:val="none"/>
        </w:rPr>
        <w:t>1）不得填写“免费”或“赠与”，也不得进行“零”报价，否则投标无</w:t>
      </w:r>
      <w:r>
        <w:rPr>
          <w:spacing w:val="-4"/>
          <w:sz w:val="24"/>
          <w:szCs w:val="24"/>
          <w:highlight w:val="none"/>
        </w:rPr>
        <w:t>效。</w:t>
      </w:r>
    </w:p>
    <w:p w14:paraId="65C8FCAD">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132" w:right="120" w:firstLine="500"/>
        <w:textAlignment w:val="baseline"/>
        <w:rPr>
          <w:sz w:val="24"/>
          <w:szCs w:val="24"/>
          <w:highlight w:val="none"/>
        </w:rPr>
      </w:pPr>
      <w:r>
        <w:rPr>
          <w:spacing w:val="-6"/>
          <w:sz w:val="24"/>
          <w:szCs w:val="24"/>
          <w:highlight w:val="none"/>
        </w:rPr>
        <w:t>（2）投标供应商在提交投标文件的截止时间前修改“开标一览表”中的投标报价下浮率的，</w:t>
      </w:r>
      <w:r>
        <w:rPr>
          <w:spacing w:val="-2"/>
          <w:sz w:val="24"/>
          <w:szCs w:val="24"/>
          <w:highlight w:val="none"/>
        </w:rPr>
        <w:t>本表相应内容应同时修改。否则其风险由投标供应商自已承担。</w:t>
      </w:r>
    </w:p>
    <w:p w14:paraId="70DA452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620DAA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1547E2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FE4A9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37"/>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00EAD02D">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132"/>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1BB3EDD1">
      <w:pPr>
        <w:pStyle w:val="2"/>
        <w:keepNext w:val="0"/>
        <w:keepLines w:val="0"/>
        <w:pageBreakBefore w:val="0"/>
        <w:widowControl/>
        <w:kinsoku/>
        <w:wordWrap w:val="0"/>
        <w:overflowPunct/>
        <w:topLinePunct w:val="0"/>
        <w:autoSpaceDE/>
        <w:autoSpaceDN/>
        <w:bidi w:val="0"/>
        <w:adjustRightInd w:val="0"/>
        <w:snapToGrid w:val="0"/>
        <w:spacing w:before="185" w:line="360" w:lineRule="auto"/>
        <w:ind w:left="214"/>
        <w:textAlignment w:val="baseline"/>
        <w:rPr>
          <w:sz w:val="24"/>
          <w:szCs w:val="24"/>
          <w:highlight w:val="none"/>
        </w:rPr>
      </w:pPr>
      <w:r>
        <w:rPr>
          <w:b/>
          <w:bCs/>
          <w:spacing w:val="-23"/>
          <w:sz w:val="24"/>
          <w:szCs w:val="24"/>
          <w:highlight w:val="none"/>
        </w:rPr>
        <w:t>日期：</w:t>
      </w:r>
      <w:r>
        <w:rPr>
          <w:rFonts w:hint="eastAsia"/>
          <w:spacing w:val="-4"/>
          <w:sz w:val="24"/>
          <w:szCs w:val="24"/>
          <w:highlight w:val="none"/>
          <w:u w:val="single"/>
          <w:lang w:val="en-US" w:eastAsia="zh-CN"/>
        </w:rPr>
        <w:t xml:space="preserve">         </w:t>
      </w:r>
      <w:r>
        <w:rPr>
          <w:b/>
          <w:bCs/>
          <w:spacing w:val="-23"/>
          <w:sz w:val="24"/>
          <w:szCs w:val="24"/>
          <w:highlight w:val="none"/>
        </w:rPr>
        <w:t>年</w:t>
      </w:r>
      <w:r>
        <w:rPr>
          <w:rFonts w:hint="eastAsia"/>
          <w:spacing w:val="-4"/>
          <w:sz w:val="24"/>
          <w:szCs w:val="24"/>
          <w:highlight w:val="none"/>
          <w:u w:val="single"/>
          <w:lang w:val="en-US" w:eastAsia="zh-CN"/>
        </w:rPr>
        <w:t xml:space="preserve">         </w:t>
      </w:r>
      <w:r>
        <w:rPr>
          <w:b/>
          <w:bCs/>
          <w:spacing w:val="-23"/>
          <w:sz w:val="24"/>
          <w:szCs w:val="24"/>
          <w:highlight w:val="none"/>
        </w:rPr>
        <w:t>月</w:t>
      </w:r>
      <w:r>
        <w:rPr>
          <w:rFonts w:hint="eastAsia"/>
          <w:spacing w:val="-4"/>
          <w:sz w:val="24"/>
          <w:szCs w:val="24"/>
          <w:highlight w:val="none"/>
          <w:u w:val="single"/>
          <w:lang w:val="en-US" w:eastAsia="zh-CN"/>
        </w:rPr>
        <w:t xml:space="preserve">         </w:t>
      </w:r>
      <w:r>
        <w:rPr>
          <w:b/>
          <w:bCs/>
          <w:spacing w:val="-23"/>
          <w:sz w:val="24"/>
          <w:szCs w:val="24"/>
          <w:highlight w:val="none"/>
        </w:rPr>
        <w:t>日</w:t>
      </w:r>
    </w:p>
    <w:p w14:paraId="421C58C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r>
        <w:rPr>
          <w:rFonts w:ascii="Arial"/>
          <w:sz w:val="21"/>
          <w:highlight w:val="none"/>
        </w:rPr>
        <w:br w:type="page"/>
      </w:r>
    </w:p>
    <w:p w14:paraId="7291C6F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2"/>
          <w:highlight w:val="none"/>
        </w:rPr>
      </w:pPr>
      <w:bookmarkStart w:id="267" w:name="bookmark40"/>
      <w:bookmarkEnd w:id="267"/>
    </w:p>
    <w:p w14:paraId="49CFEC75">
      <w:pPr>
        <w:pStyle w:val="5"/>
        <w:bidi w:val="0"/>
      </w:pPr>
      <w:bookmarkStart w:id="268" w:name="_Toc18647"/>
      <w:r>
        <w:t>二、法定代表人（单位负责人）身份证明</w:t>
      </w:r>
      <w:bookmarkEnd w:id="268"/>
    </w:p>
    <w:p w14:paraId="1C11B899">
      <w:pPr>
        <w:pStyle w:val="2"/>
        <w:keepNext w:val="0"/>
        <w:keepLines w:val="0"/>
        <w:pageBreakBefore w:val="0"/>
        <w:widowControl/>
        <w:kinsoku/>
        <w:wordWrap w:val="0"/>
        <w:overflowPunct/>
        <w:topLinePunct w:val="0"/>
        <w:autoSpaceDE/>
        <w:autoSpaceDN/>
        <w:bidi w:val="0"/>
        <w:adjustRightInd w:val="0"/>
        <w:snapToGrid w:val="0"/>
        <w:spacing w:before="247" w:line="360" w:lineRule="auto"/>
        <w:ind w:left="3925"/>
        <w:textAlignment w:val="baseline"/>
        <w:rPr>
          <w:sz w:val="24"/>
          <w:szCs w:val="24"/>
          <w:highlight w:val="none"/>
        </w:rPr>
      </w:pPr>
      <w:r>
        <w:rPr>
          <w:b/>
          <w:bCs/>
          <w:spacing w:val="-3"/>
          <w:sz w:val="24"/>
          <w:szCs w:val="24"/>
          <w:highlight w:val="none"/>
        </w:rPr>
        <w:t>(自然人投标的无需提供)</w:t>
      </w:r>
    </w:p>
    <w:p w14:paraId="20CB9A3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E826F3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7"/>
        <w:textAlignment w:val="baseline"/>
        <w:rPr>
          <w:rFonts w:hint="default" w:eastAsia="宋体"/>
          <w:sz w:val="24"/>
          <w:szCs w:val="24"/>
          <w:highlight w:val="none"/>
          <w:u w:val="single"/>
          <w:lang w:val="en-US" w:eastAsia="zh-CN"/>
        </w:rPr>
      </w:pPr>
      <w:r>
        <w:rPr>
          <w:spacing w:val="-4"/>
          <w:sz w:val="24"/>
          <w:szCs w:val="24"/>
          <w:highlight w:val="none"/>
        </w:rPr>
        <w:t>投标供应商名称：</w:t>
      </w:r>
      <w:r>
        <w:rPr>
          <w:rFonts w:hint="eastAsia"/>
          <w:spacing w:val="-4"/>
          <w:sz w:val="24"/>
          <w:szCs w:val="24"/>
          <w:highlight w:val="none"/>
          <w:u w:val="single"/>
          <w:lang w:val="en-US" w:eastAsia="zh-CN"/>
        </w:rPr>
        <w:t xml:space="preserve">                       </w:t>
      </w:r>
    </w:p>
    <w:p w14:paraId="07A3F28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2"/>
        <w:textAlignment w:val="baseline"/>
        <w:rPr>
          <w:rFonts w:hint="eastAsia" w:eastAsia="宋体"/>
          <w:sz w:val="24"/>
          <w:szCs w:val="24"/>
          <w:highlight w:val="none"/>
          <w:lang w:eastAsia="zh-CN"/>
        </w:rPr>
      </w:pPr>
      <w:r>
        <w:rPr>
          <w:spacing w:val="-4"/>
          <w:sz w:val="24"/>
          <w:szCs w:val="24"/>
          <w:highlight w:val="none"/>
        </w:rPr>
        <w:t>统一社会信用代码：</w:t>
      </w:r>
      <w:r>
        <w:rPr>
          <w:rFonts w:hint="eastAsia"/>
          <w:spacing w:val="-4"/>
          <w:sz w:val="24"/>
          <w:szCs w:val="24"/>
          <w:highlight w:val="none"/>
          <w:u w:val="single"/>
          <w:lang w:val="en-US" w:eastAsia="zh-CN"/>
        </w:rPr>
        <w:t xml:space="preserve">                       </w:t>
      </w:r>
    </w:p>
    <w:p w14:paraId="3D3BFDB8">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29"/>
        <w:textAlignment w:val="baseline"/>
        <w:rPr>
          <w:rFonts w:hint="eastAsia" w:eastAsia="宋体"/>
          <w:sz w:val="24"/>
          <w:szCs w:val="24"/>
          <w:highlight w:val="none"/>
          <w:lang w:eastAsia="zh-CN"/>
        </w:rPr>
      </w:pPr>
      <w:r>
        <w:rPr>
          <w:spacing w:val="-4"/>
          <w:sz w:val="24"/>
          <w:szCs w:val="24"/>
          <w:highlight w:val="none"/>
        </w:rPr>
        <w:t>注册地址：</w:t>
      </w:r>
      <w:r>
        <w:rPr>
          <w:rFonts w:hint="eastAsia"/>
          <w:spacing w:val="-4"/>
          <w:sz w:val="24"/>
          <w:szCs w:val="24"/>
          <w:highlight w:val="none"/>
          <w:u w:val="single"/>
          <w:lang w:val="en-US" w:eastAsia="zh-CN"/>
        </w:rPr>
        <w:t xml:space="preserve">                       </w:t>
      </w:r>
    </w:p>
    <w:p w14:paraId="380BB8D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3"/>
        <w:textAlignment w:val="baseline"/>
        <w:rPr>
          <w:sz w:val="24"/>
          <w:szCs w:val="24"/>
          <w:highlight w:val="none"/>
        </w:rPr>
      </w:pPr>
      <w:r>
        <w:rPr>
          <w:spacing w:val="-3"/>
          <w:sz w:val="24"/>
          <w:szCs w:val="24"/>
          <w:highlight w:val="none"/>
        </w:rPr>
        <w:t>成立时间：</w:t>
      </w:r>
      <w:r>
        <w:rPr>
          <w:rFonts w:hint="eastAsia"/>
          <w:spacing w:val="-4"/>
          <w:sz w:val="24"/>
          <w:szCs w:val="24"/>
          <w:highlight w:val="none"/>
          <w:u w:val="single"/>
          <w:lang w:val="en-US" w:eastAsia="zh-CN"/>
        </w:rPr>
        <w:t xml:space="preserve">       </w:t>
      </w:r>
      <w:r>
        <w:rPr>
          <w:spacing w:val="-3"/>
          <w:sz w:val="24"/>
          <w:szCs w:val="24"/>
          <w:highlight w:val="none"/>
        </w:rPr>
        <w:t>年</w:t>
      </w:r>
      <w:r>
        <w:rPr>
          <w:rFonts w:hint="eastAsia"/>
          <w:spacing w:val="-4"/>
          <w:sz w:val="24"/>
          <w:szCs w:val="24"/>
          <w:highlight w:val="none"/>
          <w:u w:val="single"/>
          <w:lang w:val="en-US" w:eastAsia="zh-CN"/>
        </w:rPr>
        <w:t xml:space="preserve">       </w:t>
      </w:r>
      <w:r>
        <w:rPr>
          <w:spacing w:val="-4"/>
          <w:sz w:val="24"/>
          <w:szCs w:val="24"/>
          <w:highlight w:val="none"/>
        </w:rPr>
        <w:t>月</w:t>
      </w:r>
      <w:r>
        <w:rPr>
          <w:rFonts w:hint="eastAsia"/>
          <w:spacing w:val="-4"/>
          <w:sz w:val="24"/>
          <w:szCs w:val="24"/>
          <w:highlight w:val="none"/>
          <w:u w:val="single"/>
          <w:lang w:val="en-US" w:eastAsia="zh-CN"/>
        </w:rPr>
        <w:t xml:space="preserve">         </w:t>
      </w:r>
      <w:r>
        <w:rPr>
          <w:spacing w:val="-4"/>
          <w:sz w:val="24"/>
          <w:szCs w:val="24"/>
          <w:highlight w:val="none"/>
        </w:rPr>
        <w:t>日</w:t>
      </w:r>
    </w:p>
    <w:p w14:paraId="1292A71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3"/>
        <w:textAlignment w:val="baseline"/>
        <w:rPr>
          <w:rFonts w:hint="eastAsia" w:eastAsia="宋体"/>
          <w:sz w:val="24"/>
          <w:szCs w:val="24"/>
          <w:highlight w:val="none"/>
          <w:lang w:eastAsia="zh-CN"/>
        </w:rPr>
      </w:pPr>
      <w:r>
        <w:rPr>
          <w:spacing w:val="-4"/>
          <w:sz w:val="24"/>
          <w:szCs w:val="24"/>
          <w:highlight w:val="none"/>
        </w:rPr>
        <w:t>经营期限：</w:t>
      </w:r>
      <w:r>
        <w:rPr>
          <w:rFonts w:hint="eastAsia"/>
          <w:spacing w:val="-4"/>
          <w:sz w:val="24"/>
          <w:szCs w:val="24"/>
          <w:highlight w:val="none"/>
          <w:u w:val="single"/>
          <w:lang w:val="en-US" w:eastAsia="zh-CN"/>
        </w:rPr>
        <w:t xml:space="preserve">                       </w:t>
      </w:r>
    </w:p>
    <w:p w14:paraId="0F74CCA8">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33"/>
        <w:textAlignment w:val="baseline"/>
        <w:rPr>
          <w:rFonts w:hint="eastAsia" w:eastAsia="宋体"/>
          <w:sz w:val="24"/>
          <w:szCs w:val="24"/>
          <w:highlight w:val="none"/>
          <w:lang w:eastAsia="zh-CN"/>
        </w:rPr>
      </w:pPr>
      <w:r>
        <w:rPr>
          <w:spacing w:val="-6"/>
          <w:sz w:val="24"/>
          <w:szCs w:val="24"/>
          <w:highlight w:val="none"/>
        </w:rPr>
        <w:t>经营范围：主营</w:t>
      </w:r>
      <w:r>
        <w:rPr>
          <w:spacing w:val="-14"/>
          <w:sz w:val="24"/>
          <w:szCs w:val="24"/>
          <w:highlight w:val="none"/>
        </w:rPr>
        <w:t>：</w:t>
      </w:r>
      <w:r>
        <w:rPr>
          <w:rFonts w:hint="eastAsia"/>
          <w:spacing w:val="-4"/>
          <w:sz w:val="24"/>
          <w:szCs w:val="24"/>
          <w:highlight w:val="none"/>
          <w:u w:val="single"/>
          <w:lang w:val="en-US" w:eastAsia="zh-CN"/>
        </w:rPr>
        <w:t xml:space="preserve">                       </w:t>
      </w:r>
      <w:r>
        <w:rPr>
          <w:spacing w:val="-14"/>
          <w:sz w:val="24"/>
          <w:szCs w:val="24"/>
          <w:highlight w:val="none"/>
        </w:rPr>
        <w:t>；</w:t>
      </w:r>
      <w:r>
        <w:rPr>
          <w:spacing w:val="-6"/>
          <w:sz w:val="24"/>
          <w:szCs w:val="24"/>
          <w:highlight w:val="none"/>
        </w:rPr>
        <w:t>兼营：</w:t>
      </w:r>
      <w:r>
        <w:rPr>
          <w:rFonts w:hint="eastAsia"/>
          <w:spacing w:val="-4"/>
          <w:sz w:val="24"/>
          <w:szCs w:val="24"/>
          <w:highlight w:val="none"/>
          <w:u w:val="single"/>
          <w:lang w:val="en-US" w:eastAsia="zh-CN"/>
        </w:rPr>
        <w:t xml:space="preserve">                       </w:t>
      </w:r>
    </w:p>
    <w:p w14:paraId="022C791C">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28" w:right="108"/>
        <w:textAlignment w:val="baseline"/>
        <w:rPr>
          <w:sz w:val="24"/>
          <w:szCs w:val="24"/>
          <w:highlight w:val="none"/>
        </w:rPr>
      </w:pPr>
      <w:r>
        <w:rPr>
          <w:spacing w:val="-5"/>
          <w:sz w:val="24"/>
          <w:szCs w:val="24"/>
          <w:highlight w:val="none"/>
        </w:rPr>
        <w:t>姓名：</w:t>
      </w:r>
      <w:r>
        <w:rPr>
          <w:rFonts w:hint="eastAsia"/>
          <w:spacing w:val="-4"/>
          <w:sz w:val="24"/>
          <w:szCs w:val="24"/>
          <w:highlight w:val="none"/>
          <w:u w:val="single"/>
          <w:lang w:val="en-US" w:eastAsia="zh-CN"/>
        </w:rPr>
        <w:t xml:space="preserve">         </w:t>
      </w:r>
      <w:r>
        <w:rPr>
          <w:spacing w:val="-5"/>
          <w:sz w:val="24"/>
          <w:szCs w:val="24"/>
          <w:highlight w:val="none"/>
        </w:rPr>
        <w:t>性别：</w:t>
      </w:r>
      <w:r>
        <w:rPr>
          <w:rFonts w:hint="eastAsia"/>
          <w:spacing w:val="-4"/>
          <w:sz w:val="24"/>
          <w:szCs w:val="24"/>
          <w:highlight w:val="none"/>
          <w:u w:val="single"/>
          <w:lang w:val="en-US" w:eastAsia="zh-CN"/>
        </w:rPr>
        <w:t xml:space="preserve">         </w:t>
      </w:r>
      <w:r>
        <w:rPr>
          <w:spacing w:val="-5"/>
          <w:sz w:val="24"/>
          <w:szCs w:val="24"/>
          <w:highlight w:val="none"/>
        </w:rPr>
        <w:t>年龄：</w:t>
      </w:r>
      <w:r>
        <w:rPr>
          <w:rFonts w:hint="eastAsia"/>
          <w:spacing w:val="-4"/>
          <w:sz w:val="24"/>
          <w:szCs w:val="24"/>
          <w:highlight w:val="none"/>
          <w:u w:val="single"/>
          <w:lang w:val="en-US" w:eastAsia="zh-CN"/>
        </w:rPr>
        <w:t xml:space="preserve">         </w:t>
      </w:r>
      <w:r>
        <w:rPr>
          <w:spacing w:val="-5"/>
          <w:sz w:val="24"/>
          <w:szCs w:val="24"/>
          <w:highlight w:val="none"/>
        </w:rPr>
        <w:t>职务：</w:t>
      </w:r>
      <w:r>
        <w:rPr>
          <w:rFonts w:hint="eastAsia"/>
          <w:spacing w:val="-4"/>
          <w:sz w:val="24"/>
          <w:szCs w:val="24"/>
          <w:highlight w:val="none"/>
          <w:u w:val="single"/>
          <w:lang w:val="en-US" w:eastAsia="zh-CN"/>
        </w:rPr>
        <w:t xml:space="preserve">         </w:t>
      </w:r>
      <w:r>
        <w:rPr>
          <w:spacing w:val="-5"/>
          <w:sz w:val="24"/>
          <w:szCs w:val="24"/>
          <w:highlight w:val="none"/>
        </w:rPr>
        <w:t>系</w:t>
      </w:r>
      <w:r>
        <w:rPr>
          <w:rFonts w:hint="eastAsia"/>
          <w:spacing w:val="-4"/>
          <w:sz w:val="24"/>
          <w:szCs w:val="24"/>
          <w:highlight w:val="none"/>
          <w:u w:val="single"/>
          <w:lang w:val="en-US" w:eastAsia="zh-CN"/>
        </w:rPr>
        <w:t xml:space="preserve">         </w:t>
      </w:r>
      <w:r>
        <w:rPr>
          <w:spacing w:val="-5"/>
          <w:sz w:val="24"/>
          <w:szCs w:val="24"/>
          <w:highlight w:val="none"/>
          <w:u w:val="single" w:color="auto"/>
        </w:rPr>
        <w:t>（投标供应商名称）</w:t>
      </w:r>
      <w:r>
        <w:rPr>
          <w:spacing w:val="-5"/>
          <w:sz w:val="24"/>
          <w:szCs w:val="24"/>
          <w:highlight w:val="none"/>
        </w:rPr>
        <w:t>的法定</w:t>
      </w:r>
      <w:r>
        <w:rPr>
          <w:spacing w:val="-2"/>
          <w:sz w:val="24"/>
          <w:szCs w:val="24"/>
          <w:highlight w:val="none"/>
        </w:rPr>
        <w:t>代表人（单位负责人）。</w:t>
      </w:r>
    </w:p>
    <w:p w14:paraId="68258268">
      <w:pPr>
        <w:pStyle w:val="2"/>
        <w:keepNext w:val="0"/>
        <w:keepLines w:val="0"/>
        <w:pageBreakBefore w:val="0"/>
        <w:widowControl/>
        <w:kinsoku/>
        <w:wordWrap w:val="0"/>
        <w:overflowPunct/>
        <w:topLinePunct w:val="0"/>
        <w:autoSpaceDE/>
        <w:autoSpaceDN/>
        <w:bidi w:val="0"/>
        <w:adjustRightInd w:val="0"/>
        <w:snapToGrid w:val="0"/>
        <w:spacing w:before="119" w:line="360" w:lineRule="auto"/>
        <w:ind w:left="129"/>
        <w:textAlignment w:val="baseline"/>
        <w:rPr>
          <w:sz w:val="24"/>
          <w:szCs w:val="24"/>
          <w:highlight w:val="none"/>
        </w:rPr>
      </w:pPr>
      <w:r>
        <w:rPr>
          <w:spacing w:val="-4"/>
          <w:sz w:val="24"/>
          <w:szCs w:val="24"/>
          <w:highlight w:val="none"/>
        </w:rPr>
        <w:t>特此证明。</w:t>
      </w:r>
    </w:p>
    <w:p w14:paraId="14BE9A7E">
      <w:pPr>
        <w:pStyle w:val="2"/>
        <w:keepNext w:val="0"/>
        <w:keepLines w:val="0"/>
        <w:pageBreakBefore w:val="0"/>
        <w:widowControl/>
        <w:kinsoku/>
        <w:wordWrap w:val="0"/>
        <w:overflowPunct/>
        <w:topLinePunct w:val="0"/>
        <w:autoSpaceDE/>
        <w:autoSpaceDN/>
        <w:bidi w:val="0"/>
        <w:adjustRightInd w:val="0"/>
        <w:snapToGrid w:val="0"/>
        <w:spacing w:before="177" w:line="360" w:lineRule="auto"/>
        <w:ind w:left="167"/>
        <w:textAlignment w:val="baseline"/>
        <w:rPr>
          <w:sz w:val="24"/>
          <w:szCs w:val="24"/>
          <w:highlight w:val="none"/>
        </w:rPr>
      </w:pPr>
      <w:r>
        <w:rPr>
          <w:spacing w:val="-2"/>
          <w:sz w:val="24"/>
          <w:szCs w:val="24"/>
          <w:highlight w:val="none"/>
        </w:rPr>
        <w:t>附：法定代表人（单位负责人）身份证复印件（正面、反</w:t>
      </w:r>
      <w:r>
        <w:rPr>
          <w:spacing w:val="-3"/>
          <w:sz w:val="24"/>
          <w:szCs w:val="24"/>
          <w:highlight w:val="none"/>
        </w:rPr>
        <w:t>面）</w:t>
      </w:r>
    </w:p>
    <w:tbl>
      <w:tblPr>
        <w:tblStyle w:val="20"/>
        <w:tblW w:w="932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24"/>
      </w:tblGrid>
      <w:tr w14:paraId="3411AF3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34" w:hRule="atLeast"/>
        </w:trPr>
        <w:tc>
          <w:tcPr>
            <w:tcW w:w="9324" w:type="dxa"/>
            <w:vAlign w:val="center"/>
          </w:tcPr>
          <w:p w14:paraId="5D21BA15">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2"/>
                <w:highlight w:val="none"/>
              </w:rPr>
              <w:t>法定代表人（单位负责人）身份证复印件（正面、反面）</w:t>
            </w:r>
          </w:p>
        </w:tc>
      </w:tr>
    </w:tbl>
    <w:p w14:paraId="5264E24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06C773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7"/>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65501B14">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214"/>
        <w:textAlignment w:val="baseline"/>
        <w:rPr>
          <w:sz w:val="24"/>
          <w:szCs w:val="24"/>
          <w:highlight w:val="none"/>
        </w:rPr>
      </w:pPr>
      <w:r>
        <w:rPr>
          <w:b/>
          <w:bCs/>
          <w:spacing w:val="-23"/>
          <w:sz w:val="24"/>
          <w:szCs w:val="24"/>
          <w:highlight w:val="none"/>
        </w:rPr>
        <w:t>日期：</w:t>
      </w:r>
      <w:r>
        <w:rPr>
          <w:rFonts w:hint="eastAsia"/>
          <w:spacing w:val="-4"/>
          <w:sz w:val="24"/>
          <w:szCs w:val="24"/>
          <w:highlight w:val="none"/>
          <w:u w:val="single"/>
          <w:lang w:val="en-US" w:eastAsia="zh-CN"/>
        </w:rPr>
        <w:t xml:space="preserve">         </w:t>
      </w:r>
      <w:r>
        <w:rPr>
          <w:b/>
          <w:bCs/>
          <w:spacing w:val="-23"/>
          <w:sz w:val="24"/>
          <w:szCs w:val="24"/>
          <w:highlight w:val="none"/>
        </w:rPr>
        <w:t>年</w:t>
      </w:r>
      <w:r>
        <w:rPr>
          <w:rFonts w:hint="eastAsia"/>
          <w:spacing w:val="-4"/>
          <w:sz w:val="24"/>
          <w:szCs w:val="24"/>
          <w:highlight w:val="none"/>
          <w:u w:val="single"/>
          <w:lang w:val="en-US" w:eastAsia="zh-CN"/>
        </w:rPr>
        <w:t xml:space="preserve">         </w:t>
      </w:r>
      <w:r>
        <w:rPr>
          <w:b/>
          <w:bCs/>
          <w:spacing w:val="-23"/>
          <w:sz w:val="24"/>
          <w:szCs w:val="24"/>
          <w:highlight w:val="none"/>
        </w:rPr>
        <w:t>月</w:t>
      </w:r>
      <w:r>
        <w:rPr>
          <w:rFonts w:hint="eastAsia"/>
          <w:spacing w:val="-4"/>
          <w:sz w:val="24"/>
          <w:szCs w:val="24"/>
          <w:highlight w:val="none"/>
          <w:u w:val="single"/>
          <w:lang w:val="en-US" w:eastAsia="zh-CN"/>
        </w:rPr>
        <w:t xml:space="preserve">         </w:t>
      </w:r>
      <w:r>
        <w:rPr>
          <w:b/>
          <w:bCs/>
          <w:spacing w:val="-23"/>
          <w:sz w:val="24"/>
          <w:szCs w:val="24"/>
          <w:highlight w:val="none"/>
        </w:rPr>
        <w:t>日</w:t>
      </w:r>
    </w:p>
    <w:p w14:paraId="31560EF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C85C9F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808F9B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4"/>
          <w:sz w:val="19"/>
          <w:szCs w:val="19"/>
          <w:highlight w:val="none"/>
        </w:rPr>
      </w:pPr>
      <w:r>
        <w:rPr>
          <w:b/>
          <w:bCs/>
          <w:spacing w:val="4"/>
          <w:sz w:val="19"/>
          <w:szCs w:val="19"/>
          <w:highlight w:val="none"/>
        </w:rPr>
        <w:br w:type="page"/>
      </w:r>
    </w:p>
    <w:p w14:paraId="5E546EF1">
      <w:pPr>
        <w:pStyle w:val="6"/>
        <w:bidi w:val="0"/>
      </w:pPr>
      <w:bookmarkStart w:id="269" w:name="_Toc656"/>
      <w:bookmarkStart w:id="270" w:name="_Toc10093"/>
      <w:bookmarkStart w:id="271" w:name="_Toc10557"/>
      <w:r>
        <w:t>附件2-1授权委托书</w:t>
      </w:r>
      <w:bookmarkEnd w:id="269"/>
      <w:bookmarkEnd w:id="270"/>
      <w:bookmarkEnd w:id="271"/>
    </w:p>
    <w:p w14:paraId="4F5DE0B2">
      <w:pPr>
        <w:pStyle w:val="2"/>
        <w:keepNext w:val="0"/>
        <w:keepLines w:val="0"/>
        <w:pageBreakBefore w:val="0"/>
        <w:widowControl/>
        <w:kinsoku/>
        <w:wordWrap w:val="0"/>
        <w:overflowPunct/>
        <w:topLinePunct w:val="0"/>
        <w:autoSpaceDE/>
        <w:autoSpaceDN/>
        <w:bidi w:val="0"/>
        <w:adjustRightInd w:val="0"/>
        <w:snapToGrid w:val="0"/>
        <w:spacing w:before="198" w:line="360" w:lineRule="auto"/>
        <w:ind w:left="0" w:leftChars="0" w:firstLine="0" w:firstLineChars="0"/>
        <w:jc w:val="center"/>
        <w:textAlignment w:val="baseline"/>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授权委托书</w:t>
      </w:r>
    </w:p>
    <w:p w14:paraId="2E934669">
      <w:pPr>
        <w:pStyle w:val="2"/>
        <w:keepNext w:val="0"/>
        <w:keepLines w:val="0"/>
        <w:pageBreakBefore w:val="0"/>
        <w:widowControl/>
        <w:kinsoku/>
        <w:wordWrap w:val="0"/>
        <w:overflowPunct/>
        <w:topLinePunct w:val="0"/>
        <w:autoSpaceDE/>
        <w:autoSpaceDN/>
        <w:bidi w:val="0"/>
        <w:adjustRightInd w:val="0"/>
        <w:snapToGrid w:val="0"/>
        <w:spacing w:before="198" w:line="360" w:lineRule="auto"/>
        <w:ind w:left="0" w:leftChars="0" w:firstLine="0" w:firstLineChars="0"/>
        <w:jc w:val="center"/>
        <w:textAlignment w:val="baseline"/>
        <w:rPr>
          <w:sz w:val="24"/>
          <w:szCs w:val="24"/>
          <w:highlight w:val="none"/>
        </w:rPr>
      </w:pPr>
      <w:r>
        <w:rPr>
          <w:b/>
          <w:bCs/>
          <w:spacing w:val="-3"/>
          <w:sz w:val="24"/>
          <w:szCs w:val="24"/>
          <w:highlight w:val="none"/>
        </w:rPr>
        <w:t>(自然人投标的无需提供)</w:t>
      </w:r>
    </w:p>
    <w:p w14:paraId="20987AC2">
      <w:pPr>
        <w:pStyle w:val="2"/>
        <w:keepNext w:val="0"/>
        <w:keepLines w:val="0"/>
        <w:pageBreakBefore w:val="0"/>
        <w:widowControl/>
        <w:tabs>
          <w:tab w:val="left" w:pos="10420"/>
        </w:tabs>
        <w:kinsoku/>
        <w:wordWrap w:val="0"/>
        <w:overflowPunct/>
        <w:topLinePunct w:val="0"/>
        <w:autoSpaceDE/>
        <w:autoSpaceDN/>
        <w:bidi w:val="0"/>
        <w:adjustRightInd w:val="0"/>
        <w:snapToGrid w:val="0"/>
        <w:spacing w:before="207" w:line="360" w:lineRule="auto"/>
        <w:ind w:left="132" w:right="7" w:firstLine="480"/>
        <w:jc w:val="both"/>
        <w:textAlignment w:val="baseline"/>
        <w:rPr>
          <w:sz w:val="24"/>
          <w:szCs w:val="24"/>
          <w:highlight w:val="none"/>
        </w:rPr>
      </w:pPr>
      <w:r>
        <w:rPr>
          <w:spacing w:val="-10"/>
          <w:sz w:val="24"/>
          <w:szCs w:val="24"/>
          <w:highlight w:val="none"/>
        </w:rPr>
        <w:t>本人</w:t>
      </w:r>
      <w:r>
        <w:rPr>
          <w:rFonts w:hint="eastAsia"/>
          <w:spacing w:val="-4"/>
          <w:sz w:val="24"/>
          <w:szCs w:val="24"/>
          <w:highlight w:val="none"/>
          <w:u w:val="single"/>
          <w:lang w:val="en-US" w:eastAsia="zh-CN"/>
        </w:rPr>
        <w:t xml:space="preserve">         </w:t>
      </w:r>
      <w:r>
        <w:rPr>
          <w:spacing w:val="-10"/>
          <w:sz w:val="24"/>
          <w:szCs w:val="24"/>
          <w:highlight w:val="none"/>
          <w:u w:val="single" w:color="auto"/>
        </w:rPr>
        <w:t>（姓名、职务）</w:t>
      </w:r>
      <w:r>
        <w:rPr>
          <w:spacing w:val="-10"/>
          <w:sz w:val="24"/>
          <w:szCs w:val="24"/>
          <w:highlight w:val="none"/>
        </w:rPr>
        <w:t>系</w:t>
      </w:r>
      <w:r>
        <w:rPr>
          <w:rFonts w:hint="eastAsia"/>
          <w:spacing w:val="-4"/>
          <w:sz w:val="24"/>
          <w:szCs w:val="24"/>
          <w:highlight w:val="none"/>
          <w:u w:val="single"/>
          <w:lang w:val="en-US" w:eastAsia="zh-CN"/>
        </w:rPr>
        <w:t xml:space="preserve">         </w:t>
      </w:r>
      <w:r>
        <w:rPr>
          <w:spacing w:val="-10"/>
          <w:sz w:val="24"/>
          <w:szCs w:val="24"/>
          <w:highlight w:val="none"/>
          <w:u w:val="single" w:color="auto"/>
        </w:rPr>
        <w:t>（投标供应商名称）</w:t>
      </w:r>
      <w:r>
        <w:rPr>
          <w:spacing w:val="-10"/>
          <w:sz w:val="24"/>
          <w:szCs w:val="24"/>
          <w:highlight w:val="none"/>
        </w:rPr>
        <w:t>的法定代表人，现授权</w:t>
      </w:r>
      <w:r>
        <w:rPr>
          <w:rFonts w:hint="eastAsia"/>
          <w:spacing w:val="-4"/>
          <w:sz w:val="24"/>
          <w:szCs w:val="24"/>
          <w:highlight w:val="none"/>
          <w:u w:val="single"/>
          <w:lang w:val="en-US" w:eastAsia="zh-CN"/>
        </w:rPr>
        <w:t xml:space="preserve">         </w:t>
      </w:r>
      <w:r>
        <w:rPr>
          <w:spacing w:val="-10"/>
          <w:sz w:val="24"/>
          <w:szCs w:val="24"/>
          <w:highlight w:val="none"/>
          <w:u w:val="single" w:color="auto"/>
        </w:rPr>
        <w:t>（姓名、职务）</w:t>
      </w:r>
      <w:r>
        <w:rPr>
          <w:spacing w:val="-3"/>
          <w:sz w:val="24"/>
          <w:szCs w:val="24"/>
          <w:highlight w:val="none"/>
        </w:rPr>
        <w:t>为我方代理人。代理人根据授权，以我方名义签署、澄清、说明、补正、递交、撤回、修改</w:t>
      </w:r>
      <w:r>
        <w:rPr>
          <w:rFonts w:hint="eastAsia"/>
          <w:spacing w:val="-4"/>
          <w:sz w:val="24"/>
          <w:szCs w:val="24"/>
          <w:highlight w:val="none"/>
          <w:u w:val="single"/>
          <w:lang w:val="en-US" w:eastAsia="zh-CN"/>
        </w:rPr>
        <w:t xml:space="preserve">         </w:t>
      </w:r>
      <w:r>
        <w:rPr>
          <w:spacing w:val="-3"/>
          <w:sz w:val="24"/>
          <w:szCs w:val="24"/>
          <w:highlight w:val="none"/>
          <w:u w:val="single" w:color="auto"/>
        </w:rPr>
        <w:t>（项</w:t>
      </w:r>
      <w:r>
        <w:rPr>
          <w:spacing w:val="1"/>
          <w:sz w:val="24"/>
          <w:szCs w:val="24"/>
          <w:highlight w:val="none"/>
          <w:u w:val="single" w:color="auto"/>
        </w:rPr>
        <w:t>目名称</w:t>
      </w:r>
      <w:r>
        <w:rPr>
          <w:spacing w:val="-20"/>
          <w:sz w:val="24"/>
          <w:szCs w:val="24"/>
          <w:highlight w:val="none"/>
          <w:u w:val="single" w:color="auto"/>
        </w:rPr>
        <w:t>）</w:t>
      </w:r>
      <w:r>
        <w:rPr>
          <w:spacing w:val="-20"/>
          <w:sz w:val="24"/>
          <w:szCs w:val="24"/>
          <w:highlight w:val="none"/>
        </w:rPr>
        <w:t>（</w:t>
      </w:r>
      <w:r>
        <w:rPr>
          <w:spacing w:val="1"/>
          <w:sz w:val="24"/>
          <w:szCs w:val="24"/>
          <w:highlight w:val="none"/>
        </w:rPr>
        <w:t>政府采购编号</w:t>
      </w:r>
      <w:r>
        <w:rPr>
          <w:spacing w:val="-20"/>
          <w:sz w:val="24"/>
          <w:szCs w:val="24"/>
          <w:highlight w:val="none"/>
        </w:rPr>
        <w:t>：</w:t>
      </w:r>
      <w:r>
        <w:rPr>
          <w:rFonts w:hint="eastAsia"/>
          <w:spacing w:val="-4"/>
          <w:sz w:val="24"/>
          <w:szCs w:val="24"/>
          <w:highlight w:val="none"/>
          <w:u w:val="single"/>
          <w:lang w:val="en-US" w:eastAsia="zh-CN"/>
        </w:rPr>
        <w:t xml:space="preserve">         </w:t>
      </w:r>
      <w:r>
        <w:rPr>
          <w:spacing w:val="-20"/>
          <w:sz w:val="24"/>
          <w:szCs w:val="24"/>
          <w:highlight w:val="none"/>
        </w:rPr>
        <w:t>，</w:t>
      </w:r>
      <w:r>
        <w:rPr>
          <w:spacing w:val="1"/>
          <w:sz w:val="24"/>
          <w:szCs w:val="24"/>
          <w:highlight w:val="none"/>
        </w:rPr>
        <w:t>采购代理编号</w:t>
      </w:r>
      <w:r>
        <w:rPr>
          <w:spacing w:val="-20"/>
          <w:sz w:val="24"/>
          <w:szCs w:val="24"/>
          <w:highlight w:val="none"/>
        </w:rPr>
        <w:t>：</w:t>
      </w:r>
      <w:r>
        <w:rPr>
          <w:rFonts w:hint="eastAsia"/>
          <w:spacing w:val="-4"/>
          <w:sz w:val="24"/>
          <w:szCs w:val="24"/>
          <w:highlight w:val="none"/>
          <w:u w:val="single"/>
          <w:lang w:val="en-US" w:eastAsia="zh-CN"/>
        </w:rPr>
        <w:t xml:space="preserve">         </w:t>
      </w:r>
      <w:r>
        <w:rPr>
          <w:spacing w:val="-20"/>
          <w:sz w:val="24"/>
          <w:szCs w:val="24"/>
          <w:highlight w:val="none"/>
        </w:rPr>
        <w:t>）</w:t>
      </w:r>
      <w:r>
        <w:rPr>
          <w:spacing w:val="1"/>
          <w:sz w:val="24"/>
          <w:szCs w:val="24"/>
          <w:highlight w:val="none"/>
        </w:rPr>
        <w:t>投标文件、签订</w:t>
      </w:r>
      <w:r>
        <w:rPr>
          <w:spacing w:val="-2"/>
          <w:sz w:val="24"/>
          <w:szCs w:val="24"/>
          <w:highlight w:val="none"/>
        </w:rPr>
        <w:t>合同和处理有关事宜，其法律后果由我方承担。</w:t>
      </w:r>
    </w:p>
    <w:p w14:paraId="507B0970">
      <w:pPr>
        <w:pStyle w:val="2"/>
        <w:keepNext w:val="0"/>
        <w:keepLines w:val="0"/>
        <w:pageBreakBefore w:val="0"/>
        <w:widowControl/>
        <w:kinsoku/>
        <w:wordWrap w:val="0"/>
        <w:overflowPunct/>
        <w:topLinePunct w:val="0"/>
        <w:autoSpaceDE/>
        <w:autoSpaceDN/>
        <w:bidi w:val="0"/>
        <w:adjustRightInd w:val="0"/>
        <w:snapToGrid w:val="0"/>
        <w:spacing w:line="360" w:lineRule="auto"/>
        <w:ind w:left="608"/>
        <w:textAlignment w:val="baseline"/>
        <w:rPr>
          <w:sz w:val="24"/>
          <w:szCs w:val="24"/>
          <w:highlight w:val="none"/>
        </w:rPr>
      </w:pPr>
      <w:r>
        <w:rPr>
          <w:spacing w:val="-1"/>
          <w:sz w:val="24"/>
          <w:szCs w:val="24"/>
          <w:highlight w:val="none"/>
        </w:rPr>
        <w:t>委托期限：</w:t>
      </w:r>
      <w:r>
        <w:rPr>
          <w:rFonts w:hint="eastAsia"/>
          <w:spacing w:val="-4"/>
          <w:sz w:val="24"/>
          <w:szCs w:val="24"/>
          <w:highlight w:val="none"/>
          <w:u w:val="single"/>
          <w:lang w:val="en-US" w:eastAsia="zh-CN"/>
        </w:rPr>
        <w:t xml:space="preserve">         </w:t>
      </w:r>
      <w:r>
        <w:rPr>
          <w:spacing w:val="-1"/>
          <w:sz w:val="24"/>
          <w:szCs w:val="24"/>
          <w:highlight w:val="none"/>
        </w:rPr>
        <w:t>。</w:t>
      </w:r>
    </w:p>
    <w:p w14:paraId="461C39AF">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562"/>
        <w:textAlignment w:val="baseline"/>
        <w:rPr>
          <w:sz w:val="24"/>
          <w:szCs w:val="24"/>
          <w:highlight w:val="none"/>
        </w:rPr>
      </w:pPr>
      <w:r>
        <w:rPr>
          <w:spacing w:val="-2"/>
          <w:sz w:val="24"/>
          <w:szCs w:val="24"/>
          <w:highlight w:val="none"/>
        </w:rPr>
        <w:t>代理人无转委托权。</w:t>
      </w:r>
    </w:p>
    <w:p w14:paraId="1234DE21">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567"/>
        <w:textAlignment w:val="baseline"/>
        <w:rPr>
          <w:sz w:val="24"/>
          <w:szCs w:val="24"/>
          <w:highlight w:val="none"/>
        </w:rPr>
      </w:pPr>
      <w:r>
        <w:rPr>
          <w:spacing w:val="-5"/>
          <w:sz w:val="24"/>
          <w:szCs w:val="24"/>
          <w:highlight w:val="none"/>
        </w:rPr>
        <w:t>本授权书于</w:t>
      </w:r>
      <w:r>
        <w:rPr>
          <w:rFonts w:hint="eastAsia"/>
          <w:spacing w:val="-4"/>
          <w:sz w:val="24"/>
          <w:szCs w:val="24"/>
          <w:highlight w:val="none"/>
          <w:u w:val="single"/>
          <w:lang w:val="en-US" w:eastAsia="zh-CN"/>
        </w:rPr>
        <w:t xml:space="preserve">         </w:t>
      </w:r>
      <w:r>
        <w:rPr>
          <w:spacing w:val="-5"/>
          <w:sz w:val="24"/>
          <w:szCs w:val="24"/>
          <w:highlight w:val="none"/>
        </w:rPr>
        <w:t>年</w:t>
      </w:r>
      <w:r>
        <w:rPr>
          <w:rFonts w:hint="eastAsia"/>
          <w:spacing w:val="-4"/>
          <w:sz w:val="24"/>
          <w:szCs w:val="24"/>
          <w:highlight w:val="none"/>
          <w:u w:val="single"/>
          <w:lang w:val="en-US" w:eastAsia="zh-CN"/>
        </w:rPr>
        <w:t xml:space="preserve">         </w:t>
      </w:r>
      <w:r>
        <w:rPr>
          <w:spacing w:val="-5"/>
          <w:sz w:val="24"/>
          <w:szCs w:val="24"/>
          <w:highlight w:val="none"/>
        </w:rPr>
        <w:t>月</w:t>
      </w:r>
      <w:r>
        <w:rPr>
          <w:rFonts w:hint="eastAsia"/>
          <w:spacing w:val="-4"/>
          <w:sz w:val="24"/>
          <w:szCs w:val="24"/>
          <w:highlight w:val="none"/>
          <w:u w:val="single"/>
          <w:lang w:val="en-US" w:eastAsia="zh-CN"/>
        </w:rPr>
        <w:t xml:space="preserve">         </w:t>
      </w:r>
      <w:r>
        <w:rPr>
          <w:spacing w:val="-5"/>
          <w:sz w:val="24"/>
          <w:szCs w:val="24"/>
          <w:highlight w:val="none"/>
        </w:rPr>
        <w:t>日签字生效，特</w:t>
      </w:r>
      <w:r>
        <w:rPr>
          <w:spacing w:val="-6"/>
          <w:sz w:val="24"/>
          <w:szCs w:val="24"/>
          <w:highlight w:val="none"/>
        </w:rPr>
        <w:t>此声明。</w:t>
      </w:r>
    </w:p>
    <w:p w14:paraId="67BA1171">
      <w:pPr>
        <w:pStyle w:val="2"/>
        <w:keepNext w:val="0"/>
        <w:keepLines w:val="0"/>
        <w:pageBreakBefore w:val="0"/>
        <w:widowControl/>
        <w:kinsoku/>
        <w:wordWrap w:val="0"/>
        <w:overflowPunct/>
        <w:topLinePunct w:val="0"/>
        <w:autoSpaceDE/>
        <w:autoSpaceDN/>
        <w:bidi w:val="0"/>
        <w:adjustRightInd w:val="0"/>
        <w:snapToGrid w:val="0"/>
        <w:spacing w:before="262" w:line="360" w:lineRule="auto"/>
        <w:ind w:left="167"/>
        <w:textAlignment w:val="baseline"/>
        <w:rPr>
          <w:highlight w:val="none"/>
        </w:rPr>
      </w:pPr>
      <w:r>
        <w:rPr>
          <w:spacing w:val="-2"/>
          <w:sz w:val="24"/>
          <w:szCs w:val="24"/>
          <w:highlight w:val="none"/>
        </w:rPr>
        <w:t>附：法定代表人（单位负责人）及委托代理人身份证复印件（正面、反面）</w:t>
      </w:r>
    </w:p>
    <w:tbl>
      <w:tblPr>
        <w:tblStyle w:val="20"/>
        <w:tblW w:w="91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14"/>
      </w:tblGrid>
      <w:tr w14:paraId="383B9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9114" w:type="dxa"/>
            <w:vAlign w:val="center"/>
          </w:tcPr>
          <w:p w14:paraId="532EFABD">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2"/>
                <w:highlight w:val="none"/>
              </w:rPr>
              <w:t>法定代表人（单位负责人）身份证复印件（正面、反面）</w:t>
            </w:r>
          </w:p>
        </w:tc>
      </w:tr>
      <w:tr w14:paraId="42ED7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3" w:hRule="atLeast"/>
        </w:trPr>
        <w:tc>
          <w:tcPr>
            <w:tcW w:w="9114" w:type="dxa"/>
            <w:vAlign w:val="center"/>
          </w:tcPr>
          <w:p w14:paraId="5F6CA1AA">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highlight w:val="none"/>
              </w:rPr>
            </w:pPr>
            <w:r>
              <w:rPr>
                <w:spacing w:val="-2"/>
                <w:highlight w:val="none"/>
              </w:rPr>
              <w:t>委托代理人身份证复印件（正面、反面）</w:t>
            </w:r>
          </w:p>
        </w:tc>
      </w:tr>
    </w:tbl>
    <w:p w14:paraId="1B14306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37"/>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362B7E54">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132"/>
        <w:textAlignment w:val="baseline"/>
        <w:rPr>
          <w:rFonts w:hint="eastAsia" w:eastAsia="宋体"/>
          <w:sz w:val="24"/>
          <w:szCs w:val="24"/>
          <w:highlight w:val="none"/>
          <w:lang w:eastAsia="zh-CN"/>
        </w:rPr>
      </w:pPr>
      <w:r>
        <w:rPr>
          <w:b/>
          <w:bCs/>
          <w:spacing w:val="-2"/>
          <w:sz w:val="24"/>
          <w:szCs w:val="24"/>
          <w:highlight w:val="none"/>
        </w:rPr>
        <w:t>法定代表人（单位负责人</w:t>
      </w:r>
      <w:r>
        <w:rPr>
          <w:b/>
          <w:bCs/>
          <w:spacing w:val="-15"/>
          <w:sz w:val="24"/>
          <w:szCs w:val="24"/>
          <w:highlight w:val="none"/>
        </w:rPr>
        <w:t>）（</w:t>
      </w:r>
      <w:r>
        <w:rPr>
          <w:b/>
          <w:bCs/>
          <w:spacing w:val="-2"/>
          <w:sz w:val="24"/>
          <w:szCs w:val="24"/>
          <w:highlight w:val="none"/>
        </w:rPr>
        <w:t>签字或印章</w:t>
      </w:r>
      <w:r>
        <w:rPr>
          <w:b/>
          <w:bCs/>
          <w:spacing w:val="-15"/>
          <w:sz w:val="24"/>
          <w:szCs w:val="24"/>
          <w:highlight w:val="none"/>
        </w:rPr>
        <w:t>）：</w:t>
      </w:r>
      <w:r>
        <w:rPr>
          <w:rFonts w:hint="eastAsia"/>
          <w:spacing w:val="-4"/>
          <w:sz w:val="24"/>
          <w:szCs w:val="24"/>
          <w:highlight w:val="none"/>
          <w:u w:val="single"/>
          <w:lang w:val="en-US" w:eastAsia="zh-CN"/>
        </w:rPr>
        <w:t xml:space="preserve">                  </w:t>
      </w:r>
    </w:p>
    <w:p w14:paraId="32E66BA4">
      <w:pPr>
        <w:pStyle w:val="2"/>
        <w:keepNext w:val="0"/>
        <w:keepLines w:val="0"/>
        <w:pageBreakBefore w:val="0"/>
        <w:widowControl/>
        <w:kinsoku/>
        <w:wordWrap w:val="0"/>
        <w:overflowPunct/>
        <w:topLinePunct w:val="0"/>
        <w:autoSpaceDE/>
        <w:autoSpaceDN/>
        <w:bidi w:val="0"/>
        <w:adjustRightInd w:val="0"/>
        <w:snapToGrid w:val="0"/>
        <w:spacing w:before="181" w:line="360" w:lineRule="auto"/>
        <w:ind w:left="128"/>
        <w:textAlignment w:val="baseline"/>
        <w:rPr>
          <w:rFonts w:hint="eastAsia" w:eastAsia="宋体"/>
          <w:sz w:val="24"/>
          <w:szCs w:val="24"/>
          <w:highlight w:val="none"/>
          <w:lang w:eastAsia="zh-CN"/>
        </w:rPr>
      </w:pPr>
      <w:r>
        <w:rPr>
          <w:b/>
          <w:bCs/>
          <w:spacing w:val="-6"/>
          <w:sz w:val="24"/>
          <w:szCs w:val="24"/>
          <w:highlight w:val="none"/>
        </w:rPr>
        <w:t>委托代理人（签字或印章</w:t>
      </w:r>
      <w:r>
        <w:rPr>
          <w:b/>
          <w:bCs/>
          <w:spacing w:val="2"/>
          <w:sz w:val="24"/>
          <w:szCs w:val="24"/>
          <w:highlight w:val="none"/>
        </w:rPr>
        <w:t>）：</w:t>
      </w:r>
      <w:r>
        <w:rPr>
          <w:rFonts w:hint="eastAsia"/>
          <w:spacing w:val="-4"/>
          <w:sz w:val="24"/>
          <w:szCs w:val="24"/>
          <w:highlight w:val="none"/>
          <w:u w:val="single"/>
          <w:lang w:val="en-US" w:eastAsia="zh-CN"/>
        </w:rPr>
        <w:t xml:space="preserve">                  </w:t>
      </w:r>
    </w:p>
    <w:p w14:paraId="75F13A79">
      <w:pPr>
        <w:pStyle w:val="2"/>
        <w:keepNext w:val="0"/>
        <w:keepLines w:val="0"/>
        <w:pageBreakBefore w:val="0"/>
        <w:widowControl/>
        <w:kinsoku/>
        <w:wordWrap w:val="0"/>
        <w:overflowPunct/>
        <w:topLinePunct w:val="0"/>
        <w:autoSpaceDE/>
        <w:autoSpaceDN/>
        <w:bidi w:val="0"/>
        <w:adjustRightInd w:val="0"/>
        <w:snapToGrid w:val="0"/>
        <w:spacing w:before="185" w:line="360" w:lineRule="auto"/>
        <w:ind w:left="214"/>
        <w:textAlignment w:val="baseline"/>
        <w:rPr>
          <w:sz w:val="24"/>
          <w:szCs w:val="24"/>
          <w:highlight w:val="none"/>
        </w:rPr>
      </w:pPr>
      <w:r>
        <w:rPr>
          <w:b/>
          <w:bCs/>
          <w:spacing w:val="-22"/>
          <w:sz w:val="24"/>
          <w:szCs w:val="24"/>
          <w:highlight w:val="none"/>
        </w:rPr>
        <w:t>日期：</w:t>
      </w:r>
      <w:r>
        <w:rPr>
          <w:rFonts w:hint="eastAsia"/>
          <w:spacing w:val="-4"/>
          <w:sz w:val="24"/>
          <w:szCs w:val="24"/>
          <w:highlight w:val="none"/>
          <w:u w:val="single"/>
          <w:lang w:val="en-US" w:eastAsia="zh-CN"/>
        </w:rPr>
        <w:t xml:space="preserve">         </w:t>
      </w:r>
      <w:r>
        <w:rPr>
          <w:b/>
          <w:bCs/>
          <w:spacing w:val="-22"/>
          <w:sz w:val="24"/>
          <w:szCs w:val="24"/>
          <w:highlight w:val="none"/>
        </w:rPr>
        <w:t>年</w:t>
      </w:r>
      <w:r>
        <w:rPr>
          <w:rFonts w:hint="eastAsia"/>
          <w:spacing w:val="-4"/>
          <w:sz w:val="24"/>
          <w:szCs w:val="24"/>
          <w:highlight w:val="none"/>
          <w:u w:val="single"/>
          <w:lang w:val="en-US" w:eastAsia="zh-CN"/>
        </w:rPr>
        <w:t xml:space="preserve">         </w:t>
      </w:r>
      <w:r>
        <w:rPr>
          <w:b/>
          <w:bCs/>
          <w:spacing w:val="-22"/>
          <w:sz w:val="24"/>
          <w:szCs w:val="24"/>
          <w:highlight w:val="none"/>
        </w:rPr>
        <w:t>月</w:t>
      </w:r>
      <w:r>
        <w:rPr>
          <w:rFonts w:hint="eastAsia"/>
          <w:spacing w:val="-4"/>
          <w:sz w:val="24"/>
          <w:szCs w:val="24"/>
          <w:highlight w:val="none"/>
          <w:u w:val="single"/>
          <w:lang w:val="en-US" w:eastAsia="zh-CN"/>
        </w:rPr>
        <w:t xml:space="preserve">         </w:t>
      </w:r>
      <w:r>
        <w:rPr>
          <w:b/>
          <w:bCs/>
          <w:spacing w:val="-22"/>
          <w:sz w:val="24"/>
          <w:szCs w:val="24"/>
          <w:highlight w:val="none"/>
        </w:rPr>
        <w:t>日</w:t>
      </w:r>
    </w:p>
    <w:p w14:paraId="3E92EE9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2078F7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29"/>
        <w:textAlignment w:val="baseline"/>
        <w:rPr>
          <w:sz w:val="24"/>
          <w:szCs w:val="24"/>
          <w:highlight w:val="none"/>
        </w:rPr>
      </w:pPr>
      <w:r>
        <w:rPr>
          <w:b/>
          <w:bCs/>
          <w:spacing w:val="-9"/>
          <w:sz w:val="24"/>
          <w:szCs w:val="24"/>
          <w:highlight w:val="none"/>
        </w:rPr>
        <w:t>注：委托期限不少于投标文件有效期（90日历日）</w:t>
      </w:r>
    </w:p>
    <w:p w14:paraId="71C28D8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3"/>
          <w:highlight w:val="none"/>
        </w:rPr>
      </w:pPr>
      <w:bookmarkStart w:id="272" w:name="bookmark41"/>
      <w:bookmarkEnd w:id="272"/>
      <w:r>
        <w:rPr>
          <w:b/>
          <w:bCs/>
          <w:spacing w:val="13"/>
          <w:highlight w:val="none"/>
        </w:rPr>
        <w:br w:type="page"/>
      </w:r>
    </w:p>
    <w:p w14:paraId="29EF76E5">
      <w:pPr>
        <w:pStyle w:val="5"/>
        <w:bidi w:val="0"/>
      </w:pPr>
      <w:bookmarkStart w:id="273" w:name="_Toc25958"/>
      <w:r>
        <w:t>三、投标供应商提供的资格证明文件</w:t>
      </w:r>
      <w:bookmarkEnd w:id="273"/>
    </w:p>
    <w:p w14:paraId="288056A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jc w:val="center"/>
        <w:textAlignment w:val="baseline"/>
        <w:rPr>
          <w:rFonts w:ascii="宋体" w:hAnsi="宋体" w:eastAsia="宋体" w:cs="宋体"/>
          <w:b/>
          <w:bCs/>
          <w:spacing w:val="-8"/>
          <w:sz w:val="24"/>
          <w:szCs w:val="24"/>
          <w:highlight w:val="none"/>
        </w:rPr>
      </w:pPr>
      <w:r>
        <w:rPr>
          <w:rFonts w:ascii="宋体" w:hAnsi="宋体" w:eastAsia="宋体" w:cs="宋体"/>
          <w:b/>
          <w:bCs/>
          <w:spacing w:val="-8"/>
          <w:sz w:val="24"/>
          <w:szCs w:val="24"/>
          <w:highlight w:val="none"/>
        </w:rPr>
        <w:t>须知</w:t>
      </w:r>
    </w:p>
    <w:p w14:paraId="20E8F31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6DFA28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3"/>
        <w:textAlignment w:val="baseline"/>
        <w:rPr>
          <w:sz w:val="24"/>
          <w:szCs w:val="24"/>
          <w:highlight w:val="none"/>
        </w:rPr>
      </w:pPr>
      <w:r>
        <w:rPr>
          <w:b/>
          <w:bCs/>
          <w:spacing w:val="-7"/>
          <w:sz w:val="24"/>
          <w:szCs w:val="24"/>
          <w:highlight w:val="none"/>
        </w:rPr>
        <w:t>1、投标供应商应按第二章第15.1款要求提</w:t>
      </w:r>
      <w:r>
        <w:rPr>
          <w:b/>
          <w:bCs/>
          <w:spacing w:val="-8"/>
          <w:sz w:val="24"/>
          <w:szCs w:val="24"/>
          <w:highlight w:val="none"/>
        </w:rPr>
        <w:t>供下列的证明材料</w:t>
      </w:r>
    </w:p>
    <w:p w14:paraId="2260496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8" w:leftChars="304" w:firstLine="0" w:firstLineChars="0"/>
        <w:textAlignment w:val="baseline"/>
        <w:rPr>
          <w:rFonts w:ascii="宋体" w:hAnsi="宋体" w:eastAsia="宋体" w:cs="宋体"/>
          <w:spacing w:val="-4"/>
          <w:sz w:val="24"/>
          <w:szCs w:val="24"/>
          <w:highlight w:val="none"/>
        </w:rPr>
      </w:pPr>
      <w:r>
        <w:rPr>
          <w:rFonts w:ascii="宋体" w:hAnsi="宋体" w:eastAsia="宋体" w:cs="宋体"/>
          <w:spacing w:val="-4"/>
          <w:sz w:val="24"/>
          <w:szCs w:val="24"/>
          <w:highlight w:val="none"/>
        </w:rPr>
        <w:t>附件3-1法人或者其他组织的营业执照等主体资格证明文件，自然人的身份证明</w:t>
      </w:r>
    </w:p>
    <w:p w14:paraId="726E5BF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8" w:leftChars="304" w:firstLine="0" w:firstLineChars="0"/>
        <w:textAlignment w:val="baseline"/>
        <w:rPr>
          <w:sz w:val="24"/>
          <w:szCs w:val="24"/>
          <w:highlight w:val="none"/>
        </w:rPr>
      </w:pPr>
      <w:r>
        <w:rPr>
          <w:spacing w:val="-4"/>
          <w:sz w:val="24"/>
          <w:szCs w:val="24"/>
          <w:highlight w:val="none"/>
        </w:rPr>
        <w:t>附件3-2湖南省政府采购供应商资格承诺函(格式)</w:t>
      </w:r>
    </w:p>
    <w:p w14:paraId="586735E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8" w:leftChars="304" w:firstLine="0" w:firstLineChars="0"/>
        <w:textAlignment w:val="baseline"/>
        <w:rPr>
          <w:sz w:val="24"/>
          <w:szCs w:val="24"/>
          <w:highlight w:val="none"/>
        </w:rPr>
      </w:pPr>
      <w:r>
        <w:rPr>
          <w:spacing w:val="-4"/>
          <w:sz w:val="24"/>
          <w:szCs w:val="24"/>
          <w:highlight w:val="none"/>
        </w:rPr>
        <w:t>附件3-3符合特定资格条件证明材料复印件或者</w:t>
      </w:r>
      <w:r>
        <w:rPr>
          <w:spacing w:val="-5"/>
          <w:sz w:val="24"/>
          <w:szCs w:val="24"/>
          <w:highlight w:val="none"/>
        </w:rPr>
        <w:t>情况说明</w:t>
      </w:r>
    </w:p>
    <w:p w14:paraId="16C26081">
      <w:pPr>
        <w:keepNext w:val="0"/>
        <w:keepLines w:val="0"/>
        <w:pageBreakBefore w:val="0"/>
        <w:widowControl/>
        <w:kinsoku/>
        <w:wordWrap w:val="0"/>
        <w:overflowPunct/>
        <w:topLinePunct w:val="0"/>
        <w:autoSpaceDE/>
        <w:autoSpaceDN/>
        <w:bidi w:val="0"/>
        <w:adjustRightInd w:val="0"/>
        <w:snapToGrid w:val="0"/>
        <w:spacing w:line="360" w:lineRule="auto"/>
        <w:ind w:left="638" w:leftChars="304" w:firstLine="0" w:firstLineChars="0"/>
        <w:textAlignment w:val="baseline"/>
        <w:rPr>
          <w:rFonts w:hint="eastAsia" w:ascii="宋体" w:hAnsi="宋体" w:eastAsia="宋体" w:cs="宋体"/>
          <w:sz w:val="24"/>
          <w:szCs w:val="24"/>
          <w:highlight w:val="none"/>
        </w:rPr>
      </w:pPr>
      <w:r>
        <w:rPr>
          <w:rFonts w:hint="eastAsia" w:ascii="宋体" w:hAnsi="宋体" w:eastAsia="宋体" w:cs="宋体"/>
          <w:spacing w:val="-2"/>
          <w:sz w:val="24"/>
          <w:szCs w:val="24"/>
        </w:rPr>
        <w:t>附件</w:t>
      </w:r>
      <w:r>
        <w:rPr>
          <w:rFonts w:hint="eastAsia" w:ascii="宋体" w:hAnsi="宋体" w:eastAsia="宋体" w:cs="宋体"/>
          <w:spacing w:val="-4"/>
          <w:sz w:val="24"/>
          <w:szCs w:val="24"/>
          <w:highlight w:val="none"/>
        </w:rPr>
        <w:t>3-</w:t>
      </w:r>
      <w:r>
        <w:rPr>
          <w:rFonts w:hint="eastAsia" w:ascii="宋体" w:hAnsi="宋体" w:eastAsia="宋体" w:cs="宋体"/>
          <w:spacing w:val="-4"/>
          <w:sz w:val="24"/>
          <w:szCs w:val="24"/>
          <w:highlight w:val="none"/>
          <w:lang w:val="en-US" w:eastAsia="zh-CN"/>
        </w:rPr>
        <w:t>4</w:t>
      </w:r>
      <w:r>
        <w:rPr>
          <w:rFonts w:hint="eastAsia" w:ascii="宋体" w:hAnsi="宋体" w:eastAsia="宋体" w:cs="宋体"/>
          <w:spacing w:val="-2"/>
          <w:sz w:val="24"/>
          <w:szCs w:val="24"/>
        </w:rPr>
        <w:t>分包承诺</w:t>
      </w:r>
    </w:p>
    <w:p w14:paraId="788C6F4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EDD405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0B017F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832035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AA4978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1"/>
          <w:sz w:val="19"/>
          <w:szCs w:val="19"/>
          <w:highlight w:val="none"/>
        </w:rPr>
      </w:pPr>
      <w:r>
        <w:rPr>
          <w:b/>
          <w:bCs/>
          <w:spacing w:val="11"/>
          <w:sz w:val="19"/>
          <w:szCs w:val="19"/>
          <w:highlight w:val="none"/>
        </w:rPr>
        <w:br w:type="page"/>
      </w:r>
    </w:p>
    <w:p w14:paraId="021EE47E">
      <w:pPr>
        <w:pStyle w:val="6"/>
        <w:bidi w:val="0"/>
      </w:pPr>
      <w:bookmarkStart w:id="274" w:name="_Toc675"/>
      <w:bookmarkStart w:id="275" w:name="_Toc4388"/>
      <w:bookmarkStart w:id="276" w:name="_Toc32380"/>
      <w:r>
        <w:t>附件3-1法人或者其他组织的营业执照等主体资格证明文件，自然人的身份证明</w:t>
      </w:r>
      <w:bookmarkEnd w:id="274"/>
      <w:bookmarkEnd w:id="275"/>
      <w:bookmarkEnd w:id="276"/>
    </w:p>
    <w:p w14:paraId="7622B12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98B361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D770FC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0" w:leftChars="0" w:firstLine="0" w:firstLineChars="0"/>
        <w:jc w:val="center"/>
        <w:textAlignment w:val="baseline"/>
        <w:rPr>
          <w:rFonts w:ascii="宋体" w:hAnsi="宋体" w:eastAsia="宋体" w:cs="宋体"/>
          <w:b/>
          <w:bCs/>
          <w:spacing w:val="-4"/>
          <w:sz w:val="24"/>
          <w:szCs w:val="24"/>
          <w:highlight w:val="none"/>
        </w:rPr>
      </w:pPr>
      <w:bookmarkStart w:id="277" w:name="bookmark42"/>
      <w:bookmarkEnd w:id="277"/>
      <w:r>
        <w:rPr>
          <w:rFonts w:ascii="宋体" w:hAnsi="宋体" w:eastAsia="宋体" w:cs="宋体"/>
          <w:b/>
          <w:bCs/>
          <w:spacing w:val="-4"/>
          <w:sz w:val="24"/>
          <w:szCs w:val="24"/>
          <w:highlight w:val="none"/>
        </w:rPr>
        <w:t>法人或者其他组织的营业执照等主体资格证明文件，自然人的身份证明</w:t>
      </w:r>
    </w:p>
    <w:p w14:paraId="601616D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BA17EB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z w:val="24"/>
          <w:szCs w:val="24"/>
          <w:highlight w:val="none"/>
        </w:rPr>
      </w:pPr>
      <w:r>
        <w:rPr>
          <w:spacing w:val="-4"/>
          <w:sz w:val="24"/>
          <w:szCs w:val="24"/>
          <w:highlight w:val="none"/>
        </w:rPr>
        <w:t>注：按第二章第15.1（1）项要求提供。</w:t>
      </w:r>
    </w:p>
    <w:p w14:paraId="4F0178C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（1）投标供应商为法人的，应提交营业执照或法人登记证书的复印件；</w:t>
      </w:r>
    </w:p>
    <w:p w14:paraId="14AB0FC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（2）投标供应商为非法人组织的，应提交依法登记证书复印件；</w:t>
      </w:r>
    </w:p>
    <w:p w14:paraId="12F3501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20"/>
        <w:textAlignment w:val="baseline"/>
        <w:rPr>
          <w:sz w:val="24"/>
          <w:szCs w:val="24"/>
          <w:highlight w:val="none"/>
        </w:rPr>
      </w:pPr>
      <w:r>
        <w:rPr>
          <w:spacing w:val="-2"/>
          <w:sz w:val="24"/>
          <w:szCs w:val="24"/>
          <w:highlight w:val="none"/>
        </w:rPr>
        <w:t>（3）投标供应商为个体工商户的，应提交个体工商户营业执照复印件；</w:t>
      </w:r>
    </w:p>
    <w:p w14:paraId="2D747C2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0"/>
        <w:textAlignment w:val="baseline"/>
        <w:rPr>
          <w:sz w:val="24"/>
          <w:szCs w:val="24"/>
          <w:highlight w:val="none"/>
        </w:rPr>
      </w:pPr>
      <w:r>
        <w:rPr>
          <w:spacing w:val="-2"/>
          <w:sz w:val="24"/>
          <w:szCs w:val="24"/>
          <w:highlight w:val="none"/>
        </w:rPr>
        <w:t>（4）投标供应商为自然人的，应提交自然人的身份证明复印件。</w:t>
      </w:r>
    </w:p>
    <w:p w14:paraId="3DAAAF8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467495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B22CF3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C1C73D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0"/>
          <w:sz w:val="19"/>
          <w:szCs w:val="19"/>
          <w:highlight w:val="none"/>
        </w:rPr>
      </w:pPr>
      <w:r>
        <w:rPr>
          <w:b/>
          <w:bCs/>
          <w:spacing w:val="10"/>
          <w:sz w:val="19"/>
          <w:szCs w:val="19"/>
          <w:highlight w:val="none"/>
        </w:rPr>
        <w:br w:type="page"/>
      </w:r>
    </w:p>
    <w:p w14:paraId="4F55C288">
      <w:pPr>
        <w:pStyle w:val="6"/>
        <w:bidi w:val="0"/>
      </w:pPr>
      <w:bookmarkStart w:id="278" w:name="_Toc24031"/>
      <w:bookmarkStart w:id="279" w:name="_Toc2209"/>
      <w:bookmarkStart w:id="280" w:name="_Toc22952"/>
      <w:r>
        <w:t>附件3-2湖南省政府采购供应商资格承诺函(格式)</w:t>
      </w:r>
      <w:bookmarkEnd w:id="278"/>
      <w:bookmarkEnd w:id="279"/>
      <w:bookmarkEnd w:id="280"/>
    </w:p>
    <w:p w14:paraId="4E1944D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3"/>
        <w:jc w:val="center"/>
        <w:textAlignment w:val="baseline"/>
        <w:rPr>
          <w:rFonts w:ascii="宋体" w:hAnsi="宋体" w:eastAsia="宋体" w:cs="宋体"/>
          <w:b/>
          <w:bCs/>
          <w:spacing w:val="-6"/>
          <w:sz w:val="24"/>
          <w:szCs w:val="24"/>
          <w:highlight w:val="none"/>
        </w:rPr>
      </w:pPr>
      <w:bookmarkStart w:id="281" w:name="bookmark43"/>
      <w:bookmarkEnd w:id="281"/>
      <w:r>
        <w:rPr>
          <w:rFonts w:ascii="宋体" w:hAnsi="宋体" w:eastAsia="宋体" w:cs="宋体"/>
          <w:b/>
          <w:bCs/>
          <w:spacing w:val="-6"/>
          <w:sz w:val="24"/>
          <w:szCs w:val="24"/>
          <w:highlight w:val="none"/>
        </w:rPr>
        <w:t>湖南省政府采购供应商资格承诺函(格式)</w:t>
      </w:r>
    </w:p>
    <w:p w14:paraId="53A734F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CB120C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firstLine="480"/>
        <w:jc w:val="both"/>
        <w:textAlignment w:val="baseline"/>
        <w:rPr>
          <w:sz w:val="24"/>
          <w:szCs w:val="24"/>
          <w:highlight w:val="none"/>
        </w:rPr>
      </w:pPr>
      <w:r>
        <w:rPr>
          <w:spacing w:val="-3"/>
          <w:sz w:val="24"/>
          <w:szCs w:val="24"/>
          <w:highlight w:val="none"/>
        </w:rPr>
        <w:t>本公司独立承担民事责任、具有良好的商业信誉和健全的财务会计制度、</w:t>
      </w:r>
      <w:r>
        <w:rPr>
          <w:spacing w:val="-4"/>
          <w:sz w:val="24"/>
          <w:szCs w:val="24"/>
          <w:highlight w:val="none"/>
        </w:rPr>
        <w:t>依法缴纳税收和社会</w:t>
      </w:r>
      <w:r>
        <w:rPr>
          <w:sz w:val="24"/>
          <w:szCs w:val="24"/>
          <w:highlight w:val="none"/>
        </w:rPr>
        <w:t>保障资金,在前三年的经营活动中无重大违法记录,未列入严重失信</w:t>
      </w:r>
      <w:r>
        <w:rPr>
          <w:spacing w:val="-1"/>
          <w:sz w:val="24"/>
          <w:szCs w:val="24"/>
          <w:highlight w:val="none"/>
        </w:rPr>
        <w:t>行为名单,符合政府采购供应商</w:t>
      </w:r>
      <w:r>
        <w:rPr>
          <w:spacing w:val="-3"/>
          <w:sz w:val="24"/>
          <w:szCs w:val="24"/>
          <w:highlight w:val="none"/>
        </w:rPr>
        <w:t>的基本资格要求。</w:t>
      </w:r>
    </w:p>
    <w:p w14:paraId="58FB505E">
      <w:pPr>
        <w:pStyle w:val="2"/>
        <w:keepNext w:val="0"/>
        <w:keepLines w:val="0"/>
        <w:pageBreakBefore w:val="0"/>
        <w:widowControl/>
        <w:kinsoku/>
        <w:wordWrap w:val="0"/>
        <w:overflowPunct/>
        <w:topLinePunct w:val="0"/>
        <w:autoSpaceDE/>
        <w:autoSpaceDN/>
        <w:bidi w:val="0"/>
        <w:adjustRightInd w:val="0"/>
        <w:snapToGrid w:val="0"/>
        <w:spacing w:before="123" w:line="360" w:lineRule="auto"/>
        <w:ind w:left="0" w:leftChars="0" w:firstLine="497" w:firstLineChars="211"/>
        <w:textAlignment w:val="baseline"/>
        <w:rPr>
          <w:sz w:val="24"/>
          <w:szCs w:val="24"/>
          <w:highlight w:val="none"/>
        </w:rPr>
      </w:pPr>
      <w:r>
        <w:rPr>
          <w:spacing w:val="-2"/>
          <w:sz w:val="24"/>
          <w:szCs w:val="24"/>
          <w:highlight w:val="none"/>
        </w:rPr>
        <w:t>按照《政府采购促进中小企业发展管理办法》(财库〔2020〕46号),本公司企业规模为:</w:t>
      </w:r>
    </w:p>
    <w:p w14:paraId="20B619E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3CD397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04"/>
        <w:textAlignment w:val="baseline"/>
        <w:rPr>
          <w:sz w:val="24"/>
          <w:szCs w:val="24"/>
          <w:highlight w:val="none"/>
        </w:rPr>
      </w:pPr>
      <w:r>
        <w:rPr>
          <w:b/>
          <w:bCs/>
          <w:spacing w:val="-7"/>
          <w:sz w:val="24"/>
          <w:szCs w:val="24"/>
          <w:highlight w:val="none"/>
          <w:u w:val="single" w:color="auto"/>
        </w:rPr>
        <w:t>大型口</w:t>
      </w:r>
      <w:r>
        <w:rPr>
          <w:rFonts w:hint="eastAsia"/>
          <w:b/>
          <w:bCs/>
          <w:spacing w:val="-7"/>
          <w:sz w:val="24"/>
          <w:szCs w:val="24"/>
          <w:highlight w:val="none"/>
          <w:u w:val="single" w:color="auto"/>
          <w:lang w:val="en-US" w:eastAsia="zh-CN"/>
        </w:rPr>
        <w:t xml:space="preserve">      </w:t>
      </w:r>
      <w:r>
        <w:rPr>
          <w:b/>
          <w:bCs/>
          <w:spacing w:val="-7"/>
          <w:sz w:val="24"/>
          <w:szCs w:val="24"/>
          <w:highlight w:val="none"/>
          <w:u w:val="single" w:color="auto"/>
        </w:rPr>
        <w:t>中型口</w:t>
      </w:r>
      <w:r>
        <w:rPr>
          <w:rFonts w:hint="eastAsia"/>
          <w:b/>
          <w:bCs/>
          <w:spacing w:val="-7"/>
          <w:sz w:val="24"/>
          <w:szCs w:val="24"/>
          <w:highlight w:val="none"/>
          <w:u w:val="single" w:color="auto"/>
          <w:lang w:val="en-US" w:eastAsia="zh-CN"/>
        </w:rPr>
        <w:t xml:space="preserve">      </w:t>
      </w:r>
      <w:r>
        <w:rPr>
          <w:b/>
          <w:bCs/>
          <w:spacing w:val="-7"/>
          <w:sz w:val="24"/>
          <w:szCs w:val="24"/>
          <w:highlight w:val="none"/>
          <w:u w:val="single" w:color="auto"/>
        </w:rPr>
        <w:t>小型□</w:t>
      </w:r>
      <w:r>
        <w:rPr>
          <w:rFonts w:hint="eastAsia"/>
          <w:b/>
          <w:bCs/>
          <w:spacing w:val="-7"/>
          <w:sz w:val="24"/>
          <w:szCs w:val="24"/>
          <w:highlight w:val="none"/>
          <w:u w:val="single" w:color="auto"/>
          <w:lang w:val="en-US" w:eastAsia="zh-CN"/>
        </w:rPr>
        <w:t xml:space="preserve">      </w:t>
      </w:r>
      <w:r>
        <w:rPr>
          <w:b/>
          <w:bCs/>
          <w:spacing w:val="-7"/>
          <w:sz w:val="24"/>
          <w:szCs w:val="24"/>
          <w:highlight w:val="none"/>
          <w:u w:val="single" w:color="auto"/>
        </w:rPr>
        <w:t>微型□</w:t>
      </w:r>
      <w:r>
        <w:rPr>
          <w:rFonts w:hint="eastAsia"/>
          <w:b/>
          <w:bCs/>
          <w:spacing w:val="-7"/>
          <w:sz w:val="24"/>
          <w:szCs w:val="24"/>
          <w:highlight w:val="none"/>
          <w:u w:val="single" w:color="auto"/>
          <w:lang w:val="en-US" w:eastAsia="zh-CN"/>
        </w:rPr>
        <w:t xml:space="preserve">       </w:t>
      </w:r>
      <w:r>
        <w:rPr>
          <w:spacing w:val="-7"/>
          <w:sz w:val="24"/>
          <w:szCs w:val="24"/>
          <w:highlight w:val="none"/>
        </w:rPr>
        <w:t>。</w:t>
      </w:r>
    </w:p>
    <w:p w14:paraId="7C100E7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3"/>
        <w:textAlignment w:val="baseline"/>
        <w:rPr>
          <w:rFonts w:hint="eastAsia" w:eastAsia="宋体"/>
          <w:sz w:val="24"/>
          <w:szCs w:val="24"/>
          <w:highlight w:val="none"/>
          <w:lang w:eastAsia="zh-CN"/>
        </w:rPr>
      </w:pPr>
      <w:r>
        <w:rPr>
          <w:b/>
          <w:bCs/>
          <w:spacing w:val="-6"/>
          <w:sz w:val="24"/>
          <w:szCs w:val="24"/>
          <w:highlight w:val="none"/>
        </w:rPr>
        <w:t>公司(单位)名称(盖章)：</w:t>
      </w:r>
      <w:r>
        <w:rPr>
          <w:rFonts w:hint="eastAsia"/>
          <w:spacing w:val="-4"/>
          <w:sz w:val="24"/>
          <w:szCs w:val="24"/>
          <w:highlight w:val="none"/>
          <w:u w:val="single"/>
          <w:lang w:val="en-US" w:eastAsia="zh-CN"/>
        </w:rPr>
        <w:t xml:space="preserve">                           </w:t>
      </w:r>
    </w:p>
    <w:p w14:paraId="43E0F96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5"/>
        <w:textAlignment w:val="baseline"/>
        <w:rPr>
          <w:rFonts w:hint="eastAsia" w:eastAsia="宋体"/>
          <w:sz w:val="24"/>
          <w:szCs w:val="24"/>
          <w:highlight w:val="none"/>
          <w:lang w:eastAsia="zh-CN"/>
        </w:rPr>
      </w:pPr>
      <w:r>
        <w:rPr>
          <w:b/>
          <w:bCs/>
          <w:spacing w:val="-3"/>
          <w:sz w:val="24"/>
          <w:szCs w:val="24"/>
          <w:highlight w:val="none"/>
        </w:rPr>
        <w:t>机构代码：</w:t>
      </w:r>
      <w:r>
        <w:rPr>
          <w:rFonts w:hint="eastAsia"/>
          <w:spacing w:val="-4"/>
          <w:sz w:val="24"/>
          <w:szCs w:val="24"/>
          <w:highlight w:val="none"/>
          <w:u w:val="single"/>
          <w:lang w:val="en-US" w:eastAsia="zh-CN"/>
        </w:rPr>
        <w:t xml:space="preserve">                           </w:t>
      </w:r>
    </w:p>
    <w:p w14:paraId="75D8126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6"/>
        <w:textAlignment w:val="baseline"/>
        <w:rPr>
          <w:rFonts w:hint="eastAsia" w:eastAsia="宋体"/>
          <w:sz w:val="24"/>
          <w:szCs w:val="24"/>
          <w:highlight w:val="none"/>
          <w:lang w:eastAsia="zh-CN"/>
        </w:rPr>
      </w:pPr>
      <w:r>
        <w:rPr>
          <w:b/>
          <w:bCs/>
          <w:spacing w:val="-3"/>
          <w:sz w:val="24"/>
          <w:szCs w:val="24"/>
          <w:highlight w:val="none"/>
        </w:rPr>
        <w:t>注册登记机构：</w:t>
      </w:r>
      <w:r>
        <w:rPr>
          <w:rFonts w:hint="eastAsia"/>
          <w:spacing w:val="-4"/>
          <w:sz w:val="24"/>
          <w:szCs w:val="24"/>
          <w:highlight w:val="none"/>
          <w:u w:val="single"/>
          <w:lang w:val="en-US" w:eastAsia="zh-CN"/>
        </w:rPr>
        <w:t xml:space="preserve">                           </w:t>
      </w:r>
    </w:p>
    <w:p w14:paraId="2E12D91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rFonts w:hint="eastAsia" w:eastAsia="宋体"/>
          <w:sz w:val="24"/>
          <w:szCs w:val="24"/>
          <w:highlight w:val="none"/>
          <w:lang w:eastAsia="zh-CN"/>
        </w:rPr>
      </w:pPr>
      <w:r>
        <w:rPr>
          <w:b/>
          <w:bCs/>
          <w:spacing w:val="-3"/>
          <w:sz w:val="24"/>
          <w:szCs w:val="24"/>
          <w:highlight w:val="none"/>
        </w:rPr>
        <w:t>注册日期：</w:t>
      </w:r>
      <w:r>
        <w:rPr>
          <w:rFonts w:hint="eastAsia"/>
          <w:spacing w:val="-4"/>
          <w:sz w:val="24"/>
          <w:szCs w:val="24"/>
          <w:highlight w:val="none"/>
          <w:u w:val="single"/>
          <w:lang w:val="en-US" w:eastAsia="zh-CN"/>
        </w:rPr>
        <w:t xml:space="preserve">                           </w:t>
      </w:r>
    </w:p>
    <w:p w14:paraId="6977BE2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9"/>
        <w:textAlignment w:val="baseline"/>
        <w:rPr>
          <w:rFonts w:hint="eastAsia" w:eastAsia="宋体"/>
          <w:sz w:val="24"/>
          <w:szCs w:val="24"/>
          <w:highlight w:val="none"/>
          <w:lang w:eastAsia="zh-CN"/>
        </w:rPr>
      </w:pPr>
      <w:r>
        <w:rPr>
          <w:b/>
          <w:bCs/>
          <w:spacing w:val="-10"/>
          <w:sz w:val="24"/>
          <w:szCs w:val="24"/>
          <w:highlight w:val="none"/>
        </w:rPr>
        <w:t>有效期：</w:t>
      </w:r>
      <w:r>
        <w:rPr>
          <w:rFonts w:hint="eastAsia"/>
          <w:spacing w:val="-4"/>
          <w:sz w:val="24"/>
          <w:szCs w:val="24"/>
          <w:highlight w:val="none"/>
          <w:u w:val="single"/>
          <w:lang w:val="en-US" w:eastAsia="zh-CN"/>
        </w:rPr>
        <w:t xml:space="preserve">                           </w:t>
      </w:r>
    </w:p>
    <w:p w14:paraId="502A6A6E">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6"/>
        <w:textAlignment w:val="baseline"/>
        <w:rPr>
          <w:rFonts w:hint="eastAsia" w:eastAsia="宋体"/>
          <w:sz w:val="24"/>
          <w:szCs w:val="24"/>
          <w:highlight w:val="none"/>
          <w:lang w:eastAsia="zh-CN"/>
        </w:rPr>
      </w:pPr>
      <w:r>
        <w:rPr>
          <w:b/>
          <w:bCs/>
          <w:spacing w:val="-3"/>
          <w:sz w:val="24"/>
          <w:szCs w:val="24"/>
          <w:highlight w:val="none"/>
        </w:rPr>
        <w:t>注册资本：</w:t>
      </w:r>
      <w:r>
        <w:rPr>
          <w:rFonts w:hint="eastAsia"/>
          <w:spacing w:val="-4"/>
          <w:sz w:val="24"/>
          <w:szCs w:val="24"/>
          <w:highlight w:val="none"/>
          <w:u w:val="single"/>
          <w:lang w:val="en-US" w:eastAsia="zh-CN"/>
        </w:rPr>
        <w:t xml:space="preserve">                           </w:t>
      </w:r>
    </w:p>
    <w:p w14:paraId="6615229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rFonts w:hint="eastAsia"/>
          <w:spacing w:val="-4"/>
          <w:sz w:val="24"/>
          <w:szCs w:val="24"/>
          <w:highlight w:val="none"/>
          <w:u w:val="single"/>
          <w:lang w:val="en-US" w:eastAsia="zh-CN"/>
        </w:rPr>
      </w:pPr>
      <w:r>
        <w:rPr>
          <w:b/>
          <w:bCs/>
          <w:spacing w:val="-5"/>
          <w:sz w:val="24"/>
          <w:szCs w:val="24"/>
          <w:highlight w:val="none"/>
        </w:rPr>
        <w:t>地址：</w:t>
      </w:r>
      <w:r>
        <w:rPr>
          <w:rFonts w:hint="eastAsia"/>
          <w:spacing w:val="-4"/>
          <w:sz w:val="24"/>
          <w:szCs w:val="24"/>
          <w:highlight w:val="none"/>
          <w:u w:val="single"/>
          <w:lang w:val="en-US" w:eastAsia="zh-CN"/>
        </w:rPr>
        <w:t xml:space="preserve">                           </w:t>
      </w:r>
    </w:p>
    <w:p w14:paraId="416D590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rFonts w:hint="eastAsia" w:eastAsia="宋体"/>
          <w:sz w:val="24"/>
          <w:szCs w:val="24"/>
          <w:highlight w:val="none"/>
          <w:lang w:eastAsia="zh-CN"/>
        </w:rPr>
      </w:pPr>
      <w:r>
        <w:rPr>
          <w:b/>
          <w:bCs/>
          <w:spacing w:val="-3"/>
          <w:sz w:val="24"/>
          <w:szCs w:val="24"/>
          <w:highlight w:val="none"/>
        </w:rPr>
        <w:t>经济行业：</w:t>
      </w:r>
      <w:r>
        <w:rPr>
          <w:rFonts w:hint="eastAsia"/>
          <w:spacing w:val="-4"/>
          <w:sz w:val="24"/>
          <w:szCs w:val="24"/>
          <w:highlight w:val="none"/>
          <w:u w:val="single"/>
          <w:lang w:val="en-US" w:eastAsia="zh-CN"/>
        </w:rPr>
        <w:t xml:space="preserve">                           </w:t>
      </w:r>
    </w:p>
    <w:p w14:paraId="16154FA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0"/>
        <w:textAlignment w:val="baseline"/>
        <w:rPr>
          <w:rFonts w:hint="eastAsia" w:eastAsia="宋体"/>
          <w:sz w:val="24"/>
          <w:szCs w:val="24"/>
          <w:highlight w:val="none"/>
          <w:lang w:eastAsia="zh-CN"/>
        </w:rPr>
      </w:pPr>
      <w:r>
        <w:rPr>
          <w:b/>
          <w:bCs/>
          <w:spacing w:val="-3"/>
          <w:sz w:val="24"/>
          <w:szCs w:val="24"/>
          <w:highlight w:val="none"/>
        </w:rPr>
        <w:t>经济性质：</w:t>
      </w:r>
      <w:r>
        <w:rPr>
          <w:rFonts w:hint="eastAsia"/>
          <w:spacing w:val="-4"/>
          <w:sz w:val="24"/>
          <w:szCs w:val="24"/>
          <w:highlight w:val="none"/>
          <w:u w:val="single"/>
          <w:lang w:val="en-US" w:eastAsia="zh-CN"/>
        </w:rPr>
        <w:t xml:space="preserve">                           </w:t>
      </w:r>
    </w:p>
    <w:p w14:paraId="18992B74">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9"/>
        <w:textAlignment w:val="baseline"/>
        <w:rPr>
          <w:rFonts w:hint="eastAsia" w:eastAsia="宋体"/>
          <w:sz w:val="24"/>
          <w:szCs w:val="24"/>
          <w:highlight w:val="none"/>
          <w:lang w:eastAsia="zh-CN"/>
        </w:rPr>
      </w:pPr>
      <w:r>
        <w:rPr>
          <w:b/>
          <w:bCs/>
          <w:spacing w:val="-2"/>
          <w:sz w:val="24"/>
          <w:szCs w:val="24"/>
          <w:highlight w:val="none"/>
        </w:rPr>
        <w:t>法定代表人(负责人)姓名(签字)：</w:t>
      </w:r>
      <w:r>
        <w:rPr>
          <w:rFonts w:hint="eastAsia"/>
          <w:spacing w:val="-4"/>
          <w:sz w:val="24"/>
          <w:szCs w:val="24"/>
          <w:highlight w:val="none"/>
          <w:u w:val="single"/>
          <w:lang w:val="en-US" w:eastAsia="zh-CN"/>
        </w:rPr>
        <w:t xml:space="preserve">                           </w:t>
      </w:r>
    </w:p>
    <w:p w14:paraId="65F88C4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10"/>
        <w:textAlignment w:val="baseline"/>
        <w:rPr>
          <w:rFonts w:hint="eastAsia" w:eastAsia="宋体"/>
          <w:sz w:val="24"/>
          <w:szCs w:val="24"/>
          <w:highlight w:val="none"/>
          <w:lang w:eastAsia="zh-CN"/>
        </w:rPr>
      </w:pPr>
      <w:r>
        <w:rPr>
          <w:b/>
          <w:bCs/>
          <w:spacing w:val="-10"/>
          <w:sz w:val="24"/>
          <w:szCs w:val="24"/>
          <w:highlight w:val="none"/>
        </w:rPr>
        <w:t>身份证号：</w:t>
      </w:r>
      <w:r>
        <w:rPr>
          <w:rFonts w:hint="eastAsia"/>
          <w:spacing w:val="-4"/>
          <w:sz w:val="24"/>
          <w:szCs w:val="24"/>
          <w:highlight w:val="none"/>
          <w:u w:val="single"/>
          <w:lang w:val="en-US" w:eastAsia="zh-CN"/>
        </w:rPr>
        <w:t xml:space="preserve">                           </w:t>
      </w:r>
    </w:p>
    <w:p w14:paraId="0AC09CB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rFonts w:hint="eastAsia" w:eastAsia="宋体"/>
          <w:sz w:val="24"/>
          <w:szCs w:val="24"/>
          <w:highlight w:val="none"/>
          <w:lang w:eastAsia="zh-CN"/>
        </w:rPr>
      </w:pPr>
      <w:r>
        <w:rPr>
          <w:b/>
          <w:bCs/>
          <w:spacing w:val="-8"/>
          <w:sz w:val="24"/>
          <w:szCs w:val="24"/>
          <w:highlight w:val="none"/>
        </w:rPr>
        <w:t>手机号:</w:t>
      </w:r>
      <w:r>
        <w:rPr>
          <w:rFonts w:hint="eastAsia"/>
          <w:spacing w:val="-4"/>
          <w:sz w:val="24"/>
          <w:szCs w:val="24"/>
          <w:highlight w:val="none"/>
          <w:u w:val="single"/>
          <w:lang w:val="en-US" w:eastAsia="zh-CN"/>
        </w:rPr>
        <w:t xml:space="preserve">                           </w:t>
      </w:r>
    </w:p>
    <w:p w14:paraId="3B9755F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5"/>
        <w:textAlignment w:val="baseline"/>
        <w:rPr>
          <w:rFonts w:hint="eastAsia" w:eastAsia="宋体"/>
          <w:sz w:val="24"/>
          <w:szCs w:val="24"/>
          <w:highlight w:val="none"/>
          <w:lang w:eastAsia="zh-CN"/>
        </w:rPr>
      </w:pPr>
      <w:r>
        <w:rPr>
          <w:b/>
          <w:bCs/>
          <w:spacing w:val="-2"/>
          <w:sz w:val="24"/>
          <w:szCs w:val="24"/>
          <w:highlight w:val="none"/>
        </w:rPr>
        <w:t>授权代表人姓名(签字)：</w:t>
      </w:r>
      <w:r>
        <w:rPr>
          <w:rFonts w:hint="eastAsia"/>
          <w:spacing w:val="-4"/>
          <w:sz w:val="24"/>
          <w:szCs w:val="24"/>
          <w:highlight w:val="none"/>
          <w:u w:val="single"/>
          <w:lang w:val="en-US" w:eastAsia="zh-CN"/>
        </w:rPr>
        <w:t xml:space="preserve">                           </w:t>
      </w:r>
    </w:p>
    <w:p w14:paraId="0994C0E4">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0"/>
        <w:textAlignment w:val="baseline"/>
        <w:rPr>
          <w:rFonts w:hint="eastAsia" w:eastAsia="宋体"/>
          <w:sz w:val="24"/>
          <w:szCs w:val="24"/>
          <w:highlight w:val="none"/>
          <w:lang w:eastAsia="zh-CN"/>
        </w:rPr>
      </w:pPr>
      <w:r>
        <w:rPr>
          <w:b/>
          <w:bCs/>
          <w:spacing w:val="-10"/>
          <w:sz w:val="24"/>
          <w:szCs w:val="24"/>
          <w:highlight w:val="none"/>
        </w:rPr>
        <w:t>身份证号：</w:t>
      </w:r>
      <w:r>
        <w:rPr>
          <w:rFonts w:hint="eastAsia"/>
          <w:spacing w:val="-4"/>
          <w:sz w:val="24"/>
          <w:szCs w:val="24"/>
          <w:highlight w:val="none"/>
          <w:u w:val="single"/>
          <w:lang w:val="en-US" w:eastAsia="zh-CN"/>
        </w:rPr>
        <w:t xml:space="preserve">                           </w:t>
      </w:r>
    </w:p>
    <w:p w14:paraId="2BBAE92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0"/>
        <w:textAlignment w:val="baseline"/>
        <w:rPr>
          <w:rFonts w:hint="eastAsia" w:ascii="宋体" w:hAnsi="宋体" w:eastAsia="宋体" w:cs="宋体"/>
          <w:b/>
          <w:bCs/>
          <w:spacing w:val="-10"/>
          <w:sz w:val="24"/>
          <w:szCs w:val="24"/>
          <w:highlight w:val="none"/>
          <w:lang w:eastAsia="zh-CN"/>
        </w:rPr>
      </w:pPr>
      <w:r>
        <w:rPr>
          <w:rFonts w:ascii="宋体" w:hAnsi="宋体" w:eastAsia="宋体" w:cs="宋体"/>
          <w:b/>
          <w:bCs/>
          <w:spacing w:val="-10"/>
          <w:sz w:val="24"/>
          <w:szCs w:val="24"/>
          <w:highlight w:val="none"/>
        </w:rPr>
        <w:t>手机号:</w:t>
      </w:r>
      <w:r>
        <w:rPr>
          <w:rFonts w:hint="eastAsia"/>
          <w:spacing w:val="-4"/>
          <w:sz w:val="24"/>
          <w:szCs w:val="24"/>
          <w:highlight w:val="none"/>
          <w:u w:val="single"/>
          <w:lang w:val="en-US" w:eastAsia="zh-CN"/>
        </w:rPr>
        <w:t xml:space="preserve">                        </w:t>
      </w:r>
    </w:p>
    <w:p w14:paraId="5F8FDB4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2"/>
          <w:sz w:val="19"/>
          <w:szCs w:val="19"/>
          <w:highlight w:val="none"/>
        </w:rPr>
      </w:pPr>
      <w:bookmarkStart w:id="282" w:name="bookmark44"/>
      <w:bookmarkEnd w:id="282"/>
      <w:r>
        <w:rPr>
          <w:b/>
          <w:bCs/>
          <w:spacing w:val="12"/>
          <w:sz w:val="19"/>
          <w:szCs w:val="19"/>
          <w:highlight w:val="none"/>
        </w:rPr>
        <w:br w:type="page"/>
      </w:r>
    </w:p>
    <w:p w14:paraId="606011C2">
      <w:pPr>
        <w:pStyle w:val="6"/>
        <w:bidi w:val="0"/>
      </w:pPr>
      <w:bookmarkStart w:id="283" w:name="_Toc25019"/>
      <w:bookmarkStart w:id="284" w:name="_Toc13965"/>
      <w:bookmarkStart w:id="285" w:name="_Toc9448"/>
      <w:r>
        <w:t>附件3-3符合特定资格条件证明材料复印件或者情况说明</w:t>
      </w:r>
      <w:bookmarkEnd w:id="283"/>
      <w:bookmarkEnd w:id="284"/>
      <w:bookmarkEnd w:id="285"/>
    </w:p>
    <w:p w14:paraId="60FA123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B07920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9E38E3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674660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25"/>
        <w:textAlignment w:val="baseline"/>
        <w:rPr>
          <w:spacing w:val="-6"/>
          <w:sz w:val="24"/>
          <w:szCs w:val="24"/>
          <w:highlight w:val="none"/>
        </w:rPr>
      </w:pPr>
      <w:r>
        <w:rPr>
          <w:spacing w:val="-6"/>
          <w:sz w:val="24"/>
          <w:szCs w:val="24"/>
          <w:highlight w:val="none"/>
        </w:rPr>
        <w:t>无。</w:t>
      </w:r>
    </w:p>
    <w:p w14:paraId="4361C73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125"/>
        <w:textAlignment w:val="baseline"/>
        <w:rPr>
          <w:spacing w:val="-6"/>
          <w:sz w:val="24"/>
          <w:szCs w:val="24"/>
          <w:highlight w:val="none"/>
        </w:rPr>
      </w:pPr>
    </w:p>
    <w:p w14:paraId="47C54917">
      <w:pPr>
        <w:rPr>
          <w:spacing w:val="-6"/>
          <w:sz w:val="24"/>
          <w:szCs w:val="24"/>
          <w:highlight w:val="none"/>
        </w:rPr>
      </w:pPr>
      <w:r>
        <w:rPr>
          <w:spacing w:val="-6"/>
          <w:sz w:val="24"/>
          <w:szCs w:val="24"/>
          <w:highlight w:val="none"/>
        </w:rPr>
        <w:br w:type="page"/>
      </w:r>
    </w:p>
    <w:p w14:paraId="62A5ECDE">
      <w:pPr>
        <w:pStyle w:val="6"/>
        <w:bidi w:val="0"/>
      </w:pPr>
      <w:bookmarkStart w:id="286" w:name="_Toc371"/>
      <w:bookmarkStart w:id="287" w:name="_Toc27133"/>
      <w:bookmarkStart w:id="288" w:name="_Toc28559"/>
      <w:r>
        <w:rPr>
          <w:rFonts w:hint="eastAsia"/>
        </w:rPr>
        <w:t>附件3-</w:t>
      </w:r>
      <w:r>
        <w:rPr>
          <w:rFonts w:hint="eastAsia"/>
          <w:lang w:val="en-US" w:eastAsia="zh-CN"/>
        </w:rPr>
        <w:t>4</w:t>
      </w:r>
      <w:r>
        <w:rPr>
          <w:rFonts w:hint="eastAsia"/>
        </w:rPr>
        <w:t>分包承诺</w:t>
      </w:r>
      <w:bookmarkEnd w:id="286"/>
      <w:bookmarkEnd w:id="287"/>
      <w:bookmarkEnd w:id="288"/>
    </w:p>
    <w:p w14:paraId="4087C72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C29E90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C1482A7">
      <w:pPr>
        <w:spacing w:line="444" w:lineRule="auto"/>
        <w:rPr>
          <w:rFonts w:ascii="Arial"/>
          <w:sz w:val="21"/>
        </w:rPr>
      </w:pPr>
    </w:p>
    <w:p w14:paraId="7C2D261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20186B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r>
        <w:rPr>
          <w:rFonts w:ascii="Arial"/>
          <w:sz w:val="21"/>
          <w:highlight w:val="none"/>
        </w:rPr>
        <w:br w:type="page"/>
      </w:r>
    </w:p>
    <w:p w14:paraId="6BC46AF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A2E2F4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3BD182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8265BD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4E5D4D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2C70B58">
      <w:pPr>
        <w:pStyle w:val="2"/>
        <w:keepNext w:val="0"/>
        <w:keepLines w:val="0"/>
        <w:pageBreakBefore w:val="0"/>
        <w:widowControl/>
        <w:kinsoku/>
        <w:wordWrap w:val="0"/>
        <w:overflowPunct/>
        <w:topLinePunct w:val="0"/>
        <w:autoSpaceDE/>
        <w:autoSpaceDN/>
        <w:bidi w:val="0"/>
        <w:adjustRightInd w:val="0"/>
        <w:snapToGrid w:val="0"/>
        <w:spacing w:before="266" w:line="360" w:lineRule="auto"/>
        <w:jc w:val="center"/>
        <w:textAlignment w:val="baseline"/>
        <w:rPr>
          <w:rFonts w:ascii="Arial"/>
          <w:b/>
          <w:bCs/>
          <w:sz w:val="21"/>
          <w:highlight w:val="none"/>
        </w:rPr>
      </w:pPr>
      <w:bookmarkStart w:id="289" w:name="bookmark75"/>
      <w:bookmarkEnd w:id="289"/>
      <w:r>
        <w:rPr>
          <w:rFonts w:ascii="宋体" w:hAnsi="宋体" w:eastAsia="宋体" w:cs="宋体"/>
          <w:b/>
          <w:bCs/>
          <w:spacing w:val="-31"/>
          <w:sz w:val="82"/>
          <w:szCs w:val="82"/>
          <w:highlight w:val="none"/>
        </w:rPr>
        <w:t>政府采购</w:t>
      </w:r>
    </w:p>
    <w:p w14:paraId="00F13BCA">
      <w:pPr>
        <w:pStyle w:val="2"/>
        <w:keepNext w:val="0"/>
        <w:keepLines w:val="0"/>
        <w:pageBreakBefore w:val="0"/>
        <w:widowControl/>
        <w:kinsoku/>
        <w:wordWrap w:val="0"/>
        <w:overflowPunct/>
        <w:topLinePunct w:val="0"/>
        <w:autoSpaceDE/>
        <w:autoSpaceDN/>
        <w:bidi w:val="0"/>
        <w:adjustRightInd w:val="0"/>
        <w:snapToGrid w:val="0"/>
        <w:spacing w:before="266" w:line="360" w:lineRule="auto"/>
        <w:jc w:val="center"/>
        <w:textAlignment w:val="baseline"/>
        <w:rPr>
          <w:sz w:val="82"/>
          <w:szCs w:val="82"/>
          <w:highlight w:val="none"/>
        </w:rPr>
      </w:pPr>
      <w:bookmarkStart w:id="290" w:name="bookmark45"/>
      <w:bookmarkEnd w:id="290"/>
      <w:r>
        <w:rPr>
          <w:b/>
          <w:bCs/>
          <w:spacing w:val="-31"/>
          <w:sz w:val="82"/>
          <w:szCs w:val="82"/>
          <w:highlight w:val="none"/>
        </w:rPr>
        <w:t>投标文件</w:t>
      </w:r>
    </w:p>
    <w:p w14:paraId="03841E1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C3F6CC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CBE5DE3">
      <w:pPr>
        <w:pStyle w:val="5"/>
        <w:bidi w:val="0"/>
      </w:pPr>
      <w:bookmarkStart w:id="291" w:name="_Toc17571"/>
      <w:bookmarkStart w:id="292" w:name="_Toc7916"/>
      <w:bookmarkStart w:id="293" w:name="_Toc9234"/>
      <w:r>
        <w:t>第二部分商务文件</w:t>
      </w:r>
      <w:bookmarkEnd w:id="291"/>
      <w:bookmarkEnd w:id="292"/>
      <w:bookmarkEnd w:id="293"/>
    </w:p>
    <w:p w14:paraId="3E21F46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F8B9EE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D8C6C0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A60B130">
      <w:pPr>
        <w:pStyle w:val="2"/>
        <w:keepNext w:val="0"/>
        <w:keepLines w:val="0"/>
        <w:pageBreakBefore w:val="0"/>
        <w:widowControl/>
        <w:kinsoku/>
        <w:wordWrap w:val="0"/>
        <w:overflowPunct/>
        <w:topLinePunct w:val="0"/>
        <w:autoSpaceDE/>
        <w:autoSpaceDN/>
        <w:bidi w:val="0"/>
        <w:adjustRightInd w:val="0"/>
        <w:snapToGrid w:val="0"/>
        <w:spacing w:before="97" w:line="360" w:lineRule="auto"/>
        <w:ind w:left="620"/>
        <w:textAlignment w:val="baseline"/>
        <w:rPr>
          <w:rFonts w:hint="eastAsia" w:eastAsia="宋体"/>
          <w:highlight w:val="none"/>
          <w:lang w:eastAsia="zh-CN"/>
        </w:rPr>
      </w:pPr>
      <w:r>
        <w:rPr>
          <w:b/>
          <w:bCs/>
          <w:spacing w:val="-2"/>
          <w:highlight w:val="none"/>
        </w:rPr>
        <w:t>采购项目名称:</w:t>
      </w:r>
      <w:r>
        <w:rPr>
          <w:rFonts w:hint="eastAsia"/>
          <w:spacing w:val="-4"/>
          <w:sz w:val="24"/>
          <w:szCs w:val="24"/>
          <w:highlight w:val="none"/>
          <w:u w:val="single"/>
          <w:lang w:val="en-US" w:eastAsia="zh-CN"/>
        </w:rPr>
        <w:t xml:space="preserve">                                                </w:t>
      </w:r>
    </w:p>
    <w:p w14:paraId="51D69316">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8"/>
          <w:highlight w:val="none"/>
        </w:rPr>
        <w:t>采购人：</w:t>
      </w:r>
      <w:r>
        <w:rPr>
          <w:rFonts w:hint="eastAsia"/>
          <w:spacing w:val="-4"/>
          <w:sz w:val="24"/>
          <w:szCs w:val="24"/>
          <w:highlight w:val="none"/>
          <w:u w:val="single"/>
          <w:lang w:val="en-US" w:eastAsia="zh-CN"/>
        </w:rPr>
        <w:t xml:space="preserve">                                                </w:t>
      </w:r>
    </w:p>
    <w:p w14:paraId="3F23F781">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2"/>
          <w:highlight w:val="none"/>
        </w:rPr>
        <w:t>政府采购编号:</w:t>
      </w:r>
      <w:r>
        <w:rPr>
          <w:rFonts w:hint="eastAsia"/>
          <w:spacing w:val="-4"/>
          <w:sz w:val="24"/>
          <w:szCs w:val="24"/>
          <w:highlight w:val="none"/>
          <w:u w:val="single"/>
          <w:lang w:val="en-US" w:eastAsia="zh-CN"/>
        </w:rPr>
        <w:t xml:space="preserve">                                                </w:t>
      </w:r>
    </w:p>
    <w:p w14:paraId="79A3172A">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2"/>
          <w:highlight w:val="none"/>
        </w:rPr>
        <w:t>采购代理编号:</w:t>
      </w:r>
      <w:r>
        <w:rPr>
          <w:rFonts w:hint="eastAsia"/>
          <w:spacing w:val="-4"/>
          <w:sz w:val="24"/>
          <w:szCs w:val="24"/>
          <w:highlight w:val="none"/>
          <w:u w:val="single"/>
          <w:lang w:val="en-US" w:eastAsia="zh-CN"/>
        </w:rPr>
        <w:t xml:space="preserve">                                                </w:t>
      </w:r>
    </w:p>
    <w:p w14:paraId="2689D273">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4"/>
          <w:highlight w:val="none"/>
        </w:rPr>
        <w:t>采购代理机构：</w:t>
      </w:r>
      <w:r>
        <w:rPr>
          <w:rFonts w:hint="eastAsia"/>
          <w:spacing w:val="-4"/>
          <w:sz w:val="24"/>
          <w:szCs w:val="24"/>
          <w:highlight w:val="none"/>
          <w:u w:val="single"/>
          <w:lang w:val="en-US" w:eastAsia="zh-CN"/>
        </w:rPr>
        <w:t xml:space="preserve">                                                </w:t>
      </w:r>
    </w:p>
    <w:p w14:paraId="539E9F9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3EB3F8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A53AA4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8722C80">
      <w:pPr>
        <w:pStyle w:val="2"/>
        <w:keepNext w:val="0"/>
        <w:keepLines w:val="0"/>
        <w:pageBreakBefore w:val="0"/>
        <w:widowControl/>
        <w:kinsoku/>
        <w:wordWrap w:val="0"/>
        <w:overflowPunct/>
        <w:topLinePunct w:val="0"/>
        <w:autoSpaceDE/>
        <w:autoSpaceDN/>
        <w:bidi w:val="0"/>
        <w:adjustRightInd w:val="0"/>
        <w:snapToGrid w:val="0"/>
        <w:spacing w:before="97" w:line="360" w:lineRule="auto"/>
        <w:ind w:left="1900" w:leftChars="0" w:firstLine="0" w:firstLineChars="0"/>
        <w:textAlignment w:val="baseline"/>
        <w:rPr>
          <w:rFonts w:hint="eastAsia" w:eastAsia="宋体"/>
          <w:highlight w:val="none"/>
          <w:lang w:eastAsia="zh-CN"/>
        </w:rPr>
      </w:pPr>
      <w:r>
        <w:rPr>
          <w:b/>
          <w:bCs/>
          <w:spacing w:val="6"/>
          <w:highlight w:val="none"/>
        </w:rPr>
        <w:t>投标供应商：</w:t>
      </w:r>
      <w:r>
        <w:rPr>
          <w:rFonts w:hint="eastAsia"/>
          <w:spacing w:val="-4"/>
          <w:sz w:val="24"/>
          <w:szCs w:val="24"/>
          <w:highlight w:val="none"/>
          <w:u w:val="single"/>
          <w:lang w:val="en-US" w:eastAsia="zh-CN"/>
        </w:rPr>
        <w:t xml:space="preserve">                        </w:t>
      </w:r>
    </w:p>
    <w:p w14:paraId="04C18712">
      <w:pPr>
        <w:pStyle w:val="2"/>
        <w:keepNext w:val="0"/>
        <w:keepLines w:val="0"/>
        <w:pageBreakBefore w:val="0"/>
        <w:widowControl/>
        <w:kinsoku/>
        <w:wordWrap w:val="0"/>
        <w:overflowPunct/>
        <w:topLinePunct w:val="0"/>
        <w:autoSpaceDE/>
        <w:autoSpaceDN/>
        <w:bidi w:val="0"/>
        <w:adjustRightInd w:val="0"/>
        <w:snapToGrid w:val="0"/>
        <w:spacing w:before="260" w:line="360" w:lineRule="auto"/>
        <w:ind w:left="0" w:leftChars="0" w:firstLine="0" w:firstLineChars="0"/>
        <w:jc w:val="center"/>
        <w:textAlignment w:val="baseline"/>
        <w:rPr>
          <w:highlight w:val="none"/>
        </w:rPr>
      </w:pPr>
      <w:r>
        <w:rPr>
          <w:rFonts w:hint="eastAsia"/>
          <w:spacing w:val="-4"/>
          <w:sz w:val="24"/>
          <w:szCs w:val="24"/>
          <w:highlight w:val="none"/>
          <w:u w:val="single"/>
          <w:lang w:val="en-US" w:eastAsia="zh-CN"/>
        </w:rPr>
        <w:t xml:space="preserve">        </w:t>
      </w:r>
      <w:r>
        <w:rPr>
          <w:b/>
          <w:bCs/>
          <w:spacing w:val="-5"/>
          <w:highlight w:val="none"/>
        </w:rPr>
        <w:t>年</w:t>
      </w:r>
      <w:r>
        <w:rPr>
          <w:rFonts w:hint="eastAsia"/>
          <w:spacing w:val="-4"/>
          <w:sz w:val="24"/>
          <w:szCs w:val="24"/>
          <w:highlight w:val="none"/>
          <w:u w:val="single"/>
          <w:lang w:val="en-US" w:eastAsia="zh-CN"/>
        </w:rPr>
        <w:t xml:space="preserve">              </w:t>
      </w:r>
      <w:r>
        <w:rPr>
          <w:b/>
          <w:bCs/>
          <w:spacing w:val="-5"/>
          <w:highlight w:val="none"/>
        </w:rPr>
        <w:t>月</w:t>
      </w:r>
      <w:r>
        <w:rPr>
          <w:rFonts w:hint="eastAsia"/>
          <w:spacing w:val="-4"/>
          <w:sz w:val="24"/>
          <w:szCs w:val="24"/>
          <w:highlight w:val="none"/>
          <w:u w:val="single"/>
          <w:lang w:val="en-US" w:eastAsia="zh-CN"/>
        </w:rPr>
        <w:t xml:space="preserve">             </w:t>
      </w:r>
      <w:r>
        <w:rPr>
          <w:b/>
          <w:bCs/>
          <w:spacing w:val="-5"/>
          <w:highlight w:val="none"/>
        </w:rPr>
        <w:t>日</w:t>
      </w:r>
    </w:p>
    <w:p w14:paraId="0A0E4B5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3"/>
          <w:highlight w:val="none"/>
        </w:rPr>
      </w:pPr>
      <w:bookmarkStart w:id="294" w:name="bookmark46"/>
      <w:bookmarkEnd w:id="294"/>
      <w:r>
        <w:rPr>
          <w:b/>
          <w:bCs/>
          <w:spacing w:val="-3"/>
          <w:highlight w:val="none"/>
        </w:rPr>
        <w:br w:type="page"/>
      </w:r>
    </w:p>
    <w:p w14:paraId="47E5FB61">
      <w:pPr>
        <w:pStyle w:val="5"/>
        <w:bidi w:val="0"/>
      </w:pPr>
      <w:bookmarkStart w:id="295" w:name="_Toc14219"/>
      <w:r>
        <w:t>四、投标函</w:t>
      </w:r>
      <w:bookmarkEnd w:id="295"/>
    </w:p>
    <w:p w14:paraId="442CD306">
      <w:pPr>
        <w:pStyle w:val="2"/>
        <w:keepNext w:val="0"/>
        <w:keepLines w:val="0"/>
        <w:pageBreakBefore w:val="0"/>
        <w:widowControl/>
        <w:kinsoku/>
        <w:wordWrap w:val="0"/>
        <w:overflowPunct/>
        <w:topLinePunct w:val="0"/>
        <w:autoSpaceDE/>
        <w:autoSpaceDN/>
        <w:bidi w:val="0"/>
        <w:adjustRightInd w:val="0"/>
        <w:snapToGrid w:val="0"/>
        <w:spacing w:before="282" w:line="360" w:lineRule="auto"/>
        <w:ind w:left="16"/>
        <w:textAlignment w:val="baseline"/>
        <w:rPr>
          <w:sz w:val="24"/>
          <w:szCs w:val="24"/>
          <w:highlight w:val="none"/>
        </w:rPr>
      </w:pPr>
      <w:r>
        <w:rPr>
          <w:spacing w:val="-2"/>
          <w:sz w:val="24"/>
          <w:szCs w:val="24"/>
          <w:highlight w:val="none"/>
        </w:rPr>
        <w:t>致</w:t>
      </w:r>
      <w:r>
        <w:rPr>
          <w:rFonts w:hint="eastAsia"/>
          <w:spacing w:val="-4"/>
          <w:sz w:val="24"/>
          <w:szCs w:val="24"/>
          <w:highlight w:val="none"/>
          <w:u w:val="single"/>
          <w:lang w:val="en-US" w:eastAsia="zh-CN"/>
        </w:rPr>
        <w:t xml:space="preserve">                        </w:t>
      </w:r>
      <w:r>
        <w:rPr>
          <w:spacing w:val="-2"/>
          <w:sz w:val="24"/>
          <w:szCs w:val="24"/>
          <w:highlight w:val="none"/>
          <w:u w:val="single" w:color="auto"/>
        </w:rPr>
        <w:t>（采购人或代理机构</w:t>
      </w:r>
      <w:r>
        <w:rPr>
          <w:sz w:val="24"/>
          <w:szCs w:val="24"/>
          <w:highlight w:val="none"/>
          <w:u w:val="single" w:color="auto"/>
        </w:rPr>
        <w:t>）</w:t>
      </w:r>
      <w:r>
        <w:rPr>
          <w:sz w:val="24"/>
          <w:szCs w:val="24"/>
          <w:highlight w:val="none"/>
        </w:rPr>
        <w:t>：</w:t>
      </w:r>
    </w:p>
    <w:p w14:paraId="26A896F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82017B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6" w:firstLine="480"/>
        <w:jc w:val="both"/>
        <w:textAlignment w:val="baseline"/>
        <w:rPr>
          <w:sz w:val="24"/>
          <w:szCs w:val="24"/>
          <w:highlight w:val="none"/>
        </w:rPr>
      </w:pPr>
      <w:r>
        <w:rPr>
          <w:spacing w:val="-7"/>
          <w:sz w:val="24"/>
          <w:szCs w:val="24"/>
          <w:highlight w:val="none"/>
        </w:rPr>
        <w:t>根据贵方为</w:t>
      </w:r>
      <w:r>
        <w:rPr>
          <w:rFonts w:hint="eastAsia"/>
          <w:spacing w:val="-4"/>
          <w:sz w:val="24"/>
          <w:szCs w:val="24"/>
          <w:highlight w:val="none"/>
          <w:u w:val="single"/>
          <w:lang w:val="en-US" w:eastAsia="zh-CN"/>
        </w:rPr>
        <w:t xml:space="preserve">                        </w:t>
      </w:r>
      <w:r>
        <w:rPr>
          <w:spacing w:val="-7"/>
          <w:sz w:val="24"/>
          <w:szCs w:val="24"/>
          <w:highlight w:val="none"/>
          <w:u w:val="single" w:color="auto"/>
        </w:rPr>
        <w:t>（项目名称）</w:t>
      </w:r>
      <w:r>
        <w:rPr>
          <w:spacing w:val="-7"/>
          <w:sz w:val="24"/>
          <w:szCs w:val="24"/>
          <w:highlight w:val="none"/>
        </w:rPr>
        <w:t>的投标邀请（政府采购编号</w:t>
      </w:r>
      <w:r>
        <w:rPr>
          <w:spacing w:val="-48"/>
          <w:w w:val="79"/>
          <w:sz w:val="24"/>
          <w:szCs w:val="24"/>
          <w:highlight w:val="none"/>
        </w:rPr>
        <w:t>：</w:t>
      </w:r>
      <w:r>
        <w:rPr>
          <w:rFonts w:hint="eastAsia"/>
          <w:spacing w:val="-4"/>
          <w:sz w:val="24"/>
          <w:szCs w:val="24"/>
          <w:highlight w:val="none"/>
          <w:u w:val="single"/>
          <w:lang w:val="en-US" w:eastAsia="zh-CN"/>
        </w:rPr>
        <w:t xml:space="preserve">                        </w:t>
      </w:r>
      <w:r>
        <w:rPr>
          <w:spacing w:val="-48"/>
          <w:w w:val="79"/>
          <w:sz w:val="24"/>
          <w:szCs w:val="24"/>
          <w:highlight w:val="none"/>
        </w:rPr>
        <w:t>，</w:t>
      </w:r>
      <w:r>
        <w:rPr>
          <w:spacing w:val="-7"/>
          <w:sz w:val="24"/>
          <w:szCs w:val="24"/>
          <w:highlight w:val="none"/>
        </w:rPr>
        <w:t>采购代理编号</w:t>
      </w:r>
      <w:r>
        <w:rPr>
          <w:spacing w:val="-48"/>
          <w:w w:val="79"/>
          <w:sz w:val="24"/>
          <w:szCs w:val="24"/>
          <w:highlight w:val="none"/>
        </w:rPr>
        <w:t>：</w:t>
      </w:r>
      <w:r>
        <w:rPr>
          <w:rFonts w:hint="eastAsia"/>
          <w:spacing w:val="-4"/>
          <w:sz w:val="24"/>
          <w:szCs w:val="24"/>
          <w:highlight w:val="none"/>
          <w:u w:val="single"/>
          <w:lang w:val="en-US" w:eastAsia="zh-CN"/>
        </w:rPr>
        <w:t xml:space="preserve">                        </w:t>
      </w:r>
      <w:r>
        <w:rPr>
          <w:spacing w:val="-48"/>
          <w:w w:val="79"/>
          <w:sz w:val="24"/>
          <w:szCs w:val="24"/>
          <w:highlight w:val="none"/>
        </w:rPr>
        <w:t>），</w:t>
      </w:r>
      <w:r>
        <w:rPr>
          <w:spacing w:val="-2"/>
          <w:sz w:val="24"/>
          <w:szCs w:val="24"/>
          <w:highlight w:val="none"/>
        </w:rPr>
        <w:t>签字代表</w:t>
      </w:r>
      <w:r>
        <w:rPr>
          <w:rFonts w:hint="eastAsia"/>
          <w:spacing w:val="-4"/>
          <w:sz w:val="24"/>
          <w:szCs w:val="24"/>
          <w:highlight w:val="none"/>
          <w:u w:val="single"/>
          <w:lang w:val="en-US" w:eastAsia="zh-CN"/>
        </w:rPr>
        <w:t xml:space="preserve">                        </w:t>
      </w:r>
      <w:r>
        <w:rPr>
          <w:spacing w:val="-2"/>
          <w:sz w:val="24"/>
          <w:szCs w:val="24"/>
          <w:highlight w:val="none"/>
        </w:rPr>
        <w:t>（姓名、职务）经正式授权并代表投标供应商</w:t>
      </w:r>
      <w:r>
        <w:rPr>
          <w:rFonts w:hint="eastAsia"/>
          <w:spacing w:val="-4"/>
          <w:sz w:val="24"/>
          <w:szCs w:val="24"/>
          <w:highlight w:val="none"/>
          <w:u w:val="single"/>
          <w:lang w:val="en-US" w:eastAsia="zh-CN"/>
        </w:rPr>
        <w:t xml:space="preserve">                        </w:t>
      </w:r>
      <w:r>
        <w:rPr>
          <w:spacing w:val="-2"/>
          <w:sz w:val="24"/>
          <w:szCs w:val="24"/>
          <w:highlight w:val="none"/>
          <w:u w:val="single" w:color="auto"/>
        </w:rPr>
        <w:t>（投标供应商名称）</w:t>
      </w:r>
      <w:r>
        <w:rPr>
          <w:spacing w:val="-2"/>
          <w:sz w:val="24"/>
          <w:szCs w:val="24"/>
          <w:highlight w:val="none"/>
        </w:rPr>
        <w:t>提交下述投标文件</w:t>
      </w:r>
      <w:r>
        <w:rPr>
          <w:spacing w:val="-4"/>
          <w:sz w:val="24"/>
          <w:szCs w:val="24"/>
          <w:highlight w:val="none"/>
        </w:rPr>
        <w:t>第一部分资格证明文件：投标文件电子文档：</w:t>
      </w:r>
      <w:r>
        <w:rPr>
          <w:spacing w:val="-4"/>
          <w:sz w:val="24"/>
          <w:szCs w:val="24"/>
          <w:highlight w:val="none"/>
          <w:u w:val="single" w:color="auto"/>
        </w:rPr>
        <w:t>一份</w:t>
      </w:r>
      <w:r>
        <w:rPr>
          <w:spacing w:val="-4"/>
          <w:sz w:val="24"/>
          <w:szCs w:val="24"/>
          <w:highlight w:val="none"/>
        </w:rPr>
        <w:t>；第二部分商务技术文件：投标文件</w:t>
      </w:r>
      <w:r>
        <w:rPr>
          <w:spacing w:val="-5"/>
          <w:sz w:val="24"/>
          <w:szCs w:val="24"/>
          <w:highlight w:val="none"/>
        </w:rPr>
        <w:t>电子文档：</w:t>
      </w:r>
      <w:r>
        <w:rPr>
          <w:spacing w:val="-4"/>
          <w:sz w:val="24"/>
          <w:szCs w:val="24"/>
          <w:highlight w:val="none"/>
          <w:u w:val="single" w:color="auto"/>
        </w:rPr>
        <w:t>一份</w:t>
      </w:r>
      <w:r>
        <w:rPr>
          <w:spacing w:val="-4"/>
          <w:sz w:val="24"/>
          <w:szCs w:val="24"/>
          <w:highlight w:val="none"/>
        </w:rPr>
        <w:t>；参加采购项目</w:t>
      </w:r>
      <w:r>
        <w:rPr>
          <w:rFonts w:hint="eastAsia"/>
          <w:spacing w:val="-4"/>
          <w:sz w:val="24"/>
          <w:szCs w:val="24"/>
          <w:highlight w:val="none"/>
          <w:u w:val="single"/>
          <w:lang w:val="en-US" w:eastAsia="zh-CN"/>
        </w:rPr>
        <w:t xml:space="preserve">                        </w:t>
      </w:r>
      <w:r>
        <w:rPr>
          <w:spacing w:val="-4"/>
          <w:sz w:val="24"/>
          <w:szCs w:val="24"/>
          <w:highlight w:val="none"/>
          <w:u w:val="single" w:color="auto"/>
        </w:rPr>
        <w:t>（项目名称）</w:t>
      </w:r>
      <w:r>
        <w:rPr>
          <w:spacing w:val="-4"/>
          <w:sz w:val="24"/>
          <w:szCs w:val="24"/>
          <w:highlight w:val="none"/>
        </w:rPr>
        <w:t>投</w:t>
      </w:r>
      <w:r>
        <w:rPr>
          <w:spacing w:val="-5"/>
          <w:sz w:val="24"/>
          <w:szCs w:val="24"/>
          <w:highlight w:val="none"/>
        </w:rPr>
        <w:t>标，并在此声明，所递交的投标文件内容完整、真实。</w:t>
      </w:r>
    </w:p>
    <w:p w14:paraId="45225B9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C48357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outlineLvl w:val="1"/>
        <w:rPr>
          <w:sz w:val="24"/>
          <w:szCs w:val="24"/>
          <w:highlight w:val="none"/>
        </w:rPr>
      </w:pPr>
      <w:bookmarkStart w:id="296" w:name="_Toc28955"/>
      <w:bookmarkStart w:id="297" w:name="_Toc2469"/>
      <w:bookmarkStart w:id="298" w:name="_Toc9995"/>
      <w:bookmarkStart w:id="299" w:name="_Toc11370"/>
      <w:r>
        <w:rPr>
          <w:b/>
          <w:bCs/>
          <w:spacing w:val="-9"/>
          <w:sz w:val="24"/>
          <w:szCs w:val="24"/>
          <w:highlight w:val="none"/>
        </w:rPr>
        <w:t>第一部分资格证明文件</w:t>
      </w:r>
      <w:bookmarkEnd w:id="296"/>
      <w:bookmarkEnd w:id="297"/>
      <w:bookmarkEnd w:id="298"/>
      <w:bookmarkEnd w:id="299"/>
    </w:p>
    <w:p w14:paraId="3C37959F">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5"/>
        <w:textAlignment w:val="baseline"/>
        <w:rPr>
          <w:sz w:val="24"/>
          <w:szCs w:val="24"/>
          <w:highlight w:val="none"/>
        </w:rPr>
      </w:pPr>
      <w:r>
        <w:rPr>
          <w:spacing w:val="-4"/>
          <w:sz w:val="24"/>
          <w:szCs w:val="24"/>
          <w:highlight w:val="none"/>
        </w:rPr>
        <w:t>一、开标一览表</w:t>
      </w:r>
    </w:p>
    <w:p w14:paraId="23B359C2">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5"/>
        <w:textAlignment w:val="baseline"/>
        <w:rPr>
          <w:sz w:val="24"/>
          <w:szCs w:val="24"/>
          <w:highlight w:val="none"/>
        </w:rPr>
      </w:pPr>
      <w:r>
        <w:rPr>
          <w:spacing w:val="-2"/>
          <w:sz w:val="24"/>
          <w:szCs w:val="24"/>
          <w:highlight w:val="none"/>
        </w:rPr>
        <w:t>二、法定代表人（单位负责人）身份证明</w:t>
      </w:r>
    </w:p>
    <w:p w14:paraId="4C230818">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6"/>
        <w:textAlignment w:val="baseline"/>
        <w:rPr>
          <w:sz w:val="24"/>
          <w:szCs w:val="24"/>
          <w:highlight w:val="none"/>
        </w:rPr>
      </w:pPr>
      <w:r>
        <w:rPr>
          <w:spacing w:val="-2"/>
          <w:sz w:val="24"/>
          <w:szCs w:val="24"/>
          <w:highlight w:val="none"/>
        </w:rPr>
        <w:t>三、投标供应商提供的资格证明文件</w:t>
      </w:r>
    </w:p>
    <w:p w14:paraId="4D3C511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outlineLvl w:val="1"/>
        <w:rPr>
          <w:sz w:val="24"/>
          <w:szCs w:val="24"/>
          <w:highlight w:val="none"/>
        </w:rPr>
      </w:pPr>
      <w:bookmarkStart w:id="300" w:name="_Toc4992"/>
      <w:bookmarkStart w:id="301" w:name="_Toc8759"/>
      <w:bookmarkStart w:id="302" w:name="_Toc18537"/>
      <w:bookmarkStart w:id="303" w:name="_Toc6776"/>
      <w:r>
        <w:rPr>
          <w:b/>
          <w:bCs/>
          <w:spacing w:val="-6"/>
          <w:sz w:val="24"/>
          <w:szCs w:val="24"/>
          <w:highlight w:val="none"/>
        </w:rPr>
        <w:t>第二部分商务文件</w:t>
      </w:r>
      <w:bookmarkEnd w:id="300"/>
      <w:bookmarkEnd w:id="301"/>
      <w:bookmarkEnd w:id="302"/>
      <w:bookmarkEnd w:id="303"/>
    </w:p>
    <w:p w14:paraId="488CE8EB">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83"/>
        <w:textAlignment w:val="baseline"/>
        <w:rPr>
          <w:sz w:val="24"/>
          <w:szCs w:val="24"/>
          <w:highlight w:val="none"/>
        </w:rPr>
      </w:pPr>
      <w:r>
        <w:rPr>
          <w:spacing w:val="-11"/>
          <w:sz w:val="24"/>
          <w:szCs w:val="24"/>
          <w:highlight w:val="none"/>
        </w:rPr>
        <w:t>四、投标函</w:t>
      </w:r>
    </w:p>
    <w:p w14:paraId="5201EB67">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5"/>
        <w:textAlignment w:val="baseline"/>
        <w:rPr>
          <w:rFonts w:hint="eastAsia" w:eastAsia="宋体"/>
          <w:sz w:val="24"/>
          <w:szCs w:val="24"/>
          <w:highlight w:val="none"/>
          <w:lang w:eastAsia="zh-CN"/>
        </w:rPr>
      </w:pPr>
      <w:r>
        <w:rPr>
          <w:spacing w:val="-4"/>
          <w:sz w:val="24"/>
          <w:szCs w:val="24"/>
          <w:highlight w:val="none"/>
        </w:rPr>
        <w:t>五、</w:t>
      </w:r>
      <w:r>
        <w:rPr>
          <w:rFonts w:hint="eastAsia"/>
          <w:spacing w:val="-4"/>
          <w:sz w:val="24"/>
          <w:szCs w:val="24"/>
          <w:highlight w:val="none"/>
          <w:lang w:eastAsia="zh-CN"/>
        </w:rPr>
        <w:t>分项报价</w:t>
      </w:r>
    </w:p>
    <w:p w14:paraId="0561C60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0"/>
        <w:textAlignment w:val="baseline"/>
        <w:rPr>
          <w:sz w:val="24"/>
          <w:szCs w:val="24"/>
          <w:highlight w:val="none"/>
        </w:rPr>
      </w:pPr>
      <w:r>
        <w:rPr>
          <w:spacing w:val="-2"/>
          <w:sz w:val="24"/>
          <w:szCs w:val="24"/>
          <w:highlight w:val="none"/>
        </w:rPr>
        <w:t>六、商务、合同条款偏离表</w:t>
      </w:r>
    </w:p>
    <w:p w14:paraId="2085CC91">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5"/>
        <w:textAlignment w:val="baseline"/>
        <w:rPr>
          <w:sz w:val="24"/>
          <w:szCs w:val="24"/>
          <w:highlight w:val="none"/>
        </w:rPr>
      </w:pPr>
      <w:r>
        <w:rPr>
          <w:spacing w:val="-2"/>
          <w:sz w:val="24"/>
          <w:szCs w:val="24"/>
          <w:highlight w:val="none"/>
        </w:rPr>
        <w:t>七、享受政府采购政策优惠的证明资料</w:t>
      </w:r>
    </w:p>
    <w:p w14:paraId="71BECB4F">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45"/>
        <w:textAlignment w:val="baseline"/>
        <w:rPr>
          <w:sz w:val="24"/>
          <w:szCs w:val="24"/>
          <w:highlight w:val="none"/>
        </w:rPr>
      </w:pPr>
      <w:r>
        <w:rPr>
          <w:spacing w:val="-2"/>
          <w:sz w:val="24"/>
          <w:szCs w:val="24"/>
          <w:highlight w:val="none"/>
        </w:rPr>
        <w:t>八、投标供应商认为需提供的其他资料</w:t>
      </w:r>
    </w:p>
    <w:p w14:paraId="7C3B9ABA">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96"/>
        <w:textAlignment w:val="baseline"/>
        <w:outlineLvl w:val="1"/>
        <w:rPr>
          <w:sz w:val="24"/>
          <w:szCs w:val="24"/>
          <w:highlight w:val="none"/>
        </w:rPr>
      </w:pPr>
      <w:bookmarkStart w:id="304" w:name="_Toc4616"/>
      <w:bookmarkStart w:id="305" w:name="_Toc8574"/>
      <w:bookmarkStart w:id="306" w:name="_Toc31586"/>
      <w:bookmarkStart w:id="307" w:name="_Toc27968"/>
      <w:r>
        <w:rPr>
          <w:b/>
          <w:bCs/>
          <w:spacing w:val="-6"/>
          <w:sz w:val="24"/>
          <w:szCs w:val="24"/>
          <w:highlight w:val="none"/>
        </w:rPr>
        <w:t>第三部分技术文件</w:t>
      </w:r>
      <w:bookmarkEnd w:id="304"/>
      <w:bookmarkEnd w:id="305"/>
      <w:bookmarkEnd w:id="306"/>
      <w:bookmarkEnd w:id="307"/>
    </w:p>
    <w:p w14:paraId="626A6BA4">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49"/>
        <w:textAlignment w:val="baseline"/>
        <w:rPr>
          <w:sz w:val="24"/>
          <w:szCs w:val="24"/>
          <w:highlight w:val="none"/>
        </w:rPr>
      </w:pPr>
      <w:r>
        <w:rPr>
          <w:spacing w:val="-4"/>
          <w:sz w:val="24"/>
          <w:szCs w:val="24"/>
          <w:highlight w:val="none"/>
        </w:rPr>
        <w:t>九、采购需求响应</w:t>
      </w:r>
    </w:p>
    <w:p w14:paraId="0D97A3E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739"/>
        <w:textAlignment w:val="baseline"/>
        <w:rPr>
          <w:sz w:val="24"/>
          <w:szCs w:val="24"/>
          <w:highlight w:val="none"/>
        </w:rPr>
      </w:pPr>
      <w:r>
        <w:rPr>
          <w:spacing w:val="-3"/>
          <w:sz w:val="24"/>
          <w:szCs w:val="24"/>
          <w:highlight w:val="none"/>
        </w:rPr>
        <w:t>十、采购需求偏离表</w:t>
      </w:r>
    </w:p>
    <w:p w14:paraId="0F7E8E03">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739"/>
        <w:textAlignment w:val="baseline"/>
        <w:rPr>
          <w:sz w:val="24"/>
          <w:szCs w:val="24"/>
          <w:highlight w:val="none"/>
        </w:rPr>
      </w:pPr>
      <w:r>
        <w:rPr>
          <w:spacing w:val="-2"/>
          <w:sz w:val="24"/>
          <w:szCs w:val="24"/>
          <w:highlight w:val="none"/>
        </w:rPr>
        <w:t>十一、投标货物符合招标文件规定的证明文件</w:t>
      </w:r>
    </w:p>
    <w:p w14:paraId="3FEAEA7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5"/>
        <w:textAlignment w:val="baseline"/>
        <w:rPr>
          <w:sz w:val="24"/>
          <w:szCs w:val="24"/>
          <w:highlight w:val="none"/>
        </w:rPr>
      </w:pPr>
      <w:r>
        <w:rPr>
          <w:spacing w:val="-2"/>
          <w:sz w:val="24"/>
          <w:szCs w:val="24"/>
          <w:highlight w:val="none"/>
        </w:rPr>
        <w:t>在此，签字代表宣布同意如下：</w:t>
      </w:r>
    </w:p>
    <w:p w14:paraId="0738F58A">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33"/>
        <w:textAlignment w:val="baseline"/>
        <w:rPr>
          <w:sz w:val="24"/>
          <w:szCs w:val="24"/>
          <w:highlight w:val="none"/>
        </w:rPr>
      </w:pPr>
      <w:r>
        <w:rPr>
          <w:spacing w:val="-2"/>
          <w:sz w:val="24"/>
          <w:szCs w:val="24"/>
          <w:highlight w:val="none"/>
        </w:rPr>
        <w:t>1、投标供应商严格按照招标文件的规定报价，见《开标一览表》。</w:t>
      </w:r>
    </w:p>
    <w:p w14:paraId="282D092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4"/>
        <w:textAlignment w:val="baseline"/>
        <w:rPr>
          <w:sz w:val="24"/>
          <w:szCs w:val="24"/>
          <w:highlight w:val="none"/>
        </w:rPr>
      </w:pPr>
      <w:r>
        <w:rPr>
          <w:spacing w:val="-2"/>
          <w:sz w:val="24"/>
          <w:szCs w:val="24"/>
          <w:highlight w:val="none"/>
        </w:rPr>
        <w:t>2、投标供应商将按招标文件的规定履行合同责任和义务。</w:t>
      </w:r>
    </w:p>
    <w:p w14:paraId="14C7176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F1151C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firstLine="492"/>
        <w:textAlignment w:val="baseline"/>
        <w:rPr>
          <w:sz w:val="24"/>
          <w:szCs w:val="24"/>
          <w:highlight w:val="none"/>
        </w:rPr>
      </w:pPr>
      <w:r>
        <w:rPr>
          <w:spacing w:val="-1"/>
          <w:sz w:val="24"/>
          <w:szCs w:val="24"/>
          <w:highlight w:val="none"/>
        </w:rPr>
        <w:t>3、我方在参与投标前已详细研究了招标文件的所有内容，包括澄清、修改文件（如果有）和</w:t>
      </w:r>
      <w:r>
        <w:rPr>
          <w:spacing w:val="-3"/>
          <w:sz w:val="24"/>
          <w:szCs w:val="24"/>
          <w:highlight w:val="none"/>
        </w:rPr>
        <w:t>所有已提供的参考资料以及有关附件，我方完全明白并认为此招标文件没有倾向</w:t>
      </w:r>
      <w:r>
        <w:rPr>
          <w:spacing w:val="-4"/>
          <w:sz w:val="24"/>
          <w:szCs w:val="24"/>
          <w:highlight w:val="none"/>
        </w:rPr>
        <w:t>性，也不存在排斥</w:t>
      </w:r>
      <w:r>
        <w:rPr>
          <w:spacing w:val="-3"/>
          <w:sz w:val="24"/>
          <w:szCs w:val="24"/>
          <w:highlight w:val="none"/>
        </w:rPr>
        <w:t>潜在投标供应商的内容，我方同意招标文件的相关条款，放弃对招标文件提出误</w:t>
      </w:r>
      <w:r>
        <w:rPr>
          <w:spacing w:val="-4"/>
          <w:sz w:val="24"/>
          <w:szCs w:val="24"/>
          <w:highlight w:val="none"/>
        </w:rPr>
        <w:t>解和质疑的一切权</w:t>
      </w:r>
      <w:r>
        <w:rPr>
          <w:spacing w:val="-5"/>
          <w:sz w:val="24"/>
          <w:szCs w:val="24"/>
          <w:highlight w:val="none"/>
        </w:rPr>
        <w:t>力。</w:t>
      </w:r>
    </w:p>
    <w:p w14:paraId="4FD05EE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firstLine="471"/>
        <w:textAlignment w:val="baseline"/>
        <w:rPr>
          <w:sz w:val="24"/>
          <w:szCs w:val="24"/>
          <w:highlight w:val="none"/>
        </w:rPr>
      </w:pPr>
      <w:r>
        <w:rPr>
          <w:spacing w:val="-1"/>
          <w:sz w:val="24"/>
          <w:szCs w:val="24"/>
          <w:highlight w:val="none"/>
        </w:rPr>
        <w:t>4、本投标有效期为自招标文件规定的提交投标文件截止之日起</w:t>
      </w:r>
      <w:r>
        <w:rPr>
          <w:rFonts w:hint="eastAsia"/>
          <w:spacing w:val="-1"/>
          <w:sz w:val="24"/>
          <w:szCs w:val="24"/>
          <w:highlight w:val="none"/>
          <w:u w:val="single"/>
          <w:lang w:val="en-US" w:eastAsia="zh-CN"/>
        </w:rPr>
        <w:t xml:space="preserve">  </w:t>
      </w:r>
      <w:r>
        <w:rPr>
          <w:b/>
          <w:bCs/>
          <w:spacing w:val="-1"/>
          <w:sz w:val="24"/>
          <w:szCs w:val="24"/>
          <w:highlight w:val="none"/>
          <w:u w:val="single" w:color="auto"/>
        </w:rPr>
        <w:t>90</w:t>
      </w:r>
      <w:r>
        <w:rPr>
          <w:rFonts w:hint="eastAsia"/>
          <w:b/>
          <w:bCs/>
          <w:spacing w:val="-1"/>
          <w:sz w:val="24"/>
          <w:szCs w:val="24"/>
          <w:highlight w:val="none"/>
          <w:u w:val="single" w:color="auto"/>
          <w:lang w:val="en-US" w:eastAsia="zh-CN"/>
        </w:rPr>
        <w:t xml:space="preserve">  </w:t>
      </w:r>
      <w:r>
        <w:rPr>
          <w:spacing w:val="-1"/>
          <w:sz w:val="24"/>
          <w:szCs w:val="24"/>
          <w:highlight w:val="none"/>
        </w:rPr>
        <w:t>个日历日。在投标有效</w:t>
      </w:r>
      <w:r>
        <w:rPr>
          <w:spacing w:val="-3"/>
          <w:sz w:val="24"/>
          <w:szCs w:val="24"/>
          <w:highlight w:val="none"/>
        </w:rPr>
        <w:t>期内，投标供应商同意遵守本投标文件中的承诺且在此期限期满之前投</w:t>
      </w:r>
      <w:r>
        <w:rPr>
          <w:spacing w:val="-4"/>
          <w:sz w:val="24"/>
          <w:szCs w:val="24"/>
          <w:highlight w:val="none"/>
        </w:rPr>
        <w:t>标文件对我方具有法律约束</w:t>
      </w:r>
      <w:r>
        <w:rPr>
          <w:spacing w:val="-7"/>
          <w:sz w:val="24"/>
          <w:szCs w:val="24"/>
          <w:highlight w:val="none"/>
        </w:rPr>
        <w:t>力。</w:t>
      </w:r>
    </w:p>
    <w:p w14:paraId="16E2E93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8"/>
        <w:textAlignment w:val="baseline"/>
        <w:rPr>
          <w:sz w:val="24"/>
          <w:szCs w:val="24"/>
          <w:highlight w:val="none"/>
        </w:rPr>
      </w:pPr>
      <w:r>
        <w:rPr>
          <w:spacing w:val="-2"/>
          <w:sz w:val="24"/>
          <w:szCs w:val="24"/>
          <w:highlight w:val="none"/>
        </w:rPr>
        <w:t>5、同意提供贵方可能要求的与其投标有关的一切数据或资料。</w:t>
      </w:r>
    </w:p>
    <w:p w14:paraId="178129A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0"/>
        <w:textAlignment w:val="baseline"/>
        <w:rPr>
          <w:sz w:val="24"/>
          <w:szCs w:val="24"/>
          <w:highlight w:val="none"/>
        </w:rPr>
      </w:pPr>
      <w:r>
        <w:rPr>
          <w:spacing w:val="-2"/>
          <w:sz w:val="24"/>
          <w:szCs w:val="24"/>
          <w:highlight w:val="none"/>
        </w:rPr>
        <w:t>6、与本投标有关的一切正式往来信函请寄：</w:t>
      </w:r>
    </w:p>
    <w:p w14:paraId="5B4D4D8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9C85230">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pacing w:val="-5"/>
          <w:sz w:val="24"/>
          <w:szCs w:val="24"/>
          <w:highlight w:val="none"/>
        </w:rPr>
      </w:pPr>
      <w:r>
        <w:rPr>
          <w:spacing w:val="-5"/>
          <w:sz w:val="24"/>
          <w:szCs w:val="24"/>
          <w:highlight w:val="none"/>
        </w:rPr>
        <w:t>地址：</w:t>
      </w:r>
      <w:r>
        <w:rPr>
          <w:rFonts w:hint="eastAsia"/>
          <w:spacing w:val="-4"/>
          <w:sz w:val="24"/>
          <w:szCs w:val="24"/>
          <w:highlight w:val="none"/>
          <w:u w:val="single"/>
          <w:lang w:val="en-US" w:eastAsia="zh-CN"/>
        </w:rPr>
        <w:t xml:space="preserve">                       </w:t>
      </w:r>
    </w:p>
    <w:p w14:paraId="5E684B1E">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pacing w:val="-20"/>
          <w:sz w:val="24"/>
          <w:szCs w:val="24"/>
          <w:highlight w:val="none"/>
        </w:rPr>
      </w:pPr>
      <w:r>
        <w:rPr>
          <w:spacing w:val="-20"/>
          <w:sz w:val="24"/>
          <w:szCs w:val="24"/>
          <w:highlight w:val="none"/>
        </w:rPr>
        <w:t>邮编：</w:t>
      </w:r>
      <w:r>
        <w:rPr>
          <w:rFonts w:hint="eastAsia"/>
          <w:spacing w:val="-4"/>
          <w:sz w:val="24"/>
          <w:szCs w:val="24"/>
          <w:highlight w:val="none"/>
          <w:u w:val="single"/>
          <w:lang w:val="en-US" w:eastAsia="zh-CN"/>
        </w:rPr>
        <w:t xml:space="preserve">                       </w:t>
      </w:r>
    </w:p>
    <w:p w14:paraId="1B7D67F9">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spacing w:val="-27"/>
          <w:sz w:val="24"/>
          <w:szCs w:val="24"/>
          <w:highlight w:val="none"/>
        </w:rPr>
      </w:pPr>
      <w:r>
        <w:rPr>
          <w:spacing w:val="-27"/>
          <w:sz w:val="24"/>
          <w:szCs w:val="24"/>
          <w:highlight w:val="none"/>
        </w:rPr>
        <w:t>电话：</w:t>
      </w:r>
      <w:r>
        <w:rPr>
          <w:rFonts w:hint="eastAsia"/>
          <w:spacing w:val="-4"/>
          <w:sz w:val="24"/>
          <w:szCs w:val="24"/>
          <w:highlight w:val="none"/>
          <w:u w:val="single"/>
          <w:lang w:val="en-US" w:eastAsia="zh-CN"/>
        </w:rPr>
        <w:t xml:space="preserve">                        </w:t>
      </w:r>
    </w:p>
    <w:p w14:paraId="00C91F57">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496"/>
        <w:textAlignment w:val="baseline"/>
        <w:rPr>
          <w:rFonts w:hint="eastAsia" w:eastAsia="宋体"/>
          <w:sz w:val="24"/>
          <w:szCs w:val="24"/>
          <w:highlight w:val="none"/>
          <w:lang w:eastAsia="zh-CN"/>
        </w:rPr>
      </w:pPr>
      <w:r>
        <w:rPr>
          <w:spacing w:val="-14"/>
          <w:sz w:val="24"/>
          <w:szCs w:val="24"/>
          <w:highlight w:val="none"/>
        </w:rPr>
        <w:t>电子邮箱：</w:t>
      </w:r>
      <w:r>
        <w:rPr>
          <w:rFonts w:hint="eastAsia"/>
          <w:spacing w:val="-4"/>
          <w:sz w:val="24"/>
          <w:szCs w:val="24"/>
          <w:highlight w:val="none"/>
          <w:u w:val="single"/>
          <w:lang w:val="en-US" w:eastAsia="zh-CN"/>
        </w:rPr>
        <w:t xml:space="preserve">                        </w:t>
      </w:r>
    </w:p>
    <w:p w14:paraId="3C91D5A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215D54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0FACE5BF">
      <w:pPr>
        <w:pStyle w:val="2"/>
        <w:keepNext w:val="0"/>
        <w:keepLines w:val="0"/>
        <w:pageBreakBefore w:val="0"/>
        <w:widowControl/>
        <w:kinsoku/>
        <w:wordWrap w:val="0"/>
        <w:overflowPunct/>
        <w:topLinePunct w:val="0"/>
        <w:autoSpaceDE/>
        <w:autoSpaceDN/>
        <w:bidi w:val="0"/>
        <w:adjustRightInd w:val="0"/>
        <w:snapToGrid w:val="0"/>
        <w:spacing w:before="179" w:line="360" w:lineRule="auto"/>
        <w:ind w:left="19"/>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60CA9CC0">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142"/>
        <w:textAlignment w:val="baseline"/>
        <w:rPr>
          <w:rFonts w:ascii="宋体" w:hAnsi="宋体" w:eastAsia="宋体" w:cs="宋体"/>
          <w:b w:val="0"/>
          <w:bCs w:val="0"/>
          <w:spacing w:val="-5"/>
          <w:sz w:val="24"/>
          <w:szCs w:val="24"/>
          <w:highlight w:val="none"/>
        </w:rPr>
      </w:pPr>
      <w:r>
        <w:rPr>
          <w:rFonts w:ascii="宋体" w:hAnsi="宋体" w:eastAsia="宋体" w:cs="宋体"/>
          <w:b w:val="0"/>
          <w:bCs w:val="0"/>
          <w:spacing w:val="-5"/>
          <w:sz w:val="24"/>
          <w:szCs w:val="24"/>
          <w:highlight w:val="none"/>
        </w:rPr>
        <w:t>日期：</w:t>
      </w:r>
      <w:r>
        <w:rPr>
          <w:rFonts w:hint="eastAsia" w:ascii="宋体" w:hAnsi="宋体" w:eastAsia="宋体" w:cs="宋体"/>
          <w:b w:val="0"/>
          <w:bCs w:val="0"/>
          <w:spacing w:val="-5"/>
          <w:sz w:val="24"/>
          <w:szCs w:val="24"/>
          <w:highlight w:val="none"/>
          <w:lang w:val="en-US" w:eastAsia="zh-CN"/>
        </w:rPr>
        <w:t xml:space="preserve">       </w:t>
      </w:r>
      <w:r>
        <w:rPr>
          <w:rFonts w:ascii="宋体" w:hAnsi="宋体" w:eastAsia="宋体" w:cs="宋体"/>
          <w:b w:val="0"/>
          <w:bCs w:val="0"/>
          <w:spacing w:val="-5"/>
          <w:sz w:val="24"/>
          <w:szCs w:val="24"/>
          <w:highlight w:val="none"/>
        </w:rPr>
        <w:t>年</w:t>
      </w:r>
      <w:r>
        <w:rPr>
          <w:rFonts w:hint="eastAsia" w:ascii="宋体" w:hAnsi="宋体" w:eastAsia="宋体" w:cs="宋体"/>
          <w:b w:val="0"/>
          <w:bCs w:val="0"/>
          <w:spacing w:val="-5"/>
          <w:sz w:val="24"/>
          <w:szCs w:val="24"/>
          <w:highlight w:val="none"/>
          <w:lang w:val="en-US" w:eastAsia="zh-CN"/>
        </w:rPr>
        <w:t xml:space="preserve">       </w:t>
      </w:r>
      <w:r>
        <w:rPr>
          <w:rFonts w:ascii="宋体" w:hAnsi="宋体" w:eastAsia="宋体" w:cs="宋体"/>
          <w:b w:val="0"/>
          <w:bCs w:val="0"/>
          <w:spacing w:val="-5"/>
          <w:sz w:val="24"/>
          <w:szCs w:val="24"/>
          <w:highlight w:val="none"/>
        </w:rPr>
        <w:t>月</w:t>
      </w:r>
      <w:r>
        <w:rPr>
          <w:rFonts w:hint="eastAsia" w:ascii="宋体" w:hAnsi="宋体" w:eastAsia="宋体" w:cs="宋体"/>
          <w:b w:val="0"/>
          <w:bCs w:val="0"/>
          <w:spacing w:val="-5"/>
          <w:sz w:val="24"/>
          <w:szCs w:val="24"/>
          <w:highlight w:val="none"/>
          <w:lang w:val="en-US" w:eastAsia="zh-CN"/>
        </w:rPr>
        <w:t xml:space="preserve">       </w:t>
      </w:r>
      <w:r>
        <w:rPr>
          <w:rFonts w:ascii="宋体" w:hAnsi="宋体" w:eastAsia="宋体" w:cs="宋体"/>
          <w:b w:val="0"/>
          <w:bCs w:val="0"/>
          <w:spacing w:val="-5"/>
          <w:sz w:val="24"/>
          <w:szCs w:val="24"/>
          <w:highlight w:val="none"/>
        </w:rPr>
        <w:t>日</w:t>
      </w:r>
    </w:p>
    <w:p w14:paraId="2310CC5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9D0AB2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C71675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86C94E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0"/>
          <w:highlight w:val="none"/>
        </w:rPr>
      </w:pPr>
      <w:bookmarkStart w:id="308" w:name="bookmark47"/>
      <w:bookmarkEnd w:id="308"/>
      <w:r>
        <w:rPr>
          <w:b/>
          <w:bCs/>
          <w:spacing w:val="10"/>
          <w:highlight w:val="none"/>
        </w:rPr>
        <w:br w:type="page"/>
      </w:r>
    </w:p>
    <w:p w14:paraId="3128458F">
      <w:pPr>
        <w:pStyle w:val="5"/>
        <w:bidi w:val="0"/>
        <w:rPr>
          <w:rFonts w:hint="eastAsia" w:eastAsia="宋体"/>
          <w:lang w:eastAsia="zh-CN"/>
        </w:rPr>
      </w:pPr>
      <w:bookmarkStart w:id="309" w:name="_Toc21156"/>
      <w:r>
        <w:rPr>
          <w:rFonts w:eastAsia="宋体"/>
        </w:rPr>
        <w:t>五、</w:t>
      </w:r>
      <w:r>
        <w:rPr>
          <w:rFonts w:hint="eastAsia" w:eastAsia="宋体"/>
          <w:lang w:eastAsia="zh-CN"/>
        </w:rPr>
        <w:t>分项报价</w:t>
      </w:r>
      <w:bookmarkEnd w:id="309"/>
    </w:p>
    <w:p w14:paraId="075D0F7A">
      <w:pPr>
        <w:pStyle w:val="6"/>
        <w:bidi w:val="0"/>
      </w:pPr>
      <w:bookmarkStart w:id="310" w:name="_Toc27196"/>
      <w:bookmarkStart w:id="311" w:name="_Toc31015"/>
      <w:bookmarkStart w:id="312" w:name="_Toc6941"/>
      <w:r>
        <w:t>附件</w:t>
      </w:r>
      <w:r>
        <w:rPr>
          <w:rFonts w:hint="eastAsia"/>
          <w:lang w:val="en-US" w:eastAsia="zh-CN"/>
        </w:rPr>
        <w:t>5</w:t>
      </w:r>
      <w:r>
        <w:t>-1分项报价说明</w:t>
      </w:r>
      <w:bookmarkEnd w:id="310"/>
      <w:bookmarkEnd w:id="311"/>
      <w:bookmarkEnd w:id="312"/>
    </w:p>
    <w:p w14:paraId="14FF4C4E">
      <w:pPr>
        <w:pStyle w:val="2"/>
        <w:keepNext w:val="0"/>
        <w:keepLines w:val="0"/>
        <w:pageBreakBefore w:val="0"/>
        <w:widowControl/>
        <w:kinsoku/>
        <w:wordWrap w:val="0"/>
        <w:overflowPunct/>
        <w:topLinePunct w:val="0"/>
        <w:autoSpaceDE/>
        <w:autoSpaceDN/>
        <w:bidi w:val="0"/>
        <w:adjustRightInd w:val="0"/>
        <w:snapToGrid w:val="0"/>
        <w:spacing w:before="142" w:line="360" w:lineRule="auto"/>
        <w:ind w:left="4318"/>
        <w:textAlignment w:val="baseline"/>
        <w:rPr>
          <w:sz w:val="28"/>
          <w:szCs w:val="28"/>
          <w:highlight w:val="none"/>
        </w:rPr>
      </w:pPr>
      <w:bookmarkStart w:id="313" w:name="bookmark38"/>
      <w:bookmarkEnd w:id="313"/>
      <w:r>
        <w:rPr>
          <w:b/>
          <w:bCs/>
          <w:spacing w:val="-9"/>
          <w:sz w:val="28"/>
          <w:szCs w:val="28"/>
          <w:highlight w:val="none"/>
        </w:rPr>
        <w:t>分项报价说明</w:t>
      </w:r>
    </w:p>
    <w:p w14:paraId="7A53F6B5">
      <w:pPr>
        <w:pStyle w:val="2"/>
        <w:keepNext w:val="0"/>
        <w:keepLines w:val="0"/>
        <w:pageBreakBefore w:val="0"/>
        <w:widowControl/>
        <w:kinsoku/>
        <w:wordWrap w:val="0"/>
        <w:overflowPunct/>
        <w:topLinePunct w:val="0"/>
        <w:autoSpaceDE/>
        <w:autoSpaceDN/>
        <w:bidi w:val="0"/>
        <w:adjustRightInd w:val="0"/>
        <w:snapToGrid w:val="0"/>
        <w:spacing w:before="202" w:line="360" w:lineRule="auto"/>
        <w:ind w:left="54"/>
        <w:textAlignment w:val="baseline"/>
        <w:rPr>
          <w:sz w:val="24"/>
          <w:szCs w:val="24"/>
          <w:highlight w:val="none"/>
        </w:rPr>
      </w:pPr>
      <w:r>
        <w:rPr>
          <w:spacing w:val="-2"/>
          <w:sz w:val="24"/>
          <w:szCs w:val="24"/>
          <w:highlight w:val="none"/>
        </w:rPr>
        <w:t>备注：投标供应商应按招标文件第二章相关要求，对本节“分项报价明细表”进行编制，并</w:t>
      </w:r>
      <w:r>
        <w:rPr>
          <w:spacing w:val="-3"/>
          <w:sz w:val="24"/>
          <w:szCs w:val="24"/>
          <w:highlight w:val="none"/>
        </w:rPr>
        <w:t>说明。</w:t>
      </w:r>
    </w:p>
    <w:p w14:paraId="35BCA09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1A6885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p w14:paraId="110AF295">
      <w:pPr>
        <w:pStyle w:val="6"/>
        <w:bidi w:val="0"/>
        <w:rPr>
          <w:color w:val="auto"/>
        </w:rPr>
      </w:pPr>
      <w:bookmarkStart w:id="314" w:name="_Toc11545"/>
      <w:bookmarkStart w:id="315" w:name="_Toc1958"/>
      <w:bookmarkStart w:id="316" w:name="_Toc787"/>
      <w:r>
        <w:rPr>
          <w:color w:val="auto"/>
        </w:rPr>
        <w:t>附件</w:t>
      </w:r>
      <w:r>
        <w:rPr>
          <w:rFonts w:hint="eastAsia"/>
          <w:color w:val="auto"/>
          <w:lang w:val="en-US" w:eastAsia="zh-CN"/>
        </w:rPr>
        <w:t>5</w:t>
      </w:r>
      <w:r>
        <w:rPr>
          <w:color w:val="auto"/>
        </w:rPr>
        <w:t>-2分项报价明细表</w:t>
      </w:r>
      <w:bookmarkEnd w:id="314"/>
      <w:bookmarkEnd w:id="315"/>
      <w:bookmarkEnd w:id="316"/>
    </w:p>
    <w:p w14:paraId="44EBA565">
      <w:pPr>
        <w:pStyle w:val="2"/>
        <w:keepNext w:val="0"/>
        <w:keepLines w:val="0"/>
        <w:pageBreakBefore w:val="0"/>
        <w:widowControl/>
        <w:kinsoku/>
        <w:wordWrap w:val="0"/>
        <w:overflowPunct/>
        <w:topLinePunct w:val="0"/>
        <w:autoSpaceDE/>
        <w:autoSpaceDN/>
        <w:bidi w:val="0"/>
        <w:adjustRightInd w:val="0"/>
        <w:snapToGrid w:val="0"/>
        <w:spacing w:before="134" w:line="360" w:lineRule="auto"/>
        <w:jc w:val="center"/>
        <w:textAlignment w:val="baseline"/>
        <w:rPr>
          <w:color w:val="auto"/>
          <w:sz w:val="24"/>
          <w:szCs w:val="24"/>
          <w:highlight w:val="none"/>
        </w:rPr>
      </w:pPr>
      <w:bookmarkStart w:id="317" w:name="bookmark39"/>
      <w:bookmarkEnd w:id="317"/>
      <w:r>
        <w:rPr>
          <w:b/>
          <w:bCs/>
          <w:color w:val="auto"/>
          <w:spacing w:val="-8"/>
          <w:sz w:val="24"/>
          <w:szCs w:val="24"/>
          <w:highlight w:val="none"/>
        </w:rPr>
        <w:t>分项报价明细表</w:t>
      </w:r>
    </w:p>
    <w:p w14:paraId="621326F5">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45"/>
        <w:textAlignment w:val="baseline"/>
        <w:rPr>
          <w:color w:val="auto"/>
          <w:highlight w:val="none"/>
        </w:rPr>
      </w:pPr>
      <w:r>
        <w:rPr>
          <w:color w:val="auto"/>
          <w:spacing w:val="-2"/>
          <w:sz w:val="24"/>
          <w:szCs w:val="24"/>
          <w:highlight w:val="none"/>
        </w:rPr>
        <w:t>政府采购编号：</w:t>
      </w:r>
      <w:r>
        <w:rPr>
          <w:rFonts w:hint="eastAsia"/>
          <w:color w:val="auto"/>
          <w:spacing w:val="-4"/>
          <w:sz w:val="24"/>
          <w:szCs w:val="24"/>
          <w:highlight w:val="none"/>
          <w:u w:val="single"/>
          <w:lang w:val="en-US" w:eastAsia="zh-CN"/>
        </w:rPr>
        <w:t xml:space="preserve">                  </w:t>
      </w:r>
      <w:r>
        <w:rPr>
          <w:rFonts w:hint="eastAsia"/>
          <w:color w:val="auto"/>
          <w:spacing w:val="-2"/>
          <w:sz w:val="24"/>
          <w:szCs w:val="24"/>
          <w:highlight w:val="none"/>
          <w:lang w:val="en-US" w:eastAsia="zh-CN"/>
        </w:rPr>
        <w:t xml:space="preserve">                </w:t>
      </w:r>
      <w:r>
        <w:rPr>
          <w:color w:val="auto"/>
          <w:spacing w:val="-2"/>
          <w:sz w:val="24"/>
          <w:szCs w:val="24"/>
          <w:highlight w:val="none"/>
        </w:rPr>
        <w:t>项目名称：</w:t>
      </w:r>
      <w:r>
        <w:rPr>
          <w:rFonts w:hint="eastAsia"/>
          <w:color w:val="auto"/>
          <w:spacing w:val="-4"/>
          <w:sz w:val="24"/>
          <w:szCs w:val="24"/>
          <w:highlight w:val="none"/>
          <w:u w:val="single"/>
          <w:lang w:val="en-US" w:eastAsia="zh-CN"/>
        </w:rPr>
        <w:t xml:space="preserve">                  </w:t>
      </w:r>
    </w:p>
    <w:tbl>
      <w:tblPr>
        <w:tblStyle w:val="20"/>
        <w:tblW w:w="101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0"/>
        <w:gridCol w:w="1221"/>
        <w:gridCol w:w="2228"/>
        <w:gridCol w:w="1235"/>
        <w:gridCol w:w="1128"/>
        <w:gridCol w:w="1128"/>
        <w:gridCol w:w="960"/>
        <w:gridCol w:w="945"/>
        <w:gridCol w:w="787"/>
      </w:tblGrid>
      <w:tr w14:paraId="35CA6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jc w:val="center"/>
        </w:trPr>
        <w:tc>
          <w:tcPr>
            <w:tcW w:w="1781" w:type="dxa"/>
            <w:gridSpan w:val="2"/>
            <w:vMerge w:val="restart"/>
            <w:tcBorders>
              <w:bottom w:val="nil"/>
            </w:tcBorders>
            <w:vAlign w:val="top"/>
          </w:tcPr>
          <w:p w14:paraId="70B81377">
            <w:pPr>
              <w:pStyle w:val="21"/>
              <w:keepNext w:val="0"/>
              <w:keepLines w:val="0"/>
              <w:pageBreakBefore w:val="0"/>
              <w:widowControl/>
              <w:kinsoku/>
              <w:wordWrap w:val="0"/>
              <w:overflowPunct/>
              <w:topLinePunct w:val="0"/>
              <w:autoSpaceDE/>
              <w:autoSpaceDN/>
              <w:bidi w:val="0"/>
              <w:adjustRightInd w:val="0"/>
              <w:snapToGrid w:val="0"/>
              <w:spacing w:before="312" w:line="360" w:lineRule="auto"/>
              <w:ind w:left="445"/>
              <w:textAlignment w:val="baseline"/>
              <w:rPr>
                <w:color w:val="auto"/>
                <w:highlight w:val="none"/>
              </w:rPr>
            </w:pPr>
            <w:r>
              <w:rPr>
                <w:color w:val="auto"/>
                <w:spacing w:val="-5"/>
                <w:highlight w:val="none"/>
              </w:rPr>
              <w:t>标的名称</w:t>
            </w:r>
          </w:p>
        </w:tc>
        <w:tc>
          <w:tcPr>
            <w:tcW w:w="2228" w:type="dxa"/>
            <w:vMerge w:val="restart"/>
            <w:tcBorders>
              <w:bottom w:val="nil"/>
            </w:tcBorders>
            <w:vAlign w:val="top"/>
          </w:tcPr>
          <w:p w14:paraId="213C4CFF">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661"/>
              <w:textAlignment w:val="baseline"/>
              <w:rPr>
                <w:color w:val="auto"/>
                <w:highlight w:val="none"/>
              </w:rPr>
            </w:pPr>
            <w:r>
              <w:rPr>
                <w:color w:val="auto"/>
                <w:spacing w:val="-5"/>
                <w:highlight w:val="none"/>
              </w:rPr>
              <w:t>规格型号</w:t>
            </w:r>
          </w:p>
          <w:p w14:paraId="05393466">
            <w:pPr>
              <w:pStyle w:val="21"/>
              <w:keepNext w:val="0"/>
              <w:keepLines w:val="0"/>
              <w:pageBreakBefore w:val="0"/>
              <w:widowControl/>
              <w:kinsoku/>
              <w:wordWrap w:val="0"/>
              <w:overflowPunct/>
              <w:topLinePunct w:val="0"/>
              <w:autoSpaceDE/>
              <w:autoSpaceDN/>
              <w:bidi w:val="0"/>
              <w:adjustRightInd w:val="0"/>
              <w:snapToGrid w:val="0"/>
              <w:spacing w:before="178" w:line="360" w:lineRule="auto"/>
              <w:ind w:left="81"/>
              <w:textAlignment w:val="baseline"/>
              <w:rPr>
                <w:color w:val="auto"/>
                <w:highlight w:val="none"/>
              </w:rPr>
            </w:pPr>
            <w:r>
              <w:rPr>
                <w:color w:val="auto"/>
                <w:spacing w:val="-5"/>
                <w:highlight w:val="none"/>
              </w:rPr>
              <w:t>（或项目特征描述）</w:t>
            </w:r>
          </w:p>
        </w:tc>
        <w:tc>
          <w:tcPr>
            <w:tcW w:w="1235" w:type="dxa"/>
            <w:vMerge w:val="restart"/>
            <w:tcBorders>
              <w:bottom w:val="nil"/>
            </w:tcBorders>
            <w:vAlign w:val="top"/>
          </w:tcPr>
          <w:p w14:paraId="45185111">
            <w:pPr>
              <w:pStyle w:val="21"/>
              <w:keepNext w:val="0"/>
              <w:keepLines w:val="0"/>
              <w:pageBreakBefore w:val="0"/>
              <w:widowControl/>
              <w:kinsoku/>
              <w:wordWrap w:val="0"/>
              <w:overflowPunct/>
              <w:topLinePunct w:val="0"/>
              <w:autoSpaceDE/>
              <w:autoSpaceDN/>
              <w:bidi w:val="0"/>
              <w:adjustRightInd w:val="0"/>
              <w:snapToGrid w:val="0"/>
              <w:spacing w:before="310" w:line="360" w:lineRule="auto"/>
              <w:ind w:left="141"/>
              <w:textAlignment w:val="baseline"/>
              <w:rPr>
                <w:color w:val="auto"/>
                <w:highlight w:val="none"/>
              </w:rPr>
            </w:pPr>
            <w:r>
              <w:rPr>
                <w:color w:val="auto"/>
                <w:spacing w:val="-10"/>
                <w:highlight w:val="none"/>
              </w:rPr>
              <w:t>品牌/产地</w:t>
            </w:r>
          </w:p>
        </w:tc>
        <w:tc>
          <w:tcPr>
            <w:tcW w:w="1128" w:type="dxa"/>
            <w:vMerge w:val="restart"/>
            <w:tcBorders>
              <w:bottom w:val="nil"/>
            </w:tcBorders>
            <w:vAlign w:val="top"/>
          </w:tcPr>
          <w:p w14:paraId="438A4F95">
            <w:pPr>
              <w:pStyle w:val="21"/>
              <w:keepNext w:val="0"/>
              <w:keepLines w:val="0"/>
              <w:pageBreakBefore w:val="0"/>
              <w:widowControl/>
              <w:kinsoku/>
              <w:wordWrap w:val="0"/>
              <w:overflowPunct/>
              <w:topLinePunct w:val="0"/>
              <w:autoSpaceDE/>
              <w:autoSpaceDN/>
              <w:bidi w:val="0"/>
              <w:adjustRightInd w:val="0"/>
              <w:snapToGrid w:val="0"/>
              <w:spacing w:before="98" w:line="360" w:lineRule="auto"/>
              <w:ind w:left="350" w:right="186" w:hanging="116"/>
              <w:textAlignment w:val="baseline"/>
              <w:rPr>
                <w:color w:val="auto"/>
                <w:highlight w:val="none"/>
              </w:rPr>
            </w:pPr>
            <w:r>
              <w:rPr>
                <w:color w:val="auto"/>
                <w:spacing w:val="-6"/>
                <w:highlight w:val="none"/>
              </w:rPr>
              <w:t>制造商</w:t>
            </w:r>
            <w:r>
              <w:rPr>
                <w:color w:val="auto"/>
                <w:spacing w:val="-5"/>
                <w:highlight w:val="none"/>
              </w:rPr>
              <w:t>全称</w:t>
            </w:r>
          </w:p>
        </w:tc>
        <w:tc>
          <w:tcPr>
            <w:tcW w:w="1128" w:type="dxa"/>
            <w:vMerge w:val="restart"/>
            <w:tcBorders>
              <w:bottom w:val="nil"/>
            </w:tcBorders>
            <w:vAlign w:val="top"/>
          </w:tcPr>
          <w:p w14:paraId="611D8F22">
            <w:pPr>
              <w:pStyle w:val="21"/>
              <w:keepNext w:val="0"/>
              <w:keepLines w:val="0"/>
              <w:pageBreakBefore w:val="0"/>
              <w:widowControl/>
              <w:kinsoku/>
              <w:wordWrap w:val="0"/>
              <w:overflowPunct/>
              <w:topLinePunct w:val="0"/>
              <w:autoSpaceDE/>
              <w:autoSpaceDN/>
              <w:bidi w:val="0"/>
              <w:adjustRightInd w:val="0"/>
              <w:snapToGrid w:val="0"/>
              <w:spacing w:before="310" w:line="360" w:lineRule="auto"/>
              <w:ind w:right="3"/>
              <w:jc w:val="right"/>
              <w:textAlignment w:val="baseline"/>
              <w:rPr>
                <w:color w:val="auto"/>
                <w:highlight w:val="none"/>
              </w:rPr>
            </w:pPr>
            <w:r>
              <w:rPr>
                <w:color w:val="auto"/>
                <w:spacing w:val="-5"/>
                <w:highlight w:val="none"/>
              </w:rPr>
              <w:t>数量/单位</w:t>
            </w:r>
          </w:p>
        </w:tc>
        <w:tc>
          <w:tcPr>
            <w:tcW w:w="1905" w:type="dxa"/>
            <w:gridSpan w:val="2"/>
            <w:vAlign w:val="top"/>
          </w:tcPr>
          <w:p w14:paraId="20618DB7">
            <w:pPr>
              <w:pStyle w:val="21"/>
              <w:keepNext w:val="0"/>
              <w:keepLines w:val="0"/>
              <w:pageBreakBefore w:val="0"/>
              <w:widowControl/>
              <w:kinsoku/>
              <w:wordWrap w:val="0"/>
              <w:overflowPunct/>
              <w:topLinePunct w:val="0"/>
              <w:autoSpaceDE/>
              <w:autoSpaceDN/>
              <w:bidi w:val="0"/>
              <w:adjustRightInd w:val="0"/>
              <w:snapToGrid w:val="0"/>
              <w:spacing w:before="75" w:line="360" w:lineRule="auto"/>
              <w:ind w:left="386"/>
              <w:textAlignment w:val="baseline"/>
              <w:rPr>
                <w:color w:val="auto"/>
                <w:highlight w:val="none"/>
              </w:rPr>
            </w:pPr>
            <w:r>
              <w:rPr>
                <w:color w:val="auto"/>
                <w:spacing w:val="-5"/>
                <w:highlight w:val="none"/>
              </w:rPr>
              <w:t>金额（元）</w:t>
            </w:r>
          </w:p>
        </w:tc>
        <w:tc>
          <w:tcPr>
            <w:tcW w:w="787" w:type="dxa"/>
            <w:vMerge w:val="restart"/>
            <w:tcBorders>
              <w:bottom w:val="nil"/>
            </w:tcBorders>
            <w:vAlign w:val="top"/>
          </w:tcPr>
          <w:p w14:paraId="37FE341B">
            <w:pPr>
              <w:pStyle w:val="21"/>
              <w:keepNext w:val="0"/>
              <w:keepLines w:val="0"/>
              <w:pageBreakBefore w:val="0"/>
              <w:widowControl/>
              <w:kinsoku/>
              <w:wordWrap w:val="0"/>
              <w:overflowPunct/>
              <w:topLinePunct w:val="0"/>
              <w:autoSpaceDE/>
              <w:autoSpaceDN/>
              <w:bidi w:val="0"/>
              <w:adjustRightInd w:val="0"/>
              <w:snapToGrid w:val="0"/>
              <w:spacing w:before="312" w:line="360" w:lineRule="auto"/>
              <w:ind w:left="263"/>
              <w:textAlignment w:val="baseline"/>
              <w:rPr>
                <w:color w:val="auto"/>
                <w:highlight w:val="none"/>
              </w:rPr>
            </w:pPr>
            <w:r>
              <w:rPr>
                <w:color w:val="auto"/>
                <w:spacing w:val="-7"/>
                <w:highlight w:val="none"/>
              </w:rPr>
              <w:t>备注</w:t>
            </w:r>
          </w:p>
        </w:tc>
      </w:tr>
      <w:tr w14:paraId="6777D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781" w:type="dxa"/>
            <w:gridSpan w:val="2"/>
            <w:vMerge w:val="continue"/>
            <w:tcBorders>
              <w:top w:val="nil"/>
            </w:tcBorders>
            <w:vAlign w:val="top"/>
          </w:tcPr>
          <w:p w14:paraId="02B905D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Merge w:val="continue"/>
            <w:tcBorders>
              <w:top w:val="nil"/>
            </w:tcBorders>
            <w:vAlign w:val="top"/>
          </w:tcPr>
          <w:p w14:paraId="16C8C98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Merge w:val="continue"/>
            <w:tcBorders>
              <w:top w:val="nil"/>
            </w:tcBorders>
            <w:vAlign w:val="top"/>
          </w:tcPr>
          <w:p w14:paraId="2F0F4E6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Merge w:val="continue"/>
            <w:tcBorders>
              <w:top w:val="nil"/>
            </w:tcBorders>
            <w:vAlign w:val="top"/>
          </w:tcPr>
          <w:p w14:paraId="2AEFA86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Merge w:val="continue"/>
            <w:tcBorders>
              <w:top w:val="nil"/>
            </w:tcBorders>
            <w:vAlign w:val="top"/>
          </w:tcPr>
          <w:p w14:paraId="7FF7798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29F3DAB8">
            <w:pPr>
              <w:pStyle w:val="21"/>
              <w:keepNext w:val="0"/>
              <w:keepLines w:val="0"/>
              <w:pageBreakBefore w:val="0"/>
              <w:widowControl/>
              <w:kinsoku/>
              <w:wordWrap w:val="0"/>
              <w:overflowPunct/>
              <w:topLinePunct w:val="0"/>
              <w:autoSpaceDE/>
              <w:autoSpaceDN/>
              <w:bidi w:val="0"/>
              <w:adjustRightInd w:val="0"/>
              <w:snapToGrid w:val="0"/>
              <w:spacing w:before="49" w:line="360" w:lineRule="auto"/>
              <w:ind w:left="276"/>
              <w:textAlignment w:val="baseline"/>
              <w:rPr>
                <w:color w:val="auto"/>
                <w:highlight w:val="none"/>
              </w:rPr>
            </w:pPr>
            <w:r>
              <w:rPr>
                <w:color w:val="auto"/>
                <w:spacing w:val="-6"/>
                <w:highlight w:val="none"/>
              </w:rPr>
              <w:t>单价</w:t>
            </w:r>
          </w:p>
        </w:tc>
        <w:tc>
          <w:tcPr>
            <w:tcW w:w="945" w:type="dxa"/>
            <w:vAlign w:val="top"/>
          </w:tcPr>
          <w:p w14:paraId="5E8D78D2">
            <w:pPr>
              <w:pStyle w:val="21"/>
              <w:keepNext w:val="0"/>
              <w:keepLines w:val="0"/>
              <w:pageBreakBefore w:val="0"/>
              <w:widowControl/>
              <w:kinsoku/>
              <w:wordWrap w:val="0"/>
              <w:overflowPunct/>
              <w:topLinePunct w:val="0"/>
              <w:autoSpaceDE/>
              <w:autoSpaceDN/>
              <w:bidi w:val="0"/>
              <w:adjustRightInd w:val="0"/>
              <w:snapToGrid w:val="0"/>
              <w:spacing w:before="51" w:line="360" w:lineRule="auto"/>
              <w:ind w:left="309"/>
              <w:textAlignment w:val="baseline"/>
              <w:rPr>
                <w:color w:val="auto"/>
                <w:highlight w:val="none"/>
              </w:rPr>
            </w:pPr>
            <w:r>
              <w:rPr>
                <w:color w:val="auto"/>
                <w:spacing w:val="-8"/>
                <w:highlight w:val="none"/>
              </w:rPr>
              <w:t>小计</w:t>
            </w:r>
          </w:p>
        </w:tc>
        <w:tc>
          <w:tcPr>
            <w:tcW w:w="787" w:type="dxa"/>
            <w:vMerge w:val="continue"/>
            <w:tcBorders>
              <w:top w:val="nil"/>
            </w:tcBorders>
            <w:vAlign w:val="top"/>
          </w:tcPr>
          <w:p w14:paraId="689E98F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4F3A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560" w:type="dxa"/>
            <w:vAlign w:val="top"/>
          </w:tcPr>
          <w:p w14:paraId="13F244A4">
            <w:pPr>
              <w:pStyle w:val="21"/>
              <w:keepNext w:val="0"/>
              <w:keepLines w:val="0"/>
              <w:pageBreakBefore w:val="0"/>
              <w:widowControl/>
              <w:kinsoku/>
              <w:wordWrap w:val="0"/>
              <w:overflowPunct/>
              <w:topLinePunct w:val="0"/>
              <w:autoSpaceDE/>
              <w:autoSpaceDN/>
              <w:bidi w:val="0"/>
              <w:adjustRightInd w:val="0"/>
              <w:snapToGrid w:val="0"/>
              <w:spacing w:before="130" w:line="360" w:lineRule="auto"/>
              <w:ind w:left="277"/>
              <w:textAlignment w:val="baseline"/>
              <w:rPr>
                <w:color w:val="auto"/>
                <w:highlight w:val="none"/>
              </w:rPr>
            </w:pPr>
            <w:r>
              <w:rPr>
                <w:color w:val="auto"/>
                <w:highlight w:val="none"/>
              </w:rPr>
              <w:t>1</w:t>
            </w:r>
          </w:p>
        </w:tc>
        <w:tc>
          <w:tcPr>
            <w:tcW w:w="1221" w:type="dxa"/>
            <w:vAlign w:val="top"/>
          </w:tcPr>
          <w:p w14:paraId="3DE7F36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63B736F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3F34985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553D681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69B5844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05D47A9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4D2CF42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0288F7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0BDE7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0" w:type="dxa"/>
            <w:vAlign w:val="top"/>
          </w:tcPr>
          <w:p w14:paraId="4653E866">
            <w:pPr>
              <w:pStyle w:val="21"/>
              <w:keepNext w:val="0"/>
              <w:keepLines w:val="0"/>
              <w:pageBreakBefore w:val="0"/>
              <w:widowControl/>
              <w:kinsoku/>
              <w:wordWrap w:val="0"/>
              <w:overflowPunct/>
              <w:topLinePunct w:val="0"/>
              <w:autoSpaceDE/>
              <w:autoSpaceDN/>
              <w:bidi w:val="0"/>
              <w:adjustRightInd w:val="0"/>
              <w:snapToGrid w:val="0"/>
              <w:spacing w:before="151" w:line="360" w:lineRule="auto"/>
              <w:ind w:left="248"/>
              <w:textAlignment w:val="baseline"/>
              <w:rPr>
                <w:color w:val="auto"/>
                <w:highlight w:val="none"/>
              </w:rPr>
            </w:pPr>
            <w:r>
              <w:rPr>
                <w:color w:val="auto"/>
                <w:highlight w:val="none"/>
              </w:rPr>
              <w:t>2</w:t>
            </w:r>
          </w:p>
        </w:tc>
        <w:tc>
          <w:tcPr>
            <w:tcW w:w="1221" w:type="dxa"/>
            <w:vAlign w:val="top"/>
          </w:tcPr>
          <w:p w14:paraId="6D989ED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507E35F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112BBB1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63F0ED7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1DE1593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3BFB734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0D2AC13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22620C1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1A3E8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560" w:type="dxa"/>
            <w:vAlign w:val="top"/>
          </w:tcPr>
          <w:p w14:paraId="15F080CA">
            <w:pPr>
              <w:pStyle w:val="21"/>
              <w:keepNext w:val="0"/>
              <w:keepLines w:val="0"/>
              <w:pageBreakBefore w:val="0"/>
              <w:widowControl/>
              <w:kinsoku/>
              <w:wordWrap w:val="0"/>
              <w:overflowPunct/>
              <w:topLinePunct w:val="0"/>
              <w:autoSpaceDE/>
              <w:autoSpaceDN/>
              <w:bidi w:val="0"/>
              <w:adjustRightInd w:val="0"/>
              <w:snapToGrid w:val="0"/>
              <w:spacing w:before="153" w:line="360" w:lineRule="auto"/>
              <w:ind w:left="252"/>
              <w:textAlignment w:val="baseline"/>
              <w:rPr>
                <w:color w:val="auto"/>
                <w:highlight w:val="none"/>
              </w:rPr>
            </w:pPr>
            <w:r>
              <w:rPr>
                <w:color w:val="auto"/>
                <w:highlight w:val="none"/>
              </w:rPr>
              <w:t>3</w:t>
            </w:r>
          </w:p>
        </w:tc>
        <w:tc>
          <w:tcPr>
            <w:tcW w:w="1221" w:type="dxa"/>
            <w:vAlign w:val="top"/>
          </w:tcPr>
          <w:p w14:paraId="614DA03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3D269F4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51993D8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3F376DD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0753694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7841707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7369415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7646E1C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0D0E0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0" w:type="dxa"/>
            <w:vAlign w:val="top"/>
          </w:tcPr>
          <w:p w14:paraId="2408C29E">
            <w:pPr>
              <w:pStyle w:val="21"/>
              <w:keepNext w:val="0"/>
              <w:keepLines w:val="0"/>
              <w:pageBreakBefore w:val="0"/>
              <w:widowControl/>
              <w:kinsoku/>
              <w:wordWrap w:val="0"/>
              <w:overflowPunct/>
              <w:topLinePunct w:val="0"/>
              <w:autoSpaceDE/>
              <w:autoSpaceDN/>
              <w:bidi w:val="0"/>
              <w:adjustRightInd w:val="0"/>
              <w:snapToGrid w:val="0"/>
              <w:spacing w:before="154" w:line="360" w:lineRule="auto"/>
              <w:ind w:left="239"/>
              <w:textAlignment w:val="baseline"/>
              <w:rPr>
                <w:color w:val="auto"/>
                <w:highlight w:val="none"/>
              </w:rPr>
            </w:pPr>
            <w:r>
              <w:rPr>
                <w:color w:val="auto"/>
                <w:highlight w:val="none"/>
              </w:rPr>
              <w:t>4</w:t>
            </w:r>
          </w:p>
        </w:tc>
        <w:tc>
          <w:tcPr>
            <w:tcW w:w="1221" w:type="dxa"/>
            <w:vAlign w:val="top"/>
          </w:tcPr>
          <w:p w14:paraId="5119769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4653E2F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6B25634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4C75E87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1CDD9B9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71090E5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65F9FF0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776D812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27585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560" w:type="dxa"/>
            <w:vAlign w:val="top"/>
          </w:tcPr>
          <w:p w14:paraId="553216EF">
            <w:pPr>
              <w:pStyle w:val="21"/>
              <w:keepNext w:val="0"/>
              <w:keepLines w:val="0"/>
              <w:pageBreakBefore w:val="0"/>
              <w:widowControl/>
              <w:kinsoku/>
              <w:wordWrap w:val="0"/>
              <w:overflowPunct/>
              <w:topLinePunct w:val="0"/>
              <w:autoSpaceDE/>
              <w:autoSpaceDN/>
              <w:bidi w:val="0"/>
              <w:adjustRightInd w:val="0"/>
              <w:snapToGrid w:val="0"/>
              <w:spacing w:before="158" w:line="360" w:lineRule="auto"/>
              <w:ind w:left="252"/>
              <w:textAlignment w:val="baseline"/>
              <w:rPr>
                <w:color w:val="auto"/>
                <w:highlight w:val="none"/>
              </w:rPr>
            </w:pPr>
            <w:r>
              <w:rPr>
                <w:color w:val="auto"/>
                <w:highlight w:val="none"/>
              </w:rPr>
              <w:t>5</w:t>
            </w:r>
          </w:p>
        </w:tc>
        <w:tc>
          <w:tcPr>
            <w:tcW w:w="1221" w:type="dxa"/>
            <w:vAlign w:val="top"/>
          </w:tcPr>
          <w:p w14:paraId="6158AA2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1AC1DBB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61DCBE4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01CDE2E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343F08B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5CE3FB7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2047A59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4FFAF52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0E69A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jc w:val="center"/>
        </w:trPr>
        <w:tc>
          <w:tcPr>
            <w:tcW w:w="560" w:type="dxa"/>
            <w:vAlign w:val="top"/>
          </w:tcPr>
          <w:p w14:paraId="5FB730EA">
            <w:pPr>
              <w:pStyle w:val="21"/>
              <w:keepNext w:val="0"/>
              <w:keepLines w:val="0"/>
              <w:pageBreakBefore w:val="0"/>
              <w:widowControl/>
              <w:kinsoku/>
              <w:wordWrap w:val="0"/>
              <w:overflowPunct/>
              <w:topLinePunct w:val="0"/>
              <w:autoSpaceDE/>
              <w:autoSpaceDN/>
              <w:bidi w:val="0"/>
              <w:adjustRightInd w:val="0"/>
              <w:snapToGrid w:val="0"/>
              <w:spacing w:before="173" w:line="360" w:lineRule="auto"/>
              <w:ind w:left="212"/>
              <w:textAlignment w:val="baseline"/>
              <w:rPr>
                <w:color w:val="auto"/>
                <w:highlight w:val="none"/>
              </w:rPr>
            </w:pPr>
            <w:r>
              <w:rPr>
                <w:color w:val="auto"/>
                <w:highlight w:val="none"/>
              </w:rPr>
              <w:t>…</w:t>
            </w:r>
          </w:p>
        </w:tc>
        <w:tc>
          <w:tcPr>
            <w:tcW w:w="1221" w:type="dxa"/>
            <w:vAlign w:val="top"/>
          </w:tcPr>
          <w:p w14:paraId="24F6C7C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vAlign w:val="top"/>
          </w:tcPr>
          <w:p w14:paraId="40BEFE3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235" w:type="dxa"/>
            <w:vAlign w:val="top"/>
          </w:tcPr>
          <w:p w14:paraId="5505340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5096771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vAlign w:val="top"/>
          </w:tcPr>
          <w:p w14:paraId="5098858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vAlign w:val="top"/>
          </w:tcPr>
          <w:p w14:paraId="2878098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1CE66F2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7C0A494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r w14:paraId="326FC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jc w:val="center"/>
        </w:trPr>
        <w:tc>
          <w:tcPr>
            <w:tcW w:w="1781" w:type="dxa"/>
            <w:gridSpan w:val="2"/>
            <w:tcBorders>
              <w:right w:val="nil"/>
            </w:tcBorders>
            <w:vAlign w:val="top"/>
          </w:tcPr>
          <w:p w14:paraId="5B073F0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2228" w:type="dxa"/>
            <w:tcBorders>
              <w:left w:val="nil"/>
              <w:right w:val="nil"/>
            </w:tcBorders>
            <w:vAlign w:val="top"/>
          </w:tcPr>
          <w:p w14:paraId="232CA30D">
            <w:pPr>
              <w:pStyle w:val="21"/>
              <w:keepNext w:val="0"/>
              <w:keepLines w:val="0"/>
              <w:pageBreakBefore w:val="0"/>
              <w:widowControl/>
              <w:kinsoku/>
              <w:wordWrap w:val="0"/>
              <w:overflowPunct/>
              <w:topLinePunct w:val="0"/>
              <w:autoSpaceDE/>
              <w:autoSpaceDN/>
              <w:bidi w:val="0"/>
              <w:adjustRightInd w:val="0"/>
              <w:snapToGrid w:val="0"/>
              <w:spacing w:before="74" w:line="360" w:lineRule="auto"/>
              <w:jc w:val="right"/>
              <w:textAlignment w:val="baseline"/>
              <w:rPr>
                <w:color w:val="auto"/>
                <w:highlight w:val="none"/>
              </w:rPr>
            </w:pPr>
            <w:r>
              <w:rPr>
                <w:color w:val="auto"/>
                <w:spacing w:val="-7"/>
                <w:highlight w:val="none"/>
              </w:rPr>
              <w:t>投标报</w:t>
            </w:r>
          </w:p>
        </w:tc>
        <w:tc>
          <w:tcPr>
            <w:tcW w:w="1235" w:type="dxa"/>
            <w:tcBorders>
              <w:left w:val="nil"/>
              <w:right w:val="nil"/>
            </w:tcBorders>
            <w:vAlign w:val="top"/>
          </w:tcPr>
          <w:p w14:paraId="56A72E30">
            <w:pPr>
              <w:pStyle w:val="21"/>
              <w:keepNext w:val="0"/>
              <w:keepLines w:val="0"/>
              <w:pageBreakBefore w:val="0"/>
              <w:widowControl/>
              <w:kinsoku/>
              <w:wordWrap w:val="0"/>
              <w:overflowPunct/>
              <w:topLinePunct w:val="0"/>
              <w:autoSpaceDE/>
              <w:autoSpaceDN/>
              <w:bidi w:val="0"/>
              <w:adjustRightInd w:val="0"/>
              <w:snapToGrid w:val="0"/>
              <w:spacing w:before="73" w:line="360" w:lineRule="auto"/>
              <w:ind w:left="5"/>
              <w:textAlignment w:val="baseline"/>
              <w:rPr>
                <w:color w:val="auto"/>
                <w:highlight w:val="none"/>
              </w:rPr>
            </w:pPr>
            <w:r>
              <w:rPr>
                <w:color w:val="auto"/>
                <w:spacing w:val="-6"/>
                <w:highlight w:val="none"/>
              </w:rPr>
              <w:t>价（元</w:t>
            </w:r>
            <w:r>
              <w:rPr>
                <w:color w:val="auto"/>
                <w:spacing w:val="-1"/>
                <w:highlight w:val="none"/>
              </w:rPr>
              <w:t>）：</w:t>
            </w:r>
          </w:p>
        </w:tc>
        <w:tc>
          <w:tcPr>
            <w:tcW w:w="1128" w:type="dxa"/>
            <w:tcBorders>
              <w:left w:val="nil"/>
              <w:right w:val="nil"/>
            </w:tcBorders>
            <w:vAlign w:val="top"/>
          </w:tcPr>
          <w:p w14:paraId="15FEED3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1128" w:type="dxa"/>
            <w:tcBorders>
              <w:left w:val="nil"/>
              <w:right w:val="nil"/>
            </w:tcBorders>
            <w:vAlign w:val="top"/>
          </w:tcPr>
          <w:p w14:paraId="622B4DF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60" w:type="dxa"/>
            <w:tcBorders>
              <w:left w:val="nil"/>
            </w:tcBorders>
            <w:vAlign w:val="top"/>
          </w:tcPr>
          <w:p w14:paraId="7604025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945" w:type="dxa"/>
            <w:vAlign w:val="top"/>
          </w:tcPr>
          <w:p w14:paraId="64BA22E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c>
          <w:tcPr>
            <w:tcW w:w="787" w:type="dxa"/>
            <w:vAlign w:val="top"/>
          </w:tcPr>
          <w:p w14:paraId="3B66063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color w:val="auto"/>
                <w:sz w:val="21"/>
                <w:highlight w:val="none"/>
              </w:rPr>
            </w:pPr>
          </w:p>
        </w:tc>
      </w:tr>
    </w:tbl>
    <w:p w14:paraId="226C04F2">
      <w:pPr>
        <w:spacing w:before="35" w:line="358" w:lineRule="auto"/>
        <w:ind w:left="38" w:right="30"/>
        <w:rPr>
          <w:rFonts w:ascii="宋体" w:hAnsi="宋体" w:eastAsia="宋体" w:cs="宋体"/>
          <w:sz w:val="24"/>
          <w:szCs w:val="24"/>
          <w:lang w:eastAsia="zh-CN"/>
        </w:rPr>
      </w:pPr>
      <w:r>
        <w:rPr>
          <w:spacing w:val="-3"/>
          <w:sz w:val="24"/>
          <w:szCs w:val="24"/>
          <w:highlight w:val="none"/>
        </w:rPr>
        <w:t>注：</w:t>
      </w:r>
      <w:r>
        <w:rPr>
          <w:rFonts w:ascii="宋体" w:hAnsi="宋体" w:eastAsia="宋体" w:cs="宋体"/>
          <w:spacing w:val="-3"/>
          <w:sz w:val="24"/>
          <w:szCs w:val="24"/>
          <w:lang w:eastAsia="zh-CN"/>
        </w:rPr>
        <w:t>1.</w:t>
      </w:r>
      <w:r>
        <w:rPr>
          <w:rFonts w:ascii="宋体" w:hAnsi="宋体" w:eastAsia="宋体" w:cs="宋体"/>
          <w:b/>
          <w:bCs/>
          <w:spacing w:val="-3"/>
          <w:sz w:val="24"/>
          <w:szCs w:val="24"/>
          <w:lang w:eastAsia="zh-CN"/>
        </w:rPr>
        <w:t>本表应对应</w:t>
      </w:r>
      <w:r>
        <w:rPr>
          <w:rFonts w:ascii="宋体" w:hAnsi="宋体" w:eastAsia="宋体" w:cs="宋体"/>
          <w:spacing w:val="-3"/>
          <w:sz w:val="24"/>
          <w:szCs w:val="24"/>
          <w:lang w:eastAsia="zh-CN"/>
        </w:rPr>
        <w:t>“</w:t>
      </w:r>
      <w:r>
        <w:rPr>
          <w:rFonts w:ascii="宋体" w:hAnsi="宋体" w:eastAsia="宋体" w:cs="宋体"/>
          <w:b/>
          <w:bCs/>
          <w:spacing w:val="-3"/>
          <w:sz w:val="24"/>
          <w:szCs w:val="24"/>
          <w:lang w:eastAsia="zh-CN"/>
        </w:rPr>
        <w:t>开标一览表</w:t>
      </w:r>
      <w:r>
        <w:rPr>
          <w:rFonts w:ascii="宋体" w:hAnsi="宋体" w:eastAsia="宋体" w:cs="宋体"/>
          <w:spacing w:val="-3"/>
          <w:sz w:val="24"/>
          <w:szCs w:val="24"/>
          <w:lang w:eastAsia="zh-CN"/>
        </w:rPr>
        <w:t>”</w:t>
      </w:r>
      <w:r>
        <w:rPr>
          <w:rFonts w:ascii="宋体" w:hAnsi="宋体" w:eastAsia="宋体" w:cs="宋体"/>
          <w:b/>
          <w:bCs/>
          <w:spacing w:val="-3"/>
          <w:sz w:val="24"/>
          <w:szCs w:val="24"/>
          <w:lang w:eastAsia="zh-CN"/>
        </w:rPr>
        <w:t>，按包填写</w:t>
      </w:r>
      <w:r>
        <w:rPr>
          <w:rFonts w:ascii="宋体" w:hAnsi="宋体" w:eastAsia="宋体" w:cs="宋体"/>
          <w:spacing w:val="-3"/>
          <w:sz w:val="24"/>
          <w:szCs w:val="24"/>
          <w:lang w:eastAsia="zh-CN"/>
        </w:rPr>
        <w:t>。投标人如果不提</w:t>
      </w:r>
      <w:r>
        <w:rPr>
          <w:rFonts w:ascii="宋体" w:hAnsi="宋体" w:eastAsia="宋体" w:cs="宋体"/>
          <w:spacing w:val="-4"/>
          <w:sz w:val="24"/>
          <w:szCs w:val="24"/>
          <w:lang w:eastAsia="zh-CN"/>
        </w:rPr>
        <w:t>供分项报价明细表，</w:t>
      </w:r>
      <w:r>
        <w:rPr>
          <w:rFonts w:ascii="宋体" w:hAnsi="宋体" w:eastAsia="宋体" w:cs="宋体"/>
          <w:spacing w:val="-3"/>
          <w:sz w:val="24"/>
          <w:szCs w:val="24"/>
          <w:lang w:eastAsia="zh-CN"/>
        </w:rPr>
        <w:t>其</w:t>
      </w:r>
      <w:r>
        <w:rPr>
          <w:rFonts w:ascii="宋体" w:hAnsi="宋体" w:eastAsia="宋体" w:cs="宋体"/>
          <w:b/>
          <w:bCs/>
          <w:spacing w:val="-3"/>
          <w:sz w:val="24"/>
          <w:szCs w:val="24"/>
          <w:lang w:eastAsia="zh-CN"/>
        </w:rPr>
        <w:t>投标无效</w:t>
      </w:r>
      <w:r>
        <w:rPr>
          <w:rFonts w:ascii="宋体" w:hAnsi="宋体" w:eastAsia="宋体" w:cs="宋体"/>
          <w:spacing w:val="-3"/>
          <w:sz w:val="24"/>
          <w:szCs w:val="24"/>
          <w:lang w:eastAsia="zh-CN"/>
        </w:rPr>
        <w:t>。</w:t>
      </w:r>
    </w:p>
    <w:p w14:paraId="75B5DA14">
      <w:pPr>
        <w:spacing w:line="218" w:lineRule="auto"/>
        <w:ind w:left="521"/>
        <w:rPr>
          <w:rFonts w:ascii="宋体" w:hAnsi="宋体" w:eastAsia="宋体" w:cs="宋体"/>
          <w:sz w:val="24"/>
          <w:szCs w:val="24"/>
          <w:lang w:eastAsia="zh-CN"/>
        </w:rPr>
      </w:pPr>
      <w:r>
        <w:rPr>
          <w:rFonts w:ascii="宋体" w:hAnsi="宋体" w:eastAsia="宋体" w:cs="宋体"/>
          <w:spacing w:val="-1"/>
          <w:sz w:val="24"/>
          <w:szCs w:val="24"/>
          <w:lang w:eastAsia="zh-CN"/>
        </w:rPr>
        <w:t>2.不得填写“免费”或“赠与”，也不得进行“零”报价，否则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w:t>
      </w:r>
    </w:p>
    <w:p w14:paraId="5F56EC31">
      <w:pPr>
        <w:spacing w:before="187"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3.如果开标一览表内容与本表内容不一致</w:t>
      </w:r>
      <w:r>
        <w:rPr>
          <w:rFonts w:ascii="宋体" w:hAnsi="宋体" w:eastAsia="宋体" w:cs="宋体"/>
          <w:spacing w:val="-2"/>
          <w:sz w:val="24"/>
          <w:szCs w:val="24"/>
          <w:lang w:eastAsia="zh-CN"/>
        </w:rPr>
        <w:t>的，以开标一览表内容为准。</w:t>
      </w:r>
    </w:p>
    <w:p w14:paraId="36E84B4C">
      <w:pPr>
        <w:spacing w:before="181" w:line="218" w:lineRule="auto"/>
        <w:ind w:right="30"/>
        <w:jc w:val="center"/>
        <w:rPr>
          <w:rFonts w:ascii="宋体" w:hAnsi="宋体" w:eastAsia="宋体" w:cs="宋体"/>
          <w:sz w:val="24"/>
          <w:szCs w:val="24"/>
          <w:lang w:eastAsia="zh-CN"/>
        </w:rPr>
      </w:pPr>
      <w:r>
        <w:rPr>
          <w:rFonts w:ascii="宋体" w:hAnsi="宋体" w:eastAsia="宋体" w:cs="宋体"/>
          <w:spacing w:val="-1"/>
          <w:sz w:val="24"/>
          <w:szCs w:val="24"/>
          <w:lang w:eastAsia="zh-CN"/>
        </w:rPr>
        <w:t>4.投标人在投标截止时间前修改“开标一览表”中的投</w:t>
      </w:r>
      <w:r>
        <w:rPr>
          <w:rFonts w:ascii="宋体" w:hAnsi="宋体" w:eastAsia="宋体" w:cs="宋体"/>
          <w:spacing w:val="-2"/>
          <w:sz w:val="24"/>
          <w:szCs w:val="24"/>
          <w:lang w:eastAsia="zh-CN"/>
        </w:rPr>
        <w:t>标报价的，应按第二章第</w:t>
      </w:r>
    </w:p>
    <w:p w14:paraId="2764CFF8">
      <w:pPr>
        <w:spacing w:before="181" w:line="362" w:lineRule="auto"/>
        <w:ind w:left="40" w:right="30" w:firstLine="15"/>
        <w:rPr>
          <w:rFonts w:ascii="宋体" w:hAnsi="宋体" w:eastAsia="宋体" w:cs="宋体"/>
          <w:sz w:val="24"/>
          <w:szCs w:val="24"/>
          <w:lang w:eastAsia="zh-CN"/>
        </w:rPr>
      </w:pPr>
      <w:r>
        <w:rPr>
          <w:rFonts w:ascii="宋体" w:hAnsi="宋体" w:eastAsia="宋体" w:cs="宋体"/>
          <w:spacing w:val="-5"/>
          <w:sz w:val="24"/>
          <w:szCs w:val="24"/>
          <w:lang w:eastAsia="zh-CN"/>
        </w:rPr>
        <w:t>1</w:t>
      </w:r>
      <w:r>
        <w:rPr>
          <w:rFonts w:hint="eastAsia" w:ascii="宋体" w:hAnsi="宋体" w:eastAsia="宋体" w:cs="宋体"/>
          <w:spacing w:val="-5"/>
          <w:sz w:val="24"/>
          <w:szCs w:val="24"/>
          <w:lang w:val="en-US" w:eastAsia="zh-CN"/>
        </w:rPr>
        <w:t>4</w:t>
      </w:r>
      <w:r>
        <w:rPr>
          <w:rFonts w:ascii="宋体" w:hAnsi="宋体" w:eastAsia="宋体" w:cs="宋体"/>
          <w:spacing w:val="-5"/>
          <w:sz w:val="24"/>
          <w:szCs w:val="24"/>
          <w:lang w:eastAsia="zh-CN"/>
        </w:rPr>
        <w:t>.7款规定修改本表相应内容。否则，本表相应内容按投标报价</w:t>
      </w:r>
      <w:r>
        <w:rPr>
          <w:rFonts w:ascii="宋体" w:hAnsi="宋体" w:eastAsia="宋体" w:cs="宋体"/>
          <w:spacing w:val="-6"/>
          <w:sz w:val="24"/>
          <w:szCs w:val="24"/>
          <w:lang w:eastAsia="zh-CN"/>
        </w:rPr>
        <w:t>修改的相同比例进行</w:t>
      </w:r>
      <w:r>
        <w:rPr>
          <w:rFonts w:ascii="宋体" w:hAnsi="宋体" w:eastAsia="宋体" w:cs="宋体"/>
          <w:spacing w:val="-11"/>
          <w:sz w:val="24"/>
          <w:szCs w:val="24"/>
          <w:lang w:eastAsia="zh-CN"/>
        </w:rPr>
        <w:t>调整。</w:t>
      </w:r>
    </w:p>
    <w:p w14:paraId="0E445A3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4"/>
        <w:textAlignment w:val="baseline"/>
        <w:rPr>
          <w:b/>
          <w:bCs/>
          <w:spacing w:val="-6"/>
          <w:sz w:val="24"/>
          <w:szCs w:val="24"/>
          <w:highlight w:val="none"/>
        </w:rPr>
      </w:pPr>
    </w:p>
    <w:p w14:paraId="394A587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4"/>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5F1D4455">
      <w:pPr>
        <w:pStyle w:val="2"/>
        <w:keepNext w:val="0"/>
        <w:keepLines w:val="0"/>
        <w:pageBreakBefore w:val="0"/>
        <w:widowControl/>
        <w:kinsoku/>
        <w:wordWrap w:val="0"/>
        <w:overflowPunct/>
        <w:topLinePunct w:val="0"/>
        <w:autoSpaceDE/>
        <w:autoSpaceDN/>
        <w:bidi w:val="0"/>
        <w:adjustRightInd w:val="0"/>
        <w:snapToGrid w:val="0"/>
        <w:spacing w:before="181" w:line="360" w:lineRule="auto"/>
        <w:ind w:left="49"/>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3E00B99D">
      <w:pPr>
        <w:pStyle w:val="2"/>
        <w:keepNext w:val="0"/>
        <w:keepLines w:val="0"/>
        <w:pageBreakBefore w:val="0"/>
        <w:widowControl/>
        <w:kinsoku/>
        <w:wordWrap w:val="0"/>
        <w:overflowPunct/>
        <w:topLinePunct w:val="0"/>
        <w:autoSpaceDE/>
        <w:autoSpaceDN/>
        <w:bidi w:val="0"/>
        <w:adjustRightInd w:val="0"/>
        <w:snapToGrid w:val="0"/>
        <w:spacing w:before="187" w:line="360" w:lineRule="auto"/>
        <w:ind w:left="131"/>
        <w:textAlignment w:val="baseline"/>
        <w:rPr>
          <w:sz w:val="24"/>
          <w:szCs w:val="24"/>
          <w:highlight w:val="none"/>
        </w:rPr>
      </w:pPr>
      <w:r>
        <w:rPr>
          <w:b/>
          <w:bCs/>
          <w:spacing w:val="-24"/>
          <w:sz w:val="24"/>
          <w:szCs w:val="24"/>
          <w:highlight w:val="none"/>
        </w:rPr>
        <w:t>日期：</w:t>
      </w:r>
      <w:r>
        <w:rPr>
          <w:rFonts w:hint="eastAsia"/>
          <w:spacing w:val="-4"/>
          <w:sz w:val="24"/>
          <w:szCs w:val="24"/>
          <w:highlight w:val="none"/>
          <w:u w:val="single"/>
          <w:lang w:val="en-US" w:eastAsia="zh-CN"/>
        </w:rPr>
        <w:t xml:space="preserve">         </w:t>
      </w:r>
      <w:r>
        <w:rPr>
          <w:b/>
          <w:bCs/>
          <w:spacing w:val="-24"/>
          <w:sz w:val="24"/>
          <w:szCs w:val="24"/>
          <w:highlight w:val="none"/>
        </w:rPr>
        <w:t>年</w:t>
      </w:r>
      <w:r>
        <w:rPr>
          <w:rFonts w:hint="eastAsia"/>
          <w:spacing w:val="-4"/>
          <w:sz w:val="24"/>
          <w:szCs w:val="24"/>
          <w:highlight w:val="none"/>
          <w:u w:val="single"/>
          <w:lang w:val="en-US" w:eastAsia="zh-CN"/>
        </w:rPr>
        <w:t xml:space="preserve">         </w:t>
      </w:r>
      <w:r>
        <w:rPr>
          <w:b/>
          <w:bCs/>
          <w:spacing w:val="-24"/>
          <w:sz w:val="24"/>
          <w:szCs w:val="24"/>
          <w:highlight w:val="none"/>
        </w:rPr>
        <w:t>月</w:t>
      </w:r>
      <w:r>
        <w:rPr>
          <w:rFonts w:hint="eastAsia"/>
          <w:spacing w:val="-4"/>
          <w:sz w:val="24"/>
          <w:szCs w:val="24"/>
          <w:highlight w:val="none"/>
          <w:u w:val="single"/>
          <w:lang w:val="en-US" w:eastAsia="zh-CN"/>
        </w:rPr>
        <w:t xml:space="preserve">         </w:t>
      </w:r>
      <w:r>
        <w:rPr>
          <w:b/>
          <w:bCs/>
          <w:spacing w:val="-24"/>
          <w:sz w:val="24"/>
          <w:szCs w:val="24"/>
          <w:highlight w:val="none"/>
        </w:rPr>
        <w:t>日</w:t>
      </w:r>
    </w:p>
    <w:p w14:paraId="499C2431">
      <w:r>
        <w:br w:type="page"/>
      </w:r>
    </w:p>
    <w:p w14:paraId="1E08C2A0">
      <w:pPr>
        <w:pStyle w:val="5"/>
        <w:bidi w:val="0"/>
      </w:pPr>
      <w:bookmarkStart w:id="318" w:name="_Toc25794"/>
      <w:r>
        <w:t>六、商务、合同条款偏离表</w:t>
      </w:r>
      <w:bookmarkEnd w:id="318"/>
    </w:p>
    <w:p w14:paraId="5EA30AC7">
      <w:pPr>
        <w:pStyle w:val="2"/>
        <w:keepNext w:val="0"/>
        <w:keepLines w:val="0"/>
        <w:pageBreakBefore w:val="0"/>
        <w:widowControl/>
        <w:kinsoku/>
        <w:wordWrap w:val="0"/>
        <w:overflowPunct/>
        <w:topLinePunct w:val="0"/>
        <w:autoSpaceDE/>
        <w:autoSpaceDN/>
        <w:bidi w:val="0"/>
        <w:adjustRightInd w:val="0"/>
        <w:snapToGrid w:val="0"/>
        <w:spacing w:before="247" w:line="360" w:lineRule="auto"/>
        <w:ind w:left="92"/>
        <w:textAlignment w:val="baseline"/>
        <w:rPr>
          <w:highlight w:val="none"/>
        </w:rPr>
      </w:pPr>
      <w:r>
        <w:rPr>
          <w:spacing w:val="-2"/>
          <w:sz w:val="24"/>
          <w:szCs w:val="24"/>
          <w:highlight w:val="none"/>
        </w:rPr>
        <w:t>项目名称：</w:t>
      </w:r>
      <w:r>
        <w:rPr>
          <w:rFonts w:hint="eastAsia"/>
          <w:spacing w:val="-4"/>
          <w:sz w:val="24"/>
          <w:szCs w:val="24"/>
          <w:highlight w:val="none"/>
          <w:u w:val="single"/>
          <w:lang w:val="en-US" w:eastAsia="zh-CN"/>
        </w:rPr>
        <w:t xml:space="preserve">                     </w:t>
      </w:r>
      <w:r>
        <w:rPr>
          <w:rFonts w:hint="eastAsia"/>
          <w:spacing w:val="-4"/>
          <w:sz w:val="24"/>
          <w:szCs w:val="24"/>
          <w:highlight w:val="none"/>
          <w:u w:val="none"/>
          <w:lang w:val="en-US" w:eastAsia="zh-CN"/>
        </w:rPr>
        <w:t xml:space="preserve">         </w:t>
      </w:r>
      <w:r>
        <w:rPr>
          <w:spacing w:val="-2"/>
          <w:sz w:val="24"/>
          <w:szCs w:val="24"/>
          <w:highlight w:val="none"/>
        </w:rPr>
        <w:t>采购代理编号：</w:t>
      </w:r>
      <w:r>
        <w:rPr>
          <w:rFonts w:hint="eastAsia"/>
          <w:spacing w:val="-4"/>
          <w:sz w:val="24"/>
          <w:szCs w:val="24"/>
          <w:highlight w:val="none"/>
          <w:u w:val="single"/>
          <w:lang w:val="en-US" w:eastAsia="zh-CN"/>
        </w:rPr>
        <w:t xml:space="preserve">                     </w:t>
      </w:r>
    </w:p>
    <w:tbl>
      <w:tblPr>
        <w:tblStyle w:val="20"/>
        <w:tblW w:w="94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1"/>
        <w:gridCol w:w="2658"/>
        <w:gridCol w:w="2192"/>
        <w:gridCol w:w="2299"/>
        <w:gridCol w:w="1589"/>
      </w:tblGrid>
      <w:tr w14:paraId="4E46B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6" w:hRule="atLeast"/>
          <w:jc w:val="center"/>
        </w:trPr>
        <w:tc>
          <w:tcPr>
            <w:tcW w:w="9419" w:type="dxa"/>
            <w:gridSpan w:val="5"/>
            <w:vAlign w:val="top"/>
          </w:tcPr>
          <w:p w14:paraId="2E237DC2">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52"/>
              <w:textAlignment w:val="baseline"/>
              <w:rPr>
                <w:highlight w:val="none"/>
              </w:rPr>
            </w:pPr>
            <w:r>
              <w:rPr>
                <w:b/>
                <w:bCs/>
                <w:spacing w:val="-11"/>
                <w:highlight w:val="none"/>
              </w:rPr>
              <w:t>对本项目合同条款的偏离情况（请进行勾选打“√”):</w:t>
            </w:r>
          </w:p>
          <w:p w14:paraId="11F03746">
            <w:pPr>
              <w:pStyle w:val="21"/>
              <w:keepNext w:val="0"/>
              <w:keepLines w:val="0"/>
              <w:pageBreakBefore w:val="0"/>
              <w:widowControl/>
              <w:kinsoku/>
              <w:wordWrap w:val="0"/>
              <w:overflowPunct/>
              <w:topLinePunct w:val="0"/>
              <w:autoSpaceDE/>
              <w:autoSpaceDN/>
              <w:bidi w:val="0"/>
              <w:adjustRightInd w:val="0"/>
              <w:snapToGrid w:val="0"/>
              <w:spacing w:before="281" w:line="360" w:lineRule="auto"/>
              <w:ind w:left="408"/>
              <w:textAlignment w:val="baseline"/>
              <w:rPr>
                <w:highlight w:val="none"/>
              </w:rPr>
            </w:pPr>
            <w:r>
              <w:rPr>
                <w:rFonts w:ascii="Wingdings" w:hAnsi="Wingdings" w:eastAsia="Wingdings" w:cs="Wingdings"/>
                <w:spacing w:val="-3"/>
                <w:position w:val="1"/>
                <w:sz w:val="30"/>
                <w:szCs w:val="30"/>
                <w:highlight w:val="none"/>
              </w:rPr>
              <w:t>o</w:t>
            </w:r>
            <w:r>
              <w:rPr>
                <w:b/>
                <w:bCs/>
                <w:spacing w:val="-3"/>
                <w:position w:val="1"/>
                <w:highlight w:val="none"/>
              </w:rPr>
              <w:t>无偏离</w:t>
            </w:r>
            <w:r>
              <w:rPr>
                <w:spacing w:val="-3"/>
                <w:position w:val="1"/>
                <w:highlight w:val="none"/>
              </w:rPr>
              <w:t>（如无偏离，仅勾选无偏离即可）</w:t>
            </w:r>
          </w:p>
          <w:p w14:paraId="41A7248E">
            <w:pPr>
              <w:pStyle w:val="21"/>
              <w:keepNext w:val="0"/>
              <w:keepLines w:val="0"/>
              <w:pageBreakBefore w:val="0"/>
              <w:widowControl/>
              <w:kinsoku/>
              <w:wordWrap w:val="0"/>
              <w:overflowPunct/>
              <w:topLinePunct w:val="0"/>
              <w:autoSpaceDE/>
              <w:autoSpaceDN/>
              <w:bidi w:val="0"/>
              <w:adjustRightInd w:val="0"/>
              <w:snapToGrid w:val="0"/>
              <w:spacing w:before="242" w:line="360" w:lineRule="auto"/>
              <w:ind w:left="408"/>
              <w:textAlignment w:val="baseline"/>
              <w:rPr>
                <w:highlight w:val="none"/>
              </w:rPr>
            </w:pPr>
            <w:r>
              <w:rPr>
                <w:rFonts w:ascii="Wingdings" w:hAnsi="Wingdings" w:eastAsia="Wingdings" w:cs="Wingdings"/>
                <w:spacing w:val="-2"/>
                <w:position w:val="1"/>
                <w:sz w:val="30"/>
                <w:szCs w:val="30"/>
                <w:highlight w:val="none"/>
              </w:rPr>
              <w:t>o</w:t>
            </w:r>
            <w:r>
              <w:rPr>
                <w:b/>
                <w:bCs/>
                <w:spacing w:val="-2"/>
                <w:position w:val="1"/>
                <w:highlight w:val="none"/>
              </w:rPr>
              <w:t>有偏离</w:t>
            </w:r>
            <w:r>
              <w:rPr>
                <w:spacing w:val="-2"/>
                <w:position w:val="1"/>
                <w:highlight w:val="none"/>
              </w:rPr>
              <w:t>（如有偏离，则应在本表中对偏离项逐一列明）</w:t>
            </w:r>
          </w:p>
        </w:tc>
      </w:tr>
      <w:tr w14:paraId="0E5BA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681" w:type="dxa"/>
            <w:vAlign w:val="top"/>
          </w:tcPr>
          <w:p w14:paraId="1C4DDE98">
            <w:pPr>
              <w:pStyle w:val="21"/>
              <w:keepNext w:val="0"/>
              <w:keepLines w:val="0"/>
              <w:pageBreakBefore w:val="0"/>
              <w:widowControl/>
              <w:kinsoku/>
              <w:wordWrap w:val="0"/>
              <w:overflowPunct/>
              <w:topLinePunct w:val="0"/>
              <w:autoSpaceDE/>
              <w:autoSpaceDN/>
              <w:bidi w:val="0"/>
              <w:adjustRightInd w:val="0"/>
              <w:snapToGrid w:val="0"/>
              <w:spacing w:before="99" w:line="360" w:lineRule="auto"/>
              <w:ind w:left="74"/>
              <w:textAlignment w:val="baseline"/>
              <w:rPr>
                <w:highlight w:val="none"/>
              </w:rPr>
            </w:pPr>
            <w:r>
              <w:rPr>
                <w:spacing w:val="-5"/>
                <w:highlight w:val="none"/>
              </w:rPr>
              <w:t>序号</w:t>
            </w:r>
          </w:p>
        </w:tc>
        <w:tc>
          <w:tcPr>
            <w:tcW w:w="2658" w:type="dxa"/>
            <w:vAlign w:val="top"/>
          </w:tcPr>
          <w:p w14:paraId="201CCD8F">
            <w:pPr>
              <w:pStyle w:val="21"/>
              <w:keepNext w:val="0"/>
              <w:keepLines w:val="0"/>
              <w:pageBreakBefore w:val="0"/>
              <w:widowControl/>
              <w:kinsoku/>
              <w:wordWrap w:val="0"/>
              <w:overflowPunct/>
              <w:topLinePunct w:val="0"/>
              <w:autoSpaceDE/>
              <w:autoSpaceDN/>
              <w:bidi w:val="0"/>
              <w:adjustRightInd w:val="0"/>
              <w:snapToGrid w:val="0"/>
              <w:spacing w:before="96" w:line="360" w:lineRule="auto"/>
              <w:ind w:left="218"/>
              <w:textAlignment w:val="baseline"/>
              <w:rPr>
                <w:highlight w:val="none"/>
              </w:rPr>
            </w:pPr>
            <w:r>
              <w:rPr>
                <w:spacing w:val="-3"/>
                <w:highlight w:val="none"/>
              </w:rPr>
              <w:t>招标文件章节条款号</w:t>
            </w:r>
          </w:p>
        </w:tc>
        <w:tc>
          <w:tcPr>
            <w:tcW w:w="2192" w:type="dxa"/>
            <w:vAlign w:val="top"/>
          </w:tcPr>
          <w:p w14:paraId="70BE8FE8">
            <w:pPr>
              <w:pStyle w:val="21"/>
              <w:keepNext w:val="0"/>
              <w:keepLines w:val="0"/>
              <w:pageBreakBefore w:val="0"/>
              <w:widowControl/>
              <w:kinsoku/>
              <w:wordWrap w:val="0"/>
              <w:overflowPunct/>
              <w:topLinePunct w:val="0"/>
              <w:autoSpaceDE/>
              <w:autoSpaceDN/>
              <w:bidi w:val="0"/>
              <w:adjustRightInd w:val="0"/>
              <w:snapToGrid w:val="0"/>
              <w:spacing w:before="100" w:line="360" w:lineRule="auto"/>
              <w:ind w:left="351"/>
              <w:textAlignment w:val="baseline"/>
              <w:rPr>
                <w:highlight w:val="none"/>
              </w:rPr>
            </w:pPr>
            <w:r>
              <w:rPr>
                <w:spacing w:val="-3"/>
                <w:highlight w:val="none"/>
              </w:rPr>
              <w:t>招标文件要求</w:t>
            </w:r>
          </w:p>
        </w:tc>
        <w:tc>
          <w:tcPr>
            <w:tcW w:w="2299" w:type="dxa"/>
            <w:vAlign w:val="top"/>
          </w:tcPr>
          <w:p w14:paraId="58D28E99">
            <w:pPr>
              <w:pStyle w:val="21"/>
              <w:keepNext w:val="0"/>
              <w:keepLines w:val="0"/>
              <w:pageBreakBefore w:val="0"/>
              <w:widowControl/>
              <w:kinsoku/>
              <w:wordWrap w:val="0"/>
              <w:overflowPunct/>
              <w:topLinePunct w:val="0"/>
              <w:autoSpaceDE/>
              <w:autoSpaceDN/>
              <w:bidi w:val="0"/>
              <w:adjustRightInd w:val="0"/>
              <w:snapToGrid w:val="0"/>
              <w:spacing w:before="100" w:line="360" w:lineRule="auto"/>
              <w:ind w:left="333"/>
              <w:textAlignment w:val="baseline"/>
              <w:rPr>
                <w:highlight w:val="none"/>
              </w:rPr>
            </w:pPr>
            <w:r>
              <w:rPr>
                <w:spacing w:val="-4"/>
                <w:highlight w:val="none"/>
              </w:rPr>
              <w:t>投标文件的应答</w:t>
            </w:r>
          </w:p>
        </w:tc>
        <w:tc>
          <w:tcPr>
            <w:tcW w:w="1589" w:type="dxa"/>
            <w:vAlign w:val="top"/>
          </w:tcPr>
          <w:p w14:paraId="00F4540D">
            <w:pPr>
              <w:pStyle w:val="21"/>
              <w:keepNext w:val="0"/>
              <w:keepLines w:val="0"/>
              <w:pageBreakBefore w:val="0"/>
              <w:widowControl/>
              <w:kinsoku/>
              <w:wordWrap w:val="0"/>
              <w:overflowPunct/>
              <w:topLinePunct w:val="0"/>
              <w:autoSpaceDE/>
              <w:autoSpaceDN/>
              <w:bidi w:val="0"/>
              <w:adjustRightInd w:val="0"/>
              <w:snapToGrid w:val="0"/>
              <w:spacing w:before="100" w:line="360" w:lineRule="auto"/>
              <w:ind w:left="573"/>
              <w:textAlignment w:val="baseline"/>
              <w:rPr>
                <w:highlight w:val="none"/>
              </w:rPr>
            </w:pPr>
            <w:r>
              <w:rPr>
                <w:spacing w:val="-5"/>
                <w:highlight w:val="none"/>
              </w:rPr>
              <w:t>偏离说明</w:t>
            </w:r>
          </w:p>
        </w:tc>
      </w:tr>
      <w:tr w14:paraId="1A975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681" w:type="dxa"/>
            <w:vAlign w:val="top"/>
          </w:tcPr>
          <w:p w14:paraId="75C75EC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58" w:type="dxa"/>
            <w:vAlign w:val="top"/>
          </w:tcPr>
          <w:p w14:paraId="14F71A3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92" w:type="dxa"/>
            <w:vAlign w:val="top"/>
          </w:tcPr>
          <w:p w14:paraId="19C7222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99" w:type="dxa"/>
            <w:vAlign w:val="top"/>
          </w:tcPr>
          <w:p w14:paraId="64E5BD3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89" w:type="dxa"/>
            <w:vAlign w:val="top"/>
          </w:tcPr>
          <w:p w14:paraId="1F78D4B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5006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681" w:type="dxa"/>
            <w:vAlign w:val="top"/>
          </w:tcPr>
          <w:p w14:paraId="3DD69B9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58" w:type="dxa"/>
            <w:vAlign w:val="top"/>
          </w:tcPr>
          <w:p w14:paraId="14B114E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92" w:type="dxa"/>
            <w:vAlign w:val="top"/>
          </w:tcPr>
          <w:p w14:paraId="3B47492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99" w:type="dxa"/>
            <w:vAlign w:val="top"/>
          </w:tcPr>
          <w:p w14:paraId="1A563BF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89" w:type="dxa"/>
            <w:vAlign w:val="top"/>
          </w:tcPr>
          <w:p w14:paraId="4942EFC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1D83D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681" w:type="dxa"/>
            <w:vAlign w:val="top"/>
          </w:tcPr>
          <w:p w14:paraId="47CAFE3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58" w:type="dxa"/>
            <w:vAlign w:val="top"/>
          </w:tcPr>
          <w:p w14:paraId="0DFAE9F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92" w:type="dxa"/>
            <w:vAlign w:val="top"/>
          </w:tcPr>
          <w:p w14:paraId="6A81702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99" w:type="dxa"/>
            <w:vAlign w:val="top"/>
          </w:tcPr>
          <w:p w14:paraId="76BA0F9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89" w:type="dxa"/>
            <w:vAlign w:val="top"/>
          </w:tcPr>
          <w:p w14:paraId="0203DC1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762F4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681" w:type="dxa"/>
            <w:vAlign w:val="top"/>
          </w:tcPr>
          <w:p w14:paraId="182857F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658" w:type="dxa"/>
            <w:vAlign w:val="top"/>
          </w:tcPr>
          <w:p w14:paraId="3D60047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92" w:type="dxa"/>
            <w:vAlign w:val="top"/>
          </w:tcPr>
          <w:p w14:paraId="25818CB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99" w:type="dxa"/>
            <w:vAlign w:val="top"/>
          </w:tcPr>
          <w:p w14:paraId="608B804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89" w:type="dxa"/>
            <w:vAlign w:val="top"/>
          </w:tcPr>
          <w:p w14:paraId="2B2ABD0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D223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jc w:val="center"/>
        </w:trPr>
        <w:tc>
          <w:tcPr>
            <w:tcW w:w="9419" w:type="dxa"/>
            <w:gridSpan w:val="5"/>
            <w:vAlign w:val="top"/>
          </w:tcPr>
          <w:p w14:paraId="7A91B8AB">
            <w:pPr>
              <w:pStyle w:val="21"/>
              <w:keepNext w:val="0"/>
              <w:keepLines w:val="0"/>
              <w:pageBreakBefore w:val="0"/>
              <w:widowControl/>
              <w:kinsoku/>
              <w:wordWrap w:val="0"/>
              <w:overflowPunct/>
              <w:topLinePunct w:val="0"/>
              <w:autoSpaceDE/>
              <w:autoSpaceDN/>
              <w:bidi w:val="0"/>
              <w:adjustRightInd w:val="0"/>
              <w:snapToGrid w:val="0"/>
              <w:spacing w:before="125" w:line="360" w:lineRule="auto"/>
              <w:ind w:left="101" w:right="149" w:firstLine="437"/>
              <w:textAlignment w:val="baseline"/>
              <w:rPr>
                <w:highlight w:val="none"/>
              </w:rPr>
            </w:pPr>
            <w:r>
              <w:rPr>
                <w:b/>
                <w:bCs/>
                <w:spacing w:val="-4"/>
                <w:highlight w:val="none"/>
              </w:rPr>
              <w:t>投标供应商保证：除本合同条款偏离表列出的偏离外，我单位对招标文件的其他商务、合</w:t>
            </w:r>
            <w:r>
              <w:rPr>
                <w:b/>
                <w:bCs/>
                <w:spacing w:val="-9"/>
                <w:highlight w:val="none"/>
              </w:rPr>
              <w:t>同条款完全响应，无偏离。</w:t>
            </w:r>
          </w:p>
        </w:tc>
      </w:tr>
    </w:tbl>
    <w:p w14:paraId="3D6C385E">
      <w:pPr>
        <w:pStyle w:val="2"/>
        <w:keepNext w:val="0"/>
        <w:keepLines w:val="0"/>
        <w:pageBreakBefore w:val="0"/>
        <w:widowControl/>
        <w:kinsoku/>
        <w:wordWrap w:val="0"/>
        <w:overflowPunct/>
        <w:topLinePunct w:val="0"/>
        <w:autoSpaceDE/>
        <w:autoSpaceDN/>
        <w:bidi w:val="0"/>
        <w:adjustRightInd w:val="0"/>
        <w:snapToGrid w:val="0"/>
        <w:spacing w:before="99" w:line="360" w:lineRule="auto"/>
        <w:textAlignment w:val="baseline"/>
        <w:rPr>
          <w:b w:val="0"/>
          <w:bCs w:val="0"/>
          <w:sz w:val="24"/>
          <w:szCs w:val="24"/>
          <w:highlight w:val="none"/>
        </w:rPr>
      </w:pPr>
      <w:r>
        <w:rPr>
          <w:spacing w:val="-3"/>
          <w:sz w:val="24"/>
          <w:szCs w:val="24"/>
          <w:highlight w:val="none"/>
        </w:rPr>
        <w:t>注</w:t>
      </w:r>
      <w:r>
        <w:rPr>
          <w:b w:val="0"/>
          <w:bCs w:val="0"/>
          <w:spacing w:val="-3"/>
          <w:sz w:val="24"/>
          <w:szCs w:val="24"/>
          <w:highlight w:val="none"/>
        </w:rPr>
        <w:t>：1.投标供应商应根据招标文件第六章“政府采购合同”填写本表；</w:t>
      </w:r>
    </w:p>
    <w:p w14:paraId="75937EDF">
      <w:pPr>
        <w:pStyle w:val="2"/>
        <w:keepNext w:val="0"/>
        <w:keepLines w:val="0"/>
        <w:pageBreakBefore w:val="0"/>
        <w:widowControl/>
        <w:kinsoku/>
        <w:wordWrap w:val="0"/>
        <w:overflowPunct/>
        <w:topLinePunct w:val="0"/>
        <w:autoSpaceDE/>
        <w:autoSpaceDN/>
        <w:bidi w:val="0"/>
        <w:adjustRightInd w:val="0"/>
        <w:snapToGrid w:val="0"/>
        <w:spacing w:before="250" w:line="360" w:lineRule="auto"/>
        <w:ind w:left="10" w:right="102" w:firstLine="472"/>
        <w:textAlignment w:val="baseline"/>
        <w:rPr>
          <w:b w:val="0"/>
          <w:bCs w:val="0"/>
          <w:sz w:val="24"/>
          <w:szCs w:val="24"/>
          <w:highlight w:val="none"/>
        </w:rPr>
      </w:pPr>
      <w:r>
        <w:rPr>
          <w:b w:val="0"/>
          <w:bCs w:val="0"/>
          <w:spacing w:val="-8"/>
          <w:sz w:val="24"/>
          <w:szCs w:val="24"/>
          <w:highlight w:val="none"/>
        </w:rPr>
        <w:t>2.投标供应商如果对招标文件第六章“政府采购合同”的响应有偏离，应将偏离条款逐条如</w:t>
      </w:r>
      <w:r>
        <w:rPr>
          <w:b w:val="0"/>
          <w:bCs w:val="0"/>
          <w:spacing w:val="-7"/>
          <w:sz w:val="24"/>
          <w:szCs w:val="24"/>
          <w:highlight w:val="none"/>
        </w:rPr>
        <w:t>实应答，并作出说明；</w:t>
      </w:r>
    </w:p>
    <w:p w14:paraId="6DCE65DD">
      <w:pPr>
        <w:pStyle w:val="2"/>
        <w:keepNext w:val="0"/>
        <w:keepLines w:val="0"/>
        <w:pageBreakBefore w:val="0"/>
        <w:widowControl/>
        <w:kinsoku/>
        <w:wordWrap/>
        <w:overflowPunct/>
        <w:topLinePunct w:val="0"/>
        <w:autoSpaceDE/>
        <w:autoSpaceDN/>
        <w:bidi w:val="0"/>
        <w:adjustRightInd w:val="0"/>
        <w:snapToGrid w:val="0"/>
        <w:spacing w:before="298" w:line="360" w:lineRule="auto"/>
        <w:ind w:left="0" w:leftChars="0" w:firstLine="418" w:firstLineChars="179"/>
        <w:jc w:val="left"/>
        <w:textAlignment w:val="baseline"/>
        <w:rPr>
          <w:b w:val="0"/>
          <w:bCs w:val="0"/>
          <w:sz w:val="24"/>
          <w:szCs w:val="24"/>
          <w:highlight w:val="none"/>
        </w:rPr>
      </w:pPr>
      <w:r>
        <w:rPr>
          <w:b w:val="0"/>
          <w:bCs w:val="0"/>
          <w:spacing w:val="-3"/>
          <w:sz w:val="24"/>
          <w:szCs w:val="24"/>
          <w:highlight w:val="none"/>
        </w:rPr>
        <w:t>3.如不提供此表，则视为投标供应商不满足招标文件第六章的所有条款要求，其投标无效。</w:t>
      </w:r>
    </w:p>
    <w:p w14:paraId="4D88CE3F">
      <w:pPr>
        <w:pStyle w:val="2"/>
        <w:keepNext w:val="0"/>
        <w:keepLines w:val="0"/>
        <w:pageBreakBefore w:val="0"/>
        <w:widowControl/>
        <w:kinsoku/>
        <w:wordWrap w:val="0"/>
        <w:overflowPunct/>
        <w:topLinePunct w:val="0"/>
        <w:autoSpaceDE/>
        <w:autoSpaceDN/>
        <w:bidi w:val="0"/>
        <w:adjustRightInd w:val="0"/>
        <w:snapToGrid w:val="0"/>
        <w:spacing w:before="259" w:line="360" w:lineRule="auto"/>
        <w:ind w:right="39" w:firstLine="475"/>
        <w:textAlignment w:val="baseline"/>
        <w:rPr>
          <w:sz w:val="24"/>
          <w:szCs w:val="24"/>
          <w:highlight w:val="none"/>
        </w:rPr>
      </w:pPr>
      <w:r>
        <w:rPr>
          <w:spacing w:val="-4"/>
          <w:sz w:val="24"/>
          <w:szCs w:val="24"/>
          <w:highlight w:val="none"/>
        </w:rPr>
        <w:t>4.在采购人与中标人签订合同时，如中标人未在投标文件“合同条款偏离表”中列出偏离说</w:t>
      </w:r>
      <w:r>
        <w:rPr>
          <w:spacing w:val="-2"/>
          <w:sz w:val="24"/>
          <w:szCs w:val="24"/>
          <w:highlight w:val="none"/>
        </w:rPr>
        <w:t>明，无论已发生或即将发生任何情形，均视为完全符合招标文件要求，并</w:t>
      </w:r>
      <w:r>
        <w:rPr>
          <w:spacing w:val="-3"/>
          <w:sz w:val="24"/>
          <w:szCs w:val="24"/>
          <w:highlight w:val="none"/>
        </w:rPr>
        <w:t>写入合同。若中标人在</w:t>
      </w:r>
      <w:r>
        <w:rPr>
          <w:spacing w:val="-2"/>
          <w:sz w:val="24"/>
          <w:szCs w:val="24"/>
          <w:highlight w:val="none"/>
        </w:rPr>
        <w:t>合同签订前，以上述事项为借口而不履行合同签订手续及执行合同，则视</w:t>
      </w:r>
      <w:r>
        <w:rPr>
          <w:spacing w:val="-3"/>
          <w:sz w:val="24"/>
          <w:szCs w:val="24"/>
          <w:highlight w:val="none"/>
        </w:rPr>
        <w:t>作拒绝与采购人签订合</w:t>
      </w:r>
      <w:r>
        <w:rPr>
          <w:spacing w:val="-6"/>
          <w:sz w:val="24"/>
          <w:szCs w:val="24"/>
          <w:highlight w:val="none"/>
        </w:rPr>
        <w:t>同。</w:t>
      </w:r>
    </w:p>
    <w:p w14:paraId="7FAAD91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F23EA6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91"/>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195E6525">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87"/>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023D5790">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166"/>
        <w:textAlignment w:val="baseline"/>
        <w:rPr>
          <w:rFonts w:ascii="Arial"/>
          <w:sz w:val="21"/>
          <w:highlight w:val="none"/>
        </w:rPr>
      </w:pPr>
      <w:r>
        <w:rPr>
          <w:b/>
          <w:bCs/>
          <w:spacing w:val="-23"/>
          <w:sz w:val="24"/>
          <w:szCs w:val="24"/>
          <w:highlight w:val="none"/>
        </w:rPr>
        <w:t>日期：</w:t>
      </w:r>
      <w:r>
        <w:rPr>
          <w:rFonts w:hint="eastAsia"/>
          <w:spacing w:val="-4"/>
          <w:sz w:val="24"/>
          <w:szCs w:val="24"/>
          <w:highlight w:val="none"/>
          <w:u w:val="single"/>
          <w:lang w:val="en-US" w:eastAsia="zh-CN"/>
        </w:rPr>
        <w:t xml:space="preserve">       </w:t>
      </w:r>
      <w:r>
        <w:rPr>
          <w:b/>
          <w:bCs/>
          <w:spacing w:val="-23"/>
          <w:sz w:val="24"/>
          <w:szCs w:val="24"/>
          <w:highlight w:val="none"/>
        </w:rPr>
        <w:t>年</w:t>
      </w:r>
      <w:r>
        <w:rPr>
          <w:rFonts w:hint="eastAsia"/>
          <w:spacing w:val="-4"/>
          <w:sz w:val="24"/>
          <w:szCs w:val="24"/>
          <w:highlight w:val="none"/>
          <w:u w:val="single"/>
          <w:lang w:val="en-US" w:eastAsia="zh-CN"/>
        </w:rPr>
        <w:t xml:space="preserve">       </w:t>
      </w:r>
      <w:r>
        <w:rPr>
          <w:b/>
          <w:bCs/>
          <w:spacing w:val="-23"/>
          <w:sz w:val="24"/>
          <w:szCs w:val="24"/>
          <w:highlight w:val="none"/>
        </w:rPr>
        <w:t>月</w:t>
      </w:r>
      <w:r>
        <w:rPr>
          <w:rFonts w:hint="eastAsia"/>
          <w:spacing w:val="-4"/>
          <w:sz w:val="24"/>
          <w:szCs w:val="24"/>
          <w:highlight w:val="none"/>
          <w:u w:val="single"/>
          <w:lang w:val="en-US" w:eastAsia="zh-CN"/>
        </w:rPr>
        <w:t xml:space="preserve">       </w:t>
      </w:r>
      <w:r>
        <w:rPr>
          <w:b/>
          <w:bCs/>
          <w:spacing w:val="-23"/>
          <w:sz w:val="24"/>
          <w:szCs w:val="24"/>
          <w:highlight w:val="none"/>
        </w:rPr>
        <w:t>日</w:t>
      </w:r>
    </w:p>
    <w:p w14:paraId="4FCD427F">
      <w:pPr>
        <w:pStyle w:val="5"/>
        <w:bidi w:val="0"/>
      </w:pPr>
      <w:bookmarkStart w:id="319" w:name="bookmark49"/>
      <w:bookmarkEnd w:id="319"/>
      <w:bookmarkStart w:id="320" w:name="_Toc9594"/>
      <w:r>
        <w:t>七、享受政府采购政策优惠的证明资料</w:t>
      </w:r>
      <w:bookmarkEnd w:id="320"/>
    </w:p>
    <w:p w14:paraId="717B863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宋体" w:hAnsi="宋体" w:eastAsia="宋体" w:cs="宋体"/>
          <w:snapToGrid w:val="0"/>
          <w:color w:val="000000"/>
          <w:spacing w:val="-4"/>
          <w:kern w:val="0"/>
          <w:sz w:val="24"/>
          <w:szCs w:val="24"/>
          <w:highlight w:val="none"/>
          <w:lang w:val="en-US" w:eastAsia="en-US" w:bidi="ar-SA"/>
        </w:rPr>
      </w:pPr>
    </w:p>
    <w:p w14:paraId="04036650">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7" w:firstLine="494"/>
        <w:textAlignment w:val="baseline"/>
        <w:rPr>
          <w:rFonts w:ascii="宋体" w:hAnsi="宋体" w:eastAsia="宋体" w:cs="宋体"/>
          <w:spacing w:val="-4"/>
          <w:sz w:val="24"/>
          <w:szCs w:val="24"/>
          <w:highlight w:val="none"/>
          <w:lang w:val="en-US" w:eastAsia="en-US"/>
        </w:rPr>
      </w:pPr>
      <w:r>
        <w:rPr>
          <w:rFonts w:ascii="宋体" w:hAnsi="宋体" w:eastAsia="宋体" w:cs="宋体"/>
          <w:spacing w:val="-4"/>
          <w:sz w:val="24"/>
          <w:szCs w:val="24"/>
          <w:highlight w:val="none"/>
          <w:lang w:val="en-US" w:eastAsia="en-US"/>
        </w:rPr>
        <w:t>投标供应商符合第二章第34.5款要求的，应提供下列证明资料，并填写相关数据。否则，评审时不予以考虑。</w:t>
      </w:r>
    </w:p>
    <w:p w14:paraId="0FDD529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4E0F4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DF08A86">
      <w:pPr>
        <w:pStyle w:val="6"/>
        <w:bidi w:val="0"/>
      </w:pPr>
      <w:bookmarkStart w:id="321" w:name="_Toc13147"/>
      <w:bookmarkStart w:id="322" w:name="_Toc10879"/>
      <w:bookmarkStart w:id="323" w:name="_Toc13035"/>
      <w:r>
        <w:t>附件7-1中小企业声明函</w:t>
      </w:r>
      <w:bookmarkEnd w:id="321"/>
      <w:bookmarkEnd w:id="322"/>
      <w:bookmarkEnd w:id="323"/>
    </w:p>
    <w:p w14:paraId="2FBD83BF">
      <w:pPr>
        <w:pStyle w:val="2"/>
        <w:keepNext w:val="0"/>
        <w:keepLines w:val="0"/>
        <w:pageBreakBefore w:val="0"/>
        <w:widowControl/>
        <w:kinsoku/>
        <w:wordWrap w:val="0"/>
        <w:overflowPunct/>
        <w:topLinePunct w:val="0"/>
        <w:autoSpaceDE/>
        <w:autoSpaceDN/>
        <w:bidi w:val="0"/>
        <w:adjustRightInd w:val="0"/>
        <w:snapToGrid w:val="0"/>
        <w:spacing w:before="142" w:line="360" w:lineRule="auto"/>
        <w:ind w:left="4009"/>
        <w:textAlignment w:val="baseline"/>
        <w:rPr>
          <w:sz w:val="28"/>
          <w:szCs w:val="28"/>
          <w:highlight w:val="none"/>
        </w:rPr>
      </w:pPr>
      <w:bookmarkStart w:id="324" w:name="bookmark50"/>
      <w:bookmarkEnd w:id="324"/>
      <w:r>
        <w:rPr>
          <w:b/>
          <w:bCs/>
          <w:spacing w:val="-5"/>
          <w:sz w:val="28"/>
          <w:szCs w:val="28"/>
          <w:highlight w:val="none"/>
        </w:rPr>
        <w:t>中小企业声明函</w:t>
      </w:r>
    </w:p>
    <w:p w14:paraId="1480A649">
      <w:pPr>
        <w:pStyle w:val="2"/>
        <w:keepNext w:val="0"/>
        <w:keepLines w:val="0"/>
        <w:pageBreakBefore w:val="0"/>
        <w:widowControl/>
        <w:kinsoku/>
        <w:wordWrap w:val="0"/>
        <w:overflowPunct/>
        <w:topLinePunct w:val="0"/>
        <w:autoSpaceDE/>
        <w:autoSpaceDN/>
        <w:bidi w:val="0"/>
        <w:adjustRightInd w:val="0"/>
        <w:snapToGrid w:val="0"/>
        <w:spacing w:before="203" w:line="360" w:lineRule="auto"/>
        <w:ind w:left="3599"/>
        <w:textAlignment w:val="baseline"/>
        <w:rPr>
          <w:sz w:val="19"/>
          <w:szCs w:val="19"/>
          <w:highlight w:val="none"/>
        </w:rPr>
      </w:pPr>
      <w:r>
        <w:rPr>
          <w:b/>
          <w:bCs/>
          <w:spacing w:val="18"/>
          <w:sz w:val="19"/>
          <w:szCs w:val="19"/>
          <w:highlight w:val="none"/>
        </w:rPr>
        <w:t>(不满足以下条件的无需填写)</w:t>
      </w:r>
    </w:p>
    <w:p w14:paraId="7EA0651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32ACBB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3026FB5">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27" w:firstLine="494"/>
        <w:textAlignment w:val="baseline"/>
        <w:rPr>
          <w:sz w:val="24"/>
          <w:szCs w:val="24"/>
          <w:highlight w:val="none"/>
        </w:rPr>
      </w:pPr>
      <w:r>
        <w:rPr>
          <w:spacing w:val="-4"/>
          <w:sz w:val="24"/>
          <w:szCs w:val="24"/>
          <w:highlight w:val="none"/>
        </w:rPr>
        <w:t>本公司（联合体）郑重声明，根据《政府采购促进中小企业</w:t>
      </w:r>
      <w:r>
        <w:rPr>
          <w:spacing w:val="-5"/>
          <w:sz w:val="24"/>
          <w:szCs w:val="24"/>
          <w:highlight w:val="none"/>
        </w:rPr>
        <w:t>发展管理办法》（财库[2020]46</w:t>
      </w:r>
      <w:r>
        <w:rPr>
          <w:spacing w:val="-8"/>
          <w:sz w:val="24"/>
          <w:szCs w:val="24"/>
          <w:highlight w:val="none"/>
        </w:rPr>
        <w:t>号）的规定，本公司（联合体</w:t>
      </w:r>
      <w:r>
        <w:rPr>
          <w:spacing w:val="-30"/>
          <w:sz w:val="24"/>
          <w:szCs w:val="24"/>
          <w:highlight w:val="none"/>
        </w:rPr>
        <w:t>）</w:t>
      </w:r>
      <w:r>
        <w:rPr>
          <w:b/>
          <w:bCs/>
          <w:spacing w:val="-30"/>
          <w:sz w:val="24"/>
          <w:szCs w:val="24"/>
          <w:highlight w:val="none"/>
        </w:rPr>
        <w:t>（</w:t>
      </w:r>
      <w:r>
        <w:rPr>
          <w:b/>
          <w:bCs/>
          <w:spacing w:val="-8"/>
          <w:sz w:val="24"/>
          <w:szCs w:val="24"/>
          <w:highlight w:val="none"/>
        </w:rPr>
        <w:t>请进行勾选打“√”)</w:t>
      </w:r>
      <w:r>
        <w:rPr>
          <w:spacing w:val="-8"/>
          <w:sz w:val="24"/>
          <w:szCs w:val="24"/>
          <w:highlight w:val="none"/>
        </w:rPr>
        <w:t>:</w:t>
      </w:r>
    </w:p>
    <w:p w14:paraId="214038CE">
      <w:pPr>
        <w:pStyle w:val="2"/>
        <w:keepNext w:val="0"/>
        <w:keepLines w:val="0"/>
        <w:pageBreakBefore w:val="0"/>
        <w:widowControl/>
        <w:kinsoku/>
        <w:wordWrap w:val="0"/>
        <w:overflowPunct/>
        <w:topLinePunct w:val="0"/>
        <w:autoSpaceDE/>
        <w:autoSpaceDN/>
        <w:bidi w:val="0"/>
        <w:adjustRightInd w:val="0"/>
        <w:snapToGrid w:val="0"/>
        <w:spacing w:line="360" w:lineRule="auto"/>
        <w:ind w:left="532"/>
        <w:textAlignment w:val="baseline"/>
        <w:rPr>
          <w:sz w:val="24"/>
          <w:szCs w:val="24"/>
          <w:highlight w:val="none"/>
        </w:rPr>
      </w:pPr>
      <w:r>
        <w:rPr>
          <w:rFonts w:ascii="Wingdings" w:hAnsi="Wingdings" w:eastAsia="Wingdings" w:cs="Wingdings"/>
          <w:spacing w:val="2"/>
          <w:position w:val="2"/>
          <w:highlight w:val="none"/>
        </w:rPr>
        <w:t>o</w:t>
      </w:r>
      <w:r>
        <w:rPr>
          <w:b/>
          <w:bCs/>
          <w:spacing w:val="2"/>
          <w:position w:val="2"/>
          <w:sz w:val="24"/>
          <w:szCs w:val="24"/>
          <w:highlight w:val="none"/>
        </w:rPr>
        <w:t>不属于符合条件的中小企业。</w:t>
      </w:r>
    </w:p>
    <w:p w14:paraId="38188183">
      <w:pPr>
        <w:pStyle w:val="2"/>
        <w:keepNext w:val="0"/>
        <w:keepLines w:val="0"/>
        <w:pageBreakBefore w:val="0"/>
        <w:widowControl/>
        <w:kinsoku/>
        <w:wordWrap w:val="0"/>
        <w:overflowPunct/>
        <w:topLinePunct w:val="0"/>
        <w:autoSpaceDE/>
        <w:autoSpaceDN/>
        <w:bidi w:val="0"/>
        <w:adjustRightInd w:val="0"/>
        <w:snapToGrid w:val="0"/>
        <w:spacing w:before="242" w:line="360" w:lineRule="auto"/>
        <w:ind w:left="16" w:right="9" w:firstLine="515"/>
        <w:textAlignment w:val="baseline"/>
        <w:rPr>
          <w:sz w:val="24"/>
          <w:szCs w:val="24"/>
          <w:highlight w:val="none"/>
        </w:rPr>
      </w:pPr>
      <w:r>
        <w:rPr>
          <w:rFonts w:ascii="Wingdings" w:hAnsi="Wingdings" w:eastAsia="Wingdings" w:cs="Wingdings"/>
          <w:spacing w:val="2"/>
          <w:highlight w:val="none"/>
        </w:rPr>
        <w:t>o</w:t>
      </w:r>
      <w:r>
        <w:rPr>
          <w:b/>
          <w:bCs/>
          <w:spacing w:val="2"/>
          <w:sz w:val="24"/>
          <w:szCs w:val="24"/>
          <w:highlight w:val="none"/>
        </w:rPr>
        <w:t>属于符合条件的中小企业，</w:t>
      </w:r>
      <w:r>
        <w:rPr>
          <w:spacing w:val="2"/>
          <w:sz w:val="24"/>
          <w:szCs w:val="24"/>
          <w:highlight w:val="none"/>
        </w:rPr>
        <w:t>参加</w:t>
      </w:r>
      <w:r>
        <w:rPr>
          <w:rFonts w:hint="eastAsia"/>
          <w:spacing w:val="-4"/>
          <w:sz w:val="24"/>
          <w:szCs w:val="24"/>
          <w:highlight w:val="none"/>
          <w:u w:val="single"/>
          <w:lang w:val="en-US" w:eastAsia="zh-CN"/>
        </w:rPr>
        <w:t xml:space="preserve">       </w:t>
      </w:r>
      <w:r>
        <w:rPr>
          <w:spacing w:val="2"/>
          <w:sz w:val="24"/>
          <w:szCs w:val="24"/>
          <w:highlight w:val="none"/>
          <w:u w:val="single" w:color="auto"/>
        </w:rPr>
        <w:t>（采购单位）</w:t>
      </w:r>
      <w:r>
        <w:rPr>
          <w:spacing w:val="2"/>
          <w:sz w:val="24"/>
          <w:szCs w:val="24"/>
          <w:highlight w:val="none"/>
        </w:rPr>
        <w:t>的</w:t>
      </w:r>
      <w:r>
        <w:rPr>
          <w:rFonts w:hint="eastAsia"/>
          <w:spacing w:val="-4"/>
          <w:sz w:val="24"/>
          <w:szCs w:val="24"/>
          <w:highlight w:val="none"/>
          <w:u w:val="single"/>
          <w:lang w:val="en-US" w:eastAsia="zh-CN"/>
        </w:rPr>
        <w:t xml:space="preserve">       </w:t>
      </w:r>
      <w:r>
        <w:rPr>
          <w:spacing w:val="2"/>
          <w:sz w:val="24"/>
          <w:szCs w:val="24"/>
          <w:highlight w:val="none"/>
          <w:u w:val="single" w:color="auto"/>
        </w:rPr>
        <w:t>（</w:t>
      </w:r>
      <w:r>
        <w:rPr>
          <w:spacing w:val="1"/>
          <w:sz w:val="24"/>
          <w:szCs w:val="24"/>
          <w:highlight w:val="none"/>
          <w:u w:val="single" w:color="auto"/>
        </w:rPr>
        <w:t>项目名称）</w:t>
      </w:r>
      <w:r>
        <w:rPr>
          <w:spacing w:val="1"/>
          <w:sz w:val="24"/>
          <w:szCs w:val="24"/>
          <w:highlight w:val="none"/>
        </w:rPr>
        <w:t>采购活动,提</w:t>
      </w:r>
      <w:r>
        <w:rPr>
          <w:spacing w:val="2"/>
          <w:sz w:val="24"/>
          <w:szCs w:val="24"/>
          <w:highlight w:val="none"/>
        </w:rPr>
        <w:t>供的货物全部由符合政策要求的中小企业制造</w:t>
      </w:r>
      <w:r>
        <w:rPr>
          <w:spacing w:val="1"/>
          <w:sz w:val="24"/>
          <w:szCs w:val="24"/>
          <w:highlight w:val="none"/>
        </w:rPr>
        <w:t>。相关企业（含联合体中的中小企业、签订分包</w:t>
      </w:r>
      <w:r>
        <w:rPr>
          <w:spacing w:val="-2"/>
          <w:sz w:val="24"/>
          <w:szCs w:val="24"/>
          <w:highlight w:val="none"/>
        </w:rPr>
        <w:t>意向协议的中小企业）的具体情况如下：</w:t>
      </w:r>
    </w:p>
    <w:p w14:paraId="425B1F6D">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5" w:right="9" w:firstLine="515"/>
        <w:textAlignment w:val="baseline"/>
        <w:rPr>
          <w:sz w:val="24"/>
          <w:szCs w:val="24"/>
          <w:highlight w:val="none"/>
        </w:rPr>
      </w:pPr>
      <w:r>
        <w:rPr>
          <w:spacing w:val="-3"/>
          <w:sz w:val="24"/>
          <w:szCs w:val="24"/>
          <w:highlight w:val="none"/>
        </w:rPr>
        <w:t>1.</w:t>
      </w:r>
      <w:r>
        <w:rPr>
          <w:rFonts w:hint="eastAsia"/>
          <w:spacing w:val="-4"/>
          <w:sz w:val="24"/>
          <w:szCs w:val="24"/>
          <w:highlight w:val="none"/>
          <w:u w:val="single"/>
          <w:lang w:val="en-US" w:eastAsia="zh-CN"/>
        </w:rPr>
        <w:t xml:space="preserve">       </w:t>
      </w:r>
      <w:r>
        <w:rPr>
          <w:spacing w:val="-3"/>
          <w:sz w:val="24"/>
          <w:szCs w:val="24"/>
          <w:highlight w:val="none"/>
          <w:u w:val="single" w:color="auto"/>
        </w:rPr>
        <w:t>（标的名称</w:t>
      </w:r>
      <w:r>
        <w:rPr>
          <w:spacing w:val="-15"/>
          <w:sz w:val="24"/>
          <w:szCs w:val="24"/>
          <w:highlight w:val="none"/>
          <w:u w:val="single" w:color="auto"/>
        </w:rPr>
        <w:t>）</w:t>
      </w:r>
      <w:r>
        <w:rPr>
          <w:spacing w:val="-15"/>
          <w:sz w:val="24"/>
          <w:szCs w:val="24"/>
          <w:highlight w:val="none"/>
        </w:rPr>
        <w:t>，</w:t>
      </w:r>
      <w:r>
        <w:rPr>
          <w:spacing w:val="-3"/>
          <w:sz w:val="24"/>
          <w:szCs w:val="24"/>
          <w:highlight w:val="none"/>
        </w:rPr>
        <w:t>属于</w:t>
      </w:r>
      <w:r>
        <w:rPr>
          <w:rFonts w:hint="eastAsia"/>
          <w:spacing w:val="-4"/>
          <w:sz w:val="24"/>
          <w:szCs w:val="24"/>
          <w:highlight w:val="none"/>
          <w:u w:val="single"/>
          <w:lang w:val="en-US" w:eastAsia="zh-CN"/>
        </w:rPr>
        <w:t xml:space="preserve">       </w:t>
      </w:r>
      <w:r>
        <w:rPr>
          <w:spacing w:val="-3"/>
          <w:sz w:val="24"/>
          <w:szCs w:val="24"/>
          <w:highlight w:val="none"/>
          <w:u w:val="single" w:color="auto"/>
        </w:rPr>
        <w:t>（采购文件中明确的所属行业）</w:t>
      </w:r>
      <w:r>
        <w:rPr>
          <w:spacing w:val="-3"/>
          <w:sz w:val="24"/>
          <w:szCs w:val="24"/>
          <w:highlight w:val="none"/>
        </w:rPr>
        <w:t>行</w:t>
      </w:r>
      <w:r>
        <w:rPr>
          <w:spacing w:val="-4"/>
          <w:sz w:val="24"/>
          <w:szCs w:val="24"/>
          <w:highlight w:val="none"/>
        </w:rPr>
        <w:t>业；制造商为</w:t>
      </w:r>
      <w:r>
        <w:rPr>
          <w:rFonts w:hint="eastAsia"/>
          <w:spacing w:val="-4"/>
          <w:sz w:val="24"/>
          <w:szCs w:val="24"/>
          <w:highlight w:val="none"/>
          <w:u w:val="single"/>
          <w:lang w:val="en-US" w:eastAsia="zh-CN"/>
        </w:rPr>
        <w:t xml:space="preserve">       </w:t>
      </w:r>
      <w:r>
        <w:rPr>
          <w:spacing w:val="-4"/>
          <w:sz w:val="24"/>
          <w:szCs w:val="24"/>
          <w:highlight w:val="none"/>
          <w:u w:val="single" w:color="auto"/>
        </w:rPr>
        <w:t>（企业名</w:t>
      </w:r>
      <w:r>
        <w:rPr>
          <w:spacing w:val="-3"/>
          <w:sz w:val="24"/>
          <w:szCs w:val="24"/>
          <w:highlight w:val="none"/>
          <w:u w:val="single" w:color="auto"/>
        </w:rPr>
        <w:t>称</w:t>
      </w:r>
      <w:r>
        <w:rPr>
          <w:spacing w:val="-6"/>
          <w:sz w:val="24"/>
          <w:szCs w:val="24"/>
          <w:highlight w:val="none"/>
          <w:u w:val="single" w:color="auto"/>
        </w:rPr>
        <w:t>）</w:t>
      </w:r>
      <w:r>
        <w:rPr>
          <w:spacing w:val="-6"/>
          <w:sz w:val="24"/>
          <w:szCs w:val="24"/>
          <w:highlight w:val="none"/>
        </w:rPr>
        <w:t>，</w:t>
      </w:r>
      <w:r>
        <w:rPr>
          <w:spacing w:val="-3"/>
          <w:sz w:val="24"/>
          <w:szCs w:val="24"/>
          <w:highlight w:val="none"/>
        </w:rPr>
        <w:t>从业人员</w:t>
      </w:r>
      <w:r>
        <w:rPr>
          <w:rFonts w:hint="eastAsia"/>
          <w:spacing w:val="-4"/>
          <w:sz w:val="24"/>
          <w:szCs w:val="24"/>
          <w:highlight w:val="none"/>
          <w:u w:val="single"/>
          <w:lang w:val="en-US" w:eastAsia="zh-CN"/>
        </w:rPr>
        <w:t xml:space="preserve">       </w:t>
      </w:r>
      <w:r>
        <w:rPr>
          <w:spacing w:val="-3"/>
          <w:sz w:val="24"/>
          <w:szCs w:val="24"/>
          <w:highlight w:val="none"/>
        </w:rPr>
        <w:t>人，营业收入为</w:t>
      </w:r>
      <w:r>
        <w:rPr>
          <w:rFonts w:hint="eastAsia"/>
          <w:spacing w:val="-4"/>
          <w:sz w:val="24"/>
          <w:szCs w:val="24"/>
          <w:highlight w:val="none"/>
          <w:u w:val="single"/>
          <w:lang w:val="en-US" w:eastAsia="zh-CN"/>
        </w:rPr>
        <w:t xml:space="preserve">       </w:t>
      </w:r>
      <w:r>
        <w:rPr>
          <w:spacing w:val="-3"/>
          <w:sz w:val="24"/>
          <w:szCs w:val="24"/>
          <w:highlight w:val="none"/>
        </w:rPr>
        <w:t>万元，资产总额为</w:t>
      </w:r>
      <w:r>
        <w:rPr>
          <w:rFonts w:hint="eastAsia"/>
          <w:spacing w:val="-4"/>
          <w:sz w:val="24"/>
          <w:szCs w:val="24"/>
          <w:highlight w:val="none"/>
          <w:u w:val="single"/>
          <w:lang w:val="en-US" w:eastAsia="zh-CN"/>
        </w:rPr>
        <w:t xml:space="preserve">       </w:t>
      </w:r>
      <w:r>
        <w:rPr>
          <w:spacing w:val="-3"/>
          <w:sz w:val="24"/>
          <w:szCs w:val="24"/>
          <w:highlight w:val="none"/>
        </w:rPr>
        <w:t>万元，属于</w:t>
      </w:r>
      <w:r>
        <w:rPr>
          <w:rFonts w:hint="eastAsia"/>
          <w:spacing w:val="-4"/>
          <w:sz w:val="24"/>
          <w:szCs w:val="24"/>
          <w:highlight w:val="none"/>
          <w:u w:val="single"/>
          <w:lang w:val="en-US" w:eastAsia="zh-CN"/>
        </w:rPr>
        <w:t xml:space="preserve">       </w:t>
      </w:r>
      <w:r>
        <w:rPr>
          <w:spacing w:val="-3"/>
          <w:sz w:val="24"/>
          <w:szCs w:val="24"/>
          <w:highlight w:val="none"/>
          <w:u w:val="single" w:color="auto"/>
        </w:rPr>
        <w:t>（中型</w:t>
      </w:r>
      <w:r>
        <w:rPr>
          <w:spacing w:val="-2"/>
          <w:sz w:val="24"/>
          <w:szCs w:val="24"/>
          <w:highlight w:val="none"/>
          <w:u w:val="single" w:color="auto"/>
        </w:rPr>
        <w:t>企业、小型企业、微型企业</w:t>
      </w:r>
      <w:r>
        <w:rPr>
          <w:spacing w:val="1"/>
          <w:sz w:val="24"/>
          <w:szCs w:val="24"/>
          <w:highlight w:val="none"/>
          <w:u w:val="single" w:color="auto"/>
        </w:rPr>
        <w:t>）</w:t>
      </w:r>
      <w:r>
        <w:rPr>
          <w:spacing w:val="1"/>
          <w:sz w:val="24"/>
          <w:szCs w:val="24"/>
          <w:highlight w:val="none"/>
        </w:rPr>
        <w:t>；</w:t>
      </w:r>
    </w:p>
    <w:p w14:paraId="401D007A">
      <w:pPr>
        <w:pStyle w:val="2"/>
        <w:keepNext w:val="0"/>
        <w:keepLines w:val="0"/>
        <w:pageBreakBefore w:val="0"/>
        <w:widowControl/>
        <w:kinsoku/>
        <w:wordWrap w:val="0"/>
        <w:overflowPunct/>
        <w:topLinePunct w:val="0"/>
        <w:autoSpaceDE/>
        <w:autoSpaceDN/>
        <w:bidi w:val="0"/>
        <w:adjustRightInd w:val="0"/>
        <w:snapToGrid w:val="0"/>
        <w:spacing w:before="201" w:line="360" w:lineRule="auto"/>
        <w:ind w:left="15" w:right="91" w:firstLine="486"/>
        <w:textAlignment w:val="baseline"/>
        <w:rPr>
          <w:sz w:val="24"/>
          <w:szCs w:val="24"/>
          <w:highlight w:val="none"/>
        </w:rPr>
      </w:pPr>
      <w:r>
        <w:rPr>
          <w:spacing w:val="-2"/>
          <w:sz w:val="24"/>
          <w:szCs w:val="24"/>
          <w:highlight w:val="none"/>
        </w:rPr>
        <w:t>2.</w:t>
      </w:r>
      <w:r>
        <w:rPr>
          <w:rFonts w:hint="eastAsia"/>
          <w:spacing w:val="-4"/>
          <w:sz w:val="24"/>
          <w:szCs w:val="24"/>
          <w:highlight w:val="none"/>
          <w:u w:val="single"/>
          <w:lang w:val="en-US" w:eastAsia="zh-CN"/>
        </w:rPr>
        <w:t xml:space="preserve">       </w:t>
      </w:r>
      <w:r>
        <w:rPr>
          <w:spacing w:val="-2"/>
          <w:sz w:val="24"/>
          <w:szCs w:val="24"/>
          <w:highlight w:val="none"/>
          <w:u w:val="single" w:color="auto"/>
        </w:rPr>
        <w:t>（标的名称</w:t>
      </w:r>
      <w:r>
        <w:rPr>
          <w:spacing w:val="-14"/>
          <w:sz w:val="24"/>
          <w:szCs w:val="24"/>
          <w:highlight w:val="none"/>
          <w:u w:val="single" w:color="auto"/>
        </w:rPr>
        <w:t>）</w:t>
      </w:r>
      <w:r>
        <w:rPr>
          <w:spacing w:val="-14"/>
          <w:sz w:val="24"/>
          <w:szCs w:val="24"/>
          <w:highlight w:val="none"/>
        </w:rPr>
        <w:t>，</w:t>
      </w:r>
      <w:r>
        <w:rPr>
          <w:spacing w:val="-2"/>
          <w:sz w:val="24"/>
          <w:szCs w:val="24"/>
          <w:highlight w:val="none"/>
        </w:rPr>
        <w:t>属于</w:t>
      </w:r>
      <w:r>
        <w:rPr>
          <w:rFonts w:hint="eastAsia"/>
          <w:spacing w:val="-4"/>
          <w:sz w:val="24"/>
          <w:szCs w:val="24"/>
          <w:highlight w:val="none"/>
          <w:u w:val="single"/>
          <w:lang w:val="en-US" w:eastAsia="zh-CN"/>
        </w:rPr>
        <w:t xml:space="preserve">       </w:t>
      </w:r>
      <w:r>
        <w:rPr>
          <w:spacing w:val="-2"/>
          <w:sz w:val="24"/>
          <w:szCs w:val="24"/>
          <w:highlight w:val="none"/>
          <w:u w:val="single" w:color="auto"/>
        </w:rPr>
        <w:t>（采购文件中明确的所属行业）</w:t>
      </w:r>
      <w:r>
        <w:rPr>
          <w:spacing w:val="-2"/>
          <w:sz w:val="24"/>
          <w:szCs w:val="24"/>
          <w:highlight w:val="none"/>
        </w:rPr>
        <w:t>行业；制造商为</w:t>
      </w:r>
      <w:r>
        <w:rPr>
          <w:rFonts w:hint="eastAsia"/>
          <w:spacing w:val="-4"/>
          <w:sz w:val="24"/>
          <w:szCs w:val="24"/>
          <w:highlight w:val="none"/>
          <w:u w:val="single"/>
          <w:lang w:val="en-US" w:eastAsia="zh-CN"/>
        </w:rPr>
        <w:t xml:space="preserve">       </w:t>
      </w:r>
      <w:r>
        <w:rPr>
          <w:spacing w:val="-2"/>
          <w:sz w:val="24"/>
          <w:szCs w:val="24"/>
          <w:highlight w:val="none"/>
          <w:u w:val="single" w:color="auto"/>
        </w:rPr>
        <w:t>（企业名</w:t>
      </w:r>
      <w:r>
        <w:rPr>
          <w:spacing w:val="-3"/>
          <w:sz w:val="24"/>
          <w:szCs w:val="24"/>
          <w:highlight w:val="none"/>
          <w:u w:val="single" w:color="auto"/>
        </w:rPr>
        <w:t>称</w:t>
      </w:r>
      <w:r>
        <w:rPr>
          <w:spacing w:val="-6"/>
          <w:sz w:val="24"/>
          <w:szCs w:val="24"/>
          <w:highlight w:val="none"/>
          <w:u w:val="single" w:color="auto"/>
        </w:rPr>
        <w:t>）</w:t>
      </w:r>
      <w:r>
        <w:rPr>
          <w:spacing w:val="-6"/>
          <w:sz w:val="24"/>
          <w:szCs w:val="24"/>
          <w:highlight w:val="none"/>
        </w:rPr>
        <w:t>，</w:t>
      </w:r>
      <w:r>
        <w:rPr>
          <w:spacing w:val="-3"/>
          <w:sz w:val="24"/>
          <w:szCs w:val="24"/>
          <w:highlight w:val="none"/>
        </w:rPr>
        <w:t>从业人员</w:t>
      </w:r>
      <w:r>
        <w:rPr>
          <w:rFonts w:hint="eastAsia"/>
          <w:spacing w:val="-4"/>
          <w:sz w:val="24"/>
          <w:szCs w:val="24"/>
          <w:highlight w:val="none"/>
          <w:u w:val="single"/>
          <w:lang w:val="en-US" w:eastAsia="zh-CN"/>
        </w:rPr>
        <w:t xml:space="preserve">       </w:t>
      </w:r>
      <w:r>
        <w:rPr>
          <w:spacing w:val="-3"/>
          <w:sz w:val="24"/>
          <w:szCs w:val="24"/>
          <w:highlight w:val="none"/>
        </w:rPr>
        <w:t>人，营业收入为</w:t>
      </w:r>
      <w:r>
        <w:rPr>
          <w:rFonts w:hint="eastAsia"/>
          <w:spacing w:val="-4"/>
          <w:sz w:val="24"/>
          <w:szCs w:val="24"/>
          <w:highlight w:val="none"/>
          <w:u w:val="single"/>
          <w:lang w:val="en-US" w:eastAsia="zh-CN"/>
        </w:rPr>
        <w:t xml:space="preserve">       </w:t>
      </w:r>
      <w:r>
        <w:rPr>
          <w:spacing w:val="-3"/>
          <w:sz w:val="24"/>
          <w:szCs w:val="24"/>
          <w:highlight w:val="none"/>
        </w:rPr>
        <w:t>万元，资产总额为</w:t>
      </w:r>
      <w:r>
        <w:rPr>
          <w:rFonts w:hint="eastAsia"/>
          <w:spacing w:val="-4"/>
          <w:sz w:val="24"/>
          <w:szCs w:val="24"/>
          <w:highlight w:val="none"/>
          <w:u w:val="single"/>
          <w:lang w:val="en-US" w:eastAsia="zh-CN"/>
        </w:rPr>
        <w:t xml:space="preserve">       </w:t>
      </w:r>
      <w:r>
        <w:rPr>
          <w:spacing w:val="-3"/>
          <w:sz w:val="24"/>
          <w:szCs w:val="24"/>
          <w:highlight w:val="none"/>
        </w:rPr>
        <w:t>万元，属于</w:t>
      </w:r>
      <w:r>
        <w:rPr>
          <w:rFonts w:hint="eastAsia"/>
          <w:spacing w:val="-4"/>
          <w:sz w:val="24"/>
          <w:szCs w:val="24"/>
          <w:highlight w:val="none"/>
          <w:u w:val="single"/>
          <w:lang w:val="en-US" w:eastAsia="zh-CN"/>
        </w:rPr>
        <w:t xml:space="preserve">       </w:t>
      </w:r>
      <w:r>
        <w:rPr>
          <w:spacing w:val="-3"/>
          <w:sz w:val="24"/>
          <w:szCs w:val="24"/>
          <w:highlight w:val="none"/>
          <w:u w:val="single" w:color="auto"/>
        </w:rPr>
        <w:t>（中型</w:t>
      </w:r>
      <w:r>
        <w:rPr>
          <w:spacing w:val="-2"/>
          <w:sz w:val="24"/>
          <w:szCs w:val="24"/>
          <w:highlight w:val="none"/>
          <w:u w:val="single" w:color="auto"/>
        </w:rPr>
        <w:t>企业、小型企业、微型企业</w:t>
      </w:r>
      <w:r>
        <w:rPr>
          <w:spacing w:val="1"/>
          <w:sz w:val="24"/>
          <w:szCs w:val="24"/>
          <w:highlight w:val="none"/>
          <w:u w:val="single" w:color="auto"/>
        </w:rPr>
        <w:t>）</w:t>
      </w:r>
      <w:r>
        <w:rPr>
          <w:spacing w:val="1"/>
          <w:sz w:val="24"/>
          <w:szCs w:val="24"/>
          <w:highlight w:val="none"/>
        </w:rPr>
        <w:t>；</w:t>
      </w:r>
    </w:p>
    <w:p w14:paraId="27E40E64">
      <w:pPr>
        <w:pStyle w:val="2"/>
        <w:keepNext w:val="0"/>
        <w:keepLines w:val="0"/>
        <w:pageBreakBefore w:val="0"/>
        <w:widowControl/>
        <w:kinsoku/>
        <w:wordWrap w:val="0"/>
        <w:overflowPunct/>
        <w:topLinePunct w:val="0"/>
        <w:autoSpaceDE/>
        <w:autoSpaceDN/>
        <w:bidi w:val="0"/>
        <w:adjustRightInd w:val="0"/>
        <w:snapToGrid w:val="0"/>
        <w:spacing w:before="228" w:line="360" w:lineRule="auto"/>
        <w:ind w:left="528"/>
        <w:textAlignment w:val="baseline"/>
        <w:rPr>
          <w:sz w:val="24"/>
          <w:szCs w:val="24"/>
          <w:highlight w:val="none"/>
        </w:rPr>
      </w:pPr>
      <w:r>
        <w:rPr>
          <w:spacing w:val="-13"/>
          <w:position w:val="3"/>
          <w:sz w:val="24"/>
          <w:szCs w:val="24"/>
          <w:highlight w:val="none"/>
        </w:rPr>
        <w:t>……</w:t>
      </w:r>
    </w:p>
    <w:p w14:paraId="300CB9EC">
      <w:pPr>
        <w:pStyle w:val="2"/>
        <w:keepNext w:val="0"/>
        <w:keepLines w:val="0"/>
        <w:pageBreakBefore w:val="0"/>
        <w:widowControl/>
        <w:kinsoku/>
        <w:wordWrap w:val="0"/>
        <w:overflowPunct/>
        <w:topLinePunct w:val="0"/>
        <w:autoSpaceDE/>
        <w:autoSpaceDN/>
        <w:bidi w:val="0"/>
        <w:adjustRightInd w:val="0"/>
        <w:snapToGrid w:val="0"/>
        <w:spacing w:before="1" w:line="360" w:lineRule="auto"/>
        <w:ind w:left="15" w:right="91" w:firstLine="536"/>
        <w:textAlignment w:val="baseline"/>
        <w:rPr>
          <w:sz w:val="24"/>
          <w:szCs w:val="24"/>
          <w:highlight w:val="none"/>
        </w:rPr>
      </w:pPr>
      <w:r>
        <w:rPr>
          <w:spacing w:val="-2"/>
          <w:sz w:val="24"/>
          <w:szCs w:val="24"/>
          <w:highlight w:val="none"/>
        </w:rPr>
        <w:t>以上企业，不属于大企业的分支机构，不存在控股股东为大企业的情形，也不存在与大企</w:t>
      </w:r>
      <w:r>
        <w:rPr>
          <w:sz w:val="24"/>
          <w:szCs w:val="24"/>
          <w:highlight w:val="none"/>
        </w:rPr>
        <w:t>业的负责人为同一人的情形。本企业对上述声明</w:t>
      </w:r>
      <w:r>
        <w:rPr>
          <w:spacing w:val="-1"/>
          <w:sz w:val="24"/>
          <w:szCs w:val="24"/>
          <w:highlight w:val="none"/>
        </w:rPr>
        <w:t>内容的真实性负责。如有虚假，将依法承担相</w:t>
      </w:r>
      <w:r>
        <w:rPr>
          <w:spacing w:val="-4"/>
          <w:sz w:val="24"/>
          <w:szCs w:val="24"/>
          <w:highlight w:val="none"/>
        </w:rPr>
        <w:t>应责任。</w:t>
      </w:r>
    </w:p>
    <w:p w14:paraId="29D96E95">
      <w:pPr>
        <w:pStyle w:val="2"/>
        <w:keepNext w:val="0"/>
        <w:keepLines w:val="0"/>
        <w:pageBreakBefore w:val="0"/>
        <w:widowControl/>
        <w:kinsoku/>
        <w:wordWrap w:val="0"/>
        <w:overflowPunct/>
        <w:topLinePunct w:val="0"/>
        <w:autoSpaceDE/>
        <w:autoSpaceDN/>
        <w:bidi w:val="0"/>
        <w:adjustRightInd w:val="0"/>
        <w:snapToGrid w:val="0"/>
        <w:spacing w:before="2" w:line="360" w:lineRule="auto"/>
        <w:ind w:left="3668"/>
        <w:textAlignment w:val="baseline"/>
        <w:rPr>
          <w:rFonts w:hint="eastAsia" w:eastAsia="宋体"/>
          <w:sz w:val="24"/>
          <w:szCs w:val="24"/>
          <w:highlight w:val="none"/>
          <w:lang w:eastAsia="zh-CN"/>
        </w:rPr>
      </w:pPr>
      <w:r>
        <w:rPr>
          <w:spacing w:val="-4"/>
          <w:sz w:val="24"/>
          <w:szCs w:val="24"/>
          <w:highlight w:val="none"/>
        </w:rPr>
        <w:t>企业名称（盖章）:</w:t>
      </w:r>
      <w:r>
        <w:rPr>
          <w:rFonts w:hint="eastAsia"/>
          <w:spacing w:val="-4"/>
          <w:sz w:val="24"/>
          <w:szCs w:val="24"/>
          <w:highlight w:val="none"/>
          <w:u w:val="single"/>
          <w:lang w:val="en-US" w:eastAsia="zh-CN"/>
        </w:rPr>
        <w:t xml:space="preserve">                     </w:t>
      </w:r>
    </w:p>
    <w:p w14:paraId="7813ECB8">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5061"/>
        <w:textAlignment w:val="baseline"/>
        <w:rPr>
          <w:sz w:val="24"/>
          <w:szCs w:val="24"/>
          <w:highlight w:val="none"/>
        </w:rPr>
      </w:pPr>
      <w:r>
        <w:rPr>
          <w:spacing w:val="-20"/>
          <w:sz w:val="24"/>
          <w:szCs w:val="24"/>
          <w:highlight w:val="none"/>
        </w:rPr>
        <w:t>日期：</w:t>
      </w:r>
      <w:r>
        <w:rPr>
          <w:rFonts w:hint="eastAsia"/>
          <w:spacing w:val="-4"/>
          <w:sz w:val="24"/>
          <w:szCs w:val="24"/>
          <w:highlight w:val="none"/>
          <w:u w:val="single"/>
          <w:lang w:val="en-US" w:eastAsia="zh-CN"/>
        </w:rPr>
        <w:t xml:space="preserve">       </w:t>
      </w:r>
      <w:r>
        <w:rPr>
          <w:spacing w:val="-20"/>
          <w:sz w:val="24"/>
          <w:szCs w:val="24"/>
          <w:highlight w:val="none"/>
        </w:rPr>
        <w:t>年</w:t>
      </w:r>
      <w:r>
        <w:rPr>
          <w:rFonts w:hint="eastAsia"/>
          <w:spacing w:val="-4"/>
          <w:sz w:val="24"/>
          <w:szCs w:val="24"/>
          <w:highlight w:val="none"/>
          <w:u w:val="single"/>
          <w:lang w:val="en-US" w:eastAsia="zh-CN"/>
        </w:rPr>
        <w:t xml:space="preserve">       </w:t>
      </w:r>
      <w:r>
        <w:rPr>
          <w:spacing w:val="-20"/>
          <w:sz w:val="24"/>
          <w:szCs w:val="24"/>
          <w:highlight w:val="none"/>
        </w:rPr>
        <w:t>月</w:t>
      </w:r>
      <w:r>
        <w:rPr>
          <w:rFonts w:hint="eastAsia"/>
          <w:spacing w:val="-4"/>
          <w:sz w:val="24"/>
          <w:szCs w:val="24"/>
          <w:highlight w:val="none"/>
          <w:u w:val="single"/>
          <w:lang w:val="en-US" w:eastAsia="zh-CN"/>
        </w:rPr>
        <w:t xml:space="preserve">       </w:t>
      </w:r>
      <w:r>
        <w:rPr>
          <w:spacing w:val="-20"/>
          <w:sz w:val="24"/>
          <w:szCs w:val="24"/>
          <w:highlight w:val="none"/>
        </w:rPr>
        <w:t>日</w:t>
      </w:r>
    </w:p>
    <w:p w14:paraId="4BC25301">
      <w:pPr>
        <w:pStyle w:val="2"/>
        <w:keepNext w:val="0"/>
        <w:keepLines w:val="0"/>
        <w:pageBreakBefore w:val="0"/>
        <w:widowControl/>
        <w:tabs>
          <w:tab w:val="left" w:pos="9460"/>
        </w:tabs>
        <w:kinsoku/>
        <w:wordWrap w:val="0"/>
        <w:overflowPunct/>
        <w:topLinePunct w:val="0"/>
        <w:autoSpaceDE/>
        <w:autoSpaceDN/>
        <w:bidi w:val="0"/>
        <w:adjustRightInd w:val="0"/>
        <w:snapToGrid w:val="0"/>
        <w:spacing w:before="151" w:line="360" w:lineRule="auto"/>
        <w:ind w:left="25" w:right="-48" w:rightChars="0" w:hanging="1"/>
        <w:textAlignment w:val="baseline"/>
        <w:rPr>
          <w:sz w:val="24"/>
          <w:szCs w:val="24"/>
          <w:highlight w:val="none"/>
        </w:rPr>
      </w:pPr>
      <w:r>
        <w:rPr>
          <w:spacing w:val="-2"/>
          <w:sz w:val="24"/>
          <w:szCs w:val="24"/>
          <w:highlight w:val="none"/>
        </w:rPr>
        <w:t>备注：从业人员、营业收入、资产总额填报</w:t>
      </w:r>
      <w:r>
        <w:rPr>
          <w:spacing w:val="-3"/>
          <w:sz w:val="24"/>
          <w:szCs w:val="24"/>
          <w:highlight w:val="none"/>
        </w:rPr>
        <w:t>上一年度数据，无上一年度数据的新成立企业</w:t>
      </w:r>
      <w:r>
        <w:rPr>
          <w:spacing w:val="-8"/>
          <w:sz w:val="24"/>
          <w:szCs w:val="24"/>
          <w:highlight w:val="none"/>
        </w:rPr>
        <w:t>可不填报。</w:t>
      </w:r>
    </w:p>
    <w:p w14:paraId="1CB9FF4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1E97EF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4A2F2F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8"/>
          <w:sz w:val="19"/>
          <w:szCs w:val="19"/>
          <w:highlight w:val="none"/>
        </w:rPr>
      </w:pPr>
      <w:r>
        <w:rPr>
          <w:b/>
          <w:bCs/>
          <w:spacing w:val="8"/>
          <w:sz w:val="19"/>
          <w:szCs w:val="19"/>
          <w:highlight w:val="none"/>
        </w:rPr>
        <w:br w:type="page"/>
      </w:r>
    </w:p>
    <w:p w14:paraId="3F800E3C">
      <w:pPr>
        <w:pStyle w:val="6"/>
        <w:bidi w:val="0"/>
      </w:pPr>
      <w:bookmarkStart w:id="325" w:name="_Toc18361"/>
      <w:bookmarkStart w:id="326" w:name="_Toc17942"/>
      <w:bookmarkStart w:id="327" w:name="_Toc29123"/>
      <w:r>
        <w:t>附件7-2残疾人福利性单位声明函</w:t>
      </w:r>
      <w:bookmarkEnd w:id="325"/>
      <w:bookmarkEnd w:id="326"/>
      <w:bookmarkEnd w:id="327"/>
    </w:p>
    <w:p w14:paraId="3E26046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AF3315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177AD65">
      <w:pPr>
        <w:pStyle w:val="2"/>
        <w:keepNext w:val="0"/>
        <w:keepLines w:val="0"/>
        <w:pageBreakBefore w:val="0"/>
        <w:widowControl/>
        <w:kinsoku/>
        <w:wordWrap w:val="0"/>
        <w:overflowPunct/>
        <w:topLinePunct w:val="0"/>
        <w:autoSpaceDE/>
        <w:autoSpaceDN/>
        <w:bidi w:val="0"/>
        <w:adjustRightInd w:val="0"/>
        <w:snapToGrid w:val="0"/>
        <w:spacing w:before="91" w:line="360" w:lineRule="auto"/>
        <w:ind w:left="3370"/>
        <w:textAlignment w:val="baseline"/>
        <w:rPr>
          <w:sz w:val="28"/>
          <w:szCs w:val="28"/>
          <w:highlight w:val="none"/>
        </w:rPr>
      </w:pPr>
      <w:bookmarkStart w:id="328" w:name="bookmark51"/>
      <w:bookmarkEnd w:id="328"/>
      <w:r>
        <w:rPr>
          <w:b/>
          <w:bCs/>
          <w:spacing w:val="4"/>
          <w:sz w:val="28"/>
          <w:szCs w:val="28"/>
          <w:highlight w:val="none"/>
        </w:rPr>
        <w:t>残疾人福利性单位声明函</w:t>
      </w:r>
    </w:p>
    <w:p w14:paraId="0EECB5E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D6EC15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795330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73D10EA">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5" w:right="24" w:firstLine="505"/>
        <w:textAlignment w:val="baseline"/>
        <w:rPr>
          <w:sz w:val="24"/>
          <w:szCs w:val="24"/>
          <w:highlight w:val="none"/>
        </w:rPr>
      </w:pPr>
      <w:r>
        <w:rPr>
          <w:spacing w:val="8"/>
          <w:sz w:val="24"/>
          <w:szCs w:val="24"/>
          <w:highlight w:val="none"/>
        </w:rPr>
        <w:t>本单位郑重声明，根据《财政部民政部中国残疾人联合会关于促进残疾人就业</w:t>
      </w:r>
      <w:r>
        <w:rPr>
          <w:spacing w:val="7"/>
          <w:sz w:val="24"/>
          <w:szCs w:val="24"/>
          <w:highlight w:val="none"/>
        </w:rPr>
        <w:t>政府</w:t>
      </w:r>
      <w:r>
        <w:rPr>
          <w:spacing w:val="-4"/>
          <w:sz w:val="24"/>
          <w:szCs w:val="24"/>
          <w:highlight w:val="none"/>
        </w:rPr>
        <w:t>采购政策的通知》（财库〔2017〕141号）的规定，本单位</w:t>
      </w:r>
      <w:r>
        <w:rPr>
          <w:b/>
          <w:bCs/>
          <w:spacing w:val="-4"/>
          <w:sz w:val="24"/>
          <w:szCs w:val="24"/>
          <w:highlight w:val="none"/>
        </w:rPr>
        <w:t>（请进行勾选打“√”)</w:t>
      </w:r>
      <w:r>
        <w:rPr>
          <w:spacing w:val="-4"/>
          <w:sz w:val="24"/>
          <w:szCs w:val="24"/>
          <w:highlight w:val="none"/>
        </w:rPr>
        <w:t>:</w:t>
      </w:r>
    </w:p>
    <w:p w14:paraId="2A5C84A8">
      <w:pPr>
        <w:pStyle w:val="2"/>
        <w:keepNext w:val="0"/>
        <w:keepLines w:val="0"/>
        <w:pageBreakBefore w:val="0"/>
        <w:widowControl/>
        <w:kinsoku/>
        <w:wordWrap w:val="0"/>
        <w:overflowPunct/>
        <w:topLinePunct w:val="0"/>
        <w:autoSpaceDE/>
        <w:autoSpaceDN/>
        <w:bidi w:val="0"/>
        <w:adjustRightInd w:val="0"/>
        <w:snapToGrid w:val="0"/>
        <w:spacing w:line="360" w:lineRule="auto"/>
        <w:ind w:left="532"/>
        <w:textAlignment w:val="baseline"/>
        <w:rPr>
          <w:sz w:val="24"/>
          <w:szCs w:val="24"/>
          <w:highlight w:val="none"/>
        </w:rPr>
      </w:pPr>
      <w:r>
        <w:rPr>
          <w:rFonts w:ascii="Wingdings" w:hAnsi="Wingdings" w:eastAsia="Wingdings" w:cs="Wingdings"/>
          <w:spacing w:val="3"/>
          <w:position w:val="2"/>
          <w:highlight w:val="none"/>
        </w:rPr>
        <w:t>o</w:t>
      </w:r>
      <w:r>
        <w:rPr>
          <w:b/>
          <w:bCs/>
          <w:spacing w:val="3"/>
          <w:position w:val="2"/>
          <w:sz w:val="24"/>
          <w:szCs w:val="24"/>
          <w:highlight w:val="none"/>
        </w:rPr>
        <w:t>不属于符合条件的残疾人福利性单位。</w:t>
      </w:r>
    </w:p>
    <w:p w14:paraId="5D49E314">
      <w:pPr>
        <w:pStyle w:val="2"/>
        <w:keepNext w:val="0"/>
        <w:keepLines w:val="0"/>
        <w:pageBreakBefore w:val="0"/>
        <w:widowControl/>
        <w:kinsoku/>
        <w:wordWrap w:val="0"/>
        <w:overflowPunct/>
        <w:topLinePunct w:val="0"/>
        <w:autoSpaceDE/>
        <w:autoSpaceDN/>
        <w:bidi w:val="0"/>
        <w:adjustRightInd w:val="0"/>
        <w:snapToGrid w:val="0"/>
        <w:spacing w:before="205" w:line="360" w:lineRule="auto"/>
        <w:ind w:left="16" w:right="24" w:firstLine="515"/>
        <w:textAlignment w:val="baseline"/>
        <w:rPr>
          <w:sz w:val="24"/>
          <w:szCs w:val="24"/>
          <w:highlight w:val="none"/>
        </w:rPr>
      </w:pPr>
      <w:r>
        <w:rPr>
          <w:rFonts w:ascii="Wingdings" w:hAnsi="Wingdings" w:eastAsia="Wingdings" w:cs="Wingdings"/>
          <w:spacing w:val="5"/>
          <w:highlight w:val="none"/>
        </w:rPr>
        <w:t>o</w:t>
      </w:r>
      <w:r>
        <w:rPr>
          <w:b/>
          <w:bCs/>
          <w:spacing w:val="5"/>
          <w:sz w:val="24"/>
          <w:szCs w:val="24"/>
          <w:highlight w:val="none"/>
        </w:rPr>
        <w:t>属于符合条件的残疾人福利性单位，</w:t>
      </w:r>
      <w:r>
        <w:rPr>
          <w:spacing w:val="5"/>
          <w:sz w:val="24"/>
          <w:szCs w:val="24"/>
          <w:highlight w:val="none"/>
        </w:rPr>
        <w:t>且本单位参加</w:t>
      </w:r>
      <w:r>
        <w:rPr>
          <w:rFonts w:hint="eastAsia"/>
          <w:spacing w:val="-4"/>
          <w:sz w:val="24"/>
          <w:szCs w:val="24"/>
          <w:highlight w:val="none"/>
          <w:u w:val="single"/>
          <w:lang w:val="en-US" w:eastAsia="zh-CN"/>
        </w:rPr>
        <w:t xml:space="preserve">       </w:t>
      </w:r>
      <w:r>
        <w:rPr>
          <w:spacing w:val="5"/>
          <w:sz w:val="24"/>
          <w:szCs w:val="24"/>
          <w:highlight w:val="none"/>
        </w:rPr>
        <w:t>单位的</w:t>
      </w:r>
      <w:r>
        <w:rPr>
          <w:rFonts w:hint="eastAsia"/>
          <w:spacing w:val="-4"/>
          <w:sz w:val="24"/>
          <w:szCs w:val="24"/>
          <w:highlight w:val="none"/>
          <w:u w:val="single"/>
          <w:lang w:val="en-US" w:eastAsia="zh-CN"/>
        </w:rPr>
        <w:t xml:space="preserve">       </w:t>
      </w:r>
      <w:r>
        <w:rPr>
          <w:spacing w:val="5"/>
          <w:sz w:val="24"/>
          <w:szCs w:val="24"/>
          <w:highlight w:val="none"/>
        </w:rPr>
        <w:t>项目采购活</w:t>
      </w:r>
      <w:r>
        <w:rPr>
          <w:spacing w:val="9"/>
          <w:sz w:val="24"/>
          <w:szCs w:val="24"/>
          <w:highlight w:val="none"/>
        </w:rPr>
        <w:t>动提供本单位制造的货物（由本单位承担工程/提供服务</w:t>
      </w:r>
      <w:r>
        <w:rPr>
          <w:spacing w:val="1"/>
          <w:sz w:val="24"/>
          <w:szCs w:val="24"/>
          <w:highlight w:val="none"/>
        </w:rPr>
        <w:t>），</w:t>
      </w:r>
      <w:r>
        <w:rPr>
          <w:spacing w:val="9"/>
          <w:sz w:val="24"/>
          <w:szCs w:val="24"/>
          <w:highlight w:val="none"/>
        </w:rPr>
        <w:t>或者提供其他残疾</w:t>
      </w:r>
      <w:r>
        <w:rPr>
          <w:spacing w:val="8"/>
          <w:sz w:val="24"/>
          <w:szCs w:val="24"/>
          <w:highlight w:val="none"/>
        </w:rPr>
        <w:t>人福利性单</w:t>
      </w:r>
      <w:r>
        <w:rPr>
          <w:spacing w:val="10"/>
          <w:sz w:val="24"/>
          <w:szCs w:val="24"/>
          <w:highlight w:val="none"/>
        </w:rPr>
        <w:t>位制造的货物（不包括使用非残疾人福利性单位注册商标的货物）。</w:t>
      </w:r>
    </w:p>
    <w:p w14:paraId="5566657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13D4F36">
      <w:pPr>
        <w:pStyle w:val="2"/>
        <w:keepNext w:val="0"/>
        <w:keepLines w:val="0"/>
        <w:pageBreakBefore w:val="0"/>
        <w:widowControl/>
        <w:kinsoku/>
        <w:wordWrap w:val="0"/>
        <w:overflowPunct/>
        <w:topLinePunct w:val="0"/>
        <w:autoSpaceDE/>
        <w:autoSpaceDN/>
        <w:bidi w:val="0"/>
        <w:adjustRightInd w:val="0"/>
        <w:snapToGrid w:val="0"/>
        <w:spacing w:before="205" w:line="360" w:lineRule="auto"/>
        <w:ind w:left="16" w:right="24" w:firstLine="515"/>
        <w:textAlignment w:val="baseline"/>
        <w:rPr>
          <w:rFonts w:ascii="宋体" w:hAnsi="宋体" w:eastAsia="宋体" w:cs="宋体"/>
          <w:b/>
          <w:bCs/>
          <w:spacing w:val="5"/>
          <w:sz w:val="24"/>
          <w:szCs w:val="24"/>
          <w:highlight w:val="none"/>
        </w:rPr>
      </w:pPr>
      <w:r>
        <w:rPr>
          <w:rFonts w:ascii="宋体" w:hAnsi="宋体" w:eastAsia="宋体" w:cs="宋体"/>
          <w:b/>
          <w:bCs/>
          <w:spacing w:val="5"/>
          <w:sz w:val="24"/>
          <w:szCs w:val="24"/>
          <w:highlight w:val="none"/>
        </w:rPr>
        <w:t>本单位对上述声明的真实性负责。如有虚假，将依法承担相应责任。</w:t>
      </w:r>
    </w:p>
    <w:p w14:paraId="732CC98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F4E7E4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151B28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3CA94B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49DEFB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8749D9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86635E2">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44"/>
        <w:textAlignment w:val="baseline"/>
        <w:rPr>
          <w:rFonts w:hint="eastAsia" w:eastAsia="宋体"/>
          <w:sz w:val="24"/>
          <w:szCs w:val="24"/>
          <w:highlight w:val="none"/>
          <w:lang w:eastAsia="zh-CN"/>
        </w:rPr>
      </w:pPr>
      <w:r>
        <w:rPr>
          <w:spacing w:val="8"/>
          <w:sz w:val="24"/>
          <w:szCs w:val="24"/>
          <w:highlight w:val="none"/>
        </w:rPr>
        <w:t>投标供应商名称（盖单位公章</w:t>
      </w:r>
      <w:r>
        <w:rPr>
          <w:spacing w:val="-8"/>
          <w:sz w:val="24"/>
          <w:szCs w:val="24"/>
          <w:highlight w:val="none"/>
        </w:rPr>
        <w:t>）：</w:t>
      </w:r>
      <w:r>
        <w:rPr>
          <w:rFonts w:hint="eastAsia"/>
          <w:spacing w:val="-4"/>
          <w:sz w:val="24"/>
          <w:szCs w:val="24"/>
          <w:highlight w:val="none"/>
          <w:u w:val="single"/>
          <w:lang w:val="en-US" w:eastAsia="zh-CN"/>
        </w:rPr>
        <w:t xml:space="preserve">              </w:t>
      </w:r>
    </w:p>
    <w:p w14:paraId="056740BF">
      <w:pPr>
        <w:pStyle w:val="2"/>
        <w:keepNext w:val="0"/>
        <w:keepLines w:val="0"/>
        <w:pageBreakBefore w:val="0"/>
        <w:widowControl/>
        <w:kinsoku/>
        <w:wordWrap w:val="0"/>
        <w:overflowPunct/>
        <w:topLinePunct w:val="0"/>
        <w:autoSpaceDE/>
        <w:autoSpaceDN/>
        <w:bidi w:val="0"/>
        <w:adjustRightInd w:val="0"/>
        <w:snapToGrid w:val="0"/>
        <w:spacing w:before="107" w:line="360" w:lineRule="auto"/>
        <w:ind w:left="4898"/>
        <w:textAlignment w:val="baseline"/>
        <w:rPr>
          <w:sz w:val="24"/>
          <w:szCs w:val="24"/>
          <w:highlight w:val="none"/>
        </w:rPr>
      </w:pPr>
      <w:r>
        <w:rPr>
          <w:spacing w:val="-19"/>
          <w:sz w:val="24"/>
          <w:szCs w:val="24"/>
          <w:highlight w:val="none"/>
        </w:rPr>
        <w:t>日期：</w:t>
      </w:r>
      <w:r>
        <w:rPr>
          <w:rFonts w:hint="eastAsia"/>
          <w:spacing w:val="-4"/>
          <w:sz w:val="24"/>
          <w:szCs w:val="24"/>
          <w:highlight w:val="none"/>
          <w:u w:val="single"/>
          <w:lang w:val="en-US" w:eastAsia="zh-CN"/>
        </w:rPr>
        <w:t xml:space="preserve">       </w:t>
      </w:r>
      <w:r>
        <w:rPr>
          <w:spacing w:val="-19"/>
          <w:sz w:val="24"/>
          <w:szCs w:val="24"/>
          <w:highlight w:val="none"/>
        </w:rPr>
        <w:t>年</w:t>
      </w:r>
      <w:r>
        <w:rPr>
          <w:rFonts w:hint="eastAsia"/>
          <w:spacing w:val="-4"/>
          <w:sz w:val="24"/>
          <w:szCs w:val="24"/>
          <w:highlight w:val="none"/>
          <w:u w:val="single"/>
          <w:lang w:val="en-US" w:eastAsia="zh-CN"/>
        </w:rPr>
        <w:t xml:space="preserve">       </w:t>
      </w:r>
      <w:r>
        <w:rPr>
          <w:spacing w:val="-19"/>
          <w:sz w:val="24"/>
          <w:szCs w:val="24"/>
          <w:highlight w:val="none"/>
        </w:rPr>
        <w:t>月</w:t>
      </w:r>
      <w:r>
        <w:rPr>
          <w:rFonts w:hint="eastAsia"/>
          <w:spacing w:val="-4"/>
          <w:sz w:val="24"/>
          <w:szCs w:val="24"/>
          <w:highlight w:val="none"/>
          <w:u w:val="single"/>
          <w:lang w:val="en-US" w:eastAsia="zh-CN"/>
        </w:rPr>
        <w:t xml:space="preserve">       </w:t>
      </w:r>
      <w:r>
        <w:rPr>
          <w:spacing w:val="-19"/>
          <w:sz w:val="24"/>
          <w:szCs w:val="24"/>
          <w:highlight w:val="none"/>
        </w:rPr>
        <w:t>日</w:t>
      </w:r>
    </w:p>
    <w:p w14:paraId="2AF22B2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6D2FE2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F72D50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7"/>
          <w:sz w:val="19"/>
          <w:szCs w:val="19"/>
          <w:highlight w:val="none"/>
        </w:rPr>
      </w:pPr>
      <w:r>
        <w:rPr>
          <w:b/>
          <w:bCs/>
          <w:spacing w:val="7"/>
          <w:sz w:val="19"/>
          <w:szCs w:val="19"/>
          <w:highlight w:val="none"/>
        </w:rPr>
        <w:br w:type="page"/>
      </w:r>
    </w:p>
    <w:p w14:paraId="6165DC52">
      <w:pPr>
        <w:pStyle w:val="6"/>
        <w:bidi w:val="0"/>
      </w:pPr>
      <w:bookmarkStart w:id="329" w:name="_Toc13381"/>
      <w:bookmarkStart w:id="330" w:name="_Toc14089"/>
      <w:bookmarkStart w:id="331" w:name="_Toc3613"/>
      <w:r>
        <w:t>附件7-3监狱企业证明资料</w:t>
      </w:r>
      <w:bookmarkEnd w:id="329"/>
      <w:bookmarkEnd w:id="330"/>
      <w:bookmarkEnd w:id="331"/>
    </w:p>
    <w:p w14:paraId="568E095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A9F23F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72A8C8B">
      <w:pPr>
        <w:pStyle w:val="2"/>
        <w:keepNext w:val="0"/>
        <w:keepLines w:val="0"/>
        <w:pageBreakBefore w:val="0"/>
        <w:widowControl/>
        <w:kinsoku/>
        <w:wordWrap w:val="0"/>
        <w:overflowPunct/>
        <w:topLinePunct w:val="0"/>
        <w:autoSpaceDE/>
        <w:autoSpaceDN/>
        <w:bidi w:val="0"/>
        <w:adjustRightInd w:val="0"/>
        <w:snapToGrid w:val="0"/>
        <w:spacing w:before="91" w:line="360" w:lineRule="auto"/>
        <w:ind w:left="3859"/>
        <w:textAlignment w:val="baseline"/>
        <w:rPr>
          <w:sz w:val="28"/>
          <w:szCs w:val="28"/>
          <w:highlight w:val="none"/>
        </w:rPr>
      </w:pPr>
      <w:bookmarkStart w:id="332" w:name="bookmark52"/>
      <w:bookmarkEnd w:id="332"/>
      <w:r>
        <w:rPr>
          <w:b/>
          <w:bCs/>
          <w:spacing w:val="-7"/>
          <w:sz w:val="28"/>
          <w:szCs w:val="28"/>
          <w:highlight w:val="none"/>
        </w:rPr>
        <w:t>监狱企业证明资料</w:t>
      </w:r>
    </w:p>
    <w:p w14:paraId="6D7037C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FC8BC3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E88DAD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6F72833">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9" w:right="76" w:firstLine="500"/>
        <w:textAlignment w:val="baseline"/>
        <w:rPr>
          <w:sz w:val="24"/>
          <w:szCs w:val="24"/>
          <w:highlight w:val="none"/>
        </w:rPr>
      </w:pPr>
      <w:r>
        <w:rPr>
          <w:spacing w:val="-3"/>
          <w:sz w:val="24"/>
          <w:szCs w:val="24"/>
          <w:highlight w:val="none"/>
        </w:rPr>
        <w:t>根据财库[2014]68号《财政部司法部关于政府采购支持监狱企业发展有关问题的通知》，</w:t>
      </w:r>
      <w:r>
        <w:rPr>
          <w:spacing w:val="-6"/>
          <w:sz w:val="24"/>
          <w:szCs w:val="24"/>
          <w:highlight w:val="none"/>
        </w:rPr>
        <w:t>监狱企业视同小微企业。本单位参加（采购单位）的项目采</w:t>
      </w:r>
      <w:r>
        <w:rPr>
          <w:spacing w:val="-7"/>
          <w:sz w:val="24"/>
          <w:szCs w:val="24"/>
          <w:highlight w:val="none"/>
        </w:rPr>
        <w:t>购活动</w:t>
      </w:r>
      <w:r>
        <w:rPr>
          <w:b/>
          <w:bCs/>
          <w:spacing w:val="-7"/>
          <w:sz w:val="24"/>
          <w:szCs w:val="24"/>
          <w:highlight w:val="none"/>
        </w:rPr>
        <w:t>（请进行勾选打“√”)</w:t>
      </w:r>
      <w:r>
        <w:rPr>
          <w:spacing w:val="-7"/>
          <w:sz w:val="24"/>
          <w:szCs w:val="24"/>
          <w:highlight w:val="none"/>
        </w:rPr>
        <w:t>:</w:t>
      </w:r>
    </w:p>
    <w:p w14:paraId="39635868">
      <w:pPr>
        <w:pStyle w:val="2"/>
        <w:keepNext w:val="0"/>
        <w:keepLines w:val="0"/>
        <w:pageBreakBefore w:val="0"/>
        <w:widowControl/>
        <w:kinsoku/>
        <w:wordWrap w:val="0"/>
        <w:overflowPunct/>
        <w:topLinePunct w:val="0"/>
        <w:autoSpaceDE/>
        <w:autoSpaceDN/>
        <w:bidi w:val="0"/>
        <w:adjustRightInd w:val="0"/>
        <w:snapToGrid w:val="0"/>
        <w:spacing w:line="360" w:lineRule="auto"/>
        <w:ind w:left="693"/>
        <w:textAlignment w:val="baseline"/>
        <w:rPr>
          <w:sz w:val="24"/>
          <w:szCs w:val="24"/>
          <w:highlight w:val="none"/>
        </w:rPr>
      </w:pPr>
      <w:r>
        <w:rPr>
          <w:rFonts w:ascii="Wingdings" w:hAnsi="Wingdings" w:eastAsia="Wingdings" w:cs="Wingdings"/>
          <w:spacing w:val="3"/>
          <w:position w:val="2"/>
          <w:highlight w:val="none"/>
        </w:rPr>
        <w:t>o</w:t>
      </w:r>
      <w:r>
        <w:rPr>
          <w:b/>
          <w:bCs/>
          <w:spacing w:val="3"/>
          <w:position w:val="2"/>
          <w:sz w:val="24"/>
          <w:szCs w:val="24"/>
          <w:highlight w:val="none"/>
        </w:rPr>
        <w:t>不属于符合条件的监狱企业单位。</w:t>
      </w:r>
    </w:p>
    <w:p w14:paraId="4CD99343">
      <w:pPr>
        <w:pStyle w:val="2"/>
        <w:keepNext w:val="0"/>
        <w:keepLines w:val="0"/>
        <w:pageBreakBefore w:val="0"/>
        <w:widowControl/>
        <w:kinsoku/>
        <w:wordWrap w:val="0"/>
        <w:overflowPunct/>
        <w:topLinePunct w:val="0"/>
        <w:autoSpaceDE/>
        <w:autoSpaceDN/>
        <w:bidi w:val="0"/>
        <w:adjustRightInd w:val="0"/>
        <w:snapToGrid w:val="0"/>
        <w:spacing w:before="21" w:line="360" w:lineRule="auto"/>
        <w:ind w:left="25" w:right="24" w:firstLine="668"/>
        <w:textAlignment w:val="baseline"/>
        <w:rPr>
          <w:sz w:val="24"/>
          <w:szCs w:val="24"/>
          <w:highlight w:val="none"/>
        </w:rPr>
      </w:pPr>
      <w:r>
        <w:rPr>
          <w:rFonts w:ascii="Wingdings" w:hAnsi="Wingdings" w:eastAsia="Wingdings" w:cs="Wingdings"/>
          <w:spacing w:val="1"/>
          <w:highlight w:val="none"/>
        </w:rPr>
        <w:t>o</w:t>
      </w:r>
      <w:r>
        <w:rPr>
          <w:b/>
          <w:bCs/>
          <w:spacing w:val="1"/>
          <w:sz w:val="24"/>
          <w:szCs w:val="24"/>
          <w:highlight w:val="none"/>
        </w:rPr>
        <w:t>属于符合条件的监狱企业单位，</w:t>
      </w:r>
      <w:r>
        <w:rPr>
          <w:spacing w:val="1"/>
          <w:sz w:val="24"/>
          <w:szCs w:val="24"/>
          <w:highlight w:val="none"/>
        </w:rPr>
        <w:t>按《财政部</w:t>
      </w:r>
      <w:r>
        <w:rPr>
          <w:sz w:val="24"/>
          <w:szCs w:val="24"/>
          <w:highlight w:val="none"/>
        </w:rPr>
        <w:t>司法部关于政府采购支持监狱企业发展有</w:t>
      </w:r>
      <w:r>
        <w:rPr>
          <w:spacing w:val="-3"/>
          <w:sz w:val="24"/>
          <w:szCs w:val="24"/>
          <w:highlight w:val="none"/>
        </w:rPr>
        <w:t>关问题的通知》(财库〔2014〕68号)文件规定提供证明文件，</w:t>
      </w:r>
      <w:r>
        <w:rPr>
          <w:b/>
          <w:bCs/>
          <w:spacing w:val="-3"/>
          <w:sz w:val="24"/>
          <w:szCs w:val="24"/>
          <w:highlight w:val="none"/>
        </w:rPr>
        <w:t>证明文件提供如下：</w:t>
      </w:r>
    </w:p>
    <w:p w14:paraId="19B8A35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05D748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606D5D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14D40E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C94177A">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523"/>
        <w:textAlignment w:val="baseline"/>
        <w:rPr>
          <w:sz w:val="24"/>
          <w:szCs w:val="24"/>
          <w:highlight w:val="none"/>
        </w:rPr>
      </w:pPr>
      <w:r>
        <w:rPr>
          <w:b/>
          <w:bCs/>
          <w:spacing w:val="6"/>
          <w:sz w:val="24"/>
          <w:szCs w:val="24"/>
          <w:highlight w:val="none"/>
        </w:rPr>
        <w:t>本单位对上述声明的真实性负责。如有虚假，将依法承担相应责任。</w:t>
      </w:r>
    </w:p>
    <w:p w14:paraId="7B8AB71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C1287F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240ADE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F8463D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B83EA5B">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544"/>
        <w:textAlignment w:val="baseline"/>
        <w:rPr>
          <w:rFonts w:hint="eastAsia" w:eastAsia="宋体"/>
          <w:sz w:val="24"/>
          <w:szCs w:val="24"/>
          <w:highlight w:val="none"/>
          <w:lang w:eastAsia="zh-CN"/>
        </w:rPr>
      </w:pPr>
      <w:r>
        <w:rPr>
          <w:spacing w:val="8"/>
          <w:sz w:val="24"/>
          <w:szCs w:val="24"/>
          <w:highlight w:val="none"/>
        </w:rPr>
        <w:t>投标供应商名称（盖单位公章</w:t>
      </w:r>
      <w:r>
        <w:rPr>
          <w:spacing w:val="-8"/>
          <w:sz w:val="24"/>
          <w:szCs w:val="24"/>
          <w:highlight w:val="none"/>
        </w:rPr>
        <w:t>）：</w:t>
      </w:r>
      <w:r>
        <w:rPr>
          <w:rFonts w:hint="eastAsia"/>
          <w:spacing w:val="-4"/>
          <w:sz w:val="24"/>
          <w:szCs w:val="24"/>
          <w:highlight w:val="none"/>
          <w:u w:val="single"/>
          <w:lang w:val="en-US" w:eastAsia="zh-CN"/>
        </w:rPr>
        <w:t xml:space="preserve">              </w:t>
      </w:r>
    </w:p>
    <w:p w14:paraId="1023D5EE">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142"/>
        <w:textAlignment w:val="baseline"/>
        <w:rPr>
          <w:rFonts w:ascii="宋体" w:hAnsi="宋体" w:eastAsia="宋体" w:cs="宋体"/>
          <w:b w:val="0"/>
          <w:bCs w:val="0"/>
          <w:spacing w:val="-5"/>
          <w:sz w:val="24"/>
          <w:szCs w:val="24"/>
          <w:highlight w:val="none"/>
        </w:rPr>
      </w:pPr>
      <w:r>
        <w:rPr>
          <w:rFonts w:ascii="宋体" w:hAnsi="宋体" w:eastAsia="宋体" w:cs="宋体"/>
          <w:b w:val="0"/>
          <w:bCs w:val="0"/>
          <w:spacing w:val="-5"/>
          <w:sz w:val="24"/>
          <w:szCs w:val="24"/>
          <w:highlight w:val="none"/>
        </w:rPr>
        <w:t>日期：</w:t>
      </w:r>
      <w:r>
        <w:rPr>
          <w:rFonts w:hint="eastAsia"/>
          <w:b w:val="0"/>
          <w:bCs w:val="0"/>
          <w:spacing w:val="-4"/>
          <w:sz w:val="24"/>
          <w:szCs w:val="24"/>
          <w:highlight w:val="none"/>
          <w:u w:val="single"/>
          <w:lang w:val="en-US" w:eastAsia="zh-CN"/>
        </w:rPr>
        <w:t xml:space="preserve">    </w:t>
      </w:r>
      <w:r>
        <w:rPr>
          <w:rFonts w:ascii="宋体" w:hAnsi="宋体" w:eastAsia="宋体" w:cs="宋体"/>
          <w:b w:val="0"/>
          <w:bCs w:val="0"/>
          <w:spacing w:val="-5"/>
          <w:sz w:val="24"/>
          <w:szCs w:val="24"/>
          <w:highlight w:val="none"/>
        </w:rPr>
        <w:t>年</w:t>
      </w:r>
      <w:r>
        <w:rPr>
          <w:rFonts w:hint="eastAsia"/>
          <w:b w:val="0"/>
          <w:bCs w:val="0"/>
          <w:spacing w:val="-4"/>
          <w:sz w:val="24"/>
          <w:szCs w:val="24"/>
          <w:highlight w:val="none"/>
          <w:u w:val="single"/>
          <w:lang w:val="en-US" w:eastAsia="zh-CN"/>
        </w:rPr>
        <w:t xml:space="preserve">    </w:t>
      </w:r>
      <w:r>
        <w:rPr>
          <w:rFonts w:ascii="宋体" w:hAnsi="宋体" w:eastAsia="宋体" w:cs="宋体"/>
          <w:b w:val="0"/>
          <w:bCs w:val="0"/>
          <w:spacing w:val="-5"/>
          <w:sz w:val="24"/>
          <w:szCs w:val="24"/>
          <w:highlight w:val="none"/>
        </w:rPr>
        <w:t>月</w:t>
      </w:r>
      <w:r>
        <w:rPr>
          <w:rFonts w:hint="eastAsia"/>
          <w:b w:val="0"/>
          <w:bCs w:val="0"/>
          <w:spacing w:val="-4"/>
          <w:sz w:val="24"/>
          <w:szCs w:val="24"/>
          <w:highlight w:val="none"/>
          <w:u w:val="single"/>
          <w:lang w:val="en-US" w:eastAsia="zh-CN"/>
        </w:rPr>
        <w:t xml:space="preserve">    </w:t>
      </w:r>
      <w:r>
        <w:rPr>
          <w:rFonts w:ascii="宋体" w:hAnsi="宋体" w:eastAsia="宋体" w:cs="宋体"/>
          <w:b w:val="0"/>
          <w:bCs w:val="0"/>
          <w:spacing w:val="-5"/>
          <w:sz w:val="24"/>
          <w:szCs w:val="24"/>
          <w:highlight w:val="none"/>
        </w:rPr>
        <w:t>日</w:t>
      </w:r>
    </w:p>
    <w:p w14:paraId="7080642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0"/>
          <w:sz w:val="19"/>
          <w:szCs w:val="19"/>
          <w:highlight w:val="none"/>
        </w:rPr>
      </w:pPr>
      <w:r>
        <w:rPr>
          <w:b/>
          <w:bCs/>
          <w:spacing w:val="10"/>
          <w:sz w:val="19"/>
          <w:szCs w:val="19"/>
          <w:highlight w:val="none"/>
        </w:rPr>
        <w:br w:type="page"/>
      </w:r>
    </w:p>
    <w:p w14:paraId="6555BF51">
      <w:pPr>
        <w:pStyle w:val="6"/>
        <w:bidi w:val="0"/>
      </w:pPr>
      <w:bookmarkStart w:id="333" w:name="_Toc14331"/>
      <w:bookmarkStart w:id="334" w:name="_Toc15350"/>
      <w:bookmarkStart w:id="335" w:name="_Toc264"/>
      <w:r>
        <w:t>附件7-4强制采购或者优先采购产品的证明材料</w:t>
      </w:r>
      <w:bookmarkEnd w:id="333"/>
      <w:bookmarkEnd w:id="334"/>
      <w:bookmarkEnd w:id="335"/>
    </w:p>
    <w:p w14:paraId="6756931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8D97D3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5D7A43F">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2709"/>
        <w:textAlignment w:val="baseline"/>
        <w:rPr>
          <w:rFonts w:ascii="宋体" w:hAnsi="宋体" w:eastAsia="宋体" w:cs="宋体"/>
          <w:b/>
          <w:bCs/>
          <w:spacing w:val="22"/>
          <w:sz w:val="28"/>
          <w:szCs w:val="28"/>
          <w:highlight w:val="none"/>
        </w:rPr>
      </w:pPr>
      <w:bookmarkStart w:id="336" w:name="bookmark53"/>
      <w:bookmarkEnd w:id="336"/>
      <w:r>
        <w:rPr>
          <w:rFonts w:ascii="宋体" w:hAnsi="宋体" w:eastAsia="宋体" w:cs="宋体"/>
          <w:b/>
          <w:bCs/>
          <w:spacing w:val="22"/>
          <w:sz w:val="28"/>
          <w:szCs w:val="28"/>
          <w:highlight w:val="none"/>
        </w:rPr>
        <w:t>强制采购或者优先采购产品的证明材料</w:t>
      </w:r>
    </w:p>
    <w:p w14:paraId="0E9CB3DD">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2709"/>
        <w:textAlignment w:val="baseline"/>
        <w:rPr>
          <w:sz w:val="19"/>
          <w:szCs w:val="19"/>
          <w:highlight w:val="none"/>
        </w:rPr>
      </w:pPr>
      <w:r>
        <w:rPr>
          <w:b/>
          <w:bCs/>
          <w:spacing w:val="22"/>
          <w:sz w:val="19"/>
          <w:szCs w:val="19"/>
          <w:highlight w:val="none"/>
        </w:rPr>
        <w:t>(不属于强制采购或者优先采购产品的无需提供)</w:t>
      </w:r>
    </w:p>
    <w:p w14:paraId="75B347B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DD770E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EBF3451">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63" w:firstLine="433"/>
        <w:textAlignment w:val="baseline"/>
        <w:rPr>
          <w:sz w:val="24"/>
          <w:szCs w:val="24"/>
          <w:highlight w:val="none"/>
        </w:rPr>
      </w:pPr>
      <w:r>
        <w:rPr>
          <w:spacing w:val="-3"/>
          <w:sz w:val="24"/>
          <w:szCs w:val="24"/>
          <w:highlight w:val="none"/>
        </w:rPr>
        <w:t>注：投标供应商提供的产品属于强制采购或者优先采购的，应按第二章第34款规定提供证</w:t>
      </w:r>
      <w:r>
        <w:rPr>
          <w:spacing w:val="-5"/>
          <w:sz w:val="24"/>
          <w:szCs w:val="24"/>
          <w:highlight w:val="none"/>
        </w:rPr>
        <w:t>明材料和本章本节附页1“优先采购产品清单”，并加盖投</w:t>
      </w:r>
      <w:r>
        <w:rPr>
          <w:spacing w:val="-6"/>
          <w:sz w:val="24"/>
          <w:szCs w:val="24"/>
          <w:highlight w:val="none"/>
        </w:rPr>
        <w:t>标供应商单位章。</w:t>
      </w:r>
    </w:p>
    <w:p w14:paraId="07F1D6C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A486AE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FFBD24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6"/>
          <w:sz w:val="19"/>
          <w:szCs w:val="19"/>
          <w:highlight w:val="none"/>
        </w:rPr>
      </w:pPr>
      <w:r>
        <w:rPr>
          <w:b/>
          <w:bCs/>
          <w:spacing w:val="6"/>
          <w:sz w:val="19"/>
          <w:szCs w:val="19"/>
          <w:highlight w:val="none"/>
        </w:rPr>
        <w:br w:type="page"/>
      </w:r>
    </w:p>
    <w:p w14:paraId="00A0E7B2">
      <w:pPr>
        <w:pStyle w:val="6"/>
        <w:bidi w:val="0"/>
      </w:pPr>
      <w:bookmarkStart w:id="337" w:name="_Toc32037"/>
      <w:bookmarkStart w:id="338" w:name="_Toc30076"/>
      <w:bookmarkStart w:id="339" w:name="_Toc24814"/>
      <w:r>
        <w:t>附页1优先采购产品清单</w:t>
      </w:r>
      <w:bookmarkEnd w:id="337"/>
      <w:bookmarkEnd w:id="338"/>
      <w:bookmarkEnd w:id="339"/>
    </w:p>
    <w:p w14:paraId="61A7E79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F121D8B">
      <w:pPr>
        <w:pStyle w:val="2"/>
        <w:keepNext w:val="0"/>
        <w:keepLines w:val="0"/>
        <w:pageBreakBefore w:val="0"/>
        <w:widowControl/>
        <w:kinsoku/>
        <w:wordWrap w:val="0"/>
        <w:overflowPunct/>
        <w:topLinePunct w:val="0"/>
        <w:autoSpaceDE/>
        <w:autoSpaceDN/>
        <w:bidi w:val="0"/>
        <w:adjustRightInd w:val="0"/>
        <w:snapToGrid w:val="0"/>
        <w:spacing w:before="91" w:line="360" w:lineRule="auto"/>
        <w:ind w:left="3979"/>
        <w:textAlignment w:val="baseline"/>
        <w:outlineLvl w:val="2"/>
        <w:rPr>
          <w:sz w:val="28"/>
          <w:szCs w:val="28"/>
          <w:highlight w:val="none"/>
        </w:rPr>
      </w:pPr>
      <w:bookmarkStart w:id="340" w:name="bookmark54"/>
      <w:bookmarkEnd w:id="340"/>
      <w:bookmarkStart w:id="341" w:name="_Toc22878"/>
      <w:bookmarkStart w:id="342" w:name="_Toc26069"/>
      <w:bookmarkStart w:id="343" w:name="_Toc7970"/>
      <w:r>
        <w:rPr>
          <w:b/>
          <w:bCs/>
          <w:spacing w:val="-7"/>
          <w:sz w:val="28"/>
          <w:szCs w:val="28"/>
          <w:highlight w:val="none"/>
        </w:rPr>
        <w:t>优先采购产品清单</w:t>
      </w:r>
      <w:bookmarkEnd w:id="341"/>
      <w:bookmarkEnd w:id="342"/>
      <w:bookmarkEnd w:id="343"/>
    </w:p>
    <w:p w14:paraId="48909F22">
      <w:pPr>
        <w:pStyle w:val="2"/>
        <w:keepNext w:val="0"/>
        <w:keepLines w:val="0"/>
        <w:pageBreakBefore w:val="0"/>
        <w:widowControl/>
        <w:kinsoku/>
        <w:wordWrap w:val="0"/>
        <w:overflowPunct/>
        <w:topLinePunct w:val="0"/>
        <w:autoSpaceDE/>
        <w:autoSpaceDN/>
        <w:bidi w:val="0"/>
        <w:adjustRightInd w:val="0"/>
        <w:snapToGrid w:val="0"/>
        <w:spacing w:before="206" w:line="360" w:lineRule="auto"/>
        <w:ind w:left="137"/>
        <w:textAlignment w:val="baseline"/>
        <w:rPr>
          <w:highlight w:val="none"/>
        </w:rPr>
      </w:pPr>
      <w:r>
        <w:rPr>
          <w:spacing w:val="-2"/>
          <w:sz w:val="24"/>
          <w:szCs w:val="24"/>
          <w:highlight w:val="none"/>
        </w:rPr>
        <w:t>政府采购编号：</w:t>
      </w:r>
      <w:r>
        <w:rPr>
          <w:rFonts w:hint="eastAsia"/>
          <w:spacing w:val="-4"/>
          <w:sz w:val="24"/>
          <w:szCs w:val="24"/>
          <w:highlight w:val="none"/>
          <w:u w:val="single"/>
          <w:lang w:val="en-US" w:eastAsia="zh-CN"/>
        </w:rPr>
        <w:t xml:space="preserve">              </w:t>
      </w:r>
      <w:r>
        <w:rPr>
          <w:rFonts w:hint="eastAsia"/>
          <w:spacing w:val="-2"/>
          <w:sz w:val="24"/>
          <w:szCs w:val="24"/>
          <w:highlight w:val="none"/>
          <w:lang w:val="en-US" w:eastAsia="zh-CN"/>
        </w:rPr>
        <w:t xml:space="preserve">                </w:t>
      </w:r>
      <w:r>
        <w:rPr>
          <w:spacing w:val="-2"/>
          <w:sz w:val="24"/>
          <w:szCs w:val="24"/>
          <w:highlight w:val="none"/>
        </w:rPr>
        <w:t>项目名称：</w:t>
      </w:r>
      <w:r>
        <w:rPr>
          <w:rFonts w:hint="eastAsia"/>
          <w:spacing w:val="-4"/>
          <w:sz w:val="24"/>
          <w:szCs w:val="24"/>
          <w:highlight w:val="none"/>
          <w:u w:val="single"/>
          <w:lang w:val="en-US" w:eastAsia="zh-CN"/>
        </w:rPr>
        <w:t xml:space="preserve">              </w:t>
      </w:r>
    </w:p>
    <w:tbl>
      <w:tblPr>
        <w:tblStyle w:val="20"/>
        <w:tblW w:w="98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1825"/>
        <w:gridCol w:w="1498"/>
        <w:gridCol w:w="1475"/>
        <w:gridCol w:w="2217"/>
        <w:gridCol w:w="1833"/>
      </w:tblGrid>
      <w:tr w14:paraId="2CF3E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9864" w:type="dxa"/>
            <w:gridSpan w:val="6"/>
            <w:vAlign w:val="top"/>
          </w:tcPr>
          <w:p w14:paraId="05E1E15C">
            <w:pPr>
              <w:pStyle w:val="21"/>
              <w:keepNext w:val="0"/>
              <w:keepLines w:val="0"/>
              <w:pageBreakBefore w:val="0"/>
              <w:widowControl/>
              <w:kinsoku/>
              <w:wordWrap w:val="0"/>
              <w:overflowPunct/>
              <w:topLinePunct w:val="0"/>
              <w:autoSpaceDE/>
              <w:autoSpaceDN/>
              <w:bidi w:val="0"/>
              <w:adjustRightInd w:val="0"/>
              <w:snapToGrid w:val="0"/>
              <w:spacing w:before="95" w:line="360" w:lineRule="auto"/>
              <w:ind w:left="134" w:right="202" w:firstLine="532"/>
              <w:textAlignment w:val="baseline"/>
              <w:rPr>
                <w:highlight w:val="none"/>
              </w:rPr>
            </w:pPr>
            <w:r>
              <w:rPr>
                <w:spacing w:val="-2"/>
                <w:highlight w:val="none"/>
              </w:rPr>
              <w:t>以下为投标供应商提供的政府采购优先采购产品，投标供应商对本表的真实性负责。如有虚假，将依法承担相应责任。</w:t>
            </w:r>
          </w:p>
        </w:tc>
      </w:tr>
      <w:tr w14:paraId="5D5BD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6" w:type="dxa"/>
            <w:vAlign w:val="top"/>
          </w:tcPr>
          <w:p w14:paraId="0CDE4C36">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501"/>
              <w:textAlignment w:val="baseline"/>
              <w:rPr>
                <w:highlight w:val="none"/>
              </w:rPr>
            </w:pPr>
            <w:r>
              <w:rPr>
                <w:highlight w:val="none"/>
              </w:rPr>
              <w:t>1</w:t>
            </w:r>
          </w:p>
        </w:tc>
        <w:tc>
          <w:tcPr>
            <w:tcW w:w="1825" w:type="dxa"/>
            <w:vAlign w:val="top"/>
          </w:tcPr>
          <w:p w14:paraId="0F440665">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872"/>
              <w:textAlignment w:val="baseline"/>
              <w:rPr>
                <w:highlight w:val="none"/>
              </w:rPr>
            </w:pPr>
            <w:r>
              <w:rPr>
                <w:highlight w:val="none"/>
              </w:rPr>
              <w:t>2</w:t>
            </w:r>
          </w:p>
        </w:tc>
        <w:tc>
          <w:tcPr>
            <w:tcW w:w="1498" w:type="dxa"/>
            <w:vAlign w:val="top"/>
          </w:tcPr>
          <w:p w14:paraId="600754C6">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712"/>
              <w:textAlignment w:val="baseline"/>
              <w:rPr>
                <w:highlight w:val="none"/>
              </w:rPr>
            </w:pPr>
            <w:r>
              <w:rPr>
                <w:highlight w:val="none"/>
              </w:rPr>
              <w:t>3</w:t>
            </w:r>
          </w:p>
        </w:tc>
        <w:tc>
          <w:tcPr>
            <w:tcW w:w="1475" w:type="dxa"/>
            <w:vAlign w:val="top"/>
          </w:tcPr>
          <w:p w14:paraId="3BCF5841">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689"/>
              <w:textAlignment w:val="baseline"/>
              <w:rPr>
                <w:highlight w:val="none"/>
              </w:rPr>
            </w:pPr>
            <w:r>
              <w:rPr>
                <w:highlight w:val="none"/>
              </w:rPr>
              <w:t>4</w:t>
            </w:r>
          </w:p>
        </w:tc>
        <w:tc>
          <w:tcPr>
            <w:tcW w:w="2217" w:type="dxa"/>
            <w:vAlign w:val="top"/>
          </w:tcPr>
          <w:p w14:paraId="12BAC147">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1075"/>
              <w:textAlignment w:val="baseline"/>
              <w:rPr>
                <w:highlight w:val="none"/>
              </w:rPr>
            </w:pPr>
            <w:r>
              <w:rPr>
                <w:highlight w:val="none"/>
              </w:rPr>
              <w:t>5</w:t>
            </w:r>
          </w:p>
        </w:tc>
        <w:tc>
          <w:tcPr>
            <w:tcW w:w="1833" w:type="dxa"/>
            <w:vAlign w:val="top"/>
          </w:tcPr>
          <w:p w14:paraId="24CADF2A">
            <w:pPr>
              <w:pStyle w:val="21"/>
              <w:keepNext w:val="0"/>
              <w:keepLines w:val="0"/>
              <w:pageBreakBefore w:val="0"/>
              <w:widowControl/>
              <w:kinsoku/>
              <w:wordWrap w:val="0"/>
              <w:overflowPunct/>
              <w:topLinePunct w:val="0"/>
              <w:autoSpaceDE/>
              <w:autoSpaceDN/>
              <w:bidi w:val="0"/>
              <w:adjustRightInd w:val="0"/>
              <w:snapToGrid w:val="0"/>
              <w:spacing w:before="70" w:line="360" w:lineRule="auto"/>
              <w:ind w:left="1020"/>
              <w:textAlignment w:val="baseline"/>
              <w:rPr>
                <w:highlight w:val="none"/>
              </w:rPr>
            </w:pPr>
            <w:r>
              <w:rPr>
                <w:highlight w:val="none"/>
              </w:rPr>
              <w:t>6</w:t>
            </w:r>
          </w:p>
        </w:tc>
      </w:tr>
      <w:tr w14:paraId="23B03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6" w:type="dxa"/>
            <w:vAlign w:val="top"/>
          </w:tcPr>
          <w:p w14:paraId="4ADFD6C0">
            <w:pPr>
              <w:pStyle w:val="21"/>
              <w:keepNext w:val="0"/>
              <w:keepLines w:val="0"/>
              <w:pageBreakBefore w:val="0"/>
              <w:widowControl/>
              <w:kinsoku/>
              <w:wordWrap w:val="0"/>
              <w:overflowPunct/>
              <w:topLinePunct w:val="0"/>
              <w:autoSpaceDE/>
              <w:autoSpaceDN/>
              <w:bidi w:val="0"/>
              <w:adjustRightInd w:val="0"/>
              <w:snapToGrid w:val="0"/>
              <w:spacing w:before="50" w:line="360" w:lineRule="auto"/>
              <w:ind w:left="286"/>
              <w:textAlignment w:val="baseline"/>
              <w:rPr>
                <w:highlight w:val="none"/>
              </w:rPr>
            </w:pPr>
            <w:r>
              <w:rPr>
                <w:spacing w:val="-5"/>
                <w:highlight w:val="none"/>
              </w:rPr>
              <w:t>序号</w:t>
            </w:r>
          </w:p>
        </w:tc>
        <w:tc>
          <w:tcPr>
            <w:tcW w:w="1825" w:type="dxa"/>
            <w:vAlign w:val="top"/>
          </w:tcPr>
          <w:p w14:paraId="36896BF3">
            <w:pPr>
              <w:pStyle w:val="21"/>
              <w:keepNext w:val="0"/>
              <w:keepLines w:val="0"/>
              <w:pageBreakBefore w:val="0"/>
              <w:widowControl/>
              <w:kinsoku/>
              <w:wordWrap w:val="0"/>
              <w:overflowPunct/>
              <w:topLinePunct w:val="0"/>
              <w:autoSpaceDE/>
              <w:autoSpaceDN/>
              <w:bidi w:val="0"/>
              <w:adjustRightInd w:val="0"/>
              <w:snapToGrid w:val="0"/>
              <w:spacing w:before="50" w:line="360" w:lineRule="auto"/>
              <w:ind w:left="457"/>
              <w:textAlignment w:val="baseline"/>
              <w:rPr>
                <w:highlight w:val="none"/>
              </w:rPr>
            </w:pPr>
            <w:r>
              <w:rPr>
                <w:spacing w:val="-6"/>
                <w:highlight w:val="none"/>
              </w:rPr>
              <w:t>货物名称</w:t>
            </w:r>
          </w:p>
        </w:tc>
        <w:tc>
          <w:tcPr>
            <w:tcW w:w="1498" w:type="dxa"/>
            <w:vAlign w:val="top"/>
          </w:tcPr>
          <w:p w14:paraId="02351879">
            <w:pPr>
              <w:pStyle w:val="21"/>
              <w:keepNext w:val="0"/>
              <w:keepLines w:val="0"/>
              <w:pageBreakBefore w:val="0"/>
              <w:widowControl/>
              <w:kinsoku/>
              <w:wordWrap w:val="0"/>
              <w:overflowPunct/>
              <w:topLinePunct w:val="0"/>
              <w:autoSpaceDE/>
              <w:autoSpaceDN/>
              <w:bidi w:val="0"/>
              <w:adjustRightInd w:val="0"/>
              <w:snapToGrid w:val="0"/>
              <w:spacing w:before="51" w:line="360" w:lineRule="auto"/>
              <w:ind w:left="286"/>
              <w:textAlignment w:val="baseline"/>
              <w:rPr>
                <w:highlight w:val="none"/>
              </w:rPr>
            </w:pPr>
            <w:r>
              <w:rPr>
                <w:spacing w:val="-5"/>
                <w:highlight w:val="none"/>
              </w:rPr>
              <w:t>规格型号</w:t>
            </w:r>
          </w:p>
        </w:tc>
        <w:tc>
          <w:tcPr>
            <w:tcW w:w="1475" w:type="dxa"/>
            <w:vAlign w:val="top"/>
          </w:tcPr>
          <w:p w14:paraId="197065DD">
            <w:pPr>
              <w:pStyle w:val="21"/>
              <w:keepNext w:val="0"/>
              <w:keepLines w:val="0"/>
              <w:pageBreakBefore w:val="0"/>
              <w:widowControl/>
              <w:kinsoku/>
              <w:wordWrap w:val="0"/>
              <w:overflowPunct/>
              <w:topLinePunct w:val="0"/>
              <w:autoSpaceDE/>
              <w:autoSpaceDN/>
              <w:bidi w:val="0"/>
              <w:adjustRightInd w:val="0"/>
              <w:snapToGrid w:val="0"/>
              <w:spacing w:before="48" w:line="360" w:lineRule="auto"/>
              <w:ind w:left="154"/>
              <w:textAlignment w:val="baseline"/>
              <w:rPr>
                <w:highlight w:val="none"/>
              </w:rPr>
            </w:pPr>
            <w:r>
              <w:rPr>
                <w:spacing w:val="-4"/>
                <w:highlight w:val="none"/>
              </w:rPr>
              <w:t>价格（元）</w:t>
            </w:r>
          </w:p>
        </w:tc>
        <w:tc>
          <w:tcPr>
            <w:tcW w:w="2217" w:type="dxa"/>
            <w:vAlign w:val="top"/>
          </w:tcPr>
          <w:p w14:paraId="3447E00C">
            <w:pPr>
              <w:pStyle w:val="21"/>
              <w:keepNext w:val="0"/>
              <w:keepLines w:val="0"/>
              <w:pageBreakBefore w:val="0"/>
              <w:widowControl/>
              <w:kinsoku/>
              <w:wordWrap w:val="0"/>
              <w:overflowPunct/>
              <w:topLinePunct w:val="0"/>
              <w:autoSpaceDE/>
              <w:autoSpaceDN/>
              <w:bidi w:val="0"/>
              <w:adjustRightInd w:val="0"/>
              <w:snapToGrid w:val="0"/>
              <w:spacing w:before="50" w:line="360" w:lineRule="auto"/>
              <w:ind w:left="299"/>
              <w:textAlignment w:val="baseline"/>
              <w:rPr>
                <w:highlight w:val="none"/>
              </w:rPr>
            </w:pPr>
            <w:r>
              <w:rPr>
                <w:spacing w:val="-5"/>
                <w:highlight w:val="none"/>
              </w:rPr>
              <w:t>货物制造商名称</w:t>
            </w:r>
          </w:p>
        </w:tc>
        <w:tc>
          <w:tcPr>
            <w:tcW w:w="1833" w:type="dxa"/>
            <w:vAlign w:val="top"/>
          </w:tcPr>
          <w:p w14:paraId="75AA546C">
            <w:pPr>
              <w:pStyle w:val="21"/>
              <w:keepNext w:val="0"/>
              <w:keepLines w:val="0"/>
              <w:pageBreakBefore w:val="0"/>
              <w:widowControl/>
              <w:kinsoku/>
              <w:wordWrap w:val="0"/>
              <w:overflowPunct/>
              <w:topLinePunct w:val="0"/>
              <w:autoSpaceDE/>
              <w:autoSpaceDN/>
              <w:bidi w:val="0"/>
              <w:adjustRightInd w:val="0"/>
              <w:snapToGrid w:val="0"/>
              <w:spacing w:before="51" w:line="360" w:lineRule="auto"/>
              <w:ind w:left="355"/>
              <w:textAlignment w:val="baseline"/>
              <w:rPr>
                <w:highlight w:val="none"/>
              </w:rPr>
            </w:pPr>
            <w:r>
              <w:rPr>
                <w:spacing w:val="-3"/>
                <w:highlight w:val="none"/>
              </w:rPr>
              <w:t>政策功能编码</w:t>
            </w:r>
          </w:p>
        </w:tc>
      </w:tr>
      <w:tr w14:paraId="74ABC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9864" w:type="dxa"/>
            <w:gridSpan w:val="6"/>
            <w:vAlign w:val="top"/>
          </w:tcPr>
          <w:p w14:paraId="1ECFB1CF">
            <w:pPr>
              <w:pStyle w:val="21"/>
              <w:keepNext w:val="0"/>
              <w:keepLines w:val="0"/>
              <w:pageBreakBefore w:val="0"/>
              <w:widowControl/>
              <w:kinsoku/>
              <w:wordWrap w:val="0"/>
              <w:overflowPunct/>
              <w:topLinePunct w:val="0"/>
              <w:autoSpaceDE/>
              <w:autoSpaceDN/>
              <w:bidi w:val="0"/>
              <w:adjustRightInd w:val="0"/>
              <w:snapToGrid w:val="0"/>
              <w:spacing w:before="52" w:line="360" w:lineRule="auto"/>
              <w:ind w:left="133"/>
              <w:textAlignment w:val="baseline"/>
              <w:rPr>
                <w:highlight w:val="none"/>
              </w:rPr>
            </w:pPr>
            <w:r>
              <w:rPr>
                <w:b/>
                <w:bCs/>
                <w:spacing w:val="-7"/>
                <w:highlight w:val="none"/>
              </w:rPr>
              <w:t>节能产品</w:t>
            </w:r>
          </w:p>
        </w:tc>
      </w:tr>
      <w:tr w14:paraId="70A06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6" w:type="dxa"/>
            <w:vAlign w:val="top"/>
          </w:tcPr>
          <w:p w14:paraId="6142079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25" w:type="dxa"/>
            <w:vAlign w:val="top"/>
          </w:tcPr>
          <w:p w14:paraId="6389213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98" w:type="dxa"/>
            <w:vAlign w:val="top"/>
          </w:tcPr>
          <w:p w14:paraId="561E459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75" w:type="dxa"/>
            <w:vAlign w:val="top"/>
          </w:tcPr>
          <w:p w14:paraId="3FFEE70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17" w:type="dxa"/>
            <w:vAlign w:val="top"/>
          </w:tcPr>
          <w:p w14:paraId="06D6D4B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33" w:type="dxa"/>
            <w:vAlign w:val="top"/>
          </w:tcPr>
          <w:p w14:paraId="25CE6B5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59D4B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016" w:type="dxa"/>
            <w:vAlign w:val="top"/>
          </w:tcPr>
          <w:p w14:paraId="38004096">
            <w:pPr>
              <w:pStyle w:val="21"/>
              <w:keepNext w:val="0"/>
              <w:keepLines w:val="0"/>
              <w:pageBreakBefore w:val="0"/>
              <w:widowControl/>
              <w:kinsoku/>
              <w:wordWrap w:val="0"/>
              <w:overflowPunct/>
              <w:topLinePunct w:val="0"/>
              <w:autoSpaceDE/>
              <w:autoSpaceDN/>
              <w:bidi w:val="0"/>
              <w:adjustRightInd w:val="0"/>
              <w:snapToGrid w:val="0"/>
              <w:spacing w:before="54" w:line="360" w:lineRule="auto"/>
              <w:ind w:left="301"/>
              <w:textAlignment w:val="baseline"/>
              <w:rPr>
                <w:highlight w:val="none"/>
              </w:rPr>
            </w:pPr>
            <w:r>
              <w:rPr>
                <w:spacing w:val="-8"/>
                <w:highlight w:val="none"/>
              </w:rPr>
              <w:t>小计</w:t>
            </w:r>
          </w:p>
        </w:tc>
        <w:tc>
          <w:tcPr>
            <w:tcW w:w="1825" w:type="dxa"/>
            <w:vAlign w:val="top"/>
          </w:tcPr>
          <w:p w14:paraId="4FB3550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98" w:type="dxa"/>
            <w:vAlign w:val="top"/>
          </w:tcPr>
          <w:p w14:paraId="44E5D9C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75" w:type="dxa"/>
            <w:vAlign w:val="top"/>
          </w:tcPr>
          <w:p w14:paraId="43BAA4E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17" w:type="dxa"/>
            <w:vAlign w:val="top"/>
          </w:tcPr>
          <w:p w14:paraId="3D17E8C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33" w:type="dxa"/>
            <w:vAlign w:val="top"/>
          </w:tcPr>
          <w:p w14:paraId="779618D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3A0B8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864" w:type="dxa"/>
            <w:gridSpan w:val="6"/>
            <w:vAlign w:val="top"/>
          </w:tcPr>
          <w:p w14:paraId="4BB3C3BB">
            <w:pPr>
              <w:pStyle w:val="21"/>
              <w:keepNext w:val="0"/>
              <w:keepLines w:val="0"/>
              <w:pageBreakBefore w:val="0"/>
              <w:widowControl/>
              <w:kinsoku/>
              <w:wordWrap w:val="0"/>
              <w:overflowPunct/>
              <w:topLinePunct w:val="0"/>
              <w:autoSpaceDE/>
              <w:autoSpaceDN/>
              <w:bidi w:val="0"/>
              <w:adjustRightInd w:val="0"/>
              <w:snapToGrid w:val="0"/>
              <w:spacing w:before="55" w:line="360" w:lineRule="auto"/>
              <w:ind w:left="133"/>
              <w:textAlignment w:val="baseline"/>
              <w:rPr>
                <w:highlight w:val="none"/>
              </w:rPr>
            </w:pPr>
            <w:r>
              <w:rPr>
                <w:b/>
                <w:bCs/>
                <w:spacing w:val="-7"/>
                <w:highlight w:val="none"/>
              </w:rPr>
              <w:t>环境标志产品</w:t>
            </w:r>
          </w:p>
        </w:tc>
      </w:tr>
      <w:tr w14:paraId="0EED5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6" w:type="dxa"/>
            <w:vAlign w:val="top"/>
          </w:tcPr>
          <w:p w14:paraId="18631E8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25" w:type="dxa"/>
            <w:vAlign w:val="top"/>
          </w:tcPr>
          <w:p w14:paraId="73A7BC0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98" w:type="dxa"/>
            <w:vAlign w:val="top"/>
          </w:tcPr>
          <w:p w14:paraId="2944634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75" w:type="dxa"/>
            <w:vAlign w:val="top"/>
          </w:tcPr>
          <w:p w14:paraId="35F13F2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17" w:type="dxa"/>
            <w:vAlign w:val="top"/>
          </w:tcPr>
          <w:p w14:paraId="1342B6B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33" w:type="dxa"/>
            <w:vAlign w:val="top"/>
          </w:tcPr>
          <w:p w14:paraId="208E569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2DD39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1016" w:type="dxa"/>
            <w:vAlign w:val="top"/>
          </w:tcPr>
          <w:p w14:paraId="04B7BDCD">
            <w:pPr>
              <w:pStyle w:val="21"/>
              <w:keepNext w:val="0"/>
              <w:keepLines w:val="0"/>
              <w:pageBreakBefore w:val="0"/>
              <w:widowControl/>
              <w:kinsoku/>
              <w:wordWrap w:val="0"/>
              <w:overflowPunct/>
              <w:topLinePunct w:val="0"/>
              <w:autoSpaceDE/>
              <w:autoSpaceDN/>
              <w:bidi w:val="0"/>
              <w:adjustRightInd w:val="0"/>
              <w:snapToGrid w:val="0"/>
              <w:spacing w:before="58" w:line="360" w:lineRule="auto"/>
              <w:ind w:left="301"/>
              <w:textAlignment w:val="baseline"/>
              <w:rPr>
                <w:highlight w:val="none"/>
              </w:rPr>
            </w:pPr>
            <w:r>
              <w:rPr>
                <w:spacing w:val="-8"/>
                <w:highlight w:val="none"/>
              </w:rPr>
              <w:t>小计</w:t>
            </w:r>
          </w:p>
        </w:tc>
        <w:tc>
          <w:tcPr>
            <w:tcW w:w="1825" w:type="dxa"/>
            <w:vAlign w:val="top"/>
          </w:tcPr>
          <w:p w14:paraId="067A0E9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98" w:type="dxa"/>
            <w:vAlign w:val="top"/>
          </w:tcPr>
          <w:p w14:paraId="27F087D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475" w:type="dxa"/>
            <w:vAlign w:val="top"/>
          </w:tcPr>
          <w:p w14:paraId="19BCCE8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217" w:type="dxa"/>
            <w:vAlign w:val="top"/>
          </w:tcPr>
          <w:p w14:paraId="679A4D7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833" w:type="dxa"/>
            <w:vAlign w:val="top"/>
          </w:tcPr>
          <w:p w14:paraId="4BB10BF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bl>
    <w:p w14:paraId="2A1F1825">
      <w:pPr>
        <w:pStyle w:val="2"/>
        <w:keepNext w:val="0"/>
        <w:keepLines w:val="0"/>
        <w:pageBreakBefore w:val="0"/>
        <w:widowControl/>
        <w:kinsoku/>
        <w:wordWrap w:val="0"/>
        <w:overflowPunct/>
        <w:topLinePunct w:val="0"/>
        <w:autoSpaceDE/>
        <w:autoSpaceDN/>
        <w:bidi w:val="0"/>
        <w:adjustRightInd w:val="0"/>
        <w:snapToGrid w:val="0"/>
        <w:spacing w:before="72" w:line="360" w:lineRule="auto"/>
        <w:ind w:left="146" w:right="203"/>
        <w:textAlignment w:val="baseline"/>
        <w:rPr>
          <w:sz w:val="24"/>
          <w:szCs w:val="24"/>
          <w:highlight w:val="none"/>
        </w:rPr>
      </w:pPr>
      <w:r>
        <w:rPr>
          <w:spacing w:val="-1"/>
          <w:sz w:val="24"/>
          <w:szCs w:val="24"/>
          <w:highlight w:val="none"/>
        </w:rPr>
        <w:t>说明：1.本表用于计算政府采购优先采购产品（节能产品或环境标志产品）的政府采购政策加</w:t>
      </w:r>
      <w:r>
        <w:rPr>
          <w:spacing w:val="-4"/>
          <w:sz w:val="24"/>
          <w:szCs w:val="24"/>
          <w:highlight w:val="none"/>
        </w:rPr>
        <w:t>分或者价格扣除。</w:t>
      </w:r>
    </w:p>
    <w:p w14:paraId="6DF4A9C5">
      <w:pPr>
        <w:pStyle w:val="2"/>
        <w:keepNext w:val="0"/>
        <w:keepLines w:val="0"/>
        <w:pageBreakBefore w:val="0"/>
        <w:widowControl/>
        <w:kinsoku/>
        <w:wordWrap w:val="0"/>
        <w:overflowPunct/>
        <w:topLinePunct w:val="0"/>
        <w:autoSpaceDE/>
        <w:autoSpaceDN/>
        <w:bidi w:val="0"/>
        <w:adjustRightInd w:val="0"/>
        <w:snapToGrid w:val="0"/>
        <w:spacing w:before="1" w:line="360" w:lineRule="auto"/>
        <w:ind w:left="142" w:right="119" w:firstLine="721"/>
        <w:textAlignment w:val="baseline"/>
        <w:rPr>
          <w:sz w:val="24"/>
          <w:szCs w:val="24"/>
          <w:highlight w:val="none"/>
        </w:rPr>
      </w:pPr>
      <w:r>
        <w:rPr>
          <w:spacing w:val="-3"/>
          <w:sz w:val="24"/>
          <w:szCs w:val="24"/>
          <w:highlight w:val="none"/>
        </w:rPr>
        <w:t>2.栏目4“价格”为综合单价，包含货物所有隐含的内容，如运输费、保险费、管理</w:t>
      </w:r>
      <w:r>
        <w:rPr>
          <w:spacing w:val="-4"/>
          <w:sz w:val="24"/>
          <w:szCs w:val="24"/>
          <w:highlight w:val="none"/>
        </w:rPr>
        <w:t>费和</w:t>
      </w:r>
      <w:r>
        <w:rPr>
          <w:spacing w:val="-5"/>
          <w:sz w:val="24"/>
          <w:szCs w:val="24"/>
          <w:highlight w:val="none"/>
        </w:rPr>
        <w:t>利润等。</w:t>
      </w:r>
    </w:p>
    <w:p w14:paraId="45053467">
      <w:pPr>
        <w:pStyle w:val="2"/>
        <w:keepNext w:val="0"/>
        <w:keepLines w:val="0"/>
        <w:pageBreakBefore w:val="0"/>
        <w:widowControl/>
        <w:kinsoku/>
        <w:wordWrap w:val="0"/>
        <w:overflowPunct/>
        <w:topLinePunct w:val="0"/>
        <w:autoSpaceDE/>
        <w:autoSpaceDN/>
        <w:bidi w:val="0"/>
        <w:adjustRightInd w:val="0"/>
        <w:snapToGrid w:val="0"/>
        <w:spacing w:before="273" w:line="360" w:lineRule="auto"/>
        <w:ind w:left="148" w:right="122" w:firstLine="719"/>
        <w:textAlignment w:val="baseline"/>
        <w:rPr>
          <w:sz w:val="24"/>
          <w:szCs w:val="24"/>
          <w:highlight w:val="none"/>
        </w:rPr>
      </w:pPr>
      <w:r>
        <w:rPr>
          <w:spacing w:val="-3"/>
          <w:sz w:val="24"/>
          <w:szCs w:val="24"/>
          <w:highlight w:val="none"/>
        </w:rPr>
        <w:t>3.栏目6“政策功能编码”是指货物的中国环境标志认证证书编号、</w:t>
      </w:r>
      <w:r>
        <w:rPr>
          <w:spacing w:val="-4"/>
          <w:sz w:val="24"/>
          <w:szCs w:val="24"/>
          <w:highlight w:val="none"/>
        </w:rPr>
        <w:t>中国节能标志认证证</w:t>
      </w:r>
      <w:r>
        <w:rPr>
          <w:spacing w:val="-2"/>
          <w:sz w:val="24"/>
          <w:szCs w:val="24"/>
          <w:highlight w:val="none"/>
        </w:rPr>
        <w:t>书号（货物同时属于节能产品、环境标志产品、只须填写一种）。</w:t>
      </w:r>
    </w:p>
    <w:p w14:paraId="66A92265">
      <w:pPr>
        <w:pStyle w:val="2"/>
        <w:keepNext w:val="0"/>
        <w:keepLines w:val="0"/>
        <w:pageBreakBefore w:val="0"/>
        <w:widowControl/>
        <w:kinsoku/>
        <w:wordWrap w:val="0"/>
        <w:overflowPunct/>
        <w:topLinePunct w:val="0"/>
        <w:autoSpaceDE/>
        <w:autoSpaceDN/>
        <w:bidi w:val="0"/>
        <w:adjustRightInd w:val="0"/>
        <w:snapToGrid w:val="0"/>
        <w:spacing w:before="273" w:line="360" w:lineRule="auto"/>
        <w:ind w:left="142" w:right="112" w:firstLine="715"/>
        <w:textAlignment w:val="baseline"/>
        <w:rPr>
          <w:sz w:val="24"/>
          <w:szCs w:val="24"/>
          <w:highlight w:val="none"/>
        </w:rPr>
      </w:pPr>
      <w:r>
        <w:rPr>
          <w:spacing w:val="-8"/>
          <w:sz w:val="24"/>
          <w:szCs w:val="24"/>
          <w:highlight w:val="none"/>
        </w:rPr>
        <w:t>4.投标供应商在投标截止时间前修改“开标一览表”中的投标报价的，应</w:t>
      </w:r>
      <w:r>
        <w:rPr>
          <w:spacing w:val="-9"/>
          <w:sz w:val="24"/>
          <w:szCs w:val="24"/>
          <w:highlight w:val="none"/>
        </w:rPr>
        <w:t>按第二章第13.7</w:t>
      </w:r>
      <w:r>
        <w:rPr>
          <w:spacing w:val="-1"/>
          <w:sz w:val="24"/>
          <w:szCs w:val="24"/>
          <w:highlight w:val="none"/>
        </w:rPr>
        <w:t>款规定修改本表相应内容。否则，评审时涉及本表所有优惠不予以考虑。</w:t>
      </w:r>
    </w:p>
    <w:p w14:paraId="16A8BF7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699376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CB13566">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146"/>
        <w:textAlignment w:val="baseline"/>
        <w:rPr>
          <w:rFonts w:hint="eastAsia" w:eastAsia="宋体"/>
          <w:sz w:val="24"/>
          <w:szCs w:val="24"/>
          <w:highlight w:val="none"/>
          <w:lang w:eastAsia="zh-CN"/>
        </w:rPr>
      </w:pPr>
      <w:r>
        <w:rPr>
          <w:spacing w:val="-2"/>
          <w:sz w:val="24"/>
          <w:szCs w:val="24"/>
          <w:highlight w:val="none"/>
        </w:rPr>
        <w:t>投标供应商名称（盖单位公章</w:t>
      </w:r>
      <w:r>
        <w:rPr>
          <w:spacing w:val="-3"/>
          <w:sz w:val="24"/>
          <w:szCs w:val="24"/>
          <w:highlight w:val="none"/>
        </w:rPr>
        <w:t>）：</w:t>
      </w:r>
      <w:r>
        <w:rPr>
          <w:rFonts w:hint="eastAsia"/>
          <w:spacing w:val="-4"/>
          <w:sz w:val="24"/>
          <w:szCs w:val="24"/>
          <w:highlight w:val="none"/>
          <w:u w:val="single"/>
          <w:lang w:val="en-US" w:eastAsia="zh-CN"/>
        </w:rPr>
        <w:t xml:space="preserve">              </w:t>
      </w:r>
    </w:p>
    <w:p w14:paraId="7EB88A82">
      <w:pPr>
        <w:pStyle w:val="2"/>
        <w:keepNext w:val="0"/>
        <w:keepLines w:val="0"/>
        <w:pageBreakBefore w:val="0"/>
        <w:widowControl/>
        <w:kinsoku/>
        <w:wordWrap w:val="0"/>
        <w:overflowPunct/>
        <w:topLinePunct w:val="0"/>
        <w:autoSpaceDE/>
        <w:autoSpaceDN/>
        <w:bidi w:val="0"/>
        <w:adjustRightInd w:val="0"/>
        <w:snapToGrid w:val="0"/>
        <w:spacing w:before="183" w:line="360" w:lineRule="auto"/>
        <w:ind w:left="142"/>
        <w:textAlignment w:val="baseline"/>
        <w:rPr>
          <w:rFonts w:hint="eastAsia" w:eastAsia="宋体"/>
          <w:sz w:val="24"/>
          <w:szCs w:val="24"/>
          <w:highlight w:val="none"/>
          <w:lang w:eastAsia="zh-CN"/>
        </w:rPr>
      </w:pPr>
      <w:r>
        <w:rPr>
          <w:spacing w:val="-3"/>
          <w:sz w:val="24"/>
          <w:szCs w:val="24"/>
          <w:highlight w:val="none"/>
        </w:rPr>
        <w:t>法定代表人（单位负责人）或其授权的代理人（签字或印章</w:t>
      </w:r>
      <w:r>
        <w:rPr>
          <w:spacing w:val="14"/>
          <w:sz w:val="24"/>
          <w:szCs w:val="24"/>
          <w:highlight w:val="none"/>
        </w:rPr>
        <w:t>）：</w:t>
      </w:r>
      <w:r>
        <w:rPr>
          <w:rFonts w:hint="eastAsia"/>
          <w:spacing w:val="-4"/>
          <w:sz w:val="24"/>
          <w:szCs w:val="24"/>
          <w:highlight w:val="none"/>
          <w:u w:val="single"/>
          <w:lang w:val="en-US" w:eastAsia="zh-CN"/>
        </w:rPr>
        <w:t xml:space="preserve">              </w:t>
      </w:r>
    </w:p>
    <w:p w14:paraId="57EF1F13">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220"/>
        <w:textAlignment w:val="baseline"/>
        <w:rPr>
          <w:spacing w:val="-19"/>
          <w:sz w:val="24"/>
          <w:szCs w:val="24"/>
          <w:highlight w:val="none"/>
        </w:rPr>
      </w:pPr>
      <w:r>
        <w:rPr>
          <w:spacing w:val="-19"/>
          <w:sz w:val="24"/>
          <w:szCs w:val="24"/>
          <w:highlight w:val="none"/>
        </w:rPr>
        <w:t>日期：</w:t>
      </w:r>
      <w:r>
        <w:rPr>
          <w:rFonts w:hint="eastAsia"/>
          <w:spacing w:val="-4"/>
          <w:sz w:val="24"/>
          <w:szCs w:val="24"/>
          <w:highlight w:val="none"/>
          <w:u w:val="single"/>
          <w:lang w:val="en-US" w:eastAsia="zh-CN"/>
        </w:rPr>
        <w:t xml:space="preserve">       </w:t>
      </w:r>
      <w:r>
        <w:rPr>
          <w:spacing w:val="-19"/>
          <w:sz w:val="24"/>
          <w:szCs w:val="24"/>
          <w:highlight w:val="none"/>
        </w:rPr>
        <w:t>年</w:t>
      </w:r>
      <w:r>
        <w:rPr>
          <w:rFonts w:hint="eastAsia"/>
          <w:spacing w:val="-4"/>
          <w:sz w:val="24"/>
          <w:szCs w:val="24"/>
          <w:highlight w:val="none"/>
          <w:u w:val="single"/>
          <w:lang w:val="en-US" w:eastAsia="zh-CN"/>
        </w:rPr>
        <w:t xml:space="preserve">       </w:t>
      </w:r>
      <w:r>
        <w:rPr>
          <w:spacing w:val="-19"/>
          <w:sz w:val="24"/>
          <w:szCs w:val="24"/>
          <w:highlight w:val="none"/>
        </w:rPr>
        <w:t>月</w:t>
      </w:r>
      <w:r>
        <w:rPr>
          <w:rFonts w:hint="eastAsia"/>
          <w:spacing w:val="-4"/>
          <w:sz w:val="24"/>
          <w:szCs w:val="24"/>
          <w:highlight w:val="none"/>
          <w:u w:val="single"/>
          <w:lang w:val="en-US" w:eastAsia="zh-CN"/>
        </w:rPr>
        <w:t xml:space="preserve">       </w:t>
      </w:r>
      <w:r>
        <w:rPr>
          <w:spacing w:val="-19"/>
          <w:sz w:val="24"/>
          <w:szCs w:val="24"/>
          <w:highlight w:val="none"/>
        </w:rPr>
        <w:t>日</w:t>
      </w:r>
    </w:p>
    <w:p w14:paraId="0B04165C">
      <w:pPr>
        <w:pStyle w:val="6"/>
        <w:bidi w:val="0"/>
        <w:rPr>
          <w:rFonts w:hint="eastAsia" w:eastAsia="宋体"/>
          <w:lang w:val="en-US" w:eastAsia="zh-CN"/>
        </w:rPr>
      </w:pPr>
      <w:bookmarkStart w:id="344" w:name="_Toc8549"/>
      <w:r>
        <w:rPr>
          <w:rFonts w:eastAsia="宋体"/>
        </w:rPr>
        <w:t>附件7-</w:t>
      </w:r>
      <w:r>
        <w:rPr>
          <w:rFonts w:hint="eastAsia" w:eastAsia="宋体"/>
          <w:lang w:val="en-US" w:eastAsia="zh-CN"/>
        </w:rPr>
        <w:t>5关于符合本国产品标准的声明函</w:t>
      </w:r>
      <w:bookmarkEnd w:id="344"/>
    </w:p>
    <w:p w14:paraId="27C294CC">
      <w:pPr>
        <w:keepNext w:val="0"/>
        <w:keepLines w:val="0"/>
        <w:widowControl/>
        <w:suppressLineNumbers w:val="0"/>
        <w:spacing w:before="0" w:beforeAutospacing="0" w:after="0" w:afterAutospacing="0"/>
        <w:ind w:left="0" w:right="0" w:firstLine="0"/>
        <w:jc w:val="center"/>
        <w:rPr>
          <w:rFonts w:hint="default" w:ascii="等线" w:hAnsi="等线" w:eastAsia="等线" w:cs="等线"/>
          <w:b/>
          <w:bCs/>
          <w:i w:val="0"/>
          <w:iCs w:val="0"/>
          <w:caps w:val="0"/>
          <w:color w:val="000000"/>
          <w:spacing w:val="0"/>
          <w:sz w:val="28"/>
          <w:szCs w:val="28"/>
          <w:u w:val="none"/>
          <w:woUserID w:val="1"/>
        </w:rPr>
      </w:pPr>
      <w:r>
        <w:rPr>
          <w:rFonts w:hint="eastAsia" w:ascii="宋体" w:hAnsi="宋体" w:eastAsia="宋体" w:cs="宋体"/>
          <w:b/>
          <w:bCs/>
          <w:i w:val="0"/>
          <w:iCs w:val="0"/>
          <w:caps w:val="0"/>
          <w:color w:val="000000"/>
          <w:spacing w:val="0"/>
          <w:kern w:val="0"/>
          <w:sz w:val="28"/>
          <w:szCs w:val="28"/>
          <w:u w:val="none"/>
          <w:lang w:val="en-US" w:eastAsia="zh-CN" w:bidi="ar"/>
          <w:woUserID w:val="1"/>
        </w:rPr>
        <w:t>关于符合本国产品标准的声明函</w:t>
      </w:r>
    </w:p>
    <w:p w14:paraId="468C3EB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jc w:val="both"/>
        <w:textAlignment w:val="baseline"/>
        <w:rPr>
          <w:rFonts w:hint="eastAsia" w:ascii="宋体" w:hAnsi="宋体" w:eastAsia="宋体" w:cs="宋体"/>
          <w:i w:val="0"/>
          <w:iCs w:val="0"/>
          <w:caps w:val="0"/>
          <w:color w:val="000000"/>
          <w:spacing w:val="0"/>
          <w:kern w:val="0"/>
          <w:sz w:val="24"/>
          <w:szCs w:val="24"/>
          <w:u w:val="none"/>
          <w:lang w:val="en-US" w:eastAsia="zh-CN" w:bidi="ar"/>
          <w:woUserID w:val="1"/>
        </w:rPr>
      </w:pPr>
    </w:p>
    <w:p w14:paraId="0DE6E9B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jc w:val="both"/>
        <w:textAlignment w:val="baseline"/>
        <w:rPr>
          <w:rFonts w:hint="default" w:ascii="Calibri" w:hAnsi="Calibri" w:cs="Calibri"/>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本公司（单位）郑重声明，根据《国务院办公厅关于在政府采购中实施本国产品标准及相关政策的通知》（国办发〔</w:t>
      </w:r>
      <w:r>
        <w:rPr>
          <w:rFonts w:hint="default" w:ascii="Calibri" w:hAnsi="Calibri" w:cs="Calibri" w:eastAsiaTheme="minorEastAsia"/>
          <w:i w:val="0"/>
          <w:iCs w:val="0"/>
          <w:caps w:val="0"/>
          <w:color w:val="000000"/>
          <w:spacing w:val="0"/>
          <w:kern w:val="0"/>
          <w:sz w:val="24"/>
          <w:szCs w:val="24"/>
          <w:u w:val="none"/>
          <w:lang w:val="en-US" w:eastAsia="zh-CN" w:bidi="ar"/>
          <w:woUserID w:val="1"/>
        </w:rPr>
        <w:t>2025</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default" w:ascii="Calibri" w:hAnsi="Calibri" w:cs="Calibri" w:eastAsiaTheme="minorEastAsia"/>
          <w:i w:val="0"/>
          <w:iCs w:val="0"/>
          <w:caps w:val="0"/>
          <w:color w:val="000000"/>
          <w:spacing w:val="0"/>
          <w:kern w:val="0"/>
          <w:sz w:val="24"/>
          <w:szCs w:val="24"/>
          <w:u w:val="none"/>
          <w:lang w:val="en-US" w:eastAsia="zh-CN" w:bidi="ar"/>
          <w:woUserID w:val="1"/>
        </w:rPr>
        <w:t>34</w:t>
      </w:r>
      <w:r>
        <w:rPr>
          <w:rFonts w:hint="eastAsia" w:ascii="宋体" w:hAnsi="宋体" w:eastAsia="宋体" w:cs="宋体"/>
          <w:i w:val="0"/>
          <w:iCs w:val="0"/>
          <w:caps w:val="0"/>
          <w:color w:val="000000"/>
          <w:spacing w:val="0"/>
          <w:kern w:val="0"/>
          <w:sz w:val="24"/>
          <w:szCs w:val="24"/>
          <w:u w:val="none"/>
          <w:lang w:val="en-US" w:eastAsia="zh-CN" w:bidi="ar"/>
          <w:woUserID w:val="1"/>
        </w:rPr>
        <w:t>号）的规定，本公司（单位）提供的以下产品属于本国产品。具体情况如下：</w:t>
      </w:r>
    </w:p>
    <w:p w14:paraId="3766D06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jc w:val="both"/>
        <w:textAlignment w:val="baseline"/>
        <w:rPr>
          <w:rFonts w:hint="default" w:ascii="Calibri" w:hAnsi="Calibri" w:cs="Calibri"/>
          <w:i w:val="0"/>
          <w:iCs w:val="0"/>
          <w:caps w:val="0"/>
          <w:color w:val="000000"/>
          <w:spacing w:val="0"/>
          <w:sz w:val="24"/>
          <w:szCs w:val="24"/>
          <w:u w:val="none"/>
          <w:woUserID w:val="1"/>
        </w:rPr>
      </w:pPr>
      <w:r>
        <w:rPr>
          <w:rFonts w:hint="default" w:ascii="Calibri" w:hAnsi="Calibri" w:cs="Calibri" w:eastAsiaTheme="minorEastAsia"/>
          <w:i w:val="0"/>
          <w:iCs w:val="0"/>
          <w:caps w:val="0"/>
          <w:color w:val="000000"/>
          <w:spacing w:val="0"/>
          <w:kern w:val="0"/>
          <w:sz w:val="24"/>
          <w:szCs w:val="24"/>
          <w:u w:val="none"/>
          <w:lang w:val="en-US" w:eastAsia="zh-CN" w:bidi="ar"/>
          <w:woUserID w:val="1"/>
        </w:rPr>
        <w:t>1.</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1</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，生产厂为</w:t>
      </w:r>
      <w:r>
        <w:rPr>
          <w:rFonts w:hint="eastAsia" w:ascii="宋体" w:hAnsi="宋体" w:eastAsia="宋体" w:cs="宋体"/>
          <w:i w:val="0"/>
          <w:iCs w:val="0"/>
          <w:caps w:val="0"/>
          <w:color w:val="000000"/>
          <w:spacing w:val="0"/>
          <w:kern w:val="0"/>
          <w:sz w:val="24"/>
          <w:szCs w:val="24"/>
          <w:u w:val="single"/>
          <w:lang w:val="en-US" w:eastAsia="zh-CN" w:bidi="ar"/>
          <w:woUserID w:val="1"/>
        </w:rPr>
        <w:t>（厂名）</w:t>
      </w:r>
      <w:r>
        <w:rPr>
          <w:rFonts w:hint="eastAsia" w:ascii="宋体" w:hAnsi="宋体" w:eastAsia="宋体" w:cs="宋体"/>
          <w:i w:val="0"/>
          <w:iCs w:val="0"/>
          <w:caps w:val="0"/>
          <w:color w:val="000000"/>
          <w:spacing w:val="0"/>
          <w:kern w:val="0"/>
          <w:sz w:val="24"/>
          <w:szCs w:val="24"/>
          <w:u w:val="none"/>
          <w:lang w:val="en-US" w:eastAsia="zh-CN" w:bidi="ar"/>
          <w:woUserID w:val="1"/>
        </w:rPr>
        <w:t>，厂址为</w:t>
      </w:r>
      <w:r>
        <w:rPr>
          <w:rFonts w:hint="eastAsia" w:ascii="宋体" w:hAnsi="宋体" w:eastAsia="宋体" w:cs="宋体"/>
          <w:i w:val="0"/>
          <w:iCs w:val="0"/>
          <w:caps w:val="0"/>
          <w:color w:val="000000"/>
          <w:spacing w:val="0"/>
          <w:kern w:val="0"/>
          <w:sz w:val="24"/>
          <w:szCs w:val="24"/>
          <w:u w:val="single"/>
          <w:lang w:val="en-US" w:eastAsia="zh-CN" w:bidi="ar"/>
          <w:woUserID w:val="1"/>
        </w:rPr>
        <w:t>（生产厂址）</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1</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的中国境内生产的组件成本占比</w:t>
      </w:r>
      <w:r>
        <w:rPr>
          <w:rFonts w:hint="default" w:ascii="Calibri" w:hAnsi="Calibri" w:cs="Calibri" w:eastAsiaTheme="minorEastAsia"/>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规定比例）</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eastAsia" w:ascii="宋体" w:hAnsi="宋体" w:eastAsia="宋体" w:cs="宋体"/>
          <w:i w:val="0"/>
          <w:iCs w:val="0"/>
          <w:caps w:val="0"/>
          <w:color w:val="000000"/>
          <w:spacing w:val="0"/>
          <w:kern w:val="0"/>
          <w:sz w:val="24"/>
          <w:szCs w:val="24"/>
          <w:u w:val="none"/>
          <w:lang w:val="en-US" w:eastAsia="zh-CN" w:bidi="ar"/>
          <w:woUserID w:val="1"/>
        </w:rPr>
        <w:t>的</w:t>
      </w:r>
      <w:r>
        <w:rPr>
          <w:rFonts w:hint="eastAsia" w:ascii="宋体" w:hAnsi="宋体" w:eastAsia="宋体" w:cs="宋体"/>
          <w:i w:val="0"/>
          <w:iCs w:val="0"/>
          <w:caps w:val="0"/>
          <w:color w:val="000000"/>
          <w:spacing w:val="0"/>
          <w:kern w:val="0"/>
          <w:sz w:val="24"/>
          <w:szCs w:val="24"/>
          <w:u w:val="single"/>
          <w:lang w:val="en-US" w:eastAsia="zh-CN" w:bidi="ar"/>
          <w:woUserID w:val="1"/>
        </w:rPr>
        <w:t>（关键组件）</w:t>
      </w:r>
      <w:r>
        <w:rPr>
          <w:rFonts w:hint="eastAsia" w:ascii="宋体" w:hAnsi="宋体" w:eastAsia="宋体" w:cs="宋体"/>
          <w:i w:val="0"/>
          <w:iCs w:val="0"/>
          <w:caps w:val="0"/>
          <w:color w:val="000000"/>
          <w:spacing w:val="0"/>
          <w:kern w:val="0"/>
          <w:sz w:val="24"/>
          <w:szCs w:val="24"/>
          <w:u w:val="none"/>
          <w:lang w:val="en-US" w:eastAsia="zh-CN" w:bidi="ar"/>
          <w:woUserID w:val="1"/>
        </w:rPr>
        <w:t>在中国境内生产。（产品名称）的</w:t>
      </w:r>
      <w:r>
        <w:rPr>
          <w:rFonts w:hint="eastAsia" w:ascii="宋体" w:hAnsi="宋体" w:eastAsia="宋体" w:cs="宋体"/>
          <w:i w:val="0"/>
          <w:iCs w:val="0"/>
          <w:caps w:val="0"/>
          <w:color w:val="000000"/>
          <w:spacing w:val="0"/>
          <w:kern w:val="0"/>
          <w:sz w:val="24"/>
          <w:szCs w:val="24"/>
          <w:u w:val="single"/>
          <w:lang w:val="en-US" w:eastAsia="zh-CN" w:bidi="ar"/>
          <w:woUserID w:val="1"/>
        </w:rPr>
        <w:t>（关键工序）</w:t>
      </w:r>
      <w:r>
        <w:rPr>
          <w:rFonts w:hint="eastAsia" w:ascii="宋体" w:hAnsi="宋体" w:eastAsia="宋体" w:cs="宋体"/>
          <w:i w:val="0"/>
          <w:iCs w:val="0"/>
          <w:caps w:val="0"/>
          <w:color w:val="000000"/>
          <w:spacing w:val="0"/>
          <w:kern w:val="0"/>
          <w:sz w:val="24"/>
          <w:szCs w:val="24"/>
          <w:u w:val="none"/>
          <w:lang w:val="en-US" w:eastAsia="zh-CN" w:bidi="ar"/>
          <w:woUserID w:val="1"/>
        </w:rPr>
        <w:t>在中国境内完成。</w:t>
      </w:r>
    </w:p>
    <w:p w14:paraId="76C8506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jc w:val="both"/>
        <w:textAlignment w:val="baseline"/>
        <w:rPr>
          <w:rFonts w:hint="default" w:ascii="Calibri" w:hAnsi="Calibri" w:cs="Calibri"/>
          <w:i w:val="0"/>
          <w:iCs w:val="0"/>
          <w:caps w:val="0"/>
          <w:color w:val="000000"/>
          <w:spacing w:val="0"/>
          <w:sz w:val="24"/>
          <w:szCs w:val="24"/>
          <w:u w:val="none"/>
          <w:woUserID w:val="1"/>
        </w:rPr>
      </w:pPr>
      <w:r>
        <w:rPr>
          <w:rFonts w:hint="default" w:ascii="Calibri" w:hAnsi="Calibri" w:cs="Calibri" w:eastAsiaTheme="minorEastAsia"/>
          <w:i w:val="0"/>
          <w:iCs w:val="0"/>
          <w:caps w:val="0"/>
          <w:color w:val="000000"/>
          <w:spacing w:val="0"/>
          <w:kern w:val="0"/>
          <w:sz w:val="24"/>
          <w:szCs w:val="24"/>
          <w:u w:val="none"/>
          <w:lang w:val="en-US" w:eastAsia="zh-CN" w:bidi="ar"/>
          <w:woUserID w:val="1"/>
        </w:rPr>
        <w:t>2.</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2</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，生产厂为</w:t>
      </w:r>
      <w:r>
        <w:rPr>
          <w:rFonts w:hint="eastAsia" w:ascii="宋体" w:hAnsi="宋体" w:eastAsia="宋体" w:cs="宋体"/>
          <w:i w:val="0"/>
          <w:iCs w:val="0"/>
          <w:caps w:val="0"/>
          <w:color w:val="000000"/>
          <w:spacing w:val="0"/>
          <w:kern w:val="0"/>
          <w:sz w:val="24"/>
          <w:szCs w:val="24"/>
          <w:u w:val="single"/>
          <w:lang w:val="en-US" w:eastAsia="zh-CN" w:bidi="ar"/>
          <w:woUserID w:val="1"/>
        </w:rPr>
        <w:t>（厂名）</w:t>
      </w:r>
      <w:r>
        <w:rPr>
          <w:rFonts w:hint="eastAsia" w:ascii="宋体" w:hAnsi="宋体" w:eastAsia="宋体" w:cs="宋体"/>
          <w:i w:val="0"/>
          <w:iCs w:val="0"/>
          <w:caps w:val="0"/>
          <w:color w:val="000000"/>
          <w:spacing w:val="0"/>
          <w:kern w:val="0"/>
          <w:sz w:val="24"/>
          <w:szCs w:val="24"/>
          <w:u w:val="none"/>
          <w:lang w:val="en-US" w:eastAsia="zh-CN" w:bidi="ar"/>
          <w:woUserID w:val="1"/>
        </w:rPr>
        <w:t>，厂址为</w:t>
      </w:r>
      <w:r>
        <w:rPr>
          <w:rFonts w:hint="eastAsia" w:ascii="宋体" w:hAnsi="宋体" w:eastAsia="宋体" w:cs="宋体"/>
          <w:i w:val="0"/>
          <w:iCs w:val="0"/>
          <w:caps w:val="0"/>
          <w:color w:val="000000"/>
          <w:spacing w:val="0"/>
          <w:kern w:val="0"/>
          <w:sz w:val="24"/>
          <w:szCs w:val="24"/>
          <w:u w:val="single"/>
          <w:lang w:val="en-US" w:eastAsia="zh-CN" w:bidi="ar"/>
          <w:woUserID w:val="1"/>
        </w:rPr>
        <w:t>（生产厂址）</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2</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的中国境内生产的组件成本占比</w:t>
      </w:r>
      <w:r>
        <w:rPr>
          <w:rFonts w:hint="default" w:ascii="Calibri" w:hAnsi="Calibri" w:cs="Calibri" w:eastAsiaTheme="minorEastAsia"/>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规定比例）</w:t>
      </w:r>
      <w:r>
        <w:rPr>
          <w:rFonts w:hint="eastAsia" w:ascii="宋体" w:hAnsi="宋体" w:eastAsia="宋体" w:cs="宋体"/>
          <w:i w:val="0"/>
          <w:iCs w:val="0"/>
          <w:caps w:val="0"/>
          <w:color w:val="000000"/>
          <w:spacing w:val="0"/>
          <w:kern w:val="0"/>
          <w:sz w:val="24"/>
          <w:szCs w:val="24"/>
          <w:u w:val="none"/>
          <w:lang w:val="en-US" w:eastAsia="zh-CN" w:bidi="ar"/>
          <w:woUserID w:val="1"/>
        </w:rPr>
        <w:t>。</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2</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的</w:t>
      </w:r>
      <w:r>
        <w:rPr>
          <w:rFonts w:hint="eastAsia" w:ascii="宋体" w:hAnsi="宋体" w:eastAsia="宋体" w:cs="宋体"/>
          <w:i w:val="0"/>
          <w:iCs w:val="0"/>
          <w:caps w:val="0"/>
          <w:color w:val="000000"/>
          <w:spacing w:val="0"/>
          <w:kern w:val="0"/>
          <w:sz w:val="24"/>
          <w:szCs w:val="24"/>
          <w:u w:val="single"/>
          <w:lang w:val="en-US" w:eastAsia="zh-CN" w:bidi="ar"/>
          <w:woUserID w:val="1"/>
        </w:rPr>
        <w:t>（关键组件）</w:t>
      </w:r>
      <w:r>
        <w:rPr>
          <w:rFonts w:hint="eastAsia" w:ascii="宋体" w:hAnsi="宋体" w:eastAsia="宋体" w:cs="宋体"/>
          <w:i w:val="0"/>
          <w:iCs w:val="0"/>
          <w:caps w:val="0"/>
          <w:color w:val="000000"/>
          <w:spacing w:val="0"/>
          <w:kern w:val="0"/>
          <w:sz w:val="24"/>
          <w:szCs w:val="24"/>
          <w:u w:val="none"/>
          <w:lang w:val="en-US" w:eastAsia="zh-CN" w:bidi="ar"/>
          <w:woUserID w:val="1"/>
        </w:rPr>
        <w:t>在中国境内生产。</w:t>
      </w:r>
      <w:r>
        <w:rPr>
          <w:rFonts w:hint="eastAsia" w:ascii="宋体" w:hAnsi="宋体" w:eastAsia="宋体" w:cs="宋体"/>
          <w:i w:val="0"/>
          <w:iCs w:val="0"/>
          <w:caps w:val="0"/>
          <w:color w:val="000000"/>
          <w:spacing w:val="0"/>
          <w:kern w:val="0"/>
          <w:sz w:val="24"/>
          <w:szCs w:val="24"/>
          <w:u w:val="single"/>
          <w:lang w:val="en-US" w:eastAsia="zh-CN" w:bidi="ar"/>
          <w:woUserID w:val="1"/>
        </w:rPr>
        <w:t>（产品名称</w:t>
      </w:r>
      <w:r>
        <w:rPr>
          <w:rFonts w:hint="default" w:ascii="Calibri" w:hAnsi="Calibri" w:cs="Calibri" w:eastAsiaTheme="minorEastAsia"/>
          <w:i w:val="0"/>
          <w:iCs w:val="0"/>
          <w:caps w:val="0"/>
          <w:color w:val="000000"/>
          <w:spacing w:val="0"/>
          <w:kern w:val="0"/>
          <w:sz w:val="24"/>
          <w:szCs w:val="24"/>
          <w:u w:val="single"/>
          <w:lang w:val="en-US" w:eastAsia="zh-CN" w:bidi="ar"/>
          <w:woUserID w:val="1"/>
        </w:rPr>
        <w:t>2</w:t>
      </w:r>
      <w:r>
        <w:rPr>
          <w:rFonts w:hint="eastAsia" w:ascii="宋体" w:hAnsi="宋体" w:eastAsia="宋体" w:cs="宋体"/>
          <w:i w:val="0"/>
          <w:iCs w:val="0"/>
          <w:caps w:val="0"/>
          <w:color w:val="000000"/>
          <w:spacing w:val="0"/>
          <w:kern w:val="0"/>
          <w:sz w:val="24"/>
          <w:szCs w:val="24"/>
          <w:u w:val="single"/>
          <w:lang w:val="en-US" w:eastAsia="zh-CN" w:bidi="ar"/>
          <w:woUserID w:val="1"/>
        </w:rPr>
        <w:t>）</w:t>
      </w:r>
      <w:r>
        <w:rPr>
          <w:rFonts w:hint="eastAsia" w:ascii="宋体" w:hAnsi="宋体" w:eastAsia="宋体" w:cs="宋体"/>
          <w:i w:val="0"/>
          <w:iCs w:val="0"/>
          <w:caps w:val="0"/>
          <w:color w:val="000000"/>
          <w:spacing w:val="0"/>
          <w:kern w:val="0"/>
          <w:sz w:val="24"/>
          <w:szCs w:val="24"/>
          <w:u w:val="none"/>
          <w:lang w:val="en-US" w:eastAsia="zh-CN" w:bidi="ar"/>
          <w:woUserID w:val="1"/>
        </w:rPr>
        <w:t>的</w:t>
      </w:r>
      <w:r>
        <w:rPr>
          <w:rFonts w:hint="eastAsia" w:ascii="宋体" w:hAnsi="宋体" w:eastAsia="宋体" w:cs="宋体"/>
          <w:i w:val="0"/>
          <w:iCs w:val="0"/>
          <w:caps w:val="0"/>
          <w:color w:val="000000"/>
          <w:spacing w:val="0"/>
          <w:kern w:val="0"/>
          <w:sz w:val="24"/>
          <w:szCs w:val="24"/>
          <w:u w:val="single"/>
          <w:lang w:val="en-US" w:eastAsia="zh-CN" w:bidi="ar"/>
          <w:woUserID w:val="1"/>
        </w:rPr>
        <w:t>（关键工序）</w:t>
      </w:r>
      <w:r>
        <w:rPr>
          <w:rFonts w:hint="eastAsia" w:ascii="宋体" w:hAnsi="宋体" w:eastAsia="宋体" w:cs="宋体"/>
          <w:i w:val="0"/>
          <w:iCs w:val="0"/>
          <w:caps w:val="0"/>
          <w:color w:val="000000"/>
          <w:spacing w:val="0"/>
          <w:kern w:val="0"/>
          <w:sz w:val="24"/>
          <w:szCs w:val="24"/>
          <w:u w:val="none"/>
          <w:lang w:val="en-US" w:eastAsia="zh-CN" w:bidi="ar"/>
          <w:woUserID w:val="1"/>
        </w:rPr>
        <w:t>在中国境内完成。</w:t>
      </w:r>
    </w:p>
    <w:p w14:paraId="0C69331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default" w:ascii="Calibri" w:hAnsi="Calibri" w:cs="Calibri"/>
          <w:i w:val="0"/>
          <w:iCs w:val="0"/>
          <w:caps w:val="0"/>
          <w:color w:val="000000"/>
          <w:spacing w:val="0"/>
          <w:sz w:val="24"/>
          <w:szCs w:val="24"/>
          <w:u w:val="none"/>
          <w:woUserID w:val="1"/>
        </w:rPr>
      </w:pPr>
      <w:r>
        <w:rPr>
          <w:rFonts w:hint="default" w:ascii="Calibri" w:hAnsi="Calibri" w:cs="Calibri" w:eastAsiaTheme="minorEastAsia"/>
          <w:i w:val="0"/>
          <w:iCs w:val="0"/>
          <w:caps w:val="0"/>
          <w:color w:val="000000"/>
          <w:spacing w:val="0"/>
          <w:kern w:val="0"/>
          <w:sz w:val="24"/>
          <w:szCs w:val="24"/>
          <w:u w:val="none"/>
          <w:lang w:val="en-US" w:eastAsia="zh-CN" w:bidi="ar"/>
          <w:woUserID w:val="1"/>
        </w:rPr>
        <w:t>……</w:t>
      </w:r>
    </w:p>
    <w:p w14:paraId="15F10DE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420"/>
        <w:jc w:val="both"/>
        <w:textAlignment w:val="baseline"/>
        <w:rPr>
          <w:rFonts w:hint="default" w:ascii="Calibri" w:hAnsi="Calibri" w:cs="Calibri"/>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本公司（单位）对上述声明内容的真实性负责。如有虚假，愿承担相应法律责任。</w:t>
      </w:r>
    </w:p>
    <w:p w14:paraId="733A0F4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default" w:ascii="Calibri" w:hAnsi="Calibri" w:cs="Calibri"/>
          <w:i w:val="0"/>
          <w:iCs w:val="0"/>
          <w:caps w:val="0"/>
          <w:color w:val="000000"/>
          <w:spacing w:val="0"/>
          <w:sz w:val="24"/>
          <w:szCs w:val="24"/>
          <w:u w:val="none"/>
          <w:woUserID w:val="1"/>
        </w:rPr>
      </w:pPr>
    </w:p>
    <w:p w14:paraId="40ECE8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right"/>
        <w:textAlignment w:val="baseline"/>
        <w:rPr>
          <w:rFonts w:hint="default" w:ascii="Calibri" w:hAnsi="Calibri" w:cs="Calibri"/>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公司（单位）名称（盖章）：　</w:t>
      </w:r>
      <w:r>
        <w:rPr>
          <w:rFonts w:hint="default" w:ascii="Calibri" w:hAnsi="Calibri" w:cs="Calibri" w:eastAsiaTheme="minorEastAsia"/>
          <w:i w:val="0"/>
          <w:iCs w:val="0"/>
          <w:caps w:val="0"/>
          <w:color w:val="000000"/>
          <w:spacing w:val="0"/>
          <w:kern w:val="0"/>
          <w:sz w:val="24"/>
          <w:szCs w:val="24"/>
          <w:u w:val="none"/>
          <w:lang w:val="en-US" w:eastAsia="zh-CN" w:bidi="ar"/>
          <w:woUserID w:val="1"/>
        </w:rPr>
        <w:t>        </w:t>
      </w:r>
    </w:p>
    <w:p w14:paraId="0FCBBA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right"/>
        <w:textAlignment w:val="baseline"/>
        <w:rPr>
          <w:rFonts w:hint="default" w:ascii="Calibri" w:hAnsi="Calibri" w:cs="Calibri"/>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日期：　</w:t>
      </w:r>
      <w:r>
        <w:rPr>
          <w:rFonts w:hint="default" w:ascii="Calibri" w:hAnsi="Calibri" w:cs="Calibri" w:eastAsiaTheme="minorEastAsia"/>
          <w:i w:val="0"/>
          <w:iCs w:val="0"/>
          <w:caps w:val="0"/>
          <w:color w:val="000000"/>
          <w:spacing w:val="0"/>
          <w:kern w:val="0"/>
          <w:sz w:val="24"/>
          <w:szCs w:val="24"/>
          <w:u w:val="none"/>
          <w:lang w:val="en-US" w:eastAsia="zh-CN" w:bidi="ar"/>
          <w:woUserID w:val="1"/>
        </w:rPr>
        <w:t>     </w:t>
      </w:r>
      <w:r>
        <w:rPr>
          <w:rFonts w:hint="eastAsia" w:ascii="宋体" w:hAnsi="宋体" w:eastAsia="宋体" w:cs="宋体"/>
          <w:i w:val="0"/>
          <w:iCs w:val="0"/>
          <w:caps w:val="0"/>
          <w:color w:val="000000"/>
          <w:spacing w:val="0"/>
          <w:kern w:val="0"/>
          <w:sz w:val="24"/>
          <w:szCs w:val="24"/>
          <w:u w:val="none"/>
          <w:lang w:val="en-US" w:eastAsia="zh-CN" w:bidi="ar"/>
          <w:woUserID w:val="1"/>
        </w:rPr>
        <w:t>年　</w:t>
      </w:r>
      <w:r>
        <w:rPr>
          <w:rFonts w:hint="default" w:ascii="Calibri" w:hAnsi="Calibri" w:cs="Calibri" w:eastAsiaTheme="minorEastAsia"/>
          <w:i w:val="0"/>
          <w:iCs w:val="0"/>
          <w:caps w:val="0"/>
          <w:color w:val="000000"/>
          <w:spacing w:val="0"/>
          <w:kern w:val="0"/>
          <w:sz w:val="24"/>
          <w:szCs w:val="24"/>
          <w:u w:val="none"/>
          <w:lang w:val="en-US" w:eastAsia="zh-CN" w:bidi="ar"/>
          <w:woUserID w:val="1"/>
        </w:rPr>
        <w:t>  </w:t>
      </w:r>
      <w:r>
        <w:rPr>
          <w:rFonts w:hint="eastAsia" w:ascii="宋体" w:hAnsi="宋体" w:eastAsia="宋体" w:cs="宋体"/>
          <w:i w:val="0"/>
          <w:iCs w:val="0"/>
          <w:caps w:val="0"/>
          <w:color w:val="000000"/>
          <w:spacing w:val="0"/>
          <w:kern w:val="0"/>
          <w:sz w:val="24"/>
          <w:szCs w:val="24"/>
          <w:u w:val="none"/>
          <w:lang w:val="en-US" w:eastAsia="zh-CN" w:bidi="ar"/>
          <w:woUserID w:val="1"/>
        </w:rPr>
        <w:t>月　</w:t>
      </w:r>
      <w:r>
        <w:rPr>
          <w:rFonts w:hint="default" w:ascii="Calibri" w:hAnsi="Calibri" w:cs="Calibri" w:eastAsiaTheme="minorEastAsia"/>
          <w:i w:val="0"/>
          <w:iCs w:val="0"/>
          <w:caps w:val="0"/>
          <w:color w:val="000000"/>
          <w:spacing w:val="0"/>
          <w:kern w:val="0"/>
          <w:sz w:val="24"/>
          <w:szCs w:val="24"/>
          <w:u w:val="none"/>
          <w:lang w:val="en-US" w:eastAsia="zh-CN" w:bidi="ar"/>
          <w:woUserID w:val="1"/>
        </w:rPr>
        <w:t>  </w:t>
      </w:r>
      <w:r>
        <w:rPr>
          <w:rFonts w:hint="eastAsia" w:ascii="宋体" w:hAnsi="宋体" w:eastAsia="宋体" w:cs="宋体"/>
          <w:i w:val="0"/>
          <w:iCs w:val="0"/>
          <w:caps w:val="0"/>
          <w:color w:val="000000"/>
          <w:spacing w:val="0"/>
          <w:kern w:val="0"/>
          <w:sz w:val="24"/>
          <w:szCs w:val="24"/>
          <w:u w:val="none"/>
          <w:lang w:val="en-US" w:eastAsia="zh-CN" w:bidi="ar"/>
          <w:woUserID w:val="1"/>
        </w:rPr>
        <w:t>日</w:t>
      </w:r>
      <w:r>
        <w:rPr>
          <w:rFonts w:hint="default" w:ascii="Calibri" w:hAnsi="Calibri" w:cs="Calibri" w:eastAsiaTheme="minorEastAsia"/>
          <w:i w:val="0"/>
          <w:iCs w:val="0"/>
          <w:caps w:val="0"/>
          <w:color w:val="000000"/>
          <w:spacing w:val="0"/>
          <w:kern w:val="0"/>
          <w:sz w:val="24"/>
          <w:szCs w:val="24"/>
          <w:u w:val="none"/>
          <w:lang w:val="en-US" w:eastAsia="zh-CN" w:bidi="ar"/>
          <w:woUserID w:val="1"/>
        </w:rPr>
        <w:t>         </w:t>
      </w:r>
    </w:p>
    <w:p w14:paraId="73BA26E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default" w:ascii="Calibri" w:hAnsi="Calibri" w:cs="Calibri"/>
          <w:i w:val="0"/>
          <w:iCs w:val="0"/>
          <w:caps w:val="0"/>
          <w:color w:val="000000"/>
          <w:spacing w:val="0"/>
          <w:sz w:val="24"/>
          <w:szCs w:val="24"/>
          <w:u w:val="none"/>
          <w:woUserID w:val="1"/>
        </w:rPr>
      </w:pPr>
      <w:r>
        <w:rPr>
          <w:rFonts w:hint="default" w:ascii="Calibri" w:hAnsi="Calibri" w:cs="Calibri" w:eastAsiaTheme="minorEastAsia"/>
          <w:i w:val="0"/>
          <w:iCs w:val="0"/>
          <w:caps w:val="0"/>
          <w:color w:val="000000"/>
          <w:spacing w:val="0"/>
          <w:kern w:val="0"/>
          <w:sz w:val="24"/>
          <w:szCs w:val="24"/>
          <w:u w:val="none"/>
          <w:lang w:val="en-US" w:eastAsia="zh-CN" w:bidi="ar"/>
          <w:woUserID w:val="1"/>
        </w:rPr>
        <w:t>__________________</w:t>
      </w:r>
    </w:p>
    <w:p w14:paraId="0EA8B0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sz w:val="24"/>
          <w:szCs w:val="24"/>
          <w:lang w:val="en-US" w:eastAsia="zh-CN"/>
        </w:rPr>
      </w:pPr>
      <w:r>
        <w:rPr>
          <w:rFonts w:hint="eastAsia"/>
          <w:sz w:val="24"/>
          <w:szCs w:val="24"/>
          <w:lang w:val="en-US" w:eastAsia="zh-CN"/>
        </w:rPr>
        <w:t>1.产品如有型号，请在</w:t>
      </w:r>
      <w:r>
        <w:rPr>
          <w:rFonts w:hint="default"/>
          <w:sz w:val="24"/>
          <w:szCs w:val="24"/>
          <w:lang w:val="en-US" w:eastAsia="zh-CN"/>
        </w:rPr>
        <w:t>“</w:t>
      </w:r>
      <w:r>
        <w:rPr>
          <w:rFonts w:hint="eastAsia"/>
          <w:sz w:val="24"/>
          <w:szCs w:val="24"/>
          <w:lang w:val="en-US" w:eastAsia="zh-CN"/>
        </w:rPr>
        <w:t>产品名称</w:t>
      </w:r>
      <w:r>
        <w:rPr>
          <w:rFonts w:hint="default"/>
          <w:sz w:val="24"/>
          <w:szCs w:val="24"/>
          <w:lang w:val="en-US" w:eastAsia="zh-CN"/>
        </w:rPr>
        <w:t>”</w:t>
      </w:r>
      <w:r>
        <w:rPr>
          <w:rFonts w:hint="eastAsia"/>
          <w:sz w:val="24"/>
          <w:szCs w:val="24"/>
          <w:lang w:val="en-US" w:eastAsia="zh-CN"/>
        </w:rPr>
        <w:t>栏一并填写。</w:t>
      </w:r>
    </w:p>
    <w:p w14:paraId="408589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sz w:val="24"/>
          <w:szCs w:val="24"/>
          <w:lang w:val="en-US" w:eastAsia="zh-CN"/>
        </w:rPr>
      </w:pPr>
      <w:r>
        <w:rPr>
          <w:rFonts w:hint="eastAsia"/>
          <w:sz w:val="24"/>
          <w:szCs w:val="24"/>
          <w:lang w:val="en-US" w:eastAsia="zh-CN"/>
        </w:rPr>
        <w:t>2.生产厂名与厂址应与生产厂营业执照载明的相关信息保持一致。</w:t>
      </w:r>
    </w:p>
    <w:p w14:paraId="20571D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sz w:val="24"/>
          <w:szCs w:val="24"/>
          <w:lang w:val="en-US" w:eastAsia="zh-CN"/>
        </w:rPr>
      </w:pPr>
      <w:r>
        <w:rPr>
          <w:rFonts w:hint="eastAsia"/>
          <w:sz w:val="24"/>
          <w:szCs w:val="24"/>
          <w:lang w:val="en-US" w:eastAsia="zh-CN"/>
        </w:rPr>
        <w:t>3.该产品的中国境内生产的组件成本占比相关要求实施前，</w:t>
      </w:r>
      <w:r>
        <w:rPr>
          <w:rFonts w:hint="default"/>
          <w:sz w:val="24"/>
          <w:szCs w:val="24"/>
          <w:lang w:val="en-US" w:eastAsia="zh-CN"/>
        </w:rPr>
        <w:t>“</w:t>
      </w:r>
      <w:r>
        <w:rPr>
          <w:rFonts w:hint="eastAsia"/>
          <w:sz w:val="24"/>
          <w:szCs w:val="24"/>
          <w:lang w:val="en-US" w:eastAsia="zh-CN"/>
        </w:rPr>
        <w:t>规定比例</w:t>
      </w:r>
      <w:r>
        <w:rPr>
          <w:rFonts w:hint="default"/>
          <w:sz w:val="24"/>
          <w:szCs w:val="24"/>
          <w:lang w:val="en-US" w:eastAsia="zh-CN"/>
        </w:rPr>
        <w:t>”</w:t>
      </w:r>
      <w:r>
        <w:rPr>
          <w:rFonts w:hint="eastAsia"/>
          <w:sz w:val="24"/>
          <w:szCs w:val="24"/>
          <w:lang w:val="en-US" w:eastAsia="zh-CN"/>
        </w:rPr>
        <w:t>栏可不填，下同。</w:t>
      </w:r>
    </w:p>
    <w:p w14:paraId="6CFDFB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sz w:val="24"/>
          <w:szCs w:val="24"/>
          <w:lang w:val="en-US" w:eastAsia="zh-CN"/>
        </w:rPr>
      </w:pPr>
      <w:r>
        <w:rPr>
          <w:rFonts w:hint="eastAsia"/>
          <w:sz w:val="24"/>
          <w:szCs w:val="24"/>
          <w:lang w:val="en-US" w:eastAsia="zh-CN"/>
        </w:rPr>
        <w:t>4.该产品的关键组件要求实施前，</w:t>
      </w:r>
      <w:r>
        <w:rPr>
          <w:rFonts w:hint="default"/>
          <w:sz w:val="24"/>
          <w:szCs w:val="24"/>
          <w:lang w:val="en-US" w:eastAsia="zh-CN"/>
        </w:rPr>
        <w:t>“</w:t>
      </w:r>
      <w:r>
        <w:rPr>
          <w:rFonts w:hint="eastAsia"/>
          <w:sz w:val="24"/>
          <w:szCs w:val="24"/>
          <w:lang w:val="en-US" w:eastAsia="zh-CN"/>
        </w:rPr>
        <w:t>关键组件</w:t>
      </w:r>
      <w:r>
        <w:rPr>
          <w:rFonts w:hint="default"/>
          <w:sz w:val="24"/>
          <w:szCs w:val="24"/>
          <w:lang w:val="en-US" w:eastAsia="zh-CN"/>
        </w:rPr>
        <w:t>”</w:t>
      </w:r>
      <w:r>
        <w:rPr>
          <w:rFonts w:hint="eastAsia"/>
          <w:sz w:val="24"/>
          <w:szCs w:val="24"/>
          <w:lang w:val="en-US" w:eastAsia="zh-CN"/>
        </w:rPr>
        <w:t>栏可不填，下同。</w:t>
      </w:r>
    </w:p>
    <w:p w14:paraId="0A90200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sz w:val="24"/>
          <w:szCs w:val="24"/>
        </w:rPr>
      </w:pPr>
      <w:r>
        <w:rPr>
          <w:rFonts w:hint="eastAsia"/>
          <w:sz w:val="24"/>
          <w:szCs w:val="24"/>
          <w:lang w:val="en-US" w:eastAsia="zh-CN"/>
        </w:rPr>
        <w:t>5.该产品的关键工序要求实施前，</w:t>
      </w:r>
      <w:r>
        <w:rPr>
          <w:rFonts w:hint="default"/>
          <w:sz w:val="24"/>
          <w:szCs w:val="24"/>
          <w:lang w:val="en-US" w:eastAsia="zh-CN"/>
        </w:rPr>
        <w:t>“</w:t>
      </w:r>
      <w:r>
        <w:rPr>
          <w:rFonts w:hint="eastAsia"/>
          <w:sz w:val="24"/>
          <w:szCs w:val="24"/>
          <w:lang w:val="en-US" w:eastAsia="zh-CN"/>
        </w:rPr>
        <w:t>关键工序</w:t>
      </w:r>
      <w:r>
        <w:rPr>
          <w:rFonts w:hint="default"/>
          <w:sz w:val="24"/>
          <w:szCs w:val="24"/>
          <w:lang w:val="en-US" w:eastAsia="zh-CN"/>
        </w:rPr>
        <w:t>”</w:t>
      </w:r>
      <w:r>
        <w:rPr>
          <w:rFonts w:hint="eastAsia"/>
          <w:sz w:val="24"/>
          <w:szCs w:val="24"/>
          <w:lang w:val="en-US" w:eastAsia="zh-CN"/>
        </w:rPr>
        <w:t>栏可不填，下同。</w:t>
      </w:r>
    </w:p>
    <w:p w14:paraId="48F8ED3B">
      <w:pPr>
        <w:keepNext w:val="0"/>
        <w:keepLines w:val="0"/>
        <w:widowControl/>
        <w:suppressLineNumbers w:val="0"/>
        <w:spacing w:before="0" w:beforeAutospacing="0" w:after="0" w:afterAutospacing="0"/>
        <w:ind w:left="0" w:right="0" w:firstLine="0"/>
        <w:jc w:val="center"/>
        <w:rPr>
          <w:rFonts w:hint="eastAsia" w:ascii="Calibri" w:hAnsi="Calibri" w:eastAsia="宋体" w:cs="Times New Roman"/>
          <w:kern w:val="2"/>
          <w:sz w:val="28"/>
          <w:szCs w:val="22"/>
          <w:lang w:val="en-US" w:eastAsia="zh-CN" w:bidi="ar-SA"/>
        </w:rPr>
      </w:pPr>
      <w:bookmarkStart w:id="345" w:name="bookmark55"/>
      <w:bookmarkEnd w:id="345"/>
      <w:r>
        <w:rPr>
          <w:b/>
          <w:bCs/>
          <w:spacing w:val="12"/>
          <w:highlight w:val="none"/>
        </w:rPr>
        <w:br w:type="page"/>
      </w:r>
      <w:r>
        <w:rPr>
          <w:rFonts w:hint="eastAsia" w:ascii="Calibri" w:hAnsi="Calibri" w:eastAsia="宋体" w:cs="Times New Roman"/>
          <w:b/>
          <w:bCs/>
          <w:kern w:val="2"/>
          <w:sz w:val="28"/>
          <w:szCs w:val="22"/>
          <w:lang w:val="en-US" w:eastAsia="zh-CN" w:bidi="ar-SA"/>
        </w:rPr>
        <w:t>《本国产品成本比例承诺函》</w:t>
      </w:r>
    </w:p>
    <w:p w14:paraId="539A2726">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val="en-US" w:eastAsia="zh-CN"/>
        </w:rPr>
      </w:pPr>
      <w:r>
        <w:rPr>
          <w:rFonts w:hint="eastAsia" w:ascii="宋体" w:hAnsi="宋体" w:eastAsia="宋体" w:cs="宋体"/>
          <w:i w:val="0"/>
          <w:iCs w:val="0"/>
          <w:caps w:val="0"/>
          <w:color w:val="000000"/>
          <w:spacing w:val="0"/>
          <w:kern w:val="0"/>
          <w:sz w:val="24"/>
          <w:szCs w:val="24"/>
          <w:u w:val="none"/>
          <w:lang w:val="en-US" w:eastAsia="zh-CN" w:bidi="ar"/>
          <w:woUserID w:val="1"/>
        </w:rPr>
        <w:t>本公司（单位）承诺下列数据均已经我公司（单位）核实确认，确保真实、有效：</w:t>
      </w:r>
    </w:p>
    <w:tbl>
      <w:tblPr>
        <w:tblStyle w:val="18"/>
        <w:tblW w:w="4999" w:type="pct"/>
        <w:tblInd w:w="0"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30"/>
        <w:gridCol w:w="2289"/>
        <w:gridCol w:w="2899"/>
        <w:gridCol w:w="3632"/>
      </w:tblGrid>
      <w:tr w14:paraId="35D026FE">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334" w:hRule="atLeast"/>
        </w:trPr>
        <w:tc>
          <w:tcPr>
            <w:tcW w:w="430" w:type="pct"/>
            <w:tcBorders>
              <w:top w:val="single" w:color="000000" w:sz="8" w:space="0"/>
              <w:left w:val="single" w:color="000000" w:sz="8" w:space="0"/>
              <w:bottom w:val="single" w:color="000000" w:sz="8" w:space="0"/>
              <w:right w:val="single" w:color="000000" w:sz="8" w:space="0"/>
            </w:tcBorders>
            <w:shd w:val="clear" w:color="auto" w:fill="FFFFFF"/>
            <w:tcMar>
              <w:top w:w="0" w:type="dxa"/>
              <w:left w:w="120" w:type="dxa"/>
              <w:bottom w:w="0" w:type="dxa"/>
              <w:right w:w="120" w:type="dxa"/>
            </w:tcMar>
            <w:vAlign w:val="center"/>
          </w:tcPr>
          <w:p w14:paraId="0B32E0A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序号</w:t>
            </w:r>
          </w:p>
        </w:tc>
        <w:tc>
          <w:tcPr>
            <w:tcW w:w="1186"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71E02BB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主要产品/技术名称（规格型号）</w:t>
            </w:r>
          </w:p>
        </w:tc>
        <w:tc>
          <w:tcPr>
            <w:tcW w:w="1502"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E4C52F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本国产品</w:t>
            </w:r>
          </w:p>
        </w:tc>
        <w:tc>
          <w:tcPr>
            <w:tcW w:w="1881"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84A844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该产品</w:t>
            </w:r>
            <w:r>
              <w:rPr>
                <w:rFonts w:hint="eastAsia" w:ascii="宋体" w:hAnsi="宋体" w:eastAsia="宋体" w:cs="宋体"/>
                <w:i w:val="0"/>
                <w:iCs w:val="0"/>
                <w:caps w:val="0"/>
                <w:color w:val="000000"/>
                <w:spacing w:val="0"/>
                <w:kern w:val="0"/>
                <w:sz w:val="24"/>
                <w:szCs w:val="24"/>
                <w:u w:val="none"/>
                <w:lang w:val="en-US" w:eastAsia="zh" w:bidi="ar"/>
                <w:woUserID w:val="1"/>
              </w:rPr>
              <w:t>成本</w:t>
            </w:r>
            <w:r>
              <w:rPr>
                <w:rFonts w:hint="eastAsia" w:ascii="宋体" w:hAnsi="宋体" w:eastAsia="宋体" w:cs="宋体"/>
                <w:i w:val="0"/>
                <w:iCs w:val="0"/>
                <w:caps w:val="0"/>
                <w:color w:val="000000"/>
                <w:spacing w:val="0"/>
                <w:kern w:val="0"/>
                <w:sz w:val="24"/>
                <w:szCs w:val="24"/>
                <w:u w:val="none"/>
                <w:lang w:val="en-US" w:eastAsia="zh-CN" w:bidi="ar"/>
                <w:woUserID w:val="1"/>
              </w:rPr>
              <w:t>在产品总成本中占比（%）</w:t>
            </w:r>
          </w:p>
        </w:tc>
      </w:tr>
      <w:tr w14:paraId="58B0463B">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4074B47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1</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91541A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8CB5D5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eastAsia="zh"/>
                <w:woUserID w:val="3"/>
              </w:rPr>
            </w:pPr>
            <w:r>
              <w:rPr>
                <w:rFonts w:hint="eastAsia" w:ascii="宋体" w:hAnsi="宋体" w:eastAsia="宋体" w:cs="宋体"/>
                <w:i w:val="0"/>
                <w:iCs w:val="0"/>
                <w:caps w:val="0"/>
                <w:color w:val="000000"/>
                <w:spacing w:val="0"/>
                <w:sz w:val="24"/>
                <w:szCs w:val="24"/>
                <w:u w:val="none"/>
                <w:lang w:eastAsia="zh"/>
                <w:woUserID w:val="3"/>
              </w:rPr>
              <w:t>是</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44485B4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val="en-US" w:eastAsia="zh-CN"/>
                <w:woUserID w:val="3"/>
              </w:rPr>
            </w:pPr>
            <w:r>
              <w:rPr>
                <w:rFonts w:hint="eastAsia" w:ascii="宋体" w:hAnsi="宋体" w:eastAsia="宋体" w:cs="宋体"/>
                <w:i w:val="0"/>
                <w:iCs w:val="0"/>
                <w:caps w:val="0"/>
                <w:color w:val="000000"/>
                <w:spacing w:val="0"/>
                <w:sz w:val="24"/>
                <w:szCs w:val="24"/>
                <w:u w:val="none"/>
                <w:lang w:val="en-US" w:eastAsia="zh-CN"/>
                <w:woUserID w:val="3"/>
              </w:rPr>
              <w:t>XX</w:t>
            </w:r>
          </w:p>
        </w:tc>
      </w:tr>
      <w:tr w14:paraId="7EA1A7B3">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70BE58E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2</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F612E6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91183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eastAsia="zh"/>
                <w:woUserID w:val="3"/>
              </w:rPr>
            </w:pPr>
            <w:r>
              <w:rPr>
                <w:rFonts w:hint="eastAsia" w:ascii="宋体" w:hAnsi="宋体" w:eastAsia="宋体" w:cs="宋体"/>
                <w:i w:val="0"/>
                <w:iCs w:val="0"/>
                <w:caps w:val="0"/>
                <w:color w:val="000000"/>
                <w:spacing w:val="0"/>
                <w:sz w:val="24"/>
                <w:szCs w:val="24"/>
                <w:u w:val="none"/>
                <w:lang w:eastAsia="zh"/>
                <w:woUserID w:val="3"/>
              </w:rPr>
              <w:t>是</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182DAD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val="en-US" w:eastAsia="zh-CN"/>
                <w:woUserID w:val="3"/>
              </w:rPr>
            </w:pPr>
            <w:r>
              <w:rPr>
                <w:rFonts w:hint="eastAsia" w:ascii="宋体" w:hAnsi="宋体" w:eastAsia="宋体" w:cs="宋体"/>
                <w:i w:val="0"/>
                <w:iCs w:val="0"/>
                <w:caps w:val="0"/>
                <w:color w:val="000000"/>
                <w:spacing w:val="0"/>
                <w:sz w:val="24"/>
                <w:szCs w:val="24"/>
                <w:u w:val="none"/>
                <w:lang w:val="en-US" w:eastAsia="zh-CN"/>
                <w:woUserID w:val="3"/>
              </w:rPr>
              <w:t>XX</w:t>
            </w:r>
          </w:p>
        </w:tc>
      </w:tr>
      <w:tr w14:paraId="03E945BE">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1B549CE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3</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EB5047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52B522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eastAsia="zh"/>
                <w:woUserID w:val="3"/>
              </w:rPr>
            </w:pPr>
            <w:r>
              <w:rPr>
                <w:rFonts w:hint="eastAsia" w:ascii="宋体" w:hAnsi="宋体" w:eastAsia="宋体" w:cs="宋体"/>
                <w:i w:val="0"/>
                <w:iCs w:val="0"/>
                <w:caps w:val="0"/>
                <w:color w:val="000000"/>
                <w:spacing w:val="0"/>
                <w:sz w:val="24"/>
                <w:szCs w:val="24"/>
                <w:u w:val="none"/>
                <w:lang w:eastAsia="zh"/>
                <w:woUserID w:val="3"/>
              </w:rPr>
              <w:t>否</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7174444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val="en-US" w:eastAsia="zh-CN"/>
                <w:woUserID w:val="3"/>
              </w:rPr>
            </w:pPr>
            <w:r>
              <w:rPr>
                <w:rFonts w:hint="eastAsia" w:ascii="宋体" w:hAnsi="宋体" w:eastAsia="宋体" w:cs="宋体"/>
                <w:i w:val="0"/>
                <w:iCs w:val="0"/>
                <w:caps w:val="0"/>
                <w:color w:val="000000"/>
                <w:spacing w:val="0"/>
                <w:sz w:val="24"/>
                <w:szCs w:val="24"/>
                <w:u w:val="none"/>
                <w:lang w:val="en-US" w:eastAsia="zh-CN"/>
                <w:woUserID w:val="3"/>
              </w:rPr>
              <w:t>XX</w:t>
            </w:r>
          </w:p>
        </w:tc>
      </w:tr>
      <w:tr w14:paraId="0A7AB887">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118" w:type="pct"/>
            <w:gridSpan w:val="3"/>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75C5E06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本国</w:t>
            </w:r>
            <w:r>
              <w:rPr>
                <w:rFonts w:hint="eastAsia" w:ascii="宋体" w:hAnsi="宋体" w:eastAsia="宋体" w:cs="宋体"/>
                <w:i w:val="0"/>
                <w:iCs w:val="0"/>
                <w:caps w:val="0"/>
                <w:color w:val="000000"/>
                <w:spacing w:val="0"/>
                <w:kern w:val="0"/>
                <w:sz w:val="24"/>
                <w:szCs w:val="24"/>
                <w:u w:val="none"/>
                <w:lang w:val="en-US" w:eastAsia="zh" w:bidi="ar"/>
                <w:woUserID w:val="2"/>
              </w:rPr>
              <w:t>产品</w:t>
            </w:r>
            <w:r>
              <w:rPr>
                <w:rFonts w:hint="eastAsia" w:ascii="宋体" w:hAnsi="宋体" w:eastAsia="宋体" w:cs="宋体"/>
                <w:i w:val="0"/>
                <w:iCs w:val="0"/>
                <w:caps w:val="0"/>
                <w:color w:val="000000"/>
                <w:spacing w:val="0"/>
                <w:kern w:val="0"/>
                <w:sz w:val="24"/>
                <w:szCs w:val="24"/>
                <w:u w:val="none"/>
                <w:lang w:val="en-US" w:eastAsia="zh-CN" w:bidi="ar"/>
                <w:woUserID w:val="1"/>
              </w:rPr>
              <w:t>在产品总成本中占比合计</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4ABBEB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both"/>
              <w:textAlignment w:val="baseline"/>
              <w:rPr>
                <w:rFonts w:hint="eastAsia" w:ascii="宋体" w:hAnsi="宋体" w:eastAsia="宋体" w:cs="宋体"/>
                <w:i w:val="0"/>
                <w:iCs w:val="0"/>
                <w:caps w:val="0"/>
                <w:color w:val="000000"/>
                <w:spacing w:val="0"/>
                <w:sz w:val="24"/>
                <w:szCs w:val="24"/>
                <w:u w:val="none"/>
                <w:lang w:eastAsia="zh"/>
                <w:woUserID w:val="3"/>
              </w:rPr>
            </w:pPr>
            <w:r>
              <w:rPr>
                <w:rFonts w:hint="eastAsia" w:ascii="宋体" w:hAnsi="宋体" w:eastAsia="宋体" w:cs="宋体"/>
                <w:i w:val="0"/>
                <w:iCs w:val="0"/>
                <w:caps w:val="0"/>
                <w:color w:val="000000"/>
                <w:spacing w:val="0"/>
                <w:sz w:val="24"/>
                <w:szCs w:val="24"/>
                <w:u w:val="none"/>
                <w:lang w:val="en-US" w:eastAsia="zh-CN"/>
                <w:woUserID w:val="3"/>
              </w:rPr>
              <w:t>XX</w:t>
            </w:r>
            <w:r>
              <w:rPr>
                <w:rFonts w:hint="eastAsia" w:ascii="宋体" w:hAnsi="宋体" w:eastAsia="宋体" w:cs="宋体"/>
                <w:i w:val="0"/>
                <w:iCs w:val="0"/>
                <w:caps w:val="0"/>
                <w:color w:val="000000"/>
                <w:spacing w:val="0"/>
                <w:sz w:val="24"/>
                <w:szCs w:val="24"/>
                <w:u w:val="none"/>
                <w:lang w:eastAsia="zh"/>
                <w:woUserID w:val="3"/>
              </w:rPr>
              <w:t>%</w:t>
            </w:r>
          </w:p>
        </w:tc>
      </w:tr>
    </w:tbl>
    <w:p w14:paraId="79A290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供应商名称（盖章）：__________________</w:t>
      </w:r>
    </w:p>
    <w:p w14:paraId="4635F58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i w:val="0"/>
          <w:iCs w:val="0"/>
          <w:caps w:val="0"/>
          <w:color w:val="000000"/>
          <w:spacing w:val="0"/>
          <w:sz w:val="24"/>
          <w:szCs w:val="24"/>
          <w:u w:val="none"/>
          <w:woUserID w:val="1"/>
        </w:rPr>
      </w:pPr>
      <w:r>
        <w:rPr>
          <w:rFonts w:hint="eastAsia" w:ascii="宋体" w:hAnsi="宋体" w:eastAsia="宋体" w:cs="宋体"/>
          <w:i w:val="0"/>
          <w:iCs w:val="0"/>
          <w:caps w:val="0"/>
          <w:color w:val="000000"/>
          <w:spacing w:val="0"/>
          <w:kern w:val="0"/>
          <w:sz w:val="24"/>
          <w:szCs w:val="24"/>
          <w:u w:val="none"/>
          <w:lang w:val="en-US" w:eastAsia="zh-CN" w:bidi="ar"/>
          <w:woUserID w:val="1"/>
        </w:rPr>
        <w:t>日期： 年 月 日</w:t>
      </w:r>
    </w:p>
    <w:p w14:paraId="1BD70CA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firstLine="0"/>
        <w:jc w:val="both"/>
        <w:textAlignment w:val="baseline"/>
        <w:rPr>
          <w:rFonts w:hint="eastAsia" w:ascii="宋体" w:hAnsi="宋体" w:eastAsia="宋体" w:cs="宋体"/>
          <w:b/>
          <w:bCs/>
          <w:i w:val="0"/>
          <w:iCs w:val="0"/>
          <w:caps w:val="0"/>
          <w:color w:val="000000"/>
          <w:spacing w:val="0"/>
          <w:sz w:val="24"/>
          <w:szCs w:val="24"/>
          <w:u w:val="none"/>
          <w:woUserID w:val="1"/>
        </w:rPr>
      </w:pPr>
      <w:r>
        <w:rPr>
          <w:rFonts w:hint="eastAsia" w:ascii="宋体" w:hAnsi="宋体" w:eastAsia="宋体" w:cs="宋体"/>
          <w:b/>
          <w:bCs/>
          <w:i w:val="0"/>
          <w:iCs w:val="0"/>
          <w:caps w:val="0"/>
          <w:color w:val="000000"/>
          <w:spacing w:val="0"/>
          <w:kern w:val="0"/>
          <w:sz w:val="24"/>
          <w:szCs w:val="24"/>
          <w:u w:val="none"/>
          <w:lang w:val="en-US" w:eastAsia="zh-CN" w:bidi="ar"/>
          <w:woUserID w:val="1"/>
        </w:rPr>
        <w:t>注：</w:t>
      </w:r>
    </w:p>
    <w:p w14:paraId="42ACA1B9">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left="425" w:leftChars="0" w:hanging="425" w:firstLineChars="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本采购项目所有货物、服务产品均在本承诺函填写。</w:t>
      </w:r>
    </w:p>
    <w:p w14:paraId="24C49048">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left="425" w:leftChars="0" w:hanging="425" w:firstLineChars="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供应商提供本国产品应符合《国务院办公厅关于在政府采购中实施本国产品标准及相关政策的通知》（国办发〔2025〕34号），如后续有更新的，则以更新后的文件为准。</w:t>
      </w:r>
    </w:p>
    <w:p w14:paraId="76B10234">
      <w:pPr>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left="425" w:leftChars="0" w:hanging="425" w:firstLineChars="0"/>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供应商须同时出具《关于符合本国产品标准的声明函》或财政部会同有关部门规定的有关证明文件。出具符合要求的《声明函》或有关证明文件的，该产品视为本国产品。</w:t>
      </w:r>
    </w:p>
    <w:p w14:paraId="087AE08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2"/>
          <w:highlight w:val="none"/>
        </w:rPr>
      </w:pPr>
    </w:p>
    <w:p w14:paraId="32C05AF4">
      <w:pPr>
        <w:pStyle w:val="5"/>
        <w:bidi w:val="0"/>
      </w:pPr>
    </w:p>
    <w:p w14:paraId="0471FCFD">
      <w:pPr>
        <w:pStyle w:val="5"/>
        <w:bidi w:val="0"/>
      </w:pPr>
    </w:p>
    <w:p w14:paraId="62F74C8B">
      <w:pPr>
        <w:pStyle w:val="5"/>
        <w:bidi w:val="0"/>
      </w:pPr>
      <w:bookmarkStart w:id="346" w:name="_Toc21441"/>
      <w:r>
        <w:t>八、投标供应商认为需提供的其他资料</w:t>
      </w:r>
      <w:bookmarkEnd w:id="346"/>
    </w:p>
    <w:p w14:paraId="7469B726">
      <w:pPr>
        <w:pStyle w:val="2"/>
        <w:keepNext w:val="0"/>
        <w:keepLines w:val="0"/>
        <w:pageBreakBefore w:val="0"/>
        <w:widowControl/>
        <w:kinsoku/>
        <w:wordWrap w:val="0"/>
        <w:overflowPunct/>
        <w:topLinePunct w:val="0"/>
        <w:autoSpaceDE/>
        <w:autoSpaceDN/>
        <w:bidi w:val="0"/>
        <w:adjustRightInd w:val="0"/>
        <w:snapToGrid w:val="0"/>
        <w:spacing w:before="287" w:line="360" w:lineRule="auto"/>
        <w:ind w:left="16"/>
        <w:textAlignment w:val="baseline"/>
        <w:rPr>
          <w:sz w:val="24"/>
          <w:szCs w:val="24"/>
          <w:highlight w:val="none"/>
        </w:rPr>
      </w:pPr>
      <w:r>
        <w:rPr>
          <w:spacing w:val="-2"/>
          <w:sz w:val="24"/>
          <w:szCs w:val="24"/>
          <w:highlight w:val="none"/>
        </w:rPr>
        <w:t>注：投标供应商认为需提供的其他资料包括：</w:t>
      </w:r>
    </w:p>
    <w:p w14:paraId="4E3E5B95">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31"/>
        <w:textAlignment w:val="baseline"/>
        <w:rPr>
          <w:sz w:val="24"/>
          <w:szCs w:val="24"/>
          <w:highlight w:val="none"/>
        </w:rPr>
      </w:pPr>
      <w:r>
        <w:rPr>
          <w:spacing w:val="-2"/>
          <w:sz w:val="24"/>
          <w:szCs w:val="24"/>
          <w:highlight w:val="none"/>
        </w:rPr>
        <w:t>1.招标文件第四章评标方法及标准要求的其他相关资料；</w:t>
      </w:r>
    </w:p>
    <w:p w14:paraId="77F5A45C">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504"/>
        <w:textAlignment w:val="baseline"/>
        <w:rPr>
          <w:sz w:val="24"/>
          <w:szCs w:val="24"/>
          <w:highlight w:val="none"/>
        </w:rPr>
      </w:pPr>
      <w:r>
        <w:rPr>
          <w:spacing w:val="-2"/>
          <w:sz w:val="24"/>
          <w:szCs w:val="24"/>
          <w:highlight w:val="none"/>
        </w:rPr>
        <w:t>2.招标文件第五章采购需求要求的其他资料。</w:t>
      </w:r>
    </w:p>
    <w:p w14:paraId="57A0421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23EDB9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r>
        <w:rPr>
          <w:rFonts w:ascii="Arial"/>
          <w:sz w:val="21"/>
          <w:highlight w:val="none"/>
        </w:rPr>
        <w:br w:type="page"/>
      </w:r>
    </w:p>
    <w:p w14:paraId="147635E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5D5591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4E996E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355885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DF1CDC1">
      <w:pPr>
        <w:pStyle w:val="2"/>
        <w:keepNext w:val="0"/>
        <w:keepLines w:val="0"/>
        <w:pageBreakBefore w:val="0"/>
        <w:widowControl/>
        <w:kinsoku/>
        <w:wordWrap w:val="0"/>
        <w:overflowPunct/>
        <w:topLinePunct w:val="0"/>
        <w:autoSpaceDE/>
        <w:autoSpaceDN/>
        <w:bidi w:val="0"/>
        <w:adjustRightInd w:val="0"/>
        <w:snapToGrid w:val="0"/>
        <w:spacing w:before="228" w:line="360" w:lineRule="auto"/>
        <w:jc w:val="center"/>
        <w:textAlignment w:val="baseline"/>
        <w:rPr>
          <w:rFonts w:ascii="Arial"/>
          <w:b/>
          <w:bCs/>
          <w:sz w:val="21"/>
          <w:highlight w:val="none"/>
        </w:rPr>
      </w:pPr>
      <w:r>
        <w:rPr>
          <w:b/>
          <w:bCs/>
          <w:spacing w:val="5"/>
          <w:sz w:val="70"/>
          <w:szCs w:val="70"/>
          <w:highlight w:val="none"/>
        </w:rPr>
        <w:t>政府采购</w:t>
      </w:r>
    </w:p>
    <w:p w14:paraId="65234D15">
      <w:pPr>
        <w:pStyle w:val="2"/>
        <w:keepNext w:val="0"/>
        <w:keepLines w:val="0"/>
        <w:pageBreakBefore w:val="0"/>
        <w:widowControl/>
        <w:kinsoku/>
        <w:wordWrap w:val="0"/>
        <w:overflowPunct/>
        <w:topLinePunct w:val="0"/>
        <w:autoSpaceDE/>
        <w:autoSpaceDN/>
        <w:bidi w:val="0"/>
        <w:adjustRightInd w:val="0"/>
        <w:snapToGrid w:val="0"/>
        <w:spacing w:before="266" w:line="360" w:lineRule="auto"/>
        <w:jc w:val="center"/>
        <w:textAlignment w:val="baseline"/>
        <w:outlineLvl w:val="0"/>
        <w:rPr>
          <w:b/>
          <w:bCs/>
          <w:sz w:val="82"/>
          <w:szCs w:val="82"/>
          <w:highlight w:val="none"/>
        </w:rPr>
      </w:pPr>
      <w:bookmarkStart w:id="347" w:name="bookmark56"/>
      <w:bookmarkEnd w:id="347"/>
      <w:bookmarkStart w:id="348" w:name="_Toc9208"/>
      <w:bookmarkStart w:id="349" w:name="_Toc11019"/>
      <w:bookmarkStart w:id="350" w:name="_Toc521"/>
      <w:bookmarkStart w:id="351" w:name="_Toc8391"/>
      <w:r>
        <w:rPr>
          <w:b/>
          <w:bCs/>
          <w:spacing w:val="-31"/>
          <w:sz w:val="82"/>
          <w:szCs w:val="82"/>
          <w:highlight w:val="none"/>
        </w:rPr>
        <w:t>投标文件</w:t>
      </w:r>
      <w:bookmarkEnd w:id="348"/>
      <w:bookmarkEnd w:id="349"/>
      <w:bookmarkEnd w:id="350"/>
      <w:bookmarkEnd w:id="351"/>
    </w:p>
    <w:p w14:paraId="10CECEF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6512ED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05FA4DB">
      <w:pPr>
        <w:pStyle w:val="5"/>
        <w:bidi w:val="0"/>
      </w:pPr>
      <w:bookmarkStart w:id="352" w:name="_Toc14605"/>
      <w:bookmarkStart w:id="353" w:name="_Toc17088"/>
      <w:bookmarkStart w:id="354" w:name="_Toc22751"/>
      <w:r>
        <w:t>第三部分技术文件</w:t>
      </w:r>
      <w:bookmarkEnd w:id="352"/>
      <w:bookmarkEnd w:id="353"/>
      <w:bookmarkEnd w:id="354"/>
    </w:p>
    <w:p w14:paraId="3DBC255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9F49D8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DAB747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3C3E464">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2"/>
          <w:highlight w:val="none"/>
        </w:rPr>
        <w:t>采购项目名称:</w:t>
      </w:r>
      <w:r>
        <w:rPr>
          <w:rFonts w:hint="eastAsia"/>
          <w:spacing w:val="-4"/>
          <w:sz w:val="24"/>
          <w:szCs w:val="24"/>
          <w:highlight w:val="none"/>
          <w:u w:val="single"/>
          <w:lang w:val="en-US" w:eastAsia="zh-CN"/>
        </w:rPr>
        <w:t xml:space="preserve">                                   </w:t>
      </w:r>
    </w:p>
    <w:p w14:paraId="00DBC9E2">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7"/>
          <w:highlight w:val="none"/>
        </w:rPr>
        <w:t>采购人：</w:t>
      </w:r>
      <w:r>
        <w:rPr>
          <w:rFonts w:hint="eastAsia"/>
          <w:spacing w:val="-4"/>
          <w:sz w:val="24"/>
          <w:szCs w:val="24"/>
          <w:highlight w:val="none"/>
          <w:u w:val="single"/>
          <w:lang w:val="en-US" w:eastAsia="zh-CN"/>
        </w:rPr>
        <w:t xml:space="preserve">                                   </w:t>
      </w:r>
    </w:p>
    <w:p w14:paraId="6E0650F6">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2"/>
          <w:highlight w:val="none"/>
        </w:rPr>
        <w:t>政府采购编号:</w:t>
      </w:r>
      <w:r>
        <w:rPr>
          <w:rFonts w:hint="eastAsia"/>
          <w:spacing w:val="-4"/>
          <w:sz w:val="24"/>
          <w:szCs w:val="24"/>
          <w:highlight w:val="none"/>
          <w:u w:val="single"/>
          <w:lang w:val="en-US" w:eastAsia="zh-CN"/>
        </w:rPr>
        <w:t xml:space="preserve">                                   </w:t>
      </w:r>
    </w:p>
    <w:p w14:paraId="0D43D704">
      <w:pPr>
        <w:pStyle w:val="2"/>
        <w:keepNext w:val="0"/>
        <w:keepLines w:val="0"/>
        <w:pageBreakBefore w:val="0"/>
        <w:widowControl/>
        <w:kinsoku/>
        <w:wordWrap w:val="0"/>
        <w:overflowPunct/>
        <w:topLinePunct w:val="0"/>
        <w:autoSpaceDE/>
        <w:autoSpaceDN/>
        <w:bidi w:val="0"/>
        <w:adjustRightInd w:val="0"/>
        <w:snapToGrid w:val="0"/>
        <w:spacing w:before="97" w:line="360" w:lineRule="auto"/>
        <w:ind w:left="620"/>
        <w:textAlignment w:val="baseline"/>
        <w:rPr>
          <w:rFonts w:hint="eastAsia" w:eastAsia="宋体"/>
          <w:highlight w:val="none"/>
          <w:lang w:eastAsia="zh-CN"/>
        </w:rPr>
      </w:pPr>
      <w:r>
        <w:rPr>
          <w:b/>
          <w:bCs/>
          <w:spacing w:val="-2"/>
          <w:highlight w:val="none"/>
        </w:rPr>
        <w:t>采购代理编号:</w:t>
      </w:r>
      <w:r>
        <w:rPr>
          <w:rFonts w:hint="eastAsia"/>
          <w:spacing w:val="-4"/>
          <w:sz w:val="24"/>
          <w:szCs w:val="24"/>
          <w:highlight w:val="none"/>
          <w:u w:val="single"/>
          <w:lang w:val="en-US" w:eastAsia="zh-CN"/>
        </w:rPr>
        <w:t xml:space="preserve">                                   </w:t>
      </w:r>
    </w:p>
    <w:p w14:paraId="08AE579B">
      <w:pPr>
        <w:pStyle w:val="2"/>
        <w:keepNext w:val="0"/>
        <w:keepLines w:val="0"/>
        <w:pageBreakBefore w:val="0"/>
        <w:widowControl/>
        <w:kinsoku/>
        <w:wordWrap w:val="0"/>
        <w:overflowPunct/>
        <w:topLinePunct w:val="0"/>
        <w:autoSpaceDE/>
        <w:autoSpaceDN/>
        <w:bidi w:val="0"/>
        <w:adjustRightInd w:val="0"/>
        <w:snapToGrid w:val="0"/>
        <w:spacing w:before="98" w:line="360" w:lineRule="auto"/>
        <w:ind w:left="620"/>
        <w:textAlignment w:val="baseline"/>
        <w:rPr>
          <w:rFonts w:hint="eastAsia" w:eastAsia="宋体"/>
          <w:highlight w:val="none"/>
          <w:lang w:eastAsia="zh-CN"/>
        </w:rPr>
      </w:pPr>
      <w:r>
        <w:rPr>
          <w:b/>
          <w:bCs/>
          <w:spacing w:val="-4"/>
          <w:highlight w:val="none"/>
        </w:rPr>
        <w:t>采购代理机构：</w:t>
      </w:r>
      <w:r>
        <w:rPr>
          <w:rFonts w:hint="eastAsia"/>
          <w:spacing w:val="-4"/>
          <w:sz w:val="24"/>
          <w:szCs w:val="24"/>
          <w:highlight w:val="none"/>
          <w:u w:val="single"/>
          <w:lang w:val="en-US" w:eastAsia="zh-CN"/>
        </w:rPr>
        <w:t xml:space="preserve">                                   </w:t>
      </w:r>
    </w:p>
    <w:p w14:paraId="5104F60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383677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1323FE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5DAE61D">
      <w:pPr>
        <w:pStyle w:val="2"/>
        <w:keepNext w:val="0"/>
        <w:keepLines w:val="0"/>
        <w:pageBreakBefore w:val="0"/>
        <w:widowControl/>
        <w:kinsoku/>
        <w:wordWrap w:val="0"/>
        <w:overflowPunct/>
        <w:topLinePunct w:val="0"/>
        <w:autoSpaceDE/>
        <w:autoSpaceDN/>
        <w:bidi w:val="0"/>
        <w:adjustRightInd w:val="0"/>
        <w:snapToGrid w:val="0"/>
        <w:spacing w:before="97" w:line="360" w:lineRule="auto"/>
        <w:ind w:left="1945"/>
        <w:textAlignment w:val="baseline"/>
        <w:rPr>
          <w:rFonts w:hint="eastAsia" w:eastAsia="宋体"/>
          <w:highlight w:val="none"/>
          <w:lang w:eastAsia="zh-CN"/>
        </w:rPr>
      </w:pPr>
      <w:r>
        <w:rPr>
          <w:b/>
          <w:bCs/>
          <w:spacing w:val="5"/>
          <w:highlight w:val="none"/>
        </w:rPr>
        <w:t>投标供应商：</w:t>
      </w:r>
      <w:r>
        <w:rPr>
          <w:rFonts w:hint="eastAsia"/>
          <w:spacing w:val="-4"/>
          <w:sz w:val="24"/>
          <w:szCs w:val="24"/>
          <w:highlight w:val="none"/>
          <w:u w:val="single"/>
          <w:lang w:val="en-US" w:eastAsia="zh-CN"/>
        </w:rPr>
        <w:t xml:space="preserve">                                   </w:t>
      </w:r>
    </w:p>
    <w:p w14:paraId="64D50128">
      <w:pPr>
        <w:pStyle w:val="2"/>
        <w:keepNext w:val="0"/>
        <w:keepLines w:val="0"/>
        <w:pageBreakBefore w:val="0"/>
        <w:widowControl/>
        <w:kinsoku/>
        <w:wordWrap w:val="0"/>
        <w:overflowPunct/>
        <w:topLinePunct w:val="0"/>
        <w:autoSpaceDE/>
        <w:autoSpaceDN/>
        <w:bidi w:val="0"/>
        <w:adjustRightInd w:val="0"/>
        <w:snapToGrid w:val="0"/>
        <w:spacing w:before="260" w:line="360" w:lineRule="auto"/>
        <w:ind w:left="2520" w:leftChars="0" w:firstLine="0" w:firstLineChars="0"/>
        <w:textAlignment w:val="baseline"/>
        <w:rPr>
          <w:rFonts w:ascii="Arial"/>
          <w:sz w:val="21"/>
          <w:highlight w:val="none"/>
        </w:rPr>
      </w:pPr>
      <w:r>
        <w:rPr>
          <w:rFonts w:hint="eastAsia"/>
          <w:spacing w:val="-4"/>
          <w:sz w:val="24"/>
          <w:szCs w:val="24"/>
          <w:highlight w:val="none"/>
          <w:u w:val="single"/>
          <w:lang w:val="en-US" w:eastAsia="zh-CN"/>
        </w:rPr>
        <w:t xml:space="preserve">       </w:t>
      </w:r>
      <w:r>
        <w:rPr>
          <w:b/>
          <w:bCs/>
          <w:spacing w:val="-4"/>
          <w:highlight w:val="none"/>
        </w:rPr>
        <w:t>年</w:t>
      </w:r>
      <w:r>
        <w:rPr>
          <w:rFonts w:hint="eastAsia"/>
          <w:spacing w:val="-4"/>
          <w:sz w:val="24"/>
          <w:szCs w:val="24"/>
          <w:highlight w:val="none"/>
          <w:u w:val="single"/>
          <w:lang w:val="en-US" w:eastAsia="zh-CN"/>
        </w:rPr>
        <w:t xml:space="preserve">       </w:t>
      </w:r>
      <w:r>
        <w:rPr>
          <w:b/>
          <w:bCs/>
          <w:spacing w:val="-4"/>
          <w:highlight w:val="none"/>
        </w:rPr>
        <w:t>月</w:t>
      </w:r>
      <w:r>
        <w:rPr>
          <w:rFonts w:hint="eastAsia"/>
          <w:spacing w:val="-4"/>
          <w:sz w:val="24"/>
          <w:szCs w:val="24"/>
          <w:highlight w:val="none"/>
          <w:u w:val="single"/>
          <w:lang w:val="en-US" w:eastAsia="zh-CN"/>
        </w:rPr>
        <w:t xml:space="preserve">       </w:t>
      </w:r>
      <w:r>
        <w:rPr>
          <w:b/>
          <w:bCs/>
          <w:spacing w:val="-4"/>
          <w:highlight w:val="none"/>
        </w:rPr>
        <w:t>日</w:t>
      </w:r>
    </w:p>
    <w:p w14:paraId="7E154D6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618FE3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53AC5C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9"/>
          <w:highlight w:val="none"/>
        </w:rPr>
      </w:pPr>
      <w:bookmarkStart w:id="355" w:name="bookmark57"/>
      <w:bookmarkEnd w:id="355"/>
      <w:r>
        <w:rPr>
          <w:b/>
          <w:bCs/>
          <w:spacing w:val="9"/>
          <w:highlight w:val="none"/>
        </w:rPr>
        <w:br w:type="page"/>
      </w:r>
    </w:p>
    <w:p w14:paraId="39E2870E">
      <w:pPr>
        <w:pStyle w:val="5"/>
        <w:bidi w:val="0"/>
      </w:pPr>
      <w:bookmarkStart w:id="356" w:name="_Toc22683"/>
      <w:r>
        <w:t>九、采购需求响应</w:t>
      </w:r>
      <w:bookmarkEnd w:id="356"/>
    </w:p>
    <w:p w14:paraId="05681665">
      <w:pPr>
        <w:pStyle w:val="2"/>
        <w:keepNext w:val="0"/>
        <w:keepLines w:val="0"/>
        <w:pageBreakBefore w:val="0"/>
        <w:widowControl/>
        <w:kinsoku/>
        <w:wordWrap w:val="0"/>
        <w:overflowPunct/>
        <w:topLinePunct w:val="0"/>
        <w:autoSpaceDE/>
        <w:autoSpaceDN/>
        <w:bidi w:val="0"/>
        <w:adjustRightInd w:val="0"/>
        <w:snapToGrid w:val="0"/>
        <w:spacing w:before="272" w:line="360" w:lineRule="auto"/>
        <w:ind w:left="16" w:firstLine="4"/>
        <w:textAlignment w:val="baseline"/>
        <w:rPr>
          <w:sz w:val="24"/>
          <w:szCs w:val="24"/>
          <w:highlight w:val="none"/>
        </w:rPr>
      </w:pPr>
      <w:r>
        <w:rPr>
          <w:spacing w:val="1"/>
          <w:sz w:val="24"/>
          <w:szCs w:val="24"/>
          <w:highlight w:val="none"/>
        </w:rPr>
        <w:t>编制说明：投标供应商应按招标文件第五章采购需求自行编写采购需求</w:t>
      </w:r>
      <w:r>
        <w:rPr>
          <w:rFonts w:hint="eastAsia"/>
          <w:spacing w:val="1"/>
          <w:sz w:val="24"/>
          <w:szCs w:val="24"/>
          <w:highlight w:val="none"/>
          <w:lang w:eastAsia="zh-CN"/>
        </w:rPr>
        <w:t>投标</w:t>
      </w:r>
      <w:r>
        <w:rPr>
          <w:spacing w:val="1"/>
          <w:sz w:val="24"/>
          <w:szCs w:val="24"/>
          <w:highlight w:val="none"/>
        </w:rPr>
        <w:t>文件（其内容可包</w:t>
      </w:r>
      <w:r>
        <w:rPr>
          <w:spacing w:val="-3"/>
          <w:sz w:val="24"/>
          <w:szCs w:val="24"/>
          <w:highlight w:val="none"/>
        </w:rPr>
        <w:t>括，且不限于详细的技术指标和性能、售后服务和技术服务的组织及保证措</w:t>
      </w:r>
      <w:r>
        <w:rPr>
          <w:spacing w:val="-4"/>
          <w:sz w:val="24"/>
          <w:szCs w:val="24"/>
          <w:highlight w:val="none"/>
        </w:rPr>
        <w:t>施等，格式自拟）。</w:t>
      </w:r>
    </w:p>
    <w:p w14:paraId="547869A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470346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67F60F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15E29C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4D60E5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BA8ED6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1877C9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61CC1C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BEED8F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3FA9136">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24"/>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405958C0">
      <w:pPr>
        <w:pStyle w:val="2"/>
        <w:keepNext w:val="0"/>
        <w:keepLines w:val="0"/>
        <w:pageBreakBefore w:val="0"/>
        <w:widowControl/>
        <w:kinsoku/>
        <w:wordWrap w:val="0"/>
        <w:overflowPunct/>
        <w:topLinePunct w:val="0"/>
        <w:autoSpaceDE/>
        <w:autoSpaceDN/>
        <w:bidi w:val="0"/>
        <w:adjustRightInd w:val="0"/>
        <w:snapToGrid w:val="0"/>
        <w:spacing w:before="180" w:line="360" w:lineRule="auto"/>
        <w:ind w:left="19"/>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7C3579F3">
      <w:pPr>
        <w:pStyle w:val="2"/>
        <w:keepNext w:val="0"/>
        <w:keepLines w:val="0"/>
        <w:pageBreakBefore w:val="0"/>
        <w:widowControl/>
        <w:kinsoku/>
        <w:wordWrap w:val="0"/>
        <w:overflowPunct/>
        <w:topLinePunct w:val="0"/>
        <w:autoSpaceDE/>
        <w:autoSpaceDN/>
        <w:bidi w:val="0"/>
        <w:adjustRightInd w:val="0"/>
        <w:snapToGrid w:val="0"/>
        <w:spacing w:before="185" w:line="360" w:lineRule="auto"/>
        <w:ind w:left="98"/>
        <w:textAlignment w:val="baseline"/>
        <w:rPr>
          <w:sz w:val="24"/>
          <w:szCs w:val="24"/>
          <w:highlight w:val="none"/>
        </w:rPr>
      </w:pPr>
      <w:r>
        <w:rPr>
          <w:b/>
          <w:bCs/>
          <w:spacing w:val="-23"/>
          <w:sz w:val="24"/>
          <w:szCs w:val="24"/>
          <w:highlight w:val="none"/>
        </w:rPr>
        <w:t>日期：</w:t>
      </w:r>
      <w:r>
        <w:rPr>
          <w:rFonts w:hint="eastAsia"/>
          <w:spacing w:val="-4"/>
          <w:sz w:val="24"/>
          <w:szCs w:val="24"/>
          <w:highlight w:val="none"/>
          <w:u w:val="single"/>
          <w:lang w:val="en-US" w:eastAsia="zh-CN"/>
        </w:rPr>
        <w:t xml:space="preserve">     </w:t>
      </w:r>
      <w:r>
        <w:rPr>
          <w:b/>
          <w:bCs/>
          <w:spacing w:val="-23"/>
          <w:sz w:val="24"/>
          <w:szCs w:val="24"/>
          <w:highlight w:val="none"/>
        </w:rPr>
        <w:t>年</w:t>
      </w:r>
      <w:r>
        <w:rPr>
          <w:rFonts w:hint="eastAsia"/>
          <w:spacing w:val="-4"/>
          <w:sz w:val="24"/>
          <w:szCs w:val="24"/>
          <w:highlight w:val="none"/>
          <w:u w:val="single"/>
          <w:lang w:val="en-US" w:eastAsia="zh-CN"/>
        </w:rPr>
        <w:t xml:space="preserve">     </w:t>
      </w:r>
      <w:r>
        <w:rPr>
          <w:b/>
          <w:bCs/>
          <w:spacing w:val="-23"/>
          <w:sz w:val="24"/>
          <w:szCs w:val="24"/>
          <w:highlight w:val="none"/>
        </w:rPr>
        <w:t>月</w:t>
      </w:r>
      <w:r>
        <w:rPr>
          <w:rFonts w:hint="eastAsia"/>
          <w:spacing w:val="-4"/>
          <w:sz w:val="24"/>
          <w:szCs w:val="24"/>
          <w:highlight w:val="none"/>
          <w:u w:val="single"/>
          <w:lang w:val="en-US" w:eastAsia="zh-CN"/>
        </w:rPr>
        <w:t xml:space="preserve">     </w:t>
      </w:r>
      <w:r>
        <w:rPr>
          <w:b/>
          <w:bCs/>
          <w:spacing w:val="-23"/>
          <w:sz w:val="24"/>
          <w:szCs w:val="24"/>
          <w:highlight w:val="none"/>
        </w:rPr>
        <w:t>日</w:t>
      </w:r>
    </w:p>
    <w:p w14:paraId="59C8E57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B45237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2"/>
          <w:sz w:val="19"/>
          <w:szCs w:val="19"/>
          <w:highlight w:val="none"/>
        </w:rPr>
      </w:pPr>
      <w:r>
        <w:rPr>
          <w:b/>
          <w:bCs/>
          <w:spacing w:val="2"/>
          <w:sz w:val="19"/>
          <w:szCs w:val="19"/>
          <w:highlight w:val="none"/>
        </w:rPr>
        <w:br w:type="page"/>
      </w:r>
    </w:p>
    <w:p w14:paraId="338CF83B">
      <w:pPr>
        <w:pStyle w:val="6"/>
        <w:bidi w:val="0"/>
      </w:pPr>
      <w:bookmarkStart w:id="357" w:name="_Toc159"/>
      <w:bookmarkStart w:id="358" w:name="_Toc12399"/>
      <w:bookmarkStart w:id="359" w:name="_Toc19859"/>
      <w:r>
        <w:t>附件9-1响应一览表</w:t>
      </w:r>
      <w:bookmarkEnd w:id="357"/>
      <w:bookmarkEnd w:id="358"/>
      <w:bookmarkEnd w:id="359"/>
    </w:p>
    <w:p w14:paraId="776F8778">
      <w:pPr>
        <w:pStyle w:val="2"/>
        <w:keepNext w:val="0"/>
        <w:keepLines w:val="0"/>
        <w:pageBreakBefore w:val="0"/>
        <w:widowControl/>
        <w:kinsoku/>
        <w:wordWrap w:val="0"/>
        <w:overflowPunct/>
        <w:topLinePunct w:val="0"/>
        <w:autoSpaceDE/>
        <w:autoSpaceDN/>
        <w:bidi w:val="0"/>
        <w:adjustRightInd w:val="0"/>
        <w:snapToGrid w:val="0"/>
        <w:spacing w:before="299" w:line="360" w:lineRule="auto"/>
        <w:ind w:left="4287"/>
        <w:textAlignment w:val="baseline"/>
        <w:rPr>
          <w:sz w:val="28"/>
          <w:szCs w:val="28"/>
          <w:highlight w:val="none"/>
        </w:rPr>
      </w:pPr>
      <w:bookmarkStart w:id="360" w:name="bookmark58"/>
      <w:bookmarkEnd w:id="360"/>
      <w:r>
        <w:rPr>
          <w:b/>
          <w:bCs/>
          <w:spacing w:val="-13"/>
          <w:sz w:val="28"/>
          <w:szCs w:val="28"/>
          <w:highlight w:val="none"/>
        </w:rPr>
        <w:t>响应一览表</w:t>
      </w:r>
    </w:p>
    <w:p w14:paraId="2B1BFAC7">
      <w:pPr>
        <w:keepNext w:val="0"/>
        <w:keepLines w:val="0"/>
        <w:pageBreakBefore w:val="0"/>
        <w:widowControl/>
        <w:kinsoku/>
        <w:wordWrap w:val="0"/>
        <w:overflowPunct/>
        <w:topLinePunct w:val="0"/>
        <w:autoSpaceDE/>
        <w:autoSpaceDN/>
        <w:bidi w:val="0"/>
        <w:adjustRightInd w:val="0"/>
        <w:snapToGrid w:val="0"/>
        <w:spacing w:before="218" w:line="360" w:lineRule="auto"/>
        <w:textAlignment w:val="baseline"/>
        <w:rPr>
          <w:highlight w:val="none"/>
        </w:rPr>
      </w:pPr>
    </w:p>
    <w:tbl>
      <w:tblPr>
        <w:tblStyle w:val="20"/>
        <w:tblW w:w="9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91"/>
        <w:gridCol w:w="2374"/>
        <w:gridCol w:w="759"/>
        <w:gridCol w:w="893"/>
        <w:gridCol w:w="1174"/>
        <w:gridCol w:w="1174"/>
        <w:gridCol w:w="1193"/>
      </w:tblGrid>
      <w:tr w14:paraId="3ABF3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15" w:hRule="atLeast"/>
        </w:trPr>
        <w:tc>
          <w:tcPr>
            <w:tcW w:w="712" w:type="dxa"/>
            <w:vAlign w:val="top"/>
          </w:tcPr>
          <w:p w14:paraId="3A41B9C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E686CF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32"/>
              <w:textAlignment w:val="baseline"/>
              <w:rPr>
                <w:highlight w:val="none"/>
              </w:rPr>
            </w:pPr>
            <w:r>
              <w:rPr>
                <w:spacing w:val="-5"/>
                <w:highlight w:val="none"/>
              </w:rPr>
              <w:t>序号</w:t>
            </w:r>
          </w:p>
        </w:tc>
        <w:tc>
          <w:tcPr>
            <w:tcW w:w="1591" w:type="dxa"/>
            <w:vAlign w:val="top"/>
          </w:tcPr>
          <w:p w14:paraId="5DA7F36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26B8850">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327"/>
              <w:textAlignment w:val="baseline"/>
              <w:rPr>
                <w:highlight w:val="none"/>
              </w:rPr>
            </w:pPr>
            <w:r>
              <w:rPr>
                <w:spacing w:val="-5"/>
                <w:highlight w:val="none"/>
              </w:rPr>
              <w:t>标的名称</w:t>
            </w:r>
          </w:p>
        </w:tc>
        <w:tc>
          <w:tcPr>
            <w:tcW w:w="2374" w:type="dxa"/>
            <w:vAlign w:val="top"/>
          </w:tcPr>
          <w:p w14:paraId="184406A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55FE2BF">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24"/>
              <w:textAlignment w:val="baseline"/>
              <w:rPr>
                <w:highlight w:val="none"/>
              </w:rPr>
            </w:pPr>
            <w:r>
              <w:rPr>
                <w:spacing w:val="-3"/>
                <w:highlight w:val="none"/>
              </w:rPr>
              <w:t>主要技术参数或规格</w:t>
            </w:r>
          </w:p>
        </w:tc>
        <w:tc>
          <w:tcPr>
            <w:tcW w:w="759" w:type="dxa"/>
            <w:vAlign w:val="top"/>
          </w:tcPr>
          <w:p w14:paraId="65CA8A1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A02FAB3">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57"/>
              <w:textAlignment w:val="baseline"/>
              <w:rPr>
                <w:highlight w:val="none"/>
              </w:rPr>
            </w:pPr>
            <w:r>
              <w:rPr>
                <w:spacing w:val="-6"/>
                <w:highlight w:val="none"/>
              </w:rPr>
              <w:t>数量</w:t>
            </w:r>
          </w:p>
        </w:tc>
        <w:tc>
          <w:tcPr>
            <w:tcW w:w="893" w:type="dxa"/>
            <w:vAlign w:val="top"/>
          </w:tcPr>
          <w:p w14:paraId="52C007D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BCC36CF">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226"/>
              <w:textAlignment w:val="baseline"/>
              <w:rPr>
                <w:highlight w:val="none"/>
              </w:rPr>
            </w:pPr>
            <w:r>
              <w:rPr>
                <w:spacing w:val="-6"/>
                <w:highlight w:val="none"/>
              </w:rPr>
              <w:t>单位</w:t>
            </w:r>
          </w:p>
        </w:tc>
        <w:tc>
          <w:tcPr>
            <w:tcW w:w="1174" w:type="dxa"/>
            <w:vAlign w:val="top"/>
          </w:tcPr>
          <w:p w14:paraId="35FB01D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AD46E5D">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32"/>
              <w:textAlignment w:val="baseline"/>
              <w:rPr>
                <w:highlight w:val="none"/>
              </w:rPr>
            </w:pPr>
            <w:r>
              <w:rPr>
                <w:spacing w:val="-6"/>
                <w:highlight w:val="none"/>
              </w:rPr>
              <w:t>是否响应</w:t>
            </w:r>
          </w:p>
        </w:tc>
        <w:tc>
          <w:tcPr>
            <w:tcW w:w="1174" w:type="dxa"/>
            <w:vAlign w:val="top"/>
          </w:tcPr>
          <w:p w14:paraId="6B2112B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866726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25"/>
              <w:textAlignment w:val="baseline"/>
              <w:rPr>
                <w:highlight w:val="none"/>
              </w:rPr>
            </w:pPr>
            <w:r>
              <w:rPr>
                <w:spacing w:val="-5"/>
                <w:highlight w:val="none"/>
              </w:rPr>
              <w:t>节能产品</w:t>
            </w:r>
          </w:p>
        </w:tc>
        <w:tc>
          <w:tcPr>
            <w:tcW w:w="1193" w:type="dxa"/>
            <w:vAlign w:val="top"/>
          </w:tcPr>
          <w:p w14:paraId="758ED67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1614CC1">
            <w:pPr>
              <w:pStyle w:val="21"/>
              <w:keepNext w:val="0"/>
              <w:keepLines w:val="0"/>
              <w:pageBreakBefore w:val="0"/>
              <w:widowControl/>
              <w:kinsoku/>
              <w:wordWrap w:val="0"/>
              <w:overflowPunct/>
              <w:topLinePunct w:val="0"/>
              <w:autoSpaceDE/>
              <w:autoSpaceDN/>
              <w:bidi w:val="0"/>
              <w:adjustRightInd w:val="0"/>
              <w:snapToGrid w:val="0"/>
              <w:spacing w:before="78" w:line="360" w:lineRule="auto"/>
              <w:ind w:left="123"/>
              <w:textAlignment w:val="baseline"/>
              <w:rPr>
                <w:highlight w:val="none"/>
              </w:rPr>
            </w:pPr>
            <w:r>
              <w:rPr>
                <w:spacing w:val="-4"/>
                <w:highlight w:val="none"/>
              </w:rPr>
              <w:t>进口产品</w:t>
            </w:r>
          </w:p>
        </w:tc>
      </w:tr>
      <w:tr w14:paraId="5B9F2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12" w:type="dxa"/>
            <w:vAlign w:val="top"/>
          </w:tcPr>
          <w:p w14:paraId="561E1CA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91" w:type="dxa"/>
            <w:vAlign w:val="top"/>
          </w:tcPr>
          <w:p w14:paraId="26254B2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374" w:type="dxa"/>
            <w:vAlign w:val="top"/>
          </w:tcPr>
          <w:p w14:paraId="71D8C5B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759" w:type="dxa"/>
            <w:vAlign w:val="top"/>
          </w:tcPr>
          <w:p w14:paraId="3AD5B72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93" w:type="dxa"/>
            <w:vAlign w:val="top"/>
          </w:tcPr>
          <w:p w14:paraId="487A1DD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409F922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293891F6">
            <w:pPr>
              <w:keepNext w:val="0"/>
              <w:keepLines w:val="0"/>
              <w:pageBreakBefore w:val="0"/>
              <w:widowControl/>
              <w:kinsoku/>
              <w:wordWrap w:val="0"/>
              <w:overflowPunct/>
              <w:topLinePunct w:val="0"/>
              <w:autoSpaceDE/>
              <w:autoSpaceDN/>
              <w:bidi w:val="0"/>
              <w:adjustRightInd w:val="0"/>
              <w:snapToGrid w:val="0"/>
              <w:spacing w:before="214" w:line="360" w:lineRule="auto"/>
              <w:ind w:left="523"/>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c>
          <w:tcPr>
            <w:tcW w:w="1193" w:type="dxa"/>
            <w:vAlign w:val="top"/>
          </w:tcPr>
          <w:p w14:paraId="4AB62B47">
            <w:pPr>
              <w:keepNext w:val="0"/>
              <w:keepLines w:val="0"/>
              <w:pageBreakBefore w:val="0"/>
              <w:widowControl/>
              <w:kinsoku/>
              <w:wordWrap w:val="0"/>
              <w:overflowPunct/>
              <w:topLinePunct w:val="0"/>
              <w:autoSpaceDE/>
              <w:autoSpaceDN/>
              <w:bidi w:val="0"/>
              <w:adjustRightInd w:val="0"/>
              <w:snapToGrid w:val="0"/>
              <w:spacing w:before="214" w:line="360" w:lineRule="auto"/>
              <w:ind w:left="525"/>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r>
      <w:tr w14:paraId="11357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712" w:type="dxa"/>
            <w:vAlign w:val="top"/>
          </w:tcPr>
          <w:p w14:paraId="71F24EB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91" w:type="dxa"/>
            <w:vAlign w:val="top"/>
          </w:tcPr>
          <w:p w14:paraId="24DC9E7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374" w:type="dxa"/>
            <w:vAlign w:val="top"/>
          </w:tcPr>
          <w:p w14:paraId="2DBB245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759" w:type="dxa"/>
            <w:vAlign w:val="top"/>
          </w:tcPr>
          <w:p w14:paraId="66E021C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93" w:type="dxa"/>
            <w:vAlign w:val="top"/>
          </w:tcPr>
          <w:p w14:paraId="6435D61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3CACADB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4D4307E2">
            <w:pPr>
              <w:keepNext w:val="0"/>
              <w:keepLines w:val="0"/>
              <w:pageBreakBefore w:val="0"/>
              <w:widowControl/>
              <w:kinsoku/>
              <w:wordWrap w:val="0"/>
              <w:overflowPunct/>
              <w:topLinePunct w:val="0"/>
              <w:autoSpaceDE/>
              <w:autoSpaceDN/>
              <w:bidi w:val="0"/>
              <w:adjustRightInd w:val="0"/>
              <w:snapToGrid w:val="0"/>
              <w:spacing w:before="216" w:line="360" w:lineRule="auto"/>
              <w:ind w:left="523"/>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c>
          <w:tcPr>
            <w:tcW w:w="1193" w:type="dxa"/>
            <w:vAlign w:val="top"/>
          </w:tcPr>
          <w:p w14:paraId="5FD7A01A">
            <w:pPr>
              <w:keepNext w:val="0"/>
              <w:keepLines w:val="0"/>
              <w:pageBreakBefore w:val="0"/>
              <w:widowControl/>
              <w:kinsoku/>
              <w:wordWrap w:val="0"/>
              <w:overflowPunct/>
              <w:topLinePunct w:val="0"/>
              <w:autoSpaceDE/>
              <w:autoSpaceDN/>
              <w:bidi w:val="0"/>
              <w:adjustRightInd w:val="0"/>
              <w:snapToGrid w:val="0"/>
              <w:spacing w:before="216" w:line="360" w:lineRule="auto"/>
              <w:ind w:left="525"/>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r>
      <w:tr w14:paraId="6F223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12" w:type="dxa"/>
            <w:vAlign w:val="top"/>
          </w:tcPr>
          <w:p w14:paraId="5AD996D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91" w:type="dxa"/>
            <w:vAlign w:val="top"/>
          </w:tcPr>
          <w:p w14:paraId="1FD9FF4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374" w:type="dxa"/>
            <w:vAlign w:val="top"/>
          </w:tcPr>
          <w:p w14:paraId="732B903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759" w:type="dxa"/>
            <w:vAlign w:val="top"/>
          </w:tcPr>
          <w:p w14:paraId="777D6F8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93" w:type="dxa"/>
            <w:vAlign w:val="top"/>
          </w:tcPr>
          <w:p w14:paraId="4A70AFC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5643FE4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5ECA8125">
            <w:pPr>
              <w:keepNext w:val="0"/>
              <w:keepLines w:val="0"/>
              <w:pageBreakBefore w:val="0"/>
              <w:widowControl/>
              <w:kinsoku/>
              <w:wordWrap w:val="0"/>
              <w:overflowPunct/>
              <w:topLinePunct w:val="0"/>
              <w:autoSpaceDE/>
              <w:autoSpaceDN/>
              <w:bidi w:val="0"/>
              <w:adjustRightInd w:val="0"/>
              <w:snapToGrid w:val="0"/>
              <w:spacing w:before="217" w:line="360" w:lineRule="auto"/>
              <w:ind w:left="523"/>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c>
          <w:tcPr>
            <w:tcW w:w="1193" w:type="dxa"/>
            <w:vAlign w:val="top"/>
          </w:tcPr>
          <w:p w14:paraId="04604319">
            <w:pPr>
              <w:keepNext w:val="0"/>
              <w:keepLines w:val="0"/>
              <w:pageBreakBefore w:val="0"/>
              <w:widowControl/>
              <w:kinsoku/>
              <w:wordWrap w:val="0"/>
              <w:overflowPunct/>
              <w:topLinePunct w:val="0"/>
              <w:autoSpaceDE/>
              <w:autoSpaceDN/>
              <w:bidi w:val="0"/>
              <w:adjustRightInd w:val="0"/>
              <w:snapToGrid w:val="0"/>
              <w:spacing w:before="217" w:line="360" w:lineRule="auto"/>
              <w:ind w:left="525"/>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r>
      <w:tr w14:paraId="18E86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12" w:type="dxa"/>
            <w:vAlign w:val="top"/>
          </w:tcPr>
          <w:p w14:paraId="77D226A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91" w:type="dxa"/>
            <w:vAlign w:val="top"/>
          </w:tcPr>
          <w:p w14:paraId="4BFD358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374" w:type="dxa"/>
            <w:vAlign w:val="top"/>
          </w:tcPr>
          <w:p w14:paraId="484AFCB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759" w:type="dxa"/>
            <w:vAlign w:val="top"/>
          </w:tcPr>
          <w:p w14:paraId="04713A9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93" w:type="dxa"/>
            <w:vAlign w:val="top"/>
          </w:tcPr>
          <w:p w14:paraId="6CB3AC0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235ACF8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53D16395">
            <w:pPr>
              <w:keepNext w:val="0"/>
              <w:keepLines w:val="0"/>
              <w:pageBreakBefore w:val="0"/>
              <w:widowControl/>
              <w:kinsoku/>
              <w:wordWrap w:val="0"/>
              <w:overflowPunct/>
              <w:topLinePunct w:val="0"/>
              <w:autoSpaceDE/>
              <w:autoSpaceDN/>
              <w:bidi w:val="0"/>
              <w:adjustRightInd w:val="0"/>
              <w:snapToGrid w:val="0"/>
              <w:spacing w:before="219" w:line="360" w:lineRule="auto"/>
              <w:ind w:left="523"/>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c>
          <w:tcPr>
            <w:tcW w:w="1193" w:type="dxa"/>
            <w:vAlign w:val="top"/>
          </w:tcPr>
          <w:p w14:paraId="2791B5C3">
            <w:pPr>
              <w:keepNext w:val="0"/>
              <w:keepLines w:val="0"/>
              <w:pageBreakBefore w:val="0"/>
              <w:widowControl/>
              <w:kinsoku/>
              <w:wordWrap w:val="0"/>
              <w:overflowPunct/>
              <w:topLinePunct w:val="0"/>
              <w:autoSpaceDE/>
              <w:autoSpaceDN/>
              <w:bidi w:val="0"/>
              <w:adjustRightInd w:val="0"/>
              <w:snapToGrid w:val="0"/>
              <w:spacing w:before="219" w:line="360" w:lineRule="auto"/>
              <w:ind w:left="525"/>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r>
      <w:tr w14:paraId="3BAB1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2" w:type="dxa"/>
            <w:vAlign w:val="top"/>
          </w:tcPr>
          <w:p w14:paraId="51B9704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591" w:type="dxa"/>
            <w:vAlign w:val="top"/>
          </w:tcPr>
          <w:p w14:paraId="19F6D39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374" w:type="dxa"/>
            <w:vAlign w:val="top"/>
          </w:tcPr>
          <w:p w14:paraId="3B6D723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759" w:type="dxa"/>
            <w:vAlign w:val="top"/>
          </w:tcPr>
          <w:p w14:paraId="7AC1A6E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93" w:type="dxa"/>
            <w:vAlign w:val="top"/>
          </w:tcPr>
          <w:p w14:paraId="6F591C3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2E1BBC7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174" w:type="dxa"/>
            <w:vAlign w:val="top"/>
          </w:tcPr>
          <w:p w14:paraId="16F9EA23">
            <w:pPr>
              <w:keepNext w:val="0"/>
              <w:keepLines w:val="0"/>
              <w:pageBreakBefore w:val="0"/>
              <w:widowControl/>
              <w:kinsoku/>
              <w:wordWrap w:val="0"/>
              <w:overflowPunct/>
              <w:topLinePunct w:val="0"/>
              <w:autoSpaceDE/>
              <w:autoSpaceDN/>
              <w:bidi w:val="0"/>
              <w:adjustRightInd w:val="0"/>
              <w:snapToGrid w:val="0"/>
              <w:spacing w:before="222" w:line="360" w:lineRule="auto"/>
              <w:ind w:left="523"/>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c>
          <w:tcPr>
            <w:tcW w:w="1193" w:type="dxa"/>
            <w:vAlign w:val="top"/>
          </w:tcPr>
          <w:p w14:paraId="0A18D3FA">
            <w:pPr>
              <w:keepNext w:val="0"/>
              <w:keepLines w:val="0"/>
              <w:pageBreakBefore w:val="0"/>
              <w:widowControl/>
              <w:kinsoku/>
              <w:wordWrap w:val="0"/>
              <w:overflowPunct/>
              <w:topLinePunct w:val="0"/>
              <w:autoSpaceDE/>
              <w:autoSpaceDN/>
              <w:bidi w:val="0"/>
              <w:adjustRightInd w:val="0"/>
              <w:snapToGrid w:val="0"/>
              <w:spacing w:before="222" w:line="360" w:lineRule="auto"/>
              <w:ind w:left="525"/>
              <w:textAlignment w:val="baseline"/>
              <w:rPr>
                <w:rFonts w:ascii="Wingdings" w:hAnsi="Wingdings" w:eastAsia="Wingdings" w:cs="Wingdings"/>
                <w:sz w:val="24"/>
                <w:szCs w:val="24"/>
                <w:highlight w:val="none"/>
              </w:rPr>
            </w:pPr>
            <w:r>
              <w:rPr>
                <w:rFonts w:ascii="Wingdings" w:hAnsi="Wingdings" w:eastAsia="Wingdings" w:cs="Wingdings"/>
                <w:position w:val="1"/>
                <w:sz w:val="24"/>
                <w:szCs w:val="24"/>
                <w:highlight w:val="none"/>
              </w:rPr>
              <w:t>o</w:t>
            </w:r>
          </w:p>
        </w:tc>
      </w:tr>
    </w:tbl>
    <w:p w14:paraId="7C59FF7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1A9B34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36D188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418BC0D">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146"/>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6EA45A5E">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142"/>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5AA64E1A">
      <w:pPr>
        <w:pStyle w:val="2"/>
        <w:keepNext w:val="0"/>
        <w:keepLines w:val="0"/>
        <w:pageBreakBefore w:val="0"/>
        <w:widowControl/>
        <w:kinsoku/>
        <w:wordWrap w:val="0"/>
        <w:overflowPunct/>
        <w:topLinePunct w:val="0"/>
        <w:autoSpaceDE/>
        <w:autoSpaceDN/>
        <w:bidi w:val="0"/>
        <w:adjustRightInd w:val="0"/>
        <w:snapToGrid w:val="0"/>
        <w:spacing w:before="178" w:line="360" w:lineRule="auto"/>
        <w:ind w:left="142"/>
        <w:textAlignment w:val="baseline"/>
        <w:rPr>
          <w:rFonts w:ascii="宋体" w:hAnsi="宋体" w:eastAsia="宋体" w:cs="宋体"/>
          <w:b/>
          <w:bCs/>
          <w:spacing w:val="-5"/>
          <w:sz w:val="24"/>
          <w:szCs w:val="24"/>
          <w:highlight w:val="none"/>
        </w:rPr>
      </w:pPr>
      <w:r>
        <w:rPr>
          <w:rFonts w:ascii="宋体" w:hAnsi="宋体" w:eastAsia="宋体" w:cs="宋体"/>
          <w:b/>
          <w:bCs/>
          <w:spacing w:val="-5"/>
          <w:sz w:val="24"/>
          <w:szCs w:val="24"/>
          <w:highlight w:val="none"/>
        </w:rPr>
        <w:t>日期：</w:t>
      </w:r>
      <w:r>
        <w:rPr>
          <w:rFonts w:hint="eastAsia" w:ascii="宋体" w:hAnsi="宋体" w:eastAsia="宋体" w:cs="宋体"/>
          <w:b/>
          <w:bCs/>
          <w:spacing w:val="-5"/>
          <w:sz w:val="24"/>
          <w:szCs w:val="24"/>
          <w:highlight w:val="none"/>
          <w:lang w:val="en-US" w:eastAsia="zh-CN"/>
        </w:rPr>
        <w:t xml:space="preserve">     </w:t>
      </w:r>
      <w:r>
        <w:rPr>
          <w:rFonts w:ascii="宋体" w:hAnsi="宋体" w:eastAsia="宋体" w:cs="宋体"/>
          <w:b/>
          <w:bCs/>
          <w:spacing w:val="-5"/>
          <w:sz w:val="24"/>
          <w:szCs w:val="24"/>
          <w:highlight w:val="none"/>
        </w:rPr>
        <w:t>年</w:t>
      </w:r>
      <w:r>
        <w:rPr>
          <w:rFonts w:hint="eastAsia" w:ascii="宋体" w:hAnsi="宋体" w:eastAsia="宋体" w:cs="宋体"/>
          <w:b/>
          <w:bCs/>
          <w:spacing w:val="-5"/>
          <w:sz w:val="24"/>
          <w:szCs w:val="24"/>
          <w:highlight w:val="none"/>
          <w:lang w:val="en-US" w:eastAsia="zh-CN"/>
        </w:rPr>
        <w:t xml:space="preserve">     </w:t>
      </w:r>
      <w:r>
        <w:rPr>
          <w:rFonts w:ascii="宋体" w:hAnsi="宋体" w:eastAsia="宋体" w:cs="宋体"/>
          <w:b/>
          <w:bCs/>
          <w:spacing w:val="-5"/>
          <w:sz w:val="24"/>
          <w:szCs w:val="24"/>
          <w:highlight w:val="none"/>
        </w:rPr>
        <w:t>月</w:t>
      </w:r>
      <w:r>
        <w:rPr>
          <w:rFonts w:hint="eastAsia" w:ascii="宋体" w:hAnsi="宋体" w:eastAsia="宋体" w:cs="宋体"/>
          <w:b/>
          <w:bCs/>
          <w:spacing w:val="-5"/>
          <w:sz w:val="24"/>
          <w:szCs w:val="24"/>
          <w:highlight w:val="none"/>
          <w:lang w:val="en-US" w:eastAsia="zh-CN"/>
        </w:rPr>
        <w:t xml:space="preserve">     </w:t>
      </w:r>
      <w:r>
        <w:rPr>
          <w:rFonts w:ascii="宋体" w:hAnsi="宋体" w:eastAsia="宋体" w:cs="宋体"/>
          <w:b/>
          <w:bCs/>
          <w:spacing w:val="-5"/>
          <w:sz w:val="24"/>
          <w:szCs w:val="24"/>
          <w:highlight w:val="none"/>
        </w:rPr>
        <w:t>日</w:t>
      </w:r>
    </w:p>
    <w:p w14:paraId="0B9AA58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F231E8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2F6EA918">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6D6624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1"/>
          <w:highlight w:val="none"/>
        </w:rPr>
      </w:pPr>
      <w:bookmarkStart w:id="361" w:name="bookmark59"/>
      <w:bookmarkEnd w:id="361"/>
      <w:r>
        <w:rPr>
          <w:b/>
          <w:bCs/>
          <w:spacing w:val="11"/>
          <w:highlight w:val="none"/>
        </w:rPr>
        <w:br w:type="page"/>
      </w:r>
    </w:p>
    <w:p w14:paraId="1C9D7667">
      <w:pPr>
        <w:pStyle w:val="5"/>
        <w:bidi w:val="0"/>
      </w:pPr>
      <w:bookmarkStart w:id="362" w:name="_Toc20337"/>
      <w:r>
        <w:t>十、采购需求偏离表</w:t>
      </w:r>
      <w:bookmarkEnd w:id="362"/>
    </w:p>
    <w:p w14:paraId="0B81A6AA">
      <w:pPr>
        <w:pStyle w:val="2"/>
        <w:keepNext w:val="0"/>
        <w:keepLines w:val="0"/>
        <w:pageBreakBefore w:val="0"/>
        <w:widowControl/>
        <w:kinsoku/>
        <w:wordWrap w:val="0"/>
        <w:overflowPunct/>
        <w:topLinePunct w:val="0"/>
        <w:autoSpaceDE/>
        <w:autoSpaceDN/>
        <w:bidi w:val="0"/>
        <w:adjustRightInd w:val="0"/>
        <w:snapToGrid w:val="0"/>
        <w:spacing w:before="251" w:line="360" w:lineRule="auto"/>
        <w:ind w:left="212"/>
        <w:textAlignment w:val="baseline"/>
        <w:rPr>
          <w:highlight w:val="none"/>
        </w:rPr>
      </w:pPr>
      <w:r>
        <w:rPr>
          <w:spacing w:val="-2"/>
          <w:sz w:val="24"/>
          <w:szCs w:val="24"/>
          <w:highlight w:val="none"/>
        </w:rPr>
        <w:t>项目名称：</w:t>
      </w:r>
      <w:r>
        <w:rPr>
          <w:rFonts w:hint="eastAsia"/>
          <w:spacing w:val="-4"/>
          <w:sz w:val="24"/>
          <w:szCs w:val="24"/>
          <w:highlight w:val="none"/>
          <w:u w:val="single"/>
          <w:lang w:val="en-US" w:eastAsia="zh-CN"/>
        </w:rPr>
        <w:t xml:space="preserve">               </w:t>
      </w:r>
      <w:r>
        <w:rPr>
          <w:rFonts w:hint="eastAsia"/>
          <w:spacing w:val="-2"/>
          <w:sz w:val="24"/>
          <w:szCs w:val="24"/>
          <w:highlight w:val="none"/>
          <w:lang w:val="en-US" w:eastAsia="zh-CN"/>
        </w:rPr>
        <w:t xml:space="preserve">        </w:t>
      </w:r>
      <w:r>
        <w:rPr>
          <w:spacing w:val="-2"/>
          <w:sz w:val="24"/>
          <w:szCs w:val="24"/>
          <w:highlight w:val="none"/>
        </w:rPr>
        <w:t>采购代理编号：</w:t>
      </w:r>
      <w:r>
        <w:rPr>
          <w:rFonts w:hint="eastAsia"/>
          <w:spacing w:val="-4"/>
          <w:sz w:val="24"/>
          <w:szCs w:val="24"/>
          <w:highlight w:val="none"/>
          <w:u w:val="single"/>
          <w:lang w:val="en-US" w:eastAsia="zh-CN"/>
        </w:rPr>
        <w:t xml:space="preserve">               </w:t>
      </w:r>
    </w:p>
    <w:tbl>
      <w:tblPr>
        <w:tblStyle w:val="20"/>
        <w:tblW w:w="9418" w:type="dxa"/>
        <w:tblInd w:w="17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4"/>
        <w:gridCol w:w="1798"/>
        <w:gridCol w:w="2164"/>
        <w:gridCol w:w="2058"/>
        <w:gridCol w:w="804"/>
      </w:tblGrid>
      <w:tr w14:paraId="3B423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5" w:hRule="atLeast"/>
        </w:trPr>
        <w:tc>
          <w:tcPr>
            <w:tcW w:w="9418" w:type="dxa"/>
            <w:gridSpan w:val="6"/>
            <w:vAlign w:val="top"/>
          </w:tcPr>
          <w:p w14:paraId="6AF0B5EB">
            <w:pPr>
              <w:pStyle w:val="21"/>
              <w:keepNext w:val="0"/>
              <w:keepLines w:val="0"/>
              <w:pageBreakBefore w:val="0"/>
              <w:widowControl/>
              <w:kinsoku/>
              <w:wordWrap w:val="0"/>
              <w:overflowPunct/>
              <w:topLinePunct w:val="0"/>
              <w:autoSpaceDE/>
              <w:autoSpaceDN/>
              <w:bidi w:val="0"/>
              <w:adjustRightInd w:val="0"/>
              <w:snapToGrid w:val="0"/>
              <w:spacing w:before="71" w:line="360" w:lineRule="auto"/>
              <w:ind w:left="131"/>
              <w:textAlignment w:val="baseline"/>
              <w:rPr>
                <w:highlight w:val="none"/>
              </w:rPr>
            </w:pPr>
            <w:r>
              <w:rPr>
                <w:b/>
                <w:bCs/>
                <w:spacing w:val="-12"/>
                <w:highlight w:val="none"/>
              </w:rPr>
              <w:t>对本项目采购需求条款的偏离情况（请进行勾选打“√”):</w:t>
            </w:r>
          </w:p>
          <w:p w14:paraId="4441484B">
            <w:pPr>
              <w:pStyle w:val="21"/>
              <w:keepNext w:val="0"/>
              <w:keepLines w:val="0"/>
              <w:pageBreakBefore w:val="0"/>
              <w:widowControl/>
              <w:kinsoku/>
              <w:wordWrap w:val="0"/>
              <w:overflowPunct/>
              <w:topLinePunct w:val="0"/>
              <w:autoSpaceDE/>
              <w:autoSpaceDN/>
              <w:bidi w:val="0"/>
              <w:adjustRightInd w:val="0"/>
              <w:snapToGrid w:val="0"/>
              <w:spacing w:before="125" w:line="360" w:lineRule="auto"/>
              <w:ind w:left="168"/>
              <w:textAlignment w:val="baseline"/>
              <w:rPr>
                <w:highlight w:val="none"/>
              </w:rPr>
            </w:pPr>
            <w:r>
              <w:rPr>
                <w:rFonts w:ascii="Wingdings" w:hAnsi="Wingdings" w:eastAsia="Wingdings" w:cs="Wingdings"/>
                <w:spacing w:val="-3"/>
                <w:position w:val="1"/>
                <w:sz w:val="30"/>
                <w:szCs w:val="30"/>
                <w:highlight w:val="none"/>
              </w:rPr>
              <w:t>o</w:t>
            </w:r>
            <w:r>
              <w:rPr>
                <w:b/>
                <w:bCs/>
                <w:spacing w:val="-3"/>
                <w:position w:val="1"/>
                <w:highlight w:val="none"/>
              </w:rPr>
              <w:t>无偏离</w:t>
            </w:r>
            <w:r>
              <w:rPr>
                <w:spacing w:val="-3"/>
                <w:position w:val="1"/>
                <w:highlight w:val="none"/>
              </w:rPr>
              <w:t>（如无偏离，仅勾选无偏离即可）</w:t>
            </w:r>
          </w:p>
          <w:p w14:paraId="31D30CDE">
            <w:pPr>
              <w:pStyle w:val="21"/>
              <w:keepNext w:val="0"/>
              <w:keepLines w:val="0"/>
              <w:pageBreakBefore w:val="0"/>
              <w:widowControl/>
              <w:kinsoku/>
              <w:wordWrap w:val="0"/>
              <w:overflowPunct/>
              <w:topLinePunct w:val="0"/>
              <w:autoSpaceDE/>
              <w:autoSpaceDN/>
              <w:bidi w:val="0"/>
              <w:adjustRightInd w:val="0"/>
              <w:snapToGrid w:val="0"/>
              <w:spacing w:before="191" w:line="360" w:lineRule="auto"/>
              <w:ind w:left="168"/>
              <w:textAlignment w:val="baseline"/>
              <w:rPr>
                <w:highlight w:val="none"/>
              </w:rPr>
            </w:pPr>
            <w:r>
              <w:rPr>
                <w:rFonts w:ascii="Wingdings" w:hAnsi="Wingdings" w:eastAsia="Wingdings" w:cs="Wingdings"/>
                <w:spacing w:val="-2"/>
                <w:position w:val="1"/>
                <w:sz w:val="30"/>
                <w:szCs w:val="30"/>
                <w:highlight w:val="none"/>
              </w:rPr>
              <w:t>o</w:t>
            </w:r>
            <w:r>
              <w:rPr>
                <w:b/>
                <w:bCs/>
                <w:spacing w:val="-2"/>
                <w:position w:val="1"/>
                <w:highlight w:val="none"/>
              </w:rPr>
              <w:t>有偏离</w:t>
            </w:r>
            <w:r>
              <w:rPr>
                <w:spacing w:val="-2"/>
                <w:position w:val="1"/>
                <w:highlight w:val="none"/>
              </w:rPr>
              <w:t>（如有偏离，则应在本表中对偏离项逐一列明）</w:t>
            </w:r>
          </w:p>
        </w:tc>
      </w:tr>
      <w:tr w14:paraId="7F7EE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850" w:type="dxa"/>
            <w:vAlign w:val="top"/>
          </w:tcPr>
          <w:p w14:paraId="5D5AF9F3">
            <w:pPr>
              <w:pStyle w:val="21"/>
              <w:keepNext w:val="0"/>
              <w:keepLines w:val="0"/>
              <w:pageBreakBefore w:val="0"/>
              <w:widowControl/>
              <w:kinsoku/>
              <w:wordWrap w:val="0"/>
              <w:overflowPunct/>
              <w:topLinePunct w:val="0"/>
              <w:autoSpaceDE/>
              <w:autoSpaceDN/>
              <w:bidi w:val="0"/>
              <w:adjustRightInd w:val="0"/>
              <w:snapToGrid w:val="0"/>
              <w:spacing w:before="265" w:line="360" w:lineRule="auto"/>
              <w:ind w:left="203"/>
              <w:textAlignment w:val="baseline"/>
              <w:rPr>
                <w:highlight w:val="none"/>
              </w:rPr>
            </w:pPr>
            <w:r>
              <w:rPr>
                <w:spacing w:val="-5"/>
                <w:highlight w:val="none"/>
              </w:rPr>
              <w:t>序号</w:t>
            </w:r>
          </w:p>
        </w:tc>
        <w:tc>
          <w:tcPr>
            <w:tcW w:w="1744" w:type="dxa"/>
            <w:vAlign w:val="top"/>
          </w:tcPr>
          <w:p w14:paraId="39D6E2D8">
            <w:pPr>
              <w:pStyle w:val="21"/>
              <w:keepNext w:val="0"/>
              <w:keepLines w:val="0"/>
              <w:pageBreakBefore w:val="0"/>
              <w:widowControl/>
              <w:kinsoku/>
              <w:wordWrap w:val="0"/>
              <w:overflowPunct/>
              <w:topLinePunct w:val="0"/>
              <w:autoSpaceDE/>
              <w:autoSpaceDN/>
              <w:bidi w:val="0"/>
              <w:adjustRightInd w:val="0"/>
              <w:snapToGrid w:val="0"/>
              <w:spacing w:before="129" w:line="360" w:lineRule="auto"/>
              <w:ind w:left="524" w:right="154" w:hanging="360"/>
              <w:textAlignment w:val="baseline"/>
              <w:rPr>
                <w:highlight w:val="none"/>
              </w:rPr>
            </w:pPr>
            <w:r>
              <w:rPr>
                <w:spacing w:val="-4"/>
                <w:highlight w:val="none"/>
              </w:rPr>
              <w:t>招标文件章节</w:t>
            </w:r>
            <w:r>
              <w:rPr>
                <w:spacing w:val="-6"/>
                <w:highlight w:val="none"/>
              </w:rPr>
              <w:t>条款号</w:t>
            </w:r>
          </w:p>
        </w:tc>
        <w:tc>
          <w:tcPr>
            <w:tcW w:w="1798" w:type="dxa"/>
            <w:vAlign w:val="top"/>
          </w:tcPr>
          <w:p w14:paraId="1E469289">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194"/>
              <w:textAlignment w:val="baseline"/>
              <w:rPr>
                <w:highlight w:val="none"/>
              </w:rPr>
            </w:pPr>
            <w:r>
              <w:rPr>
                <w:spacing w:val="-3"/>
                <w:highlight w:val="none"/>
              </w:rPr>
              <w:t>招标文件要求</w:t>
            </w:r>
          </w:p>
        </w:tc>
        <w:tc>
          <w:tcPr>
            <w:tcW w:w="2164" w:type="dxa"/>
            <w:vAlign w:val="top"/>
          </w:tcPr>
          <w:p w14:paraId="58B289F3">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385"/>
              <w:textAlignment w:val="baseline"/>
              <w:rPr>
                <w:highlight w:val="none"/>
              </w:rPr>
            </w:pPr>
            <w:r>
              <w:rPr>
                <w:spacing w:val="-5"/>
                <w:highlight w:val="none"/>
              </w:rPr>
              <w:t>投标文件内容</w:t>
            </w:r>
          </w:p>
        </w:tc>
        <w:tc>
          <w:tcPr>
            <w:tcW w:w="2058" w:type="dxa"/>
            <w:vAlign w:val="top"/>
          </w:tcPr>
          <w:p w14:paraId="18DEF077">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567"/>
              <w:textAlignment w:val="baseline"/>
              <w:rPr>
                <w:highlight w:val="none"/>
              </w:rPr>
            </w:pPr>
            <w:r>
              <w:rPr>
                <w:spacing w:val="-5"/>
                <w:highlight w:val="none"/>
              </w:rPr>
              <w:t>偏离情况</w:t>
            </w:r>
          </w:p>
        </w:tc>
        <w:tc>
          <w:tcPr>
            <w:tcW w:w="804" w:type="dxa"/>
            <w:vAlign w:val="top"/>
          </w:tcPr>
          <w:p w14:paraId="67EAA336">
            <w:pPr>
              <w:pStyle w:val="21"/>
              <w:keepNext w:val="0"/>
              <w:keepLines w:val="0"/>
              <w:pageBreakBefore w:val="0"/>
              <w:widowControl/>
              <w:kinsoku/>
              <w:wordWrap w:val="0"/>
              <w:overflowPunct/>
              <w:topLinePunct w:val="0"/>
              <w:autoSpaceDE/>
              <w:autoSpaceDN/>
              <w:bidi w:val="0"/>
              <w:adjustRightInd w:val="0"/>
              <w:snapToGrid w:val="0"/>
              <w:spacing w:before="264" w:line="360" w:lineRule="auto"/>
              <w:ind w:left="180"/>
              <w:textAlignment w:val="baseline"/>
              <w:rPr>
                <w:highlight w:val="none"/>
              </w:rPr>
            </w:pPr>
            <w:r>
              <w:rPr>
                <w:spacing w:val="-7"/>
                <w:highlight w:val="none"/>
              </w:rPr>
              <w:t>说明</w:t>
            </w:r>
          </w:p>
        </w:tc>
      </w:tr>
      <w:tr w14:paraId="54F30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850" w:type="dxa"/>
            <w:vAlign w:val="top"/>
          </w:tcPr>
          <w:p w14:paraId="17D3EE7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44" w:type="dxa"/>
            <w:vAlign w:val="top"/>
          </w:tcPr>
          <w:p w14:paraId="2115AE4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98" w:type="dxa"/>
            <w:vAlign w:val="top"/>
          </w:tcPr>
          <w:p w14:paraId="2E43E9D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64" w:type="dxa"/>
            <w:vAlign w:val="top"/>
          </w:tcPr>
          <w:p w14:paraId="5C7041D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058" w:type="dxa"/>
            <w:vAlign w:val="top"/>
          </w:tcPr>
          <w:p w14:paraId="037061C2">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04" w:type="dxa"/>
            <w:vAlign w:val="top"/>
          </w:tcPr>
          <w:p w14:paraId="2B7F8D9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6C386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50" w:type="dxa"/>
            <w:vAlign w:val="top"/>
          </w:tcPr>
          <w:p w14:paraId="2504B6F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44" w:type="dxa"/>
            <w:vAlign w:val="top"/>
          </w:tcPr>
          <w:p w14:paraId="3512258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98" w:type="dxa"/>
            <w:vAlign w:val="top"/>
          </w:tcPr>
          <w:p w14:paraId="411043B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64" w:type="dxa"/>
            <w:vAlign w:val="top"/>
          </w:tcPr>
          <w:p w14:paraId="1A90297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058" w:type="dxa"/>
            <w:vAlign w:val="top"/>
          </w:tcPr>
          <w:p w14:paraId="03C667B1">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04" w:type="dxa"/>
            <w:vAlign w:val="top"/>
          </w:tcPr>
          <w:p w14:paraId="02519FB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1C0C8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50" w:type="dxa"/>
            <w:vAlign w:val="top"/>
          </w:tcPr>
          <w:p w14:paraId="56E6762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44" w:type="dxa"/>
            <w:vAlign w:val="top"/>
          </w:tcPr>
          <w:p w14:paraId="3C713D56">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1798" w:type="dxa"/>
            <w:vAlign w:val="top"/>
          </w:tcPr>
          <w:p w14:paraId="6A368209">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164" w:type="dxa"/>
            <w:vAlign w:val="top"/>
          </w:tcPr>
          <w:p w14:paraId="134C4DD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2058" w:type="dxa"/>
            <w:vAlign w:val="top"/>
          </w:tcPr>
          <w:p w14:paraId="1F729C5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c>
          <w:tcPr>
            <w:tcW w:w="804" w:type="dxa"/>
            <w:vAlign w:val="top"/>
          </w:tcPr>
          <w:p w14:paraId="6E43F9D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tc>
      </w:tr>
      <w:tr w14:paraId="19F1F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418" w:type="dxa"/>
            <w:gridSpan w:val="6"/>
            <w:vAlign w:val="top"/>
          </w:tcPr>
          <w:p w14:paraId="1A851ECE">
            <w:pPr>
              <w:pStyle w:val="21"/>
              <w:keepNext w:val="0"/>
              <w:keepLines w:val="0"/>
              <w:pageBreakBefore w:val="0"/>
              <w:widowControl/>
              <w:kinsoku/>
              <w:wordWrap w:val="0"/>
              <w:overflowPunct/>
              <w:topLinePunct w:val="0"/>
              <w:autoSpaceDE/>
              <w:autoSpaceDN/>
              <w:bidi w:val="0"/>
              <w:adjustRightInd w:val="0"/>
              <w:snapToGrid w:val="0"/>
              <w:spacing w:before="67" w:line="360" w:lineRule="auto"/>
              <w:ind w:left="130" w:right="200" w:firstLine="489"/>
              <w:textAlignment w:val="baseline"/>
              <w:rPr>
                <w:highlight w:val="none"/>
              </w:rPr>
            </w:pPr>
            <w:r>
              <w:rPr>
                <w:b/>
                <w:bCs/>
                <w:spacing w:val="-4"/>
                <w:highlight w:val="none"/>
              </w:rPr>
              <w:t>投标供应商保证：除本采购需求偏离表列出的偏离外，我单位对招标文件的其他采</w:t>
            </w:r>
            <w:r>
              <w:rPr>
                <w:b/>
                <w:bCs/>
                <w:spacing w:val="-5"/>
                <w:highlight w:val="none"/>
              </w:rPr>
              <w:t>购需求条款完全响应，无偏离。</w:t>
            </w:r>
          </w:p>
        </w:tc>
      </w:tr>
    </w:tbl>
    <w:p w14:paraId="6BE7AF7C">
      <w:pPr>
        <w:pStyle w:val="2"/>
        <w:keepNext w:val="0"/>
        <w:keepLines w:val="0"/>
        <w:pageBreakBefore w:val="0"/>
        <w:widowControl/>
        <w:kinsoku/>
        <w:wordWrap w:val="0"/>
        <w:overflowPunct/>
        <w:topLinePunct w:val="0"/>
        <w:autoSpaceDE/>
        <w:autoSpaceDN/>
        <w:bidi w:val="0"/>
        <w:adjustRightInd w:val="0"/>
        <w:snapToGrid w:val="0"/>
        <w:spacing w:before="78" w:line="360" w:lineRule="auto"/>
        <w:textAlignment w:val="baseline"/>
        <w:rPr>
          <w:sz w:val="24"/>
          <w:szCs w:val="24"/>
          <w:highlight w:val="none"/>
        </w:rPr>
      </w:pPr>
      <w:r>
        <w:rPr>
          <w:spacing w:val="-3"/>
          <w:sz w:val="24"/>
          <w:szCs w:val="24"/>
          <w:highlight w:val="none"/>
        </w:rPr>
        <w:t>注：1.投标供应商应根据招标文件第五章“</w:t>
      </w:r>
      <w:r>
        <w:rPr>
          <w:spacing w:val="-4"/>
          <w:sz w:val="24"/>
          <w:szCs w:val="24"/>
          <w:highlight w:val="none"/>
        </w:rPr>
        <w:t>采购需求”填写本表；</w:t>
      </w:r>
    </w:p>
    <w:p w14:paraId="73C2C8CE">
      <w:pPr>
        <w:pStyle w:val="2"/>
        <w:keepNext w:val="0"/>
        <w:keepLines w:val="0"/>
        <w:pageBreakBefore w:val="0"/>
        <w:widowControl/>
        <w:kinsoku/>
        <w:wordWrap w:val="0"/>
        <w:overflowPunct/>
        <w:topLinePunct w:val="0"/>
        <w:autoSpaceDE/>
        <w:autoSpaceDN/>
        <w:bidi w:val="0"/>
        <w:adjustRightInd w:val="0"/>
        <w:snapToGrid w:val="0"/>
        <w:spacing w:before="252" w:line="360" w:lineRule="auto"/>
        <w:ind w:left="10" w:right="113" w:firstLine="472"/>
        <w:textAlignment w:val="baseline"/>
        <w:rPr>
          <w:b w:val="0"/>
          <w:bCs w:val="0"/>
          <w:sz w:val="24"/>
          <w:szCs w:val="24"/>
          <w:highlight w:val="none"/>
        </w:rPr>
      </w:pPr>
      <w:r>
        <w:rPr>
          <w:b w:val="0"/>
          <w:bCs w:val="0"/>
          <w:spacing w:val="-4"/>
          <w:sz w:val="24"/>
          <w:szCs w:val="24"/>
          <w:highlight w:val="none"/>
        </w:rPr>
        <w:t>2.投标供应商如果对招标文件第五章“采购需求”的响应有偏离，应将偏离条款逐条如</w:t>
      </w:r>
      <w:r>
        <w:rPr>
          <w:b w:val="0"/>
          <w:bCs w:val="0"/>
          <w:spacing w:val="-7"/>
          <w:sz w:val="24"/>
          <w:szCs w:val="24"/>
          <w:highlight w:val="none"/>
        </w:rPr>
        <w:t>实应答，并作出说明；</w:t>
      </w:r>
    </w:p>
    <w:p w14:paraId="179DFE2F">
      <w:pPr>
        <w:pStyle w:val="2"/>
        <w:keepNext w:val="0"/>
        <w:keepLines w:val="0"/>
        <w:pageBreakBefore w:val="0"/>
        <w:widowControl/>
        <w:kinsoku/>
        <w:wordWrap w:val="0"/>
        <w:overflowPunct/>
        <w:topLinePunct w:val="0"/>
        <w:autoSpaceDE/>
        <w:autoSpaceDN/>
        <w:bidi w:val="0"/>
        <w:adjustRightInd w:val="0"/>
        <w:snapToGrid w:val="0"/>
        <w:spacing w:before="297" w:line="360" w:lineRule="auto"/>
        <w:jc w:val="right"/>
        <w:textAlignment w:val="baseline"/>
        <w:rPr>
          <w:sz w:val="24"/>
          <w:szCs w:val="24"/>
          <w:highlight w:val="none"/>
        </w:rPr>
      </w:pPr>
      <w:r>
        <w:rPr>
          <w:spacing w:val="-9"/>
          <w:sz w:val="24"/>
          <w:szCs w:val="24"/>
          <w:highlight w:val="none"/>
        </w:rPr>
        <w:t>3.如不提供此表，则视为投标供应商不满足招标文件第五章的所有条款要求，其</w:t>
      </w:r>
      <w:r>
        <w:rPr>
          <w:b/>
          <w:bCs/>
          <w:spacing w:val="-9"/>
          <w:sz w:val="24"/>
          <w:szCs w:val="24"/>
          <w:highlight w:val="none"/>
        </w:rPr>
        <w:t>投标无效</w:t>
      </w:r>
      <w:r>
        <w:rPr>
          <w:spacing w:val="-9"/>
          <w:sz w:val="24"/>
          <w:szCs w:val="24"/>
          <w:highlight w:val="none"/>
        </w:rPr>
        <w:t>。</w:t>
      </w:r>
    </w:p>
    <w:p w14:paraId="2A774B38">
      <w:pPr>
        <w:pStyle w:val="2"/>
        <w:keepNext w:val="0"/>
        <w:keepLines w:val="0"/>
        <w:pageBreakBefore w:val="0"/>
        <w:widowControl/>
        <w:kinsoku/>
        <w:wordWrap w:val="0"/>
        <w:overflowPunct/>
        <w:topLinePunct w:val="0"/>
        <w:autoSpaceDE/>
        <w:autoSpaceDN/>
        <w:bidi w:val="0"/>
        <w:adjustRightInd w:val="0"/>
        <w:snapToGrid w:val="0"/>
        <w:spacing w:before="259" w:line="360" w:lineRule="auto"/>
        <w:ind w:right="46" w:firstLine="476"/>
        <w:textAlignment w:val="baseline"/>
        <w:rPr>
          <w:sz w:val="24"/>
          <w:szCs w:val="24"/>
          <w:highlight w:val="none"/>
        </w:rPr>
      </w:pPr>
      <w:r>
        <w:rPr>
          <w:spacing w:val="-5"/>
          <w:sz w:val="24"/>
          <w:szCs w:val="24"/>
          <w:highlight w:val="none"/>
        </w:rPr>
        <w:t>4.在采购人与中标人签订合同时，如中标人未在投标文件“采购需求偏离表”中列出偏离</w:t>
      </w:r>
      <w:r>
        <w:rPr>
          <w:spacing w:val="-3"/>
          <w:sz w:val="24"/>
          <w:szCs w:val="24"/>
          <w:highlight w:val="none"/>
        </w:rPr>
        <w:t>说明，无论已发生或即将发生任何情形，均视为完全符合招标文件要求</w:t>
      </w:r>
      <w:r>
        <w:rPr>
          <w:spacing w:val="-4"/>
          <w:sz w:val="24"/>
          <w:szCs w:val="24"/>
          <w:highlight w:val="none"/>
        </w:rPr>
        <w:t>，并写入合同。若中标</w:t>
      </w:r>
      <w:r>
        <w:rPr>
          <w:spacing w:val="-3"/>
          <w:sz w:val="24"/>
          <w:szCs w:val="24"/>
          <w:highlight w:val="none"/>
        </w:rPr>
        <w:t>人在合同签订前，以上述事项为借口而不履行合同签订手续及执行合同</w:t>
      </w:r>
      <w:r>
        <w:rPr>
          <w:spacing w:val="-4"/>
          <w:sz w:val="24"/>
          <w:szCs w:val="24"/>
          <w:highlight w:val="none"/>
        </w:rPr>
        <w:t>，则视作拒绝与采购人签订合同。</w:t>
      </w:r>
    </w:p>
    <w:p w14:paraId="7D8EAF28">
      <w:pPr>
        <w:pStyle w:val="2"/>
        <w:keepNext w:val="0"/>
        <w:keepLines w:val="0"/>
        <w:pageBreakBefore w:val="0"/>
        <w:widowControl/>
        <w:kinsoku/>
        <w:wordWrap w:val="0"/>
        <w:overflowPunct/>
        <w:topLinePunct w:val="0"/>
        <w:autoSpaceDE/>
        <w:autoSpaceDN/>
        <w:bidi w:val="0"/>
        <w:adjustRightInd w:val="0"/>
        <w:snapToGrid w:val="0"/>
        <w:spacing w:before="79" w:line="360" w:lineRule="auto"/>
        <w:ind w:left="487"/>
        <w:textAlignment w:val="baseline"/>
        <w:rPr>
          <w:sz w:val="24"/>
          <w:szCs w:val="24"/>
          <w:highlight w:val="none"/>
        </w:rPr>
      </w:pPr>
      <w:r>
        <w:rPr>
          <w:spacing w:val="-4"/>
          <w:sz w:val="24"/>
          <w:szCs w:val="24"/>
          <w:highlight w:val="none"/>
        </w:rPr>
        <w:t>5.本表偏离表与本章第九节“采购需求响应”不一致时，以“采购需求响应”为准。</w:t>
      </w:r>
    </w:p>
    <w:p w14:paraId="6DD97BE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11F2F38">
      <w:pPr>
        <w:pStyle w:val="2"/>
        <w:keepNext w:val="0"/>
        <w:keepLines w:val="0"/>
        <w:pageBreakBefore w:val="0"/>
        <w:widowControl/>
        <w:kinsoku/>
        <w:wordWrap w:val="0"/>
        <w:overflowPunct/>
        <w:topLinePunct w:val="0"/>
        <w:autoSpaceDE/>
        <w:autoSpaceDN/>
        <w:bidi w:val="0"/>
        <w:adjustRightInd w:val="0"/>
        <w:snapToGrid w:val="0"/>
        <w:spacing w:before="78" w:line="360" w:lineRule="auto"/>
        <w:ind w:left="91"/>
        <w:textAlignment w:val="baseline"/>
        <w:rPr>
          <w:rFonts w:hint="eastAsia" w:eastAsia="宋体"/>
          <w:sz w:val="24"/>
          <w:szCs w:val="24"/>
          <w:highlight w:val="none"/>
          <w:lang w:eastAsia="zh-CN"/>
        </w:rPr>
      </w:pPr>
      <w:r>
        <w:rPr>
          <w:b/>
          <w:bCs/>
          <w:spacing w:val="-6"/>
          <w:sz w:val="24"/>
          <w:szCs w:val="24"/>
          <w:highlight w:val="none"/>
        </w:rPr>
        <w:t>投标供应商名称（盖单位公章</w:t>
      </w:r>
      <w:r>
        <w:rPr>
          <w:b/>
          <w:bCs/>
          <w:spacing w:val="1"/>
          <w:sz w:val="24"/>
          <w:szCs w:val="24"/>
          <w:highlight w:val="none"/>
        </w:rPr>
        <w:t>）：</w:t>
      </w:r>
      <w:r>
        <w:rPr>
          <w:rFonts w:hint="eastAsia"/>
          <w:spacing w:val="-4"/>
          <w:sz w:val="24"/>
          <w:szCs w:val="24"/>
          <w:highlight w:val="none"/>
          <w:u w:val="single"/>
          <w:lang w:val="en-US" w:eastAsia="zh-CN"/>
        </w:rPr>
        <w:t xml:space="preserve">               </w:t>
      </w:r>
    </w:p>
    <w:p w14:paraId="7D3713EE">
      <w:pPr>
        <w:pStyle w:val="2"/>
        <w:keepNext w:val="0"/>
        <w:keepLines w:val="0"/>
        <w:pageBreakBefore w:val="0"/>
        <w:widowControl/>
        <w:kinsoku/>
        <w:wordWrap w:val="0"/>
        <w:overflowPunct/>
        <w:topLinePunct w:val="0"/>
        <w:autoSpaceDE/>
        <w:autoSpaceDN/>
        <w:bidi w:val="0"/>
        <w:adjustRightInd w:val="0"/>
        <w:snapToGrid w:val="0"/>
        <w:spacing w:before="181" w:line="360" w:lineRule="auto"/>
        <w:ind w:left="87"/>
        <w:textAlignment w:val="baseline"/>
        <w:rPr>
          <w:rFonts w:hint="eastAsia" w:eastAsia="宋体"/>
          <w:sz w:val="24"/>
          <w:szCs w:val="24"/>
          <w:highlight w:val="none"/>
          <w:lang w:eastAsia="zh-CN"/>
        </w:rPr>
      </w:pPr>
      <w:r>
        <w:rPr>
          <w:b/>
          <w:bCs/>
          <w:spacing w:val="-5"/>
          <w:sz w:val="24"/>
          <w:szCs w:val="24"/>
          <w:highlight w:val="none"/>
        </w:rPr>
        <w:t>法定代表人（单位负责人）或其授权的代理人（签字或印章</w:t>
      </w:r>
      <w:r>
        <w:rPr>
          <w:b/>
          <w:bCs/>
          <w:spacing w:val="-4"/>
          <w:sz w:val="24"/>
          <w:szCs w:val="24"/>
          <w:highlight w:val="none"/>
        </w:rPr>
        <w:t>）：</w:t>
      </w:r>
      <w:r>
        <w:rPr>
          <w:rFonts w:hint="eastAsia"/>
          <w:spacing w:val="-4"/>
          <w:sz w:val="24"/>
          <w:szCs w:val="24"/>
          <w:highlight w:val="none"/>
          <w:u w:val="single"/>
          <w:lang w:val="en-US" w:eastAsia="zh-CN"/>
        </w:rPr>
        <w:t xml:space="preserve">               </w:t>
      </w:r>
    </w:p>
    <w:p w14:paraId="6EE50B0E">
      <w:pPr>
        <w:pStyle w:val="2"/>
        <w:keepNext w:val="0"/>
        <w:keepLines w:val="0"/>
        <w:pageBreakBefore w:val="0"/>
        <w:widowControl/>
        <w:kinsoku/>
        <w:wordWrap w:val="0"/>
        <w:overflowPunct/>
        <w:topLinePunct w:val="0"/>
        <w:autoSpaceDE/>
        <w:autoSpaceDN/>
        <w:bidi w:val="0"/>
        <w:adjustRightInd w:val="0"/>
        <w:snapToGrid w:val="0"/>
        <w:spacing w:before="184" w:line="360" w:lineRule="auto"/>
        <w:ind w:left="166"/>
        <w:textAlignment w:val="baseline"/>
        <w:rPr>
          <w:rFonts w:ascii="Arial"/>
          <w:sz w:val="21"/>
          <w:highlight w:val="none"/>
        </w:rPr>
      </w:pPr>
      <w:r>
        <w:rPr>
          <w:b/>
          <w:bCs/>
          <w:spacing w:val="-23"/>
          <w:sz w:val="24"/>
          <w:szCs w:val="24"/>
          <w:highlight w:val="none"/>
        </w:rPr>
        <w:t>日期：</w:t>
      </w:r>
      <w:r>
        <w:rPr>
          <w:rFonts w:hint="eastAsia"/>
          <w:spacing w:val="-4"/>
          <w:sz w:val="24"/>
          <w:szCs w:val="24"/>
          <w:highlight w:val="none"/>
          <w:u w:val="single"/>
          <w:lang w:val="en-US" w:eastAsia="zh-CN"/>
        </w:rPr>
        <w:t xml:space="preserve">     </w:t>
      </w:r>
      <w:r>
        <w:rPr>
          <w:b/>
          <w:bCs/>
          <w:spacing w:val="-23"/>
          <w:sz w:val="24"/>
          <w:szCs w:val="24"/>
          <w:highlight w:val="none"/>
        </w:rPr>
        <w:t>年</w:t>
      </w:r>
      <w:r>
        <w:rPr>
          <w:rFonts w:hint="eastAsia"/>
          <w:spacing w:val="-4"/>
          <w:sz w:val="24"/>
          <w:szCs w:val="24"/>
          <w:highlight w:val="none"/>
          <w:u w:val="single"/>
          <w:lang w:val="en-US" w:eastAsia="zh-CN"/>
        </w:rPr>
        <w:t xml:space="preserve">     </w:t>
      </w:r>
      <w:r>
        <w:rPr>
          <w:b/>
          <w:bCs/>
          <w:spacing w:val="-23"/>
          <w:sz w:val="24"/>
          <w:szCs w:val="24"/>
          <w:highlight w:val="none"/>
        </w:rPr>
        <w:t>月</w:t>
      </w:r>
      <w:r>
        <w:rPr>
          <w:rFonts w:hint="eastAsia"/>
          <w:spacing w:val="-4"/>
          <w:sz w:val="24"/>
          <w:szCs w:val="24"/>
          <w:highlight w:val="none"/>
          <w:u w:val="single"/>
          <w:lang w:val="en-US" w:eastAsia="zh-CN"/>
        </w:rPr>
        <w:t xml:space="preserve">     </w:t>
      </w:r>
      <w:r>
        <w:rPr>
          <w:b/>
          <w:bCs/>
          <w:spacing w:val="-23"/>
          <w:sz w:val="24"/>
          <w:szCs w:val="24"/>
          <w:highlight w:val="none"/>
        </w:rPr>
        <w:t>日</w:t>
      </w:r>
    </w:p>
    <w:p w14:paraId="406D4CCC">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b/>
          <w:bCs/>
          <w:spacing w:val="13"/>
          <w:highlight w:val="none"/>
        </w:rPr>
      </w:pPr>
      <w:bookmarkStart w:id="363" w:name="bookmark60"/>
      <w:bookmarkEnd w:id="363"/>
      <w:r>
        <w:rPr>
          <w:b/>
          <w:bCs/>
          <w:spacing w:val="13"/>
          <w:highlight w:val="none"/>
        </w:rPr>
        <w:br w:type="page"/>
      </w:r>
    </w:p>
    <w:p w14:paraId="4F44832A">
      <w:pPr>
        <w:pStyle w:val="5"/>
        <w:bidi w:val="0"/>
      </w:pPr>
      <w:bookmarkStart w:id="364" w:name="_Toc21620"/>
      <w:r>
        <w:t>十一、投标货物符合招标文件规定的证明文件</w:t>
      </w:r>
      <w:bookmarkEnd w:id="364"/>
    </w:p>
    <w:p w14:paraId="723ACE5F">
      <w:pPr>
        <w:pStyle w:val="2"/>
        <w:keepNext w:val="0"/>
        <w:keepLines w:val="0"/>
        <w:pageBreakBefore w:val="0"/>
        <w:widowControl/>
        <w:kinsoku/>
        <w:wordWrap w:val="0"/>
        <w:overflowPunct/>
        <w:topLinePunct w:val="0"/>
        <w:autoSpaceDE/>
        <w:autoSpaceDN/>
        <w:bidi w:val="0"/>
        <w:adjustRightInd w:val="0"/>
        <w:snapToGrid w:val="0"/>
        <w:spacing w:before="251" w:line="360" w:lineRule="auto"/>
        <w:ind w:left="16"/>
        <w:textAlignment w:val="baseline"/>
        <w:rPr>
          <w:sz w:val="24"/>
          <w:szCs w:val="24"/>
          <w:highlight w:val="none"/>
        </w:rPr>
      </w:pPr>
      <w:r>
        <w:rPr>
          <w:spacing w:val="-2"/>
          <w:sz w:val="24"/>
          <w:szCs w:val="24"/>
          <w:highlight w:val="none"/>
        </w:rPr>
        <w:t>注：提供第五章规定的证明材料复印件。</w:t>
      </w:r>
    </w:p>
    <w:p w14:paraId="35FC17B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347BD6CA">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152E8E5">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A458B2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0EEEB09B">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34C004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5F947E94">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C3E836F">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472B1ADE">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F14241D">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16FCF017">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64B74470">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1ADBD33">
      <w:pPr>
        <w:keepNext w:val="0"/>
        <w:keepLines w:val="0"/>
        <w:pageBreakBefore w:val="0"/>
        <w:widowControl/>
        <w:kinsoku/>
        <w:wordWrap w:val="0"/>
        <w:overflowPunct/>
        <w:topLinePunct w:val="0"/>
        <w:autoSpaceDE/>
        <w:autoSpaceDN/>
        <w:bidi w:val="0"/>
        <w:adjustRightInd w:val="0"/>
        <w:snapToGrid w:val="0"/>
        <w:spacing w:line="360" w:lineRule="auto"/>
        <w:textAlignment w:val="baseline"/>
        <w:rPr>
          <w:rFonts w:ascii="Arial"/>
          <w:sz w:val="21"/>
          <w:highlight w:val="none"/>
        </w:rPr>
      </w:pPr>
    </w:p>
    <w:p w14:paraId="70FD97B9">
      <w:pPr>
        <w:keepNext w:val="0"/>
        <w:keepLines w:val="0"/>
        <w:pageBreakBefore w:val="0"/>
        <w:widowControl/>
        <w:kinsoku/>
        <w:wordWrap w:val="0"/>
        <w:overflowPunct/>
        <w:topLinePunct w:val="0"/>
        <w:autoSpaceDE/>
        <w:autoSpaceDN/>
        <w:bidi w:val="0"/>
        <w:adjustRightInd w:val="0"/>
        <w:snapToGrid w:val="0"/>
        <w:spacing w:line="360" w:lineRule="auto"/>
        <w:ind w:firstLine="1"/>
        <w:textAlignment w:val="baseline"/>
        <w:rPr>
          <w:highlight w:val="none"/>
        </w:rPr>
      </w:pPr>
    </w:p>
    <w:sectPr>
      <w:headerReference r:id="rId11" w:type="default"/>
      <w:footerReference r:id="rId12" w:type="default"/>
      <w:pgSz w:w="11906" w:h="16840"/>
      <w:pgMar w:top="1134" w:right="1247" w:bottom="1134" w:left="1247" w:header="556" w:footer="782"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A3B6B">
    <w:pPr>
      <w:spacing w:line="212" w:lineRule="auto"/>
      <w:ind w:left="4142"/>
      <w:rPr>
        <w:rFonts w:ascii="仿宋" w:hAnsi="仿宋" w:eastAsia="仿宋" w:cs="仿宋"/>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F1B98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FF1B98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47F2E">
    <w:pPr>
      <w:spacing w:line="212" w:lineRule="auto"/>
      <w:ind w:left="4142"/>
      <w:rPr>
        <w:rFonts w:ascii="仿宋" w:hAnsi="仿宋" w:eastAsia="仿宋" w:cs="仿宋"/>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D7777">
                          <w:pPr>
                            <w:pStyle w:val="11"/>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20D7777">
                    <w:pPr>
                      <w:pStyle w:val="11"/>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76F1">
    <w:pPr>
      <w:spacing w:line="212" w:lineRule="auto"/>
      <w:ind w:left="4142"/>
      <w:rPr>
        <w:rFonts w:ascii="仿宋" w:hAnsi="仿宋" w:eastAsia="仿宋" w:cs="仿宋"/>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F6F85">
                          <w:pPr>
                            <w:pStyle w:val="11"/>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CBF6F85">
                    <w:pPr>
                      <w:pStyle w:val="11"/>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9AF03">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5AC33D">
                          <w:pPr>
                            <w:pStyle w:val="11"/>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95AC33D">
                    <w:pPr>
                      <w:pStyle w:val="11"/>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50A1">
    <w:pPr>
      <w:spacing w:before="49" w:line="221" w:lineRule="auto"/>
      <w:ind w:right="29"/>
      <w:jc w:val="right"/>
      <w:rPr>
        <w:rFonts w:ascii="宋体" w:hAnsi="宋体" w:eastAsia="宋体" w:cs="宋体"/>
        <w:sz w:val="18"/>
        <w:szCs w:val="18"/>
      </w:rPr>
    </w:pPr>
    <w:r>
      <w:rPr>
        <w:rFonts w:ascii="宋体" w:hAnsi="宋体" w:eastAsia="宋体" w:cs="宋体"/>
        <w:spacing w:val="1"/>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BFFE0">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1C758">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2143C">
    <w:pPr>
      <w:pStyle w:val="12"/>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7DC56A"/>
    <w:multiLevelType w:val="singleLevel"/>
    <w:tmpl w:val="A87DC56A"/>
    <w:lvl w:ilvl="0" w:tentative="0">
      <w:start w:val="1"/>
      <w:numFmt w:val="decimal"/>
      <w:lvlText w:val="%1."/>
      <w:lvlJc w:val="left"/>
      <w:pPr>
        <w:ind w:left="425" w:hanging="425"/>
      </w:pPr>
      <w:rPr>
        <w:rFonts w:hint="default"/>
      </w:rPr>
    </w:lvl>
  </w:abstractNum>
  <w:abstractNum w:abstractNumId="1">
    <w:nsid w:val="4EE3EE4C"/>
    <w:multiLevelType w:val="singleLevel"/>
    <w:tmpl w:val="4EE3EE4C"/>
    <w:lvl w:ilvl="0" w:tentative="0">
      <w:start w:val="2"/>
      <w:numFmt w:val="chineseCounting"/>
      <w:suff w:val="nothing"/>
      <w:lvlText w:val="%1、"/>
      <w:lvlJc w:val="left"/>
      <w:rPr>
        <w:rFonts w:hint="eastAsia"/>
      </w:rPr>
    </w:lvl>
  </w:abstractNum>
  <w:abstractNum w:abstractNumId="2">
    <w:nsid w:val="64055082"/>
    <w:multiLevelType w:val="singleLevel"/>
    <w:tmpl w:val="64055082"/>
    <w:lvl w:ilvl="0" w:tentative="0">
      <w:start w:val="4"/>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1711F"/>
    <w:rsid w:val="0093791F"/>
    <w:rsid w:val="0098388D"/>
    <w:rsid w:val="01035185"/>
    <w:rsid w:val="01981D96"/>
    <w:rsid w:val="01EA00F2"/>
    <w:rsid w:val="031511C4"/>
    <w:rsid w:val="038E567F"/>
    <w:rsid w:val="045C4A44"/>
    <w:rsid w:val="047D0461"/>
    <w:rsid w:val="055C1075"/>
    <w:rsid w:val="05924D4E"/>
    <w:rsid w:val="060266C2"/>
    <w:rsid w:val="06420522"/>
    <w:rsid w:val="06422596"/>
    <w:rsid w:val="06A03ADA"/>
    <w:rsid w:val="08314653"/>
    <w:rsid w:val="08423E3D"/>
    <w:rsid w:val="088B63D5"/>
    <w:rsid w:val="08BB45BC"/>
    <w:rsid w:val="090934C7"/>
    <w:rsid w:val="09485D15"/>
    <w:rsid w:val="097666C8"/>
    <w:rsid w:val="09931095"/>
    <w:rsid w:val="0AD100C7"/>
    <w:rsid w:val="0BC049D5"/>
    <w:rsid w:val="0E8B2112"/>
    <w:rsid w:val="0F6C6610"/>
    <w:rsid w:val="0FB104C7"/>
    <w:rsid w:val="0FB842F9"/>
    <w:rsid w:val="102A1439"/>
    <w:rsid w:val="102D3E30"/>
    <w:rsid w:val="104D691B"/>
    <w:rsid w:val="10551E85"/>
    <w:rsid w:val="10AD6EE0"/>
    <w:rsid w:val="10B03CC8"/>
    <w:rsid w:val="11074842"/>
    <w:rsid w:val="114A3B4D"/>
    <w:rsid w:val="114A4FD8"/>
    <w:rsid w:val="12245647"/>
    <w:rsid w:val="12492C39"/>
    <w:rsid w:val="12C51EEC"/>
    <w:rsid w:val="12E3133C"/>
    <w:rsid w:val="130848A2"/>
    <w:rsid w:val="132D60B6"/>
    <w:rsid w:val="13B979C8"/>
    <w:rsid w:val="13F15336"/>
    <w:rsid w:val="143376FC"/>
    <w:rsid w:val="14F07D26"/>
    <w:rsid w:val="15502BA9"/>
    <w:rsid w:val="1574621E"/>
    <w:rsid w:val="158346B4"/>
    <w:rsid w:val="15AA6121"/>
    <w:rsid w:val="16F6057F"/>
    <w:rsid w:val="17D42FA4"/>
    <w:rsid w:val="19377C8F"/>
    <w:rsid w:val="1AD85C28"/>
    <w:rsid w:val="1C2810A6"/>
    <w:rsid w:val="1C2F10F1"/>
    <w:rsid w:val="1C9A0C60"/>
    <w:rsid w:val="1CB05D8E"/>
    <w:rsid w:val="1E371CB4"/>
    <w:rsid w:val="1EEA3B0B"/>
    <w:rsid w:val="1F17490E"/>
    <w:rsid w:val="1FA212D2"/>
    <w:rsid w:val="200C18AC"/>
    <w:rsid w:val="214967B1"/>
    <w:rsid w:val="215C4736"/>
    <w:rsid w:val="22D93790"/>
    <w:rsid w:val="232C5742"/>
    <w:rsid w:val="234436D4"/>
    <w:rsid w:val="237A5EDF"/>
    <w:rsid w:val="24857B00"/>
    <w:rsid w:val="24EA2059"/>
    <w:rsid w:val="25A86146"/>
    <w:rsid w:val="265C713C"/>
    <w:rsid w:val="26977FBF"/>
    <w:rsid w:val="27C052F3"/>
    <w:rsid w:val="28A231D5"/>
    <w:rsid w:val="29CA3155"/>
    <w:rsid w:val="2A8940C2"/>
    <w:rsid w:val="2B3202B6"/>
    <w:rsid w:val="2BE026AD"/>
    <w:rsid w:val="2C380380"/>
    <w:rsid w:val="2C4248E1"/>
    <w:rsid w:val="2F7215C9"/>
    <w:rsid w:val="2FD62A56"/>
    <w:rsid w:val="2FE06533"/>
    <w:rsid w:val="3054044F"/>
    <w:rsid w:val="30557BA7"/>
    <w:rsid w:val="30E976AF"/>
    <w:rsid w:val="30EC3CCF"/>
    <w:rsid w:val="30EF2CCA"/>
    <w:rsid w:val="310821E5"/>
    <w:rsid w:val="31181CFC"/>
    <w:rsid w:val="32130E41"/>
    <w:rsid w:val="331D32AB"/>
    <w:rsid w:val="348E0C53"/>
    <w:rsid w:val="34916A44"/>
    <w:rsid w:val="34BF0BEE"/>
    <w:rsid w:val="36617CA1"/>
    <w:rsid w:val="367B0D63"/>
    <w:rsid w:val="3706083B"/>
    <w:rsid w:val="396957EB"/>
    <w:rsid w:val="39F552D0"/>
    <w:rsid w:val="3A3B679F"/>
    <w:rsid w:val="3AF37A62"/>
    <w:rsid w:val="3B022A98"/>
    <w:rsid w:val="3C2269E6"/>
    <w:rsid w:val="3CE60BBF"/>
    <w:rsid w:val="3CE84C78"/>
    <w:rsid w:val="3D241785"/>
    <w:rsid w:val="3DD11BB1"/>
    <w:rsid w:val="3E9E7CE5"/>
    <w:rsid w:val="3F1A7C1E"/>
    <w:rsid w:val="3F4B4D24"/>
    <w:rsid w:val="3FAF7CCF"/>
    <w:rsid w:val="402740A5"/>
    <w:rsid w:val="40523956"/>
    <w:rsid w:val="40851234"/>
    <w:rsid w:val="40D17CDF"/>
    <w:rsid w:val="413761CE"/>
    <w:rsid w:val="42573DCD"/>
    <w:rsid w:val="43142F7D"/>
    <w:rsid w:val="43AF5209"/>
    <w:rsid w:val="44820BD4"/>
    <w:rsid w:val="44A265AC"/>
    <w:rsid w:val="44E421C9"/>
    <w:rsid w:val="45A83CFD"/>
    <w:rsid w:val="45C113B4"/>
    <w:rsid w:val="463E43AB"/>
    <w:rsid w:val="468C48C7"/>
    <w:rsid w:val="474E1F73"/>
    <w:rsid w:val="476B0980"/>
    <w:rsid w:val="478832E0"/>
    <w:rsid w:val="47BB4DEF"/>
    <w:rsid w:val="482464BF"/>
    <w:rsid w:val="48E4489A"/>
    <w:rsid w:val="48FD1AAC"/>
    <w:rsid w:val="490C1CEF"/>
    <w:rsid w:val="498F6704"/>
    <w:rsid w:val="4A2A4B22"/>
    <w:rsid w:val="4AEA6561"/>
    <w:rsid w:val="4B1B446B"/>
    <w:rsid w:val="4B612004"/>
    <w:rsid w:val="4BBF129A"/>
    <w:rsid w:val="4C3F56FD"/>
    <w:rsid w:val="4CA31676"/>
    <w:rsid w:val="4CA7482C"/>
    <w:rsid w:val="4CB30DFF"/>
    <w:rsid w:val="4CE30FB8"/>
    <w:rsid w:val="4CE749CB"/>
    <w:rsid w:val="4D2A709C"/>
    <w:rsid w:val="4F4A531F"/>
    <w:rsid w:val="4F5B0E6F"/>
    <w:rsid w:val="50140F14"/>
    <w:rsid w:val="508B4A33"/>
    <w:rsid w:val="51363DAD"/>
    <w:rsid w:val="513C3FA2"/>
    <w:rsid w:val="51504341"/>
    <w:rsid w:val="516B614C"/>
    <w:rsid w:val="51E41CDF"/>
    <w:rsid w:val="53A25729"/>
    <w:rsid w:val="56113F77"/>
    <w:rsid w:val="56181056"/>
    <w:rsid w:val="564114B8"/>
    <w:rsid w:val="56A47A0A"/>
    <w:rsid w:val="56B23ED5"/>
    <w:rsid w:val="5756394B"/>
    <w:rsid w:val="580E59FC"/>
    <w:rsid w:val="583628E4"/>
    <w:rsid w:val="59C75EEA"/>
    <w:rsid w:val="5A0C7DA1"/>
    <w:rsid w:val="5A49176F"/>
    <w:rsid w:val="5AA15FD1"/>
    <w:rsid w:val="5C4E46A0"/>
    <w:rsid w:val="5D6D6DA8"/>
    <w:rsid w:val="5E03770C"/>
    <w:rsid w:val="5E172FC3"/>
    <w:rsid w:val="5E541D16"/>
    <w:rsid w:val="5E6036D4"/>
    <w:rsid w:val="5ED510A9"/>
    <w:rsid w:val="5F1253EB"/>
    <w:rsid w:val="5F585836"/>
    <w:rsid w:val="609E1167"/>
    <w:rsid w:val="60A70834"/>
    <w:rsid w:val="61247158"/>
    <w:rsid w:val="6180307D"/>
    <w:rsid w:val="6199768A"/>
    <w:rsid w:val="61A46B11"/>
    <w:rsid w:val="63040FB0"/>
    <w:rsid w:val="64485E79"/>
    <w:rsid w:val="645C0067"/>
    <w:rsid w:val="64B2161B"/>
    <w:rsid w:val="64DF6C4F"/>
    <w:rsid w:val="650E0419"/>
    <w:rsid w:val="65DC4ACB"/>
    <w:rsid w:val="66FB5425"/>
    <w:rsid w:val="674F1A05"/>
    <w:rsid w:val="678E03A2"/>
    <w:rsid w:val="67BC6222"/>
    <w:rsid w:val="67D16185"/>
    <w:rsid w:val="67F84F84"/>
    <w:rsid w:val="68EA1700"/>
    <w:rsid w:val="691722BE"/>
    <w:rsid w:val="695C60EA"/>
    <w:rsid w:val="69855479"/>
    <w:rsid w:val="6A00028D"/>
    <w:rsid w:val="6A605C43"/>
    <w:rsid w:val="6B39757A"/>
    <w:rsid w:val="6C6A7A83"/>
    <w:rsid w:val="6DB01215"/>
    <w:rsid w:val="6E6715F2"/>
    <w:rsid w:val="6EB5235D"/>
    <w:rsid w:val="6F502CC8"/>
    <w:rsid w:val="6FA85431"/>
    <w:rsid w:val="6FAD2DBF"/>
    <w:rsid w:val="70473489"/>
    <w:rsid w:val="71017D37"/>
    <w:rsid w:val="71470AFE"/>
    <w:rsid w:val="72263C29"/>
    <w:rsid w:val="729B5D0E"/>
    <w:rsid w:val="733F472F"/>
    <w:rsid w:val="748E12E6"/>
    <w:rsid w:val="75342185"/>
    <w:rsid w:val="75A153E9"/>
    <w:rsid w:val="78083F5D"/>
    <w:rsid w:val="7826607A"/>
    <w:rsid w:val="786170B2"/>
    <w:rsid w:val="78A315FC"/>
    <w:rsid w:val="78BE4504"/>
    <w:rsid w:val="78C707A1"/>
    <w:rsid w:val="790413F0"/>
    <w:rsid w:val="7B3D2585"/>
    <w:rsid w:val="7C505387"/>
    <w:rsid w:val="7C7A6994"/>
    <w:rsid w:val="7CD7413A"/>
    <w:rsid w:val="7DA51172"/>
    <w:rsid w:val="7E13525B"/>
    <w:rsid w:val="7E755665"/>
    <w:rsid w:val="7EC81C39"/>
    <w:rsid w:val="7F5B2AAD"/>
    <w:rsid w:val="7F6F0306"/>
    <w:rsid w:val="7FEC4F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qFormat/>
    <w:uiPriority w:val="0"/>
    <w:pPr>
      <w:keepNext/>
      <w:keepLines/>
      <w:spacing w:before="120" w:beforeLines="0" w:beforeAutospacing="0" w:after="120" w:afterLines="0" w:afterAutospacing="0" w:line="360" w:lineRule="auto"/>
      <w:jc w:val="center"/>
      <w:outlineLvl w:val="0"/>
    </w:pPr>
    <w:rPr>
      <w:rFonts w:ascii="Arial" w:hAnsi="Arial" w:eastAsia="宋体"/>
      <w:b/>
      <w:kern w:val="44"/>
      <w:sz w:val="36"/>
    </w:rPr>
  </w:style>
  <w:style w:type="paragraph" w:styleId="5">
    <w:name w:val="heading 2"/>
    <w:basedOn w:val="1"/>
    <w:next w:val="1"/>
    <w:unhideWhenUsed/>
    <w:qFormat/>
    <w:uiPriority w:val="0"/>
    <w:pPr>
      <w:keepNext/>
      <w:keepLines/>
      <w:spacing w:before="140" w:beforeLines="0" w:beforeAutospacing="0" w:after="140" w:afterLines="0" w:afterAutospacing="0" w:line="360" w:lineRule="auto"/>
      <w:jc w:val="center"/>
      <w:outlineLvl w:val="1"/>
    </w:pPr>
    <w:rPr>
      <w:rFonts w:ascii="Arial" w:hAnsi="Arial" w:eastAsia="宋体"/>
      <w:b/>
      <w:sz w:val="30"/>
    </w:rPr>
  </w:style>
  <w:style w:type="paragraph" w:styleId="6">
    <w:name w:val="heading 3"/>
    <w:basedOn w:val="1"/>
    <w:next w:val="1"/>
    <w:unhideWhenUsed/>
    <w:qFormat/>
    <w:uiPriority w:val="0"/>
    <w:pPr>
      <w:keepNext/>
      <w:keepLines/>
      <w:spacing w:before="140" w:beforeLines="0" w:beforeAutospacing="0" w:after="140" w:afterLines="0" w:afterAutospacing="0" w:line="360" w:lineRule="auto"/>
      <w:outlineLvl w:val="2"/>
    </w:pPr>
    <w:rPr>
      <w:rFonts w:ascii="Arial" w:hAnsi="Arial" w:eastAsia="宋体"/>
      <w:b/>
      <w:sz w:val="28"/>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宋体" w:hAnsi="宋体" w:eastAsia="宋体" w:cs="宋体"/>
      <w:sz w:val="30"/>
      <w:szCs w:val="30"/>
      <w:lang w:val="en-US" w:eastAsia="en-US" w:bidi="ar-SA"/>
    </w:rPr>
  </w:style>
  <w:style w:type="paragraph" w:styleId="3">
    <w:name w:val="Body Text 2"/>
    <w:basedOn w:val="1"/>
    <w:qFormat/>
    <w:uiPriority w:val="0"/>
    <w:pPr>
      <w:spacing w:after="120" w:line="480" w:lineRule="auto"/>
    </w:p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eastAsia="宋体"/>
      <w:kern w:val="0"/>
      <w:sz w:val="20"/>
      <w:szCs w:val="21"/>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Normal (Web)"/>
    <w:basedOn w:val="1"/>
    <w:qFormat/>
    <w:uiPriority w:val="0"/>
    <w:pPr>
      <w:spacing w:before="100" w:beforeAutospacing="1" w:after="100" w:afterAutospacing="1"/>
    </w:pPr>
    <w:rPr>
      <w:rFonts w:cs="Times New Roman"/>
      <w:sz w:val="24"/>
      <w:lang w:eastAsia="zh-CN"/>
    </w:rPr>
  </w:style>
  <w:style w:type="paragraph" w:styleId="16">
    <w:name w:val="Body Text First Indent"/>
    <w:basedOn w:val="2"/>
    <w:next w:val="17"/>
    <w:qFormat/>
    <w:uiPriority w:val="0"/>
    <w:pPr>
      <w:tabs>
        <w:tab w:val="left" w:pos="567"/>
      </w:tabs>
      <w:spacing w:before="0" w:after="120" w:line="240" w:lineRule="auto"/>
      <w:ind w:firstLine="420" w:firstLineChars="100"/>
    </w:pPr>
    <w:rPr>
      <w:rFonts w:ascii="Times New Roman" w:hAnsi="Times New Roman"/>
      <w:sz w:val="21"/>
    </w:rPr>
  </w:style>
  <w:style w:type="paragraph" w:styleId="17">
    <w:name w:val="Body Text First Indent 2"/>
    <w:basedOn w:val="8"/>
    <w:qFormat/>
    <w:uiPriority w:val="0"/>
    <w:pPr>
      <w:spacing w:after="120" w:line="240" w:lineRule="auto"/>
      <w:ind w:left="420" w:leftChars="200" w:firstLine="420" w:firstLineChars="200"/>
    </w:pPr>
    <w:rPr>
      <w:sz w:val="21"/>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100</Pages>
  <Words>44700</Words>
  <Characters>47178</Characters>
  <TotalTime>66</TotalTime>
  <ScaleCrop>false</ScaleCrop>
  <LinksUpToDate>false</LinksUpToDate>
  <CharactersWithSpaces>52869</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2025-08-21T14:58:00Z</dcterms:created>
  <dc:creator>admin</dc:creator>
  <cp:lastModifiedBy>admin</cp:lastModifiedBy>
  <dcterms:modified xsi:type="dcterms:W3CDTF">2026-09-03T09:12:15Z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2025-10-27T19:32:05Z</vt:filetime>
  </property>
  <property fmtid="{D5CDD505-2E9C-101B-9397-08002B2CF9AE}" pid="4" name="KSOTemplateDocerSaveRecord">
    <vt:lpwstr>eyJoZGlkIjoiNDZkMDUzMmJkOTA0MWIwM2FmNGJjZjcyMjk4NzU2NjEiLCJ1c2VySWQiOiI5NDQwNTA0NTEifQ==</vt:lpwstr>
  </property>
  <property fmtid="{D5CDD505-2E9C-101B-9397-08002B2CF9AE}" pid="5" name="KSOProductBuildVer">
    <vt:lpwstr>2052-12.1.0.28043</vt:lpwstr>
  </property>
  <property fmtid="{D5CDD505-2E9C-101B-9397-08002B2CF9AE}" pid="6" name="ICV">
    <vt:lpwstr>0871BEF3D6AB45A8BD11263FAC892A5D_13</vt:lpwstr>
  </property>
</Properties>
</file>