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71F1D9">
      <w:pPr>
        <w:rPr>
          <w:rFonts w:eastAsia="宋体" w:cs="宋体"/>
          <w:color w:val="auto"/>
        </w:rPr>
      </w:pPr>
      <w:r>
        <w:rPr>
          <w:rFonts w:hint="eastAsia" w:ascii="华文中宋" w:hAnsi="华文中宋" w:eastAsia="华文中宋" w:cs="宋体"/>
          <w:b/>
          <w:color w:val="auto"/>
          <w:sz w:val="24"/>
        </w:rPr>
        <w:t>政府采购品目分类：</w:t>
      </w:r>
      <w:r>
        <w:rPr>
          <w:rFonts w:hint="eastAsia" w:ascii="华文中宋" w:hAnsi="华文中宋" w:eastAsia="华文中宋" w:cs="宋体"/>
          <w:b/>
          <w:color w:val="auto"/>
          <w:sz w:val="24"/>
          <w:lang w:val="en-US" w:eastAsia="zh-CN"/>
        </w:rPr>
        <w:t>A</w:t>
      </w:r>
      <w:r>
        <w:rPr>
          <w:rFonts w:hint="eastAsia" w:ascii="华文中宋" w:hAnsi="华文中宋" w:eastAsia="华文中宋" w:cs="宋体"/>
          <w:b/>
          <w:color w:val="auto"/>
          <w:sz w:val="24"/>
        </w:rPr>
        <w:t xml:space="preserve">                    </w:t>
      </w:r>
    </w:p>
    <w:p w14:paraId="3550A3F2">
      <w:pPr>
        <w:widowControl w:val="0"/>
        <w:spacing w:line="440" w:lineRule="exact"/>
        <w:jc w:val="center"/>
        <w:rPr>
          <w:rFonts w:ascii="隶书" w:hAnsi="华文中宋" w:eastAsia="隶书" w:cs="Courier New"/>
          <w:color w:val="auto"/>
          <w:kern w:val="2"/>
          <w:sz w:val="84"/>
          <w:szCs w:val="84"/>
          <w:lang w:val="en-US" w:eastAsia="zh-CN" w:bidi="ar-SA"/>
        </w:rPr>
      </w:pPr>
    </w:p>
    <w:p w14:paraId="6F931CDD">
      <w:pPr>
        <w:widowControl w:val="0"/>
        <w:spacing w:line="440" w:lineRule="exact"/>
        <w:jc w:val="center"/>
        <w:rPr>
          <w:rFonts w:ascii="隶书" w:hAnsi="华文中宋" w:eastAsia="隶书" w:cs="Courier New"/>
          <w:color w:val="auto"/>
          <w:kern w:val="2"/>
          <w:sz w:val="84"/>
          <w:szCs w:val="84"/>
          <w:lang w:val="en-US" w:eastAsia="zh-CN" w:bidi="ar-SA"/>
        </w:rPr>
      </w:pPr>
    </w:p>
    <w:p w14:paraId="2C30D004">
      <w:pPr>
        <w:widowControl w:val="0"/>
        <w:spacing w:line="440" w:lineRule="exact"/>
        <w:jc w:val="center"/>
        <w:rPr>
          <w:rFonts w:ascii="隶书" w:hAnsi="华文中宋" w:eastAsia="隶书" w:cs="Courier New"/>
          <w:color w:val="auto"/>
          <w:kern w:val="2"/>
          <w:sz w:val="84"/>
          <w:szCs w:val="84"/>
          <w:lang w:val="en-US" w:eastAsia="zh-CN" w:bidi="ar-SA"/>
        </w:rPr>
      </w:pPr>
    </w:p>
    <w:p w14:paraId="5A64B92F">
      <w:pPr>
        <w:keepNext w:val="0"/>
        <w:keepLines w:val="0"/>
        <w:pageBreakBefore w:val="0"/>
        <w:widowControl w:val="0"/>
        <w:kinsoku/>
        <w:wordWrap/>
        <w:overflowPunct/>
        <w:topLinePunct w:val="0"/>
        <w:autoSpaceDE/>
        <w:autoSpaceDN/>
        <w:bidi w:val="0"/>
        <w:spacing w:line="1360" w:lineRule="exact"/>
        <w:jc w:val="center"/>
        <w:textAlignment w:val="auto"/>
        <w:rPr>
          <w:rFonts w:ascii="华文中宋" w:hAnsi="华文中宋" w:eastAsia="华文中宋" w:cs="Courier New"/>
          <w:b/>
          <w:color w:val="auto"/>
          <w:kern w:val="2"/>
          <w:sz w:val="84"/>
          <w:szCs w:val="84"/>
          <w:lang w:val="en-US" w:eastAsia="zh-CN" w:bidi="ar-SA"/>
        </w:rPr>
      </w:pPr>
      <w:r>
        <w:rPr>
          <w:rFonts w:hint="eastAsia" w:ascii="华文中宋" w:hAnsi="华文中宋" w:eastAsia="华文中宋" w:cs="Courier New"/>
          <w:b/>
          <w:color w:val="auto"/>
          <w:kern w:val="2"/>
          <w:sz w:val="84"/>
          <w:szCs w:val="84"/>
          <w:lang w:val="en-US" w:eastAsia="zh-CN" w:bidi="ar-SA"/>
        </w:rPr>
        <w:t>张家界市政府采购</w:t>
      </w:r>
    </w:p>
    <w:p w14:paraId="480D9026">
      <w:pPr>
        <w:keepNext w:val="0"/>
        <w:keepLines w:val="0"/>
        <w:pageBreakBefore w:val="0"/>
        <w:widowControl w:val="0"/>
        <w:kinsoku/>
        <w:wordWrap/>
        <w:overflowPunct/>
        <w:topLinePunct w:val="0"/>
        <w:autoSpaceDE/>
        <w:autoSpaceDN/>
        <w:bidi w:val="0"/>
        <w:adjustRightInd w:val="0"/>
        <w:snapToGrid w:val="0"/>
        <w:spacing w:line="1360" w:lineRule="exact"/>
        <w:jc w:val="center"/>
        <w:textAlignment w:val="auto"/>
        <w:rPr>
          <w:rFonts w:ascii="华文中宋" w:hAnsi="华文中宋" w:eastAsia="华文中宋" w:cs="Courier New"/>
          <w:b/>
          <w:color w:val="auto"/>
          <w:kern w:val="2"/>
          <w:sz w:val="84"/>
          <w:szCs w:val="84"/>
          <w:lang w:val="en-US" w:eastAsia="zh-CN" w:bidi="ar-SA"/>
        </w:rPr>
      </w:pPr>
      <w:r>
        <w:rPr>
          <w:rFonts w:hint="eastAsia" w:ascii="华文中宋" w:hAnsi="华文中宋" w:eastAsia="华文中宋" w:cs="Courier New"/>
          <w:b/>
          <w:color w:val="auto"/>
          <w:kern w:val="2"/>
          <w:sz w:val="84"/>
          <w:szCs w:val="84"/>
          <w:lang w:val="en-US" w:eastAsia="zh-CN" w:bidi="ar-SA"/>
        </w:rPr>
        <w:t>竞争性谈判文件</w:t>
      </w:r>
    </w:p>
    <w:p w14:paraId="6C125395">
      <w:pPr>
        <w:widowControl w:val="0"/>
        <w:adjustRightInd w:val="0"/>
        <w:snapToGrid w:val="0"/>
        <w:spacing w:line="360" w:lineRule="auto"/>
        <w:jc w:val="both"/>
        <w:rPr>
          <w:rFonts w:ascii="Tahoma" w:hAnsi="Tahoma" w:eastAsia="宋体" w:cs="Tahoma"/>
          <w:color w:val="auto"/>
          <w:kern w:val="2"/>
          <w:sz w:val="20"/>
          <w:szCs w:val="20"/>
          <w:lang w:val="en-US" w:eastAsia="zh-CN" w:bidi="ar-SA"/>
        </w:rPr>
      </w:pPr>
    </w:p>
    <w:p w14:paraId="2898445D">
      <w:pPr>
        <w:widowControl w:val="0"/>
        <w:adjustRightInd w:val="0"/>
        <w:snapToGrid w:val="0"/>
        <w:spacing w:line="360" w:lineRule="auto"/>
        <w:ind w:left="2730" w:leftChars="554" w:hanging="1400" w:hangingChars="700"/>
        <w:jc w:val="both"/>
        <w:rPr>
          <w:rFonts w:ascii="Tahoma" w:hAnsi="Tahoma" w:eastAsia="宋体" w:cs="Tahoma"/>
          <w:color w:val="auto"/>
          <w:kern w:val="2"/>
          <w:sz w:val="20"/>
          <w:szCs w:val="20"/>
          <w:lang w:val="en-US" w:eastAsia="zh-CN" w:bidi="ar-SA"/>
        </w:rPr>
      </w:pPr>
    </w:p>
    <w:p w14:paraId="7FCA399A">
      <w:pPr>
        <w:widowControl w:val="0"/>
        <w:adjustRightInd w:val="0"/>
        <w:snapToGrid w:val="0"/>
        <w:spacing w:line="360" w:lineRule="auto"/>
        <w:ind w:left="2730" w:leftChars="554" w:hanging="1400" w:hangingChars="700"/>
        <w:jc w:val="both"/>
        <w:rPr>
          <w:rFonts w:ascii="Tahoma" w:hAnsi="Tahoma" w:eastAsia="宋体" w:cs="Tahoma"/>
          <w:color w:val="auto"/>
          <w:kern w:val="2"/>
          <w:sz w:val="20"/>
          <w:szCs w:val="20"/>
          <w:lang w:val="en-US" w:eastAsia="zh-CN" w:bidi="ar-SA"/>
        </w:rPr>
      </w:pPr>
    </w:p>
    <w:p w14:paraId="23E2A748">
      <w:pPr>
        <w:widowControl w:val="0"/>
        <w:adjustRightInd w:val="0"/>
        <w:snapToGrid w:val="0"/>
        <w:spacing w:line="360" w:lineRule="auto"/>
        <w:jc w:val="both"/>
        <w:rPr>
          <w:rFonts w:ascii="Tahoma" w:hAnsi="Tahoma" w:eastAsia="宋体" w:cs="Tahoma"/>
          <w:color w:val="auto"/>
          <w:kern w:val="2"/>
          <w:sz w:val="20"/>
          <w:szCs w:val="20"/>
          <w:lang w:val="en-US" w:eastAsia="zh-CN" w:bidi="ar-SA"/>
        </w:rPr>
      </w:pPr>
    </w:p>
    <w:p w14:paraId="08A16B00">
      <w:pPr>
        <w:widowControl w:val="0"/>
        <w:adjustRightInd w:val="0"/>
        <w:snapToGrid w:val="0"/>
        <w:spacing w:line="360" w:lineRule="auto"/>
        <w:ind w:left="2730" w:leftChars="554" w:hanging="1400" w:hangingChars="700"/>
        <w:jc w:val="both"/>
        <w:rPr>
          <w:rFonts w:ascii="华文中宋" w:hAnsi="华文中宋" w:eastAsia="华文中宋" w:cs="Tahoma"/>
          <w:color w:val="auto"/>
          <w:kern w:val="2"/>
          <w:sz w:val="20"/>
          <w:szCs w:val="20"/>
          <w:lang w:val="en-US" w:eastAsia="zh-CN" w:bidi="ar-SA"/>
        </w:rPr>
      </w:pPr>
    </w:p>
    <w:p w14:paraId="5E8A76DC">
      <w:pPr>
        <w:adjustRightInd w:val="0"/>
        <w:snapToGrid w:val="0"/>
        <w:spacing w:line="360" w:lineRule="auto"/>
        <w:ind w:left="3453" w:leftChars="532" w:hanging="2176" w:hangingChars="695"/>
        <w:rPr>
          <w:rFonts w:hint="eastAsia" w:ascii="华文中宋" w:hAnsi="华文中宋" w:eastAsia="华文中宋" w:cs="宋体"/>
          <w:b/>
          <w:color w:val="auto"/>
          <w:sz w:val="32"/>
          <w:szCs w:val="32"/>
          <w:lang w:eastAsia="zh-CN"/>
        </w:rPr>
      </w:pPr>
      <w:r>
        <w:rPr>
          <w:rFonts w:hint="eastAsia" w:ascii="华文中宋" w:hAnsi="华文中宋" w:eastAsia="华文中宋" w:cs="宋体"/>
          <w:b/>
          <w:color w:val="auto"/>
          <w:w w:val="98"/>
          <w:sz w:val="32"/>
          <w:szCs w:val="32"/>
        </w:rPr>
        <w:t>采购项目名称：</w:t>
      </w:r>
      <w:r>
        <w:rPr>
          <w:rFonts w:hint="eastAsia" w:ascii="华文中宋" w:hAnsi="华文中宋" w:eastAsia="华文中宋" w:cs="宋体"/>
          <w:b/>
          <w:color w:val="auto"/>
          <w:sz w:val="32"/>
          <w:szCs w:val="32"/>
          <w:lang w:val="en-US" w:eastAsia="zh-CN"/>
        </w:rPr>
        <w:t>2026年度</w:t>
      </w:r>
      <w:r>
        <w:rPr>
          <w:rFonts w:hint="eastAsia" w:ascii="华文中宋" w:hAnsi="华文中宋" w:eastAsia="华文中宋" w:cs="宋体"/>
          <w:b/>
          <w:color w:val="auto"/>
          <w:sz w:val="32"/>
          <w:szCs w:val="32"/>
          <w:lang w:val="en-US" w:eastAsia="zh-CN"/>
        </w:rPr>
        <w:t>市公安局公安科学技术大队实验室试剂耗材及DNA样本检测项目</w:t>
      </w:r>
    </w:p>
    <w:p w14:paraId="0BF4F980">
      <w:pPr>
        <w:adjustRightInd w:val="0"/>
        <w:snapToGrid w:val="0"/>
        <w:spacing w:line="360" w:lineRule="auto"/>
        <w:ind w:left="3502" w:leftChars="532" w:hanging="2225" w:hangingChars="695"/>
        <w:rPr>
          <w:rFonts w:hint="eastAsia" w:ascii="华文中宋" w:hAnsi="华文中宋" w:eastAsia="华文中宋" w:cs="宋体"/>
          <w:b/>
          <w:color w:val="auto"/>
          <w:sz w:val="32"/>
          <w:szCs w:val="32"/>
          <w:lang w:eastAsia="zh-CN"/>
        </w:rPr>
      </w:pPr>
      <w:r>
        <w:rPr>
          <w:rFonts w:hint="eastAsia" w:ascii="华文中宋" w:hAnsi="华文中宋" w:eastAsia="华文中宋" w:cs="宋体"/>
          <w:b/>
          <w:color w:val="auto"/>
          <w:sz w:val="32"/>
          <w:szCs w:val="32"/>
        </w:rPr>
        <w:t>政府采购</w:t>
      </w:r>
      <w:r>
        <w:rPr>
          <w:rFonts w:hint="eastAsia" w:ascii="华文中宋" w:hAnsi="华文中宋" w:eastAsia="华文中宋" w:cs="宋体"/>
          <w:b/>
          <w:color w:val="auto"/>
          <w:sz w:val="32"/>
          <w:szCs w:val="32"/>
          <w:lang w:val="en-US" w:eastAsia="zh-CN"/>
        </w:rPr>
        <w:t>计划</w:t>
      </w:r>
      <w:r>
        <w:rPr>
          <w:rFonts w:hint="eastAsia" w:ascii="华文中宋" w:hAnsi="华文中宋" w:eastAsia="华文中宋" w:cs="宋体"/>
          <w:b/>
          <w:color w:val="auto"/>
          <w:sz w:val="32"/>
          <w:szCs w:val="32"/>
        </w:rPr>
        <w:t>编号：</w:t>
      </w:r>
      <w:r>
        <w:rPr>
          <w:rFonts w:hint="eastAsia" w:ascii="华文中宋" w:hAnsi="华文中宋" w:eastAsia="华文中宋" w:cs="宋体"/>
          <w:b/>
          <w:color w:val="auto"/>
          <w:sz w:val="32"/>
          <w:szCs w:val="32"/>
          <w:lang w:val="en-US" w:eastAsia="zh-CN"/>
        </w:rPr>
        <w:t>(2026)430800000001-1</w:t>
      </w:r>
    </w:p>
    <w:p w14:paraId="14388691">
      <w:pPr>
        <w:adjustRightInd w:val="0"/>
        <w:snapToGrid w:val="0"/>
        <w:spacing w:line="360" w:lineRule="auto"/>
        <w:ind w:left="3502" w:leftChars="532" w:hanging="2225" w:hangingChars="695"/>
        <w:rPr>
          <w:rFonts w:hint="eastAsia" w:ascii="华文中宋" w:hAnsi="华文中宋" w:eastAsia="华文中宋" w:cs="宋体"/>
          <w:b/>
          <w:color w:val="auto"/>
          <w:sz w:val="32"/>
          <w:szCs w:val="32"/>
          <w:lang w:val="en-US" w:eastAsia="zh-CN"/>
        </w:rPr>
      </w:pPr>
      <w:r>
        <w:rPr>
          <w:rFonts w:hint="eastAsia" w:ascii="华文中宋" w:hAnsi="华文中宋" w:eastAsia="华文中宋" w:cs="宋体"/>
          <w:b/>
          <w:color w:val="auto"/>
          <w:sz w:val="32"/>
          <w:szCs w:val="32"/>
        </w:rPr>
        <w:t>采购代理编号：</w:t>
      </w:r>
      <w:r>
        <w:rPr>
          <w:rFonts w:hint="eastAsia" w:ascii="华文中宋" w:hAnsi="华文中宋" w:eastAsia="华文中宋" w:cs="宋体"/>
          <w:b/>
          <w:color w:val="auto"/>
          <w:sz w:val="32"/>
          <w:szCs w:val="32"/>
          <w:lang w:val="en-US" w:eastAsia="zh-CN"/>
        </w:rPr>
        <w:t xml:space="preserve">TPPZ(2026) 140 </w:t>
      </w:r>
    </w:p>
    <w:p w14:paraId="1958D939">
      <w:pPr>
        <w:adjustRightInd w:val="0"/>
        <w:snapToGrid w:val="0"/>
        <w:spacing w:line="360" w:lineRule="auto"/>
        <w:ind w:left="3502" w:leftChars="532" w:hanging="2225" w:hangingChars="695"/>
        <w:rPr>
          <w:rFonts w:hint="eastAsia" w:ascii="华文中宋" w:hAnsi="华文中宋" w:eastAsia="华文中宋" w:cs="宋体"/>
          <w:b/>
          <w:color w:val="auto"/>
          <w:sz w:val="32"/>
          <w:szCs w:val="32"/>
          <w:lang w:eastAsia="zh-CN"/>
        </w:rPr>
      </w:pPr>
      <w:r>
        <w:rPr>
          <w:rFonts w:hint="eastAsia" w:ascii="华文中宋" w:hAnsi="华文中宋" w:eastAsia="华文中宋" w:cs="宋体"/>
          <w:b/>
          <w:color w:val="auto"/>
          <w:sz w:val="32"/>
          <w:szCs w:val="32"/>
        </w:rPr>
        <w:t>采</w:t>
      </w:r>
      <w:r>
        <w:rPr>
          <w:rFonts w:hint="eastAsia" w:ascii="华文中宋" w:hAnsi="华文中宋" w:eastAsia="华文中宋" w:cs="宋体"/>
          <w:b/>
          <w:color w:val="auto"/>
          <w:sz w:val="32"/>
          <w:szCs w:val="32"/>
          <w:lang w:val="en-US" w:eastAsia="zh-CN"/>
        </w:rPr>
        <w:t xml:space="preserve">   </w:t>
      </w:r>
      <w:r>
        <w:rPr>
          <w:rFonts w:hint="eastAsia" w:ascii="华文中宋" w:hAnsi="华文中宋" w:eastAsia="华文中宋" w:cs="宋体"/>
          <w:b/>
          <w:color w:val="auto"/>
          <w:sz w:val="32"/>
          <w:szCs w:val="32"/>
        </w:rPr>
        <w:t>购</w:t>
      </w:r>
      <w:r>
        <w:rPr>
          <w:rFonts w:hint="eastAsia" w:ascii="华文中宋" w:hAnsi="华文中宋" w:eastAsia="华文中宋" w:cs="宋体"/>
          <w:b/>
          <w:color w:val="auto"/>
          <w:sz w:val="32"/>
          <w:szCs w:val="32"/>
          <w:lang w:val="en-US" w:eastAsia="zh-CN"/>
        </w:rPr>
        <w:t xml:space="preserve">   </w:t>
      </w:r>
      <w:r>
        <w:rPr>
          <w:rFonts w:hint="eastAsia" w:ascii="华文中宋" w:hAnsi="华文中宋" w:eastAsia="华文中宋" w:cs="宋体"/>
          <w:b/>
          <w:color w:val="auto"/>
          <w:sz w:val="32"/>
          <w:szCs w:val="32"/>
        </w:rPr>
        <w:t>人：</w:t>
      </w:r>
      <w:r>
        <w:rPr>
          <w:rFonts w:hint="eastAsia" w:ascii="华文中宋" w:hAnsi="华文中宋" w:eastAsia="华文中宋" w:cs="宋体"/>
          <w:b/>
          <w:color w:val="auto"/>
          <w:sz w:val="32"/>
          <w:szCs w:val="32"/>
          <w:lang w:eastAsia="zh-CN"/>
        </w:rPr>
        <w:t>张家界市公安局</w:t>
      </w:r>
    </w:p>
    <w:p w14:paraId="3EB3A8B5">
      <w:pPr>
        <w:adjustRightInd w:val="0"/>
        <w:snapToGrid w:val="0"/>
        <w:spacing w:line="360" w:lineRule="auto"/>
        <w:ind w:left="3502" w:leftChars="532" w:hanging="2225" w:hangingChars="695"/>
        <w:rPr>
          <w:rFonts w:hint="eastAsia" w:ascii="华文中宋" w:hAnsi="华文中宋" w:eastAsia="华文中宋" w:cs="宋体"/>
          <w:color w:val="auto"/>
          <w:sz w:val="32"/>
          <w:szCs w:val="32"/>
          <w:lang w:eastAsia="zh-CN"/>
        </w:rPr>
      </w:pPr>
      <w:r>
        <w:rPr>
          <w:rFonts w:hint="eastAsia" w:ascii="华文中宋" w:hAnsi="华文中宋" w:eastAsia="华文中宋" w:cs="宋体"/>
          <w:b/>
          <w:color w:val="auto"/>
          <w:sz w:val="32"/>
          <w:szCs w:val="21"/>
        </w:rPr>
        <w:t>采购代理机构：</w:t>
      </w:r>
      <w:r>
        <w:rPr>
          <w:rFonts w:hint="eastAsia" w:ascii="华文中宋" w:hAnsi="华文中宋" w:eastAsia="华文中宋" w:cs="宋体"/>
          <w:b/>
          <w:color w:val="auto"/>
          <w:sz w:val="32"/>
          <w:szCs w:val="21"/>
          <w:lang w:eastAsia="zh-CN"/>
        </w:rPr>
        <w:t>湖南省天平项目管理有限公司</w:t>
      </w:r>
    </w:p>
    <w:p w14:paraId="3CF0B59E">
      <w:pPr>
        <w:widowControl w:val="0"/>
        <w:adjustRightInd w:val="0"/>
        <w:snapToGrid w:val="0"/>
        <w:spacing w:line="360" w:lineRule="auto"/>
        <w:jc w:val="both"/>
        <w:rPr>
          <w:rFonts w:ascii="仿宋_GB2312" w:hAnsi="宋体" w:eastAsia="仿宋_GB2312" w:cs="Courier New"/>
          <w:b/>
          <w:color w:val="auto"/>
          <w:kern w:val="2"/>
          <w:sz w:val="32"/>
          <w:szCs w:val="21"/>
          <w:lang w:val="en-US" w:eastAsia="zh-CN" w:bidi="ar-SA"/>
        </w:rPr>
      </w:pPr>
    </w:p>
    <w:p w14:paraId="69DED56F">
      <w:pPr>
        <w:widowControl w:val="0"/>
        <w:tabs>
          <w:tab w:val="left" w:pos="6440"/>
        </w:tabs>
        <w:adjustRightInd w:val="0"/>
        <w:snapToGrid w:val="0"/>
        <w:spacing w:line="360" w:lineRule="auto"/>
        <w:jc w:val="left"/>
        <w:rPr>
          <w:rFonts w:ascii="仿宋_GB2312" w:hAnsi="宋体" w:eastAsia="仿宋_GB2312" w:cs="Courier New"/>
          <w:b/>
          <w:color w:val="auto"/>
          <w:kern w:val="2"/>
          <w:sz w:val="32"/>
          <w:szCs w:val="21"/>
          <w:lang w:val="en-US" w:eastAsia="zh-CN" w:bidi="ar-SA"/>
        </w:rPr>
      </w:pPr>
      <w:r>
        <w:rPr>
          <w:rFonts w:ascii="仿宋_GB2312" w:hAnsi="宋体" w:eastAsia="仿宋_GB2312" w:cs="Courier New"/>
          <w:b/>
          <w:color w:val="auto"/>
          <w:kern w:val="2"/>
          <w:sz w:val="32"/>
          <w:szCs w:val="21"/>
          <w:lang w:val="en-US" w:eastAsia="zh-CN" w:bidi="ar-SA"/>
        </w:rPr>
        <w:tab/>
      </w:r>
    </w:p>
    <w:p w14:paraId="2811803E">
      <w:pPr>
        <w:widowControl w:val="0"/>
        <w:tabs>
          <w:tab w:val="left" w:pos="6440"/>
        </w:tabs>
        <w:adjustRightInd w:val="0"/>
        <w:snapToGrid w:val="0"/>
        <w:spacing w:line="360" w:lineRule="auto"/>
        <w:jc w:val="left"/>
        <w:rPr>
          <w:rFonts w:ascii="仿宋_GB2312" w:hAnsi="宋体" w:eastAsia="仿宋_GB2312" w:cs="Courier New"/>
          <w:b/>
          <w:color w:val="auto"/>
          <w:kern w:val="2"/>
          <w:sz w:val="32"/>
          <w:szCs w:val="21"/>
          <w:lang w:val="en-US" w:eastAsia="zh-CN" w:bidi="ar-SA"/>
        </w:rPr>
      </w:pPr>
    </w:p>
    <w:p w14:paraId="09AE577D">
      <w:pPr>
        <w:widowControl w:val="0"/>
        <w:adjustRightInd w:val="0"/>
        <w:snapToGrid w:val="0"/>
        <w:spacing w:line="360" w:lineRule="auto"/>
        <w:jc w:val="center"/>
        <w:rPr>
          <w:rFonts w:ascii="华文中宋" w:hAnsi="华文中宋" w:eastAsia="华文中宋" w:cs="Courier New"/>
          <w:b/>
          <w:color w:val="auto"/>
          <w:kern w:val="2"/>
          <w:sz w:val="32"/>
          <w:szCs w:val="21"/>
          <w:lang w:val="en-US" w:eastAsia="zh-CN" w:bidi="ar-SA"/>
        </w:rPr>
      </w:pPr>
      <w:r>
        <w:rPr>
          <w:rFonts w:hint="eastAsia" w:ascii="华文中宋" w:hAnsi="华文中宋" w:eastAsia="华文中宋" w:cs="Courier New"/>
          <w:b/>
          <w:color w:val="auto"/>
          <w:kern w:val="2"/>
          <w:sz w:val="32"/>
          <w:szCs w:val="21"/>
          <w:lang w:val="en-US" w:eastAsia="zh-CN" w:bidi="ar-SA"/>
        </w:rPr>
        <w:t>2026年7月</w:t>
      </w:r>
    </w:p>
    <w:p w14:paraId="19E8D691">
      <w:pPr>
        <w:tabs>
          <w:tab w:val="left" w:pos="0"/>
        </w:tabs>
        <w:rPr>
          <w:rFonts w:eastAsia="宋体" w:cs="宋体"/>
          <w:color w:val="auto"/>
          <w:highlight w:val="none"/>
        </w:rPr>
      </w:pPr>
    </w:p>
    <w:p w14:paraId="6EE33BB5">
      <w:pPr>
        <w:pStyle w:val="40"/>
        <w:rPr>
          <w:color w:val="auto"/>
          <w:highlight w:val="none"/>
        </w:rPr>
        <w:sectPr>
          <w:footerReference r:id="rId5" w:type="default"/>
          <w:pgSz w:w="11906" w:h="16838"/>
          <w:pgMar w:top="1417" w:right="1003" w:bottom="1701" w:left="1003" w:header="1134" w:footer="680" w:gutter="0"/>
          <w:pgBorders>
            <w:top w:val="none" w:sz="0" w:space="0"/>
            <w:left w:val="none" w:sz="0" w:space="0"/>
            <w:bottom w:val="none" w:sz="0" w:space="0"/>
            <w:right w:val="none" w:sz="0" w:space="0"/>
          </w:pgBorders>
          <w:pgNumType w:fmt="decimal" w:start="1"/>
          <w:cols w:space="425" w:num="1"/>
          <w:titlePg/>
          <w:rtlGutter w:val="0"/>
          <w:docGrid w:type="lines" w:linePitch="312" w:charSpace="0"/>
        </w:sectPr>
      </w:pPr>
    </w:p>
    <w:p w14:paraId="293DF719">
      <w:pPr>
        <w:pStyle w:val="40"/>
        <w:rPr>
          <w:color w:val="auto"/>
          <w:highlight w:val="none"/>
        </w:rPr>
      </w:pPr>
    </w:p>
    <w:p w14:paraId="5C3D5376">
      <w:pPr>
        <w:pStyle w:val="40"/>
        <w:ind w:firstLine="480"/>
        <w:rPr>
          <w:color w:val="auto"/>
          <w:highlight w:val="none"/>
        </w:rPr>
      </w:pPr>
    </w:p>
    <w:p w14:paraId="1A629DB6">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公文小标宋" w:hAnsi="方正公文小标宋" w:eastAsia="方正公文小标宋" w:cs="方正公文小标宋"/>
          <w:color w:val="auto"/>
          <w:sz w:val="44"/>
          <w:szCs w:val="44"/>
          <w:lang w:val="en-US" w:eastAsia="zh-CN"/>
        </w:rPr>
      </w:pPr>
      <w:r>
        <w:rPr>
          <w:rFonts w:hint="eastAsia" w:ascii="方正公文小标宋" w:hAnsi="方正公文小标宋" w:eastAsia="方正公文小标宋" w:cs="方正公文小标宋"/>
          <w:color w:val="auto"/>
          <w:sz w:val="44"/>
          <w:szCs w:val="44"/>
          <w:lang w:val="en-US" w:eastAsia="zh-CN"/>
        </w:rPr>
        <w:t>报价风险告知书</w:t>
      </w:r>
    </w:p>
    <w:p w14:paraId="6E954CD5">
      <w:pPr>
        <w:spacing w:line="560" w:lineRule="exact"/>
        <w:ind w:firstLine="771"/>
        <w:rPr>
          <w:rFonts w:hint="eastAsia" w:ascii="宋体" w:hAnsi="宋体" w:eastAsia="宋体" w:cs="宋体"/>
          <w:color w:val="auto"/>
          <w:sz w:val="30"/>
          <w:szCs w:val="30"/>
          <w:lang w:val="en-US" w:eastAsia="zh-CN"/>
        </w:rPr>
      </w:pPr>
    </w:p>
    <w:p w14:paraId="7FB5DD1D">
      <w:pPr>
        <w:spacing w:line="560" w:lineRule="exact"/>
        <w:ind w:firstLine="771"/>
        <w:rPr>
          <w:rFonts w:hint="eastAsia" w:ascii="宋体" w:hAnsi="宋体" w:eastAsia="宋体" w:cs="宋体"/>
          <w:color w:val="auto"/>
          <w:sz w:val="30"/>
          <w:szCs w:val="30"/>
          <w:lang w:val="en-US" w:eastAsia="zh-CN"/>
        </w:rPr>
      </w:pPr>
      <w:r>
        <w:rPr>
          <w:rFonts w:hint="eastAsia" w:ascii="宋体" w:hAnsi="宋体" w:eastAsia="宋体" w:cs="宋体"/>
          <w:color w:val="auto"/>
          <w:sz w:val="30"/>
          <w:szCs w:val="30"/>
          <w:lang w:val="en-US" w:eastAsia="zh-CN"/>
        </w:rPr>
        <w:t>低价风险高，报价须谨慎。</w:t>
      </w:r>
    </w:p>
    <w:p w14:paraId="1FD8DF19">
      <w:pPr>
        <w:spacing w:line="560" w:lineRule="exact"/>
        <w:ind w:firstLine="771"/>
        <w:rPr>
          <w:rFonts w:hint="eastAsia" w:ascii="宋体" w:hAnsi="宋体" w:eastAsia="宋体" w:cs="宋体"/>
          <w:color w:val="auto"/>
          <w:sz w:val="30"/>
          <w:szCs w:val="30"/>
          <w:lang w:val="en-US" w:eastAsia="zh-CN"/>
        </w:rPr>
      </w:pPr>
      <w:r>
        <w:rPr>
          <w:rFonts w:hint="eastAsia" w:ascii="宋体" w:hAnsi="宋体" w:eastAsia="宋体" w:cs="宋体"/>
          <w:color w:val="auto"/>
          <w:sz w:val="30"/>
          <w:szCs w:val="30"/>
          <w:lang w:val="en-US" w:eastAsia="zh-CN"/>
        </w:rPr>
        <w:t>本项目按照张政办发【2024】21号文件精神，实行最低评标价法，请务必仔细阅读谈判文件，知悉违约的严重后果，理性报价。现将有关竞价风险提示如下：</w:t>
      </w:r>
    </w:p>
    <w:p w14:paraId="412117B6">
      <w:pPr>
        <w:spacing w:line="560" w:lineRule="exact"/>
        <w:ind w:firstLine="771"/>
        <w:rPr>
          <w:rFonts w:hint="eastAsia" w:ascii="宋体" w:hAnsi="宋体" w:eastAsia="宋体" w:cs="宋体"/>
          <w:color w:val="auto"/>
          <w:sz w:val="30"/>
          <w:szCs w:val="30"/>
          <w:lang w:val="en-US" w:eastAsia="zh-CN"/>
        </w:rPr>
      </w:pPr>
      <w:r>
        <w:rPr>
          <w:rFonts w:hint="eastAsia" w:ascii="宋体" w:hAnsi="宋体" w:eastAsia="宋体" w:cs="宋体"/>
          <w:color w:val="auto"/>
          <w:sz w:val="30"/>
          <w:szCs w:val="30"/>
          <w:lang w:val="en-US" w:eastAsia="zh-CN"/>
        </w:rPr>
        <w:t>1.履约担保金</w:t>
      </w:r>
      <w:r>
        <w:rPr>
          <w:rFonts w:hint="default" w:ascii="宋体" w:hAnsi="宋体" w:eastAsia="宋体" w:cs="宋体"/>
          <w:color w:val="auto"/>
          <w:sz w:val="30"/>
          <w:szCs w:val="30"/>
          <w:lang w:val="en-US" w:eastAsia="zh-CN"/>
        </w:rPr>
        <w:t>额</w:t>
      </w:r>
      <w:r>
        <w:rPr>
          <w:rFonts w:hint="eastAsia" w:ascii="宋体" w:hAnsi="宋体" w:eastAsia="宋体" w:cs="宋体"/>
          <w:color w:val="auto"/>
          <w:sz w:val="30"/>
          <w:szCs w:val="30"/>
          <w:lang w:val="en-US" w:eastAsia="zh-CN"/>
        </w:rPr>
        <w:t>。中标金额降价幅度不超过采购预算10% 的，履约保证金为中标金额的10%;中标金额降价幅度超过采购预算10%以上的，履约保证金为采购预算减去中标金额的差额。</w:t>
      </w:r>
    </w:p>
    <w:p w14:paraId="017FFB18">
      <w:pPr>
        <w:spacing w:line="560" w:lineRule="exact"/>
        <w:ind w:firstLine="771"/>
        <w:rPr>
          <w:rFonts w:hint="eastAsia" w:ascii="宋体" w:hAnsi="宋体" w:eastAsia="宋体" w:cs="宋体"/>
          <w:color w:val="auto"/>
          <w:sz w:val="30"/>
          <w:szCs w:val="30"/>
          <w:lang w:val="en-US" w:eastAsia="zh-CN"/>
        </w:rPr>
      </w:pPr>
      <w:r>
        <w:rPr>
          <w:rFonts w:hint="eastAsia" w:ascii="宋体" w:hAnsi="宋体" w:eastAsia="宋体" w:cs="宋体"/>
          <w:color w:val="auto"/>
          <w:sz w:val="30"/>
          <w:szCs w:val="30"/>
          <w:lang w:val="en-US" w:eastAsia="zh-CN"/>
        </w:rPr>
        <w:t>2.履约担保提交期限。供应商自领取中标通知书后7个工作日内提交履约保证金，最长不超过14个工作日。</w:t>
      </w:r>
    </w:p>
    <w:p w14:paraId="340C4D9D">
      <w:pPr>
        <w:spacing w:line="560" w:lineRule="exact"/>
        <w:ind w:firstLine="771"/>
        <w:rPr>
          <w:rFonts w:hint="eastAsia" w:ascii="宋体" w:hAnsi="宋体" w:eastAsia="宋体" w:cs="宋体"/>
          <w:color w:val="auto"/>
          <w:sz w:val="30"/>
          <w:szCs w:val="30"/>
          <w:lang w:val="en-US" w:eastAsia="zh-CN"/>
        </w:rPr>
      </w:pPr>
      <w:r>
        <w:rPr>
          <w:rFonts w:hint="eastAsia" w:ascii="宋体" w:hAnsi="宋体" w:eastAsia="宋体" w:cs="宋体"/>
          <w:color w:val="auto"/>
          <w:sz w:val="30"/>
          <w:szCs w:val="30"/>
          <w:lang w:val="en-US" w:eastAsia="zh-CN"/>
        </w:rPr>
        <w:t>3.履约担保提交逾期风险。</w:t>
      </w:r>
    </w:p>
    <w:p w14:paraId="63F7C43C">
      <w:pPr>
        <w:spacing w:line="560" w:lineRule="exact"/>
        <w:ind w:firstLine="771"/>
        <w:rPr>
          <w:rFonts w:hint="eastAsia" w:ascii="宋体" w:hAnsi="宋体" w:eastAsia="宋体" w:cs="宋体"/>
          <w:color w:val="auto"/>
          <w:sz w:val="30"/>
          <w:szCs w:val="30"/>
          <w:lang w:val="en-US" w:eastAsia="zh-CN"/>
        </w:rPr>
      </w:pPr>
      <w:r>
        <w:rPr>
          <w:rFonts w:hint="eastAsia" w:ascii="宋体" w:hAnsi="宋体" w:eastAsia="宋体" w:cs="宋体"/>
          <w:color w:val="auto"/>
          <w:sz w:val="30"/>
          <w:szCs w:val="30"/>
          <w:lang w:val="en-US" w:eastAsia="zh-CN"/>
        </w:rPr>
        <w:t>若供应商未在规定时间内提交履约保证金，视为放弃中标成交资格。采购人应当取消其中标资格，供应商的投标保证金不予退还，并将其列入张家界市“严重失信企业名单”实行联合惩戒，3年内不接受其参与市域内政府采购项目的投标。</w:t>
      </w:r>
      <w:r>
        <w:rPr>
          <w:rFonts w:hint="eastAsia" w:ascii="宋体" w:hAnsi="宋体" w:eastAsia="宋体" w:cs="宋体"/>
          <w:color w:val="auto"/>
          <w:sz w:val="30"/>
          <w:szCs w:val="30"/>
          <w:lang w:val="en-US" w:eastAsia="zh-CN"/>
        </w:rPr>
        <w:tab/>
      </w:r>
    </w:p>
    <w:p w14:paraId="17411EAB">
      <w:pPr>
        <w:spacing w:line="560" w:lineRule="exact"/>
        <w:ind w:firstLine="771"/>
        <w:rPr>
          <w:rFonts w:hint="eastAsia" w:ascii="宋体" w:hAnsi="宋体" w:eastAsia="宋体"/>
          <w:color w:val="auto"/>
          <w:sz w:val="30"/>
          <w:szCs w:val="30"/>
          <w:lang w:val="en-US" w:eastAsia="zh-CN"/>
        </w:rPr>
        <w:sectPr>
          <w:footerReference r:id="rId7" w:type="first"/>
          <w:footerReference r:id="rId6" w:type="default"/>
          <w:pgSz w:w="11906" w:h="16838"/>
          <w:pgMar w:top="1417" w:right="1003" w:bottom="1701" w:left="1003" w:header="1134" w:footer="680" w:gutter="0"/>
          <w:pgBorders>
            <w:top w:val="none" w:sz="0" w:space="0"/>
            <w:left w:val="none" w:sz="0" w:space="0"/>
            <w:bottom w:val="none" w:sz="0" w:space="0"/>
            <w:right w:val="none" w:sz="0" w:space="0"/>
          </w:pgBorders>
          <w:pgNumType w:fmt="decimal" w:start="1"/>
          <w:cols w:space="425" w:num="1"/>
          <w:titlePg/>
          <w:rtlGutter w:val="0"/>
          <w:docGrid w:type="lines" w:linePitch="312" w:charSpace="0"/>
        </w:sectPr>
      </w:pPr>
      <w:r>
        <w:rPr>
          <w:rFonts w:hint="eastAsia" w:ascii="宋体" w:hAnsi="宋体" w:eastAsia="宋体" w:cs="宋体"/>
          <w:color w:val="auto"/>
          <w:sz w:val="30"/>
          <w:szCs w:val="30"/>
          <w:lang w:val="en-US" w:eastAsia="zh-CN"/>
        </w:rPr>
        <w:t>风险包括但不限于以上内容。</w:t>
      </w:r>
    </w:p>
    <w:p w14:paraId="7F86C4F8">
      <w:pPr>
        <w:pStyle w:val="40"/>
        <w:ind w:firstLine="480"/>
        <w:rPr>
          <w:color w:val="auto"/>
          <w:highlight w:val="none"/>
        </w:rPr>
      </w:pPr>
    </w:p>
    <w:p w14:paraId="2AF34116">
      <w:pPr>
        <w:spacing w:line="240" w:lineRule="auto"/>
        <w:jc w:val="center"/>
        <w:rPr>
          <w:rFonts w:ascii="微软雅黑" w:hAnsi="微软雅黑" w:eastAsia="微软雅黑" w:cs="微软雅黑"/>
          <w:b/>
          <w:bCs/>
          <w:color w:val="auto"/>
          <w:sz w:val="44"/>
          <w:szCs w:val="44"/>
          <w:highlight w:val="none"/>
        </w:rPr>
      </w:pPr>
      <w:r>
        <w:rPr>
          <w:rFonts w:hint="eastAsia" w:ascii="微软雅黑" w:hAnsi="微软雅黑" w:eastAsia="微软雅黑" w:cs="微软雅黑"/>
          <w:b/>
          <w:bCs/>
          <w:color w:val="auto"/>
          <w:sz w:val="44"/>
          <w:szCs w:val="44"/>
          <w:highlight w:val="none"/>
        </w:rPr>
        <w:t>目  录</w:t>
      </w:r>
    </w:p>
    <w:p w14:paraId="0F1631E9">
      <w:pPr>
        <w:pStyle w:val="26"/>
        <w:tabs>
          <w:tab w:val="right" w:leader="dot" w:pos="9900"/>
          <w:tab w:val="clear" w:pos="0"/>
        </w:tabs>
        <w:rPr>
          <w:color w:val="auto"/>
          <w:highlight w:val="none"/>
        </w:rPr>
      </w:pPr>
      <w:r>
        <w:rPr>
          <w:rFonts w:hint="eastAsia" w:ascii="黑体" w:hAnsi="黑体" w:eastAsia="黑体" w:cs="黑体"/>
          <w:color w:val="auto"/>
          <w:szCs w:val="36"/>
          <w:highlight w:val="none"/>
        </w:rPr>
        <w:fldChar w:fldCharType="begin"/>
      </w:r>
      <w:r>
        <w:rPr>
          <w:rFonts w:ascii="黑体" w:hAnsi="黑体" w:eastAsia="黑体" w:cs="黑体"/>
          <w:color w:val="auto"/>
          <w:szCs w:val="36"/>
          <w:highlight w:val="none"/>
        </w:rPr>
        <w:instrText xml:space="preserve">TOC \o "1-2" \h \u </w:instrText>
      </w:r>
      <w:r>
        <w:rPr>
          <w:rFonts w:hint="eastAsia" w:ascii="黑体" w:hAnsi="黑体" w:eastAsia="黑体" w:cs="黑体"/>
          <w:color w:val="auto"/>
          <w:szCs w:val="36"/>
          <w:highlight w:val="none"/>
        </w:rPr>
        <w:fldChar w:fldCharType="separate"/>
      </w:r>
      <w:r>
        <w:rPr>
          <w:rFonts w:hint="eastAsia" w:ascii="黑体" w:hAnsi="黑体" w:eastAsia="黑体" w:cs="黑体"/>
          <w:color w:val="auto"/>
          <w:szCs w:val="36"/>
          <w:highlight w:val="none"/>
        </w:rPr>
        <w:fldChar w:fldCharType="begin"/>
      </w:r>
      <w:r>
        <w:rPr>
          <w:rFonts w:hint="eastAsia" w:ascii="黑体" w:hAnsi="黑体" w:eastAsia="黑体" w:cs="黑体"/>
          <w:color w:val="auto"/>
          <w:szCs w:val="36"/>
          <w:highlight w:val="none"/>
        </w:rPr>
        <w:instrText xml:space="preserve"> HYPERLINK \l _Toc3531 </w:instrText>
      </w:r>
      <w:r>
        <w:rPr>
          <w:rFonts w:hint="eastAsia" w:ascii="黑体" w:hAnsi="黑体" w:eastAsia="黑体" w:cs="黑体"/>
          <w:color w:val="auto"/>
          <w:szCs w:val="36"/>
          <w:highlight w:val="none"/>
        </w:rPr>
        <w:fldChar w:fldCharType="separate"/>
      </w:r>
      <w:r>
        <w:rPr>
          <w:color w:val="auto"/>
          <w:highlight w:val="none"/>
        </w:rPr>
        <w:t xml:space="preserve">第一章 </w:t>
      </w:r>
      <w:r>
        <w:rPr>
          <w:rFonts w:hint="eastAsia"/>
          <w:color w:val="auto"/>
          <w:highlight w:val="none"/>
          <w:lang w:val="en-US" w:eastAsia="zh-CN"/>
        </w:rPr>
        <w:t>竞争性谈判</w:t>
      </w:r>
      <w:r>
        <w:rPr>
          <w:color w:val="auto"/>
          <w:highlight w:val="none"/>
        </w:rPr>
        <w:t>公告</w:t>
      </w:r>
      <w:r>
        <w:rPr>
          <w:color w:val="auto"/>
          <w:highlight w:val="none"/>
        </w:rPr>
        <w:tab/>
      </w:r>
      <w:r>
        <w:rPr>
          <w:color w:val="auto"/>
          <w:highlight w:val="none"/>
        </w:rPr>
        <w:fldChar w:fldCharType="begin"/>
      </w:r>
      <w:r>
        <w:rPr>
          <w:color w:val="auto"/>
          <w:highlight w:val="none"/>
        </w:rPr>
        <w:instrText xml:space="preserve"> PAGEREF _Toc3531 \h </w:instrText>
      </w:r>
      <w:r>
        <w:rPr>
          <w:color w:val="auto"/>
          <w:highlight w:val="none"/>
        </w:rPr>
        <w:fldChar w:fldCharType="separate"/>
      </w:r>
      <w:r>
        <w:rPr>
          <w:color w:val="auto"/>
          <w:highlight w:val="none"/>
        </w:rPr>
        <w:t>1</w:t>
      </w:r>
      <w:r>
        <w:rPr>
          <w:color w:val="auto"/>
          <w:highlight w:val="none"/>
        </w:rPr>
        <w:fldChar w:fldCharType="end"/>
      </w:r>
      <w:r>
        <w:rPr>
          <w:rFonts w:hint="eastAsia" w:ascii="黑体" w:hAnsi="黑体" w:eastAsia="黑体" w:cs="黑体"/>
          <w:color w:val="auto"/>
          <w:szCs w:val="36"/>
          <w:highlight w:val="none"/>
        </w:rPr>
        <w:fldChar w:fldCharType="end"/>
      </w:r>
    </w:p>
    <w:p w14:paraId="31DC6924">
      <w:pPr>
        <w:pStyle w:val="28"/>
        <w:tabs>
          <w:tab w:val="right" w:leader="dot" w:pos="9900"/>
        </w:tabs>
        <w:rPr>
          <w:rFonts w:hint="eastAsia" w:ascii="黑体" w:hAnsi="黑体" w:eastAsia="黑体" w:cs="黑体"/>
          <w:color w:val="auto"/>
          <w:szCs w:val="36"/>
          <w:highlight w:val="none"/>
          <w:lang w:val="en-US" w:eastAsia="zh-CN"/>
        </w:rPr>
      </w:pP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HYPERLINK \l _Toc29297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一、采购项目信息</w:t>
      </w:r>
      <w:r>
        <w:rPr>
          <w:rFonts w:hint="eastAsia" w:ascii="黑体" w:hAnsi="黑体" w:eastAsia="黑体" w:cs="黑体"/>
          <w:color w:val="auto"/>
          <w:szCs w:val="36"/>
          <w:highlight w:val="none"/>
          <w:lang w:val="en-US" w:eastAsia="zh-CN"/>
        </w:rPr>
        <w:tab/>
      </w: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PAGEREF _Toc29297 \h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1</w:t>
      </w:r>
      <w:r>
        <w:rPr>
          <w:rFonts w:hint="eastAsia" w:ascii="黑体" w:hAnsi="黑体" w:eastAsia="黑体" w:cs="黑体"/>
          <w:color w:val="auto"/>
          <w:szCs w:val="36"/>
          <w:highlight w:val="none"/>
          <w:lang w:val="en-US" w:eastAsia="zh-CN"/>
        </w:rPr>
        <w:fldChar w:fldCharType="end"/>
      </w:r>
      <w:r>
        <w:rPr>
          <w:rFonts w:hint="eastAsia" w:ascii="黑体" w:hAnsi="黑体" w:eastAsia="黑体" w:cs="黑体"/>
          <w:color w:val="auto"/>
          <w:szCs w:val="36"/>
          <w:highlight w:val="none"/>
          <w:lang w:val="en-US" w:eastAsia="zh-CN"/>
        </w:rPr>
        <w:fldChar w:fldCharType="end"/>
      </w:r>
    </w:p>
    <w:p w14:paraId="2A557165">
      <w:pPr>
        <w:pStyle w:val="28"/>
        <w:tabs>
          <w:tab w:val="right" w:leader="dot" w:pos="9900"/>
        </w:tabs>
        <w:rPr>
          <w:rFonts w:hint="eastAsia" w:ascii="黑体" w:hAnsi="黑体" w:eastAsia="黑体" w:cs="黑体"/>
          <w:color w:val="auto"/>
          <w:szCs w:val="36"/>
          <w:highlight w:val="none"/>
          <w:lang w:val="en-US" w:eastAsia="zh-CN"/>
        </w:rPr>
      </w:pP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HYPERLINK \l _Toc3978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二、采购人的采购需求</w:t>
      </w:r>
      <w:r>
        <w:rPr>
          <w:rFonts w:hint="eastAsia" w:ascii="黑体" w:hAnsi="黑体" w:eastAsia="黑体" w:cs="黑体"/>
          <w:color w:val="auto"/>
          <w:szCs w:val="36"/>
          <w:highlight w:val="none"/>
          <w:lang w:val="en-US" w:eastAsia="zh-CN"/>
        </w:rPr>
        <w:tab/>
      </w: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PAGEREF _Toc3978 \h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1</w:t>
      </w:r>
      <w:r>
        <w:rPr>
          <w:rFonts w:hint="eastAsia" w:ascii="黑体" w:hAnsi="黑体" w:eastAsia="黑体" w:cs="黑体"/>
          <w:color w:val="auto"/>
          <w:szCs w:val="36"/>
          <w:highlight w:val="none"/>
          <w:lang w:val="en-US" w:eastAsia="zh-CN"/>
        </w:rPr>
        <w:fldChar w:fldCharType="end"/>
      </w:r>
      <w:r>
        <w:rPr>
          <w:rFonts w:hint="eastAsia" w:ascii="黑体" w:hAnsi="黑体" w:eastAsia="黑体" w:cs="黑体"/>
          <w:color w:val="auto"/>
          <w:szCs w:val="36"/>
          <w:highlight w:val="none"/>
          <w:lang w:val="en-US" w:eastAsia="zh-CN"/>
        </w:rPr>
        <w:fldChar w:fldCharType="end"/>
      </w:r>
    </w:p>
    <w:p w14:paraId="135D575E">
      <w:pPr>
        <w:pStyle w:val="28"/>
        <w:tabs>
          <w:tab w:val="right" w:leader="dot" w:pos="9900"/>
        </w:tabs>
        <w:rPr>
          <w:rFonts w:hint="default" w:ascii="黑体" w:hAnsi="黑体" w:eastAsia="黑体" w:cs="黑体"/>
          <w:color w:val="auto"/>
          <w:szCs w:val="36"/>
          <w:highlight w:val="none"/>
          <w:lang w:val="en-US" w:eastAsia="zh-CN"/>
        </w:rPr>
      </w:pPr>
      <w:r>
        <w:rPr>
          <w:rFonts w:hint="eastAsia" w:ascii="黑体" w:hAnsi="黑体" w:eastAsia="黑体" w:cs="黑体"/>
          <w:color w:val="auto"/>
          <w:szCs w:val="36"/>
          <w:highlight w:val="none"/>
          <w:lang w:val="en-US" w:eastAsia="zh-CN"/>
        </w:rPr>
        <w:t>三、中标供应商的确定</w:t>
      </w:r>
      <w:r>
        <w:rPr>
          <w:rFonts w:hint="eastAsia" w:ascii="黑体" w:hAnsi="黑体" w:eastAsia="黑体" w:cs="黑体"/>
          <w:color w:val="auto"/>
          <w:szCs w:val="36"/>
          <w:highlight w:val="none"/>
          <w:lang w:val="en-US" w:eastAsia="zh-CN"/>
        </w:rPr>
        <w:tab/>
      </w:r>
      <w:r>
        <w:rPr>
          <w:rFonts w:hint="eastAsia" w:ascii="黑体" w:hAnsi="黑体" w:eastAsia="黑体" w:cs="黑体"/>
          <w:color w:val="auto"/>
          <w:szCs w:val="36"/>
          <w:highlight w:val="none"/>
          <w:lang w:val="en-US" w:eastAsia="zh-CN"/>
        </w:rPr>
        <w:t>1</w:t>
      </w:r>
    </w:p>
    <w:p w14:paraId="63F485E6">
      <w:pPr>
        <w:pStyle w:val="28"/>
        <w:tabs>
          <w:tab w:val="right" w:leader="dot" w:pos="9900"/>
        </w:tabs>
        <w:rPr>
          <w:rFonts w:hint="eastAsia" w:ascii="黑体" w:hAnsi="黑体" w:eastAsia="黑体" w:cs="黑体"/>
          <w:color w:val="auto"/>
          <w:szCs w:val="36"/>
          <w:highlight w:val="none"/>
          <w:lang w:val="en-US" w:eastAsia="zh-CN"/>
        </w:rPr>
      </w:pPr>
      <w:r>
        <w:rPr>
          <w:rFonts w:hint="eastAsia" w:ascii="黑体" w:hAnsi="黑体" w:eastAsia="黑体" w:cs="黑体"/>
          <w:color w:val="auto"/>
          <w:szCs w:val="36"/>
          <w:highlight w:val="none"/>
          <w:lang w:val="en-US" w:eastAsia="zh-CN"/>
        </w:rPr>
        <w:t>四、网上报价起始价、保证金、报价幅度要求</w:t>
      </w:r>
      <w:r>
        <w:rPr>
          <w:rFonts w:hint="eastAsia" w:ascii="黑体" w:hAnsi="黑体" w:eastAsia="黑体" w:cs="黑体"/>
          <w:color w:val="auto"/>
          <w:szCs w:val="36"/>
          <w:highlight w:val="none"/>
          <w:lang w:val="en-US" w:eastAsia="zh-CN"/>
        </w:rPr>
        <w:tab/>
      </w:r>
      <w:r>
        <w:rPr>
          <w:rFonts w:hint="eastAsia" w:ascii="黑体" w:hAnsi="黑体" w:eastAsia="黑体" w:cs="黑体"/>
          <w:color w:val="auto"/>
          <w:szCs w:val="36"/>
          <w:highlight w:val="none"/>
          <w:lang w:val="en-US" w:eastAsia="zh-CN"/>
        </w:rPr>
        <w:t>2</w:t>
      </w:r>
    </w:p>
    <w:p w14:paraId="0EEEA534">
      <w:pPr>
        <w:pStyle w:val="28"/>
        <w:tabs>
          <w:tab w:val="right" w:leader="dot" w:pos="9900"/>
        </w:tabs>
        <w:rPr>
          <w:rFonts w:hint="eastAsia" w:ascii="黑体" w:hAnsi="黑体" w:eastAsia="黑体" w:cs="黑体"/>
          <w:color w:val="auto"/>
          <w:szCs w:val="36"/>
          <w:highlight w:val="none"/>
          <w:lang w:val="en-US" w:eastAsia="zh-CN"/>
        </w:rPr>
      </w:pP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HYPERLINK \l _Toc5136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五、供应商的资格要求</w:t>
      </w:r>
      <w:r>
        <w:rPr>
          <w:rFonts w:hint="eastAsia" w:ascii="黑体" w:hAnsi="黑体" w:eastAsia="黑体" w:cs="黑体"/>
          <w:color w:val="auto"/>
          <w:szCs w:val="36"/>
          <w:highlight w:val="none"/>
          <w:lang w:val="en-US" w:eastAsia="zh-CN"/>
        </w:rPr>
        <w:tab/>
      </w: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PAGEREF _Toc5136 \h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2</w:t>
      </w:r>
      <w:r>
        <w:rPr>
          <w:rFonts w:hint="eastAsia" w:ascii="黑体" w:hAnsi="黑体" w:eastAsia="黑体" w:cs="黑体"/>
          <w:color w:val="auto"/>
          <w:szCs w:val="36"/>
          <w:highlight w:val="none"/>
          <w:lang w:val="en-US" w:eastAsia="zh-CN"/>
        </w:rPr>
        <w:fldChar w:fldCharType="end"/>
      </w:r>
      <w:r>
        <w:rPr>
          <w:rFonts w:hint="eastAsia" w:ascii="黑体" w:hAnsi="黑体" w:eastAsia="黑体" w:cs="黑体"/>
          <w:color w:val="auto"/>
          <w:szCs w:val="36"/>
          <w:highlight w:val="none"/>
          <w:lang w:val="en-US" w:eastAsia="zh-CN"/>
        </w:rPr>
        <w:fldChar w:fldCharType="end"/>
      </w:r>
    </w:p>
    <w:p w14:paraId="29FF906D">
      <w:pPr>
        <w:pStyle w:val="28"/>
        <w:tabs>
          <w:tab w:val="right" w:leader="dot" w:pos="9900"/>
        </w:tabs>
        <w:rPr>
          <w:rFonts w:hint="eastAsia" w:ascii="黑体" w:hAnsi="黑体" w:eastAsia="黑体" w:cs="黑体"/>
          <w:color w:val="auto"/>
          <w:szCs w:val="36"/>
          <w:highlight w:val="none"/>
          <w:lang w:val="en-US" w:eastAsia="zh-CN"/>
        </w:rPr>
      </w:pP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HYPERLINK \l _Toc31804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六、获取谈判文件的时间、地点及方式</w:t>
      </w:r>
      <w:r>
        <w:rPr>
          <w:rFonts w:hint="eastAsia" w:ascii="黑体" w:hAnsi="黑体" w:eastAsia="黑体" w:cs="黑体"/>
          <w:color w:val="auto"/>
          <w:szCs w:val="36"/>
          <w:highlight w:val="none"/>
          <w:lang w:val="en-US" w:eastAsia="zh-CN"/>
        </w:rPr>
        <w:tab/>
      </w: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PAGEREF _Toc31804 \h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3</w:t>
      </w:r>
      <w:r>
        <w:rPr>
          <w:rFonts w:hint="eastAsia" w:ascii="黑体" w:hAnsi="黑体" w:eastAsia="黑体" w:cs="黑体"/>
          <w:color w:val="auto"/>
          <w:szCs w:val="36"/>
          <w:highlight w:val="none"/>
          <w:lang w:val="en-US" w:eastAsia="zh-CN"/>
        </w:rPr>
        <w:fldChar w:fldCharType="end"/>
      </w:r>
      <w:r>
        <w:rPr>
          <w:rFonts w:hint="eastAsia" w:ascii="黑体" w:hAnsi="黑体" w:eastAsia="黑体" w:cs="黑体"/>
          <w:color w:val="auto"/>
          <w:szCs w:val="36"/>
          <w:highlight w:val="none"/>
          <w:lang w:val="en-US" w:eastAsia="zh-CN"/>
        </w:rPr>
        <w:fldChar w:fldCharType="end"/>
      </w:r>
    </w:p>
    <w:p w14:paraId="689C6EB1">
      <w:pPr>
        <w:pStyle w:val="28"/>
        <w:tabs>
          <w:tab w:val="right" w:leader="dot" w:pos="9900"/>
        </w:tabs>
        <w:rPr>
          <w:rFonts w:hint="eastAsia" w:ascii="黑体" w:hAnsi="黑体" w:eastAsia="黑体" w:cs="黑体"/>
          <w:color w:val="auto"/>
          <w:szCs w:val="36"/>
          <w:highlight w:val="none"/>
          <w:lang w:val="en-US" w:eastAsia="zh-CN"/>
        </w:rPr>
      </w:pP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HYPERLINK \l _Toc1774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七、提交首次响应文件的截止时间、谈判时间及地点</w:t>
      </w:r>
      <w:r>
        <w:rPr>
          <w:rFonts w:hint="eastAsia" w:ascii="黑体" w:hAnsi="黑体" w:eastAsia="黑体" w:cs="黑体"/>
          <w:color w:val="auto"/>
          <w:szCs w:val="36"/>
          <w:highlight w:val="none"/>
          <w:lang w:val="en-US" w:eastAsia="zh-CN"/>
        </w:rPr>
        <w:tab/>
      </w: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PAGEREF _Toc1774 \h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3</w:t>
      </w:r>
      <w:r>
        <w:rPr>
          <w:rFonts w:hint="eastAsia" w:ascii="黑体" w:hAnsi="黑体" w:eastAsia="黑体" w:cs="黑体"/>
          <w:color w:val="auto"/>
          <w:szCs w:val="36"/>
          <w:highlight w:val="none"/>
          <w:lang w:val="en-US" w:eastAsia="zh-CN"/>
        </w:rPr>
        <w:fldChar w:fldCharType="end"/>
      </w:r>
      <w:r>
        <w:rPr>
          <w:rFonts w:hint="eastAsia" w:ascii="黑体" w:hAnsi="黑体" w:eastAsia="黑体" w:cs="黑体"/>
          <w:color w:val="auto"/>
          <w:szCs w:val="36"/>
          <w:highlight w:val="none"/>
          <w:lang w:val="en-US" w:eastAsia="zh-CN"/>
        </w:rPr>
        <w:fldChar w:fldCharType="end"/>
      </w:r>
    </w:p>
    <w:p w14:paraId="696DE7FD">
      <w:pPr>
        <w:pStyle w:val="28"/>
        <w:tabs>
          <w:tab w:val="right" w:leader="dot" w:pos="9900"/>
        </w:tabs>
        <w:rPr>
          <w:rFonts w:hint="eastAsia" w:ascii="黑体" w:hAnsi="黑体" w:eastAsia="黑体" w:cs="黑体"/>
          <w:color w:val="auto"/>
          <w:szCs w:val="36"/>
          <w:highlight w:val="none"/>
          <w:lang w:val="en-US" w:eastAsia="zh-CN"/>
        </w:rPr>
      </w:pP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HYPERLINK \l _Toc28649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八、询问及质疑</w:t>
      </w:r>
      <w:r>
        <w:rPr>
          <w:rFonts w:hint="eastAsia" w:ascii="黑体" w:hAnsi="黑体" w:eastAsia="黑体" w:cs="黑体"/>
          <w:color w:val="auto"/>
          <w:szCs w:val="36"/>
          <w:highlight w:val="none"/>
          <w:lang w:val="en-US" w:eastAsia="zh-CN"/>
        </w:rPr>
        <w:tab/>
      </w: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PAGEREF _Toc28649 \h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3</w:t>
      </w:r>
      <w:r>
        <w:rPr>
          <w:rFonts w:hint="eastAsia" w:ascii="黑体" w:hAnsi="黑体" w:eastAsia="黑体" w:cs="黑体"/>
          <w:color w:val="auto"/>
          <w:szCs w:val="36"/>
          <w:highlight w:val="none"/>
          <w:lang w:val="en-US" w:eastAsia="zh-CN"/>
        </w:rPr>
        <w:fldChar w:fldCharType="end"/>
      </w:r>
      <w:r>
        <w:rPr>
          <w:rFonts w:hint="eastAsia" w:ascii="黑体" w:hAnsi="黑体" w:eastAsia="黑体" w:cs="黑体"/>
          <w:color w:val="auto"/>
          <w:szCs w:val="36"/>
          <w:highlight w:val="none"/>
          <w:lang w:val="en-US" w:eastAsia="zh-CN"/>
        </w:rPr>
        <w:fldChar w:fldCharType="end"/>
      </w:r>
    </w:p>
    <w:p w14:paraId="359F894E">
      <w:pPr>
        <w:pStyle w:val="28"/>
        <w:tabs>
          <w:tab w:val="right" w:leader="dot" w:pos="9900"/>
        </w:tabs>
        <w:rPr>
          <w:color w:val="auto"/>
          <w:highlight w:val="none"/>
        </w:rPr>
      </w:pP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HYPERLINK \l _Toc25013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九、采购项目联系人姓名和电话</w:t>
      </w:r>
      <w:r>
        <w:rPr>
          <w:rFonts w:hint="eastAsia" w:ascii="黑体" w:hAnsi="黑体" w:eastAsia="黑体" w:cs="黑体"/>
          <w:color w:val="auto"/>
          <w:szCs w:val="36"/>
          <w:highlight w:val="none"/>
          <w:lang w:val="en-US" w:eastAsia="zh-CN"/>
        </w:rPr>
        <w:tab/>
      </w: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PAGEREF _Toc25013 \h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4</w:t>
      </w:r>
      <w:r>
        <w:rPr>
          <w:rFonts w:hint="eastAsia" w:ascii="黑体" w:hAnsi="黑体" w:eastAsia="黑体" w:cs="黑体"/>
          <w:color w:val="auto"/>
          <w:szCs w:val="36"/>
          <w:highlight w:val="none"/>
          <w:lang w:val="en-US" w:eastAsia="zh-CN"/>
        </w:rPr>
        <w:fldChar w:fldCharType="end"/>
      </w:r>
      <w:r>
        <w:rPr>
          <w:rFonts w:hint="eastAsia" w:ascii="黑体" w:hAnsi="黑体" w:eastAsia="黑体" w:cs="黑体"/>
          <w:color w:val="auto"/>
          <w:szCs w:val="36"/>
          <w:highlight w:val="none"/>
          <w:lang w:val="en-US" w:eastAsia="zh-CN"/>
        </w:rPr>
        <w:fldChar w:fldCharType="end"/>
      </w:r>
    </w:p>
    <w:p w14:paraId="7EE75966">
      <w:pPr>
        <w:pStyle w:val="26"/>
        <w:tabs>
          <w:tab w:val="right" w:leader="dot" w:pos="9900"/>
          <w:tab w:val="clear" w:pos="0"/>
        </w:tabs>
        <w:rPr>
          <w:color w:val="auto"/>
          <w:highlight w:val="none"/>
        </w:rPr>
      </w:pPr>
      <w:r>
        <w:rPr>
          <w:rFonts w:ascii="黑体" w:hAnsi="黑体" w:eastAsia="黑体" w:cs="黑体"/>
          <w:color w:val="auto"/>
          <w:szCs w:val="36"/>
          <w:highlight w:val="none"/>
        </w:rPr>
        <w:fldChar w:fldCharType="begin"/>
      </w:r>
      <w:r>
        <w:rPr>
          <w:rFonts w:ascii="黑体" w:hAnsi="黑体" w:eastAsia="黑体" w:cs="黑体"/>
          <w:color w:val="auto"/>
          <w:szCs w:val="36"/>
          <w:highlight w:val="none"/>
        </w:rPr>
        <w:instrText xml:space="preserve"> HYPERLINK \l _Toc28234 </w:instrText>
      </w:r>
      <w:r>
        <w:rPr>
          <w:rFonts w:ascii="黑体" w:hAnsi="黑体" w:eastAsia="黑体" w:cs="黑体"/>
          <w:color w:val="auto"/>
          <w:szCs w:val="36"/>
          <w:highlight w:val="none"/>
        </w:rPr>
        <w:fldChar w:fldCharType="separate"/>
      </w:r>
      <w:r>
        <w:rPr>
          <w:color w:val="auto"/>
          <w:highlight w:val="none"/>
        </w:rPr>
        <w:t xml:space="preserve">第二章 </w:t>
      </w:r>
      <w:r>
        <w:rPr>
          <w:rFonts w:hint="eastAsia"/>
          <w:color w:val="auto"/>
          <w:highlight w:val="none"/>
          <w:lang w:eastAsia="zh-CN"/>
        </w:rPr>
        <w:t>供应商</w:t>
      </w:r>
      <w:r>
        <w:rPr>
          <w:color w:val="auto"/>
          <w:highlight w:val="none"/>
        </w:rPr>
        <w:t>须知</w:t>
      </w:r>
      <w:r>
        <w:rPr>
          <w:color w:val="auto"/>
          <w:highlight w:val="none"/>
        </w:rPr>
        <w:tab/>
      </w:r>
      <w:r>
        <w:rPr>
          <w:color w:val="auto"/>
          <w:highlight w:val="none"/>
        </w:rPr>
        <w:fldChar w:fldCharType="begin"/>
      </w:r>
      <w:r>
        <w:rPr>
          <w:color w:val="auto"/>
          <w:highlight w:val="none"/>
        </w:rPr>
        <w:instrText xml:space="preserve"> PAGEREF _Toc28234 \h </w:instrText>
      </w:r>
      <w:r>
        <w:rPr>
          <w:color w:val="auto"/>
          <w:highlight w:val="none"/>
        </w:rPr>
        <w:fldChar w:fldCharType="separate"/>
      </w:r>
      <w:r>
        <w:rPr>
          <w:color w:val="auto"/>
          <w:highlight w:val="none"/>
        </w:rPr>
        <w:t>5</w:t>
      </w:r>
      <w:r>
        <w:rPr>
          <w:color w:val="auto"/>
          <w:highlight w:val="none"/>
        </w:rPr>
        <w:fldChar w:fldCharType="end"/>
      </w:r>
      <w:r>
        <w:rPr>
          <w:rFonts w:ascii="黑体" w:hAnsi="黑体" w:eastAsia="黑体" w:cs="黑体"/>
          <w:color w:val="auto"/>
          <w:szCs w:val="36"/>
          <w:highlight w:val="none"/>
        </w:rPr>
        <w:fldChar w:fldCharType="end"/>
      </w:r>
    </w:p>
    <w:p w14:paraId="0A218CD0">
      <w:pPr>
        <w:pStyle w:val="28"/>
        <w:tabs>
          <w:tab w:val="right" w:leader="dot" w:pos="9900"/>
        </w:tabs>
        <w:rPr>
          <w:rFonts w:hint="eastAsia" w:ascii="黑体" w:hAnsi="黑体" w:eastAsia="黑体" w:cs="黑体"/>
          <w:color w:val="auto"/>
          <w:szCs w:val="36"/>
          <w:highlight w:val="none"/>
          <w:lang w:val="en-US" w:eastAsia="zh-CN"/>
        </w:rPr>
      </w:pP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HYPERLINK \l _Toc10762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第一节 供应商须知前附表</w:t>
      </w:r>
      <w:r>
        <w:rPr>
          <w:rFonts w:hint="eastAsia" w:ascii="黑体" w:hAnsi="黑体" w:eastAsia="黑体" w:cs="黑体"/>
          <w:color w:val="auto"/>
          <w:szCs w:val="36"/>
          <w:highlight w:val="none"/>
          <w:lang w:val="en-US" w:eastAsia="zh-CN"/>
        </w:rPr>
        <w:tab/>
      </w: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PAGEREF _Toc10762 \h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5</w:t>
      </w:r>
      <w:r>
        <w:rPr>
          <w:rFonts w:hint="eastAsia" w:ascii="黑体" w:hAnsi="黑体" w:eastAsia="黑体" w:cs="黑体"/>
          <w:color w:val="auto"/>
          <w:szCs w:val="36"/>
          <w:highlight w:val="none"/>
          <w:lang w:val="en-US" w:eastAsia="zh-CN"/>
        </w:rPr>
        <w:fldChar w:fldCharType="end"/>
      </w:r>
      <w:r>
        <w:rPr>
          <w:rFonts w:hint="eastAsia" w:ascii="黑体" w:hAnsi="黑体" w:eastAsia="黑体" w:cs="黑体"/>
          <w:color w:val="auto"/>
          <w:szCs w:val="36"/>
          <w:highlight w:val="none"/>
          <w:lang w:val="en-US" w:eastAsia="zh-CN"/>
        </w:rPr>
        <w:fldChar w:fldCharType="end"/>
      </w:r>
    </w:p>
    <w:p w14:paraId="3D5B08BC">
      <w:pPr>
        <w:pStyle w:val="28"/>
        <w:tabs>
          <w:tab w:val="right" w:leader="dot" w:pos="9900"/>
        </w:tabs>
        <w:rPr>
          <w:color w:val="auto"/>
          <w:highlight w:val="none"/>
        </w:rPr>
      </w:pP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HYPERLINK \l _Toc31744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第二节 供应商须知正文</w:t>
      </w:r>
      <w:r>
        <w:rPr>
          <w:rFonts w:hint="eastAsia" w:ascii="黑体" w:hAnsi="黑体" w:eastAsia="黑体" w:cs="黑体"/>
          <w:color w:val="auto"/>
          <w:szCs w:val="36"/>
          <w:highlight w:val="none"/>
          <w:lang w:val="en-US" w:eastAsia="zh-CN"/>
        </w:rPr>
        <w:tab/>
      </w: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PAGEREF _Toc31744 \h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7</w:t>
      </w:r>
      <w:r>
        <w:rPr>
          <w:rFonts w:hint="eastAsia" w:ascii="黑体" w:hAnsi="黑体" w:eastAsia="黑体" w:cs="黑体"/>
          <w:color w:val="auto"/>
          <w:szCs w:val="36"/>
          <w:highlight w:val="none"/>
          <w:lang w:val="en-US" w:eastAsia="zh-CN"/>
        </w:rPr>
        <w:fldChar w:fldCharType="end"/>
      </w:r>
      <w:r>
        <w:rPr>
          <w:rFonts w:hint="eastAsia" w:ascii="黑体" w:hAnsi="黑体" w:eastAsia="黑体" w:cs="黑体"/>
          <w:color w:val="auto"/>
          <w:szCs w:val="36"/>
          <w:highlight w:val="none"/>
          <w:lang w:val="en-US" w:eastAsia="zh-CN"/>
        </w:rPr>
        <w:fldChar w:fldCharType="end"/>
      </w:r>
    </w:p>
    <w:p w14:paraId="6D853582">
      <w:pPr>
        <w:pStyle w:val="26"/>
        <w:tabs>
          <w:tab w:val="right" w:leader="dot" w:pos="9900"/>
          <w:tab w:val="clear" w:pos="0"/>
        </w:tabs>
        <w:rPr>
          <w:color w:val="auto"/>
          <w:highlight w:val="none"/>
        </w:rPr>
      </w:pPr>
      <w:r>
        <w:rPr>
          <w:rFonts w:ascii="黑体" w:hAnsi="黑体" w:eastAsia="黑体" w:cs="黑体"/>
          <w:color w:val="auto"/>
          <w:szCs w:val="36"/>
          <w:highlight w:val="none"/>
        </w:rPr>
        <w:fldChar w:fldCharType="begin"/>
      </w:r>
      <w:r>
        <w:rPr>
          <w:rFonts w:ascii="黑体" w:hAnsi="黑体" w:eastAsia="黑体" w:cs="黑体"/>
          <w:color w:val="auto"/>
          <w:szCs w:val="36"/>
          <w:highlight w:val="none"/>
        </w:rPr>
        <w:instrText xml:space="preserve"> HYPERLINK \l _Toc14706 </w:instrText>
      </w:r>
      <w:r>
        <w:rPr>
          <w:rFonts w:ascii="黑体" w:hAnsi="黑体" w:eastAsia="黑体" w:cs="黑体"/>
          <w:color w:val="auto"/>
          <w:szCs w:val="36"/>
          <w:highlight w:val="none"/>
        </w:rPr>
        <w:fldChar w:fldCharType="separate"/>
      </w:r>
      <w:r>
        <w:rPr>
          <w:rFonts w:ascii="微软雅黑" w:hAnsi="微软雅黑" w:eastAsia="微软雅黑" w:cs="微软雅黑"/>
          <w:color w:val="auto"/>
          <w:highlight w:val="none"/>
        </w:rPr>
        <w:t>第三章 项目需求</w:t>
      </w:r>
      <w:r>
        <w:rPr>
          <w:color w:val="auto"/>
          <w:highlight w:val="none"/>
        </w:rPr>
        <w:tab/>
      </w:r>
      <w:r>
        <w:rPr>
          <w:color w:val="auto"/>
          <w:highlight w:val="none"/>
        </w:rPr>
        <w:fldChar w:fldCharType="begin"/>
      </w:r>
      <w:r>
        <w:rPr>
          <w:color w:val="auto"/>
          <w:highlight w:val="none"/>
        </w:rPr>
        <w:instrText xml:space="preserve"> PAGEREF _Toc14706 \h </w:instrText>
      </w:r>
      <w:r>
        <w:rPr>
          <w:color w:val="auto"/>
          <w:highlight w:val="none"/>
        </w:rPr>
        <w:fldChar w:fldCharType="separate"/>
      </w:r>
      <w:r>
        <w:rPr>
          <w:color w:val="auto"/>
          <w:highlight w:val="none"/>
        </w:rPr>
        <w:t>23</w:t>
      </w:r>
      <w:r>
        <w:rPr>
          <w:color w:val="auto"/>
          <w:highlight w:val="none"/>
        </w:rPr>
        <w:fldChar w:fldCharType="end"/>
      </w:r>
      <w:r>
        <w:rPr>
          <w:rFonts w:ascii="黑体" w:hAnsi="黑体" w:eastAsia="黑体" w:cs="黑体"/>
          <w:color w:val="auto"/>
          <w:szCs w:val="36"/>
          <w:highlight w:val="none"/>
        </w:rPr>
        <w:fldChar w:fldCharType="end"/>
      </w:r>
    </w:p>
    <w:p w14:paraId="763DD161">
      <w:pPr>
        <w:pStyle w:val="28"/>
        <w:tabs>
          <w:tab w:val="right" w:leader="dot" w:pos="9900"/>
        </w:tabs>
        <w:rPr>
          <w:rFonts w:hint="eastAsia" w:ascii="黑体" w:hAnsi="黑体" w:eastAsia="黑体" w:cs="黑体"/>
          <w:color w:val="auto"/>
          <w:szCs w:val="36"/>
          <w:highlight w:val="none"/>
          <w:lang w:val="en-US" w:eastAsia="zh-CN"/>
        </w:rPr>
      </w:pP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HYPERLINK \l _Toc24142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（一） 项目概况</w:t>
      </w:r>
      <w:r>
        <w:rPr>
          <w:rFonts w:hint="eastAsia" w:ascii="黑体" w:hAnsi="黑体" w:eastAsia="黑体" w:cs="黑体"/>
          <w:color w:val="auto"/>
          <w:szCs w:val="36"/>
          <w:highlight w:val="none"/>
          <w:lang w:val="en-US" w:eastAsia="zh-CN"/>
        </w:rPr>
        <w:tab/>
      </w: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PAGEREF _Toc24142 \h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23</w:t>
      </w:r>
      <w:r>
        <w:rPr>
          <w:rFonts w:hint="eastAsia" w:ascii="黑体" w:hAnsi="黑体" w:eastAsia="黑体" w:cs="黑体"/>
          <w:color w:val="auto"/>
          <w:szCs w:val="36"/>
          <w:highlight w:val="none"/>
          <w:lang w:val="en-US" w:eastAsia="zh-CN"/>
        </w:rPr>
        <w:fldChar w:fldCharType="end"/>
      </w:r>
      <w:r>
        <w:rPr>
          <w:rFonts w:hint="eastAsia" w:ascii="黑体" w:hAnsi="黑体" w:eastAsia="黑体" w:cs="黑体"/>
          <w:color w:val="auto"/>
          <w:szCs w:val="36"/>
          <w:highlight w:val="none"/>
          <w:lang w:val="en-US" w:eastAsia="zh-CN"/>
        </w:rPr>
        <w:fldChar w:fldCharType="end"/>
      </w:r>
    </w:p>
    <w:p w14:paraId="4AF98D61">
      <w:pPr>
        <w:pStyle w:val="28"/>
        <w:tabs>
          <w:tab w:val="right" w:leader="dot" w:pos="9900"/>
        </w:tabs>
        <w:rPr>
          <w:rFonts w:hint="eastAsia" w:ascii="黑体" w:hAnsi="黑体" w:eastAsia="黑体" w:cs="黑体"/>
          <w:color w:val="auto"/>
          <w:szCs w:val="36"/>
          <w:highlight w:val="none"/>
          <w:lang w:val="en-US" w:eastAsia="zh-CN"/>
        </w:rPr>
      </w:pP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HYPERLINK \l _Toc12943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（二） 采购项目预（概）算</w:t>
      </w:r>
      <w:r>
        <w:rPr>
          <w:rFonts w:hint="eastAsia" w:ascii="黑体" w:hAnsi="黑体" w:eastAsia="黑体" w:cs="黑体"/>
          <w:color w:val="auto"/>
          <w:szCs w:val="36"/>
          <w:highlight w:val="none"/>
          <w:lang w:val="en-US" w:eastAsia="zh-CN"/>
        </w:rPr>
        <w:tab/>
      </w: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PAGEREF _Toc12943 \h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23</w:t>
      </w:r>
      <w:r>
        <w:rPr>
          <w:rFonts w:hint="eastAsia" w:ascii="黑体" w:hAnsi="黑体" w:eastAsia="黑体" w:cs="黑体"/>
          <w:color w:val="auto"/>
          <w:szCs w:val="36"/>
          <w:highlight w:val="none"/>
          <w:lang w:val="en-US" w:eastAsia="zh-CN"/>
        </w:rPr>
        <w:fldChar w:fldCharType="end"/>
      </w:r>
      <w:r>
        <w:rPr>
          <w:rFonts w:hint="eastAsia" w:ascii="黑体" w:hAnsi="黑体" w:eastAsia="黑体" w:cs="黑体"/>
          <w:color w:val="auto"/>
          <w:szCs w:val="36"/>
          <w:highlight w:val="none"/>
          <w:lang w:val="en-US" w:eastAsia="zh-CN"/>
        </w:rPr>
        <w:fldChar w:fldCharType="end"/>
      </w:r>
    </w:p>
    <w:p w14:paraId="4E4DEF9C">
      <w:pPr>
        <w:pStyle w:val="28"/>
        <w:tabs>
          <w:tab w:val="right" w:leader="dot" w:pos="9900"/>
        </w:tabs>
        <w:rPr>
          <w:rFonts w:hint="eastAsia" w:ascii="黑体" w:hAnsi="黑体" w:eastAsia="黑体" w:cs="黑体"/>
          <w:color w:val="auto"/>
          <w:szCs w:val="36"/>
          <w:highlight w:val="none"/>
          <w:lang w:val="en-US" w:eastAsia="zh-CN"/>
        </w:rPr>
      </w:pP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HYPERLINK \l _Toc7680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（三） 采购标的汇总表</w:t>
      </w:r>
      <w:r>
        <w:rPr>
          <w:rFonts w:hint="eastAsia" w:ascii="黑体" w:hAnsi="黑体" w:eastAsia="黑体" w:cs="黑体"/>
          <w:color w:val="auto"/>
          <w:szCs w:val="36"/>
          <w:highlight w:val="none"/>
          <w:lang w:val="en-US" w:eastAsia="zh-CN"/>
        </w:rPr>
        <w:tab/>
      </w: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PAGEREF _Toc7680 \h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23</w:t>
      </w:r>
      <w:r>
        <w:rPr>
          <w:rFonts w:hint="eastAsia" w:ascii="黑体" w:hAnsi="黑体" w:eastAsia="黑体" w:cs="黑体"/>
          <w:color w:val="auto"/>
          <w:szCs w:val="36"/>
          <w:highlight w:val="none"/>
          <w:lang w:val="en-US" w:eastAsia="zh-CN"/>
        </w:rPr>
        <w:fldChar w:fldCharType="end"/>
      </w:r>
      <w:r>
        <w:rPr>
          <w:rFonts w:hint="eastAsia" w:ascii="黑体" w:hAnsi="黑体" w:eastAsia="黑体" w:cs="黑体"/>
          <w:color w:val="auto"/>
          <w:szCs w:val="36"/>
          <w:highlight w:val="none"/>
          <w:lang w:val="en-US" w:eastAsia="zh-CN"/>
        </w:rPr>
        <w:fldChar w:fldCharType="end"/>
      </w:r>
    </w:p>
    <w:p w14:paraId="334895FC">
      <w:pPr>
        <w:pStyle w:val="28"/>
        <w:tabs>
          <w:tab w:val="right" w:leader="dot" w:pos="9900"/>
        </w:tabs>
        <w:rPr>
          <w:rFonts w:hint="eastAsia" w:ascii="黑体" w:hAnsi="黑体" w:eastAsia="黑体" w:cs="黑体"/>
          <w:color w:val="auto"/>
          <w:szCs w:val="36"/>
          <w:highlight w:val="none"/>
          <w:lang w:val="en-US" w:eastAsia="zh-CN"/>
        </w:rPr>
      </w:pP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HYPERLINK \l _Toc20741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（四） 技术要求</w:t>
      </w:r>
      <w:r>
        <w:rPr>
          <w:rFonts w:hint="eastAsia" w:ascii="黑体" w:hAnsi="黑体" w:eastAsia="黑体" w:cs="黑体"/>
          <w:color w:val="auto"/>
          <w:szCs w:val="36"/>
          <w:highlight w:val="none"/>
          <w:lang w:val="en-US" w:eastAsia="zh-CN"/>
        </w:rPr>
        <w:tab/>
      </w: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PAGEREF _Toc20741 \h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23</w:t>
      </w:r>
      <w:r>
        <w:rPr>
          <w:rFonts w:hint="eastAsia" w:ascii="黑体" w:hAnsi="黑体" w:eastAsia="黑体" w:cs="黑体"/>
          <w:color w:val="auto"/>
          <w:szCs w:val="36"/>
          <w:highlight w:val="none"/>
          <w:lang w:val="en-US" w:eastAsia="zh-CN"/>
        </w:rPr>
        <w:fldChar w:fldCharType="end"/>
      </w:r>
      <w:r>
        <w:rPr>
          <w:rFonts w:hint="eastAsia" w:ascii="黑体" w:hAnsi="黑体" w:eastAsia="黑体" w:cs="黑体"/>
          <w:color w:val="auto"/>
          <w:szCs w:val="36"/>
          <w:highlight w:val="none"/>
          <w:lang w:val="en-US" w:eastAsia="zh-CN"/>
        </w:rPr>
        <w:fldChar w:fldCharType="end"/>
      </w:r>
    </w:p>
    <w:p w14:paraId="74FF3EEF">
      <w:pPr>
        <w:pStyle w:val="28"/>
        <w:tabs>
          <w:tab w:val="right" w:leader="dot" w:pos="9900"/>
        </w:tabs>
        <w:rPr>
          <w:rFonts w:hint="default"/>
          <w:color w:val="auto"/>
          <w:highlight w:val="none"/>
          <w:lang w:val="en-US"/>
        </w:rPr>
      </w:pP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HYPERLINK \l _Toc3615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（五） 商务要求</w:t>
      </w:r>
      <w:r>
        <w:rPr>
          <w:rFonts w:hint="eastAsia" w:ascii="黑体" w:hAnsi="黑体" w:eastAsia="黑体" w:cs="黑体"/>
          <w:color w:val="auto"/>
          <w:szCs w:val="36"/>
          <w:highlight w:val="none"/>
          <w:lang w:val="en-US" w:eastAsia="zh-CN"/>
        </w:rPr>
        <w:tab/>
      </w:r>
      <w:r>
        <w:rPr>
          <w:rFonts w:hint="eastAsia" w:ascii="黑体" w:hAnsi="黑体" w:eastAsia="黑体" w:cs="黑体"/>
          <w:color w:val="auto"/>
          <w:szCs w:val="36"/>
          <w:highlight w:val="none"/>
          <w:lang w:val="en-US" w:eastAsia="zh-CN"/>
        </w:rPr>
        <w:t>2</w:t>
      </w:r>
      <w:r>
        <w:rPr>
          <w:rFonts w:hint="eastAsia" w:ascii="黑体" w:hAnsi="黑体" w:eastAsia="黑体" w:cs="黑体"/>
          <w:color w:val="auto"/>
          <w:szCs w:val="36"/>
          <w:highlight w:val="none"/>
          <w:lang w:val="en-US" w:eastAsia="zh-CN"/>
        </w:rPr>
        <w:fldChar w:fldCharType="end"/>
      </w:r>
      <w:r>
        <w:rPr>
          <w:rFonts w:hint="eastAsia" w:ascii="黑体" w:hAnsi="黑体" w:eastAsia="黑体" w:cs="黑体"/>
          <w:color w:val="auto"/>
          <w:szCs w:val="36"/>
          <w:highlight w:val="none"/>
          <w:lang w:val="en-US" w:eastAsia="zh-CN"/>
        </w:rPr>
        <w:t>3</w:t>
      </w:r>
    </w:p>
    <w:p w14:paraId="46102E9F">
      <w:pPr>
        <w:pStyle w:val="26"/>
        <w:tabs>
          <w:tab w:val="right" w:leader="dot" w:pos="9900"/>
          <w:tab w:val="clear" w:pos="0"/>
        </w:tabs>
        <w:rPr>
          <w:color w:val="auto"/>
          <w:highlight w:val="none"/>
        </w:rPr>
      </w:pPr>
      <w:r>
        <w:rPr>
          <w:rFonts w:ascii="黑体" w:hAnsi="黑体" w:eastAsia="黑体" w:cs="黑体"/>
          <w:color w:val="auto"/>
          <w:szCs w:val="36"/>
          <w:highlight w:val="none"/>
        </w:rPr>
        <w:fldChar w:fldCharType="begin"/>
      </w:r>
      <w:r>
        <w:rPr>
          <w:rFonts w:ascii="黑体" w:hAnsi="黑体" w:eastAsia="黑体" w:cs="黑体"/>
          <w:color w:val="auto"/>
          <w:szCs w:val="36"/>
          <w:highlight w:val="none"/>
        </w:rPr>
        <w:instrText xml:space="preserve"> HYPERLINK \l _Toc24227 </w:instrText>
      </w:r>
      <w:r>
        <w:rPr>
          <w:rFonts w:ascii="黑体" w:hAnsi="黑体" w:eastAsia="黑体" w:cs="黑体"/>
          <w:color w:val="auto"/>
          <w:szCs w:val="36"/>
          <w:highlight w:val="none"/>
        </w:rPr>
        <w:fldChar w:fldCharType="separate"/>
      </w:r>
      <w:r>
        <w:rPr>
          <w:color w:val="auto"/>
          <w:highlight w:val="none"/>
        </w:rPr>
        <w:t>第四章 评审方法及标准</w:t>
      </w:r>
      <w:r>
        <w:rPr>
          <w:color w:val="auto"/>
          <w:highlight w:val="none"/>
        </w:rPr>
        <w:tab/>
      </w:r>
      <w:r>
        <w:rPr>
          <w:color w:val="auto"/>
          <w:highlight w:val="none"/>
        </w:rPr>
        <w:fldChar w:fldCharType="begin"/>
      </w:r>
      <w:r>
        <w:rPr>
          <w:color w:val="auto"/>
          <w:highlight w:val="none"/>
        </w:rPr>
        <w:instrText xml:space="preserve"> PAGEREF _Toc24227 \h </w:instrText>
      </w:r>
      <w:r>
        <w:rPr>
          <w:color w:val="auto"/>
          <w:highlight w:val="none"/>
        </w:rPr>
        <w:fldChar w:fldCharType="separate"/>
      </w:r>
      <w:r>
        <w:rPr>
          <w:color w:val="auto"/>
          <w:highlight w:val="none"/>
        </w:rPr>
        <w:t>24</w:t>
      </w:r>
      <w:r>
        <w:rPr>
          <w:color w:val="auto"/>
          <w:highlight w:val="none"/>
        </w:rPr>
        <w:fldChar w:fldCharType="end"/>
      </w:r>
      <w:r>
        <w:rPr>
          <w:rFonts w:ascii="黑体" w:hAnsi="黑体" w:eastAsia="黑体" w:cs="黑体"/>
          <w:color w:val="auto"/>
          <w:szCs w:val="36"/>
          <w:highlight w:val="none"/>
        </w:rPr>
        <w:fldChar w:fldCharType="end"/>
      </w:r>
    </w:p>
    <w:p w14:paraId="45996449">
      <w:pPr>
        <w:pStyle w:val="28"/>
        <w:tabs>
          <w:tab w:val="right" w:leader="dot" w:pos="9900"/>
        </w:tabs>
        <w:rPr>
          <w:rFonts w:hint="eastAsia" w:ascii="黑体" w:hAnsi="黑体" w:eastAsia="黑体" w:cs="黑体"/>
          <w:color w:val="auto"/>
          <w:szCs w:val="36"/>
          <w:highlight w:val="none"/>
          <w:lang w:val="en-US" w:eastAsia="zh-CN"/>
        </w:rPr>
      </w:pP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HYPERLINK \l _Toc13095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第一节 资格审查</w:t>
      </w:r>
      <w:r>
        <w:rPr>
          <w:rFonts w:hint="eastAsia" w:ascii="黑体" w:hAnsi="黑体" w:eastAsia="黑体" w:cs="黑体"/>
          <w:color w:val="auto"/>
          <w:szCs w:val="36"/>
          <w:highlight w:val="none"/>
          <w:lang w:val="en-US" w:eastAsia="zh-CN"/>
        </w:rPr>
        <w:tab/>
      </w: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PAGEREF _Toc13095 \h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33</w:t>
      </w:r>
      <w:r>
        <w:rPr>
          <w:rFonts w:hint="eastAsia" w:ascii="黑体" w:hAnsi="黑体" w:eastAsia="黑体" w:cs="黑体"/>
          <w:color w:val="auto"/>
          <w:szCs w:val="36"/>
          <w:highlight w:val="none"/>
          <w:lang w:val="en-US" w:eastAsia="zh-CN"/>
        </w:rPr>
        <w:fldChar w:fldCharType="end"/>
      </w:r>
      <w:r>
        <w:rPr>
          <w:rFonts w:hint="eastAsia" w:ascii="黑体" w:hAnsi="黑体" w:eastAsia="黑体" w:cs="黑体"/>
          <w:color w:val="auto"/>
          <w:szCs w:val="36"/>
          <w:highlight w:val="none"/>
          <w:lang w:val="en-US" w:eastAsia="zh-CN"/>
        </w:rPr>
        <w:fldChar w:fldCharType="end"/>
      </w:r>
    </w:p>
    <w:p w14:paraId="70609D76">
      <w:pPr>
        <w:pStyle w:val="28"/>
        <w:tabs>
          <w:tab w:val="right" w:leader="dot" w:pos="9900"/>
        </w:tabs>
        <w:rPr>
          <w:rFonts w:hint="eastAsia" w:ascii="黑体" w:hAnsi="黑体" w:eastAsia="黑体" w:cs="黑体"/>
          <w:color w:val="auto"/>
          <w:szCs w:val="36"/>
          <w:highlight w:val="none"/>
          <w:lang w:val="en-US" w:eastAsia="zh-CN"/>
        </w:rPr>
      </w:pP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HYPERLINK \l _Toc32574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第二节 符合性审查</w:t>
      </w:r>
      <w:r>
        <w:rPr>
          <w:rFonts w:hint="eastAsia" w:ascii="黑体" w:hAnsi="黑体" w:eastAsia="黑体" w:cs="黑体"/>
          <w:color w:val="auto"/>
          <w:szCs w:val="36"/>
          <w:highlight w:val="none"/>
          <w:lang w:val="en-US" w:eastAsia="zh-CN"/>
        </w:rPr>
        <w:tab/>
      </w: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PAGEREF _Toc32574 \h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35</w:t>
      </w:r>
      <w:r>
        <w:rPr>
          <w:rFonts w:hint="eastAsia" w:ascii="黑体" w:hAnsi="黑体" w:eastAsia="黑体" w:cs="黑体"/>
          <w:color w:val="auto"/>
          <w:szCs w:val="36"/>
          <w:highlight w:val="none"/>
          <w:lang w:val="en-US" w:eastAsia="zh-CN"/>
        </w:rPr>
        <w:fldChar w:fldCharType="end"/>
      </w:r>
      <w:r>
        <w:rPr>
          <w:rFonts w:hint="eastAsia" w:ascii="黑体" w:hAnsi="黑体" w:eastAsia="黑体" w:cs="黑体"/>
          <w:color w:val="auto"/>
          <w:szCs w:val="36"/>
          <w:highlight w:val="none"/>
          <w:lang w:val="en-US" w:eastAsia="zh-CN"/>
        </w:rPr>
        <w:fldChar w:fldCharType="end"/>
      </w:r>
    </w:p>
    <w:p w14:paraId="7A59DD86">
      <w:pPr>
        <w:pStyle w:val="28"/>
        <w:tabs>
          <w:tab w:val="right" w:leader="dot" w:pos="9900"/>
        </w:tabs>
        <w:rPr>
          <w:color w:val="auto"/>
          <w:highlight w:val="none"/>
        </w:rPr>
      </w:pP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HYPERLINK \l _Toc3262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第三节 报价</w:t>
      </w:r>
      <w:r>
        <w:rPr>
          <w:rFonts w:hint="eastAsia" w:ascii="黑体" w:hAnsi="黑体" w:eastAsia="黑体" w:cs="黑体"/>
          <w:color w:val="auto"/>
          <w:szCs w:val="36"/>
          <w:highlight w:val="none"/>
          <w:lang w:val="en-US" w:eastAsia="zh-CN"/>
        </w:rPr>
        <w:tab/>
      </w:r>
      <w:r>
        <w:rPr>
          <w:rFonts w:hint="eastAsia" w:ascii="黑体" w:hAnsi="黑体" w:eastAsia="黑体" w:cs="黑体"/>
          <w:color w:val="auto"/>
          <w:szCs w:val="36"/>
          <w:highlight w:val="none"/>
          <w:lang w:val="en-US" w:eastAsia="zh-CN"/>
        </w:rPr>
        <w:fldChar w:fldCharType="begin"/>
      </w:r>
      <w:r>
        <w:rPr>
          <w:rFonts w:hint="eastAsia" w:ascii="黑体" w:hAnsi="黑体" w:eastAsia="黑体" w:cs="黑体"/>
          <w:color w:val="auto"/>
          <w:szCs w:val="36"/>
          <w:highlight w:val="none"/>
          <w:lang w:val="en-US" w:eastAsia="zh-CN"/>
        </w:rPr>
        <w:instrText xml:space="preserve"> PAGEREF _Toc3262 \h </w:instrText>
      </w:r>
      <w:r>
        <w:rPr>
          <w:rFonts w:hint="eastAsia" w:ascii="黑体" w:hAnsi="黑体" w:eastAsia="黑体" w:cs="黑体"/>
          <w:color w:val="auto"/>
          <w:szCs w:val="36"/>
          <w:highlight w:val="none"/>
          <w:lang w:val="en-US" w:eastAsia="zh-CN"/>
        </w:rPr>
        <w:fldChar w:fldCharType="separate"/>
      </w:r>
      <w:r>
        <w:rPr>
          <w:rFonts w:hint="eastAsia" w:ascii="黑体" w:hAnsi="黑体" w:eastAsia="黑体" w:cs="黑体"/>
          <w:color w:val="auto"/>
          <w:szCs w:val="36"/>
          <w:highlight w:val="none"/>
          <w:lang w:val="en-US" w:eastAsia="zh-CN"/>
        </w:rPr>
        <w:t>36</w:t>
      </w:r>
      <w:r>
        <w:rPr>
          <w:rFonts w:hint="eastAsia" w:ascii="黑体" w:hAnsi="黑体" w:eastAsia="黑体" w:cs="黑体"/>
          <w:color w:val="auto"/>
          <w:szCs w:val="36"/>
          <w:highlight w:val="none"/>
          <w:lang w:val="en-US" w:eastAsia="zh-CN"/>
        </w:rPr>
        <w:fldChar w:fldCharType="end"/>
      </w:r>
      <w:r>
        <w:rPr>
          <w:rFonts w:hint="eastAsia" w:ascii="黑体" w:hAnsi="黑体" w:eastAsia="黑体" w:cs="黑体"/>
          <w:color w:val="auto"/>
          <w:szCs w:val="36"/>
          <w:highlight w:val="none"/>
          <w:lang w:val="en-US" w:eastAsia="zh-CN"/>
        </w:rPr>
        <w:fldChar w:fldCharType="end"/>
      </w:r>
    </w:p>
    <w:p w14:paraId="38D2B93F">
      <w:pPr>
        <w:pStyle w:val="26"/>
        <w:tabs>
          <w:tab w:val="right" w:leader="dot" w:pos="9900"/>
          <w:tab w:val="clear" w:pos="0"/>
        </w:tabs>
        <w:rPr>
          <w:color w:val="auto"/>
          <w:highlight w:val="none"/>
        </w:rPr>
      </w:pPr>
      <w:r>
        <w:rPr>
          <w:rFonts w:ascii="黑体" w:hAnsi="黑体" w:eastAsia="黑体" w:cs="黑体"/>
          <w:color w:val="auto"/>
          <w:szCs w:val="36"/>
          <w:highlight w:val="none"/>
        </w:rPr>
        <w:fldChar w:fldCharType="begin"/>
      </w:r>
      <w:r>
        <w:rPr>
          <w:rFonts w:ascii="黑体" w:hAnsi="黑体" w:eastAsia="黑体" w:cs="黑体"/>
          <w:color w:val="auto"/>
          <w:szCs w:val="36"/>
          <w:highlight w:val="none"/>
        </w:rPr>
        <w:instrText xml:space="preserve"> HYPERLINK \l _Toc25314 </w:instrText>
      </w:r>
      <w:r>
        <w:rPr>
          <w:rFonts w:ascii="黑体" w:hAnsi="黑体" w:eastAsia="黑体" w:cs="黑体"/>
          <w:color w:val="auto"/>
          <w:szCs w:val="36"/>
          <w:highlight w:val="none"/>
        </w:rPr>
        <w:fldChar w:fldCharType="separate"/>
      </w:r>
      <w:r>
        <w:rPr>
          <w:color w:val="auto"/>
          <w:highlight w:val="none"/>
        </w:rPr>
        <w:t xml:space="preserve">第五章 </w:t>
      </w:r>
      <w:r>
        <w:rPr>
          <w:rFonts w:hint="eastAsia"/>
          <w:color w:val="auto"/>
          <w:highlight w:val="none"/>
        </w:rPr>
        <w:t>政府采购合同</w:t>
      </w:r>
      <w:r>
        <w:rPr>
          <w:rFonts w:hint="eastAsia"/>
          <w:color w:val="auto"/>
          <w:highlight w:val="none"/>
          <w:lang w:val="en-US" w:eastAsia="zh-CN"/>
        </w:rPr>
        <w:t>参考范本</w:t>
      </w:r>
      <w:r>
        <w:rPr>
          <w:color w:val="auto"/>
          <w:highlight w:val="none"/>
        </w:rPr>
        <w:tab/>
      </w:r>
      <w:r>
        <w:rPr>
          <w:color w:val="auto"/>
          <w:highlight w:val="none"/>
        </w:rPr>
        <w:fldChar w:fldCharType="begin"/>
      </w:r>
      <w:r>
        <w:rPr>
          <w:color w:val="auto"/>
          <w:highlight w:val="none"/>
        </w:rPr>
        <w:instrText xml:space="preserve"> PAGEREF _Toc25314 \h </w:instrText>
      </w:r>
      <w:r>
        <w:rPr>
          <w:color w:val="auto"/>
          <w:highlight w:val="none"/>
        </w:rPr>
        <w:fldChar w:fldCharType="separate"/>
      </w:r>
      <w:r>
        <w:rPr>
          <w:color w:val="auto"/>
          <w:highlight w:val="none"/>
        </w:rPr>
        <w:t>37</w:t>
      </w:r>
      <w:r>
        <w:rPr>
          <w:color w:val="auto"/>
          <w:highlight w:val="none"/>
        </w:rPr>
        <w:fldChar w:fldCharType="end"/>
      </w:r>
      <w:r>
        <w:rPr>
          <w:rFonts w:ascii="黑体" w:hAnsi="黑体" w:eastAsia="黑体" w:cs="黑体"/>
          <w:color w:val="auto"/>
          <w:szCs w:val="36"/>
          <w:highlight w:val="none"/>
        </w:rPr>
        <w:fldChar w:fldCharType="end"/>
      </w:r>
    </w:p>
    <w:p w14:paraId="4CB17BB0">
      <w:pPr>
        <w:pStyle w:val="26"/>
        <w:tabs>
          <w:tab w:val="right" w:leader="dot" w:pos="9900"/>
          <w:tab w:val="clear" w:pos="0"/>
        </w:tabs>
        <w:rPr>
          <w:color w:val="auto"/>
          <w:highlight w:val="none"/>
        </w:rPr>
      </w:pPr>
      <w:r>
        <w:rPr>
          <w:rFonts w:ascii="黑体" w:hAnsi="黑体" w:eastAsia="黑体" w:cs="黑体"/>
          <w:color w:val="auto"/>
          <w:szCs w:val="36"/>
          <w:highlight w:val="none"/>
        </w:rPr>
        <w:fldChar w:fldCharType="begin"/>
      </w:r>
      <w:r>
        <w:rPr>
          <w:rFonts w:ascii="黑体" w:hAnsi="黑体" w:eastAsia="黑体" w:cs="黑体"/>
          <w:color w:val="auto"/>
          <w:szCs w:val="36"/>
          <w:highlight w:val="none"/>
        </w:rPr>
        <w:instrText xml:space="preserve"> HYPERLINK \l _Toc18902 </w:instrText>
      </w:r>
      <w:r>
        <w:rPr>
          <w:rFonts w:ascii="黑体" w:hAnsi="黑体" w:eastAsia="黑体" w:cs="黑体"/>
          <w:color w:val="auto"/>
          <w:szCs w:val="36"/>
          <w:highlight w:val="none"/>
        </w:rPr>
        <w:fldChar w:fldCharType="separate"/>
      </w:r>
      <w:r>
        <w:rPr>
          <w:color w:val="auto"/>
          <w:highlight w:val="none"/>
        </w:rPr>
        <w:t>第六章 响应文件组成</w:t>
      </w:r>
      <w:r>
        <w:rPr>
          <w:color w:val="auto"/>
          <w:highlight w:val="none"/>
        </w:rPr>
        <w:tab/>
      </w:r>
      <w:r>
        <w:rPr>
          <w:color w:val="auto"/>
          <w:highlight w:val="none"/>
        </w:rPr>
        <w:fldChar w:fldCharType="begin"/>
      </w:r>
      <w:r>
        <w:rPr>
          <w:color w:val="auto"/>
          <w:highlight w:val="none"/>
        </w:rPr>
        <w:instrText xml:space="preserve"> PAGEREF _Toc18902 \h </w:instrText>
      </w:r>
      <w:r>
        <w:rPr>
          <w:color w:val="auto"/>
          <w:highlight w:val="none"/>
        </w:rPr>
        <w:fldChar w:fldCharType="separate"/>
      </w:r>
      <w:r>
        <w:rPr>
          <w:color w:val="auto"/>
          <w:highlight w:val="none"/>
        </w:rPr>
        <w:t>37</w:t>
      </w:r>
      <w:r>
        <w:rPr>
          <w:color w:val="auto"/>
          <w:highlight w:val="none"/>
        </w:rPr>
        <w:fldChar w:fldCharType="end"/>
      </w:r>
      <w:r>
        <w:rPr>
          <w:rFonts w:ascii="黑体" w:hAnsi="黑体" w:eastAsia="黑体" w:cs="黑体"/>
          <w:color w:val="auto"/>
          <w:szCs w:val="36"/>
          <w:highlight w:val="none"/>
        </w:rPr>
        <w:fldChar w:fldCharType="end"/>
      </w:r>
    </w:p>
    <w:p w14:paraId="3F5B18A6">
      <w:pPr>
        <w:pStyle w:val="28"/>
        <w:tabs>
          <w:tab w:val="right" w:leader="dot" w:pos="9900"/>
        </w:tabs>
        <w:rPr>
          <w:rFonts w:hint="eastAsia" w:ascii="Arial" w:hAnsi="Arial" w:eastAsia="黑体" w:cs="Times New Roman"/>
          <w:color w:val="auto"/>
          <w:kern w:val="2"/>
          <w:szCs w:val="24"/>
          <w:highlight w:val="none"/>
          <w:lang w:val="en-US" w:eastAsia="zh-CN" w:bidi="ar-SA"/>
        </w:rPr>
      </w:pPr>
      <w:r>
        <w:rPr>
          <w:rFonts w:hint="eastAsia" w:ascii="Arial" w:hAnsi="Arial" w:eastAsia="黑体" w:cs="Times New Roman"/>
          <w:color w:val="auto"/>
          <w:kern w:val="2"/>
          <w:szCs w:val="24"/>
          <w:highlight w:val="none"/>
          <w:lang w:val="en-US" w:eastAsia="zh-CN" w:bidi="ar-SA"/>
        </w:rPr>
        <w:fldChar w:fldCharType="begin"/>
      </w:r>
      <w:r>
        <w:rPr>
          <w:rFonts w:hint="eastAsia" w:ascii="Arial" w:hAnsi="Arial" w:eastAsia="黑体" w:cs="Times New Roman"/>
          <w:color w:val="auto"/>
          <w:kern w:val="2"/>
          <w:szCs w:val="24"/>
          <w:highlight w:val="none"/>
          <w:lang w:val="en-US" w:eastAsia="zh-CN" w:bidi="ar-SA"/>
        </w:rPr>
        <w:instrText xml:space="preserve"> HYPERLINK \l _Toc7343 </w:instrText>
      </w:r>
      <w:r>
        <w:rPr>
          <w:rFonts w:hint="eastAsia" w:ascii="Arial" w:hAnsi="Arial" w:eastAsia="黑体" w:cs="Times New Roman"/>
          <w:color w:val="auto"/>
          <w:kern w:val="2"/>
          <w:szCs w:val="24"/>
          <w:highlight w:val="none"/>
          <w:lang w:val="en-US" w:eastAsia="zh-CN" w:bidi="ar-SA"/>
        </w:rPr>
        <w:fldChar w:fldCharType="separate"/>
      </w:r>
      <w:r>
        <w:rPr>
          <w:rFonts w:hint="eastAsia" w:ascii="Arial" w:hAnsi="Arial" w:eastAsia="黑体" w:cs="Times New Roman"/>
          <w:color w:val="auto"/>
          <w:kern w:val="2"/>
          <w:szCs w:val="24"/>
          <w:highlight w:val="none"/>
          <w:lang w:val="en-US" w:eastAsia="zh-CN" w:bidi="ar-SA"/>
        </w:rPr>
        <w:t>一、谈判响应声明（格式）</w:t>
      </w:r>
      <w:r>
        <w:rPr>
          <w:rFonts w:hint="eastAsia" w:ascii="Arial" w:hAnsi="Arial" w:eastAsia="黑体" w:cs="Times New Roman"/>
          <w:color w:val="auto"/>
          <w:kern w:val="2"/>
          <w:szCs w:val="24"/>
          <w:highlight w:val="none"/>
          <w:lang w:val="en-US" w:eastAsia="zh-CN" w:bidi="ar-SA"/>
        </w:rPr>
        <w:tab/>
      </w:r>
      <w:r>
        <w:rPr>
          <w:rFonts w:hint="eastAsia" w:ascii="Arial" w:hAnsi="Arial" w:eastAsia="黑体" w:cs="Times New Roman"/>
          <w:color w:val="auto"/>
          <w:kern w:val="2"/>
          <w:szCs w:val="24"/>
          <w:highlight w:val="none"/>
          <w:lang w:val="en-US" w:eastAsia="zh-CN" w:bidi="ar-SA"/>
        </w:rPr>
        <w:fldChar w:fldCharType="begin"/>
      </w:r>
      <w:r>
        <w:rPr>
          <w:rFonts w:hint="eastAsia" w:ascii="Arial" w:hAnsi="Arial" w:eastAsia="黑体" w:cs="Times New Roman"/>
          <w:color w:val="auto"/>
          <w:kern w:val="2"/>
          <w:szCs w:val="24"/>
          <w:highlight w:val="none"/>
          <w:lang w:val="en-US" w:eastAsia="zh-CN" w:bidi="ar-SA"/>
        </w:rPr>
        <w:instrText xml:space="preserve"> PAGEREF _Toc7343 \h </w:instrText>
      </w:r>
      <w:r>
        <w:rPr>
          <w:rFonts w:hint="eastAsia" w:ascii="Arial" w:hAnsi="Arial" w:eastAsia="黑体" w:cs="Times New Roman"/>
          <w:color w:val="auto"/>
          <w:kern w:val="2"/>
          <w:szCs w:val="24"/>
          <w:highlight w:val="none"/>
          <w:lang w:val="en-US" w:eastAsia="zh-CN" w:bidi="ar-SA"/>
        </w:rPr>
        <w:fldChar w:fldCharType="separate"/>
      </w:r>
      <w:r>
        <w:rPr>
          <w:rFonts w:hint="eastAsia" w:ascii="Arial" w:hAnsi="Arial" w:eastAsia="黑体" w:cs="Times New Roman"/>
          <w:color w:val="auto"/>
          <w:kern w:val="2"/>
          <w:szCs w:val="24"/>
          <w:highlight w:val="none"/>
          <w:lang w:val="en-US" w:eastAsia="zh-CN" w:bidi="ar-SA"/>
        </w:rPr>
        <w:t>50</w:t>
      </w:r>
      <w:r>
        <w:rPr>
          <w:rFonts w:hint="eastAsia" w:ascii="Arial" w:hAnsi="Arial" w:eastAsia="黑体" w:cs="Times New Roman"/>
          <w:color w:val="auto"/>
          <w:kern w:val="2"/>
          <w:szCs w:val="24"/>
          <w:highlight w:val="none"/>
          <w:lang w:val="en-US" w:eastAsia="zh-CN" w:bidi="ar-SA"/>
        </w:rPr>
        <w:fldChar w:fldCharType="end"/>
      </w:r>
      <w:r>
        <w:rPr>
          <w:rFonts w:hint="eastAsia" w:ascii="Arial" w:hAnsi="Arial" w:eastAsia="黑体" w:cs="Times New Roman"/>
          <w:color w:val="auto"/>
          <w:kern w:val="2"/>
          <w:szCs w:val="24"/>
          <w:highlight w:val="none"/>
          <w:lang w:val="en-US" w:eastAsia="zh-CN" w:bidi="ar-SA"/>
        </w:rPr>
        <w:fldChar w:fldCharType="end"/>
      </w:r>
    </w:p>
    <w:p w14:paraId="4A17D9CD">
      <w:pPr>
        <w:pStyle w:val="28"/>
        <w:tabs>
          <w:tab w:val="right" w:leader="dot" w:pos="9900"/>
        </w:tabs>
        <w:rPr>
          <w:rFonts w:hint="eastAsia" w:ascii="Arial" w:hAnsi="Arial" w:eastAsia="黑体" w:cs="Times New Roman"/>
          <w:color w:val="auto"/>
          <w:kern w:val="2"/>
          <w:szCs w:val="24"/>
          <w:highlight w:val="none"/>
          <w:lang w:val="en-US" w:eastAsia="zh-CN" w:bidi="ar-SA"/>
        </w:rPr>
      </w:pPr>
      <w:r>
        <w:rPr>
          <w:rFonts w:hint="eastAsia" w:ascii="Arial" w:hAnsi="Arial" w:eastAsia="黑体" w:cs="Times New Roman"/>
          <w:color w:val="auto"/>
          <w:kern w:val="2"/>
          <w:szCs w:val="24"/>
          <w:highlight w:val="none"/>
          <w:lang w:val="en-US" w:eastAsia="zh-CN" w:bidi="ar-SA"/>
        </w:rPr>
        <w:fldChar w:fldCharType="begin"/>
      </w:r>
      <w:r>
        <w:rPr>
          <w:rFonts w:hint="eastAsia" w:ascii="Arial" w:hAnsi="Arial" w:eastAsia="黑体" w:cs="Times New Roman"/>
          <w:color w:val="auto"/>
          <w:kern w:val="2"/>
          <w:szCs w:val="24"/>
          <w:highlight w:val="none"/>
          <w:lang w:val="en-US" w:eastAsia="zh-CN" w:bidi="ar-SA"/>
        </w:rPr>
        <w:instrText xml:space="preserve"> HYPERLINK \l _Toc10697 </w:instrText>
      </w:r>
      <w:r>
        <w:rPr>
          <w:rFonts w:hint="eastAsia" w:ascii="Arial" w:hAnsi="Arial" w:eastAsia="黑体" w:cs="Times New Roman"/>
          <w:color w:val="auto"/>
          <w:kern w:val="2"/>
          <w:szCs w:val="24"/>
          <w:highlight w:val="none"/>
          <w:lang w:val="en-US" w:eastAsia="zh-CN" w:bidi="ar-SA"/>
        </w:rPr>
        <w:fldChar w:fldCharType="separate"/>
      </w:r>
      <w:r>
        <w:rPr>
          <w:rFonts w:hint="eastAsia" w:ascii="Arial" w:hAnsi="Arial" w:eastAsia="黑体" w:cs="Times New Roman"/>
          <w:color w:val="auto"/>
          <w:kern w:val="2"/>
          <w:szCs w:val="24"/>
          <w:highlight w:val="none"/>
          <w:lang w:val="en-US" w:eastAsia="zh-CN" w:bidi="ar-SA"/>
        </w:rPr>
        <w:t>二、授权委托书（格式）</w:t>
      </w:r>
      <w:r>
        <w:rPr>
          <w:rFonts w:hint="eastAsia" w:ascii="Arial" w:hAnsi="Arial" w:eastAsia="黑体" w:cs="Times New Roman"/>
          <w:color w:val="auto"/>
          <w:kern w:val="2"/>
          <w:szCs w:val="24"/>
          <w:highlight w:val="none"/>
          <w:lang w:val="en-US" w:eastAsia="zh-CN" w:bidi="ar-SA"/>
        </w:rPr>
        <w:tab/>
      </w:r>
      <w:r>
        <w:rPr>
          <w:rFonts w:hint="eastAsia" w:ascii="Arial" w:hAnsi="Arial" w:eastAsia="黑体" w:cs="Times New Roman"/>
          <w:color w:val="auto"/>
          <w:kern w:val="2"/>
          <w:szCs w:val="24"/>
          <w:highlight w:val="none"/>
          <w:lang w:val="en-US" w:eastAsia="zh-CN" w:bidi="ar-SA"/>
        </w:rPr>
        <w:fldChar w:fldCharType="begin"/>
      </w:r>
      <w:r>
        <w:rPr>
          <w:rFonts w:hint="eastAsia" w:ascii="Arial" w:hAnsi="Arial" w:eastAsia="黑体" w:cs="Times New Roman"/>
          <w:color w:val="auto"/>
          <w:kern w:val="2"/>
          <w:szCs w:val="24"/>
          <w:highlight w:val="none"/>
          <w:lang w:val="en-US" w:eastAsia="zh-CN" w:bidi="ar-SA"/>
        </w:rPr>
        <w:instrText xml:space="preserve"> PAGEREF _Toc10697 \h </w:instrText>
      </w:r>
      <w:r>
        <w:rPr>
          <w:rFonts w:hint="eastAsia" w:ascii="Arial" w:hAnsi="Arial" w:eastAsia="黑体" w:cs="Times New Roman"/>
          <w:color w:val="auto"/>
          <w:kern w:val="2"/>
          <w:szCs w:val="24"/>
          <w:highlight w:val="none"/>
          <w:lang w:val="en-US" w:eastAsia="zh-CN" w:bidi="ar-SA"/>
        </w:rPr>
        <w:fldChar w:fldCharType="separate"/>
      </w:r>
      <w:r>
        <w:rPr>
          <w:rFonts w:hint="eastAsia" w:ascii="Arial" w:hAnsi="Arial" w:eastAsia="黑体" w:cs="Times New Roman"/>
          <w:color w:val="auto"/>
          <w:kern w:val="2"/>
          <w:szCs w:val="24"/>
          <w:highlight w:val="none"/>
          <w:lang w:val="en-US" w:eastAsia="zh-CN" w:bidi="ar-SA"/>
        </w:rPr>
        <w:t>51</w:t>
      </w:r>
      <w:r>
        <w:rPr>
          <w:rFonts w:hint="eastAsia" w:ascii="Arial" w:hAnsi="Arial" w:eastAsia="黑体" w:cs="Times New Roman"/>
          <w:color w:val="auto"/>
          <w:kern w:val="2"/>
          <w:szCs w:val="24"/>
          <w:highlight w:val="none"/>
          <w:lang w:val="en-US" w:eastAsia="zh-CN" w:bidi="ar-SA"/>
        </w:rPr>
        <w:fldChar w:fldCharType="end"/>
      </w:r>
      <w:r>
        <w:rPr>
          <w:rFonts w:hint="eastAsia" w:ascii="Arial" w:hAnsi="Arial" w:eastAsia="黑体" w:cs="Times New Roman"/>
          <w:color w:val="auto"/>
          <w:kern w:val="2"/>
          <w:szCs w:val="24"/>
          <w:highlight w:val="none"/>
          <w:lang w:val="en-US" w:eastAsia="zh-CN" w:bidi="ar-SA"/>
        </w:rPr>
        <w:fldChar w:fldCharType="end"/>
      </w:r>
    </w:p>
    <w:p w14:paraId="53630FF6">
      <w:pPr>
        <w:pStyle w:val="28"/>
        <w:tabs>
          <w:tab w:val="right" w:leader="dot" w:pos="9900"/>
        </w:tabs>
        <w:rPr>
          <w:rFonts w:hint="eastAsia" w:ascii="Arial" w:hAnsi="Arial" w:eastAsia="黑体" w:cs="Times New Roman"/>
          <w:color w:val="auto"/>
          <w:kern w:val="2"/>
          <w:szCs w:val="24"/>
          <w:highlight w:val="none"/>
          <w:lang w:val="en-US" w:eastAsia="zh-CN" w:bidi="ar-SA"/>
        </w:rPr>
      </w:pPr>
      <w:r>
        <w:rPr>
          <w:rFonts w:hint="eastAsia" w:ascii="Arial" w:hAnsi="Arial" w:eastAsia="黑体" w:cs="Times New Roman"/>
          <w:color w:val="auto"/>
          <w:kern w:val="2"/>
          <w:szCs w:val="24"/>
          <w:highlight w:val="none"/>
          <w:lang w:val="en-US" w:eastAsia="zh-CN" w:bidi="ar-SA"/>
        </w:rPr>
        <w:fldChar w:fldCharType="begin"/>
      </w:r>
      <w:r>
        <w:rPr>
          <w:rFonts w:hint="eastAsia" w:ascii="Arial" w:hAnsi="Arial" w:eastAsia="黑体" w:cs="Times New Roman"/>
          <w:color w:val="auto"/>
          <w:kern w:val="2"/>
          <w:szCs w:val="24"/>
          <w:highlight w:val="none"/>
          <w:lang w:val="en-US" w:eastAsia="zh-CN" w:bidi="ar-SA"/>
        </w:rPr>
        <w:instrText xml:space="preserve"> HYPERLINK \l _Toc7744 </w:instrText>
      </w:r>
      <w:r>
        <w:rPr>
          <w:rFonts w:hint="eastAsia" w:ascii="Arial" w:hAnsi="Arial" w:eastAsia="黑体" w:cs="Times New Roman"/>
          <w:color w:val="auto"/>
          <w:kern w:val="2"/>
          <w:szCs w:val="24"/>
          <w:highlight w:val="none"/>
          <w:lang w:val="en-US" w:eastAsia="zh-CN" w:bidi="ar-SA"/>
        </w:rPr>
        <w:fldChar w:fldCharType="separate"/>
      </w:r>
      <w:r>
        <w:rPr>
          <w:rFonts w:hint="eastAsia" w:ascii="Arial" w:hAnsi="Arial" w:eastAsia="黑体" w:cs="Times New Roman"/>
          <w:color w:val="auto"/>
          <w:kern w:val="2"/>
          <w:szCs w:val="24"/>
          <w:highlight w:val="none"/>
          <w:lang w:val="en-US" w:eastAsia="zh-CN" w:bidi="ar-SA"/>
        </w:rPr>
        <w:t>三、供应商的资格证明资料</w:t>
      </w:r>
      <w:r>
        <w:rPr>
          <w:rFonts w:hint="eastAsia" w:ascii="Arial" w:hAnsi="Arial" w:eastAsia="黑体" w:cs="Times New Roman"/>
          <w:color w:val="auto"/>
          <w:kern w:val="2"/>
          <w:szCs w:val="24"/>
          <w:highlight w:val="none"/>
          <w:lang w:val="en-US" w:eastAsia="zh-CN" w:bidi="ar-SA"/>
        </w:rPr>
        <w:tab/>
      </w:r>
      <w:r>
        <w:rPr>
          <w:rFonts w:hint="eastAsia" w:ascii="Arial" w:hAnsi="Arial" w:eastAsia="黑体" w:cs="Times New Roman"/>
          <w:color w:val="auto"/>
          <w:kern w:val="2"/>
          <w:szCs w:val="24"/>
          <w:highlight w:val="none"/>
          <w:lang w:val="en-US" w:eastAsia="zh-CN" w:bidi="ar-SA"/>
        </w:rPr>
        <w:fldChar w:fldCharType="begin"/>
      </w:r>
      <w:r>
        <w:rPr>
          <w:rFonts w:hint="eastAsia" w:ascii="Arial" w:hAnsi="Arial" w:eastAsia="黑体" w:cs="Times New Roman"/>
          <w:color w:val="auto"/>
          <w:kern w:val="2"/>
          <w:szCs w:val="24"/>
          <w:highlight w:val="none"/>
          <w:lang w:val="en-US" w:eastAsia="zh-CN" w:bidi="ar-SA"/>
        </w:rPr>
        <w:instrText xml:space="preserve"> PAGEREF _Toc7744 \h </w:instrText>
      </w:r>
      <w:r>
        <w:rPr>
          <w:rFonts w:hint="eastAsia" w:ascii="Arial" w:hAnsi="Arial" w:eastAsia="黑体" w:cs="Times New Roman"/>
          <w:color w:val="auto"/>
          <w:kern w:val="2"/>
          <w:szCs w:val="24"/>
          <w:highlight w:val="none"/>
          <w:lang w:val="en-US" w:eastAsia="zh-CN" w:bidi="ar-SA"/>
        </w:rPr>
        <w:fldChar w:fldCharType="separate"/>
      </w:r>
      <w:r>
        <w:rPr>
          <w:rFonts w:hint="eastAsia" w:ascii="Arial" w:hAnsi="Arial" w:eastAsia="黑体" w:cs="Times New Roman"/>
          <w:color w:val="auto"/>
          <w:kern w:val="2"/>
          <w:szCs w:val="24"/>
          <w:highlight w:val="none"/>
          <w:lang w:val="en-US" w:eastAsia="zh-CN" w:bidi="ar-SA"/>
        </w:rPr>
        <w:t>53</w:t>
      </w:r>
      <w:r>
        <w:rPr>
          <w:rFonts w:hint="eastAsia" w:ascii="Arial" w:hAnsi="Arial" w:eastAsia="黑体" w:cs="Times New Roman"/>
          <w:color w:val="auto"/>
          <w:kern w:val="2"/>
          <w:szCs w:val="24"/>
          <w:highlight w:val="none"/>
          <w:lang w:val="en-US" w:eastAsia="zh-CN" w:bidi="ar-SA"/>
        </w:rPr>
        <w:fldChar w:fldCharType="end"/>
      </w:r>
      <w:r>
        <w:rPr>
          <w:rFonts w:hint="eastAsia" w:ascii="Arial" w:hAnsi="Arial" w:eastAsia="黑体" w:cs="Times New Roman"/>
          <w:color w:val="auto"/>
          <w:kern w:val="2"/>
          <w:szCs w:val="24"/>
          <w:highlight w:val="none"/>
          <w:lang w:val="en-US" w:eastAsia="zh-CN" w:bidi="ar-SA"/>
        </w:rPr>
        <w:fldChar w:fldCharType="end"/>
      </w:r>
    </w:p>
    <w:p w14:paraId="32C8A442">
      <w:pPr>
        <w:pStyle w:val="28"/>
        <w:tabs>
          <w:tab w:val="right" w:leader="dot" w:pos="9900"/>
        </w:tabs>
        <w:rPr>
          <w:rFonts w:hint="eastAsia" w:ascii="Arial" w:hAnsi="Arial" w:eastAsia="黑体" w:cs="Times New Roman"/>
          <w:color w:val="auto"/>
          <w:kern w:val="2"/>
          <w:szCs w:val="24"/>
          <w:highlight w:val="none"/>
          <w:lang w:val="en-US" w:eastAsia="zh-CN" w:bidi="ar-SA"/>
        </w:rPr>
      </w:pPr>
      <w:r>
        <w:rPr>
          <w:rFonts w:hint="eastAsia" w:ascii="Arial" w:hAnsi="Arial" w:eastAsia="黑体" w:cs="Times New Roman"/>
          <w:color w:val="auto"/>
          <w:kern w:val="2"/>
          <w:szCs w:val="24"/>
          <w:highlight w:val="none"/>
          <w:lang w:val="en-US" w:eastAsia="zh-CN" w:bidi="ar-SA"/>
        </w:rPr>
        <w:fldChar w:fldCharType="begin"/>
      </w:r>
      <w:r>
        <w:rPr>
          <w:rFonts w:hint="eastAsia" w:ascii="Arial" w:hAnsi="Arial" w:eastAsia="黑体" w:cs="Times New Roman"/>
          <w:color w:val="auto"/>
          <w:kern w:val="2"/>
          <w:szCs w:val="24"/>
          <w:highlight w:val="none"/>
          <w:lang w:val="en-US" w:eastAsia="zh-CN" w:bidi="ar-SA"/>
        </w:rPr>
        <w:instrText xml:space="preserve"> HYPERLINK \l _Toc10106 </w:instrText>
      </w:r>
      <w:r>
        <w:rPr>
          <w:rFonts w:hint="eastAsia" w:ascii="Arial" w:hAnsi="Arial" w:eastAsia="黑体" w:cs="Times New Roman"/>
          <w:color w:val="auto"/>
          <w:kern w:val="2"/>
          <w:szCs w:val="24"/>
          <w:highlight w:val="none"/>
          <w:lang w:val="en-US" w:eastAsia="zh-CN" w:bidi="ar-SA"/>
        </w:rPr>
        <w:fldChar w:fldCharType="separate"/>
      </w:r>
      <w:r>
        <w:rPr>
          <w:rFonts w:hint="eastAsia" w:ascii="Arial" w:hAnsi="Arial" w:eastAsia="黑体" w:cs="Times New Roman"/>
          <w:color w:val="auto"/>
          <w:kern w:val="2"/>
          <w:szCs w:val="24"/>
          <w:highlight w:val="none"/>
          <w:lang w:val="en-US" w:eastAsia="zh-CN" w:bidi="ar-SA"/>
        </w:rPr>
        <w:t>四、谈判响应表</w:t>
      </w:r>
      <w:r>
        <w:rPr>
          <w:rFonts w:hint="eastAsia" w:ascii="Arial" w:hAnsi="Arial" w:eastAsia="黑体" w:cs="Times New Roman"/>
          <w:color w:val="auto"/>
          <w:kern w:val="2"/>
          <w:szCs w:val="24"/>
          <w:highlight w:val="none"/>
          <w:lang w:val="en-US" w:eastAsia="zh-CN" w:bidi="ar-SA"/>
        </w:rPr>
        <w:tab/>
      </w:r>
      <w:r>
        <w:rPr>
          <w:rFonts w:hint="eastAsia" w:ascii="Arial" w:hAnsi="Arial" w:eastAsia="黑体" w:cs="Times New Roman"/>
          <w:color w:val="auto"/>
          <w:kern w:val="2"/>
          <w:szCs w:val="24"/>
          <w:highlight w:val="none"/>
          <w:lang w:val="en-US" w:eastAsia="zh-CN" w:bidi="ar-SA"/>
        </w:rPr>
        <w:fldChar w:fldCharType="begin"/>
      </w:r>
      <w:r>
        <w:rPr>
          <w:rFonts w:hint="eastAsia" w:ascii="Arial" w:hAnsi="Arial" w:eastAsia="黑体" w:cs="Times New Roman"/>
          <w:color w:val="auto"/>
          <w:kern w:val="2"/>
          <w:szCs w:val="24"/>
          <w:highlight w:val="none"/>
          <w:lang w:val="en-US" w:eastAsia="zh-CN" w:bidi="ar-SA"/>
        </w:rPr>
        <w:instrText xml:space="preserve"> PAGEREF _Toc10106 \h </w:instrText>
      </w:r>
      <w:r>
        <w:rPr>
          <w:rFonts w:hint="eastAsia" w:ascii="Arial" w:hAnsi="Arial" w:eastAsia="黑体" w:cs="Times New Roman"/>
          <w:color w:val="auto"/>
          <w:kern w:val="2"/>
          <w:szCs w:val="24"/>
          <w:highlight w:val="none"/>
          <w:lang w:val="en-US" w:eastAsia="zh-CN" w:bidi="ar-SA"/>
        </w:rPr>
        <w:fldChar w:fldCharType="separate"/>
      </w:r>
      <w:r>
        <w:rPr>
          <w:rFonts w:hint="eastAsia" w:ascii="Arial" w:hAnsi="Arial" w:eastAsia="黑体" w:cs="Times New Roman"/>
          <w:color w:val="auto"/>
          <w:kern w:val="2"/>
          <w:szCs w:val="24"/>
          <w:highlight w:val="none"/>
          <w:lang w:val="en-US" w:eastAsia="zh-CN" w:bidi="ar-SA"/>
        </w:rPr>
        <w:t>61</w:t>
      </w:r>
      <w:r>
        <w:rPr>
          <w:rFonts w:hint="eastAsia" w:ascii="Arial" w:hAnsi="Arial" w:eastAsia="黑体" w:cs="Times New Roman"/>
          <w:color w:val="auto"/>
          <w:kern w:val="2"/>
          <w:szCs w:val="24"/>
          <w:highlight w:val="none"/>
          <w:lang w:val="en-US" w:eastAsia="zh-CN" w:bidi="ar-SA"/>
        </w:rPr>
        <w:fldChar w:fldCharType="end"/>
      </w:r>
      <w:r>
        <w:rPr>
          <w:rFonts w:hint="eastAsia" w:ascii="Arial" w:hAnsi="Arial" w:eastAsia="黑体" w:cs="Times New Roman"/>
          <w:color w:val="auto"/>
          <w:kern w:val="2"/>
          <w:szCs w:val="24"/>
          <w:highlight w:val="none"/>
          <w:lang w:val="en-US" w:eastAsia="zh-CN" w:bidi="ar-SA"/>
        </w:rPr>
        <w:fldChar w:fldCharType="end"/>
      </w:r>
    </w:p>
    <w:p w14:paraId="75920294">
      <w:pPr>
        <w:pStyle w:val="28"/>
        <w:tabs>
          <w:tab w:val="right" w:leader="dot" w:pos="9900"/>
        </w:tabs>
        <w:rPr>
          <w:rFonts w:hint="default" w:ascii="Arial" w:hAnsi="Arial" w:eastAsia="黑体" w:cs="Times New Roman"/>
          <w:color w:val="auto"/>
          <w:kern w:val="2"/>
          <w:szCs w:val="24"/>
          <w:highlight w:val="none"/>
          <w:lang w:val="en-US" w:eastAsia="zh-CN" w:bidi="ar-SA"/>
        </w:rPr>
      </w:pPr>
      <w:r>
        <w:rPr>
          <w:rFonts w:hint="eastAsia" w:ascii="Arial" w:hAnsi="Arial" w:eastAsia="黑体" w:cs="Times New Roman"/>
          <w:color w:val="auto"/>
          <w:kern w:val="2"/>
          <w:szCs w:val="24"/>
          <w:highlight w:val="none"/>
          <w:lang w:val="en-US" w:eastAsia="zh-CN" w:bidi="ar-SA"/>
        </w:rPr>
        <w:t>五、服务人员配备和管理方案</w:t>
      </w:r>
      <w:r>
        <w:rPr>
          <w:rFonts w:hint="eastAsia" w:ascii="Arial" w:hAnsi="Arial" w:eastAsia="黑体" w:cs="Times New Roman"/>
          <w:color w:val="auto"/>
          <w:kern w:val="2"/>
          <w:szCs w:val="24"/>
          <w:highlight w:val="none"/>
          <w:lang w:val="en-US" w:eastAsia="zh-CN" w:bidi="ar-SA"/>
        </w:rPr>
        <w:tab/>
      </w:r>
      <w:r>
        <w:rPr>
          <w:rFonts w:hint="eastAsia" w:ascii="Arial" w:hAnsi="Arial" w:eastAsia="黑体" w:cs="Times New Roman"/>
          <w:color w:val="auto"/>
          <w:kern w:val="2"/>
          <w:szCs w:val="24"/>
          <w:highlight w:val="none"/>
          <w:lang w:val="en-US" w:eastAsia="zh-CN" w:bidi="ar-SA"/>
        </w:rPr>
        <w:t>72</w:t>
      </w:r>
    </w:p>
    <w:p w14:paraId="7FBC0D46">
      <w:pPr>
        <w:pStyle w:val="28"/>
        <w:tabs>
          <w:tab w:val="right" w:leader="dot" w:pos="9900"/>
        </w:tabs>
        <w:rPr>
          <w:rFonts w:hint="default" w:ascii="Arial" w:hAnsi="Arial" w:eastAsia="黑体" w:cs="Times New Roman"/>
          <w:color w:val="auto"/>
          <w:kern w:val="2"/>
          <w:szCs w:val="24"/>
          <w:highlight w:val="none"/>
          <w:lang w:val="en-US" w:eastAsia="zh-CN" w:bidi="ar-SA"/>
        </w:rPr>
      </w:pPr>
      <w:r>
        <w:rPr>
          <w:rFonts w:hint="eastAsia" w:ascii="Arial" w:hAnsi="Arial" w:eastAsia="黑体" w:cs="Times New Roman"/>
          <w:color w:val="auto"/>
          <w:kern w:val="2"/>
          <w:szCs w:val="24"/>
          <w:highlight w:val="none"/>
          <w:lang w:val="en-US" w:eastAsia="zh-CN" w:bidi="ar-SA"/>
        </w:rPr>
        <w:t>六、服务承诺及落实措施</w:t>
      </w:r>
      <w:r>
        <w:rPr>
          <w:rFonts w:hint="eastAsia" w:ascii="Arial" w:hAnsi="Arial" w:eastAsia="黑体" w:cs="Times New Roman"/>
          <w:color w:val="auto"/>
          <w:kern w:val="2"/>
          <w:szCs w:val="24"/>
          <w:highlight w:val="none"/>
          <w:lang w:val="en-US" w:eastAsia="zh-CN" w:bidi="ar-SA"/>
        </w:rPr>
        <w:tab/>
      </w:r>
      <w:r>
        <w:rPr>
          <w:rFonts w:hint="eastAsia" w:ascii="Arial" w:hAnsi="Arial" w:eastAsia="黑体" w:cs="Times New Roman"/>
          <w:color w:val="auto"/>
          <w:kern w:val="2"/>
          <w:szCs w:val="24"/>
          <w:highlight w:val="none"/>
          <w:lang w:val="en-US" w:eastAsia="zh-CN" w:bidi="ar-SA"/>
        </w:rPr>
        <w:t>80</w:t>
      </w:r>
    </w:p>
    <w:p w14:paraId="04349DB5">
      <w:pPr>
        <w:pStyle w:val="28"/>
        <w:tabs>
          <w:tab w:val="right" w:leader="dot" w:pos="9900"/>
        </w:tabs>
        <w:rPr>
          <w:rFonts w:hint="eastAsia" w:ascii="Arial" w:hAnsi="Arial" w:eastAsia="黑体" w:cs="Times New Roman"/>
          <w:color w:val="auto"/>
          <w:kern w:val="2"/>
          <w:szCs w:val="24"/>
          <w:highlight w:val="none"/>
          <w:lang w:val="en-US" w:eastAsia="zh-CN" w:bidi="ar-SA"/>
        </w:rPr>
      </w:pPr>
      <w:r>
        <w:rPr>
          <w:rFonts w:hint="eastAsia" w:ascii="Arial" w:hAnsi="Arial" w:eastAsia="黑体" w:cs="Times New Roman"/>
          <w:color w:val="auto"/>
          <w:kern w:val="2"/>
          <w:szCs w:val="24"/>
          <w:highlight w:val="none"/>
          <w:lang w:val="en-US" w:eastAsia="zh-CN" w:bidi="ar-SA"/>
        </w:rPr>
        <w:fldChar w:fldCharType="begin"/>
      </w:r>
      <w:r>
        <w:rPr>
          <w:rFonts w:hint="eastAsia" w:ascii="Arial" w:hAnsi="Arial" w:eastAsia="黑体" w:cs="Times New Roman"/>
          <w:color w:val="auto"/>
          <w:kern w:val="2"/>
          <w:szCs w:val="24"/>
          <w:highlight w:val="none"/>
          <w:lang w:val="en-US" w:eastAsia="zh-CN" w:bidi="ar-SA"/>
        </w:rPr>
        <w:instrText xml:space="preserve"> HYPERLINK \l _Toc4266 </w:instrText>
      </w:r>
      <w:r>
        <w:rPr>
          <w:rFonts w:hint="eastAsia" w:ascii="Arial" w:hAnsi="Arial" w:eastAsia="黑体" w:cs="Times New Roman"/>
          <w:color w:val="auto"/>
          <w:kern w:val="2"/>
          <w:szCs w:val="24"/>
          <w:highlight w:val="none"/>
          <w:lang w:val="en-US" w:eastAsia="zh-CN" w:bidi="ar-SA"/>
        </w:rPr>
        <w:fldChar w:fldCharType="separate"/>
      </w:r>
      <w:r>
        <w:rPr>
          <w:rFonts w:hint="eastAsia" w:ascii="Arial" w:hAnsi="Arial" w:eastAsia="黑体" w:cs="Times New Roman"/>
          <w:color w:val="auto"/>
          <w:kern w:val="2"/>
          <w:szCs w:val="24"/>
          <w:highlight w:val="none"/>
          <w:lang w:val="en-US" w:eastAsia="zh-CN" w:bidi="ar-SA"/>
        </w:rPr>
        <w:t>七、谈判承诺书</w:t>
      </w:r>
      <w:r>
        <w:rPr>
          <w:rFonts w:hint="eastAsia" w:ascii="Arial" w:hAnsi="Arial" w:eastAsia="黑体" w:cs="Times New Roman"/>
          <w:color w:val="auto"/>
          <w:kern w:val="2"/>
          <w:szCs w:val="24"/>
          <w:highlight w:val="none"/>
          <w:lang w:val="en-US" w:eastAsia="zh-CN" w:bidi="ar-SA"/>
        </w:rPr>
        <w:tab/>
      </w:r>
      <w:r>
        <w:rPr>
          <w:rFonts w:hint="eastAsia" w:ascii="Arial" w:hAnsi="Arial" w:eastAsia="黑体" w:cs="Times New Roman"/>
          <w:color w:val="auto"/>
          <w:kern w:val="2"/>
          <w:szCs w:val="24"/>
          <w:highlight w:val="none"/>
          <w:lang w:val="en-US" w:eastAsia="zh-CN" w:bidi="ar-SA"/>
        </w:rPr>
        <w:fldChar w:fldCharType="begin"/>
      </w:r>
      <w:r>
        <w:rPr>
          <w:rFonts w:hint="eastAsia" w:ascii="Arial" w:hAnsi="Arial" w:eastAsia="黑体" w:cs="Times New Roman"/>
          <w:color w:val="auto"/>
          <w:kern w:val="2"/>
          <w:szCs w:val="24"/>
          <w:highlight w:val="none"/>
          <w:lang w:val="en-US" w:eastAsia="zh-CN" w:bidi="ar-SA"/>
        </w:rPr>
        <w:instrText xml:space="preserve"> PAGEREF _Toc4266 \h </w:instrText>
      </w:r>
      <w:r>
        <w:rPr>
          <w:rFonts w:hint="eastAsia" w:ascii="Arial" w:hAnsi="Arial" w:eastAsia="黑体" w:cs="Times New Roman"/>
          <w:color w:val="auto"/>
          <w:kern w:val="2"/>
          <w:szCs w:val="24"/>
          <w:highlight w:val="none"/>
          <w:lang w:val="en-US" w:eastAsia="zh-CN" w:bidi="ar-SA"/>
        </w:rPr>
        <w:fldChar w:fldCharType="separate"/>
      </w:r>
      <w:r>
        <w:rPr>
          <w:rFonts w:hint="eastAsia" w:ascii="Arial" w:hAnsi="Arial" w:eastAsia="黑体" w:cs="Times New Roman"/>
          <w:color w:val="auto"/>
          <w:kern w:val="2"/>
          <w:szCs w:val="24"/>
          <w:highlight w:val="none"/>
          <w:lang w:val="en-US" w:eastAsia="zh-CN" w:bidi="ar-SA"/>
        </w:rPr>
        <w:t>65</w:t>
      </w:r>
      <w:r>
        <w:rPr>
          <w:rFonts w:hint="eastAsia" w:ascii="Arial" w:hAnsi="Arial" w:eastAsia="黑体" w:cs="Times New Roman"/>
          <w:color w:val="auto"/>
          <w:kern w:val="2"/>
          <w:szCs w:val="24"/>
          <w:highlight w:val="none"/>
          <w:lang w:val="en-US" w:eastAsia="zh-CN" w:bidi="ar-SA"/>
        </w:rPr>
        <w:fldChar w:fldCharType="end"/>
      </w:r>
      <w:r>
        <w:rPr>
          <w:rFonts w:hint="eastAsia" w:ascii="Arial" w:hAnsi="Arial" w:eastAsia="黑体" w:cs="Times New Roman"/>
          <w:color w:val="auto"/>
          <w:kern w:val="2"/>
          <w:szCs w:val="24"/>
          <w:highlight w:val="none"/>
          <w:lang w:val="en-US" w:eastAsia="zh-CN" w:bidi="ar-SA"/>
        </w:rPr>
        <w:fldChar w:fldCharType="end"/>
      </w:r>
    </w:p>
    <w:p w14:paraId="74AA2DB8">
      <w:pPr>
        <w:pStyle w:val="28"/>
        <w:tabs>
          <w:tab w:val="right" w:leader="dot" w:pos="9900"/>
        </w:tabs>
        <w:rPr>
          <w:rFonts w:hint="eastAsia" w:ascii="Arial" w:hAnsi="Arial" w:eastAsia="黑体" w:cs="Times New Roman"/>
          <w:color w:val="auto"/>
          <w:kern w:val="2"/>
          <w:szCs w:val="24"/>
          <w:highlight w:val="none"/>
          <w:lang w:val="en-US" w:eastAsia="zh-CN" w:bidi="ar-SA"/>
        </w:rPr>
      </w:pPr>
      <w:r>
        <w:rPr>
          <w:rFonts w:hint="eastAsia" w:ascii="Arial" w:hAnsi="Arial" w:eastAsia="黑体" w:cs="Times New Roman"/>
          <w:color w:val="auto"/>
          <w:kern w:val="2"/>
          <w:szCs w:val="24"/>
          <w:highlight w:val="none"/>
          <w:lang w:val="en-US" w:eastAsia="zh-CN" w:bidi="ar-SA"/>
        </w:rPr>
        <w:fldChar w:fldCharType="begin"/>
      </w:r>
      <w:r>
        <w:rPr>
          <w:rFonts w:hint="eastAsia" w:ascii="Arial" w:hAnsi="Arial" w:eastAsia="黑体" w:cs="Times New Roman"/>
          <w:color w:val="auto"/>
          <w:kern w:val="2"/>
          <w:szCs w:val="24"/>
          <w:highlight w:val="none"/>
          <w:lang w:val="en-US" w:eastAsia="zh-CN" w:bidi="ar-SA"/>
        </w:rPr>
        <w:instrText xml:space="preserve"> HYPERLINK \l _Toc30037 </w:instrText>
      </w:r>
      <w:r>
        <w:rPr>
          <w:rFonts w:hint="eastAsia" w:ascii="Arial" w:hAnsi="Arial" w:eastAsia="黑体" w:cs="Times New Roman"/>
          <w:color w:val="auto"/>
          <w:kern w:val="2"/>
          <w:szCs w:val="24"/>
          <w:highlight w:val="none"/>
          <w:lang w:val="en-US" w:eastAsia="zh-CN" w:bidi="ar-SA"/>
        </w:rPr>
        <w:fldChar w:fldCharType="separate"/>
      </w:r>
      <w:r>
        <w:rPr>
          <w:rFonts w:hint="eastAsia" w:ascii="Arial" w:hAnsi="Arial" w:eastAsia="黑体" w:cs="Times New Roman"/>
          <w:color w:val="auto"/>
          <w:kern w:val="2"/>
          <w:szCs w:val="24"/>
          <w:highlight w:val="none"/>
          <w:lang w:val="en-US" w:eastAsia="zh-CN" w:bidi="ar-SA"/>
        </w:rPr>
        <w:t>八、投标保证金</w:t>
      </w:r>
      <w:r>
        <w:rPr>
          <w:rFonts w:hint="eastAsia" w:ascii="Arial" w:hAnsi="Arial" w:eastAsia="黑体" w:cs="Times New Roman"/>
          <w:color w:val="auto"/>
          <w:kern w:val="2"/>
          <w:szCs w:val="24"/>
          <w:highlight w:val="none"/>
          <w:lang w:val="en-US" w:eastAsia="zh-CN" w:bidi="ar-SA"/>
        </w:rPr>
        <w:tab/>
      </w:r>
      <w:r>
        <w:rPr>
          <w:rFonts w:hint="eastAsia" w:ascii="Arial" w:hAnsi="Arial" w:eastAsia="黑体" w:cs="Times New Roman"/>
          <w:color w:val="auto"/>
          <w:kern w:val="2"/>
          <w:szCs w:val="24"/>
          <w:highlight w:val="none"/>
          <w:lang w:val="en-US" w:eastAsia="zh-CN" w:bidi="ar-SA"/>
        </w:rPr>
        <w:fldChar w:fldCharType="begin"/>
      </w:r>
      <w:r>
        <w:rPr>
          <w:rFonts w:hint="eastAsia" w:ascii="Arial" w:hAnsi="Arial" w:eastAsia="黑体" w:cs="Times New Roman"/>
          <w:color w:val="auto"/>
          <w:kern w:val="2"/>
          <w:szCs w:val="24"/>
          <w:highlight w:val="none"/>
          <w:lang w:val="en-US" w:eastAsia="zh-CN" w:bidi="ar-SA"/>
        </w:rPr>
        <w:instrText xml:space="preserve"> PAGEREF _Toc30037 \h </w:instrText>
      </w:r>
      <w:r>
        <w:rPr>
          <w:rFonts w:hint="eastAsia" w:ascii="Arial" w:hAnsi="Arial" w:eastAsia="黑体" w:cs="Times New Roman"/>
          <w:color w:val="auto"/>
          <w:kern w:val="2"/>
          <w:szCs w:val="24"/>
          <w:highlight w:val="none"/>
          <w:lang w:val="en-US" w:eastAsia="zh-CN" w:bidi="ar-SA"/>
        </w:rPr>
        <w:fldChar w:fldCharType="separate"/>
      </w:r>
      <w:r>
        <w:rPr>
          <w:rFonts w:hint="eastAsia" w:ascii="Arial" w:hAnsi="Arial" w:eastAsia="黑体" w:cs="Times New Roman"/>
          <w:color w:val="auto"/>
          <w:kern w:val="2"/>
          <w:szCs w:val="24"/>
          <w:highlight w:val="none"/>
          <w:lang w:val="en-US" w:eastAsia="zh-CN" w:bidi="ar-SA"/>
        </w:rPr>
        <w:t>66</w:t>
      </w:r>
      <w:r>
        <w:rPr>
          <w:rFonts w:hint="eastAsia" w:ascii="Arial" w:hAnsi="Arial" w:eastAsia="黑体" w:cs="Times New Roman"/>
          <w:color w:val="auto"/>
          <w:kern w:val="2"/>
          <w:szCs w:val="24"/>
          <w:highlight w:val="none"/>
          <w:lang w:val="en-US" w:eastAsia="zh-CN" w:bidi="ar-SA"/>
        </w:rPr>
        <w:fldChar w:fldCharType="end"/>
      </w:r>
      <w:r>
        <w:rPr>
          <w:rFonts w:hint="eastAsia" w:ascii="Arial" w:hAnsi="Arial" w:eastAsia="黑体" w:cs="Times New Roman"/>
          <w:color w:val="auto"/>
          <w:kern w:val="2"/>
          <w:szCs w:val="24"/>
          <w:highlight w:val="none"/>
          <w:lang w:val="en-US" w:eastAsia="zh-CN" w:bidi="ar-SA"/>
        </w:rPr>
        <w:fldChar w:fldCharType="end"/>
      </w:r>
    </w:p>
    <w:p w14:paraId="764279C8">
      <w:pPr>
        <w:pStyle w:val="28"/>
        <w:tabs>
          <w:tab w:val="right" w:leader="dot" w:pos="9900"/>
        </w:tabs>
        <w:rPr>
          <w:rFonts w:hint="eastAsia" w:ascii="Arial" w:hAnsi="Arial" w:eastAsia="黑体" w:cs="Times New Roman"/>
          <w:color w:val="auto"/>
          <w:kern w:val="2"/>
          <w:szCs w:val="24"/>
          <w:highlight w:val="none"/>
          <w:lang w:val="en-US" w:eastAsia="zh-CN" w:bidi="ar-SA"/>
        </w:rPr>
      </w:pPr>
      <w:r>
        <w:rPr>
          <w:rFonts w:hint="eastAsia" w:ascii="Arial" w:hAnsi="Arial" w:eastAsia="黑体" w:cs="Times New Roman"/>
          <w:color w:val="auto"/>
          <w:kern w:val="2"/>
          <w:szCs w:val="24"/>
          <w:highlight w:val="none"/>
          <w:lang w:val="en-US" w:eastAsia="zh-CN" w:bidi="ar-SA"/>
        </w:rPr>
        <w:fldChar w:fldCharType="begin"/>
      </w:r>
      <w:r>
        <w:rPr>
          <w:rFonts w:hint="eastAsia" w:ascii="Arial" w:hAnsi="Arial" w:eastAsia="黑体" w:cs="Times New Roman"/>
          <w:color w:val="auto"/>
          <w:kern w:val="2"/>
          <w:szCs w:val="24"/>
          <w:highlight w:val="none"/>
          <w:lang w:val="en-US" w:eastAsia="zh-CN" w:bidi="ar-SA"/>
        </w:rPr>
        <w:instrText xml:space="preserve"> HYPERLINK \l _Toc5774 </w:instrText>
      </w:r>
      <w:r>
        <w:rPr>
          <w:rFonts w:hint="eastAsia" w:ascii="Arial" w:hAnsi="Arial" w:eastAsia="黑体" w:cs="Times New Roman"/>
          <w:color w:val="auto"/>
          <w:kern w:val="2"/>
          <w:szCs w:val="24"/>
          <w:highlight w:val="none"/>
          <w:lang w:val="en-US" w:eastAsia="zh-CN" w:bidi="ar-SA"/>
        </w:rPr>
        <w:fldChar w:fldCharType="separate"/>
      </w:r>
      <w:r>
        <w:rPr>
          <w:rFonts w:hint="eastAsia" w:ascii="Arial" w:hAnsi="Arial" w:eastAsia="黑体" w:cs="Times New Roman"/>
          <w:color w:val="auto"/>
          <w:kern w:val="2"/>
          <w:szCs w:val="24"/>
          <w:highlight w:val="none"/>
          <w:lang w:val="en-US" w:eastAsia="zh-CN" w:bidi="ar-SA"/>
        </w:rPr>
        <w:t>九、响应标的符合谈判文件规定的证明文件</w:t>
      </w:r>
      <w:r>
        <w:rPr>
          <w:rFonts w:hint="eastAsia" w:ascii="Arial" w:hAnsi="Arial" w:eastAsia="黑体" w:cs="Times New Roman"/>
          <w:color w:val="auto"/>
          <w:kern w:val="2"/>
          <w:szCs w:val="24"/>
          <w:highlight w:val="none"/>
          <w:lang w:val="en-US" w:eastAsia="zh-CN" w:bidi="ar-SA"/>
        </w:rPr>
        <w:tab/>
      </w:r>
      <w:r>
        <w:rPr>
          <w:rFonts w:hint="eastAsia" w:ascii="Arial" w:hAnsi="Arial" w:eastAsia="黑体" w:cs="Times New Roman"/>
          <w:color w:val="auto"/>
          <w:kern w:val="2"/>
          <w:szCs w:val="24"/>
          <w:highlight w:val="none"/>
          <w:lang w:val="en-US" w:eastAsia="zh-CN" w:bidi="ar-SA"/>
        </w:rPr>
        <w:fldChar w:fldCharType="begin"/>
      </w:r>
      <w:r>
        <w:rPr>
          <w:rFonts w:hint="eastAsia" w:ascii="Arial" w:hAnsi="Arial" w:eastAsia="黑体" w:cs="Times New Roman"/>
          <w:color w:val="auto"/>
          <w:kern w:val="2"/>
          <w:szCs w:val="24"/>
          <w:highlight w:val="none"/>
          <w:lang w:val="en-US" w:eastAsia="zh-CN" w:bidi="ar-SA"/>
        </w:rPr>
        <w:instrText xml:space="preserve"> PAGEREF _Toc5774 \h </w:instrText>
      </w:r>
      <w:r>
        <w:rPr>
          <w:rFonts w:hint="eastAsia" w:ascii="Arial" w:hAnsi="Arial" w:eastAsia="黑体" w:cs="Times New Roman"/>
          <w:color w:val="auto"/>
          <w:kern w:val="2"/>
          <w:szCs w:val="24"/>
          <w:highlight w:val="none"/>
          <w:lang w:val="en-US" w:eastAsia="zh-CN" w:bidi="ar-SA"/>
        </w:rPr>
        <w:fldChar w:fldCharType="separate"/>
      </w:r>
      <w:r>
        <w:rPr>
          <w:rFonts w:hint="eastAsia" w:ascii="Arial" w:hAnsi="Arial" w:eastAsia="黑体" w:cs="Times New Roman"/>
          <w:color w:val="auto"/>
          <w:kern w:val="2"/>
          <w:szCs w:val="24"/>
          <w:highlight w:val="none"/>
          <w:lang w:val="en-US" w:eastAsia="zh-CN" w:bidi="ar-SA"/>
        </w:rPr>
        <w:t>67</w:t>
      </w:r>
      <w:r>
        <w:rPr>
          <w:rFonts w:hint="eastAsia" w:ascii="Arial" w:hAnsi="Arial" w:eastAsia="黑体" w:cs="Times New Roman"/>
          <w:color w:val="auto"/>
          <w:kern w:val="2"/>
          <w:szCs w:val="24"/>
          <w:highlight w:val="none"/>
          <w:lang w:val="en-US" w:eastAsia="zh-CN" w:bidi="ar-SA"/>
        </w:rPr>
        <w:fldChar w:fldCharType="end"/>
      </w:r>
      <w:r>
        <w:rPr>
          <w:rFonts w:hint="eastAsia" w:ascii="Arial" w:hAnsi="Arial" w:eastAsia="黑体" w:cs="Times New Roman"/>
          <w:color w:val="auto"/>
          <w:kern w:val="2"/>
          <w:szCs w:val="24"/>
          <w:highlight w:val="none"/>
          <w:lang w:val="en-US" w:eastAsia="zh-CN" w:bidi="ar-SA"/>
        </w:rPr>
        <w:fldChar w:fldCharType="end"/>
      </w:r>
    </w:p>
    <w:p w14:paraId="405EA648">
      <w:pPr>
        <w:pStyle w:val="28"/>
        <w:tabs>
          <w:tab w:val="right" w:leader="dot" w:pos="9900"/>
        </w:tabs>
        <w:rPr>
          <w:rFonts w:hint="eastAsia" w:ascii="Arial" w:hAnsi="Arial" w:eastAsia="黑体" w:cs="Times New Roman"/>
          <w:color w:val="auto"/>
          <w:kern w:val="2"/>
          <w:szCs w:val="24"/>
          <w:highlight w:val="none"/>
          <w:lang w:val="en-US" w:eastAsia="zh-CN" w:bidi="ar-SA"/>
        </w:rPr>
      </w:pPr>
      <w:r>
        <w:rPr>
          <w:rFonts w:hint="eastAsia" w:ascii="Arial" w:hAnsi="Arial" w:eastAsia="黑体" w:cs="Times New Roman"/>
          <w:color w:val="auto"/>
          <w:kern w:val="2"/>
          <w:szCs w:val="24"/>
          <w:highlight w:val="none"/>
          <w:lang w:val="en-US" w:eastAsia="zh-CN" w:bidi="ar-SA"/>
        </w:rPr>
        <w:fldChar w:fldCharType="begin"/>
      </w:r>
      <w:r>
        <w:rPr>
          <w:rFonts w:hint="eastAsia" w:ascii="Arial" w:hAnsi="Arial" w:eastAsia="黑体" w:cs="Times New Roman"/>
          <w:color w:val="auto"/>
          <w:kern w:val="2"/>
          <w:szCs w:val="24"/>
          <w:highlight w:val="none"/>
          <w:lang w:val="en-US" w:eastAsia="zh-CN" w:bidi="ar-SA"/>
        </w:rPr>
        <w:instrText xml:space="preserve"> HYPERLINK \l _Toc29103 </w:instrText>
      </w:r>
      <w:r>
        <w:rPr>
          <w:rFonts w:hint="eastAsia" w:ascii="Arial" w:hAnsi="Arial" w:eastAsia="黑体" w:cs="Times New Roman"/>
          <w:color w:val="auto"/>
          <w:kern w:val="2"/>
          <w:szCs w:val="24"/>
          <w:highlight w:val="none"/>
          <w:lang w:val="en-US" w:eastAsia="zh-CN" w:bidi="ar-SA"/>
        </w:rPr>
        <w:fldChar w:fldCharType="separate"/>
      </w:r>
      <w:r>
        <w:rPr>
          <w:rFonts w:hint="eastAsia" w:ascii="Arial" w:hAnsi="Arial" w:eastAsia="黑体" w:cs="Times New Roman"/>
          <w:color w:val="auto"/>
          <w:kern w:val="2"/>
          <w:szCs w:val="24"/>
          <w:highlight w:val="none"/>
          <w:lang w:val="en-US" w:eastAsia="zh-CN" w:bidi="ar-SA"/>
        </w:rPr>
        <w:t>十、供应商认为需提供的其他资料</w:t>
      </w:r>
      <w:r>
        <w:rPr>
          <w:rFonts w:hint="eastAsia" w:ascii="Arial" w:hAnsi="Arial" w:eastAsia="黑体" w:cs="Times New Roman"/>
          <w:color w:val="auto"/>
          <w:kern w:val="2"/>
          <w:szCs w:val="24"/>
          <w:highlight w:val="none"/>
          <w:lang w:val="en-US" w:eastAsia="zh-CN" w:bidi="ar-SA"/>
        </w:rPr>
        <w:tab/>
      </w:r>
      <w:r>
        <w:rPr>
          <w:rFonts w:hint="eastAsia" w:ascii="Arial" w:hAnsi="Arial" w:eastAsia="黑体" w:cs="Times New Roman"/>
          <w:color w:val="auto"/>
          <w:kern w:val="2"/>
          <w:szCs w:val="24"/>
          <w:highlight w:val="none"/>
          <w:lang w:val="en-US" w:eastAsia="zh-CN" w:bidi="ar-SA"/>
        </w:rPr>
        <w:fldChar w:fldCharType="begin"/>
      </w:r>
      <w:r>
        <w:rPr>
          <w:rFonts w:hint="eastAsia" w:ascii="Arial" w:hAnsi="Arial" w:eastAsia="黑体" w:cs="Times New Roman"/>
          <w:color w:val="auto"/>
          <w:kern w:val="2"/>
          <w:szCs w:val="24"/>
          <w:highlight w:val="none"/>
          <w:lang w:val="en-US" w:eastAsia="zh-CN" w:bidi="ar-SA"/>
        </w:rPr>
        <w:instrText xml:space="preserve"> PAGEREF _Toc29103 \h </w:instrText>
      </w:r>
      <w:r>
        <w:rPr>
          <w:rFonts w:hint="eastAsia" w:ascii="Arial" w:hAnsi="Arial" w:eastAsia="黑体" w:cs="Times New Roman"/>
          <w:color w:val="auto"/>
          <w:kern w:val="2"/>
          <w:szCs w:val="24"/>
          <w:highlight w:val="none"/>
          <w:lang w:val="en-US" w:eastAsia="zh-CN" w:bidi="ar-SA"/>
        </w:rPr>
        <w:fldChar w:fldCharType="separate"/>
      </w:r>
      <w:r>
        <w:rPr>
          <w:rFonts w:hint="eastAsia" w:ascii="Arial" w:hAnsi="Arial" w:eastAsia="黑体" w:cs="Times New Roman"/>
          <w:color w:val="auto"/>
          <w:kern w:val="2"/>
          <w:szCs w:val="24"/>
          <w:highlight w:val="none"/>
          <w:lang w:val="en-US" w:eastAsia="zh-CN" w:bidi="ar-SA"/>
        </w:rPr>
        <w:t>68</w:t>
      </w:r>
      <w:r>
        <w:rPr>
          <w:rFonts w:hint="eastAsia" w:ascii="Arial" w:hAnsi="Arial" w:eastAsia="黑体" w:cs="Times New Roman"/>
          <w:color w:val="auto"/>
          <w:kern w:val="2"/>
          <w:szCs w:val="24"/>
          <w:highlight w:val="none"/>
          <w:lang w:val="en-US" w:eastAsia="zh-CN" w:bidi="ar-SA"/>
        </w:rPr>
        <w:fldChar w:fldCharType="end"/>
      </w:r>
      <w:r>
        <w:rPr>
          <w:rFonts w:hint="eastAsia" w:ascii="Arial" w:hAnsi="Arial" w:eastAsia="黑体" w:cs="Times New Roman"/>
          <w:color w:val="auto"/>
          <w:kern w:val="2"/>
          <w:szCs w:val="24"/>
          <w:highlight w:val="none"/>
          <w:lang w:val="en-US" w:eastAsia="zh-CN" w:bidi="ar-SA"/>
        </w:rPr>
        <w:fldChar w:fldCharType="end"/>
      </w:r>
    </w:p>
    <w:p w14:paraId="19A94FED">
      <w:pPr>
        <w:pStyle w:val="28"/>
        <w:tabs>
          <w:tab w:val="right" w:leader="dot" w:pos="9900"/>
        </w:tabs>
        <w:rPr>
          <w:rFonts w:hint="eastAsia" w:ascii="Arial" w:hAnsi="Arial" w:eastAsia="黑体" w:cs="Times New Roman"/>
          <w:color w:val="auto"/>
          <w:kern w:val="2"/>
          <w:szCs w:val="24"/>
          <w:highlight w:val="none"/>
          <w:lang w:val="en-US" w:eastAsia="zh-CN" w:bidi="ar-SA"/>
        </w:rPr>
      </w:pPr>
      <w:r>
        <w:rPr>
          <w:rFonts w:hint="eastAsia" w:ascii="Arial" w:hAnsi="Arial" w:eastAsia="黑体" w:cs="Times New Roman"/>
          <w:color w:val="auto"/>
          <w:kern w:val="2"/>
          <w:szCs w:val="24"/>
          <w:highlight w:val="none"/>
          <w:lang w:val="en-US" w:eastAsia="zh-CN" w:bidi="ar-SA"/>
        </w:rPr>
        <w:fldChar w:fldCharType="begin"/>
      </w:r>
      <w:r>
        <w:rPr>
          <w:rFonts w:hint="eastAsia" w:ascii="Arial" w:hAnsi="Arial" w:eastAsia="黑体" w:cs="Times New Roman"/>
          <w:color w:val="auto"/>
          <w:kern w:val="2"/>
          <w:szCs w:val="24"/>
          <w:highlight w:val="none"/>
          <w:lang w:val="en-US" w:eastAsia="zh-CN" w:bidi="ar-SA"/>
        </w:rPr>
        <w:instrText xml:space="preserve"> HYPERLINK \l _Toc31875 </w:instrText>
      </w:r>
      <w:r>
        <w:rPr>
          <w:rFonts w:hint="eastAsia" w:ascii="Arial" w:hAnsi="Arial" w:eastAsia="黑体" w:cs="Times New Roman"/>
          <w:color w:val="auto"/>
          <w:kern w:val="2"/>
          <w:szCs w:val="24"/>
          <w:highlight w:val="none"/>
          <w:lang w:val="en-US" w:eastAsia="zh-CN" w:bidi="ar-SA"/>
        </w:rPr>
        <w:fldChar w:fldCharType="separate"/>
      </w:r>
      <w:r>
        <w:rPr>
          <w:rFonts w:hint="eastAsia" w:ascii="Arial" w:hAnsi="Arial" w:eastAsia="黑体" w:cs="Times New Roman"/>
          <w:color w:val="auto"/>
          <w:kern w:val="2"/>
          <w:szCs w:val="24"/>
          <w:highlight w:val="none"/>
          <w:lang w:val="en-US" w:eastAsia="zh-CN" w:bidi="ar-SA"/>
        </w:rPr>
        <w:t>十一、送达方式确认函</w:t>
      </w:r>
      <w:r>
        <w:rPr>
          <w:rFonts w:hint="eastAsia" w:ascii="Arial" w:hAnsi="Arial" w:eastAsia="黑体" w:cs="Times New Roman"/>
          <w:color w:val="auto"/>
          <w:kern w:val="2"/>
          <w:szCs w:val="24"/>
          <w:highlight w:val="none"/>
          <w:lang w:val="en-US" w:eastAsia="zh-CN" w:bidi="ar-SA"/>
        </w:rPr>
        <w:tab/>
      </w:r>
      <w:r>
        <w:rPr>
          <w:rFonts w:hint="eastAsia" w:ascii="Arial" w:hAnsi="Arial" w:eastAsia="黑体" w:cs="Times New Roman"/>
          <w:color w:val="auto"/>
          <w:kern w:val="2"/>
          <w:szCs w:val="24"/>
          <w:highlight w:val="none"/>
          <w:lang w:val="en-US" w:eastAsia="zh-CN" w:bidi="ar-SA"/>
        </w:rPr>
        <w:fldChar w:fldCharType="begin"/>
      </w:r>
      <w:r>
        <w:rPr>
          <w:rFonts w:hint="eastAsia" w:ascii="Arial" w:hAnsi="Arial" w:eastAsia="黑体" w:cs="Times New Roman"/>
          <w:color w:val="auto"/>
          <w:kern w:val="2"/>
          <w:szCs w:val="24"/>
          <w:highlight w:val="none"/>
          <w:lang w:val="en-US" w:eastAsia="zh-CN" w:bidi="ar-SA"/>
        </w:rPr>
        <w:instrText xml:space="preserve"> PAGEREF _Toc31875 \h </w:instrText>
      </w:r>
      <w:r>
        <w:rPr>
          <w:rFonts w:hint="eastAsia" w:ascii="Arial" w:hAnsi="Arial" w:eastAsia="黑体" w:cs="Times New Roman"/>
          <w:color w:val="auto"/>
          <w:kern w:val="2"/>
          <w:szCs w:val="24"/>
          <w:highlight w:val="none"/>
          <w:lang w:val="en-US" w:eastAsia="zh-CN" w:bidi="ar-SA"/>
        </w:rPr>
        <w:fldChar w:fldCharType="separate"/>
      </w:r>
      <w:r>
        <w:rPr>
          <w:rFonts w:hint="eastAsia" w:ascii="Arial" w:hAnsi="Arial" w:eastAsia="黑体" w:cs="Times New Roman"/>
          <w:color w:val="auto"/>
          <w:kern w:val="2"/>
          <w:szCs w:val="24"/>
          <w:highlight w:val="none"/>
          <w:lang w:val="en-US" w:eastAsia="zh-CN" w:bidi="ar-SA"/>
        </w:rPr>
        <w:t>69</w:t>
      </w:r>
      <w:r>
        <w:rPr>
          <w:rFonts w:hint="eastAsia" w:ascii="Arial" w:hAnsi="Arial" w:eastAsia="黑体" w:cs="Times New Roman"/>
          <w:color w:val="auto"/>
          <w:kern w:val="2"/>
          <w:szCs w:val="24"/>
          <w:highlight w:val="none"/>
          <w:lang w:val="en-US" w:eastAsia="zh-CN" w:bidi="ar-SA"/>
        </w:rPr>
        <w:fldChar w:fldCharType="end"/>
      </w:r>
      <w:r>
        <w:rPr>
          <w:rFonts w:hint="eastAsia" w:ascii="Arial" w:hAnsi="Arial" w:eastAsia="黑体" w:cs="Times New Roman"/>
          <w:color w:val="auto"/>
          <w:kern w:val="2"/>
          <w:szCs w:val="24"/>
          <w:highlight w:val="none"/>
          <w:lang w:val="en-US" w:eastAsia="zh-CN" w:bidi="ar-SA"/>
        </w:rPr>
        <w:fldChar w:fldCharType="end"/>
      </w:r>
    </w:p>
    <w:p w14:paraId="60ABFF32">
      <w:pPr>
        <w:pStyle w:val="28"/>
        <w:tabs>
          <w:tab w:val="right" w:leader="dot" w:pos="9900"/>
        </w:tabs>
        <w:rPr>
          <w:rFonts w:hint="default" w:ascii="黑体" w:hAnsi="黑体" w:eastAsia="宋体" w:cs="黑体"/>
          <w:color w:val="auto"/>
          <w:szCs w:val="36"/>
          <w:highlight w:val="none"/>
          <w:lang w:val="en-US" w:eastAsia="zh-CN"/>
        </w:rPr>
      </w:pPr>
      <w:r>
        <w:rPr>
          <w:rFonts w:hint="eastAsia" w:ascii="黑体" w:hAnsi="黑体" w:eastAsia="黑体" w:cs="黑体"/>
          <w:color w:val="auto"/>
          <w:szCs w:val="36"/>
          <w:highlight w:val="none"/>
          <w:lang w:val="en-US" w:eastAsia="zh-CN"/>
        </w:rPr>
        <w:t>十二、 中小企业声明函</w:t>
      </w:r>
      <w:r>
        <w:rPr>
          <w:color w:val="auto"/>
          <w:highlight w:val="none"/>
        </w:rPr>
        <w:tab/>
      </w:r>
      <w:r>
        <w:rPr>
          <w:rFonts w:hint="eastAsia" w:ascii="Arial" w:hAnsi="Arial" w:eastAsia="黑体" w:cs="Times New Roman"/>
          <w:color w:val="auto"/>
          <w:kern w:val="2"/>
          <w:szCs w:val="24"/>
          <w:highlight w:val="none"/>
          <w:lang w:val="en-US" w:eastAsia="zh-CN" w:bidi="ar-SA"/>
        </w:rPr>
        <w:t>84</w:t>
      </w:r>
    </w:p>
    <w:p w14:paraId="28C3AACA">
      <w:pPr>
        <w:pStyle w:val="26"/>
        <w:tabs>
          <w:tab w:val="right" w:leader="dot" w:pos="9900"/>
          <w:tab w:val="clear" w:pos="0"/>
        </w:tabs>
        <w:rPr>
          <w:color w:val="auto"/>
          <w:highlight w:val="none"/>
        </w:rPr>
      </w:pPr>
      <w:r>
        <w:rPr>
          <w:rFonts w:ascii="黑体" w:hAnsi="黑体" w:eastAsia="黑体" w:cs="黑体"/>
          <w:color w:val="auto"/>
          <w:szCs w:val="36"/>
          <w:highlight w:val="none"/>
        </w:rPr>
        <w:fldChar w:fldCharType="begin"/>
      </w:r>
      <w:r>
        <w:rPr>
          <w:rFonts w:ascii="黑体" w:hAnsi="黑体" w:eastAsia="黑体" w:cs="黑体"/>
          <w:color w:val="auto"/>
          <w:szCs w:val="36"/>
          <w:highlight w:val="none"/>
        </w:rPr>
        <w:instrText xml:space="preserve"> HYPERLINK \l _Toc26447 </w:instrText>
      </w:r>
      <w:r>
        <w:rPr>
          <w:rFonts w:ascii="黑体" w:hAnsi="黑体" w:eastAsia="黑体" w:cs="黑体"/>
          <w:color w:val="auto"/>
          <w:szCs w:val="36"/>
          <w:highlight w:val="none"/>
        </w:rPr>
        <w:fldChar w:fldCharType="separate"/>
      </w:r>
      <w:r>
        <w:rPr>
          <w:color w:val="auto"/>
          <w:highlight w:val="none"/>
        </w:rPr>
        <w:t xml:space="preserve">第七章 </w:t>
      </w:r>
      <w:r>
        <w:rPr>
          <w:rFonts w:hint="eastAsia"/>
          <w:color w:val="auto"/>
          <w:highlight w:val="none"/>
          <w:lang w:val="en-US" w:eastAsia="zh-CN"/>
        </w:rPr>
        <w:t>政府采购</w:t>
      </w:r>
      <w:r>
        <w:rPr>
          <w:rFonts w:hint="eastAsia"/>
          <w:color w:val="auto"/>
          <w:highlight w:val="none"/>
          <w:lang w:eastAsia="zh-CN"/>
        </w:rPr>
        <w:t>供应商</w:t>
      </w:r>
      <w:r>
        <w:rPr>
          <w:color w:val="auto"/>
          <w:highlight w:val="none"/>
        </w:rPr>
        <w:t>质疑函范本</w:t>
      </w:r>
      <w:r>
        <w:rPr>
          <w:color w:val="auto"/>
          <w:highlight w:val="none"/>
        </w:rPr>
        <w:tab/>
      </w:r>
      <w:r>
        <w:rPr>
          <w:color w:val="auto"/>
          <w:highlight w:val="none"/>
        </w:rPr>
        <w:fldChar w:fldCharType="begin"/>
      </w:r>
      <w:r>
        <w:rPr>
          <w:color w:val="auto"/>
          <w:highlight w:val="none"/>
        </w:rPr>
        <w:instrText xml:space="preserve"> PAGEREF _Toc26447 \h </w:instrText>
      </w:r>
      <w:r>
        <w:rPr>
          <w:color w:val="auto"/>
          <w:highlight w:val="none"/>
        </w:rPr>
        <w:fldChar w:fldCharType="separate"/>
      </w:r>
      <w:r>
        <w:rPr>
          <w:color w:val="auto"/>
          <w:highlight w:val="none"/>
        </w:rPr>
        <w:t>71</w:t>
      </w:r>
      <w:r>
        <w:rPr>
          <w:color w:val="auto"/>
          <w:highlight w:val="none"/>
        </w:rPr>
        <w:fldChar w:fldCharType="end"/>
      </w:r>
      <w:r>
        <w:rPr>
          <w:rFonts w:ascii="黑体" w:hAnsi="黑体" w:eastAsia="黑体" w:cs="黑体"/>
          <w:color w:val="auto"/>
          <w:szCs w:val="36"/>
          <w:highlight w:val="none"/>
        </w:rPr>
        <w:fldChar w:fldCharType="end"/>
      </w:r>
    </w:p>
    <w:p w14:paraId="09FBEA26">
      <w:pPr>
        <w:pStyle w:val="3"/>
        <w:widowControl/>
        <w:spacing w:before="156" w:after="156" w:line="400" w:lineRule="exact"/>
        <w:outlineLvl w:val="9"/>
        <w:rPr>
          <w:rFonts w:hint="default" w:ascii="黑体" w:hAnsi="黑体" w:eastAsia="黑体" w:cs="黑体"/>
          <w:color w:val="auto"/>
          <w:szCs w:val="36"/>
          <w:highlight w:val="none"/>
        </w:rPr>
        <w:sectPr>
          <w:headerReference r:id="rId8" w:type="default"/>
          <w:footerReference r:id="rId9" w:type="default"/>
          <w:pgSz w:w="11906" w:h="16838"/>
          <w:pgMar w:top="1230" w:right="1003" w:bottom="1174" w:left="1003" w:header="850" w:footer="992" w:gutter="0"/>
          <w:pgBorders>
            <w:top w:val="none" w:sz="0" w:space="0"/>
            <w:left w:val="none" w:sz="0" w:space="0"/>
            <w:bottom w:val="none" w:sz="0" w:space="0"/>
            <w:right w:val="none" w:sz="0" w:space="0"/>
          </w:pgBorders>
          <w:pgNumType w:start="1"/>
          <w:cols w:space="0" w:num="1"/>
          <w:docGrid w:type="lines" w:linePitch="312" w:charSpace="0"/>
        </w:sectPr>
      </w:pPr>
      <w:r>
        <w:rPr>
          <w:rFonts w:ascii="黑体" w:hAnsi="黑体" w:eastAsia="黑体" w:cs="黑体"/>
          <w:color w:val="auto"/>
          <w:szCs w:val="36"/>
          <w:highlight w:val="none"/>
        </w:rPr>
        <w:fldChar w:fldCharType="end"/>
      </w:r>
      <w:bookmarkStart w:id="0" w:name="_Toc3531"/>
      <w:bookmarkStart w:id="1" w:name="_Toc16164"/>
    </w:p>
    <w:p w14:paraId="72DE54F4">
      <w:pPr>
        <w:pStyle w:val="3"/>
        <w:widowControl/>
        <w:spacing w:before="156" w:after="156" w:line="400" w:lineRule="exact"/>
        <w:outlineLvl w:val="9"/>
        <w:rPr>
          <w:rFonts w:hint="default"/>
          <w:color w:val="auto"/>
          <w:highlight w:val="none"/>
        </w:rPr>
      </w:pPr>
      <w:r>
        <w:rPr>
          <w:color w:val="auto"/>
          <w:highlight w:val="none"/>
        </w:rPr>
        <w:t xml:space="preserve">第一章 </w:t>
      </w:r>
      <w:r>
        <w:rPr>
          <w:rFonts w:hint="eastAsia"/>
          <w:color w:val="auto"/>
          <w:highlight w:val="none"/>
          <w:lang w:val="en-US" w:eastAsia="zh-CN"/>
        </w:rPr>
        <w:t>竞争性谈判</w:t>
      </w:r>
      <w:r>
        <w:rPr>
          <w:color w:val="auto"/>
          <w:highlight w:val="none"/>
        </w:rPr>
        <w:t>公告</w:t>
      </w:r>
      <w:bookmarkEnd w:id="0"/>
      <w:bookmarkEnd w:id="1"/>
    </w:p>
    <w:p w14:paraId="634B8AC6">
      <w:pPr>
        <w:pStyle w:val="45"/>
        <w:spacing w:before="156"/>
        <w:ind w:firstLine="480"/>
        <w:rPr>
          <w:rFonts w:hint="eastAsia" w:eastAsia="宋体"/>
          <w:color w:val="auto"/>
          <w:highlight w:val="none"/>
          <w:lang w:eastAsia="zh-CN"/>
        </w:rPr>
      </w:pPr>
      <w:r>
        <w:rPr>
          <w:rFonts w:hint="eastAsia" w:cs="Times New Roman"/>
          <w:color w:val="auto"/>
          <w:highlight w:val="none"/>
          <w:lang w:val="en-US" w:eastAsia="zh-CN"/>
        </w:rPr>
        <w:t>张家界市公安局</w:t>
      </w:r>
      <w:r>
        <w:rPr>
          <w:rFonts w:hint="eastAsia"/>
          <w:color w:val="auto"/>
          <w:highlight w:val="none"/>
          <w:lang w:val="en-US" w:eastAsia="zh-CN"/>
        </w:rPr>
        <w:t>的2026年度市公安局公安科学技术大队实验室试剂耗材及DNA样本检测项目</w:t>
      </w:r>
      <w:r>
        <w:rPr>
          <w:rFonts w:hint="eastAsia"/>
          <w:color w:val="auto"/>
          <w:highlight w:val="none"/>
        </w:rPr>
        <w:t>进行竞争性谈判采购，</w:t>
      </w:r>
      <w:r>
        <w:rPr>
          <w:rFonts w:hint="eastAsia"/>
          <w:color w:val="auto"/>
          <w:highlight w:val="none"/>
          <w:lang w:val="en-US" w:eastAsia="zh-CN"/>
        </w:rPr>
        <w:t>现</w:t>
      </w:r>
      <w:r>
        <w:rPr>
          <w:rFonts w:hint="eastAsia"/>
          <w:color w:val="auto"/>
          <w:highlight w:val="none"/>
        </w:rPr>
        <w:t>邀请你单位参加谈判采购活动。</w:t>
      </w:r>
    </w:p>
    <w:p w14:paraId="0178D4AF">
      <w:pPr>
        <w:pStyle w:val="4"/>
        <w:numPr>
          <w:ilvl w:val="0"/>
          <w:numId w:val="0"/>
        </w:numPr>
        <w:ind w:left="0" w:leftChars="0" w:firstLine="400" w:firstLineChars="0"/>
        <w:jc w:val="left"/>
        <w:rPr>
          <w:color w:val="auto"/>
          <w:highlight w:val="none"/>
        </w:rPr>
      </w:pPr>
      <w:bookmarkStart w:id="2" w:name="_Toc492"/>
      <w:bookmarkStart w:id="3" w:name="_Toc30765"/>
      <w:bookmarkStart w:id="4" w:name="_Toc29297"/>
      <w:bookmarkStart w:id="5" w:name="_Toc15248"/>
      <w:bookmarkStart w:id="6" w:name="_Toc14974"/>
      <w:bookmarkStart w:id="7" w:name="_Toc25910"/>
      <w:r>
        <w:rPr>
          <w:rFonts w:hint="eastAsia" w:ascii="Arial" w:hAnsi="Arial" w:eastAsia="黑体" w:cs="Times New Roman"/>
          <w:color w:val="auto"/>
          <w:kern w:val="2"/>
          <w:sz w:val="30"/>
          <w:szCs w:val="24"/>
          <w:highlight w:val="none"/>
          <w:lang w:val="en-US" w:eastAsia="zh-CN" w:bidi="ar-SA"/>
        </w:rPr>
        <w:t>一、</w:t>
      </w:r>
      <w:r>
        <w:rPr>
          <w:rFonts w:hint="eastAsia"/>
          <w:color w:val="auto"/>
          <w:highlight w:val="none"/>
        </w:rPr>
        <w:t>采购项目信息</w:t>
      </w:r>
      <w:bookmarkEnd w:id="2"/>
      <w:bookmarkEnd w:id="3"/>
      <w:bookmarkEnd w:id="4"/>
      <w:bookmarkEnd w:id="5"/>
      <w:bookmarkEnd w:id="6"/>
    </w:p>
    <w:tbl>
      <w:tblPr>
        <w:tblStyle w:val="36"/>
        <w:tblW w:w="0" w:type="auto"/>
        <w:tblInd w:w="1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7605"/>
      </w:tblGrid>
      <w:tr w14:paraId="4DD3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5" w:type="dxa"/>
            <w:tcBorders>
              <w:top w:val="nil"/>
              <w:left w:val="nil"/>
              <w:bottom w:val="nil"/>
              <w:right w:val="nil"/>
            </w:tcBorders>
            <w:vAlign w:val="center"/>
          </w:tcPr>
          <w:p w14:paraId="0EEBD545">
            <w:pPr>
              <w:pStyle w:val="45"/>
              <w:spacing w:before="120" w:beforeLines="50" w:line="300" w:lineRule="exact"/>
              <w:ind w:firstLine="0" w:firstLineChars="0"/>
              <w:jc w:val="distribute"/>
              <w:rPr>
                <w:color w:val="auto"/>
                <w:highlight w:val="none"/>
              </w:rPr>
            </w:pPr>
            <w:r>
              <w:rPr>
                <w:color w:val="auto"/>
                <w:highlight w:val="none"/>
              </w:rPr>
              <w:t>项目名称</w:t>
            </w:r>
            <w:r>
              <w:rPr>
                <w:rFonts w:hint="eastAsia"/>
                <w:color w:val="auto"/>
                <w:highlight w:val="none"/>
              </w:rPr>
              <w:t>：</w:t>
            </w:r>
          </w:p>
        </w:tc>
        <w:tc>
          <w:tcPr>
            <w:tcW w:w="7605" w:type="dxa"/>
            <w:tcBorders>
              <w:top w:val="nil"/>
              <w:left w:val="nil"/>
              <w:bottom w:val="nil"/>
              <w:right w:val="nil"/>
            </w:tcBorders>
            <w:vAlign w:val="center"/>
          </w:tcPr>
          <w:p w14:paraId="5865BCE9">
            <w:pPr>
              <w:pStyle w:val="45"/>
              <w:spacing w:before="120" w:beforeLines="50" w:line="300" w:lineRule="exact"/>
              <w:ind w:firstLine="0" w:firstLineChars="0"/>
              <w:jc w:val="left"/>
              <w:rPr>
                <w:rFonts w:hint="default" w:eastAsia="宋体"/>
                <w:color w:val="auto"/>
                <w:highlight w:val="none"/>
                <w:lang w:val="en-US" w:eastAsia="zh-CN"/>
              </w:rPr>
            </w:pPr>
            <w:r>
              <w:rPr>
                <w:rFonts w:hint="eastAsia" w:cs="Times New Roman"/>
                <w:color w:val="auto"/>
                <w:highlight w:val="none"/>
                <w:lang w:val="en-US" w:eastAsia="zh-CN"/>
              </w:rPr>
              <w:t>2026年度</w:t>
            </w:r>
            <w:r>
              <w:rPr>
                <w:rFonts w:hint="eastAsia" w:cs="Times New Roman"/>
                <w:color w:val="auto"/>
                <w:highlight w:val="none"/>
                <w:lang w:val="en-US" w:eastAsia="zh-CN"/>
              </w:rPr>
              <w:t>市公安局公安科学技术大队实验室试剂耗材及DNA样本检测项目</w:t>
            </w:r>
          </w:p>
        </w:tc>
      </w:tr>
      <w:tr w14:paraId="48D1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5" w:type="dxa"/>
            <w:tcBorders>
              <w:top w:val="nil"/>
              <w:left w:val="nil"/>
              <w:bottom w:val="nil"/>
              <w:right w:val="nil"/>
            </w:tcBorders>
            <w:vAlign w:val="center"/>
          </w:tcPr>
          <w:p w14:paraId="7F87F82A">
            <w:pPr>
              <w:pStyle w:val="45"/>
              <w:spacing w:before="120" w:beforeLines="50" w:line="300" w:lineRule="exact"/>
              <w:ind w:firstLine="0" w:firstLineChars="0"/>
              <w:jc w:val="distribute"/>
              <w:rPr>
                <w:color w:val="auto"/>
                <w:highlight w:val="none"/>
              </w:rPr>
            </w:pPr>
            <w:r>
              <w:rPr>
                <w:color w:val="auto"/>
                <w:highlight w:val="none"/>
              </w:rPr>
              <w:t>采购计划编号：</w:t>
            </w:r>
          </w:p>
        </w:tc>
        <w:tc>
          <w:tcPr>
            <w:tcW w:w="7605" w:type="dxa"/>
            <w:tcBorders>
              <w:top w:val="nil"/>
              <w:left w:val="nil"/>
              <w:bottom w:val="nil"/>
              <w:right w:val="nil"/>
            </w:tcBorders>
            <w:vAlign w:val="center"/>
          </w:tcPr>
          <w:p w14:paraId="0AAE487A">
            <w:pPr>
              <w:pStyle w:val="45"/>
              <w:spacing w:before="120" w:beforeLines="50" w:line="300" w:lineRule="exact"/>
              <w:ind w:firstLine="0" w:firstLineChars="0"/>
              <w:jc w:val="left"/>
              <w:rPr>
                <w:rFonts w:hint="eastAsia" w:eastAsia="宋体"/>
                <w:color w:val="auto"/>
                <w:highlight w:val="none"/>
                <w:lang w:eastAsia="zh-CN"/>
              </w:rPr>
            </w:pPr>
            <w:r>
              <w:rPr>
                <w:rFonts w:hint="eastAsia" w:cs="Times New Roman"/>
                <w:color w:val="auto"/>
                <w:highlight w:val="none"/>
                <w:lang w:val="en-US" w:eastAsia="zh-CN"/>
              </w:rPr>
              <w:t>(2026)430800000001-1</w:t>
            </w:r>
          </w:p>
        </w:tc>
      </w:tr>
      <w:tr w14:paraId="27F1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5" w:type="dxa"/>
            <w:tcBorders>
              <w:top w:val="nil"/>
              <w:left w:val="nil"/>
              <w:bottom w:val="nil"/>
              <w:right w:val="nil"/>
            </w:tcBorders>
            <w:vAlign w:val="center"/>
          </w:tcPr>
          <w:p w14:paraId="40BB6495">
            <w:pPr>
              <w:pStyle w:val="45"/>
              <w:spacing w:before="120" w:beforeLines="50" w:line="300" w:lineRule="exact"/>
              <w:ind w:firstLine="0" w:firstLineChars="0"/>
              <w:jc w:val="distribute"/>
              <w:rPr>
                <w:color w:val="auto"/>
                <w:highlight w:val="none"/>
              </w:rPr>
            </w:pPr>
            <w:r>
              <w:rPr>
                <w:rFonts w:hint="eastAsia"/>
                <w:color w:val="auto"/>
                <w:highlight w:val="none"/>
              </w:rPr>
              <w:t>委托代理编号</w:t>
            </w:r>
            <w:r>
              <w:rPr>
                <w:color w:val="auto"/>
                <w:highlight w:val="none"/>
              </w:rPr>
              <w:t>：</w:t>
            </w:r>
          </w:p>
        </w:tc>
        <w:tc>
          <w:tcPr>
            <w:tcW w:w="7605" w:type="dxa"/>
            <w:tcBorders>
              <w:top w:val="nil"/>
              <w:left w:val="nil"/>
              <w:bottom w:val="nil"/>
              <w:right w:val="nil"/>
            </w:tcBorders>
            <w:vAlign w:val="center"/>
          </w:tcPr>
          <w:p w14:paraId="139A56A7">
            <w:pPr>
              <w:pStyle w:val="45"/>
              <w:spacing w:before="120" w:beforeLines="50" w:line="300" w:lineRule="exact"/>
              <w:ind w:firstLine="0" w:firstLineChars="0"/>
              <w:jc w:val="left"/>
              <w:rPr>
                <w:rFonts w:hint="default" w:eastAsia="宋体"/>
                <w:color w:val="auto"/>
                <w:highlight w:val="none"/>
                <w:lang w:val="en-US" w:eastAsia="zh-CN"/>
              </w:rPr>
            </w:pPr>
            <w:r>
              <w:rPr>
                <w:rFonts w:hint="eastAsia"/>
                <w:color w:val="auto"/>
                <w:highlight w:val="none"/>
                <w:lang w:val="en-US" w:eastAsia="zh-CN"/>
              </w:rPr>
              <w:t>TPPZ(2026) 140</w:t>
            </w:r>
          </w:p>
        </w:tc>
      </w:tr>
      <w:tr w14:paraId="51A3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5" w:type="dxa"/>
            <w:tcBorders>
              <w:top w:val="nil"/>
              <w:left w:val="nil"/>
              <w:bottom w:val="nil"/>
              <w:right w:val="nil"/>
            </w:tcBorders>
            <w:vAlign w:val="center"/>
          </w:tcPr>
          <w:p w14:paraId="652EEC21">
            <w:pPr>
              <w:pStyle w:val="45"/>
              <w:spacing w:before="120" w:beforeLines="50" w:line="300" w:lineRule="exact"/>
              <w:ind w:firstLine="0" w:firstLineChars="0"/>
              <w:jc w:val="distribute"/>
              <w:rPr>
                <w:color w:val="auto"/>
                <w:highlight w:val="none"/>
              </w:rPr>
            </w:pPr>
            <w:r>
              <w:rPr>
                <w:color w:val="auto"/>
                <w:highlight w:val="none"/>
              </w:rPr>
              <w:t>采购预算：</w:t>
            </w:r>
          </w:p>
        </w:tc>
        <w:tc>
          <w:tcPr>
            <w:tcW w:w="7605" w:type="dxa"/>
            <w:tcBorders>
              <w:top w:val="nil"/>
              <w:left w:val="nil"/>
              <w:bottom w:val="nil"/>
              <w:right w:val="nil"/>
            </w:tcBorders>
            <w:vAlign w:val="center"/>
          </w:tcPr>
          <w:p w14:paraId="07F716F5">
            <w:pPr>
              <w:pStyle w:val="45"/>
              <w:spacing w:before="120" w:beforeLines="50" w:line="300" w:lineRule="exact"/>
              <w:ind w:firstLine="0" w:firstLineChars="0"/>
              <w:jc w:val="left"/>
              <w:rPr>
                <w:color w:val="auto"/>
                <w:highlight w:val="none"/>
              </w:rPr>
            </w:pPr>
            <w:r>
              <w:rPr>
                <w:rFonts w:hint="eastAsia" w:ascii="宋体" w:hAnsi="宋体" w:cs="宋体"/>
                <w:color w:val="auto"/>
                <w:sz w:val="24"/>
                <w:szCs w:val="24"/>
                <w:highlight w:val="none"/>
                <w:lang w:val="en-US" w:eastAsia="zh-CN"/>
              </w:rPr>
              <w:t>635382.00</w:t>
            </w:r>
            <w:r>
              <w:rPr>
                <w:rFonts w:hint="eastAsia"/>
                <w:color w:val="auto"/>
                <w:highlight w:val="none"/>
              </w:rPr>
              <w:t>元</w:t>
            </w:r>
          </w:p>
        </w:tc>
      </w:tr>
      <w:tr w14:paraId="733B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5" w:type="dxa"/>
            <w:tcBorders>
              <w:top w:val="nil"/>
              <w:left w:val="nil"/>
              <w:bottom w:val="nil"/>
              <w:right w:val="nil"/>
            </w:tcBorders>
            <w:vAlign w:val="center"/>
          </w:tcPr>
          <w:p w14:paraId="368CA3E0">
            <w:pPr>
              <w:pStyle w:val="45"/>
              <w:spacing w:before="120" w:beforeLines="50" w:line="300" w:lineRule="exact"/>
              <w:ind w:firstLine="0" w:firstLineChars="0"/>
              <w:jc w:val="distribute"/>
              <w:rPr>
                <w:color w:val="auto"/>
                <w:highlight w:val="none"/>
              </w:rPr>
            </w:pPr>
          </w:p>
        </w:tc>
        <w:tc>
          <w:tcPr>
            <w:tcW w:w="7605" w:type="dxa"/>
            <w:tcBorders>
              <w:top w:val="nil"/>
              <w:left w:val="nil"/>
              <w:bottom w:val="nil"/>
              <w:right w:val="nil"/>
            </w:tcBorders>
            <w:vAlign w:val="center"/>
          </w:tcPr>
          <w:p w14:paraId="05546D0F">
            <w:pPr>
              <w:pStyle w:val="45"/>
              <w:spacing w:before="120" w:beforeLines="50" w:line="300" w:lineRule="exact"/>
              <w:ind w:firstLine="0" w:firstLineChars="0"/>
              <w:jc w:val="left"/>
              <w:rPr>
                <w:color w:val="auto"/>
                <w:highlight w:val="none"/>
              </w:rPr>
            </w:pPr>
            <w:r>
              <w:rPr>
                <w:rFonts w:ascii="宋体" w:hAnsi="宋体" w:eastAsia="宋体" w:cs="宋体"/>
                <w:color w:val="auto"/>
                <w:kern w:val="0"/>
                <w:sz w:val="24"/>
                <w:szCs w:val="24"/>
                <w:highlight w:val="none"/>
                <w:lang w:val="en-US" w:eastAsia="zh-CN" w:bidi="ar"/>
              </w:rPr>
              <w:sym w:font="Wingdings" w:char="00A8"/>
            </w:r>
            <w:r>
              <w:rPr>
                <w:rFonts w:hint="eastAsia"/>
                <w:color w:val="auto"/>
                <w:highlight w:val="none"/>
              </w:rPr>
              <w:t>支持预付款，预付比例：</w:t>
            </w:r>
            <w:r>
              <w:rPr>
                <w:rFonts w:hint="eastAsia"/>
                <w:color w:val="auto"/>
                <w:highlight w:val="none"/>
                <w:u w:val="single"/>
                <w:lang w:val="en-US" w:eastAsia="zh-CN"/>
              </w:rPr>
              <w:t xml:space="preserve">  </w:t>
            </w:r>
            <w:r>
              <w:rPr>
                <w:rFonts w:hint="eastAsia"/>
                <w:color w:val="auto"/>
                <w:highlight w:val="none"/>
              </w:rPr>
              <w:t>%</w:t>
            </w:r>
          </w:p>
        </w:tc>
      </w:tr>
      <w:tr w14:paraId="4190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5" w:type="dxa"/>
            <w:tcBorders>
              <w:top w:val="nil"/>
              <w:left w:val="nil"/>
              <w:bottom w:val="nil"/>
              <w:right w:val="nil"/>
            </w:tcBorders>
            <w:vAlign w:val="center"/>
          </w:tcPr>
          <w:p w14:paraId="589E78F6">
            <w:pPr>
              <w:pStyle w:val="45"/>
              <w:spacing w:before="120" w:beforeLines="50" w:line="300" w:lineRule="exact"/>
              <w:ind w:firstLine="0" w:firstLineChars="0"/>
              <w:jc w:val="distribute"/>
              <w:rPr>
                <w:color w:val="auto"/>
                <w:highlight w:val="none"/>
              </w:rPr>
            </w:pPr>
            <w:r>
              <w:rPr>
                <w:rFonts w:hint="eastAsia"/>
                <w:color w:val="auto"/>
                <w:highlight w:val="none"/>
              </w:rPr>
              <w:t>本项目对应的中小企业划分标准所属行业：</w:t>
            </w:r>
          </w:p>
        </w:tc>
        <w:tc>
          <w:tcPr>
            <w:tcW w:w="7605" w:type="dxa"/>
            <w:tcBorders>
              <w:top w:val="nil"/>
              <w:left w:val="nil"/>
              <w:bottom w:val="nil"/>
              <w:right w:val="nil"/>
            </w:tcBorders>
            <w:vAlign w:val="center"/>
          </w:tcPr>
          <w:p w14:paraId="6A0EDF61">
            <w:pPr>
              <w:pStyle w:val="45"/>
              <w:spacing w:before="120" w:beforeLines="50" w:line="300" w:lineRule="exact"/>
              <w:ind w:firstLine="0" w:firstLineChars="0"/>
              <w:jc w:val="left"/>
              <w:rPr>
                <w:rFonts w:hint="eastAsia" w:eastAsia="宋体"/>
                <w:color w:val="auto"/>
                <w:highlight w:val="none"/>
                <w:lang w:val="en-US" w:eastAsia="zh-CN"/>
              </w:rPr>
            </w:pPr>
            <w:r>
              <w:rPr>
                <w:rFonts w:hint="eastAsia"/>
                <w:color w:val="auto"/>
                <w:highlight w:val="none"/>
              </w:rPr>
              <w:t xml:space="preserve"> </w:t>
            </w:r>
            <w:r>
              <w:rPr>
                <w:rFonts w:ascii="Segoe UI" w:hAnsi="Segoe UI" w:eastAsia="Segoe UI" w:cs="Segoe UI"/>
                <w:b/>
                <w:bCs/>
                <w:i w:val="0"/>
                <w:iCs w:val="0"/>
                <w:caps w:val="0"/>
                <w:color w:val="auto"/>
                <w:spacing w:val="0"/>
                <w:sz w:val="24"/>
                <w:szCs w:val="24"/>
                <w:shd w:val="clear" w:fill="FFFFFF"/>
              </w:rPr>
              <w:t>工业（制造业）</w:t>
            </w:r>
            <w:r>
              <w:rPr>
                <w:rFonts w:hint="eastAsia" w:ascii="Segoe UI" w:hAnsi="Segoe UI" w:eastAsia="宋体" w:cs="Segoe UI"/>
                <w:b/>
                <w:bCs/>
                <w:i w:val="0"/>
                <w:iCs w:val="0"/>
                <w:caps w:val="0"/>
                <w:color w:val="auto"/>
                <w:spacing w:val="0"/>
                <w:sz w:val="24"/>
                <w:szCs w:val="24"/>
                <w:shd w:val="clear" w:fill="FFFFFF"/>
                <w:lang w:eastAsia="zh-CN"/>
              </w:rPr>
              <w:t>。</w:t>
            </w:r>
          </w:p>
        </w:tc>
      </w:tr>
      <w:tr w14:paraId="5F18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5" w:type="dxa"/>
            <w:tcBorders>
              <w:top w:val="nil"/>
              <w:left w:val="nil"/>
              <w:bottom w:val="nil"/>
              <w:right w:val="nil"/>
            </w:tcBorders>
            <w:vAlign w:val="center"/>
          </w:tcPr>
          <w:p w14:paraId="4A5208DC">
            <w:pPr>
              <w:pStyle w:val="45"/>
              <w:spacing w:before="120" w:beforeLines="50" w:line="300" w:lineRule="exact"/>
              <w:ind w:firstLine="0" w:firstLineChars="0"/>
              <w:jc w:val="distribute"/>
              <w:rPr>
                <w:color w:val="auto"/>
                <w:highlight w:val="none"/>
              </w:rPr>
            </w:pPr>
            <w:r>
              <w:rPr>
                <w:rFonts w:hint="eastAsia"/>
                <w:color w:val="auto"/>
                <w:highlight w:val="none"/>
              </w:rPr>
              <w:t>合同履行期限：</w:t>
            </w:r>
          </w:p>
        </w:tc>
        <w:tc>
          <w:tcPr>
            <w:tcW w:w="7605" w:type="dxa"/>
            <w:tcBorders>
              <w:top w:val="nil"/>
              <w:left w:val="nil"/>
              <w:bottom w:val="nil"/>
              <w:right w:val="nil"/>
            </w:tcBorders>
            <w:vAlign w:val="center"/>
          </w:tcPr>
          <w:p w14:paraId="296F48E6">
            <w:pPr>
              <w:pStyle w:val="45"/>
              <w:spacing w:before="120" w:beforeLines="50" w:line="300" w:lineRule="exact"/>
              <w:ind w:firstLine="0" w:firstLineChars="0"/>
              <w:jc w:val="left"/>
              <w:rPr>
                <w:rFonts w:hint="eastAsia" w:eastAsia="宋体"/>
                <w:color w:val="auto"/>
                <w:highlight w:val="none"/>
                <w:lang w:val="en-US" w:eastAsia="zh-CN"/>
              </w:rPr>
            </w:pPr>
            <w:r>
              <w:rPr>
                <w:rFonts w:hint="eastAsia" w:cs="宋体"/>
                <w:color w:val="auto"/>
                <w:u w:val="none"/>
              </w:rPr>
              <w:t>自合同签订之日起</w:t>
            </w:r>
            <w:r>
              <w:rPr>
                <w:rFonts w:hint="eastAsia" w:cs="宋体"/>
                <w:color w:val="auto"/>
                <w:u w:val="none"/>
                <w:lang w:val="en-US" w:eastAsia="zh-CN"/>
              </w:rPr>
              <w:t>3</w:t>
            </w:r>
            <w:r>
              <w:rPr>
                <w:rFonts w:hint="eastAsia" w:cs="宋体"/>
                <w:color w:val="auto"/>
                <w:u w:val="none"/>
              </w:rPr>
              <w:t>0天内完成</w:t>
            </w:r>
            <w:r>
              <w:rPr>
                <w:rFonts w:hint="eastAsia" w:cs="宋体"/>
                <w:color w:val="auto"/>
                <w:u w:val="none"/>
                <w:lang w:eastAsia="zh-CN"/>
              </w:rPr>
              <w:t>。</w:t>
            </w:r>
          </w:p>
        </w:tc>
      </w:tr>
      <w:tr w14:paraId="0D03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65" w:type="dxa"/>
            <w:tcBorders>
              <w:top w:val="nil"/>
              <w:left w:val="nil"/>
              <w:bottom w:val="nil"/>
              <w:right w:val="nil"/>
            </w:tcBorders>
            <w:vAlign w:val="center"/>
          </w:tcPr>
          <w:p w14:paraId="14BFAB8C">
            <w:pPr>
              <w:pStyle w:val="45"/>
              <w:spacing w:before="120" w:beforeLines="50" w:line="300" w:lineRule="exact"/>
              <w:ind w:firstLine="0" w:firstLineChars="0"/>
              <w:jc w:val="distribute"/>
              <w:rPr>
                <w:color w:val="auto"/>
                <w:highlight w:val="none"/>
              </w:rPr>
            </w:pPr>
            <w:r>
              <w:rPr>
                <w:rFonts w:hint="eastAsia"/>
                <w:color w:val="auto"/>
                <w:highlight w:val="none"/>
              </w:rPr>
              <w:t>本项目分阶段要求供应商提供以下保证：</w:t>
            </w:r>
          </w:p>
        </w:tc>
        <w:tc>
          <w:tcPr>
            <w:tcW w:w="7605" w:type="dxa"/>
            <w:tcBorders>
              <w:top w:val="nil"/>
              <w:left w:val="nil"/>
              <w:bottom w:val="nil"/>
              <w:right w:val="nil"/>
            </w:tcBorders>
            <w:vAlign w:val="center"/>
          </w:tcPr>
          <w:p w14:paraId="629B408C">
            <w:pPr>
              <w:pStyle w:val="45"/>
              <w:spacing w:before="120" w:beforeLines="50" w:line="300" w:lineRule="exact"/>
              <w:ind w:firstLine="0" w:firstLineChars="0"/>
              <w:jc w:val="left"/>
              <w:rPr>
                <w:rFonts w:hint="eastAsia"/>
                <w:color w:val="auto"/>
                <w:highlight w:val="none"/>
                <w:lang w:val="en-US" w:eastAsia="zh-CN"/>
              </w:rPr>
            </w:pPr>
            <w:r>
              <w:rPr>
                <w:rFonts w:ascii="宋体" w:hAnsi="宋体" w:eastAsia="宋体" w:cs="宋体"/>
                <w:color w:val="auto"/>
                <w:kern w:val="0"/>
                <w:sz w:val="24"/>
                <w:szCs w:val="24"/>
                <w:highlight w:val="none"/>
                <w:lang w:val="en-US" w:eastAsia="zh-CN" w:bidi="ar"/>
              </w:rPr>
              <w:sym w:font="Wingdings" w:char="00FE"/>
            </w:r>
            <w:r>
              <w:rPr>
                <w:rFonts w:hint="eastAsia"/>
                <w:color w:val="auto"/>
                <w:highlight w:val="none"/>
              </w:rPr>
              <w:t>投标保证金：</w:t>
            </w:r>
            <w:r>
              <w:rPr>
                <w:rFonts w:hint="eastAsia"/>
                <w:color w:val="auto"/>
                <w:highlight w:val="none"/>
                <w:lang w:eastAsia="zh-CN"/>
              </w:rPr>
              <w:t>人民币</w:t>
            </w:r>
            <w:r>
              <w:rPr>
                <w:rFonts w:hint="eastAsia"/>
                <w:color w:val="auto"/>
                <w:highlight w:val="none"/>
                <w:u w:val="single"/>
                <w:lang w:val="en-US" w:eastAsia="zh-CN"/>
              </w:rPr>
              <w:t>1</w:t>
            </w:r>
            <w:r>
              <w:rPr>
                <w:rFonts w:hint="eastAsia"/>
                <w:color w:val="auto"/>
                <w:highlight w:val="none"/>
                <w:lang w:val="en-US" w:eastAsia="zh-CN"/>
              </w:rPr>
              <w:t>元</w:t>
            </w:r>
          </w:p>
          <w:p w14:paraId="02F194E8">
            <w:pPr>
              <w:pStyle w:val="45"/>
              <w:spacing w:before="120" w:beforeLines="50" w:line="300" w:lineRule="exact"/>
              <w:ind w:firstLine="0" w:firstLineChars="0"/>
              <w:jc w:val="left"/>
              <w:rPr>
                <w:rFonts w:hint="default" w:eastAsia="宋体"/>
                <w:color w:val="auto"/>
                <w:highlight w:val="none"/>
                <w:lang w:val="en-US" w:eastAsia="zh-CN"/>
              </w:rPr>
            </w:pPr>
            <w:r>
              <w:rPr>
                <w:rFonts w:hint="eastAsia"/>
                <w:color w:val="auto"/>
                <w:highlight w:val="none"/>
                <w:lang w:val="en-US" w:eastAsia="zh-CN"/>
              </w:rPr>
              <w:t>（备注：根据张政办发〔2024〕21号文件规定，采购400万以下的货物、服务和工程免收取投标保证金，但因系统设置银行转账额度不能少于1元钱，需缴纳1元作为保证金）</w:t>
            </w:r>
          </w:p>
          <w:p w14:paraId="77F06102">
            <w:pPr>
              <w:pStyle w:val="45"/>
              <w:spacing w:before="120" w:beforeLines="50" w:line="300" w:lineRule="exact"/>
              <w:ind w:firstLine="0" w:firstLineChars="0"/>
              <w:jc w:val="left"/>
              <w:rPr>
                <w:color w:val="auto"/>
                <w:highlight w:val="none"/>
              </w:rPr>
            </w:pPr>
            <w:r>
              <w:rPr>
                <w:rFonts w:ascii="宋体" w:hAnsi="宋体" w:eastAsia="宋体" w:cs="宋体"/>
                <w:color w:val="auto"/>
                <w:kern w:val="0"/>
                <w:sz w:val="24"/>
                <w:szCs w:val="24"/>
                <w:highlight w:val="none"/>
                <w:lang w:val="en-US" w:eastAsia="zh-CN" w:bidi="ar"/>
              </w:rPr>
              <w:sym w:font="Wingdings" w:char="00FE"/>
            </w:r>
            <w:r>
              <w:rPr>
                <w:rFonts w:hint="eastAsia"/>
                <w:color w:val="auto"/>
                <w:highlight w:val="none"/>
              </w:rPr>
              <w:t>履约保证金：中标、成交金额降价幅度不超过采购预算10% 的，履约保证金为中标、成交金额的10%</w:t>
            </w:r>
            <w:r>
              <w:rPr>
                <w:rFonts w:hint="eastAsia"/>
                <w:color w:val="auto"/>
                <w:highlight w:val="none"/>
                <w:lang w:eastAsia="zh-CN"/>
              </w:rPr>
              <w:t>；</w:t>
            </w:r>
            <w:r>
              <w:rPr>
                <w:rFonts w:hint="eastAsia"/>
                <w:color w:val="auto"/>
                <w:highlight w:val="none"/>
              </w:rPr>
              <w:t>中标、成交金额降价 幅度超过采购预算10%以上的，履约保证金为采购预算减去中标、 成交金额的差额；</w:t>
            </w:r>
          </w:p>
          <w:p w14:paraId="012A3334">
            <w:pPr>
              <w:pStyle w:val="45"/>
              <w:spacing w:before="120" w:beforeLines="50" w:line="300" w:lineRule="exact"/>
              <w:ind w:firstLine="0" w:firstLineChars="0"/>
              <w:jc w:val="left"/>
              <w:rPr>
                <w:color w:val="auto"/>
                <w:highlight w:val="none"/>
              </w:rPr>
            </w:pPr>
            <w:r>
              <w:rPr>
                <w:rFonts w:ascii="宋体" w:hAnsi="宋体" w:eastAsia="宋体" w:cs="宋体"/>
                <w:color w:val="auto"/>
                <w:kern w:val="0"/>
                <w:sz w:val="24"/>
                <w:szCs w:val="24"/>
                <w:highlight w:val="none"/>
                <w:lang w:val="en-US" w:eastAsia="zh-CN" w:bidi="ar"/>
              </w:rPr>
              <w:sym w:font="Wingdings" w:char="00A8"/>
            </w:r>
            <w:r>
              <w:rPr>
                <w:rFonts w:hint="eastAsia"/>
                <w:color w:val="auto"/>
                <w:highlight w:val="none"/>
              </w:rPr>
              <w:t>预付款保证金：预付款的</w:t>
            </w:r>
            <w:r>
              <w:rPr>
                <w:rFonts w:hint="eastAsia"/>
                <w:color w:val="auto"/>
                <w:highlight w:val="none"/>
                <w:u w:val="single"/>
              </w:rPr>
              <w:t xml:space="preserve">  </w:t>
            </w:r>
            <w:r>
              <w:rPr>
                <w:rFonts w:hint="eastAsia"/>
                <w:color w:val="auto"/>
                <w:highlight w:val="none"/>
              </w:rPr>
              <w:t>%；</w:t>
            </w:r>
          </w:p>
          <w:p w14:paraId="1AA93B38">
            <w:pPr>
              <w:pStyle w:val="45"/>
              <w:spacing w:before="120" w:beforeLines="50" w:line="300" w:lineRule="exact"/>
              <w:ind w:firstLine="0" w:firstLineChars="0"/>
              <w:jc w:val="left"/>
              <w:rPr>
                <w:color w:val="auto"/>
                <w:highlight w:val="none"/>
              </w:rPr>
            </w:pPr>
            <w:r>
              <w:rPr>
                <w:rFonts w:ascii="宋体" w:hAnsi="宋体" w:eastAsia="宋体" w:cs="宋体"/>
                <w:color w:val="auto"/>
                <w:kern w:val="0"/>
                <w:sz w:val="24"/>
                <w:szCs w:val="24"/>
                <w:highlight w:val="none"/>
                <w:lang w:val="en-US" w:eastAsia="zh-CN" w:bidi="ar"/>
              </w:rPr>
              <w:sym w:font="Wingdings" w:char="00A8"/>
            </w:r>
            <w:r>
              <w:rPr>
                <w:rFonts w:hint="eastAsia"/>
                <w:color w:val="auto"/>
                <w:highlight w:val="none"/>
              </w:rPr>
              <w:t>质量保证金：合同金额的</w:t>
            </w:r>
            <w:r>
              <w:rPr>
                <w:rFonts w:hint="eastAsia"/>
                <w:color w:val="auto"/>
                <w:highlight w:val="none"/>
                <w:u w:val="single"/>
              </w:rPr>
              <w:t xml:space="preserve">  </w:t>
            </w:r>
            <w:r>
              <w:rPr>
                <w:rFonts w:hint="eastAsia"/>
                <w:color w:val="auto"/>
                <w:highlight w:val="none"/>
              </w:rPr>
              <w:t>%；</w:t>
            </w:r>
          </w:p>
        </w:tc>
      </w:tr>
    </w:tbl>
    <w:p w14:paraId="353B53E2">
      <w:pPr>
        <w:pStyle w:val="4"/>
        <w:numPr>
          <w:ilvl w:val="0"/>
          <w:numId w:val="0"/>
        </w:numPr>
        <w:ind w:left="0" w:leftChars="0" w:firstLine="400" w:firstLineChars="0"/>
        <w:jc w:val="left"/>
        <w:rPr>
          <w:rFonts w:hint="eastAsia" w:cs="Times New Roman"/>
          <w:color w:val="auto"/>
          <w:highlight w:val="none"/>
        </w:rPr>
      </w:pPr>
      <w:bookmarkStart w:id="8" w:name="_Toc3978"/>
      <w:bookmarkStart w:id="9" w:name="_Toc16219"/>
      <w:bookmarkStart w:id="10" w:name="_Toc12734"/>
      <w:r>
        <w:rPr>
          <w:rFonts w:hint="eastAsia" w:ascii="Arial" w:hAnsi="Arial" w:eastAsia="黑体" w:cs="Times New Roman"/>
          <w:color w:val="auto"/>
          <w:kern w:val="2"/>
          <w:sz w:val="30"/>
          <w:szCs w:val="24"/>
          <w:highlight w:val="none"/>
          <w:lang w:val="en-US" w:eastAsia="zh-CN" w:bidi="ar-SA"/>
        </w:rPr>
        <w:t>二、</w:t>
      </w:r>
      <w:r>
        <w:rPr>
          <w:rFonts w:hint="eastAsia" w:cs="Times New Roman"/>
          <w:color w:val="auto"/>
          <w:highlight w:val="none"/>
        </w:rPr>
        <w:t>采购人的采购需求</w:t>
      </w:r>
      <w:bookmarkEnd w:id="8"/>
      <w:bookmarkEnd w:id="9"/>
      <w:bookmarkEnd w:id="10"/>
    </w:p>
    <w:tbl>
      <w:tblPr>
        <w:tblStyle w:val="36"/>
        <w:tblW w:w="9870" w:type="dxa"/>
        <w:tblInd w:w="183"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658"/>
        <w:gridCol w:w="1755"/>
        <w:gridCol w:w="1856"/>
        <w:gridCol w:w="840"/>
        <w:gridCol w:w="1601"/>
        <w:gridCol w:w="742"/>
        <w:gridCol w:w="758"/>
      </w:tblGrid>
      <w:tr w14:paraId="448A2BA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660" w:type="dxa"/>
            <w:tcBorders>
              <w:tl2br w:val="nil"/>
              <w:tr2bl w:val="nil"/>
            </w:tcBorders>
            <w:shd w:val="pct10" w:color="8DB3E2" w:themeColor="text2" w:themeTint="66" w:fill="DCE6F2" w:themeFill="accent1" w:themeFillTint="32"/>
            <w:vAlign w:val="center"/>
          </w:tcPr>
          <w:p w14:paraId="5CB57D0D">
            <w:pPr>
              <w:pStyle w:val="44"/>
              <w:rPr>
                <w:color w:val="auto"/>
                <w:szCs w:val="22"/>
                <w:highlight w:val="none"/>
              </w:rPr>
            </w:pPr>
            <w:r>
              <w:rPr>
                <w:rFonts w:hint="eastAsia"/>
                <w:color w:val="auto"/>
                <w:szCs w:val="22"/>
                <w:highlight w:val="none"/>
              </w:rPr>
              <w:t>包名</w:t>
            </w:r>
          </w:p>
        </w:tc>
        <w:tc>
          <w:tcPr>
            <w:tcW w:w="1658" w:type="dxa"/>
            <w:tcBorders>
              <w:tl2br w:val="nil"/>
              <w:tr2bl w:val="nil"/>
            </w:tcBorders>
            <w:shd w:val="pct10" w:color="8DB3E2" w:themeColor="text2" w:themeTint="66" w:fill="DCE6F2" w:themeFill="accent1" w:themeFillTint="32"/>
            <w:vAlign w:val="center"/>
          </w:tcPr>
          <w:p w14:paraId="13DC4413">
            <w:pPr>
              <w:pStyle w:val="44"/>
              <w:rPr>
                <w:color w:val="auto"/>
                <w:szCs w:val="22"/>
                <w:highlight w:val="none"/>
              </w:rPr>
            </w:pPr>
            <w:r>
              <w:rPr>
                <w:rFonts w:hint="eastAsia"/>
                <w:color w:val="auto"/>
                <w:szCs w:val="22"/>
                <w:highlight w:val="none"/>
              </w:rPr>
              <w:t>最高限价（元）</w:t>
            </w:r>
          </w:p>
        </w:tc>
        <w:tc>
          <w:tcPr>
            <w:tcW w:w="1755" w:type="dxa"/>
            <w:tcBorders>
              <w:tl2br w:val="nil"/>
              <w:tr2bl w:val="nil"/>
            </w:tcBorders>
            <w:shd w:val="pct10" w:color="8DB3E2" w:themeColor="text2" w:themeTint="66" w:fill="DCE6F2" w:themeFill="accent1" w:themeFillTint="32"/>
            <w:vAlign w:val="center"/>
          </w:tcPr>
          <w:p w14:paraId="3B300F36">
            <w:pPr>
              <w:pStyle w:val="44"/>
              <w:rPr>
                <w:color w:val="auto"/>
                <w:szCs w:val="22"/>
                <w:highlight w:val="none"/>
              </w:rPr>
            </w:pPr>
            <w:r>
              <w:rPr>
                <w:color w:val="auto"/>
                <w:szCs w:val="22"/>
                <w:highlight w:val="none"/>
              </w:rPr>
              <w:t>标的名称</w:t>
            </w:r>
          </w:p>
        </w:tc>
        <w:tc>
          <w:tcPr>
            <w:tcW w:w="1856" w:type="dxa"/>
            <w:tcBorders>
              <w:tl2br w:val="nil"/>
              <w:tr2bl w:val="nil"/>
            </w:tcBorders>
            <w:shd w:val="pct10" w:color="8DB3E2" w:themeColor="text2" w:themeTint="66" w:fill="DCE6F2" w:themeFill="accent1" w:themeFillTint="32"/>
            <w:vAlign w:val="center"/>
          </w:tcPr>
          <w:p w14:paraId="4DF63A10">
            <w:pPr>
              <w:pStyle w:val="44"/>
              <w:rPr>
                <w:color w:val="auto"/>
                <w:szCs w:val="22"/>
                <w:highlight w:val="none"/>
              </w:rPr>
            </w:pPr>
            <w:r>
              <w:rPr>
                <w:rFonts w:hint="eastAsia"/>
                <w:color w:val="auto"/>
                <w:szCs w:val="22"/>
                <w:highlight w:val="none"/>
              </w:rPr>
              <w:t>简要技术要求</w:t>
            </w:r>
          </w:p>
        </w:tc>
        <w:tc>
          <w:tcPr>
            <w:tcW w:w="840" w:type="dxa"/>
            <w:tcBorders>
              <w:tl2br w:val="nil"/>
              <w:tr2bl w:val="nil"/>
            </w:tcBorders>
            <w:shd w:val="pct10" w:color="8DB3E2" w:themeColor="text2" w:themeTint="66" w:fill="DCE6F2" w:themeFill="accent1" w:themeFillTint="32"/>
            <w:vAlign w:val="center"/>
          </w:tcPr>
          <w:p w14:paraId="413869E0">
            <w:pPr>
              <w:pStyle w:val="44"/>
              <w:rPr>
                <w:color w:val="auto"/>
                <w:szCs w:val="22"/>
                <w:highlight w:val="none"/>
              </w:rPr>
            </w:pPr>
            <w:r>
              <w:rPr>
                <w:rFonts w:hint="eastAsia"/>
                <w:color w:val="auto"/>
                <w:szCs w:val="22"/>
                <w:highlight w:val="none"/>
                <w:shd w:val="clear" w:fill="D6DCE5"/>
              </w:rPr>
              <w:t>数量</w:t>
            </w:r>
          </w:p>
        </w:tc>
        <w:tc>
          <w:tcPr>
            <w:tcW w:w="1601" w:type="dxa"/>
            <w:tcBorders>
              <w:tl2br w:val="nil"/>
              <w:tr2bl w:val="nil"/>
            </w:tcBorders>
            <w:shd w:val="pct10" w:color="8DB3E2" w:themeColor="text2" w:themeTint="66" w:fill="DCE6F2" w:themeFill="accent1" w:themeFillTint="32"/>
            <w:vAlign w:val="center"/>
          </w:tcPr>
          <w:p w14:paraId="4130242D">
            <w:pPr>
              <w:pStyle w:val="44"/>
              <w:rPr>
                <w:color w:val="auto"/>
                <w:szCs w:val="22"/>
                <w:highlight w:val="none"/>
              </w:rPr>
            </w:pPr>
            <w:r>
              <w:rPr>
                <w:rFonts w:hint="eastAsia"/>
                <w:color w:val="auto"/>
                <w:szCs w:val="22"/>
                <w:highlight w:val="none"/>
              </w:rPr>
              <w:t>预算金额（元）</w:t>
            </w:r>
          </w:p>
        </w:tc>
        <w:tc>
          <w:tcPr>
            <w:tcW w:w="742" w:type="dxa"/>
            <w:tcBorders>
              <w:tl2br w:val="nil"/>
              <w:tr2bl w:val="nil"/>
            </w:tcBorders>
            <w:shd w:val="pct10" w:color="8DB3E2" w:themeColor="text2" w:themeTint="66" w:fill="DCE6F2" w:themeFill="accent1" w:themeFillTint="32"/>
            <w:vAlign w:val="center"/>
          </w:tcPr>
          <w:p w14:paraId="17580A08">
            <w:pPr>
              <w:pStyle w:val="44"/>
              <w:rPr>
                <w:color w:val="auto"/>
                <w:szCs w:val="22"/>
                <w:highlight w:val="none"/>
              </w:rPr>
            </w:pPr>
            <w:r>
              <w:rPr>
                <w:rFonts w:hint="eastAsia"/>
                <w:color w:val="auto"/>
                <w:szCs w:val="22"/>
                <w:highlight w:val="none"/>
              </w:rPr>
              <w:t>节能产品</w:t>
            </w:r>
          </w:p>
        </w:tc>
        <w:tc>
          <w:tcPr>
            <w:tcW w:w="758" w:type="dxa"/>
            <w:tcBorders>
              <w:tl2br w:val="nil"/>
              <w:tr2bl w:val="nil"/>
            </w:tcBorders>
            <w:shd w:val="pct10" w:color="8DB3E2" w:themeColor="text2" w:themeTint="66" w:fill="DCE6F2" w:themeFill="accent1" w:themeFillTint="32"/>
            <w:vAlign w:val="center"/>
          </w:tcPr>
          <w:p w14:paraId="6F73C323">
            <w:pPr>
              <w:pStyle w:val="44"/>
              <w:rPr>
                <w:color w:val="auto"/>
                <w:szCs w:val="22"/>
                <w:highlight w:val="none"/>
              </w:rPr>
            </w:pPr>
            <w:r>
              <w:rPr>
                <w:rFonts w:hint="eastAsia"/>
                <w:color w:val="auto"/>
                <w:szCs w:val="22"/>
                <w:highlight w:val="none"/>
              </w:rPr>
              <w:t>进口产品</w:t>
            </w:r>
          </w:p>
        </w:tc>
      </w:tr>
      <w:tr w14:paraId="6D79EC5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tcBorders>
              <w:tl2br w:val="nil"/>
              <w:tr2bl w:val="nil"/>
            </w:tcBorders>
            <w:vAlign w:val="center"/>
          </w:tcPr>
          <w:p w14:paraId="059E68C4">
            <w:pPr>
              <w:pStyle w:val="59"/>
              <w:numPr>
                <w:ilvl w:val="0"/>
                <w:numId w:val="0"/>
              </w:numPr>
              <w:bidi w:val="0"/>
              <w:spacing w:line="480" w:lineRule="auto"/>
              <w:ind w:left="0" w:leftChars="0" w:firstLine="0" w:firstLineChars="0"/>
              <w:jc w:val="center"/>
              <w:rPr>
                <w:rFonts w:hint="eastAsia"/>
                <w:b/>
                <w:bCs w:val="0"/>
                <w:color w:val="auto"/>
                <w:highlight w:val="none"/>
                <w:lang w:val="en-US" w:eastAsia="zh-CN"/>
              </w:rPr>
            </w:pPr>
            <w:r>
              <w:rPr>
                <w:rFonts w:hint="eastAsia" w:ascii="微软雅黑" w:hAnsi="微软雅黑" w:eastAsia="微软雅黑" w:cs="微软雅黑"/>
                <w:b w:val="0"/>
                <w:bCs w:val="0"/>
                <w:i w:val="0"/>
                <w:iCs w:val="0"/>
                <w:sz w:val="22"/>
                <w:szCs w:val="21"/>
                <w:vertAlign w:val="baseline"/>
                <w:lang w:val="en-US" w:eastAsia="zh-CN"/>
              </w:rPr>
              <w:t>包1</w:t>
            </w:r>
          </w:p>
        </w:tc>
        <w:tc>
          <w:tcPr>
            <w:tcW w:w="1658" w:type="dxa"/>
            <w:tcBorders>
              <w:tl2br w:val="nil"/>
              <w:tr2bl w:val="nil"/>
            </w:tcBorders>
            <w:vAlign w:val="center"/>
          </w:tcPr>
          <w:p w14:paraId="2C7CD893">
            <w:pPr>
              <w:pStyle w:val="48"/>
              <w:rPr>
                <w:rFonts w:hint="eastAsia" w:ascii="Times New Roman" w:hAnsi="Times New Roman" w:cs="Times New Roman"/>
                <w:b/>
                <w:bCs w:val="0"/>
                <w:color w:val="auto"/>
                <w:highlight w:val="none"/>
                <w:lang w:val="en-US" w:eastAsia="zh-CN"/>
              </w:rPr>
            </w:pPr>
            <w:r>
              <w:rPr>
                <w:rFonts w:hint="eastAsia" w:cs="Times New Roman"/>
                <w:b/>
                <w:bCs w:val="0"/>
                <w:color w:val="auto"/>
                <w:highlight w:val="none"/>
                <w:lang w:val="en-US" w:eastAsia="zh-CN"/>
              </w:rPr>
              <w:t>635382.00</w:t>
            </w:r>
          </w:p>
        </w:tc>
        <w:tc>
          <w:tcPr>
            <w:tcW w:w="1755" w:type="dxa"/>
            <w:tcBorders>
              <w:tl2br w:val="nil"/>
              <w:tr2bl w:val="nil"/>
            </w:tcBorders>
            <w:vAlign w:val="center"/>
          </w:tcPr>
          <w:p w14:paraId="675F92AB">
            <w:pPr>
              <w:pStyle w:val="58"/>
              <w:keepNext w:val="0"/>
              <w:keepLines w:val="0"/>
              <w:pageBreakBefore w:val="0"/>
              <w:widowControl/>
              <w:numPr>
                <w:ilvl w:val="0"/>
                <w:numId w:val="0"/>
              </w:numPr>
              <w:tabs>
                <w:tab w:val="clear" w:pos="0"/>
              </w:tabs>
              <w:kinsoku/>
              <w:wordWrap/>
              <w:overflowPunct/>
              <w:topLinePunct w:val="0"/>
              <w:autoSpaceDE/>
              <w:autoSpaceDN/>
              <w:bidi w:val="0"/>
              <w:adjustRightInd/>
              <w:snapToGrid/>
              <w:spacing w:line="300" w:lineRule="exact"/>
              <w:ind w:left="0" w:leftChars="0" w:right="-55" w:rightChars="-23" w:firstLine="0" w:firstLineChars="0"/>
              <w:jc w:val="center"/>
              <w:textAlignment w:val="auto"/>
              <w:rPr>
                <w:rFonts w:hint="eastAsia" w:eastAsia="微软雅黑"/>
                <w:b/>
                <w:bCs w:val="0"/>
                <w:color w:val="auto"/>
                <w:highlight w:val="none"/>
                <w:lang w:val="en-US" w:eastAsia="zh-CN"/>
              </w:rPr>
            </w:pPr>
            <w:r>
              <w:rPr>
                <w:rFonts w:hint="eastAsia" w:cs="Times New Roman"/>
                <w:color w:val="auto"/>
                <w:highlight w:val="none"/>
                <w:lang w:val="en-US" w:eastAsia="zh-CN"/>
              </w:rPr>
              <w:t>实验室试剂耗材及DNA样本检测</w:t>
            </w:r>
          </w:p>
        </w:tc>
        <w:tc>
          <w:tcPr>
            <w:tcW w:w="1856" w:type="dxa"/>
            <w:tcBorders>
              <w:tl2br w:val="nil"/>
              <w:tr2bl w:val="nil"/>
            </w:tcBorders>
            <w:vAlign w:val="center"/>
          </w:tcPr>
          <w:p w14:paraId="158DC815">
            <w:pPr>
              <w:rPr>
                <w:rFonts w:hint="eastAsia"/>
                <w:b/>
                <w:bCs w:val="0"/>
                <w:color w:val="auto"/>
                <w:highlight w:val="none"/>
              </w:rPr>
            </w:pPr>
            <w:r>
              <w:rPr>
                <w:rFonts w:hint="eastAsia"/>
                <w:b/>
                <w:bCs w:val="0"/>
                <w:color w:val="auto"/>
                <w:highlight w:val="none"/>
              </w:rPr>
              <w:t>详见</w:t>
            </w:r>
            <w:r>
              <w:rPr>
                <w:rFonts w:hint="eastAsia"/>
                <w:b/>
                <w:bCs w:val="0"/>
                <w:color w:val="auto"/>
                <w:highlight w:val="none"/>
                <w:lang w:val="en-US" w:eastAsia="zh-CN"/>
              </w:rPr>
              <w:t>项目</w:t>
            </w:r>
            <w:r>
              <w:rPr>
                <w:rFonts w:hint="eastAsia"/>
                <w:b/>
                <w:bCs w:val="0"/>
                <w:color w:val="auto"/>
                <w:highlight w:val="none"/>
              </w:rPr>
              <w:t>需求</w:t>
            </w:r>
          </w:p>
        </w:tc>
        <w:tc>
          <w:tcPr>
            <w:tcW w:w="840" w:type="dxa"/>
            <w:tcBorders>
              <w:tl2br w:val="nil"/>
              <w:tr2bl w:val="nil"/>
            </w:tcBorders>
            <w:vAlign w:val="center"/>
          </w:tcPr>
          <w:p w14:paraId="2C88F64E">
            <w:pPr>
              <w:pStyle w:val="58"/>
              <w:numPr>
                <w:ilvl w:val="0"/>
                <w:numId w:val="0"/>
              </w:numPr>
              <w:tabs>
                <w:tab w:val="clear" w:pos="0"/>
              </w:tabs>
              <w:bidi w:val="0"/>
              <w:ind w:left="240" w:leftChars="100" w:right="-55" w:rightChars="-23" w:firstLine="0" w:firstLineChars="0"/>
              <w:jc w:val="both"/>
              <w:rPr>
                <w:rFonts w:hint="eastAsia"/>
                <w:b/>
                <w:bCs w:val="0"/>
                <w:color w:val="auto"/>
                <w:highlight w:val="none"/>
                <w:lang w:val="en-US" w:eastAsia="zh-CN"/>
              </w:rPr>
            </w:pPr>
            <w:r>
              <w:rPr>
                <w:rFonts w:hint="eastAsia" w:ascii="微软雅黑" w:hAnsi="微软雅黑" w:cs="微软雅黑"/>
                <w:i w:val="0"/>
                <w:iCs w:val="0"/>
                <w:u w:val="none"/>
                <w:lang w:val="en-US" w:eastAsia="zh-CN"/>
              </w:rPr>
              <w:t>1批</w:t>
            </w:r>
          </w:p>
        </w:tc>
        <w:tc>
          <w:tcPr>
            <w:tcW w:w="1601" w:type="dxa"/>
            <w:tcBorders>
              <w:tl2br w:val="nil"/>
              <w:tr2bl w:val="nil"/>
            </w:tcBorders>
            <w:vAlign w:val="center"/>
          </w:tcPr>
          <w:p w14:paraId="3A2CC6C2">
            <w:pPr>
              <w:pStyle w:val="48"/>
              <w:rPr>
                <w:rFonts w:hint="eastAsia"/>
                <w:b/>
                <w:bCs w:val="0"/>
                <w:color w:val="auto"/>
                <w:highlight w:val="none"/>
                <w:lang w:val="en-US" w:eastAsia="zh-CN"/>
              </w:rPr>
            </w:pPr>
            <w:r>
              <w:rPr>
                <w:rFonts w:hint="eastAsia" w:cs="Times New Roman"/>
                <w:b/>
                <w:bCs w:val="0"/>
                <w:color w:val="auto"/>
                <w:highlight w:val="none"/>
                <w:lang w:val="en-US" w:eastAsia="zh-CN"/>
              </w:rPr>
              <w:t>635382.00</w:t>
            </w:r>
          </w:p>
        </w:tc>
        <w:tc>
          <w:tcPr>
            <w:tcW w:w="742" w:type="dxa"/>
            <w:tcBorders>
              <w:tl2br w:val="nil"/>
              <w:tr2bl w:val="nil"/>
            </w:tcBorders>
            <w:vAlign w:val="center"/>
          </w:tcPr>
          <w:p w14:paraId="02DEFFFB">
            <w:pPr>
              <w:pStyle w:val="48"/>
              <w:rPr>
                <w:rFonts w:hint="eastAsia"/>
                <w:b/>
                <w:bCs w:val="0"/>
                <w:color w:val="auto"/>
                <w:highlight w:val="none"/>
              </w:rPr>
            </w:pPr>
            <w:r>
              <w:rPr>
                <w:rFonts w:ascii="宋体" w:hAnsi="宋体" w:eastAsia="宋体" w:cs="宋体"/>
                <w:color w:val="auto"/>
                <w:kern w:val="0"/>
                <w:sz w:val="24"/>
                <w:szCs w:val="24"/>
                <w:highlight w:val="none"/>
                <w:lang w:val="en-US" w:eastAsia="zh-CN" w:bidi="ar"/>
              </w:rPr>
              <w:sym w:font="Wingdings" w:char="00A8"/>
            </w:r>
          </w:p>
        </w:tc>
        <w:tc>
          <w:tcPr>
            <w:tcW w:w="758" w:type="dxa"/>
            <w:tcBorders>
              <w:tl2br w:val="nil"/>
              <w:tr2bl w:val="nil"/>
            </w:tcBorders>
            <w:vAlign w:val="center"/>
          </w:tcPr>
          <w:p w14:paraId="49BEFC50">
            <w:pPr>
              <w:pStyle w:val="58"/>
              <w:numPr>
                <w:ilvl w:val="0"/>
                <w:numId w:val="0"/>
              </w:numPr>
              <w:tabs>
                <w:tab w:val="clear" w:pos="0"/>
              </w:tabs>
              <w:bidi w:val="0"/>
              <w:ind w:left="240" w:leftChars="100" w:right="-55" w:rightChars="-23" w:firstLine="0" w:firstLineChars="0"/>
              <w:jc w:val="center"/>
              <w:rPr>
                <w:rFonts w:hint="eastAsia"/>
                <w:b/>
                <w:bCs w:val="0"/>
                <w:color w:val="auto"/>
                <w:highlight w:val="none"/>
              </w:rPr>
            </w:pPr>
            <w:r>
              <w:rPr>
                <w:rFonts w:ascii="宋体" w:hAnsi="宋体" w:eastAsia="宋体" w:cs="宋体"/>
                <w:color w:val="auto"/>
                <w:kern w:val="0"/>
                <w:sz w:val="24"/>
                <w:szCs w:val="24"/>
                <w:highlight w:val="none"/>
                <w:lang w:val="en-US" w:eastAsia="zh-CN" w:bidi="ar"/>
              </w:rPr>
              <w:sym w:font="Wingdings" w:char="00A8"/>
            </w:r>
          </w:p>
        </w:tc>
      </w:tr>
    </w:tbl>
    <w:p w14:paraId="043E3B27">
      <w:pPr>
        <w:pStyle w:val="45"/>
        <w:spacing w:before="240" w:line="240" w:lineRule="auto"/>
        <w:ind w:firstLine="480"/>
        <w:rPr>
          <w:rFonts w:hint="eastAsia"/>
          <w:color w:val="auto"/>
          <w:highlight w:val="none"/>
        </w:rPr>
      </w:pPr>
    </w:p>
    <w:p w14:paraId="57A4AB35">
      <w:pPr>
        <w:pStyle w:val="45"/>
        <w:spacing w:before="240" w:line="240" w:lineRule="auto"/>
        <w:ind w:firstLine="480"/>
        <w:rPr>
          <w:color w:val="auto"/>
          <w:highlight w:val="none"/>
        </w:rPr>
      </w:pPr>
      <w:r>
        <w:rPr>
          <w:rFonts w:hint="eastAsia"/>
          <w:color w:val="auto"/>
          <w:highlight w:val="none"/>
        </w:rPr>
        <w:t>说明：</w:t>
      </w:r>
    </w:p>
    <w:p w14:paraId="3B47FE94">
      <w:pPr>
        <w:pStyle w:val="45"/>
        <w:numPr>
          <w:ilvl w:val="0"/>
          <w:numId w:val="5"/>
        </w:numPr>
        <w:spacing w:before="240" w:line="240" w:lineRule="auto"/>
        <w:ind w:firstLine="480"/>
        <w:rPr>
          <w:color w:val="auto"/>
          <w:highlight w:val="none"/>
        </w:rPr>
      </w:pPr>
      <w:r>
        <w:rPr>
          <w:rFonts w:hint="eastAsia"/>
          <w:color w:val="auto"/>
          <w:highlight w:val="none"/>
        </w:rPr>
        <w:t>节能产品实行强制采购的，需提供国家认证机构出具的、处于有效期内的节能产品证书。</w:t>
      </w:r>
    </w:p>
    <w:p w14:paraId="1E1AE78A">
      <w:pPr>
        <w:pStyle w:val="45"/>
        <w:numPr>
          <w:ilvl w:val="0"/>
          <w:numId w:val="5"/>
        </w:numPr>
        <w:spacing w:before="240" w:line="240" w:lineRule="auto"/>
        <w:ind w:firstLine="480"/>
        <w:rPr>
          <w:color w:val="auto"/>
          <w:highlight w:val="none"/>
        </w:rPr>
      </w:pPr>
      <w:r>
        <w:rPr>
          <w:rFonts w:hint="eastAsia"/>
          <w:color w:val="auto"/>
          <w:highlight w:val="none"/>
        </w:rPr>
        <w:t>同意购买进口产品的，不限制满足采购需求的国内产品参与竞争性谈判。</w:t>
      </w:r>
    </w:p>
    <w:p w14:paraId="335A1CDA">
      <w:pPr>
        <w:keepNext w:val="0"/>
        <w:keepLines w:val="0"/>
        <w:pageBreakBefore w:val="0"/>
        <w:widowControl/>
        <w:suppressLineNumbers w:val="0"/>
        <w:pBdr>
          <w:left w:val="none" w:color="auto" w:sz="0" w:space="0"/>
        </w:pBdr>
        <w:kinsoku/>
        <w:wordWrap/>
        <w:overflowPunct/>
        <w:topLinePunct w:val="0"/>
        <w:autoSpaceDE/>
        <w:autoSpaceDN/>
        <w:bidi w:val="0"/>
        <w:spacing w:beforeAutospacing="0" w:line="420" w:lineRule="atLeast"/>
        <w:ind w:left="319" w:leftChars="133" w:firstLine="0" w:firstLineChars="0"/>
        <w:jc w:val="left"/>
        <w:outlineLvl w:val="1"/>
        <w:rPr>
          <w:rFonts w:hint="eastAsia" w:ascii="Arial" w:hAnsi="Arial" w:eastAsia="黑体" w:cs="Times New Roman"/>
          <w:color w:val="auto"/>
          <w:kern w:val="2"/>
          <w:sz w:val="30"/>
          <w:szCs w:val="24"/>
          <w:highlight w:val="none"/>
          <w:lang w:val="en-US" w:eastAsia="zh-CN" w:bidi="ar-SA"/>
        </w:rPr>
      </w:pPr>
      <w:bookmarkStart w:id="11" w:name="_Toc26953"/>
      <w:bookmarkStart w:id="12" w:name="_Toc31494"/>
      <w:r>
        <w:rPr>
          <w:rFonts w:hint="eastAsia" w:ascii="Arial" w:hAnsi="Arial" w:eastAsia="黑体" w:cs="Times New Roman"/>
          <w:color w:val="auto"/>
          <w:kern w:val="2"/>
          <w:sz w:val="30"/>
          <w:szCs w:val="24"/>
          <w:highlight w:val="none"/>
          <w:lang w:val="en-US" w:eastAsia="zh-CN" w:bidi="ar-SA"/>
        </w:rPr>
        <w:t>三、中标供应商的确定</w:t>
      </w:r>
    </w:p>
    <w:p w14:paraId="62A60D27">
      <w:pPr>
        <w:pStyle w:val="45"/>
        <w:spacing w:before="240"/>
        <w:ind w:firstLine="480"/>
        <w:rPr>
          <w:rFonts w:hint="eastAsia" w:cs="Times New Roman"/>
          <w:color w:val="auto"/>
          <w:kern w:val="2"/>
          <w:sz w:val="24"/>
          <w:szCs w:val="22"/>
          <w:highlight w:val="none"/>
          <w:lang w:val="en-US" w:eastAsia="zh-CN" w:bidi="ar-SA"/>
        </w:rPr>
      </w:pPr>
      <w:bookmarkStart w:id="13" w:name="_Toc14428"/>
      <w:r>
        <w:rPr>
          <w:rFonts w:hint="eastAsia" w:cs="Times New Roman"/>
          <w:color w:val="auto"/>
          <w:kern w:val="2"/>
          <w:sz w:val="24"/>
          <w:szCs w:val="22"/>
          <w:highlight w:val="none"/>
          <w:lang w:val="en-US" w:eastAsia="zh-CN" w:bidi="ar-SA"/>
        </w:rPr>
        <w:t>1、本项目报价采用（减价）多轮报价方式，且设置保留价（底价）。</w:t>
      </w:r>
    </w:p>
    <w:p w14:paraId="05075FF0">
      <w:pPr>
        <w:pStyle w:val="45"/>
        <w:spacing w:before="240"/>
        <w:ind w:firstLine="480"/>
        <w:rPr>
          <w:rFonts w:hint="eastAsia" w:ascii="Times New Roman" w:hAnsi="Times New Roman" w:eastAsia="宋体" w:cs="Times New Roman"/>
          <w:color w:val="auto"/>
          <w:kern w:val="2"/>
          <w:sz w:val="24"/>
          <w:szCs w:val="22"/>
          <w:highlight w:val="none"/>
          <w:lang w:val="en-US" w:eastAsia="zh-CN" w:bidi="ar-SA"/>
        </w:rPr>
      </w:pPr>
      <w:r>
        <w:rPr>
          <w:rFonts w:hint="eastAsia" w:cs="Times New Roman"/>
          <w:color w:val="auto"/>
          <w:kern w:val="2"/>
          <w:sz w:val="24"/>
          <w:szCs w:val="22"/>
          <w:highlight w:val="none"/>
          <w:lang w:val="en-US" w:eastAsia="zh-CN" w:bidi="ar-SA"/>
        </w:rPr>
        <w:t>2、</w:t>
      </w:r>
      <w:r>
        <w:rPr>
          <w:rFonts w:hint="eastAsia" w:ascii="Times New Roman" w:hAnsi="Times New Roman" w:eastAsia="宋体" w:cs="Times New Roman"/>
          <w:color w:val="auto"/>
          <w:kern w:val="2"/>
          <w:sz w:val="24"/>
          <w:szCs w:val="22"/>
          <w:highlight w:val="none"/>
          <w:lang w:val="en-US" w:eastAsia="zh-CN" w:bidi="ar-SA"/>
        </w:rPr>
        <w:t>采用公开招标最低评标价法和竞争性谈判方式的项目，评标委员会、谈判小组应当根据通过资格审核和符合性审查的供应商的报价，按照报价由低到高的顺序推荐3个中标、成交候选人，并编写评审报告。第一中标、成交候选人的报价应当等于或者小于保留价。采购人应当按照评审报告推荐的中标、成交候选人的顺序确定中标、成交供应商。</w:t>
      </w:r>
    </w:p>
    <w:p w14:paraId="0B1F56E3">
      <w:pPr>
        <w:pStyle w:val="45"/>
        <w:spacing w:before="240"/>
        <w:ind w:firstLine="480"/>
        <w:rPr>
          <w:rFonts w:hint="eastAsia" w:ascii="Times New Roman" w:hAnsi="Times New Roman" w:eastAsia="宋体" w:cs="Times New Roman"/>
          <w:color w:val="auto"/>
          <w:kern w:val="2"/>
          <w:sz w:val="24"/>
          <w:szCs w:val="22"/>
          <w:highlight w:val="none"/>
          <w:lang w:val="en-US" w:eastAsia="zh-CN" w:bidi="ar-SA"/>
        </w:rPr>
      </w:pPr>
      <w:r>
        <w:rPr>
          <w:rFonts w:hint="eastAsia" w:cs="Times New Roman"/>
          <w:color w:val="auto"/>
          <w:kern w:val="2"/>
          <w:sz w:val="24"/>
          <w:szCs w:val="22"/>
          <w:highlight w:val="none"/>
          <w:lang w:val="en-US" w:eastAsia="zh-CN" w:bidi="ar-SA"/>
        </w:rPr>
        <w:t>3、</w:t>
      </w:r>
      <w:r>
        <w:rPr>
          <w:rFonts w:hint="eastAsia" w:ascii="Times New Roman" w:hAnsi="Times New Roman" w:eastAsia="宋体" w:cs="Times New Roman"/>
          <w:color w:val="auto"/>
          <w:kern w:val="2"/>
          <w:sz w:val="24"/>
          <w:szCs w:val="22"/>
          <w:highlight w:val="none"/>
          <w:lang w:val="en-US" w:eastAsia="zh-CN" w:bidi="ar-SA"/>
        </w:rPr>
        <w:t>若第一中标、成交候选人主动放弃或者未按照采购文件要求提交履约保证金或者未按时与采购人签订合同而被取消资格后，第二中标、成交候选人同意按照高于第一中标、成交候选人一个减价幅度的报价的，则第二中标、成交候选人应当确定为中标、成交供应商。</w:t>
      </w:r>
    </w:p>
    <w:p w14:paraId="0B89F729">
      <w:pPr>
        <w:pStyle w:val="45"/>
        <w:spacing w:before="240"/>
        <w:ind w:firstLine="480"/>
        <w:rPr>
          <w:rFonts w:hint="eastAsia" w:ascii="Times New Roman" w:hAnsi="Times New Roman" w:eastAsia="宋体" w:cs="Times New Roman"/>
          <w:color w:val="auto"/>
          <w:kern w:val="2"/>
          <w:sz w:val="24"/>
          <w:szCs w:val="22"/>
          <w:highlight w:val="none"/>
          <w:lang w:val="en-US" w:eastAsia="zh-CN" w:bidi="ar-SA"/>
        </w:rPr>
      </w:pPr>
      <w:r>
        <w:rPr>
          <w:rFonts w:hint="eastAsia" w:cs="Times New Roman"/>
          <w:color w:val="auto"/>
          <w:kern w:val="2"/>
          <w:sz w:val="24"/>
          <w:szCs w:val="22"/>
          <w:highlight w:val="none"/>
          <w:lang w:val="en-US" w:eastAsia="zh-CN" w:bidi="ar-SA"/>
        </w:rPr>
        <w:t>4、</w:t>
      </w:r>
      <w:r>
        <w:rPr>
          <w:rFonts w:hint="eastAsia" w:ascii="Times New Roman" w:hAnsi="Times New Roman" w:eastAsia="宋体" w:cs="Times New Roman"/>
          <w:color w:val="auto"/>
          <w:kern w:val="2"/>
          <w:sz w:val="24"/>
          <w:szCs w:val="22"/>
          <w:highlight w:val="none"/>
          <w:lang w:val="en-US" w:eastAsia="zh-CN" w:bidi="ar-SA"/>
        </w:rPr>
        <w:t>若第二中标、成交候选人不接受此成交条件，第三中标、成交候选人同意按照高于第一中标、成交候选人一个减价幅度的报价的，则第三中标、成交候选人应当确定为中标、成交供应商。</w:t>
      </w:r>
    </w:p>
    <w:p w14:paraId="48DB207F">
      <w:pPr>
        <w:pStyle w:val="45"/>
        <w:spacing w:before="240"/>
        <w:ind w:firstLine="480"/>
        <w:rPr>
          <w:rFonts w:hint="eastAsia" w:ascii="Times New Roman" w:hAnsi="Times New Roman" w:eastAsia="宋体" w:cs="Times New Roman"/>
          <w:color w:val="auto"/>
          <w:kern w:val="2"/>
          <w:sz w:val="24"/>
          <w:szCs w:val="22"/>
          <w:highlight w:val="none"/>
          <w:lang w:val="en-US" w:eastAsia="zh-CN" w:bidi="ar-SA"/>
        </w:rPr>
      </w:pPr>
      <w:r>
        <w:rPr>
          <w:rFonts w:hint="eastAsia" w:cs="Times New Roman"/>
          <w:color w:val="auto"/>
          <w:kern w:val="2"/>
          <w:sz w:val="24"/>
          <w:szCs w:val="22"/>
          <w:highlight w:val="none"/>
          <w:lang w:val="en-US" w:eastAsia="zh-CN" w:bidi="ar-SA"/>
        </w:rPr>
        <w:t>5、</w:t>
      </w:r>
      <w:r>
        <w:rPr>
          <w:rFonts w:hint="eastAsia" w:ascii="Times New Roman" w:hAnsi="Times New Roman" w:eastAsia="宋体" w:cs="Times New Roman"/>
          <w:color w:val="auto"/>
          <w:kern w:val="2"/>
          <w:sz w:val="24"/>
          <w:szCs w:val="22"/>
          <w:highlight w:val="none"/>
          <w:lang w:val="en-US" w:eastAsia="zh-CN" w:bidi="ar-SA"/>
        </w:rPr>
        <w:t>若3个中标、成交候选人均不接受此成交条件，采购人应当重新组织采购活动。</w:t>
      </w:r>
    </w:p>
    <w:p w14:paraId="788A967B">
      <w:pPr>
        <w:keepNext w:val="0"/>
        <w:keepLines w:val="0"/>
        <w:pageBreakBefore w:val="0"/>
        <w:widowControl/>
        <w:suppressLineNumbers w:val="0"/>
        <w:pBdr>
          <w:left w:val="none" w:color="auto" w:sz="0" w:space="0"/>
        </w:pBdr>
        <w:kinsoku/>
        <w:wordWrap/>
        <w:overflowPunct/>
        <w:topLinePunct w:val="0"/>
        <w:autoSpaceDE/>
        <w:autoSpaceDN/>
        <w:bidi w:val="0"/>
        <w:spacing w:beforeAutospacing="0" w:line="420" w:lineRule="atLeast"/>
        <w:ind w:left="319" w:leftChars="133" w:firstLine="0" w:firstLineChars="0"/>
        <w:jc w:val="left"/>
        <w:rPr>
          <w:rFonts w:hint="eastAsia" w:ascii="Arial" w:hAnsi="Arial" w:eastAsia="黑体" w:cs="Times New Roman"/>
          <w:color w:val="auto"/>
          <w:kern w:val="2"/>
          <w:sz w:val="30"/>
          <w:szCs w:val="24"/>
          <w:highlight w:val="none"/>
          <w:lang w:val="en-US" w:eastAsia="zh-CN" w:bidi="ar-SA"/>
        </w:rPr>
      </w:pPr>
      <w:r>
        <w:rPr>
          <w:rFonts w:hint="eastAsia" w:ascii="Arial" w:hAnsi="Arial" w:eastAsia="黑体" w:cs="Times New Roman"/>
          <w:color w:val="auto"/>
          <w:kern w:val="2"/>
          <w:sz w:val="30"/>
          <w:szCs w:val="24"/>
          <w:highlight w:val="none"/>
          <w:lang w:val="en-US" w:eastAsia="zh-CN" w:bidi="ar-SA"/>
        </w:rPr>
        <w:t>四、网上报价起始价、保证金、报价幅度要求</w:t>
      </w:r>
      <w:bookmarkEnd w:id="13"/>
    </w:p>
    <w:tbl>
      <w:tblPr>
        <w:tblStyle w:val="35"/>
        <w:tblW w:w="9870"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2659"/>
        <w:gridCol w:w="1754"/>
        <w:gridCol w:w="2024"/>
        <w:gridCol w:w="2231"/>
        <w:gridCol w:w="1202"/>
      </w:tblGrid>
      <w:tr w14:paraId="16D3AEB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743" w:hRule="atLeast"/>
        </w:trPr>
        <w:tc>
          <w:tcPr>
            <w:tcW w:w="2659" w:type="dxa"/>
            <w:tcBorders>
              <w:tl2br w:val="nil"/>
              <w:tr2bl w:val="nil"/>
            </w:tcBorders>
            <w:shd w:val="pct10" w:color="ADB9CA" w:fill="D6DCE5"/>
            <w:tcMar>
              <w:top w:w="0" w:type="dxa"/>
              <w:left w:w="84" w:type="dxa"/>
              <w:bottom w:w="0" w:type="dxa"/>
              <w:right w:w="84" w:type="dxa"/>
            </w:tcMar>
            <w:vAlign w:val="center"/>
          </w:tcPr>
          <w:p w14:paraId="678F8D0A">
            <w:pPr>
              <w:pStyle w:val="48"/>
              <w:pageBreakBefore w:val="0"/>
              <w:kinsoku/>
              <w:wordWrap/>
              <w:overflowPunct/>
              <w:topLinePunct w:val="0"/>
              <w:autoSpaceDE/>
              <w:autoSpaceDN/>
              <w:bidi w:val="0"/>
              <w:ind w:left="0" w:leftChars="0"/>
              <w:rPr>
                <w:color w:val="auto"/>
                <w:highlight w:val="none"/>
              </w:rPr>
            </w:pPr>
            <w:r>
              <w:rPr>
                <w:rFonts w:hint="eastAsia"/>
                <w:color w:val="auto"/>
                <w:highlight w:val="none"/>
                <w:lang w:val="en-US" w:eastAsia="zh-CN"/>
              </w:rPr>
              <w:t>采购</w:t>
            </w:r>
            <w:r>
              <w:rPr>
                <w:rFonts w:hint="eastAsia"/>
                <w:color w:val="auto"/>
                <w:highlight w:val="none"/>
              </w:rPr>
              <w:t>项目名称</w:t>
            </w:r>
          </w:p>
        </w:tc>
        <w:tc>
          <w:tcPr>
            <w:tcW w:w="1754" w:type="dxa"/>
            <w:tcBorders>
              <w:tl2br w:val="nil"/>
              <w:tr2bl w:val="nil"/>
            </w:tcBorders>
            <w:shd w:val="pct10" w:color="ADB9CA" w:fill="D6DCE5"/>
            <w:tcMar>
              <w:top w:w="0" w:type="dxa"/>
              <w:left w:w="84" w:type="dxa"/>
              <w:bottom w:w="0" w:type="dxa"/>
              <w:right w:w="84" w:type="dxa"/>
            </w:tcMar>
            <w:vAlign w:val="center"/>
          </w:tcPr>
          <w:p w14:paraId="54F7BC95">
            <w:pPr>
              <w:pStyle w:val="48"/>
              <w:pageBreakBefore w:val="0"/>
              <w:kinsoku/>
              <w:wordWrap/>
              <w:overflowPunct/>
              <w:topLinePunct w:val="0"/>
              <w:autoSpaceDE/>
              <w:autoSpaceDN/>
              <w:bidi w:val="0"/>
              <w:ind w:left="0" w:leftChars="0"/>
              <w:rPr>
                <w:rFonts w:hint="eastAsia"/>
                <w:color w:val="auto"/>
                <w:highlight w:val="none"/>
              </w:rPr>
            </w:pPr>
            <w:r>
              <w:rPr>
                <w:rFonts w:hint="eastAsia"/>
                <w:color w:val="auto"/>
                <w:highlight w:val="none"/>
                <w:lang w:val="en-US" w:eastAsia="zh-CN"/>
              </w:rPr>
              <w:t>报价</w:t>
            </w:r>
            <w:r>
              <w:rPr>
                <w:rFonts w:hint="eastAsia"/>
                <w:color w:val="auto"/>
                <w:highlight w:val="none"/>
              </w:rPr>
              <w:t>起始价</w:t>
            </w:r>
          </w:p>
          <w:p w14:paraId="431D8D14">
            <w:pPr>
              <w:pStyle w:val="48"/>
              <w:pageBreakBefore w:val="0"/>
              <w:kinsoku/>
              <w:wordWrap/>
              <w:overflowPunct/>
              <w:topLinePunct w:val="0"/>
              <w:autoSpaceDE/>
              <w:autoSpaceDN/>
              <w:bidi w:val="0"/>
              <w:ind w:left="0" w:leftChars="0"/>
              <w:rPr>
                <w:color w:val="auto"/>
                <w:highlight w:val="none"/>
              </w:rPr>
            </w:pPr>
            <w:r>
              <w:rPr>
                <w:rFonts w:hint="eastAsia"/>
                <w:color w:val="auto"/>
                <w:highlight w:val="none"/>
              </w:rPr>
              <w:t>（元）</w:t>
            </w:r>
          </w:p>
        </w:tc>
        <w:tc>
          <w:tcPr>
            <w:tcW w:w="2024" w:type="dxa"/>
            <w:tcBorders>
              <w:tl2br w:val="nil"/>
              <w:tr2bl w:val="nil"/>
            </w:tcBorders>
            <w:shd w:val="pct10" w:color="ADB9CA" w:fill="D6DCE5"/>
            <w:tcMar>
              <w:top w:w="0" w:type="dxa"/>
              <w:left w:w="84" w:type="dxa"/>
              <w:bottom w:w="0" w:type="dxa"/>
              <w:right w:w="84" w:type="dxa"/>
            </w:tcMar>
            <w:vAlign w:val="center"/>
          </w:tcPr>
          <w:p w14:paraId="587D9B7B">
            <w:pPr>
              <w:pStyle w:val="48"/>
              <w:pageBreakBefore w:val="0"/>
              <w:kinsoku/>
              <w:wordWrap/>
              <w:overflowPunct/>
              <w:topLinePunct w:val="0"/>
              <w:autoSpaceDE/>
              <w:autoSpaceDN/>
              <w:bidi w:val="0"/>
              <w:ind w:left="0" w:leftChars="0"/>
              <w:rPr>
                <w:color w:val="auto"/>
                <w:highlight w:val="none"/>
              </w:rPr>
            </w:pPr>
            <w:r>
              <w:rPr>
                <w:rFonts w:hint="eastAsia"/>
                <w:color w:val="auto"/>
                <w:highlight w:val="none"/>
              </w:rPr>
              <w:t>保证金（元）</w:t>
            </w:r>
          </w:p>
        </w:tc>
        <w:tc>
          <w:tcPr>
            <w:tcW w:w="2231" w:type="dxa"/>
            <w:tcBorders>
              <w:tl2br w:val="nil"/>
              <w:tr2bl w:val="nil"/>
            </w:tcBorders>
            <w:shd w:val="pct10" w:color="ADB9CA" w:fill="D6DCE5"/>
            <w:tcMar>
              <w:top w:w="0" w:type="dxa"/>
              <w:left w:w="84" w:type="dxa"/>
              <w:bottom w:w="0" w:type="dxa"/>
              <w:right w:w="84" w:type="dxa"/>
            </w:tcMar>
            <w:vAlign w:val="center"/>
          </w:tcPr>
          <w:p w14:paraId="029A3A8E">
            <w:pPr>
              <w:pStyle w:val="48"/>
              <w:pageBreakBefore w:val="0"/>
              <w:kinsoku/>
              <w:wordWrap/>
              <w:overflowPunct/>
              <w:topLinePunct w:val="0"/>
              <w:autoSpaceDE/>
              <w:autoSpaceDN/>
              <w:bidi w:val="0"/>
              <w:ind w:left="0" w:leftChars="0"/>
              <w:rPr>
                <w:color w:val="auto"/>
                <w:highlight w:val="none"/>
              </w:rPr>
            </w:pPr>
            <w:r>
              <w:rPr>
                <w:rFonts w:hint="eastAsia"/>
                <w:color w:val="auto"/>
                <w:highlight w:val="none"/>
                <w:lang w:val="en-US" w:eastAsia="zh-CN"/>
              </w:rPr>
              <w:t>报价</w:t>
            </w:r>
            <w:r>
              <w:rPr>
                <w:rFonts w:hint="eastAsia"/>
                <w:color w:val="auto"/>
                <w:highlight w:val="none"/>
              </w:rPr>
              <w:t>（减价）幅度（元）</w:t>
            </w:r>
          </w:p>
        </w:tc>
        <w:tc>
          <w:tcPr>
            <w:tcW w:w="1202" w:type="dxa"/>
            <w:tcBorders>
              <w:tl2br w:val="nil"/>
              <w:tr2bl w:val="nil"/>
            </w:tcBorders>
            <w:shd w:val="pct10" w:color="ADB9CA" w:fill="D6DCE5"/>
            <w:tcMar>
              <w:top w:w="0" w:type="dxa"/>
              <w:left w:w="84" w:type="dxa"/>
              <w:bottom w:w="0" w:type="dxa"/>
              <w:right w:w="84" w:type="dxa"/>
            </w:tcMar>
            <w:vAlign w:val="center"/>
          </w:tcPr>
          <w:p w14:paraId="73F8B8FB">
            <w:pPr>
              <w:pStyle w:val="48"/>
              <w:pageBreakBefore w:val="0"/>
              <w:kinsoku/>
              <w:wordWrap/>
              <w:overflowPunct/>
              <w:topLinePunct w:val="0"/>
              <w:autoSpaceDE/>
              <w:autoSpaceDN/>
              <w:bidi w:val="0"/>
              <w:ind w:left="0" w:leftChars="0"/>
              <w:rPr>
                <w:color w:val="auto"/>
                <w:highlight w:val="none"/>
              </w:rPr>
            </w:pPr>
            <w:r>
              <w:rPr>
                <w:rFonts w:hint="eastAsia"/>
                <w:color w:val="auto"/>
                <w:highlight w:val="none"/>
              </w:rPr>
              <w:t>备注</w:t>
            </w:r>
          </w:p>
        </w:tc>
      </w:tr>
      <w:tr w14:paraId="36E139D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657" w:hRule="atLeast"/>
        </w:trPr>
        <w:tc>
          <w:tcPr>
            <w:tcW w:w="2659" w:type="dxa"/>
            <w:tcBorders>
              <w:tl2br w:val="nil"/>
              <w:tr2bl w:val="nil"/>
            </w:tcBorders>
            <w:tcMar>
              <w:top w:w="0" w:type="dxa"/>
              <w:left w:w="84" w:type="dxa"/>
              <w:bottom w:w="0" w:type="dxa"/>
              <w:right w:w="84" w:type="dxa"/>
            </w:tcMar>
            <w:vAlign w:val="center"/>
          </w:tcPr>
          <w:p w14:paraId="632C8A19">
            <w:pPr>
              <w:pStyle w:val="58"/>
              <w:keepNext w:val="0"/>
              <w:keepLines w:val="0"/>
              <w:pageBreakBefore w:val="0"/>
              <w:widowControl/>
              <w:numPr>
                <w:ilvl w:val="0"/>
                <w:numId w:val="0"/>
              </w:numPr>
              <w:tabs>
                <w:tab w:val="clear" w:pos="0"/>
              </w:tabs>
              <w:kinsoku/>
              <w:wordWrap/>
              <w:overflowPunct/>
              <w:topLinePunct w:val="0"/>
              <w:autoSpaceDE/>
              <w:autoSpaceDN/>
              <w:bidi w:val="0"/>
              <w:adjustRightInd/>
              <w:snapToGrid/>
              <w:spacing w:line="300" w:lineRule="exact"/>
              <w:ind w:left="0" w:leftChars="0" w:right="-55" w:rightChars="-23" w:firstLine="0" w:firstLineChars="0"/>
              <w:jc w:val="center"/>
              <w:textAlignment w:val="auto"/>
              <w:rPr>
                <w:rFonts w:hint="eastAsia" w:eastAsia="微软雅黑"/>
                <w:b/>
                <w:bCs w:val="0"/>
                <w:color w:val="auto"/>
                <w:highlight w:val="none"/>
                <w:lang w:val="en-US" w:eastAsia="zh-CN"/>
              </w:rPr>
            </w:pPr>
            <w:bookmarkStart w:id="14" w:name="_Toc5136"/>
            <w:r>
              <w:rPr>
                <w:rFonts w:hint="eastAsia" w:cs="Times New Roman"/>
                <w:color w:val="auto"/>
                <w:highlight w:val="none"/>
                <w:lang w:val="en-US" w:eastAsia="zh-CN"/>
              </w:rPr>
              <w:t>2026年度市公安局公安科学技术大队实验室试剂耗材及DNA样本检测项目</w:t>
            </w:r>
          </w:p>
        </w:tc>
        <w:tc>
          <w:tcPr>
            <w:tcW w:w="1754" w:type="dxa"/>
            <w:tcBorders>
              <w:tl2br w:val="nil"/>
              <w:tr2bl w:val="nil"/>
            </w:tcBorders>
            <w:tcMar>
              <w:top w:w="0" w:type="dxa"/>
              <w:left w:w="84" w:type="dxa"/>
              <w:bottom w:w="0" w:type="dxa"/>
              <w:right w:w="84" w:type="dxa"/>
            </w:tcMar>
            <w:vAlign w:val="center"/>
          </w:tcPr>
          <w:p w14:paraId="4ECECC17">
            <w:pPr>
              <w:pStyle w:val="48"/>
              <w:rPr>
                <w:rFonts w:hint="eastAsia"/>
                <w:b/>
                <w:bCs w:val="0"/>
                <w:color w:val="auto"/>
                <w:highlight w:val="none"/>
                <w:lang w:val="en-US" w:eastAsia="zh-CN"/>
              </w:rPr>
            </w:pPr>
            <w:r>
              <w:rPr>
                <w:rFonts w:hint="eastAsia" w:cs="Times New Roman"/>
                <w:b/>
                <w:bCs w:val="0"/>
                <w:color w:val="auto"/>
                <w:highlight w:val="none"/>
                <w:lang w:val="en-US" w:eastAsia="zh-CN"/>
              </w:rPr>
              <w:t>635382.00</w:t>
            </w:r>
          </w:p>
        </w:tc>
        <w:tc>
          <w:tcPr>
            <w:tcW w:w="2024" w:type="dxa"/>
            <w:tcBorders>
              <w:tl2br w:val="nil"/>
              <w:tr2bl w:val="nil"/>
            </w:tcBorders>
            <w:tcMar>
              <w:top w:w="0" w:type="dxa"/>
              <w:left w:w="84" w:type="dxa"/>
              <w:bottom w:w="0" w:type="dxa"/>
              <w:right w:w="84" w:type="dxa"/>
            </w:tcMar>
            <w:vAlign w:val="center"/>
          </w:tcPr>
          <w:p w14:paraId="33535176">
            <w:pPr>
              <w:pageBreakBefore w:val="0"/>
              <w:kinsoku/>
              <w:wordWrap/>
              <w:overflowPunct/>
              <w:topLinePunct w:val="0"/>
              <w:autoSpaceDE/>
              <w:autoSpaceDN/>
              <w:bidi w:val="0"/>
              <w:ind w:left="0" w:leftChars="0"/>
              <w:jc w:val="center"/>
              <w:rPr>
                <w:rFonts w:hint="eastAsia"/>
                <w:b/>
                <w:bCs w:val="0"/>
                <w:color w:val="auto"/>
                <w:highlight w:val="none"/>
                <w:u w:val="none"/>
                <w:lang w:val="en-US" w:eastAsia="zh-CN"/>
              </w:rPr>
            </w:pPr>
            <w:r>
              <w:rPr>
                <w:rFonts w:hint="eastAsia"/>
                <w:b/>
                <w:bCs w:val="0"/>
                <w:color w:val="auto"/>
                <w:highlight w:val="none"/>
                <w:u w:val="none"/>
                <w:lang w:val="en-US" w:eastAsia="zh-CN"/>
              </w:rPr>
              <w:t>1</w:t>
            </w:r>
          </w:p>
        </w:tc>
        <w:tc>
          <w:tcPr>
            <w:tcW w:w="2231" w:type="dxa"/>
            <w:tcBorders>
              <w:tl2br w:val="nil"/>
              <w:tr2bl w:val="nil"/>
            </w:tcBorders>
            <w:tcMar>
              <w:top w:w="0" w:type="dxa"/>
              <w:left w:w="84" w:type="dxa"/>
              <w:bottom w:w="0" w:type="dxa"/>
              <w:right w:w="84" w:type="dxa"/>
            </w:tcMar>
            <w:vAlign w:val="center"/>
          </w:tcPr>
          <w:p w14:paraId="4248ED41">
            <w:pPr>
              <w:pStyle w:val="48"/>
              <w:pageBreakBefore w:val="0"/>
              <w:kinsoku/>
              <w:wordWrap/>
              <w:overflowPunct/>
              <w:topLinePunct w:val="0"/>
              <w:autoSpaceDE/>
              <w:autoSpaceDN/>
              <w:bidi w:val="0"/>
              <w:ind w:left="0" w:leftChars="0"/>
              <w:jc w:val="center"/>
              <w:rPr>
                <w:rFonts w:hint="eastAsia"/>
                <w:b/>
                <w:bCs w:val="0"/>
                <w:color w:val="auto"/>
                <w:highlight w:val="none"/>
                <w:lang w:val="en-US" w:eastAsia="zh-CN"/>
              </w:rPr>
            </w:pPr>
            <w:r>
              <w:rPr>
                <w:rFonts w:hint="eastAsia"/>
                <w:b/>
                <w:bCs w:val="0"/>
                <w:color w:val="auto"/>
                <w:highlight w:val="none"/>
                <w:lang w:val="en-US" w:eastAsia="zh-CN"/>
              </w:rPr>
              <w:t>6400及其整数倍</w:t>
            </w:r>
          </w:p>
        </w:tc>
        <w:tc>
          <w:tcPr>
            <w:tcW w:w="1202" w:type="dxa"/>
            <w:tcBorders>
              <w:tl2br w:val="nil"/>
              <w:tr2bl w:val="nil"/>
            </w:tcBorders>
            <w:tcMar>
              <w:top w:w="0" w:type="dxa"/>
              <w:left w:w="84" w:type="dxa"/>
              <w:bottom w:w="0" w:type="dxa"/>
              <w:right w:w="84" w:type="dxa"/>
            </w:tcMar>
            <w:vAlign w:val="center"/>
          </w:tcPr>
          <w:p w14:paraId="304C6545">
            <w:pPr>
              <w:pStyle w:val="48"/>
              <w:pageBreakBefore w:val="0"/>
              <w:kinsoku/>
              <w:wordWrap/>
              <w:overflowPunct/>
              <w:topLinePunct w:val="0"/>
              <w:autoSpaceDE/>
              <w:autoSpaceDN/>
              <w:bidi w:val="0"/>
              <w:ind w:left="0" w:leftChars="0"/>
              <w:rPr>
                <w:b/>
                <w:bCs w:val="0"/>
                <w:color w:val="auto"/>
                <w:highlight w:val="none"/>
              </w:rPr>
            </w:pPr>
          </w:p>
        </w:tc>
      </w:tr>
    </w:tbl>
    <w:p w14:paraId="119425D8">
      <w:pPr>
        <w:pStyle w:val="4"/>
        <w:numPr>
          <w:ilvl w:val="0"/>
          <w:numId w:val="0"/>
        </w:numPr>
        <w:ind w:left="0" w:leftChars="0" w:firstLine="400" w:firstLineChars="0"/>
        <w:jc w:val="left"/>
        <w:rPr>
          <w:rFonts w:hint="eastAsia" w:cs="Times New Roman"/>
          <w:color w:val="auto"/>
          <w:highlight w:val="none"/>
        </w:rPr>
      </w:pPr>
      <w:r>
        <w:rPr>
          <w:rFonts w:hint="eastAsia" w:cs="Times New Roman"/>
          <w:color w:val="auto"/>
          <w:kern w:val="2"/>
          <w:sz w:val="30"/>
          <w:szCs w:val="24"/>
          <w:highlight w:val="none"/>
          <w:lang w:val="en-US" w:eastAsia="zh-CN" w:bidi="ar-SA"/>
        </w:rPr>
        <w:t>五</w:t>
      </w:r>
      <w:r>
        <w:rPr>
          <w:rFonts w:hint="eastAsia" w:ascii="Arial" w:hAnsi="Arial" w:eastAsia="黑体" w:cs="Times New Roman"/>
          <w:color w:val="auto"/>
          <w:kern w:val="2"/>
          <w:sz w:val="30"/>
          <w:szCs w:val="24"/>
          <w:highlight w:val="none"/>
          <w:lang w:val="en-US" w:eastAsia="zh-CN" w:bidi="ar-SA"/>
        </w:rPr>
        <w:t>、</w:t>
      </w:r>
      <w:r>
        <w:rPr>
          <w:rFonts w:hint="eastAsia" w:cs="Times New Roman"/>
          <w:color w:val="auto"/>
          <w:highlight w:val="none"/>
        </w:rPr>
        <w:t>供应商的资格要求</w:t>
      </w:r>
      <w:bookmarkEnd w:id="11"/>
      <w:bookmarkEnd w:id="12"/>
      <w:bookmarkEnd w:id="14"/>
    </w:p>
    <w:p w14:paraId="2BDC60FB">
      <w:pPr>
        <w:pStyle w:val="45"/>
        <w:numPr>
          <w:ilvl w:val="0"/>
          <w:numId w:val="0"/>
        </w:numPr>
        <w:spacing w:before="240" w:line="240" w:lineRule="auto"/>
        <w:ind w:left="0" w:leftChars="0" w:firstLine="480" w:firstLineChars="200"/>
        <w:rPr>
          <w:color w:val="auto"/>
          <w:highlight w:val="none"/>
        </w:rPr>
      </w:pPr>
      <w:r>
        <w:rPr>
          <w:rFonts w:hint="default" w:ascii="Times New Roman" w:hAnsi="Times New Roman" w:eastAsia="宋体" w:cs="Times New Roman"/>
          <w:color w:val="auto"/>
          <w:kern w:val="2"/>
          <w:sz w:val="24"/>
          <w:szCs w:val="22"/>
          <w:highlight w:val="none"/>
          <w:lang w:val="en-US" w:eastAsia="zh-CN" w:bidi="ar-SA"/>
        </w:rPr>
        <w:t>1．</w:t>
      </w:r>
      <w:r>
        <w:rPr>
          <w:rFonts w:hint="eastAsia"/>
          <w:color w:val="auto"/>
          <w:highlight w:val="none"/>
        </w:rPr>
        <w:t>满足《政府采购法》第二十二条第一款的规定。</w:t>
      </w:r>
    </w:p>
    <w:p w14:paraId="1A2D65ED">
      <w:pPr>
        <w:pStyle w:val="45"/>
        <w:numPr>
          <w:ilvl w:val="0"/>
          <w:numId w:val="0"/>
        </w:numPr>
        <w:spacing w:before="240"/>
        <w:ind w:left="0" w:leftChars="0" w:firstLine="480" w:firstLineChars="200"/>
        <w:rPr>
          <w:color w:val="auto"/>
          <w:highlight w:val="none"/>
        </w:rPr>
      </w:pPr>
      <w:r>
        <w:rPr>
          <w:rFonts w:hint="default" w:ascii="Times New Roman" w:hAnsi="Times New Roman" w:eastAsia="宋体" w:cs="Times New Roman"/>
          <w:b w:val="0"/>
          <w:bCs w:val="0"/>
          <w:color w:val="auto"/>
          <w:kern w:val="2"/>
          <w:sz w:val="24"/>
          <w:szCs w:val="22"/>
          <w:highlight w:val="none"/>
          <w:lang w:val="en-US" w:eastAsia="zh-CN" w:bidi="ar-SA"/>
        </w:rPr>
        <w:t>2．</w:t>
      </w:r>
      <w:r>
        <w:rPr>
          <w:rFonts w:hint="eastAsia"/>
          <w:b w:val="0"/>
          <w:bCs w:val="0"/>
          <w:color w:val="auto"/>
          <w:highlight w:val="none"/>
        </w:rPr>
        <w:t>落实政府采购政策需满足的资格要求</w:t>
      </w:r>
      <w:r>
        <w:rPr>
          <w:rFonts w:hint="eastAsia"/>
          <w:color w:val="auto"/>
          <w:highlight w:val="none"/>
        </w:rPr>
        <w:t>：</w:t>
      </w:r>
    </w:p>
    <w:p w14:paraId="7EECE57D">
      <w:pPr>
        <w:pStyle w:val="45"/>
        <w:spacing w:before="240" w:line="240" w:lineRule="auto"/>
        <w:ind w:left="480" w:leftChars="200" w:firstLine="0" w:firstLineChars="0"/>
        <w:rPr>
          <w:b w:val="0"/>
          <w:bCs w:val="0"/>
          <w:color w:val="auto"/>
          <w:highlight w:val="none"/>
        </w:rPr>
      </w:pPr>
      <w:r>
        <w:rPr>
          <w:rFonts w:ascii="宋体" w:hAnsi="宋体" w:eastAsia="宋体" w:cs="宋体"/>
          <w:b w:val="0"/>
          <w:bCs w:val="0"/>
          <w:color w:val="auto"/>
          <w:kern w:val="0"/>
          <w:sz w:val="24"/>
          <w:szCs w:val="24"/>
          <w:highlight w:val="none"/>
          <w:lang w:val="en-US" w:eastAsia="zh-CN" w:bidi="ar"/>
        </w:rPr>
        <w:sym w:font="Wingdings" w:char="00FE"/>
      </w:r>
      <w:r>
        <w:rPr>
          <w:rFonts w:hint="eastAsia"/>
          <w:b w:val="0"/>
          <w:bCs w:val="0"/>
          <w:color w:val="auto"/>
          <w:highlight w:val="none"/>
        </w:rPr>
        <w:t xml:space="preserve">专门面向： </w:t>
      </w:r>
      <w:r>
        <w:rPr>
          <w:rFonts w:ascii="宋体" w:hAnsi="宋体" w:eastAsia="宋体" w:cs="宋体"/>
          <w:b w:val="0"/>
          <w:bCs w:val="0"/>
          <w:color w:val="auto"/>
          <w:kern w:val="0"/>
          <w:sz w:val="24"/>
          <w:szCs w:val="24"/>
          <w:highlight w:val="none"/>
          <w:lang w:val="en-US" w:eastAsia="zh-CN" w:bidi="ar"/>
        </w:rPr>
        <w:sym w:font="Wingdings" w:char="00FE"/>
      </w:r>
      <w:r>
        <w:rPr>
          <w:rFonts w:hint="eastAsia"/>
          <w:b w:val="0"/>
          <w:bCs w:val="0"/>
          <w:color w:val="auto"/>
          <w:highlight w:val="none"/>
        </w:rPr>
        <w:t xml:space="preserve">中小企业 </w:t>
      </w:r>
      <w:r>
        <w:rPr>
          <w:rFonts w:ascii="宋体" w:hAnsi="宋体" w:eastAsia="宋体" w:cs="宋体"/>
          <w:b w:val="0"/>
          <w:bCs w:val="0"/>
          <w:color w:val="auto"/>
          <w:kern w:val="0"/>
          <w:sz w:val="24"/>
          <w:szCs w:val="24"/>
          <w:highlight w:val="none"/>
          <w:lang w:val="en-US" w:eastAsia="zh-CN" w:bidi="ar"/>
        </w:rPr>
        <w:sym w:font="Wingdings" w:char="00A8"/>
      </w:r>
      <w:r>
        <w:rPr>
          <w:rFonts w:hint="eastAsia"/>
          <w:b w:val="0"/>
          <w:bCs w:val="0"/>
          <w:color w:val="auto"/>
          <w:highlight w:val="none"/>
        </w:rPr>
        <w:t xml:space="preserve">小微企业 </w:t>
      </w:r>
      <w:r>
        <w:rPr>
          <w:rFonts w:ascii="宋体" w:hAnsi="宋体" w:eastAsia="宋体" w:cs="宋体"/>
          <w:b w:val="0"/>
          <w:bCs w:val="0"/>
          <w:color w:val="auto"/>
          <w:kern w:val="0"/>
          <w:sz w:val="24"/>
          <w:szCs w:val="24"/>
          <w:highlight w:val="none"/>
          <w:lang w:val="en-US" w:eastAsia="zh-CN" w:bidi="ar"/>
        </w:rPr>
        <w:sym w:font="Wingdings" w:char="00A8"/>
      </w:r>
      <w:r>
        <w:rPr>
          <w:rFonts w:hint="eastAsia"/>
          <w:b w:val="0"/>
          <w:bCs w:val="0"/>
          <w:color w:val="auto"/>
          <w:highlight w:val="none"/>
        </w:rPr>
        <w:t xml:space="preserve">监狱企业 </w:t>
      </w:r>
      <w:r>
        <w:rPr>
          <w:rFonts w:ascii="宋体" w:hAnsi="宋体" w:eastAsia="宋体" w:cs="宋体"/>
          <w:b w:val="0"/>
          <w:bCs w:val="0"/>
          <w:color w:val="auto"/>
          <w:kern w:val="0"/>
          <w:sz w:val="24"/>
          <w:szCs w:val="24"/>
          <w:highlight w:val="none"/>
          <w:lang w:val="en-US" w:eastAsia="zh-CN" w:bidi="ar"/>
        </w:rPr>
        <w:sym w:font="Wingdings" w:char="00A8"/>
      </w:r>
      <w:r>
        <w:rPr>
          <w:rFonts w:hint="eastAsia"/>
          <w:b w:val="0"/>
          <w:bCs w:val="0"/>
          <w:color w:val="auto"/>
          <w:highlight w:val="none"/>
        </w:rPr>
        <w:t>福利性单位</w:t>
      </w:r>
    </w:p>
    <w:p w14:paraId="695B1FC3">
      <w:pPr>
        <w:pStyle w:val="45"/>
        <w:spacing w:before="240" w:line="240" w:lineRule="auto"/>
        <w:ind w:left="480" w:leftChars="200" w:firstLine="0" w:firstLineChars="0"/>
        <w:rPr>
          <w:b w:val="0"/>
          <w:bCs w:val="0"/>
          <w:color w:val="auto"/>
          <w:highlight w:val="none"/>
        </w:rPr>
      </w:pPr>
      <w:r>
        <w:rPr>
          <w:rFonts w:ascii="宋体" w:hAnsi="宋体" w:eastAsia="宋体" w:cs="宋体"/>
          <w:b w:val="0"/>
          <w:bCs w:val="0"/>
          <w:color w:val="auto"/>
          <w:kern w:val="0"/>
          <w:sz w:val="24"/>
          <w:szCs w:val="24"/>
          <w:highlight w:val="none"/>
          <w:lang w:val="en-US" w:eastAsia="zh-CN" w:bidi="ar"/>
        </w:rPr>
        <w:sym w:font="Wingdings" w:char="00A8"/>
      </w:r>
      <w:r>
        <w:rPr>
          <w:rFonts w:hint="eastAsia"/>
          <w:b w:val="0"/>
          <w:bCs w:val="0"/>
          <w:color w:val="auto"/>
          <w:highlight w:val="none"/>
        </w:rPr>
        <w:t>强制分包：大型企业应将采购份额的</w:t>
      </w:r>
      <w:r>
        <w:rPr>
          <w:rFonts w:hint="eastAsia"/>
          <w:b w:val="0"/>
          <w:bCs w:val="0"/>
          <w:color w:val="auto"/>
          <w:highlight w:val="none"/>
          <w:u w:val="single"/>
        </w:rPr>
        <w:t xml:space="preserve">     </w:t>
      </w:r>
      <w:r>
        <w:rPr>
          <w:rFonts w:hint="eastAsia"/>
          <w:b w:val="0"/>
          <w:bCs w:val="0"/>
          <w:color w:val="auto"/>
          <w:highlight w:val="none"/>
        </w:rPr>
        <w:t>%分包给中小企业。</w:t>
      </w:r>
    </w:p>
    <w:p w14:paraId="213F73BF">
      <w:pPr>
        <w:pStyle w:val="45"/>
        <w:numPr>
          <w:ilvl w:val="0"/>
          <w:numId w:val="0"/>
        </w:numPr>
        <w:spacing w:before="240"/>
        <w:ind w:left="0" w:leftChars="0" w:firstLine="480" w:firstLineChars="200"/>
        <w:outlineLvl w:val="9"/>
        <w:rPr>
          <w:rFonts w:hint="eastAsia"/>
          <w:color w:val="auto"/>
          <w:highlight w:val="none"/>
          <w:lang w:val="en-US" w:eastAsia="zh-CN"/>
        </w:rPr>
      </w:pPr>
      <w:r>
        <w:rPr>
          <w:rFonts w:hint="default" w:ascii="Times New Roman" w:hAnsi="Times New Roman" w:eastAsia="宋体" w:cs="Times New Roman"/>
          <w:color w:val="auto"/>
          <w:kern w:val="2"/>
          <w:sz w:val="24"/>
          <w:szCs w:val="22"/>
          <w:highlight w:val="none"/>
          <w:lang w:val="en-US" w:eastAsia="zh-CN" w:bidi="ar-SA"/>
        </w:rPr>
        <w:t>3．</w:t>
      </w:r>
      <w:r>
        <w:rPr>
          <w:rFonts w:hint="eastAsia"/>
          <w:b/>
          <w:bCs/>
          <w:color w:val="auto"/>
          <w:highlight w:val="none"/>
          <w:lang w:val="en-US" w:eastAsia="zh-CN"/>
        </w:rPr>
        <w:t>供应商特定资格条件</w:t>
      </w:r>
      <w:r>
        <w:rPr>
          <w:rFonts w:hint="eastAsia"/>
          <w:color w:val="auto"/>
          <w:highlight w:val="none"/>
          <w:lang w:val="en-US" w:eastAsia="zh-CN"/>
        </w:rPr>
        <w:t>：</w:t>
      </w:r>
    </w:p>
    <w:p w14:paraId="5688CEEE">
      <w:pPr>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0" w:afterAutospacing="0" w:line="420" w:lineRule="atLeast"/>
        <w:ind w:left="0" w:right="0" w:firstLine="420"/>
        <w:jc w:val="left"/>
        <w:rPr>
          <w:rFonts w:hint="eastAsia" w:asciiTheme="minorEastAsia" w:hAnsiTheme="minorEastAsia" w:eastAsiaTheme="minorEastAsia" w:cstheme="minorEastAsia"/>
          <w:i w:val="0"/>
          <w:iCs w:val="0"/>
          <w:caps w:val="0"/>
          <w:color w:val="auto"/>
          <w:spacing w:val="0"/>
          <w:kern w:val="0"/>
          <w:sz w:val="24"/>
          <w:szCs w:val="24"/>
          <w:lang w:val="en-US" w:eastAsia="zh-CN" w:bidi="ar"/>
        </w:rPr>
      </w:pPr>
      <w:r>
        <w:rPr>
          <w:rFonts w:hint="eastAsia" w:asciiTheme="minorEastAsia" w:hAnsiTheme="minorEastAsia" w:eastAsiaTheme="minorEastAsia" w:cstheme="minorEastAsia"/>
          <w:i w:val="0"/>
          <w:iCs w:val="0"/>
          <w:caps w:val="0"/>
          <w:color w:val="auto"/>
          <w:spacing w:val="0"/>
          <w:kern w:val="0"/>
          <w:sz w:val="24"/>
          <w:szCs w:val="24"/>
          <w:lang w:val="en-US" w:eastAsia="zh-CN" w:bidi="ar"/>
        </w:rPr>
        <w:t>包1:无</w:t>
      </w:r>
    </w:p>
    <w:p w14:paraId="0D22BF2E">
      <w:pPr>
        <w:pStyle w:val="45"/>
        <w:spacing w:before="240"/>
        <w:ind w:firstLine="480"/>
        <w:rPr>
          <w:rFonts w:hint="eastAsia"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说明：依据湖南省财政厅关于政府采购促进中小企业发展有关措施的通知（湘财购〔2022〕17号），符合法定条件的供应商凭《湖南省政府采购供应商资格承诺函》（格式见附件）参与政府采购活动，无需提供财务状况、缴纳税收和社会保障资金等资格证明材料。</w:t>
      </w:r>
    </w:p>
    <w:p w14:paraId="5C65B201">
      <w:pPr>
        <w:pStyle w:val="45"/>
        <w:numPr>
          <w:ilvl w:val="0"/>
          <w:numId w:val="0"/>
        </w:numPr>
        <w:spacing w:before="240"/>
        <w:ind w:left="0" w:leftChars="0" w:firstLine="480" w:firstLineChars="200"/>
        <w:rPr>
          <w:color w:val="auto"/>
          <w:highlight w:val="none"/>
        </w:rPr>
      </w:pPr>
      <w:r>
        <w:rPr>
          <w:rFonts w:hint="default" w:ascii="Times New Roman" w:hAnsi="Times New Roman" w:eastAsia="宋体" w:cs="Times New Roman"/>
          <w:color w:val="auto"/>
          <w:kern w:val="2"/>
          <w:sz w:val="24"/>
          <w:szCs w:val="22"/>
          <w:highlight w:val="none"/>
          <w:lang w:val="en-US" w:eastAsia="zh-CN" w:bidi="ar-SA"/>
        </w:rPr>
        <w:t>4．</w:t>
      </w:r>
      <w:r>
        <w:rPr>
          <w:rFonts w:hint="eastAsia"/>
          <w:color w:val="auto"/>
          <w:highlight w:val="none"/>
        </w:rPr>
        <w:t>单位负责人为同一人或者存在直接控股、管理关系的不同供应商，不得参加同一合同项下的政府采购活动。</w:t>
      </w:r>
    </w:p>
    <w:p w14:paraId="3E3DD56B">
      <w:pPr>
        <w:pStyle w:val="45"/>
        <w:numPr>
          <w:ilvl w:val="0"/>
          <w:numId w:val="0"/>
        </w:numPr>
        <w:spacing w:before="240"/>
        <w:ind w:left="0" w:leftChars="0" w:firstLine="480" w:firstLineChars="200"/>
        <w:rPr>
          <w:color w:val="auto"/>
          <w:highlight w:val="none"/>
        </w:rPr>
      </w:pPr>
      <w:r>
        <w:rPr>
          <w:rFonts w:hint="default" w:ascii="Times New Roman" w:hAnsi="Times New Roman" w:eastAsia="宋体" w:cs="Times New Roman"/>
          <w:color w:val="auto"/>
          <w:kern w:val="2"/>
          <w:sz w:val="24"/>
          <w:szCs w:val="22"/>
          <w:highlight w:val="none"/>
          <w:lang w:val="en-US" w:eastAsia="zh-CN" w:bidi="ar-SA"/>
        </w:rPr>
        <w:t>5．</w:t>
      </w:r>
      <w:r>
        <w:rPr>
          <w:rFonts w:hint="eastAsia"/>
          <w:color w:val="auto"/>
          <w:highlight w:val="none"/>
        </w:rPr>
        <w:t>为本采购项目提供整体设计、规范编制或者项目管理、监理、检测等服务的，不得再参加此项目的其他采购活动。</w:t>
      </w:r>
    </w:p>
    <w:p w14:paraId="0D7687EA">
      <w:pPr>
        <w:pStyle w:val="45"/>
        <w:numPr>
          <w:ilvl w:val="0"/>
          <w:numId w:val="0"/>
        </w:numPr>
        <w:spacing w:before="240"/>
        <w:ind w:left="0" w:leftChars="0" w:firstLine="480" w:firstLineChars="200"/>
        <w:rPr>
          <w:color w:val="auto"/>
          <w:highlight w:val="none"/>
        </w:rPr>
      </w:pPr>
      <w:r>
        <w:rPr>
          <w:rFonts w:hint="default" w:ascii="Times New Roman" w:hAnsi="Times New Roman" w:eastAsia="宋体" w:cs="Times New Roman"/>
          <w:color w:val="auto"/>
          <w:kern w:val="2"/>
          <w:sz w:val="24"/>
          <w:szCs w:val="22"/>
          <w:highlight w:val="none"/>
          <w:lang w:val="en-US" w:eastAsia="zh-CN" w:bidi="ar-SA"/>
        </w:rPr>
        <w:t>6．</w:t>
      </w:r>
      <w:r>
        <w:rPr>
          <w:rFonts w:hint="eastAsia"/>
          <w:color w:val="auto"/>
          <w:highlight w:val="none"/>
        </w:rPr>
        <w:t>列入失信被执行人、重大税收违法失信主体名单、政府采购严重违法失信行为记录名单的，拒绝其参与政府采购活动。</w:t>
      </w:r>
    </w:p>
    <w:p w14:paraId="0E13E659">
      <w:pPr>
        <w:pStyle w:val="45"/>
        <w:numPr>
          <w:ilvl w:val="0"/>
          <w:numId w:val="0"/>
        </w:numPr>
        <w:spacing w:before="240"/>
        <w:ind w:left="0" w:leftChars="0" w:firstLine="480" w:firstLineChars="200"/>
        <w:outlineLvl w:val="9"/>
        <w:rPr>
          <w:color w:val="auto"/>
          <w:highlight w:val="none"/>
        </w:rPr>
      </w:pPr>
      <w:r>
        <w:rPr>
          <w:rFonts w:hint="default" w:ascii="Times New Roman" w:hAnsi="Times New Roman" w:eastAsia="宋体" w:cs="Times New Roman"/>
          <w:color w:val="auto"/>
          <w:kern w:val="2"/>
          <w:sz w:val="24"/>
          <w:szCs w:val="22"/>
          <w:highlight w:val="none"/>
          <w:lang w:val="en-US" w:eastAsia="zh-CN" w:bidi="ar-SA"/>
        </w:rPr>
        <w:t>7．</w:t>
      </w:r>
      <w:r>
        <w:rPr>
          <w:rFonts w:hint="eastAsia"/>
          <w:color w:val="auto"/>
          <w:highlight w:val="none"/>
        </w:rPr>
        <w:t>联合体响应。本次响应不接受联合体响应。</w:t>
      </w:r>
    </w:p>
    <w:p w14:paraId="1C7F4103">
      <w:pPr>
        <w:pStyle w:val="4"/>
        <w:numPr>
          <w:ilvl w:val="0"/>
          <w:numId w:val="0"/>
        </w:numPr>
        <w:ind w:left="0" w:leftChars="0" w:firstLine="400" w:firstLineChars="0"/>
        <w:jc w:val="left"/>
        <w:rPr>
          <w:rFonts w:hint="eastAsia" w:cs="Times New Roman"/>
          <w:color w:val="auto"/>
          <w:highlight w:val="none"/>
        </w:rPr>
      </w:pPr>
      <w:bookmarkStart w:id="15" w:name="_Toc31804"/>
      <w:bookmarkStart w:id="16" w:name="_Toc38"/>
      <w:r>
        <w:rPr>
          <w:rFonts w:hint="eastAsia" w:cs="Times New Roman"/>
          <w:color w:val="auto"/>
          <w:kern w:val="2"/>
          <w:sz w:val="30"/>
          <w:szCs w:val="24"/>
          <w:highlight w:val="none"/>
          <w:lang w:val="en-US" w:eastAsia="zh-CN" w:bidi="ar-SA"/>
        </w:rPr>
        <w:t>六</w:t>
      </w:r>
      <w:r>
        <w:rPr>
          <w:rFonts w:hint="eastAsia" w:ascii="Arial" w:hAnsi="Arial" w:eastAsia="黑体" w:cs="Times New Roman"/>
          <w:color w:val="auto"/>
          <w:kern w:val="2"/>
          <w:sz w:val="30"/>
          <w:szCs w:val="24"/>
          <w:highlight w:val="none"/>
          <w:lang w:val="en-US" w:eastAsia="zh-CN" w:bidi="ar-SA"/>
        </w:rPr>
        <w:t>、</w:t>
      </w:r>
      <w:r>
        <w:rPr>
          <w:rFonts w:hint="eastAsia" w:cs="Times New Roman"/>
          <w:color w:val="auto"/>
          <w:highlight w:val="none"/>
        </w:rPr>
        <w:t>获取谈判文件的时间、地点及方式</w:t>
      </w:r>
      <w:bookmarkEnd w:id="15"/>
      <w:bookmarkEnd w:id="16"/>
    </w:p>
    <w:p w14:paraId="4A5AFC8C">
      <w:pPr>
        <w:pStyle w:val="45"/>
        <w:spacing w:before="240"/>
        <w:ind w:firstLine="480"/>
        <w:rPr>
          <w:color w:val="auto"/>
          <w:highlight w:val="none"/>
        </w:rPr>
      </w:pPr>
      <w:bookmarkStart w:id="17" w:name="_Toc40166569"/>
      <w:bookmarkStart w:id="18" w:name="_Toc22201059"/>
      <w:r>
        <w:rPr>
          <w:rFonts w:hint="eastAsia"/>
          <w:color w:val="auto"/>
          <w:highlight w:val="none"/>
        </w:rPr>
        <w:t>有意参加</w:t>
      </w:r>
      <w:r>
        <w:rPr>
          <w:rFonts w:hint="eastAsia"/>
          <w:color w:val="auto"/>
          <w:highlight w:val="none"/>
          <w:lang w:val="en-US" w:eastAsia="zh-CN"/>
        </w:rPr>
        <w:t>的供应商</w:t>
      </w:r>
      <w:r>
        <w:rPr>
          <w:rFonts w:hint="eastAsia"/>
          <w:color w:val="auto"/>
          <w:highlight w:val="none"/>
        </w:rPr>
        <w:t>，请于20</w:t>
      </w:r>
      <w:r>
        <w:rPr>
          <w:rFonts w:hint="eastAsia"/>
          <w:color w:val="auto"/>
          <w:highlight w:val="none"/>
          <w:lang w:val="en-US" w:eastAsia="zh-CN"/>
        </w:rPr>
        <w:t>26</w:t>
      </w:r>
      <w:r>
        <w:rPr>
          <w:rFonts w:hint="eastAsia"/>
          <w:color w:val="auto"/>
          <w:highlight w:val="none"/>
        </w:rPr>
        <w:t>年</w:t>
      </w:r>
      <w:r>
        <w:rPr>
          <w:rFonts w:hint="eastAsia"/>
          <w:color w:val="auto"/>
          <w:highlight w:val="none"/>
          <w:lang w:val="en-US" w:eastAsia="zh-CN"/>
        </w:rPr>
        <w:t>7</w:t>
      </w:r>
      <w:r>
        <w:rPr>
          <w:rFonts w:hint="eastAsia"/>
          <w:color w:val="auto"/>
          <w:highlight w:val="none"/>
        </w:rPr>
        <w:t>月</w:t>
      </w:r>
      <w:r>
        <w:rPr>
          <w:rFonts w:hint="eastAsia"/>
          <w:color w:val="auto"/>
          <w:highlight w:val="none"/>
          <w:lang w:val="en-US" w:eastAsia="zh-CN"/>
        </w:rPr>
        <w:t>6</w:t>
      </w:r>
      <w:r>
        <w:rPr>
          <w:rFonts w:hint="eastAsia"/>
          <w:color w:val="auto"/>
          <w:highlight w:val="none"/>
        </w:rPr>
        <w:t>日</w:t>
      </w:r>
      <w:r>
        <w:rPr>
          <w:rFonts w:hint="eastAsia"/>
          <w:color w:val="auto"/>
          <w:highlight w:val="none"/>
          <w:lang w:val="en-US" w:eastAsia="zh-CN"/>
        </w:rPr>
        <w:t>12</w:t>
      </w:r>
      <w:r>
        <w:rPr>
          <w:rFonts w:hint="eastAsia"/>
          <w:color w:val="auto"/>
          <w:highlight w:val="none"/>
        </w:rPr>
        <w:t>时00分00秒至2026年7月17日 10时00分00秒在</w:t>
      </w:r>
      <w:r>
        <w:rPr>
          <w:rFonts w:ascii="宋体" w:hAnsi="宋体" w:eastAsia="宋体" w:cs="宋体"/>
          <w:color w:val="auto"/>
          <w:sz w:val="24"/>
          <w:szCs w:val="24"/>
        </w:rPr>
        <w:fldChar w:fldCharType="begin"/>
      </w:r>
      <w:r>
        <w:rPr>
          <w:rFonts w:ascii="宋体" w:hAnsi="宋体" w:eastAsia="宋体" w:cs="宋体"/>
          <w:color w:val="auto"/>
          <w:sz w:val="24"/>
          <w:szCs w:val="24"/>
        </w:rPr>
        <w:instrText xml:space="preserve"> HYPERLINK "https://www.zjjggzy.cn/information/portal/index" </w:instrText>
      </w:r>
      <w:r>
        <w:rPr>
          <w:rFonts w:ascii="宋体" w:hAnsi="宋体" w:eastAsia="宋体" w:cs="宋体"/>
          <w:color w:val="auto"/>
          <w:sz w:val="24"/>
          <w:szCs w:val="24"/>
        </w:rPr>
        <w:fldChar w:fldCharType="separate"/>
      </w:r>
      <w:r>
        <w:rPr>
          <w:rStyle w:val="39"/>
          <w:rFonts w:ascii="宋体" w:hAnsi="宋体" w:eastAsia="宋体" w:cs="宋体"/>
          <w:color w:val="auto"/>
          <w:sz w:val="24"/>
          <w:szCs w:val="24"/>
        </w:rPr>
        <w:t>张家界市公共资源交易信息网-首页</w:t>
      </w:r>
      <w:r>
        <w:rPr>
          <w:rFonts w:ascii="宋体" w:hAnsi="宋体" w:eastAsia="宋体" w:cs="宋体"/>
          <w:color w:val="auto"/>
          <w:sz w:val="24"/>
          <w:szCs w:val="24"/>
        </w:rPr>
        <w:fldChar w:fldCharType="end"/>
      </w:r>
      <w:r>
        <w:rPr>
          <w:rFonts w:hint="eastAsia"/>
          <w:color w:val="auto"/>
          <w:highlight w:val="none"/>
        </w:rPr>
        <w:t>（https://www.zjjggzy.cn/information/portal/index）“</w:t>
      </w:r>
      <w:r>
        <w:rPr>
          <w:rFonts w:hint="eastAsia"/>
          <w:color w:val="auto"/>
          <w:highlight w:val="none"/>
          <w:lang w:val="en-US" w:eastAsia="zh-CN"/>
        </w:rPr>
        <w:t>其他项目</w:t>
      </w:r>
      <w:r>
        <w:rPr>
          <w:rFonts w:hint="eastAsia"/>
          <w:color w:val="auto"/>
          <w:highlight w:val="none"/>
        </w:rPr>
        <w:t>→</w:t>
      </w:r>
      <w:r>
        <w:rPr>
          <w:rFonts w:hint="eastAsia"/>
          <w:color w:val="auto"/>
          <w:highlight w:val="none"/>
          <w:lang w:val="en-US" w:eastAsia="zh-CN"/>
        </w:rPr>
        <w:t>交易</w:t>
      </w:r>
      <w:r>
        <w:rPr>
          <w:rFonts w:hint="eastAsia"/>
          <w:color w:val="auto"/>
          <w:highlight w:val="none"/>
        </w:rPr>
        <w:t>公告”栏进行网上下载/获取</w:t>
      </w:r>
      <w:r>
        <w:rPr>
          <w:rFonts w:hint="eastAsia"/>
          <w:color w:val="auto"/>
          <w:highlight w:val="none"/>
          <w:lang w:eastAsia="zh-CN"/>
        </w:rPr>
        <w:t>谈判文件（</w:t>
      </w:r>
      <w:r>
        <w:rPr>
          <w:rFonts w:hint="eastAsia"/>
          <w:color w:val="auto"/>
          <w:highlight w:val="none"/>
          <w:lang w:val="en-US" w:eastAsia="zh-CN"/>
        </w:rPr>
        <w:t>需要使用</w:t>
      </w:r>
      <w:r>
        <w:rPr>
          <w:rFonts w:hint="eastAsia"/>
          <w:color w:val="auto"/>
          <w:highlight w:val="none"/>
        </w:rPr>
        <w:t>数字证书ukey</w:t>
      </w:r>
      <w:r>
        <w:rPr>
          <w:rFonts w:hint="eastAsia"/>
          <w:color w:val="auto"/>
          <w:highlight w:val="none"/>
          <w:lang w:val="en-US" w:eastAsia="zh-CN"/>
        </w:rPr>
        <w:t>登录并按要求打竞买保证金才算报名有效</w:t>
      </w:r>
      <w:r>
        <w:rPr>
          <w:rFonts w:hint="eastAsia"/>
          <w:color w:val="auto"/>
          <w:highlight w:val="none"/>
          <w:lang w:eastAsia="zh-CN"/>
        </w:rPr>
        <w:t>）</w:t>
      </w:r>
      <w:r>
        <w:rPr>
          <w:rFonts w:hint="eastAsia"/>
          <w:color w:val="auto"/>
          <w:highlight w:val="none"/>
        </w:rPr>
        <w:t>，逾期将不能获取文件。修改、澄清后的</w:t>
      </w:r>
      <w:r>
        <w:rPr>
          <w:rFonts w:hint="eastAsia"/>
          <w:color w:val="auto"/>
          <w:highlight w:val="none"/>
          <w:lang w:val="en-US" w:eastAsia="zh-CN"/>
        </w:rPr>
        <w:t>采购</w:t>
      </w:r>
      <w:r>
        <w:rPr>
          <w:rFonts w:hint="eastAsia"/>
          <w:color w:val="auto"/>
          <w:highlight w:val="none"/>
        </w:rPr>
        <w:t>文件请</w:t>
      </w:r>
      <w:r>
        <w:rPr>
          <w:rFonts w:hint="eastAsia" w:ascii="Times New Roman" w:hAnsi="Times New Roman" w:eastAsia="宋体" w:cs="Times New Roman"/>
          <w:color w:val="auto"/>
          <w:highlight w:val="none"/>
          <w:lang w:val="en-US" w:eastAsia="zh-CN"/>
        </w:rPr>
        <w:t>供应商</w:t>
      </w:r>
      <w:r>
        <w:rPr>
          <w:rFonts w:hint="eastAsia"/>
          <w:color w:val="auto"/>
          <w:highlight w:val="none"/>
        </w:rPr>
        <w:t>按以上方式登录网站自行下载</w:t>
      </w:r>
      <w:r>
        <w:rPr>
          <w:rFonts w:hint="eastAsia"/>
          <w:color w:val="auto"/>
          <w:highlight w:val="none"/>
          <w:lang w:eastAsia="zh-CN"/>
        </w:rPr>
        <w:t>，</w:t>
      </w:r>
      <w:r>
        <w:rPr>
          <w:rFonts w:hint="eastAsia"/>
          <w:color w:val="auto"/>
          <w:highlight w:val="none"/>
        </w:rPr>
        <w:t>恕不另行通知，如有遗漏</w:t>
      </w:r>
      <w:r>
        <w:rPr>
          <w:rFonts w:hint="eastAsia" w:ascii="Times New Roman" w:hAnsi="Times New Roman" w:eastAsia="宋体" w:cs="Times New Roman"/>
          <w:color w:val="auto"/>
          <w:highlight w:val="none"/>
          <w:lang w:val="en-US" w:eastAsia="zh-CN"/>
        </w:rPr>
        <w:t>供应商</w:t>
      </w:r>
      <w:r>
        <w:rPr>
          <w:rFonts w:hint="eastAsia"/>
          <w:color w:val="auto"/>
          <w:highlight w:val="none"/>
        </w:rPr>
        <w:t>自行承担全部责任。本项目采用</w:t>
      </w:r>
      <w:r>
        <w:rPr>
          <w:rFonts w:hint="eastAsia"/>
          <w:color w:val="auto"/>
          <w:highlight w:val="none"/>
          <w:lang w:val="en-US" w:eastAsia="zh-CN"/>
        </w:rPr>
        <w:t>线上</w:t>
      </w:r>
      <w:r>
        <w:rPr>
          <w:rFonts w:hint="eastAsia"/>
          <w:color w:val="auto"/>
          <w:highlight w:val="none"/>
        </w:rPr>
        <w:t>招标投标方式，</w:t>
      </w:r>
      <w:r>
        <w:rPr>
          <w:rFonts w:hint="eastAsia" w:ascii="Times New Roman" w:hAnsi="Times New Roman" w:eastAsia="宋体" w:cs="Times New Roman"/>
          <w:color w:val="auto"/>
          <w:highlight w:val="none"/>
          <w:lang w:val="en-US" w:eastAsia="zh-CN"/>
        </w:rPr>
        <w:t>供应商</w:t>
      </w:r>
      <w:r>
        <w:rPr>
          <w:rFonts w:hint="eastAsia"/>
          <w:color w:val="auto"/>
          <w:highlight w:val="none"/>
        </w:rPr>
        <w:t>须办理数字证书ukey</w:t>
      </w:r>
      <w:r>
        <w:rPr>
          <w:rFonts w:hint="eastAsia"/>
          <w:color w:val="auto"/>
          <w:highlight w:val="none"/>
          <w:lang w:eastAsia="zh-CN"/>
        </w:rPr>
        <w:t>，</w:t>
      </w:r>
      <w:r>
        <w:rPr>
          <w:rFonts w:hint="eastAsia"/>
          <w:color w:val="auto"/>
          <w:highlight w:val="none"/>
        </w:rPr>
        <w:t>在</w:t>
      </w:r>
      <w:r>
        <w:rPr>
          <w:rFonts w:hint="eastAsia"/>
          <w:color w:val="auto"/>
          <w:highlight w:val="none"/>
          <w:lang w:eastAsia="zh-CN"/>
        </w:rPr>
        <w:t>张家界市公共资源交易中心产权交易系统</w:t>
      </w:r>
      <w:r>
        <w:rPr>
          <w:rFonts w:hint="eastAsia"/>
          <w:color w:val="auto"/>
          <w:highlight w:val="none"/>
        </w:rPr>
        <w:t>（</w:t>
      </w:r>
      <w:r>
        <w:rPr>
          <w:rFonts w:hint="eastAsia"/>
          <w:color w:val="auto"/>
          <w:highlight w:val="none"/>
          <w:lang w:eastAsia="zh-CN"/>
        </w:rPr>
        <w:t>https://www.zjjggzy.cn/portal/index</w:t>
      </w:r>
      <w:r>
        <w:rPr>
          <w:rFonts w:hint="eastAsia"/>
          <w:color w:val="auto"/>
          <w:highlight w:val="none"/>
        </w:rPr>
        <w:t>）进行注册登记</w:t>
      </w:r>
      <w:r>
        <w:rPr>
          <w:rFonts w:hint="eastAsia"/>
          <w:color w:val="auto"/>
          <w:highlight w:val="none"/>
          <w:lang w:val="en-US" w:eastAsia="zh-CN"/>
        </w:rPr>
        <w:t>和CA认证</w:t>
      </w:r>
      <w:r>
        <w:rPr>
          <w:rFonts w:hint="eastAsia"/>
          <w:color w:val="auto"/>
          <w:highlight w:val="none"/>
        </w:rPr>
        <w:t>。</w:t>
      </w:r>
    </w:p>
    <w:bookmarkEnd w:id="17"/>
    <w:bookmarkEnd w:id="18"/>
    <w:p w14:paraId="09AA17A3">
      <w:pPr>
        <w:pStyle w:val="4"/>
        <w:numPr>
          <w:ilvl w:val="0"/>
          <w:numId w:val="0"/>
        </w:numPr>
        <w:ind w:left="0" w:leftChars="0" w:firstLine="400" w:firstLineChars="0"/>
        <w:jc w:val="left"/>
        <w:rPr>
          <w:rFonts w:hint="eastAsia" w:cs="Times New Roman"/>
          <w:color w:val="auto"/>
          <w:highlight w:val="none"/>
        </w:rPr>
      </w:pPr>
      <w:bookmarkStart w:id="19" w:name="_Toc5824"/>
      <w:bookmarkStart w:id="20" w:name="_Toc1774"/>
      <w:r>
        <w:rPr>
          <w:rFonts w:hint="eastAsia" w:cs="Times New Roman"/>
          <w:color w:val="auto"/>
          <w:kern w:val="2"/>
          <w:sz w:val="30"/>
          <w:szCs w:val="24"/>
          <w:highlight w:val="none"/>
          <w:lang w:val="en-US" w:eastAsia="zh-CN" w:bidi="ar-SA"/>
        </w:rPr>
        <w:t>七</w:t>
      </w:r>
      <w:r>
        <w:rPr>
          <w:rFonts w:hint="eastAsia" w:ascii="Arial" w:hAnsi="Arial" w:eastAsia="黑体" w:cs="Times New Roman"/>
          <w:color w:val="auto"/>
          <w:kern w:val="2"/>
          <w:sz w:val="30"/>
          <w:szCs w:val="24"/>
          <w:highlight w:val="none"/>
          <w:lang w:val="en-US" w:eastAsia="zh-CN" w:bidi="ar-SA"/>
        </w:rPr>
        <w:t>、</w:t>
      </w:r>
      <w:r>
        <w:rPr>
          <w:rFonts w:hint="eastAsia" w:cs="Times New Roman"/>
          <w:color w:val="auto"/>
          <w:highlight w:val="none"/>
        </w:rPr>
        <w:t>提交首次响应文件的截止时间、谈判时间及地点</w:t>
      </w:r>
      <w:bookmarkEnd w:id="19"/>
      <w:bookmarkEnd w:id="20"/>
    </w:p>
    <w:p w14:paraId="399144A8">
      <w:pPr>
        <w:pStyle w:val="45"/>
        <w:spacing w:before="240"/>
        <w:ind w:firstLine="480"/>
        <w:rPr>
          <w:color w:val="auto"/>
          <w:highlight w:val="none"/>
        </w:rPr>
      </w:pPr>
      <w:bookmarkStart w:id="21" w:name="_Toc22201060"/>
      <w:bookmarkStart w:id="22" w:name="_Toc40166570"/>
      <w:r>
        <w:rPr>
          <w:rFonts w:hint="eastAsia"/>
          <w:color w:val="auto"/>
          <w:highlight w:val="none"/>
        </w:rPr>
        <w:t>1、提交首次响应文件的截止时间：202</w:t>
      </w:r>
      <w:r>
        <w:rPr>
          <w:rFonts w:hint="eastAsia"/>
          <w:color w:val="auto"/>
          <w:highlight w:val="none"/>
          <w:lang w:val="en-US" w:eastAsia="zh-CN"/>
        </w:rPr>
        <w:t>6</w:t>
      </w:r>
      <w:r>
        <w:rPr>
          <w:rFonts w:hint="eastAsia"/>
          <w:color w:val="auto"/>
          <w:highlight w:val="none"/>
        </w:rPr>
        <w:t>年</w:t>
      </w:r>
      <w:r>
        <w:rPr>
          <w:rFonts w:hint="eastAsia"/>
          <w:color w:val="auto"/>
          <w:highlight w:val="none"/>
          <w:lang w:val="en-US" w:eastAsia="zh-CN"/>
        </w:rPr>
        <w:t>7</w:t>
      </w:r>
      <w:r>
        <w:rPr>
          <w:rFonts w:hint="eastAsia"/>
          <w:color w:val="auto"/>
          <w:highlight w:val="none"/>
        </w:rPr>
        <w:t>月</w:t>
      </w:r>
      <w:r>
        <w:rPr>
          <w:rFonts w:hint="eastAsia"/>
          <w:color w:val="auto"/>
          <w:highlight w:val="none"/>
          <w:lang w:val="en-US" w:eastAsia="zh-CN"/>
        </w:rPr>
        <w:t>17</w:t>
      </w:r>
      <w:r>
        <w:rPr>
          <w:rFonts w:hint="eastAsia"/>
          <w:color w:val="auto"/>
          <w:highlight w:val="none"/>
        </w:rPr>
        <w:t>日</w:t>
      </w:r>
      <w:r>
        <w:rPr>
          <w:rFonts w:hint="eastAsia"/>
          <w:color w:val="auto"/>
          <w:highlight w:val="none"/>
          <w:lang w:val="en-US" w:eastAsia="zh-CN"/>
        </w:rPr>
        <w:t>10</w:t>
      </w:r>
      <w:r>
        <w:rPr>
          <w:rFonts w:hint="eastAsia"/>
          <w:color w:val="auto"/>
          <w:highlight w:val="none"/>
        </w:rPr>
        <w:t>时00分（北京时间）</w:t>
      </w:r>
    </w:p>
    <w:p w14:paraId="09FDFC7C">
      <w:pPr>
        <w:pStyle w:val="45"/>
        <w:spacing w:before="240"/>
        <w:ind w:firstLine="480"/>
        <w:outlineLvl w:val="9"/>
        <w:rPr>
          <w:color w:val="auto"/>
          <w:highlight w:val="none"/>
        </w:rPr>
      </w:pPr>
      <w:r>
        <w:rPr>
          <w:rFonts w:hint="eastAsia"/>
          <w:color w:val="auto"/>
          <w:highlight w:val="none"/>
        </w:rPr>
        <w:t>2、谈判时间：202</w:t>
      </w:r>
      <w:r>
        <w:rPr>
          <w:rFonts w:hint="eastAsia"/>
          <w:color w:val="auto"/>
          <w:highlight w:val="none"/>
          <w:lang w:val="en-US" w:eastAsia="zh-CN"/>
        </w:rPr>
        <w:t>6</w:t>
      </w:r>
      <w:r>
        <w:rPr>
          <w:rFonts w:hint="eastAsia"/>
          <w:color w:val="auto"/>
          <w:highlight w:val="none"/>
        </w:rPr>
        <w:t>年</w:t>
      </w:r>
      <w:r>
        <w:rPr>
          <w:rFonts w:hint="eastAsia"/>
          <w:color w:val="auto"/>
          <w:highlight w:val="none"/>
          <w:lang w:val="en-US" w:eastAsia="zh-CN"/>
        </w:rPr>
        <w:t>7</w:t>
      </w:r>
      <w:r>
        <w:rPr>
          <w:rFonts w:hint="eastAsia"/>
          <w:color w:val="auto"/>
          <w:highlight w:val="none"/>
        </w:rPr>
        <w:t>月</w:t>
      </w:r>
      <w:r>
        <w:rPr>
          <w:rFonts w:hint="eastAsia"/>
          <w:color w:val="auto"/>
          <w:highlight w:val="none"/>
          <w:lang w:val="en-US" w:eastAsia="zh-CN"/>
        </w:rPr>
        <w:t>17</w:t>
      </w:r>
      <w:r>
        <w:rPr>
          <w:rFonts w:hint="eastAsia"/>
          <w:color w:val="auto"/>
          <w:highlight w:val="none"/>
        </w:rPr>
        <w:t>日</w:t>
      </w:r>
      <w:r>
        <w:rPr>
          <w:rFonts w:hint="eastAsia"/>
          <w:color w:val="auto"/>
          <w:highlight w:val="none"/>
          <w:lang w:val="en-US" w:eastAsia="zh-CN"/>
        </w:rPr>
        <w:t>10</w:t>
      </w:r>
      <w:r>
        <w:rPr>
          <w:rFonts w:hint="eastAsia"/>
          <w:color w:val="auto"/>
          <w:highlight w:val="none"/>
        </w:rPr>
        <w:t>时00分（北京时间）。</w:t>
      </w:r>
    </w:p>
    <w:p w14:paraId="02B720B5">
      <w:pPr>
        <w:pStyle w:val="45"/>
        <w:spacing w:before="240"/>
        <w:ind w:firstLine="480"/>
        <w:rPr>
          <w:color w:val="auto"/>
          <w:highlight w:val="none"/>
        </w:rPr>
      </w:pPr>
      <w:r>
        <w:rPr>
          <w:rFonts w:hint="eastAsia"/>
          <w:color w:val="auto"/>
          <w:highlight w:val="none"/>
        </w:rPr>
        <w:t>3、谈判地点：湖南省张家界市永定区永定办事处子午路220号（张家界市公共资源交易中心）。</w:t>
      </w:r>
      <w:r>
        <w:rPr>
          <w:rFonts w:hint="eastAsia" w:ascii="Times New Roman" w:hAnsi="Times New Roman" w:eastAsia="宋体" w:cs="Times New Roman"/>
          <w:color w:val="auto"/>
          <w:highlight w:val="none"/>
          <w:lang w:val="en-US" w:eastAsia="zh-CN"/>
        </w:rPr>
        <w:t>供应商</w:t>
      </w:r>
      <w:r>
        <w:rPr>
          <w:rFonts w:hint="eastAsia"/>
          <w:color w:val="auto"/>
          <w:highlight w:val="none"/>
          <w:lang w:val="en-US" w:eastAsia="zh-CN"/>
        </w:rPr>
        <w:t>应</w:t>
      </w:r>
      <w:r>
        <w:rPr>
          <w:rFonts w:hint="eastAsia"/>
          <w:color w:val="auto"/>
          <w:highlight w:val="none"/>
        </w:rPr>
        <w:t>线上</w:t>
      </w:r>
      <w:r>
        <w:rPr>
          <w:rFonts w:hint="eastAsia"/>
          <w:color w:val="auto"/>
          <w:highlight w:val="none"/>
          <w:lang w:val="en-US" w:eastAsia="zh-CN"/>
        </w:rPr>
        <w:t>提交响应文件，</w:t>
      </w:r>
      <w:r>
        <w:rPr>
          <w:rFonts w:hint="eastAsia"/>
          <w:color w:val="auto"/>
          <w:highlight w:val="none"/>
        </w:rPr>
        <w:t>具体操作为</w:t>
      </w:r>
      <w:r>
        <w:rPr>
          <w:rFonts w:hint="eastAsia" w:ascii="Times New Roman" w:hAnsi="Times New Roman" w:eastAsia="宋体" w:cs="Times New Roman"/>
          <w:color w:val="auto"/>
          <w:highlight w:val="none"/>
          <w:lang w:val="en-US" w:eastAsia="zh-CN"/>
        </w:rPr>
        <w:t>供应商</w:t>
      </w:r>
      <w:r>
        <w:rPr>
          <w:rFonts w:hint="eastAsia"/>
          <w:color w:val="auto"/>
          <w:highlight w:val="none"/>
        </w:rPr>
        <w:t>在</w:t>
      </w:r>
      <w:bookmarkStart w:id="114" w:name="_GoBack"/>
      <w:r>
        <w:rPr>
          <w:rFonts w:hint="eastAsia"/>
          <w:color w:val="auto"/>
          <w:highlight w:val="none"/>
        </w:rPr>
        <w:t>“张家界市公共资源交易服务平台”的其他交易平台，登录“张家界市公共资源交易中心产权交易系统（</w:t>
      </w:r>
      <w:r>
        <w:rPr>
          <w:rFonts w:hint="eastAsia"/>
          <w:color w:val="auto"/>
          <w:highlight w:val="none"/>
          <w:lang w:eastAsia="zh-CN"/>
        </w:rPr>
        <w:t>https://www.zjjggzy.cn/portal/index</w:t>
      </w:r>
      <w:r>
        <w:rPr>
          <w:rFonts w:hint="eastAsia"/>
          <w:color w:val="auto"/>
          <w:highlight w:val="none"/>
        </w:rPr>
        <w:t>）”上传</w:t>
      </w:r>
      <w:r>
        <w:rPr>
          <w:rFonts w:hint="eastAsia"/>
          <w:color w:val="auto"/>
          <w:highlight w:val="none"/>
          <w:lang w:eastAsia="zh-CN"/>
        </w:rPr>
        <w:t>响应文件</w:t>
      </w:r>
      <w:r>
        <w:rPr>
          <w:rFonts w:hint="eastAsia"/>
          <w:color w:val="auto"/>
          <w:highlight w:val="none"/>
        </w:rPr>
        <w:t>。</w:t>
      </w:r>
      <w:bookmarkEnd w:id="114"/>
    </w:p>
    <w:bookmarkEnd w:id="21"/>
    <w:bookmarkEnd w:id="22"/>
    <w:p w14:paraId="1236B2BD">
      <w:pPr>
        <w:pStyle w:val="4"/>
        <w:numPr>
          <w:ilvl w:val="0"/>
          <w:numId w:val="0"/>
        </w:numPr>
        <w:ind w:left="0" w:leftChars="0" w:firstLine="400" w:firstLineChars="0"/>
        <w:jc w:val="left"/>
        <w:rPr>
          <w:rFonts w:hint="eastAsia" w:cs="Times New Roman"/>
          <w:color w:val="auto"/>
          <w:highlight w:val="none"/>
        </w:rPr>
      </w:pPr>
      <w:bookmarkStart w:id="23" w:name="_Toc15058"/>
      <w:bookmarkStart w:id="24" w:name="_Toc28649"/>
      <w:bookmarkStart w:id="25" w:name="_Toc22201061"/>
      <w:bookmarkStart w:id="26" w:name="_Toc40166571"/>
      <w:r>
        <w:rPr>
          <w:rFonts w:hint="eastAsia" w:cs="Times New Roman"/>
          <w:color w:val="auto"/>
          <w:kern w:val="2"/>
          <w:sz w:val="30"/>
          <w:szCs w:val="24"/>
          <w:highlight w:val="none"/>
          <w:lang w:val="en-US" w:eastAsia="zh-CN" w:bidi="ar-SA"/>
        </w:rPr>
        <w:t>八</w:t>
      </w:r>
      <w:r>
        <w:rPr>
          <w:rFonts w:hint="eastAsia" w:ascii="Arial" w:hAnsi="Arial" w:eastAsia="黑体" w:cs="Times New Roman"/>
          <w:color w:val="auto"/>
          <w:kern w:val="2"/>
          <w:sz w:val="30"/>
          <w:szCs w:val="24"/>
          <w:highlight w:val="none"/>
          <w:lang w:val="en-US" w:eastAsia="zh-CN" w:bidi="ar-SA"/>
        </w:rPr>
        <w:t>、</w:t>
      </w:r>
      <w:r>
        <w:rPr>
          <w:rFonts w:hint="eastAsia" w:cs="Times New Roman"/>
          <w:color w:val="auto"/>
          <w:highlight w:val="none"/>
        </w:rPr>
        <w:t>询问及质疑</w:t>
      </w:r>
      <w:bookmarkEnd w:id="23"/>
      <w:bookmarkEnd w:id="24"/>
    </w:p>
    <w:p w14:paraId="06434974">
      <w:pPr>
        <w:pStyle w:val="45"/>
        <w:numPr>
          <w:ilvl w:val="0"/>
          <w:numId w:val="0"/>
        </w:numPr>
        <w:spacing w:before="240"/>
        <w:ind w:leftChars="200"/>
        <w:jc w:val="left"/>
        <w:rPr>
          <w:rFonts w:hint="eastAsia" w:ascii="Calibri" w:hAnsi="Calibri" w:eastAsia="宋体" w:cs="宋体"/>
          <w:color w:val="auto"/>
          <w:kern w:val="2"/>
          <w:sz w:val="24"/>
          <w:szCs w:val="24"/>
          <w:highlight w:val="none"/>
          <w:lang w:val="en-US" w:eastAsia="zh-CN" w:bidi="ar-SA"/>
        </w:rPr>
      </w:pPr>
      <w:r>
        <w:rPr>
          <w:rFonts w:hint="eastAsia" w:ascii="Calibri" w:hAnsi="Calibri" w:eastAsia="宋体" w:cs="宋体"/>
          <w:color w:val="auto"/>
          <w:kern w:val="2"/>
          <w:sz w:val="24"/>
          <w:szCs w:val="24"/>
          <w:highlight w:val="none"/>
          <w:lang w:val="en-US" w:eastAsia="zh-CN" w:bidi="ar-SA"/>
        </w:rPr>
        <w:t>1、供应商对政府采购活动事项如有疑问的，可以向采购人、采购代理机构提出询问。采购人、采购代理机构将在3个工作日内作出答复。</w:t>
      </w:r>
    </w:p>
    <w:p w14:paraId="77FF72D0">
      <w:pPr>
        <w:keepNext w:val="0"/>
        <w:keepLines w:val="0"/>
        <w:widowControl/>
        <w:suppressLineNumbers w:val="0"/>
        <w:pBdr>
          <w:left w:val="none" w:color="auto" w:sz="0" w:space="0"/>
        </w:pBdr>
        <w:spacing w:before="150" w:beforeAutospacing="0" w:line="420" w:lineRule="atLeast"/>
        <w:ind w:left="0" w:firstLine="420"/>
        <w:jc w:val="left"/>
        <w:rPr>
          <w:color w:val="auto"/>
          <w:highlight w:val="none"/>
        </w:rPr>
      </w:pPr>
      <w:r>
        <w:rPr>
          <w:rFonts w:hint="eastAsia"/>
          <w:color w:val="auto"/>
          <w:highlight w:val="none"/>
          <w:lang w:val="en-US" w:eastAsia="zh-CN"/>
        </w:rPr>
        <w:t>2、</w:t>
      </w:r>
      <w:r>
        <w:rPr>
          <w:rFonts w:hint="eastAsia"/>
          <w:color w:val="auto"/>
          <w:highlight w:val="none"/>
        </w:rPr>
        <w:t>供应商认为谈判文件使自己的合法权益受到损害的，可以在收到谈判文件之日起7个工作日内，按</w:t>
      </w:r>
      <w:r>
        <w:rPr>
          <w:rFonts w:ascii="宋体" w:hAnsi="宋体" w:eastAsia="宋体" w:cs="宋体"/>
          <w:color w:val="auto"/>
          <w:kern w:val="0"/>
          <w:sz w:val="24"/>
          <w:szCs w:val="24"/>
          <w:highlight w:val="none"/>
          <w:lang w:val="en-US" w:eastAsia="zh-CN" w:bidi="ar"/>
        </w:rPr>
        <w:t>《湖南省财政厅关于印发＜政府采购质疑答复和投诉处理操作规程＞的通知》(湘财购〔2024〕67号)</w:t>
      </w:r>
      <w:r>
        <w:rPr>
          <w:rFonts w:hint="eastAsia"/>
          <w:color w:val="auto"/>
          <w:highlight w:val="none"/>
        </w:rPr>
        <w:t>规定，以书面形式向采购人、采购代理机构提出质疑。</w:t>
      </w:r>
    </w:p>
    <w:bookmarkEnd w:id="25"/>
    <w:bookmarkEnd w:id="26"/>
    <w:p w14:paraId="4C999AED">
      <w:pPr>
        <w:pStyle w:val="4"/>
        <w:numPr>
          <w:ilvl w:val="0"/>
          <w:numId w:val="0"/>
        </w:numPr>
        <w:ind w:left="0" w:leftChars="0" w:firstLine="400" w:firstLineChars="0"/>
        <w:jc w:val="left"/>
        <w:rPr>
          <w:rFonts w:hint="eastAsia" w:cs="Times New Roman"/>
          <w:color w:val="auto"/>
          <w:highlight w:val="none"/>
        </w:rPr>
      </w:pPr>
      <w:bookmarkStart w:id="27" w:name="_Toc27304"/>
      <w:bookmarkStart w:id="28" w:name="_Toc25013"/>
      <w:r>
        <w:rPr>
          <w:rFonts w:hint="eastAsia" w:cs="Times New Roman"/>
          <w:color w:val="auto"/>
          <w:kern w:val="2"/>
          <w:sz w:val="30"/>
          <w:szCs w:val="24"/>
          <w:highlight w:val="none"/>
          <w:lang w:val="en-US" w:eastAsia="zh-CN" w:bidi="ar-SA"/>
        </w:rPr>
        <w:t>九</w:t>
      </w:r>
      <w:r>
        <w:rPr>
          <w:rFonts w:hint="eastAsia" w:ascii="Arial" w:hAnsi="Arial" w:eastAsia="黑体" w:cs="Times New Roman"/>
          <w:color w:val="auto"/>
          <w:kern w:val="2"/>
          <w:sz w:val="30"/>
          <w:szCs w:val="24"/>
          <w:highlight w:val="none"/>
          <w:lang w:val="en-US" w:eastAsia="zh-CN" w:bidi="ar-SA"/>
        </w:rPr>
        <w:t>、</w:t>
      </w:r>
      <w:r>
        <w:rPr>
          <w:rFonts w:hint="eastAsia" w:cs="Times New Roman"/>
          <w:color w:val="auto"/>
          <w:highlight w:val="none"/>
        </w:rPr>
        <w:t>采购项目联系人姓名和电话</w:t>
      </w:r>
      <w:bookmarkEnd w:id="27"/>
      <w:bookmarkEnd w:id="28"/>
    </w:p>
    <w:tbl>
      <w:tblPr>
        <w:tblStyle w:val="36"/>
        <w:tblW w:w="0" w:type="auto"/>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3435"/>
        <w:gridCol w:w="1740"/>
        <w:gridCol w:w="2940"/>
      </w:tblGrid>
      <w:tr w14:paraId="5624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675" w:type="dxa"/>
            <w:gridSpan w:val="4"/>
            <w:tcBorders>
              <w:top w:val="nil"/>
              <w:left w:val="nil"/>
              <w:bottom w:val="nil"/>
              <w:right w:val="nil"/>
            </w:tcBorders>
            <w:vAlign w:val="center"/>
          </w:tcPr>
          <w:p w14:paraId="71BEE9D3">
            <w:pPr>
              <w:pStyle w:val="45"/>
              <w:numPr>
                <w:ilvl w:val="0"/>
                <w:numId w:val="6"/>
              </w:numPr>
              <w:spacing w:before="0" w:beforeLines="0" w:line="240" w:lineRule="auto"/>
              <w:ind w:firstLine="0" w:firstLineChars="0"/>
              <w:jc w:val="left"/>
              <w:rPr>
                <w:color w:val="auto"/>
                <w:highlight w:val="none"/>
              </w:rPr>
            </w:pPr>
            <w:r>
              <w:rPr>
                <w:rFonts w:hint="eastAsia"/>
                <w:color w:val="auto"/>
                <w:highlight w:val="none"/>
              </w:rPr>
              <w:t>采购项目</w:t>
            </w:r>
          </w:p>
        </w:tc>
      </w:tr>
      <w:tr w14:paraId="06F78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560" w:type="dxa"/>
            <w:tcBorders>
              <w:top w:val="nil"/>
              <w:left w:val="nil"/>
              <w:bottom w:val="nil"/>
              <w:right w:val="nil"/>
            </w:tcBorders>
            <w:vAlign w:val="center"/>
          </w:tcPr>
          <w:p w14:paraId="17B4C86E">
            <w:pPr>
              <w:pStyle w:val="45"/>
              <w:spacing w:before="0" w:beforeLines="0" w:line="240" w:lineRule="auto"/>
              <w:ind w:firstLine="0" w:firstLineChars="0"/>
              <w:jc w:val="distribute"/>
              <w:rPr>
                <w:color w:val="auto"/>
                <w:highlight w:val="none"/>
              </w:rPr>
            </w:pPr>
            <w:r>
              <w:rPr>
                <w:rFonts w:hint="eastAsia"/>
                <w:color w:val="auto"/>
                <w:highlight w:val="none"/>
              </w:rPr>
              <w:t>联系人姓名：</w:t>
            </w:r>
          </w:p>
        </w:tc>
        <w:tc>
          <w:tcPr>
            <w:tcW w:w="3435" w:type="dxa"/>
            <w:tcBorders>
              <w:top w:val="nil"/>
              <w:left w:val="nil"/>
              <w:bottom w:val="nil"/>
              <w:right w:val="nil"/>
            </w:tcBorders>
            <w:vAlign w:val="center"/>
          </w:tcPr>
          <w:p w14:paraId="6EB38FB1">
            <w:pPr>
              <w:pStyle w:val="45"/>
              <w:spacing w:before="0" w:beforeLines="0" w:line="240" w:lineRule="auto"/>
              <w:ind w:firstLine="0" w:firstLineChars="0"/>
              <w:jc w:val="left"/>
              <w:rPr>
                <w:rFonts w:hint="eastAsia" w:eastAsia="宋体"/>
                <w:color w:val="auto"/>
                <w:highlight w:val="none"/>
                <w:lang w:val="en-US" w:eastAsia="zh-CN"/>
              </w:rPr>
            </w:pPr>
            <w:r>
              <w:rPr>
                <w:rFonts w:hint="eastAsia"/>
                <w:color w:val="auto"/>
                <w:highlight w:val="none"/>
                <w:lang w:val="en-US" w:eastAsia="zh-CN"/>
              </w:rPr>
              <w:t>贺女士</w:t>
            </w:r>
          </w:p>
        </w:tc>
        <w:tc>
          <w:tcPr>
            <w:tcW w:w="1740" w:type="dxa"/>
            <w:tcBorders>
              <w:top w:val="nil"/>
              <w:left w:val="nil"/>
              <w:bottom w:val="nil"/>
              <w:right w:val="nil"/>
            </w:tcBorders>
            <w:vAlign w:val="center"/>
          </w:tcPr>
          <w:p w14:paraId="7CD3EF36">
            <w:pPr>
              <w:pStyle w:val="45"/>
              <w:spacing w:before="0" w:beforeLines="0" w:line="240" w:lineRule="auto"/>
              <w:ind w:firstLine="0" w:firstLineChars="0"/>
              <w:jc w:val="distribute"/>
              <w:rPr>
                <w:color w:val="auto"/>
                <w:highlight w:val="none"/>
              </w:rPr>
            </w:pPr>
            <w:r>
              <w:rPr>
                <w:rFonts w:hint="eastAsia"/>
                <w:color w:val="auto"/>
                <w:highlight w:val="none"/>
              </w:rPr>
              <w:t>电      话：</w:t>
            </w:r>
          </w:p>
        </w:tc>
        <w:tc>
          <w:tcPr>
            <w:tcW w:w="2940" w:type="dxa"/>
            <w:tcBorders>
              <w:top w:val="nil"/>
              <w:left w:val="nil"/>
              <w:bottom w:val="nil"/>
              <w:right w:val="nil"/>
            </w:tcBorders>
            <w:vAlign w:val="center"/>
          </w:tcPr>
          <w:p w14:paraId="67260CC2">
            <w:pPr>
              <w:pStyle w:val="45"/>
              <w:spacing w:before="0" w:beforeLines="0" w:line="240" w:lineRule="auto"/>
              <w:ind w:firstLine="0" w:firstLineChars="0"/>
              <w:jc w:val="left"/>
              <w:rPr>
                <w:rFonts w:hint="default" w:eastAsia="宋体"/>
                <w:color w:val="auto"/>
                <w:highlight w:val="none"/>
                <w:lang w:val="en-US" w:eastAsia="zh-CN"/>
              </w:rPr>
            </w:pPr>
            <w:r>
              <w:rPr>
                <w:rFonts w:hint="eastAsia"/>
                <w:color w:val="auto"/>
                <w:highlight w:val="none"/>
                <w:lang w:val="en-US" w:eastAsia="zh-CN"/>
              </w:rPr>
              <w:t>0744-8248127</w:t>
            </w:r>
          </w:p>
        </w:tc>
      </w:tr>
      <w:tr w14:paraId="585C2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675" w:type="dxa"/>
            <w:gridSpan w:val="4"/>
            <w:tcBorders>
              <w:top w:val="nil"/>
              <w:left w:val="nil"/>
              <w:bottom w:val="nil"/>
              <w:right w:val="nil"/>
            </w:tcBorders>
            <w:vAlign w:val="center"/>
          </w:tcPr>
          <w:p w14:paraId="597BA358">
            <w:pPr>
              <w:pStyle w:val="45"/>
              <w:numPr>
                <w:ilvl w:val="0"/>
                <w:numId w:val="6"/>
              </w:numPr>
              <w:spacing w:before="0" w:beforeLines="0" w:line="240" w:lineRule="auto"/>
              <w:ind w:firstLine="0" w:firstLineChars="0"/>
              <w:jc w:val="left"/>
              <w:rPr>
                <w:color w:val="auto"/>
                <w:highlight w:val="none"/>
              </w:rPr>
            </w:pPr>
            <w:r>
              <w:rPr>
                <w:rFonts w:hint="eastAsia"/>
                <w:color w:val="auto"/>
                <w:highlight w:val="none"/>
              </w:rPr>
              <w:t>采 购 人</w:t>
            </w:r>
          </w:p>
        </w:tc>
      </w:tr>
      <w:tr w14:paraId="61F2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0" w:type="dxa"/>
            <w:tcBorders>
              <w:top w:val="nil"/>
              <w:left w:val="nil"/>
              <w:bottom w:val="nil"/>
              <w:right w:val="nil"/>
            </w:tcBorders>
            <w:vAlign w:val="center"/>
          </w:tcPr>
          <w:p w14:paraId="67AD497A">
            <w:pPr>
              <w:pStyle w:val="45"/>
              <w:spacing w:before="0" w:beforeLines="0" w:line="240" w:lineRule="auto"/>
              <w:ind w:firstLine="0" w:firstLineChars="0"/>
              <w:jc w:val="distribute"/>
              <w:rPr>
                <w:b w:val="0"/>
                <w:bCs w:val="0"/>
                <w:color w:val="auto"/>
                <w:highlight w:val="none"/>
              </w:rPr>
            </w:pPr>
            <w:r>
              <w:rPr>
                <w:rFonts w:hint="eastAsia"/>
                <w:b w:val="0"/>
                <w:bCs w:val="0"/>
                <w:color w:val="auto"/>
                <w:highlight w:val="none"/>
              </w:rPr>
              <w:t>名      称：</w:t>
            </w:r>
          </w:p>
        </w:tc>
        <w:tc>
          <w:tcPr>
            <w:tcW w:w="8115" w:type="dxa"/>
            <w:gridSpan w:val="3"/>
            <w:tcBorders>
              <w:top w:val="nil"/>
              <w:left w:val="nil"/>
              <w:bottom w:val="nil"/>
              <w:right w:val="nil"/>
            </w:tcBorders>
            <w:vAlign w:val="center"/>
          </w:tcPr>
          <w:p w14:paraId="0B7908FE">
            <w:pPr>
              <w:pStyle w:val="45"/>
              <w:spacing w:before="0" w:beforeLines="0" w:line="240" w:lineRule="auto"/>
              <w:ind w:firstLine="0" w:firstLineChars="0"/>
              <w:rPr>
                <w:rFonts w:hint="default" w:eastAsia="宋体"/>
                <w:b w:val="0"/>
                <w:bCs w:val="0"/>
                <w:color w:val="auto"/>
                <w:highlight w:val="none"/>
                <w:lang w:val="en-US" w:eastAsia="zh-CN"/>
              </w:rPr>
            </w:pPr>
            <w:r>
              <w:rPr>
                <w:rFonts w:hint="eastAsia"/>
                <w:b w:val="0"/>
                <w:bCs w:val="0"/>
                <w:color w:val="auto"/>
                <w:highlight w:val="none"/>
                <w:lang w:eastAsia="zh-CN"/>
              </w:rPr>
              <w:t>张家界市公安局</w:t>
            </w:r>
          </w:p>
        </w:tc>
      </w:tr>
      <w:tr w14:paraId="3045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0" w:type="dxa"/>
            <w:tcBorders>
              <w:top w:val="nil"/>
              <w:left w:val="nil"/>
              <w:bottom w:val="nil"/>
              <w:right w:val="nil"/>
            </w:tcBorders>
            <w:vAlign w:val="center"/>
          </w:tcPr>
          <w:p w14:paraId="095BA1FF">
            <w:pPr>
              <w:pStyle w:val="45"/>
              <w:spacing w:before="0" w:beforeLines="0" w:line="240" w:lineRule="auto"/>
              <w:ind w:firstLine="0" w:firstLineChars="0"/>
              <w:jc w:val="distribute"/>
              <w:rPr>
                <w:b w:val="0"/>
                <w:bCs w:val="0"/>
                <w:color w:val="auto"/>
                <w:highlight w:val="none"/>
              </w:rPr>
            </w:pPr>
            <w:r>
              <w:rPr>
                <w:rFonts w:hint="eastAsia"/>
                <w:b w:val="0"/>
                <w:bCs w:val="0"/>
                <w:color w:val="auto"/>
                <w:highlight w:val="none"/>
              </w:rPr>
              <w:t>地      址：</w:t>
            </w:r>
          </w:p>
        </w:tc>
        <w:tc>
          <w:tcPr>
            <w:tcW w:w="8115" w:type="dxa"/>
            <w:gridSpan w:val="3"/>
            <w:tcBorders>
              <w:top w:val="nil"/>
              <w:left w:val="nil"/>
              <w:bottom w:val="nil"/>
              <w:right w:val="nil"/>
            </w:tcBorders>
            <w:vAlign w:val="center"/>
          </w:tcPr>
          <w:p w14:paraId="1BE0110D">
            <w:pPr>
              <w:pStyle w:val="45"/>
              <w:spacing w:before="0" w:beforeLines="0" w:line="240" w:lineRule="auto"/>
              <w:ind w:firstLine="0" w:firstLineChars="0"/>
              <w:rPr>
                <w:rFonts w:hint="default" w:eastAsia="宋体"/>
                <w:b w:val="0"/>
                <w:bCs w:val="0"/>
                <w:color w:val="auto"/>
                <w:highlight w:val="none"/>
                <w:lang w:val="en-US" w:eastAsia="zh-CN"/>
              </w:rPr>
            </w:pPr>
            <w:r>
              <w:rPr>
                <w:rFonts w:hint="eastAsia"/>
                <w:color w:val="auto"/>
                <w:highlight w:val="none"/>
                <w:lang w:val="en-US" w:eastAsia="zh-CN"/>
              </w:rPr>
              <w:t>张家界市永定区南庄坪</w:t>
            </w:r>
          </w:p>
        </w:tc>
      </w:tr>
      <w:tr w14:paraId="283B5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0" w:type="dxa"/>
            <w:tcBorders>
              <w:top w:val="nil"/>
              <w:left w:val="nil"/>
              <w:bottom w:val="nil"/>
              <w:right w:val="nil"/>
            </w:tcBorders>
            <w:vAlign w:val="center"/>
          </w:tcPr>
          <w:p w14:paraId="1BB43777">
            <w:pPr>
              <w:pStyle w:val="45"/>
              <w:spacing w:before="0" w:beforeLines="0" w:line="240" w:lineRule="auto"/>
              <w:ind w:firstLine="0" w:firstLineChars="0"/>
              <w:jc w:val="distribute"/>
              <w:rPr>
                <w:b w:val="0"/>
                <w:bCs w:val="0"/>
                <w:color w:val="auto"/>
                <w:highlight w:val="none"/>
              </w:rPr>
            </w:pPr>
            <w:r>
              <w:rPr>
                <w:rFonts w:hint="eastAsia"/>
                <w:b w:val="0"/>
                <w:bCs w:val="0"/>
                <w:color w:val="auto"/>
                <w:highlight w:val="none"/>
              </w:rPr>
              <w:t>联  系  人：</w:t>
            </w:r>
          </w:p>
        </w:tc>
        <w:tc>
          <w:tcPr>
            <w:tcW w:w="3435" w:type="dxa"/>
            <w:tcBorders>
              <w:top w:val="nil"/>
              <w:left w:val="nil"/>
              <w:bottom w:val="nil"/>
              <w:right w:val="nil"/>
            </w:tcBorders>
            <w:vAlign w:val="center"/>
          </w:tcPr>
          <w:p w14:paraId="74748263">
            <w:pPr>
              <w:pStyle w:val="45"/>
              <w:spacing w:before="0" w:beforeLines="0" w:line="240" w:lineRule="auto"/>
              <w:ind w:firstLine="0" w:firstLineChars="0"/>
              <w:rPr>
                <w:rFonts w:hint="default" w:eastAsia="宋体"/>
                <w:b w:val="0"/>
                <w:bCs w:val="0"/>
                <w:color w:val="auto"/>
                <w:highlight w:val="none"/>
                <w:lang w:val="en-US" w:eastAsia="zh-CN"/>
              </w:rPr>
            </w:pPr>
            <w:r>
              <w:rPr>
                <w:rFonts w:hint="eastAsia"/>
                <w:color w:val="auto"/>
                <w:highlight w:val="none"/>
                <w:lang w:val="en-US" w:eastAsia="zh-CN"/>
              </w:rPr>
              <w:t>贺女士</w:t>
            </w:r>
          </w:p>
        </w:tc>
        <w:tc>
          <w:tcPr>
            <w:tcW w:w="1740" w:type="dxa"/>
            <w:tcBorders>
              <w:top w:val="nil"/>
              <w:left w:val="nil"/>
              <w:bottom w:val="nil"/>
              <w:right w:val="nil"/>
            </w:tcBorders>
            <w:vAlign w:val="center"/>
          </w:tcPr>
          <w:p w14:paraId="2233E45C">
            <w:pPr>
              <w:pStyle w:val="45"/>
              <w:spacing w:before="0" w:beforeLines="0" w:line="240" w:lineRule="auto"/>
              <w:ind w:firstLine="0" w:firstLineChars="0"/>
              <w:jc w:val="distribute"/>
              <w:rPr>
                <w:b w:val="0"/>
                <w:bCs w:val="0"/>
                <w:color w:val="auto"/>
                <w:highlight w:val="none"/>
              </w:rPr>
            </w:pPr>
            <w:r>
              <w:rPr>
                <w:rFonts w:hint="eastAsia"/>
                <w:b w:val="0"/>
                <w:bCs w:val="0"/>
                <w:color w:val="auto"/>
                <w:highlight w:val="none"/>
              </w:rPr>
              <w:t>电      话：</w:t>
            </w:r>
          </w:p>
        </w:tc>
        <w:tc>
          <w:tcPr>
            <w:tcW w:w="2940" w:type="dxa"/>
            <w:tcBorders>
              <w:top w:val="nil"/>
              <w:left w:val="nil"/>
              <w:bottom w:val="nil"/>
              <w:right w:val="nil"/>
            </w:tcBorders>
            <w:vAlign w:val="center"/>
          </w:tcPr>
          <w:p w14:paraId="6E031484">
            <w:pPr>
              <w:pStyle w:val="45"/>
              <w:spacing w:before="0" w:beforeLines="0" w:line="240" w:lineRule="auto"/>
              <w:ind w:firstLine="0" w:firstLineChars="0"/>
              <w:rPr>
                <w:rFonts w:hint="default" w:eastAsia="宋体"/>
                <w:b w:val="0"/>
                <w:bCs w:val="0"/>
                <w:color w:val="auto"/>
                <w:highlight w:val="none"/>
                <w:lang w:val="en-US" w:eastAsia="zh-CN"/>
              </w:rPr>
            </w:pPr>
            <w:r>
              <w:rPr>
                <w:rFonts w:hint="eastAsia"/>
                <w:b w:val="0"/>
                <w:bCs w:val="0"/>
                <w:color w:val="auto"/>
                <w:highlight w:val="none"/>
                <w:lang w:val="en-US" w:eastAsia="zh-CN"/>
              </w:rPr>
              <w:t>0744-8248127</w:t>
            </w:r>
          </w:p>
        </w:tc>
      </w:tr>
      <w:tr w14:paraId="7BD94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0" w:type="dxa"/>
            <w:tcBorders>
              <w:top w:val="nil"/>
              <w:left w:val="nil"/>
              <w:bottom w:val="nil"/>
              <w:right w:val="nil"/>
            </w:tcBorders>
            <w:vAlign w:val="center"/>
          </w:tcPr>
          <w:p w14:paraId="3393B1F9">
            <w:pPr>
              <w:pStyle w:val="45"/>
              <w:spacing w:before="0" w:beforeLines="0" w:line="240" w:lineRule="auto"/>
              <w:ind w:firstLine="0" w:firstLineChars="0"/>
              <w:jc w:val="distribute"/>
              <w:rPr>
                <w:b w:val="0"/>
                <w:bCs w:val="0"/>
                <w:color w:val="auto"/>
                <w:highlight w:val="none"/>
              </w:rPr>
            </w:pPr>
            <w:r>
              <w:rPr>
                <w:rFonts w:hint="eastAsia"/>
                <w:b w:val="0"/>
                <w:bCs w:val="0"/>
                <w:color w:val="auto"/>
                <w:highlight w:val="none"/>
              </w:rPr>
              <w:t>邮      编：</w:t>
            </w:r>
          </w:p>
        </w:tc>
        <w:tc>
          <w:tcPr>
            <w:tcW w:w="3435" w:type="dxa"/>
            <w:tcBorders>
              <w:top w:val="nil"/>
              <w:left w:val="nil"/>
              <w:bottom w:val="nil"/>
              <w:right w:val="nil"/>
            </w:tcBorders>
            <w:vAlign w:val="center"/>
          </w:tcPr>
          <w:p w14:paraId="4F28A51F">
            <w:pPr>
              <w:pStyle w:val="45"/>
              <w:spacing w:before="0" w:beforeLines="0" w:line="240" w:lineRule="auto"/>
              <w:ind w:firstLine="0" w:firstLineChars="0"/>
              <w:rPr>
                <w:b w:val="0"/>
                <w:bCs w:val="0"/>
                <w:color w:val="auto"/>
                <w:highlight w:val="none"/>
              </w:rPr>
            </w:pPr>
            <w:r>
              <w:rPr>
                <w:rFonts w:hint="eastAsia"/>
                <w:b w:val="0"/>
                <w:bCs w:val="0"/>
                <w:color w:val="auto"/>
                <w:highlight w:val="none"/>
              </w:rPr>
              <w:t>427000</w:t>
            </w:r>
          </w:p>
        </w:tc>
        <w:tc>
          <w:tcPr>
            <w:tcW w:w="1740" w:type="dxa"/>
            <w:tcBorders>
              <w:top w:val="nil"/>
              <w:left w:val="nil"/>
              <w:bottom w:val="nil"/>
              <w:right w:val="nil"/>
            </w:tcBorders>
            <w:vAlign w:val="center"/>
          </w:tcPr>
          <w:p w14:paraId="7EDE6708">
            <w:pPr>
              <w:pStyle w:val="45"/>
              <w:spacing w:before="0" w:beforeLines="0" w:line="240" w:lineRule="auto"/>
              <w:ind w:firstLine="0" w:firstLineChars="0"/>
              <w:jc w:val="distribute"/>
              <w:rPr>
                <w:b w:val="0"/>
                <w:bCs w:val="0"/>
                <w:color w:val="auto"/>
                <w:highlight w:val="none"/>
              </w:rPr>
            </w:pPr>
            <w:r>
              <w:rPr>
                <w:rFonts w:hint="eastAsia"/>
                <w:b w:val="0"/>
                <w:bCs w:val="0"/>
                <w:color w:val="auto"/>
                <w:highlight w:val="none"/>
              </w:rPr>
              <w:t>电子邮箱：</w:t>
            </w:r>
          </w:p>
        </w:tc>
        <w:tc>
          <w:tcPr>
            <w:tcW w:w="2940" w:type="dxa"/>
            <w:tcBorders>
              <w:top w:val="nil"/>
              <w:left w:val="nil"/>
              <w:bottom w:val="nil"/>
              <w:right w:val="nil"/>
            </w:tcBorders>
            <w:vAlign w:val="center"/>
          </w:tcPr>
          <w:p w14:paraId="7C14D075">
            <w:pPr>
              <w:pStyle w:val="45"/>
              <w:tabs>
                <w:tab w:val="left" w:pos="515"/>
                <w:tab w:val="center" w:pos="1422"/>
              </w:tabs>
              <w:spacing w:before="0" w:beforeLines="0" w:line="240" w:lineRule="auto"/>
              <w:ind w:firstLine="0" w:firstLineChars="0"/>
              <w:jc w:val="left"/>
              <w:rPr>
                <w:b w:val="0"/>
                <w:bCs w:val="0"/>
                <w:color w:val="auto"/>
                <w:highlight w:val="none"/>
              </w:rPr>
            </w:pPr>
            <w:r>
              <w:rPr>
                <w:rFonts w:hint="eastAsia"/>
                <w:b w:val="0"/>
                <w:bCs w:val="0"/>
                <w:color w:val="auto"/>
                <w:highlight w:val="none"/>
              </w:rPr>
              <w:t>/</w:t>
            </w:r>
            <w:r>
              <w:rPr>
                <w:rFonts w:hint="eastAsia"/>
                <w:b w:val="0"/>
                <w:bCs w:val="0"/>
                <w:color w:val="auto"/>
                <w:highlight w:val="none"/>
              </w:rPr>
              <w:tab/>
            </w:r>
          </w:p>
        </w:tc>
      </w:tr>
      <w:tr w14:paraId="48253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9675" w:type="dxa"/>
            <w:gridSpan w:val="4"/>
            <w:tcBorders>
              <w:top w:val="nil"/>
              <w:left w:val="nil"/>
              <w:bottom w:val="nil"/>
              <w:right w:val="nil"/>
            </w:tcBorders>
            <w:vAlign w:val="center"/>
          </w:tcPr>
          <w:p w14:paraId="1BDB024E">
            <w:pPr>
              <w:pStyle w:val="45"/>
              <w:numPr>
                <w:ilvl w:val="0"/>
                <w:numId w:val="6"/>
              </w:numPr>
              <w:spacing w:before="0" w:beforeLines="0" w:line="240" w:lineRule="auto"/>
              <w:ind w:firstLine="0" w:firstLineChars="0"/>
              <w:jc w:val="left"/>
              <w:rPr>
                <w:color w:val="auto"/>
                <w:highlight w:val="none"/>
              </w:rPr>
            </w:pPr>
            <w:r>
              <w:rPr>
                <w:rFonts w:hint="eastAsia"/>
                <w:color w:val="auto"/>
                <w:highlight w:val="none"/>
              </w:rPr>
              <w:t>采购代理机构</w:t>
            </w:r>
          </w:p>
        </w:tc>
      </w:tr>
      <w:tr w14:paraId="6F74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0" w:type="dxa"/>
            <w:tcBorders>
              <w:top w:val="nil"/>
              <w:left w:val="nil"/>
              <w:bottom w:val="nil"/>
              <w:right w:val="nil"/>
            </w:tcBorders>
            <w:vAlign w:val="center"/>
          </w:tcPr>
          <w:p w14:paraId="3A1236E8">
            <w:pPr>
              <w:pStyle w:val="45"/>
              <w:spacing w:before="0" w:beforeLines="0" w:line="240" w:lineRule="auto"/>
              <w:ind w:firstLine="0" w:firstLineChars="0"/>
              <w:jc w:val="distribute"/>
              <w:rPr>
                <w:color w:val="auto"/>
                <w:highlight w:val="none"/>
              </w:rPr>
            </w:pPr>
            <w:r>
              <w:rPr>
                <w:rFonts w:hint="eastAsia"/>
                <w:color w:val="auto"/>
                <w:highlight w:val="none"/>
              </w:rPr>
              <w:t>名      称：</w:t>
            </w:r>
          </w:p>
        </w:tc>
        <w:tc>
          <w:tcPr>
            <w:tcW w:w="8115" w:type="dxa"/>
            <w:gridSpan w:val="3"/>
            <w:tcBorders>
              <w:top w:val="nil"/>
              <w:left w:val="nil"/>
              <w:bottom w:val="nil"/>
              <w:right w:val="nil"/>
            </w:tcBorders>
            <w:vAlign w:val="center"/>
          </w:tcPr>
          <w:p w14:paraId="713E61BD">
            <w:pPr>
              <w:pStyle w:val="45"/>
              <w:spacing w:before="0" w:beforeLines="0" w:line="240" w:lineRule="auto"/>
              <w:ind w:firstLine="0" w:firstLineChars="0"/>
              <w:jc w:val="left"/>
              <w:rPr>
                <w:rFonts w:hint="eastAsia" w:eastAsia="宋体"/>
                <w:color w:val="auto"/>
                <w:highlight w:val="none"/>
                <w:lang w:eastAsia="zh-CN"/>
              </w:rPr>
            </w:pPr>
            <w:r>
              <w:rPr>
                <w:rFonts w:hint="eastAsia"/>
                <w:color w:val="auto"/>
                <w:highlight w:val="none"/>
                <w:lang w:eastAsia="zh-CN"/>
              </w:rPr>
              <w:t>湖南省天平项目管理有限公司</w:t>
            </w:r>
          </w:p>
        </w:tc>
      </w:tr>
      <w:tr w14:paraId="3D2B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0" w:type="dxa"/>
            <w:tcBorders>
              <w:top w:val="nil"/>
              <w:left w:val="nil"/>
              <w:bottom w:val="nil"/>
              <w:right w:val="nil"/>
            </w:tcBorders>
            <w:vAlign w:val="center"/>
          </w:tcPr>
          <w:p w14:paraId="3557FFA0">
            <w:pPr>
              <w:pStyle w:val="45"/>
              <w:spacing w:before="0" w:beforeLines="0" w:line="240" w:lineRule="auto"/>
              <w:ind w:firstLine="0" w:firstLineChars="0"/>
              <w:jc w:val="distribute"/>
              <w:rPr>
                <w:color w:val="auto"/>
                <w:highlight w:val="none"/>
              </w:rPr>
            </w:pPr>
            <w:r>
              <w:rPr>
                <w:rFonts w:hint="eastAsia"/>
                <w:color w:val="auto"/>
                <w:highlight w:val="none"/>
              </w:rPr>
              <w:t>地      址：</w:t>
            </w:r>
          </w:p>
        </w:tc>
        <w:tc>
          <w:tcPr>
            <w:tcW w:w="8115" w:type="dxa"/>
            <w:gridSpan w:val="3"/>
            <w:tcBorders>
              <w:top w:val="nil"/>
              <w:left w:val="nil"/>
              <w:bottom w:val="nil"/>
              <w:right w:val="nil"/>
            </w:tcBorders>
            <w:vAlign w:val="center"/>
          </w:tcPr>
          <w:p w14:paraId="344AA3F5">
            <w:pPr>
              <w:pStyle w:val="45"/>
              <w:spacing w:before="0" w:beforeLines="0" w:line="240" w:lineRule="auto"/>
              <w:ind w:firstLine="0" w:firstLineChars="0"/>
              <w:jc w:val="left"/>
              <w:rPr>
                <w:color w:val="auto"/>
                <w:highlight w:val="none"/>
              </w:rPr>
            </w:pPr>
            <w:r>
              <w:rPr>
                <w:rFonts w:hint="eastAsia"/>
                <w:color w:val="auto"/>
                <w:highlight w:val="none"/>
                <w:lang w:eastAsia="zh-CN"/>
              </w:rPr>
              <w:t>张家界市永定区古庸路572号金领国际大厦8楼802室（本项目联系地址）</w:t>
            </w:r>
            <w:r>
              <w:rPr>
                <w:rFonts w:hint="eastAsia"/>
                <w:color w:val="auto"/>
                <w:highlight w:val="none"/>
              </w:rPr>
              <w:t xml:space="preserve">  </w:t>
            </w:r>
          </w:p>
        </w:tc>
      </w:tr>
      <w:tr w14:paraId="4E2B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60" w:type="dxa"/>
            <w:tcBorders>
              <w:top w:val="nil"/>
              <w:left w:val="nil"/>
              <w:bottom w:val="nil"/>
              <w:right w:val="nil"/>
            </w:tcBorders>
            <w:vAlign w:val="center"/>
          </w:tcPr>
          <w:p w14:paraId="11C221E4">
            <w:pPr>
              <w:pStyle w:val="45"/>
              <w:spacing w:before="0" w:beforeLines="0" w:line="240" w:lineRule="auto"/>
              <w:ind w:firstLine="0" w:firstLineChars="0"/>
              <w:jc w:val="distribute"/>
              <w:rPr>
                <w:color w:val="auto"/>
                <w:highlight w:val="none"/>
              </w:rPr>
            </w:pPr>
            <w:r>
              <w:rPr>
                <w:rFonts w:hint="eastAsia"/>
                <w:color w:val="auto"/>
                <w:highlight w:val="none"/>
              </w:rPr>
              <w:t>联  系  人：</w:t>
            </w:r>
          </w:p>
        </w:tc>
        <w:tc>
          <w:tcPr>
            <w:tcW w:w="3435" w:type="dxa"/>
            <w:tcBorders>
              <w:top w:val="nil"/>
              <w:left w:val="nil"/>
              <w:bottom w:val="nil"/>
              <w:right w:val="nil"/>
            </w:tcBorders>
            <w:vAlign w:val="center"/>
          </w:tcPr>
          <w:p w14:paraId="12998719">
            <w:pPr>
              <w:pStyle w:val="45"/>
              <w:spacing w:before="0" w:beforeLines="0" w:line="240" w:lineRule="auto"/>
              <w:ind w:firstLine="0" w:firstLineChars="0"/>
              <w:jc w:val="left"/>
              <w:rPr>
                <w:color w:val="auto"/>
                <w:highlight w:val="none"/>
              </w:rPr>
            </w:pPr>
            <w:r>
              <w:rPr>
                <w:rFonts w:hint="eastAsia"/>
                <w:color w:val="auto"/>
                <w:highlight w:val="none"/>
                <w:lang w:val="en-US" w:eastAsia="zh-CN"/>
              </w:rPr>
              <w:t>龙先生</w:t>
            </w:r>
            <w:r>
              <w:rPr>
                <w:rFonts w:hint="eastAsia"/>
                <w:color w:val="auto"/>
                <w:highlight w:val="none"/>
              </w:rPr>
              <w:t xml:space="preserve">  </w:t>
            </w:r>
          </w:p>
        </w:tc>
        <w:tc>
          <w:tcPr>
            <w:tcW w:w="1740" w:type="dxa"/>
            <w:tcBorders>
              <w:top w:val="nil"/>
              <w:left w:val="nil"/>
              <w:bottom w:val="nil"/>
              <w:right w:val="nil"/>
            </w:tcBorders>
            <w:vAlign w:val="center"/>
          </w:tcPr>
          <w:p w14:paraId="6BC65934">
            <w:pPr>
              <w:pStyle w:val="45"/>
              <w:spacing w:before="0" w:beforeLines="0" w:line="240" w:lineRule="auto"/>
              <w:ind w:firstLine="0" w:firstLineChars="0"/>
              <w:jc w:val="distribute"/>
              <w:rPr>
                <w:color w:val="auto"/>
                <w:highlight w:val="none"/>
              </w:rPr>
            </w:pPr>
            <w:r>
              <w:rPr>
                <w:rFonts w:hint="eastAsia"/>
                <w:color w:val="auto"/>
                <w:highlight w:val="none"/>
              </w:rPr>
              <w:t>电      话：</w:t>
            </w:r>
          </w:p>
        </w:tc>
        <w:tc>
          <w:tcPr>
            <w:tcW w:w="2940" w:type="dxa"/>
            <w:tcBorders>
              <w:top w:val="nil"/>
              <w:left w:val="nil"/>
              <w:bottom w:val="nil"/>
              <w:right w:val="nil"/>
            </w:tcBorders>
            <w:vAlign w:val="center"/>
          </w:tcPr>
          <w:p w14:paraId="08BA46C2">
            <w:pPr>
              <w:pStyle w:val="45"/>
              <w:spacing w:before="0" w:beforeLines="0" w:line="240" w:lineRule="auto"/>
              <w:ind w:firstLine="0" w:firstLineChars="0"/>
              <w:jc w:val="left"/>
              <w:rPr>
                <w:rFonts w:hint="eastAsia" w:eastAsia="宋体"/>
                <w:color w:val="auto"/>
                <w:highlight w:val="none"/>
                <w:lang w:eastAsia="zh-CN"/>
              </w:rPr>
            </w:pPr>
            <w:r>
              <w:rPr>
                <w:rFonts w:hint="eastAsia"/>
                <w:color w:val="auto"/>
                <w:highlight w:val="none"/>
                <w:lang w:eastAsia="zh-CN"/>
              </w:rPr>
              <w:t>15207448863</w:t>
            </w:r>
          </w:p>
        </w:tc>
      </w:tr>
      <w:tr w14:paraId="0FF66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560" w:type="dxa"/>
            <w:tcBorders>
              <w:top w:val="nil"/>
              <w:left w:val="nil"/>
              <w:bottom w:val="nil"/>
              <w:right w:val="nil"/>
            </w:tcBorders>
            <w:vAlign w:val="center"/>
          </w:tcPr>
          <w:p w14:paraId="64157922">
            <w:pPr>
              <w:pStyle w:val="45"/>
              <w:spacing w:before="0" w:beforeLines="0" w:line="240" w:lineRule="auto"/>
              <w:ind w:firstLine="0" w:firstLineChars="0"/>
              <w:jc w:val="distribute"/>
              <w:rPr>
                <w:color w:val="auto"/>
                <w:highlight w:val="none"/>
              </w:rPr>
            </w:pPr>
            <w:r>
              <w:rPr>
                <w:rFonts w:hint="eastAsia"/>
                <w:color w:val="auto"/>
                <w:highlight w:val="none"/>
              </w:rPr>
              <w:t>邮      编：</w:t>
            </w:r>
          </w:p>
        </w:tc>
        <w:tc>
          <w:tcPr>
            <w:tcW w:w="3435" w:type="dxa"/>
            <w:tcBorders>
              <w:top w:val="nil"/>
              <w:left w:val="nil"/>
              <w:bottom w:val="nil"/>
              <w:right w:val="nil"/>
            </w:tcBorders>
            <w:vAlign w:val="center"/>
          </w:tcPr>
          <w:p w14:paraId="27B73E7F">
            <w:pPr>
              <w:pStyle w:val="45"/>
              <w:spacing w:before="0" w:beforeLines="0" w:line="240" w:lineRule="auto"/>
              <w:ind w:firstLine="0" w:firstLineChars="0"/>
              <w:jc w:val="left"/>
              <w:rPr>
                <w:color w:val="auto"/>
                <w:highlight w:val="none"/>
              </w:rPr>
            </w:pPr>
            <w:r>
              <w:rPr>
                <w:rFonts w:hint="eastAsia"/>
                <w:color w:val="auto"/>
                <w:highlight w:val="none"/>
              </w:rPr>
              <w:t>427000</w:t>
            </w:r>
          </w:p>
        </w:tc>
        <w:tc>
          <w:tcPr>
            <w:tcW w:w="1740" w:type="dxa"/>
            <w:tcBorders>
              <w:top w:val="nil"/>
              <w:left w:val="nil"/>
              <w:bottom w:val="nil"/>
              <w:right w:val="nil"/>
            </w:tcBorders>
            <w:vAlign w:val="center"/>
          </w:tcPr>
          <w:p w14:paraId="237573FA">
            <w:pPr>
              <w:pStyle w:val="45"/>
              <w:spacing w:before="0" w:beforeLines="0" w:line="240" w:lineRule="auto"/>
              <w:ind w:firstLine="0" w:firstLineChars="0"/>
              <w:jc w:val="distribute"/>
              <w:rPr>
                <w:color w:val="auto"/>
                <w:highlight w:val="none"/>
              </w:rPr>
            </w:pPr>
            <w:r>
              <w:rPr>
                <w:rFonts w:hint="eastAsia"/>
                <w:color w:val="auto"/>
                <w:highlight w:val="none"/>
              </w:rPr>
              <w:t>电子邮箱：</w:t>
            </w:r>
          </w:p>
        </w:tc>
        <w:tc>
          <w:tcPr>
            <w:tcW w:w="2940" w:type="dxa"/>
            <w:tcBorders>
              <w:top w:val="nil"/>
              <w:left w:val="nil"/>
              <w:bottom w:val="nil"/>
              <w:right w:val="nil"/>
            </w:tcBorders>
            <w:vAlign w:val="center"/>
          </w:tcPr>
          <w:p w14:paraId="7579D58F">
            <w:pPr>
              <w:pStyle w:val="45"/>
              <w:spacing w:before="0" w:beforeLines="0" w:line="240" w:lineRule="auto"/>
              <w:ind w:firstLine="0" w:firstLineChars="0"/>
              <w:rPr>
                <w:rFonts w:hint="eastAsia" w:eastAsia="宋体"/>
                <w:color w:val="auto"/>
                <w:highlight w:val="none"/>
                <w:lang w:eastAsia="zh-CN"/>
              </w:rPr>
            </w:pPr>
            <w:r>
              <w:rPr>
                <w:rFonts w:hint="eastAsia"/>
                <w:color w:val="auto"/>
                <w:highlight w:val="none"/>
                <w:lang w:eastAsia="zh-CN"/>
              </w:rPr>
              <w:t>674084927@qq.com</w:t>
            </w:r>
          </w:p>
        </w:tc>
      </w:tr>
    </w:tbl>
    <w:p w14:paraId="1F3725AB">
      <w:pPr>
        <w:rPr>
          <w:color w:val="auto"/>
          <w:highlight w:val="none"/>
        </w:rPr>
      </w:pPr>
      <w:r>
        <w:rPr>
          <w:rFonts w:hint="eastAsia"/>
          <w:color w:val="auto"/>
          <w:highlight w:val="none"/>
        </w:rPr>
        <w:br w:type="page"/>
      </w:r>
    </w:p>
    <w:p w14:paraId="1F94AC7D">
      <w:pPr>
        <w:pStyle w:val="3"/>
        <w:spacing w:before="156" w:after="156"/>
        <w:ind w:firstLine="720" w:firstLineChars="200"/>
        <w:rPr>
          <w:rFonts w:hint="default"/>
          <w:color w:val="auto"/>
          <w:highlight w:val="none"/>
        </w:rPr>
      </w:pPr>
      <w:bookmarkStart w:id="29" w:name="_Toc28234"/>
      <w:r>
        <w:rPr>
          <w:color w:val="auto"/>
          <w:highlight w:val="none"/>
        </w:rPr>
        <w:t xml:space="preserve">第二章 </w:t>
      </w:r>
      <w:r>
        <w:rPr>
          <w:rFonts w:hint="eastAsia"/>
          <w:color w:val="auto"/>
          <w:highlight w:val="none"/>
          <w:lang w:eastAsia="zh-CN"/>
        </w:rPr>
        <w:t>供应商</w:t>
      </w:r>
      <w:r>
        <w:rPr>
          <w:color w:val="auto"/>
          <w:highlight w:val="none"/>
        </w:rPr>
        <w:t>须知</w:t>
      </w:r>
      <w:bookmarkEnd w:id="7"/>
      <w:bookmarkEnd w:id="29"/>
    </w:p>
    <w:p w14:paraId="41B1FBB6">
      <w:pPr>
        <w:pStyle w:val="4"/>
        <w:spacing w:before="156"/>
        <w:jc w:val="center"/>
        <w:rPr>
          <w:color w:val="auto"/>
          <w:highlight w:val="none"/>
        </w:rPr>
      </w:pPr>
      <w:bookmarkStart w:id="30" w:name="_Toc9105"/>
      <w:bookmarkStart w:id="31" w:name="_Toc10762"/>
      <w:bookmarkStart w:id="32" w:name="_Toc32216"/>
      <w:bookmarkStart w:id="33" w:name="_Toc7188"/>
      <w:r>
        <w:rPr>
          <w:rFonts w:hint="eastAsia"/>
          <w:color w:val="auto"/>
          <w:highlight w:val="none"/>
        </w:rPr>
        <w:t xml:space="preserve">第一节 </w:t>
      </w:r>
      <w:r>
        <w:rPr>
          <w:rFonts w:hint="eastAsia"/>
          <w:color w:val="auto"/>
          <w:highlight w:val="none"/>
          <w:lang w:eastAsia="zh-CN"/>
        </w:rPr>
        <w:t>供应商</w:t>
      </w:r>
      <w:r>
        <w:rPr>
          <w:rFonts w:hint="eastAsia"/>
          <w:color w:val="auto"/>
          <w:highlight w:val="none"/>
        </w:rPr>
        <w:t>须知前附表</w:t>
      </w:r>
      <w:bookmarkEnd w:id="30"/>
      <w:bookmarkEnd w:id="31"/>
      <w:bookmarkEnd w:id="32"/>
      <w:bookmarkEnd w:id="33"/>
    </w:p>
    <w:tbl>
      <w:tblPr>
        <w:tblStyle w:val="35"/>
        <w:tblW w:w="996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2363"/>
        <w:gridCol w:w="6487"/>
      </w:tblGrid>
      <w:tr w14:paraId="665A96A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110" w:type="dxa"/>
            <w:tcBorders>
              <w:tl2br w:val="nil"/>
              <w:tr2bl w:val="nil"/>
            </w:tcBorders>
            <w:shd w:val="pct10" w:color="ADB9CA" w:fill="D6DCE5"/>
            <w:vAlign w:val="center"/>
          </w:tcPr>
          <w:p w14:paraId="256E5E41">
            <w:pPr>
              <w:pStyle w:val="44"/>
              <w:rPr>
                <w:bCs/>
                <w:color w:val="auto"/>
                <w:szCs w:val="22"/>
                <w:highlight w:val="none"/>
              </w:rPr>
            </w:pPr>
            <w:r>
              <w:rPr>
                <w:rFonts w:hint="eastAsia"/>
                <w:bCs/>
                <w:color w:val="auto"/>
                <w:szCs w:val="22"/>
                <w:highlight w:val="none"/>
              </w:rPr>
              <w:t>条款号</w:t>
            </w:r>
          </w:p>
        </w:tc>
        <w:tc>
          <w:tcPr>
            <w:tcW w:w="2363" w:type="dxa"/>
            <w:tcBorders>
              <w:tl2br w:val="nil"/>
              <w:tr2bl w:val="nil"/>
            </w:tcBorders>
            <w:shd w:val="pct10" w:color="ADB9CA" w:fill="D6DCE5"/>
            <w:vAlign w:val="center"/>
          </w:tcPr>
          <w:p w14:paraId="1B241869">
            <w:pPr>
              <w:pStyle w:val="44"/>
              <w:rPr>
                <w:bCs/>
                <w:color w:val="auto"/>
                <w:szCs w:val="22"/>
                <w:highlight w:val="none"/>
              </w:rPr>
            </w:pPr>
            <w:r>
              <w:rPr>
                <w:rFonts w:hint="eastAsia"/>
                <w:bCs/>
                <w:color w:val="auto"/>
                <w:szCs w:val="22"/>
                <w:highlight w:val="none"/>
              </w:rPr>
              <w:t>条款名称</w:t>
            </w:r>
          </w:p>
        </w:tc>
        <w:tc>
          <w:tcPr>
            <w:tcW w:w="6487" w:type="dxa"/>
            <w:tcBorders>
              <w:tl2br w:val="nil"/>
              <w:tr2bl w:val="nil"/>
            </w:tcBorders>
            <w:shd w:val="pct10" w:color="ADB9CA" w:fill="D6DCE5"/>
            <w:vAlign w:val="center"/>
          </w:tcPr>
          <w:p w14:paraId="1B23629E">
            <w:pPr>
              <w:pStyle w:val="44"/>
              <w:rPr>
                <w:bCs/>
                <w:color w:val="auto"/>
                <w:szCs w:val="22"/>
                <w:highlight w:val="none"/>
              </w:rPr>
            </w:pPr>
            <w:r>
              <w:rPr>
                <w:rFonts w:hint="eastAsia"/>
                <w:bCs/>
                <w:color w:val="auto"/>
                <w:szCs w:val="22"/>
                <w:highlight w:val="none"/>
              </w:rPr>
              <w:t>编列内容规定</w:t>
            </w:r>
          </w:p>
        </w:tc>
      </w:tr>
      <w:tr w14:paraId="346732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110" w:type="dxa"/>
            <w:tcBorders>
              <w:tl2br w:val="nil"/>
              <w:tr2bl w:val="nil"/>
            </w:tcBorders>
            <w:vAlign w:val="center"/>
          </w:tcPr>
          <w:p w14:paraId="1E1EBD61">
            <w:pPr>
              <w:pStyle w:val="48"/>
              <w:rPr>
                <w:rFonts w:ascii="微软雅黑" w:hAnsi="微软雅黑" w:cs="微软雅黑"/>
                <w:bCs/>
                <w:color w:val="auto"/>
                <w:highlight w:val="none"/>
              </w:rPr>
            </w:pPr>
            <w:r>
              <w:rPr>
                <w:rFonts w:hint="eastAsia" w:ascii="微软雅黑" w:hAnsi="微软雅黑" w:cs="微软雅黑"/>
                <w:bCs/>
                <w:color w:val="auto"/>
                <w:highlight w:val="none"/>
              </w:rPr>
              <w:t>第三条第1款</w:t>
            </w:r>
          </w:p>
        </w:tc>
        <w:tc>
          <w:tcPr>
            <w:tcW w:w="2363" w:type="dxa"/>
            <w:tcBorders>
              <w:tl2br w:val="nil"/>
              <w:tr2bl w:val="nil"/>
            </w:tcBorders>
            <w:vAlign w:val="center"/>
          </w:tcPr>
          <w:p w14:paraId="63F641FA">
            <w:pPr>
              <w:pStyle w:val="48"/>
              <w:rPr>
                <w:rFonts w:ascii="微软雅黑" w:hAnsi="微软雅黑" w:cs="微软雅黑"/>
                <w:bCs/>
                <w:color w:val="auto"/>
                <w:highlight w:val="none"/>
              </w:rPr>
            </w:pPr>
            <w:r>
              <w:rPr>
                <w:rFonts w:hint="eastAsia" w:ascii="微软雅黑" w:hAnsi="微软雅黑" w:cs="微软雅黑"/>
                <w:bCs/>
                <w:color w:val="auto"/>
                <w:highlight w:val="none"/>
                <w:lang w:eastAsia="zh-CN"/>
              </w:rPr>
              <w:t>采购人</w:t>
            </w:r>
            <w:r>
              <w:rPr>
                <w:rFonts w:hint="eastAsia" w:ascii="微软雅黑" w:hAnsi="微软雅黑" w:cs="微软雅黑"/>
                <w:bCs/>
                <w:color w:val="auto"/>
                <w:highlight w:val="none"/>
              </w:rPr>
              <w:t>名称、地址、电话、联系人</w:t>
            </w:r>
          </w:p>
        </w:tc>
        <w:tc>
          <w:tcPr>
            <w:tcW w:w="6487" w:type="dxa"/>
            <w:tcBorders>
              <w:tl2br w:val="nil"/>
              <w:tr2bl w:val="nil"/>
            </w:tcBorders>
            <w:vAlign w:val="center"/>
          </w:tcPr>
          <w:p w14:paraId="2A2F8A85">
            <w:pPr>
              <w:pStyle w:val="58"/>
              <w:ind w:firstLine="440"/>
              <w:rPr>
                <w:rFonts w:hint="eastAsia" w:eastAsia="微软雅黑"/>
                <w:color w:val="auto"/>
                <w:highlight w:val="none"/>
                <w:lang w:eastAsia="zh-CN"/>
              </w:rPr>
            </w:pPr>
            <w:r>
              <w:rPr>
                <w:rFonts w:hint="eastAsia"/>
                <w:color w:val="auto"/>
                <w:highlight w:val="none"/>
              </w:rPr>
              <w:t>名  称：</w:t>
            </w:r>
            <w:r>
              <w:rPr>
                <w:rFonts w:hint="eastAsia"/>
                <w:color w:val="auto"/>
                <w:highlight w:val="none"/>
                <w:lang w:eastAsia="zh-CN"/>
              </w:rPr>
              <w:t>张家界市公安局</w:t>
            </w:r>
          </w:p>
          <w:p w14:paraId="2305844C">
            <w:pPr>
              <w:pStyle w:val="58"/>
              <w:ind w:firstLine="440"/>
              <w:rPr>
                <w:rFonts w:hint="default"/>
                <w:color w:val="auto"/>
                <w:highlight w:val="none"/>
                <w:lang w:val="en-US" w:eastAsia="zh-CN"/>
              </w:rPr>
            </w:pPr>
            <w:r>
              <w:rPr>
                <w:rFonts w:hint="eastAsia"/>
                <w:color w:val="auto"/>
                <w:highlight w:val="none"/>
              </w:rPr>
              <w:t>地  址：</w:t>
            </w:r>
            <w:r>
              <w:rPr>
                <w:rFonts w:hint="eastAsia"/>
                <w:color w:val="auto"/>
                <w:highlight w:val="none"/>
                <w:lang w:val="en-US" w:eastAsia="zh-CN"/>
              </w:rPr>
              <w:t>张家界市永定区南庄坪</w:t>
            </w:r>
          </w:p>
          <w:p w14:paraId="66CD81C8">
            <w:pPr>
              <w:pStyle w:val="58"/>
              <w:ind w:firstLine="440"/>
              <w:rPr>
                <w:color w:val="auto"/>
                <w:highlight w:val="none"/>
              </w:rPr>
            </w:pPr>
            <w:r>
              <w:rPr>
                <w:rFonts w:hint="eastAsia"/>
                <w:color w:val="auto"/>
                <w:highlight w:val="none"/>
              </w:rPr>
              <w:t>联系人：</w:t>
            </w:r>
            <w:r>
              <w:rPr>
                <w:rFonts w:hint="eastAsia"/>
                <w:color w:val="auto"/>
                <w:highlight w:val="none"/>
                <w:lang w:val="en-US" w:eastAsia="zh-CN"/>
              </w:rPr>
              <w:t>贺女士</w:t>
            </w:r>
            <w:r>
              <w:rPr>
                <w:rFonts w:hint="eastAsia"/>
                <w:color w:val="auto"/>
                <w:highlight w:val="none"/>
              </w:rPr>
              <w:t xml:space="preserve">         </w:t>
            </w:r>
          </w:p>
          <w:p w14:paraId="00551F32">
            <w:pPr>
              <w:pStyle w:val="58"/>
              <w:ind w:firstLine="440"/>
              <w:rPr>
                <w:rFonts w:hint="default" w:ascii="微软雅黑" w:hAnsi="微软雅黑" w:eastAsia="微软雅黑" w:cs="微软雅黑"/>
                <w:color w:val="auto"/>
                <w:szCs w:val="21"/>
                <w:highlight w:val="none"/>
                <w:lang w:val="en-US" w:eastAsia="zh-CN"/>
              </w:rPr>
            </w:pPr>
            <w:r>
              <w:rPr>
                <w:rFonts w:hint="eastAsia"/>
                <w:color w:val="auto"/>
                <w:highlight w:val="none"/>
                <w:lang w:val="en-US" w:eastAsia="zh-CN"/>
              </w:rPr>
              <w:t>电  话：0744-8248127</w:t>
            </w:r>
          </w:p>
        </w:tc>
      </w:tr>
      <w:tr w14:paraId="1BEF503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10" w:type="dxa"/>
            <w:tcBorders>
              <w:tl2br w:val="nil"/>
              <w:tr2bl w:val="nil"/>
            </w:tcBorders>
            <w:vAlign w:val="center"/>
          </w:tcPr>
          <w:p w14:paraId="519E7420">
            <w:pPr>
              <w:pStyle w:val="48"/>
              <w:rPr>
                <w:rFonts w:ascii="微软雅黑" w:hAnsi="微软雅黑" w:cs="微软雅黑"/>
                <w:bCs/>
                <w:color w:val="auto"/>
                <w:highlight w:val="none"/>
              </w:rPr>
            </w:pPr>
            <w:r>
              <w:rPr>
                <w:rFonts w:hint="eastAsia" w:ascii="微软雅黑" w:hAnsi="微软雅黑" w:cs="微软雅黑"/>
                <w:bCs/>
                <w:color w:val="auto"/>
                <w:highlight w:val="none"/>
              </w:rPr>
              <w:t>第三条第2款</w:t>
            </w:r>
          </w:p>
        </w:tc>
        <w:tc>
          <w:tcPr>
            <w:tcW w:w="2363" w:type="dxa"/>
            <w:tcBorders>
              <w:tl2br w:val="nil"/>
              <w:tr2bl w:val="nil"/>
            </w:tcBorders>
            <w:vAlign w:val="center"/>
          </w:tcPr>
          <w:p w14:paraId="166D96A0">
            <w:pPr>
              <w:pStyle w:val="48"/>
              <w:rPr>
                <w:rFonts w:ascii="微软雅黑" w:hAnsi="微软雅黑" w:cs="微软雅黑"/>
                <w:bCs/>
                <w:color w:val="auto"/>
                <w:highlight w:val="none"/>
              </w:rPr>
            </w:pPr>
            <w:r>
              <w:rPr>
                <w:rFonts w:hint="eastAsia" w:ascii="微软雅黑" w:hAnsi="微软雅黑" w:cs="微软雅黑"/>
                <w:bCs/>
                <w:color w:val="auto"/>
                <w:highlight w:val="none"/>
                <w:lang w:val="en-US" w:eastAsia="zh-CN"/>
              </w:rPr>
              <w:t>采购代理</w:t>
            </w:r>
            <w:r>
              <w:rPr>
                <w:rFonts w:hint="eastAsia" w:ascii="微软雅黑" w:hAnsi="微软雅黑" w:cs="微软雅黑"/>
                <w:bCs/>
                <w:color w:val="auto"/>
                <w:highlight w:val="none"/>
              </w:rPr>
              <w:t>机构名称、地址、电话、项目联系人</w:t>
            </w:r>
          </w:p>
        </w:tc>
        <w:tc>
          <w:tcPr>
            <w:tcW w:w="6487" w:type="dxa"/>
            <w:tcBorders>
              <w:tl2br w:val="nil"/>
              <w:tr2bl w:val="nil"/>
            </w:tcBorders>
            <w:vAlign w:val="center"/>
          </w:tcPr>
          <w:p w14:paraId="7880E1A7">
            <w:pPr>
              <w:widowControl/>
              <w:spacing w:line="300" w:lineRule="exact"/>
              <w:ind w:firstLine="440" w:firstLineChars="200"/>
              <w:jc w:val="left"/>
              <w:rPr>
                <w:rFonts w:hint="eastAsia" w:ascii="宋体" w:hAnsi="宋体" w:eastAsia="微软雅黑" w:cs="宋体"/>
                <w:color w:val="auto"/>
                <w:kern w:val="2"/>
                <w:sz w:val="22"/>
                <w:szCs w:val="24"/>
                <w:highlight w:val="none"/>
                <w:lang w:val="en-US" w:eastAsia="zh-CN" w:bidi="ar-SA"/>
              </w:rPr>
            </w:pPr>
            <w:r>
              <w:rPr>
                <w:rFonts w:hint="eastAsia" w:ascii="宋体" w:hAnsi="宋体" w:eastAsia="微软雅黑" w:cs="宋体"/>
                <w:color w:val="auto"/>
                <w:kern w:val="2"/>
                <w:sz w:val="22"/>
                <w:szCs w:val="24"/>
                <w:highlight w:val="none"/>
                <w:lang w:val="en-US" w:eastAsia="zh-CN" w:bidi="ar-SA"/>
              </w:rPr>
              <w:t>采购代理机构：湖南省天平项目管理有限公司</w:t>
            </w:r>
          </w:p>
          <w:p w14:paraId="498F11F9">
            <w:pPr>
              <w:widowControl/>
              <w:spacing w:line="300" w:lineRule="exact"/>
              <w:ind w:firstLine="440" w:firstLineChars="200"/>
              <w:jc w:val="left"/>
              <w:rPr>
                <w:rFonts w:ascii="宋体" w:hAnsi="宋体" w:eastAsia="微软雅黑" w:cs="宋体"/>
                <w:color w:val="auto"/>
                <w:kern w:val="2"/>
                <w:sz w:val="22"/>
                <w:szCs w:val="24"/>
                <w:highlight w:val="none"/>
                <w:lang w:val="en-US" w:eastAsia="zh-CN" w:bidi="ar-SA"/>
              </w:rPr>
            </w:pPr>
            <w:r>
              <w:rPr>
                <w:rFonts w:hint="eastAsia" w:ascii="宋体" w:hAnsi="宋体" w:eastAsia="微软雅黑" w:cs="宋体"/>
                <w:color w:val="auto"/>
                <w:kern w:val="2"/>
                <w:sz w:val="22"/>
                <w:szCs w:val="24"/>
                <w:highlight w:val="none"/>
                <w:lang w:val="en-US" w:eastAsia="zh-CN" w:bidi="ar-SA"/>
              </w:rPr>
              <w:t>地  址：</w:t>
            </w:r>
            <w:r>
              <w:rPr>
                <w:rFonts w:hint="eastAsia" w:ascii="宋体" w:hAnsi="宋体" w:eastAsia="微软雅黑" w:cs="宋体"/>
                <w:color w:val="auto"/>
                <w:kern w:val="2"/>
                <w:sz w:val="22"/>
                <w:szCs w:val="24"/>
                <w:lang w:val="en-US" w:eastAsia="zh-CN" w:bidi="ar-SA"/>
              </w:rPr>
              <w:t xml:space="preserve">张家界市永定区古庸路572号金领国际大厦8楼802室（本项目联系地址） </w:t>
            </w:r>
            <w:r>
              <w:rPr>
                <w:rFonts w:hint="eastAsia" w:ascii="宋体" w:hAnsi="宋体" w:eastAsia="微软雅黑" w:cs="宋体"/>
                <w:color w:val="auto"/>
                <w:kern w:val="2"/>
                <w:sz w:val="22"/>
                <w:szCs w:val="24"/>
                <w:highlight w:val="none"/>
                <w:lang w:val="en-US" w:eastAsia="zh-CN" w:bidi="ar-SA"/>
              </w:rPr>
              <w:t xml:space="preserve">    </w:t>
            </w:r>
          </w:p>
          <w:p w14:paraId="1196C978">
            <w:pPr>
              <w:widowControl/>
              <w:spacing w:line="300" w:lineRule="exact"/>
              <w:ind w:firstLine="440" w:firstLineChars="200"/>
              <w:jc w:val="left"/>
              <w:rPr>
                <w:rFonts w:hint="eastAsia" w:ascii="宋体" w:hAnsi="宋体" w:eastAsia="微软雅黑" w:cs="宋体"/>
                <w:color w:val="auto"/>
                <w:kern w:val="2"/>
                <w:sz w:val="22"/>
                <w:szCs w:val="24"/>
                <w:highlight w:val="none"/>
                <w:lang w:val="en-US" w:eastAsia="zh-CN" w:bidi="ar-SA"/>
              </w:rPr>
            </w:pPr>
            <w:r>
              <w:rPr>
                <w:rFonts w:hint="eastAsia" w:ascii="宋体" w:hAnsi="宋体" w:eastAsia="微软雅黑" w:cs="宋体"/>
                <w:color w:val="auto"/>
                <w:kern w:val="2"/>
                <w:sz w:val="22"/>
                <w:szCs w:val="24"/>
                <w:highlight w:val="none"/>
                <w:lang w:val="en-US" w:eastAsia="zh-CN" w:bidi="ar-SA"/>
              </w:rPr>
              <w:t>联系人：龙先生</w:t>
            </w:r>
          </w:p>
          <w:p w14:paraId="2956F237">
            <w:pPr>
              <w:pStyle w:val="58"/>
              <w:ind w:firstLine="440"/>
              <w:rPr>
                <w:rFonts w:hint="eastAsia" w:eastAsia="微软雅黑"/>
                <w:color w:val="auto"/>
                <w:highlight w:val="none"/>
                <w:lang w:eastAsia="zh-CN"/>
              </w:rPr>
            </w:pPr>
            <w:r>
              <w:rPr>
                <w:rFonts w:hint="eastAsia" w:ascii="宋体" w:hAnsi="宋体" w:eastAsia="微软雅黑" w:cs="宋体"/>
                <w:color w:val="auto"/>
                <w:kern w:val="2"/>
                <w:sz w:val="22"/>
                <w:szCs w:val="24"/>
                <w:highlight w:val="none"/>
                <w:lang w:val="en-US" w:eastAsia="zh-CN" w:bidi="ar-SA"/>
              </w:rPr>
              <w:t>电  话：</w:t>
            </w:r>
            <w:r>
              <w:rPr>
                <w:rFonts w:hint="eastAsia" w:ascii="微软雅黑" w:hAnsi="微软雅黑" w:eastAsia="微软雅黑" w:cs="微软雅黑"/>
                <w:color w:val="auto"/>
                <w:kern w:val="2"/>
                <w:sz w:val="22"/>
                <w:szCs w:val="24"/>
                <w:highlight w:val="none"/>
                <w:lang w:val="en-US" w:eastAsia="zh-CN" w:bidi="ar-SA"/>
              </w:rPr>
              <w:t>15207448863</w:t>
            </w:r>
          </w:p>
        </w:tc>
      </w:tr>
      <w:tr w14:paraId="521160A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10" w:type="dxa"/>
            <w:tcBorders>
              <w:tl2br w:val="nil"/>
              <w:tr2bl w:val="nil"/>
            </w:tcBorders>
            <w:vAlign w:val="center"/>
          </w:tcPr>
          <w:p w14:paraId="1FD118A0">
            <w:pPr>
              <w:pStyle w:val="48"/>
              <w:rPr>
                <w:rFonts w:hint="eastAsia" w:ascii="微软雅黑" w:hAnsi="微软雅黑" w:cs="微软雅黑"/>
                <w:b w:val="0"/>
                <w:bCs w:val="0"/>
                <w:color w:val="auto"/>
                <w:highlight w:val="none"/>
              </w:rPr>
            </w:pPr>
            <w:r>
              <w:rPr>
                <w:rFonts w:hint="eastAsia" w:ascii="微软雅黑" w:hAnsi="微软雅黑" w:cs="微软雅黑"/>
                <w:bCs/>
                <w:color w:val="auto"/>
                <w:highlight w:val="none"/>
              </w:rPr>
              <w:t>第三条</w:t>
            </w:r>
            <w:r>
              <w:rPr>
                <w:rFonts w:hint="eastAsia" w:ascii="微软雅黑" w:hAnsi="微软雅黑" w:cs="微软雅黑"/>
                <w:bCs/>
                <w:color w:val="auto"/>
                <w:highlight w:val="none"/>
                <w:lang w:val="en-US" w:eastAsia="zh-CN"/>
              </w:rPr>
              <w:t>3</w:t>
            </w:r>
            <w:r>
              <w:rPr>
                <w:rFonts w:hint="eastAsia" w:ascii="微软雅黑" w:hAnsi="微软雅黑" w:cs="微软雅黑"/>
                <w:bCs/>
                <w:color w:val="auto"/>
                <w:highlight w:val="none"/>
              </w:rPr>
              <w:t>款（</w:t>
            </w:r>
            <w:r>
              <w:rPr>
                <w:rFonts w:hint="eastAsia" w:ascii="微软雅黑" w:hAnsi="微软雅黑" w:cs="微软雅黑"/>
                <w:bCs/>
                <w:color w:val="auto"/>
                <w:highlight w:val="none"/>
                <w:lang w:val="en-US" w:eastAsia="zh-CN"/>
              </w:rPr>
              <w:t>4</w:t>
            </w:r>
            <w:r>
              <w:rPr>
                <w:rFonts w:hint="eastAsia" w:ascii="微软雅黑" w:hAnsi="微软雅黑" w:cs="微软雅黑"/>
                <w:bCs/>
                <w:color w:val="auto"/>
                <w:highlight w:val="none"/>
              </w:rPr>
              <w:t>）</w:t>
            </w:r>
          </w:p>
        </w:tc>
        <w:tc>
          <w:tcPr>
            <w:tcW w:w="2363" w:type="dxa"/>
            <w:tcBorders>
              <w:tl2br w:val="nil"/>
              <w:tr2bl w:val="nil"/>
            </w:tcBorders>
            <w:shd w:val="clear" w:color="auto" w:fill="auto"/>
            <w:vAlign w:val="center"/>
          </w:tcPr>
          <w:p w14:paraId="4BEA2EE8">
            <w:pPr>
              <w:pStyle w:val="48"/>
              <w:rPr>
                <w:rFonts w:hint="eastAsia" w:ascii="Times New Roman" w:hAnsi="Times New Roman" w:eastAsia="微软雅黑" w:cs="Times New Roman"/>
                <w:b/>
                <w:bCs/>
                <w:color w:val="auto"/>
                <w:kern w:val="2"/>
                <w:sz w:val="22"/>
                <w:szCs w:val="24"/>
                <w:highlight w:val="none"/>
                <w:lang w:val="en-US" w:eastAsia="zh-CN" w:bidi="ar-SA"/>
              </w:rPr>
            </w:pPr>
            <w:r>
              <w:rPr>
                <w:b/>
                <w:bCs/>
                <w:color w:val="auto"/>
                <w:highlight w:val="none"/>
              </w:rPr>
              <w:t>是否为专门面向中小企业采购</w:t>
            </w:r>
          </w:p>
        </w:tc>
        <w:tc>
          <w:tcPr>
            <w:tcW w:w="6487" w:type="dxa"/>
            <w:tcBorders>
              <w:tl2br w:val="nil"/>
              <w:tr2bl w:val="nil"/>
            </w:tcBorders>
            <w:shd w:val="clear" w:color="auto" w:fill="auto"/>
            <w:vAlign w:val="center"/>
          </w:tcPr>
          <w:p w14:paraId="499F4641">
            <w:pPr>
              <w:pStyle w:val="48"/>
              <w:keepNext w:val="0"/>
              <w:keepLines w:val="0"/>
              <w:pageBreakBefore w:val="0"/>
              <w:widowControl w:val="0"/>
              <w:kinsoku/>
              <w:wordWrap/>
              <w:overflowPunct/>
              <w:topLinePunct w:val="0"/>
              <w:autoSpaceDE/>
              <w:autoSpaceDN/>
              <w:bidi w:val="0"/>
              <w:adjustRightInd/>
              <w:snapToGrid/>
              <w:ind w:firstLine="482" w:firstLineChars="200"/>
              <w:jc w:val="left"/>
              <w:textAlignment w:val="auto"/>
              <w:rPr>
                <w:rFonts w:hint="eastAsia" w:ascii="Times New Roman" w:hAnsi="Times New Roman" w:eastAsia="微软雅黑" w:cs="Times New Roman"/>
                <w:b/>
                <w:color w:val="auto"/>
                <w:kern w:val="2"/>
                <w:sz w:val="22"/>
                <w:szCs w:val="24"/>
                <w:highlight w:val="none"/>
                <w:lang w:val="en-US" w:eastAsia="zh-CN" w:bidi="ar-SA"/>
              </w:rPr>
            </w:pPr>
            <w:r>
              <w:rPr>
                <w:rFonts w:ascii="宋体" w:hAnsi="宋体" w:eastAsia="宋体" w:cs="宋体"/>
                <w:color w:val="auto"/>
                <w:kern w:val="0"/>
                <w:sz w:val="24"/>
                <w:szCs w:val="24"/>
                <w:highlight w:val="none"/>
                <w:lang w:val="en-US" w:eastAsia="zh-CN" w:bidi="ar"/>
              </w:rPr>
              <w:sym w:font="Wingdings" w:char="00FE"/>
            </w:r>
            <w:r>
              <w:rPr>
                <w:b/>
                <w:bCs/>
                <w:color w:val="auto"/>
                <w:highlight w:val="none"/>
              </w:rPr>
              <w:t>是</w:t>
            </w:r>
            <w:r>
              <w:rPr>
                <w:rFonts w:hint="eastAsia"/>
                <w:b/>
                <w:bCs/>
                <w:color w:val="auto"/>
                <w:highlight w:val="none"/>
              </w:rPr>
              <w:t xml:space="preserve"> </w:t>
            </w:r>
            <w:r>
              <w:rPr>
                <w:rFonts w:hint="eastAsia"/>
                <w:color w:val="auto"/>
                <w:highlight w:val="none"/>
              </w:rPr>
              <w:t xml:space="preserve">  </w:t>
            </w:r>
            <w:r>
              <w:rPr>
                <w:color w:val="auto"/>
                <w:highlight w:val="none"/>
              </w:rPr>
              <w:tab/>
            </w:r>
            <w:r>
              <w:rPr>
                <w:rFonts w:ascii="宋体" w:hAnsi="宋体" w:eastAsia="宋体" w:cs="宋体"/>
                <w:color w:val="auto"/>
                <w:kern w:val="0"/>
                <w:sz w:val="24"/>
                <w:szCs w:val="24"/>
                <w:highlight w:val="none"/>
                <w:lang w:val="en-US" w:eastAsia="zh-CN" w:bidi="ar"/>
              </w:rPr>
              <w:sym w:font="Wingdings" w:char="00A8"/>
            </w:r>
            <w:r>
              <w:rPr>
                <w:b w:val="0"/>
                <w:bCs w:val="0"/>
                <w:color w:val="auto"/>
                <w:highlight w:val="none"/>
              </w:rPr>
              <w:t>否</w:t>
            </w:r>
          </w:p>
        </w:tc>
      </w:tr>
      <w:tr w14:paraId="1D47EC3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10" w:type="dxa"/>
            <w:tcBorders>
              <w:tl2br w:val="nil"/>
              <w:tr2bl w:val="nil"/>
            </w:tcBorders>
            <w:vAlign w:val="center"/>
          </w:tcPr>
          <w:p w14:paraId="66249E73">
            <w:pPr>
              <w:pStyle w:val="48"/>
              <w:rPr>
                <w:rFonts w:hint="eastAsia" w:ascii="微软雅黑" w:hAnsi="微软雅黑" w:cs="微软雅黑"/>
                <w:bCs/>
                <w:color w:val="auto"/>
                <w:highlight w:val="none"/>
              </w:rPr>
            </w:pPr>
            <w:r>
              <w:rPr>
                <w:rFonts w:hint="eastAsia" w:ascii="微软雅黑" w:hAnsi="微软雅黑" w:cs="微软雅黑"/>
                <w:bCs/>
                <w:color w:val="auto"/>
                <w:highlight w:val="none"/>
              </w:rPr>
              <w:t>第三条</w:t>
            </w:r>
            <w:r>
              <w:rPr>
                <w:rFonts w:hint="eastAsia" w:ascii="微软雅黑" w:hAnsi="微软雅黑" w:cs="微软雅黑"/>
                <w:bCs/>
                <w:color w:val="auto"/>
                <w:highlight w:val="none"/>
                <w:lang w:val="en-US" w:eastAsia="zh-CN"/>
              </w:rPr>
              <w:t>3</w:t>
            </w:r>
            <w:r>
              <w:rPr>
                <w:rFonts w:hint="eastAsia" w:ascii="微软雅黑" w:hAnsi="微软雅黑" w:cs="微软雅黑"/>
                <w:bCs/>
                <w:color w:val="auto"/>
                <w:highlight w:val="none"/>
              </w:rPr>
              <w:t>款（</w:t>
            </w:r>
            <w:r>
              <w:rPr>
                <w:rFonts w:hint="eastAsia" w:ascii="微软雅黑" w:hAnsi="微软雅黑" w:cs="微软雅黑"/>
                <w:bCs/>
                <w:color w:val="auto"/>
                <w:highlight w:val="none"/>
                <w:lang w:val="en-US" w:eastAsia="zh-CN"/>
              </w:rPr>
              <w:t>5</w:t>
            </w:r>
            <w:r>
              <w:rPr>
                <w:rFonts w:hint="eastAsia" w:ascii="微软雅黑" w:hAnsi="微软雅黑" w:cs="微软雅黑"/>
                <w:bCs/>
                <w:color w:val="auto"/>
                <w:highlight w:val="none"/>
              </w:rPr>
              <w:t>）</w:t>
            </w:r>
          </w:p>
        </w:tc>
        <w:tc>
          <w:tcPr>
            <w:tcW w:w="2363" w:type="dxa"/>
            <w:tcBorders>
              <w:tl2br w:val="nil"/>
              <w:tr2bl w:val="nil"/>
            </w:tcBorders>
            <w:shd w:val="clear" w:color="auto" w:fill="auto"/>
            <w:vAlign w:val="center"/>
          </w:tcPr>
          <w:p w14:paraId="48DD5146">
            <w:pPr>
              <w:pStyle w:val="48"/>
              <w:rPr>
                <w:b w:val="0"/>
                <w:bCs w:val="0"/>
                <w:color w:val="auto"/>
                <w:highlight w:val="none"/>
              </w:rPr>
            </w:pPr>
            <w:r>
              <w:rPr>
                <w:rFonts w:hint="eastAsia"/>
                <w:b/>
                <w:bCs/>
                <w:color w:val="auto"/>
                <w:highlight w:val="none"/>
              </w:rPr>
              <w:t>采购进口产品</w:t>
            </w:r>
          </w:p>
        </w:tc>
        <w:tc>
          <w:tcPr>
            <w:tcW w:w="6487" w:type="dxa"/>
            <w:tcBorders>
              <w:tl2br w:val="nil"/>
              <w:tr2bl w:val="nil"/>
            </w:tcBorders>
            <w:shd w:val="clear" w:color="auto" w:fill="auto"/>
            <w:vAlign w:val="center"/>
          </w:tcPr>
          <w:p w14:paraId="13C65C19">
            <w:pPr>
              <w:pStyle w:val="48"/>
              <w:keepNext w:val="0"/>
              <w:keepLines w:val="0"/>
              <w:pageBreakBefore w:val="0"/>
              <w:widowControl w:val="0"/>
              <w:kinsoku/>
              <w:wordWrap/>
              <w:overflowPunct/>
              <w:topLinePunct w:val="0"/>
              <w:autoSpaceDE/>
              <w:autoSpaceDN/>
              <w:bidi w:val="0"/>
              <w:adjustRightInd/>
              <w:snapToGrid/>
              <w:ind w:firstLine="482" w:firstLineChars="200"/>
              <w:jc w:val="left"/>
              <w:textAlignment w:val="auto"/>
              <w:rPr>
                <w:b/>
                <w:bCs/>
                <w:color w:val="auto"/>
                <w:highlight w:val="none"/>
              </w:rPr>
            </w:pPr>
            <w:r>
              <w:rPr>
                <w:rFonts w:ascii="宋体" w:hAnsi="宋体" w:eastAsia="宋体" w:cs="宋体"/>
                <w:color w:val="auto"/>
                <w:kern w:val="0"/>
                <w:sz w:val="24"/>
                <w:szCs w:val="24"/>
                <w:highlight w:val="none"/>
                <w:lang w:val="en-US" w:eastAsia="zh-CN" w:bidi="ar"/>
              </w:rPr>
              <w:sym w:font="Wingdings" w:char="00A8"/>
            </w:r>
            <w:r>
              <w:rPr>
                <w:rFonts w:hint="eastAsia"/>
                <w:b w:val="0"/>
                <w:bCs/>
                <w:color w:val="auto"/>
                <w:sz w:val="20"/>
                <w:szCs w:val="20"/>
                <w:highlight w:val="none"/>
              </w:rPr>
              <w:t>接受</w:t>
            </w:r>
            <w:r>
              <w:rPr>
                <w:rFonts w:hint="eastAsia"/>
                <w:color w:val="auto"/>
                <w:sz w:val="20"/>
                <w:szCs w:val="20"/>
                <w:highlight w:val="none"/>
              </w:rPr>
              <w:t xml:space="preserve">   </w:t>
            </w:r>
            <w:r>
              <w:rPr>
                <w:rFonts w:ascii="宋体" w:hAnsi="宋体" w:eastAsia="宋体" w:cs="宋体"/>
                <w:color w:val="auto"/>
                <w:kern w:val="0"/>
                <w:sz w:val="24"/>
                <w:szCs w:val="24"/>
                <w:highlight w:val="none"/>
                <w:lang w:val="en-US" w:eastAsia="zh-CN" w:bidi="ar"/>
              </w:rPr>
              <w:sym w:font="Wingdings" w:char="00FE"/>
            </w:r>
            <w:r>
              <w:rPr>
                <w:rFonts w:hint="eastAsia"/>
                <w:color w:val="auto"/>
                <w:sz w:val="20"/>
                <w:szCs w:val="20"/>
                <w:highlight w:val="none"/>
              </w:rPr>
              <w:t>拒绝</w:t>
            </w:r>
          </w:p>
        </w:tc>
      </w:tr>
      <w:tr w14:paraId="5832C96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110" w:type="dxa"/>
            <w:tcBorders>
              <w:tl2br w:val="nil"/>
              <w:tr2bl w:val="nil"/>
            </w:tcBorders>
            <w:vAlign w:val="center"/>
          </w:tcPr>
          <w:p w14:paraId="6325BC24">
            <w:pPr>
              <w:pStyle w:val="48"/>
              <w:rPr>
                <w:rFonts w:ascii="微软雅黑" w:hAnsi="微软雅黑" w:cs="微软雅黑"/>
                <w:bCs/>
                <w:color w:val="auto"/>
                <w:highlight w:val="none"/>
              </w:rPr>
            </w:pPr>
            <w:r>
              <w:rPr>
                <w:rFonts w:hint="eastAsia" w:ascii="微软雅黑" w:hAnsi="微软雅黑" w:cs="微软雅黑"/>
                <w:bCs/>
                <w:color w:val="auto"/>
                <w:highlight w:val="none"/>
              </w:rPr>
              <w:t>第三条</w:t>
            </w:r>
            <w:r>
              <w:rPr>
                <w:rFonts w:hint="eastAsia" w:ascii="微软雅黑" w:hAnsi="微软雅黑" w:cs="微软雅黑"/>
                <w:bCs/>
                <w:color w:val="auto"/>
                <w:highlight w:val="none"/>
                <w:lang w:val="en-US" w:eastAsia="zh-CN"/>
              </w:rPr>
              <w:t>4</w:t>
            </w:r>
            <w:r>
              <w:rPr>
                <w:rFonts w:hint="eastAsia" w:ascii="微软雅黑" w:hAnsi="微软雅黑" w:cs="微软雅黑"/>
                <w:bCs/>
                <w:color w:val="auto"/>
                <w:highlight w:val="none"/>
              </w:rPr>
              <w:t>款</w:t>
            </w:r>
          </w:p>
        </w:tc>
        <w:tc>
          <w:tcPr>
            <w:tcW w:w="2363" w:type="dxa"/>
            <w:tcBorders>
              <w:tl2br w:val="nil"/>
              <w:tr2bl w:val="nil"/>
            </w:tcBorders>
            <w:vAlign w:val="center"/>
          </w:tcPr>
          <w:p w14:paraId="6F857EF6">
            <w:pPr>
              <w:pStyle w:val="48"/>
              <w:rPr>
                <w:rFonts w:ascii="微软雅黑" w:hAnsi="微软雅黑" w:cs="微软雅黑"/>
                <w:bCs/>
                <w:color w:val="auto"/>
                <w:highlight w:val="none"/>
              </w:rPr>
            </w:pPr>
            <w:r>
              <w:rPr>
                <w:rFonts w:hint="eastAsia" w:ascii="微软雅黑" w:hAnsi="微软雅黑" w:cs="微软雅黑"/>
                <w:bCs/>
                <w:color w:val="auto"/>
                <w:highlight w:val="none"/>
              </w:rPr>
              <w:t>是否允许联合体</w:t>
            </w:r>
          </w:p>
          <w:p w14:paraId="41B87ED8">
            <w:pPr>
              <w:pStyle w:val="48"/>
              <w:rPr>
                <w:rFonts w:hint="eastAsia" w:ascii="微软雅黑" w:hAnsi="微软雅黑" w:eastAsia="微软雅黑" w:cs="微软雅黑"/>
                <w:bCs/>
                <w:color w:val="auto"/>
                <w:highlight w:val="none"/>
                <w:lang w:val="en-US" w:eastAsia="zh-CN"/>
              </w:rPr>
            </w:pPr>
            <w:r>
              <w:rPr>
                <w:rFonts w:hint="eastAsia" w:ascii="微软雅黑" w:hAnsi="微软雅黑" w:cs="微软雅黑"/>
                <w:bCs/>
                <w:color w:val="auto"/>
                <w:highlight w:val="none"/>
                <w:lang w:val="en-US" w:eastAsia="zh-CN"/>
              </w:rPr>
              <w:t>投标</w:t>
            </w:r>
          </w:p>
        </w:tc>
        <w:tc>
          <w:tcPr>
            <w:tcW w:w="6487" w:type="dxa"/>
            <w:tcBorders>
              <w:tl2br w:val="nil"/>
              <w:tr2bl w:val="nil"/>
            </w:tcBorders>
            <w:vAlign w:val="center"/>
          </w:tcPr>
          <w:p w14:paraId="5B002DA1">
            <w:pPr>
              <w:pStyle w:val="58"/>
              <w:ind w:firstLine="440"/>
              <w:rPr>
                <w:rFonts w:ascii="微软雅黑" w:hAnsi="微软雅黑" w:cs="微软雅黑"/>
                <w:color w:val="auto"/>
                <w:szCs w:val="21"/>
                <w:highlight w:val="none"/>
              </w:rPr>
            </w:pPr>
            <w:r>
              <w:rPr>
                <w:rFonts w:ascii="宋体" w:hAnsi="宋体" w:eastAsia="宋体" w:cs="宋体"/>
                <w:color w:val="auto"/>
                <w:kern w:val="0"/>
                <w:sz w:val="24"/>
                <w:szCs w:val="24"/>
                <w:highlight w:val="none"/>
                <w:lang w:val="en-US" w:eastAsia="zh-CN" w:bidi="ar"/>
              </w:rPr>
              <w:sym w:font="Wingdings" w:char="00A8"/>
            </w:r>
            <w:r>
              <w:rPr>
                <w:rFonts w:hint="eastAsia"/>
                <w:color w:val="auto"/>
                <w:highlight w:val="none"/>
              </w:rPr>
              <w:t xml:space="preserve">接受  </w:t>
            </w:r>
            <w:r>
              <w:rPr>
                <w:rFonts w:ascii="宋体" w:hAnsi="宋体" w:eastAsia="宋体" w:cs="宋体"/>
                <w:color w:val="auto"/>
                <w:kern w:val="0"/>
                <w:sz w:val="24"/>
                <w:szCs w:val="24"/>
                <w:highlight w:val="none"/>
                <w:lang w:val="en-US" w:eastAsia="zh-CN" w:bidi="ar"/>
              </w:rPr>
              <w:sym w:font="Wingdings" w:char="00FE"/>
            </w:r>
            <w:r>
              <w:rPr>
                <w:rFonts w:hint="eastAsia"/>
                <w:color w:val="auto"/>
                <w:highlight w:val="none"/>
              </w:rPr>
              <w:t>不接受</w:t>
            </w:r>
          </w:p>
        </w:tc>
      </w:tr>
      <w:tr w14:paraId="179AB88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10" w:type="dxa"/>
            <w:tcBorders>
              <w:tl2br w:val="nil"/>
              <w:tr2bl w:val="nil"/>
            </w:tcBorders>
            <w:vAlign w:val="center"/>
          </w:tcPr>
          <w:p w14:paraId="5BED7440">
            <w:pPr>
              <w:pStyle w:val="48"/>
              <w:rPr>
                <w:rFonts w:ascii="微软雅黑" w:hAnsi="微软雅黑" w:cs="微软雅黑"/>
                <w:bCs/>
                <w:color w:val="auto"/>
                <w:highlight w:val="none"/>
              </w:rPr>
            </w:pPr>
            <w:r>
              <w:rPr>
                <w:rFonts w:hint="eastAsia" w:ascii="微软雅黑" w:hAnsi="微软雅黑" w:cs="微软雅黑"/>
                <w:bCs/>
                <w:color w:val="auto"/>
                <w:highlight w:val="none"/>
              </w:rPr>
              <w:t>第</w:t>
            </w:r>
            <w:r>
              <w:rPr>
                <w:rFonts w:hint="eastAsia" w:ascii="微软雅黑" w:hAnsi="微软雅黑" w:cs="微软雅黑"/>
                <w:bCs/>
                <w:color w:val="auto"/>
                <w:highlight w:val="none"/>
                <w:lang w:val="en-US" w:eastAsia="zh-CN"/>
              </w:rPr>
              <w:t>八</w:t>
            </w:r>
            <w:r>
              <w:rPr>
                <w:rFonts w:hint="eastAsia" w:ascii="微软雅黑" w:hAnsi="微软雅黑" w:cs="微软雅黑"/>
                <w:bCs/>
                <w:color w:val="auto"/>
                <w:highlight w:val="none"/>
              </w:rPr>
              <w:t>条第</w:t>
            </w:r>
            <w:r>
              <w:rPr>
                <w:rFonts w:hint="eastAsia" w:ascii="微软雅黑" w:hAnsi="微软雅黑" w:cs="微软雅黑"/>
                <w:bCs/>
                <w:color w:val="auto"/>
                <w:highlight w:val="none"/>
                <w:lang w:val="en-US" w:eastAsia="zh-CN"/>
              </w:rPr>
              <w:t>1</w:t>
            </w:r>
            <w:r>
              <w:rPr>
                <w:rFonts w:hint="eastAsia" w:ascii="微软雅黑" w:hAnsi="微软雅黑" w:cs="微软雅黑"/>
                <w:bCs/>
                <w:color w:val="auto"/>
                <w:highlight w:val="none"/>
              </w:rPr>
              <w:t>款</w:t>
            </w:r>
          </w:p>
        </w:tc>
        <w:tc>
          <w:tcPr>
            <w:tcW w:w="2363" w:type="dxa"/>
            <w:tcBorders>
              <w:tl2br w:val="nil"/>
              <w:tr2bl w:val="nil"/>
            </w:tcBorders>
            <w:vAlign w:val="center"/>
          </w:tcPr>
          <w:p w14:paraId="60112F74">
            <w:pPr>
              <w:pStyle w:val="48"/>
              <w:rPr>
                <w:rFonts w:ascii="微软雅黑" w:hAnsi="微软雅黑" w:cs="微软雅黑"/>
                <w:bCs/>
                <w:color w:val="auto"/>
                <w:highlight w:val="none"/>
              </w:rPr>
            </w:pPr>
            <w:r>
              <w:rPr>
                <w:rFonts w:hint="eastAsia" w:ascii="微软雅黑" w:hAnsi="微软雅黑" w:cs="微软雅黑"/>
                <w:bCs/>
                <w:color w:val="auto"/>
                <w:highlight w:val="none"/>
              </w:rPr>
              <w:t>现场考察</w:t>
            </w:r>
          </w:p>
        </w:tc>
        <w:tc>
          <w:tcPr>
            <w:tcW w:w="6487" w:type="dxa"/>
            <w:tcBorders>
              <w:tl2br w:val="nil"/>
              <w:tr2bl w:val="nil"/>
            </w:tcBorders>
            <w:vAlign w:val="center"/>
          </w:tcPr>
          <w:p w14:paraId="23F42CEA">
            <w:pPr>
              <w:pStyle w:val="58"/>
              <w:ind w:firstLine="440"/>
              <w:rPr>
                <w:color w:val="auto"/>
                <w:highlight w:val="none"/>
              </w:rPr>
            </w:pPr>
            <w:r>
              <w:rPr>
                <w:rFonts w:ascii="宋体" w:hAnsi="宋体" w:eastAsia="宋体" w:cs="宋体"/>
                <w:color w:val="auto"/>
                <w:kern w:val="0"/>
                <w:sz w:val="24"/>
                <w:szCs w:val="24"/>
                <w:highlight w:val="none"/>
                <w:lang w:val="en-US" w:eastAsia="zh-CN" w:bidi="ar"/>
              </w:rPr>
              <w:sym w:font="Wingdings" w:char="00FE"/>
            </w:r>
            <w:r>
              <w:rPr>
                <w:rFonts w:hint="eastAsia"/>
                <w:color w:val="auto"/>
                <w:highlight w:val="none"/>
              </w:rPr>
              <w:t>不组织，</w:t>
            </w:r>
            <w:r>
              <w:rPr>
                <w:rFonts w:hint="eastAsia"/>
                <w:color w:val="auto"/>
                <w:highlight w:val="none"/>
                <w:lang w:eastAsia="zh-CN"/>
              </w:rPr>
              <w:t>供应商</w:t>
            </w:r>
            <w:r>
              <w:rPr>
                <w:rFonts w:hint="eastAsia"/>
                <w:color w:val="auto"/>
                <w:highlight w:val="none"/>
              </w:rPr>
              <w:t>自行考察</w:t>
            </w:r>
          </w:p>
          <w:p w14:paraId="60F8BC9F">
            <w:pPr>
              <w:pStyle w:val="58"/>
              <w:rPr>
                <w:color w:val="auto"/>
                <w:highlight w:val="none"/>
              </w:rPr>
            </w:pPr>
            <w:r>
              <w:rPr>
                <w:rFonts w:ascii="宋体" w:hAnsi="宋体" w:eastAsia="宋体" w:cs="宋体"/>
                <w:color w:val="auto"/>
                <w:kern w:val="0"/>
                <w:sz w:val="24"/>
                <w:szCs w:val="24"/>
                <w:highlight w:val="none"/>
                <w:lang w:val="en-US" w:eastAsia="zh-CN" w:bidi="ar"/>
              </w:rPr>
              <w:sym w:font="Wingdings" w:char="00A8"/>
            </w:r>
            <w:r>
              <w:rPr>
                <w:rFonts w:hint="eastAsia"/>
                <w:color w:val="auto"/>
                <w:highlight w:val="none"/>
              </w:rPr>
              <w:t>统一组织</w:t>
            </w:r>
          </w:p>
          <w:p w14:paraId="7F25407E">
            <w:pPr>
              <w:pStyle w:val="58"/>
              <w:ind w:firstLine="440"/>
              <w:rPr>
                <w:color w:val="auto"/>
                <w:highlight w:val="none"/>
              </w:rPr>
            </w:pPr>
            <w:r>
              <w:rPr>
                <w:rFonts w:hint="eastAsia"/>
                <w:color w:val="auto"/>
                <w:highlight w:val="none"/>
              </w:rPr>
              <w:t xml:space="preserve">时间： </w:t>
            </w:r>
            <w:r>
              <w:rPr>
                <w:rFonts w:hint="eastAsia"/>
                <w:color w:val="auto"/>
                <w:highlight w:val="none"/>
              </w:rPr>
              <w:tab/>
            </w:r>
            <w:r>
              <w:rPr>
                <w:rFonts w:hint="eastAsia"/>
                <w:color w:val="auto"/>
                <w:highlight w:val="none"/>
              </w:rPr>
              <w:t>年  月  日  时  分</w:t>
            </w:r>
          </w:p>
          <w:p w14:paraId="447B0D1B">
            <w:pPr>
              <w:pStyle w:val="58"/>
              <w:ind w:firstLine="440"/>
              <w:rPr>
                <w:color w:val="auto"/>
                <w:highlight w:val="none"/>
              </w:rPr>
            </w:pPr>
            <w:r>
              <w:rPr>
                <w:rFonts w:hint="eastAsia"/>
                <w:color w:val="auto"/>
                <w:highlight w:val="none"/>
              </w:rPr>
              <w:t xml:space="preserve">地点： </w:t>
            </w:r>
            <w:r>
              <w:rPr>
                <w:rFonts w:hint="eastAsia"/>
                <w:color w:val="auto"/>
                <w:highlight w:val="none"/>
              </w:rPr>
              <w:tab/>
            </w:r>
            <w:r>
              <w:rPr>
                <w:rFonts w:hint="eastAsia"/>
                <w:color w:val="auto"/>
                <w:highlight w:val="none"/>
              </w:rPr>
              <w:tab/>
            </w:r>
          </w:p>
          <w:p w14:paraId="5C4D681B">
            <w:pPr>
              <w:pStyle w:val="58"/>
              <w:ind w:firstLine="440"/>
              <w:rPr>
                <w:color w:val="auto"/>
                <w:highlight w:val="none"/>
              </w:rPr>
            </w:pPr>
            <w:r>
              <w:rPr>
                <w:rFonts w:hint="eastAsia"/>
                <w:color w:val="auto"/>
                <w:highlight w:val="none"/>
              </w:rPr>
              <w:t xml:space="preserve">现场考察联系人及联系电话： </w:t>
            </w:r>
            <w:r>
              <w:rPr>
                <w:rFonts w:hint="eastAsia"/>
                <w:color w:val="auto"/>
                <w:highlight w:val="none"/>
              </w:rPr>
              <w:tab/>
            </w:r>
          </w:p>
          <w:p w14:paraId="403824C8">
            <w:pPr>
              <w:pStyle w:val="58"/>
              <w:ind w:firstLine="440"/>
              <w:rPr>
                <w:rFonts w:ascii="微软雅黑" w:hAnsi="微软雅黑" w:cs="微软雅黑"/>
                <w:color w:val="auto"/>
                <w:szCs w:val="21"/>
                <w:highlight w:val="none"/>
              </w:rPr>
            </w:pPr>
            <w:r>
              <w:rPr>
                <w:rFonts w:hint="eastAsia"/>
                <w:color w:val="auto"/>
                <w:highlight w:val="none"/>
              </w:rPr>
              <w:t>备注：如</w:t>
            </w:r>
            <w:r>
              <w:rPr>
                <w:rFonts w:hint="eastAsia"/>
                <w:color w:val="auto"/>
                <w:highlight w:val="none"/>
                <w:lang w:eastAsia="zh-CN"/>
              </w:rPr>
              <w:t>供应商</w:t>
            </w:r>
            <w:r>
              <w:rPr>
                <w:rFonts w:hint="eastAsia"/>
                <w:color w:val="auto"/>
                <w:highlight w:val="none"/>
              </w:rPr>
              <w:t>未参加</w:t>
            </w:r>
            <w:r>
              <w:rPr>
                <w:rFonts w:hint="eastAsia"/>
                <w:color w:val="auto"/>
                <w:highlight w:val="none"/>
                <w:lang w:eastAsia="zh-CN"/>
              </w:rPr>
              <w:t>采购人</w:t>
            </w:r>
            <w:r>
              <w:rPr>
                <w:rFonts w:hint="eastAsia"/>
                <w:color w:val="auto"/>
                <w:highlight w:val="none"/>
              </w:rPr>
              <w:t>统一组织的现场考察，视同放弃现场考察，由此引起的一切责任由</w:t>
            </w:r>
            <w:r>
              <w:rPr>
                <w:rFonts w:hint="eastAsia"/>
                <w:color w:val="auto"/>
                <w:highlight w:val="none"/>
                <w:lang w:eastAsia="zh-CN"/>
              </w:rPr>
              <w:t>供应商</w:t>
            </w:r>
            <w:r>
              <w:rPr>
                <w:rFonts w:hint="eastAsia"/>
                <w:color w:val="auto"/>
                <w:highlight w:val="none"/>
              </w:rPr>
              <w:t>自行承担。</w:t>
            </w:r>
          </w:p>
        </w:tc>
      </w:tr>
      <w:tr w14:paraId="4E0A69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10" w:type="dxa"/>
            <w:tcBorders>
              <w:tl2br w:val="nil"/>
              <w:tr2bl w:val="nil"/>
            </w:tcBorders>
            <w:vAlign w:val="center"/>
          </w:tcPr>
          <w:p w14:paraId="34955960">
            <w:pPr>
              <w:pStyle w:val="48"/>
              <w:rPr>
                <w:rFonts w:ascii="微软雅黑" w:hAnsi="微软雅黑" w:cs="微软雅黑"/>
                <w:bCs/>
                <w:color w:val="auto"/>
                <w:highlight w:val="none"/>
              </w:rPr>
            </w:pPr>
            <w:r>
              <w:rPr>
                <w:rFonts w:hint="eastAsia" w:ascii="微软雅黑" w:hAnsi="微软雅黑" w:cs="微软雅黑"/>
                <w:bCs/>
                <w:color w:val="auto"/>
                <w:highlight w:val="none"/>
              </w:rPr>
              <w:t>第十条</w:t>
            </w:r>
          </w:p>
        </w:tc>
        <w:tc>
          <w:tcPr>
            <w:tcW w:w="2363" w:type="dxa"/>
            <w:tcBorders>
              <w:tl2br w:val="nil"/>
              <w:tr2bl w:val="nil"/>
            </w:tcBorders>
            <w:vAlign w:val="center"/>
          </w:tcPr>
          <w:p w14:paraId="5C661311">
            <w:pPr>
              <w:pStyle w:val="48"/>
              <w:rPr>
                <w:rFonts w:ascii="微软雅黑" w:hAnsi="微软雅黑" w:cs="微软雅黑"/>
                <w:bCs/>
                <w:color w:val="auto"/>
                <w:highlight w:val="none"/>
              </w:rPr>
            </w:pPr>
            <w:r>
              <w:rPr>
                <w:rFonts w:hint="eastAsia" w:ascii="微软雅黑" w:hAnsi="微软雅黑" w:cs="微软雅黑"/>
                <w:bCs/>
                <w:color w:val="auto"/>
                <w:highlight w:val="none"/>
              </w:rPr>
              <w:t>询问截止时间</w:t>
            </w:r>
          </w:p>
        </w:tc>
        <w:tc>
          <w:tcPr>
            <w:tcW w:w="6487" w:type="dxa"/>
            <w:tcBorders>
              <w:tl2br w:val="nil"/>
              <w:tr2bl w:val="nil"/>
            </w:tcBorders>
            <w:vAlign w:val="center"/>
          </w:tcPr>
          <w:p w14:paraId="5D11BD2D">
            <w:pPr>
              <w:pStyle w:val="58"/>
              <w:ind w:left="240" w:leftChars="100" w:right="-55" w:rightChars="-23" w:firstLine="0" w:firstLineChars="0"/>
              <w:rPr>
                <w:rFonts w:ascii="微软雅黑" w:hAnsi="微软雅黑" w:cs="微软雅黑"/>
                <w:color w:val="auto"/>
                <w:szCs w:val="21"/>
                <w:highlight w:val="none"/>
              </w:rPr>
            </w:pPr>
            <w:r>
              <w:rPr>
                <w:rFonts w:hint="eastAsia" w:ascii="微软雅黑" w:hAnsi="微软雅黑" w:cs="微软雅黑"/>
                <w:color w:val="auto"/>
                <w:highlight w:val="none"/>
                <w:u w:val="single"/>
              </w:rPr>
              <w:t>202</w:t>
            </w:r>
            <w:r>
              <w:rPr>
                <w:rFonts w:hint="eastAsia" w:ascii="微软雅黑" w:hAnsi="微软雅黑" w:cs="微软雅黑"/>
                <w:color w:val="auto"/>
                <w:highlight w:val="none"/>
                <w:u w:val="single"/>
                <w:lang w:val="en-US" w:eastAsia="zh-CN"/>
              </w:rPr>
              <w:t>6</w:t>
            </w:r>
            <w:r>
              <w:rPr>
                <w:rFonts w:hint="eastAsia" w:ascii="微软雅黑" w:hAnsi="微软雅黑" w:cs="微软雅黑"/>
                <w:color w:val="auto"/>
                <w:highlight w:val="none"/>
              </w:rPr>
              <w:t>年</w:t>
            </w:r>
            <w:r>
              <w:rPr>
                <w:rFonts w:hint="eastAsia" w:ascii="微软雅黑" w:hAnsi="微软雅黑" w:cs="微软雅黑"/>
                <w:color w:val="auto"/>
                <w:highlight w:val="none"/>
                <w:u w:val="single"/>
                <w:lang w:val="en-US" w:eastAsia="zh-CN"/>
              </w:rPr>
              <w:t>7</w:t>
            </w:r>
            <w:r>
              <w:rPr>
                <w:rFonts w:hint="eastAsia" w:ascii="微软雅黑" w:hAnsi="微软雅黑" w:cs="微软雅黑"/>
                <w:color w:val="auto"/>
                <w:highlight w:val="none"/>
              </w:rPr>
              <w:t>月</w:t>
            </w:r>
            <w:r>
              <w:rPr>
                <w:rFonts w:hint="eastAsia" w:ascii="微软雅黑" w:hAnsi="微软雅黑" w:cs="微软雅黑"/>
                <w:color w:val="auto"/>
                <w:highlight w:val="none"/>
                <w:u w:val="single"/>
                <w:lang w:val="en-US" w:eastAsia="zh-CN"/>
              </w:rPr>
              <w:t xml:space="preserve"> 16 </w:t>
            </w:r>
            <w:r>
              <w:rPr>
                <w:rFonts w:hint="eastAsia" w:ascii="微软雅黑" w:hAnsi="微软雅黑" w:cs="微软雅黑"/>
                <w:color w:val="auto"/>
                <w:highlight w:val="none"/>
              </w:rPr>
              <w:t>日时17:00分</w:t>
            </w:r>
          </w:p>
        </w:tc>
      </w:tr>
      <w:tr w14:paraId="755E384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10" w:type="dxa"/>
            <w:tcBorders>
              <w:tl2br w:val="nil"/>
              <w:tr2bl w:val="nil"/>
            </w:tcBorders>
            <w:vAlign w:val="center"/>
          </w:tcPr>
          <w:p w14:paraId="7C63D507">
            <w:pPr>
              <w:pStyle w:val="48"/>
              <w:rPr>
                <w:rFonts w:hint="eastAsia" w:ascii="微软雅黑" w:hAnsi="微软雅黑" w:cs="微软雅黑"/>
                <w:bCs/>
                <w:color w:val="auto"/>
                <w:highlight w:val="none"/>
              </w:rPr>
            </w:pPr>
            <w:r>
              <w:rPr>
                <w:rFonts w:hint="eastAsia" w:ascii="微软雅黑" w:hAnsi="微软雅黑" w:cs="微软雅黑"/>
                <w:bCs/>
                <w:color w:val="auto"/>
                <w:highlight w:val="none"/>
              </w:rPr>
              <w:t>第十</w:t>
            </w:r>
            <w:r>
              <w:rPr>
                <w:rFonts w:hint="eastAsia" w:ascii="微软雅黑" w:hAnsi="微软雅黑" w:cs="微软雅黑"/>
                <w:bCs/>
                <w:color w:val="auto"/>
                <w:highlight w:val="none"/>
                <w:lang w:val="en-US" w:eastAsia="zh-CN"/>
              </w:rPr>
              <w:t>一</w:t>
            </w:r>
            <w:r>
              <w:rPr>
                <w:rFonts w:hint="eastAsia" w:ascii="微软雅黑" w:hAnsi="微软雅黑" w:cs="微软雅黑"/>
                <w:bCs/>
                <w:color w:val="auto"/>
                <w:highlight w:val="none"/>
              </w:rPr>
              <w:t>条</w:t>
            </w:r>
          </w:p>
        </w:tc>
        <w:tc>
          <w:tcPr>
            <w:tcW w:w="2363" w:type="dxa"/>
            <w:tcBorders>
              <w:tl2br w:val="nil"/>
              <w:tr2bl w:val="nil"/>
            </w:tcBorders>
            <w:shd w:val="clear" w:color="auto" w:fill="auto"/>
            <w:vAlign w:val="center"/>
          </w:tcPr>
          <w:p w14:paraId="4DF5AFAC">
            <w:pPr>
              <w:pStyle w:val="48"/>
              <w:rPr>
                <w:rFonts w:hint="eastAsia" w:ascii="Times New Roman" w:hAnsi="Times New Roman" w:eastAsia="微软雅黑" w:cs="Times New Roman"/>
                <w:b/>
                <w:bCs/>
                <w:color w:val="auto"/>
                <w:kern w:val="2"/>
                <w:sz w:val="20"/>
                <w:szCs w:val="20"/>
                <w:highlight w:val="none"/>
                <w:lang w:val="en-US" w:eastAsia="zh-CN" w:bidi="ar-SA"/>
              </w:rPr>
            </w:pPr>
            <w:r>
              <w:rPr>
                <w:rFonts w:hint="eastAsia"/>
                <w:b/>
                <w:bCs/>
                <w:color w:val="auto"/>
                <w:sz w:val="20"/>
                <w:szCs w:val="20"/>
                <w:highlight w:val="none"/>
              </w:rPr>
              <w:t>包别划分</w:t>
            </w:r>
          </w:p>
        </w:tc>
        <w:tc>
          <w:tcPr>
            <w:tcW w:w="6487" w:type="dxa"/>
            <w:tcBorders>
              <w:tl2br w:val="nil"/>
              <w:tr2bl w:val="nil"/>
            </w:tcBorders>
            <w:shd w:val="clear" w:color="auto" w:fill="auto"/>
            <w:vAlign w:val="center"/>
          </w:tcPr>
          <w:p w14:paraId="082C6E07">
            <w:pPr>
              <w:pStyle w:val="48"/>
              <w:keepNext w:val="0"/>
              <w:keepLines w:val="0"/>
              <w:pageBreakBefore w:val="0"/>
              <w:widowControl w:val="0"/>
              <w:kinsoku/>
              <w:wordWrap/>
              <w:overflowPunct/>
              <w:topLinePunct w:val="0"/>
              <w:autoSpaceDE/>
              <w:autoSpaceDN/>
              <w:bidi w:val="0"/>
              <w:adjustRightInd/>
              <w:snapToGrid/>
              <w:ind w:firstLine="482" w:firstLineChars="200"/>
              <w:jc w:val="left"/>
              <w:textAlignment w:val="auto"/>
              <w:rPr>
                <w:rFonts w:hint="default" w:ascii="Times New Roman" w:hAnsi="Times New Roman" w:eastAsia="微软雅黑" w:cs="Times New Roman"/>
                <w:b/>
                <w:bCs/>
                <w:color w:val="auto"/>
                <w:kern w:val="2"/>
                <w:sz w:val="20"/>
                <w:szCs w:val="20"/>
                <w:highlight w:val="none"/>
                <w:lang w:val="en-US" w:eastAsia="zh-CN" w:bidi="ar-SA"/>
              </w:rPr>
            </w:pPr>
            <w:r>
              <w:rPr>
                <w:rFonts w:ascii="宋体" w:hAnsi="宋体" w:eastAsia="宋体" w:cs="宋体"/>
                <w:color w:val="auto"/>
                <w:kern w:val="0"/>
                <w:sz w:val="24"/>
                <w:szCs w:val="24"/>
                <w:highlight w:val="none"/>
                <w:lang w:val="en-US" w:eastAsia="zh-CN" w:bidi="ar"/>
              </w:rPr>
              <w:sym w:font="Wingdings" w:char="00FE"/>
            </w:r>
            <w:r>
              <w:rPr>
                <w:rFonts w:hint="eastAsia"/>
                <w:b w:val="0"/>
                <w:bCs w:val="0"/>
                <w:color w:val="auto"/>
                <w:highlight w:val="none"/>
              </w:rPr>
              <w:t>不分包</w:t>
            </w:r>
            <w:r>
              <w:rPr>
                <w:rFonts w:hint="eastAsia"/>
                <w:b w:val="0"/>
                <w:bCs w:val="0"/>
                <w:color w:val="auto"/>
                <w:highlight w:val="none"/>
              </w:rPr>
              <w:tab/>
            </w:r>
            <w:r>
              <w:rPr>
                <w:rFonts w:hint="eastAsia"/>
                <w:b w:val="0"/>
                <w:bCs w:val="0"/>
                <w:color w:val="auto"/>
                <w:highlight w:val="none"/>
              </w:rPr>
              <w:t xml:space="preserve"> </w:t>
            </w:r>
            <w:r>
              <w:rPr>
                <w:rFonts w:hint="eastAsia"/>
                <w:color w:val="auto"/>
                <w:highlight w:val="none"/>
              </w:rPr>
              <w:t xml:space="preserve">  </w:t>
            </w:r>
            <w:r>
              <w:rPr>
                <w:rFonts w:ascii="宋体" w:hAnsi="宋体" w:eastAsia="宋体" w:cs="宋体"/>
                <w:color w:val="auto"/>
                <w:kern w:val="0"/>
                <w:sz w:val="24"/>
                <w:szCs w:val="24"/>
                <w:highlight w:val="none"/>
                <w:lang w:val="en-US" w:eastAsia="zh-CN" w:bidi="ar"/>
              </w:rPr>
              <w:sym w:font="Wingdings" w:char="00A8"/>
            </w:r>
            <w:r>
              <w:rPr>
                <w:rFonts w:hint="eastAsia"/>
                <w:b w:val="0"/>
                <w:bCs w:val="0"/>
                <w:color w:val="auto"/>
                <w:highlight w:val="none"/>
              </w:rPr>
              <w:t>分为</w:t>
            </w:r>
            <w:r>
              <w:rPr>
                <w:rFonts w:hint="eastAsia"/>
                <w:b w:val="0"/>
                <w:bCs w:val="0"/>
                <w:color w:val="auto"/>
                <w:highlight w:val="none"/>
                <w:u w:val="single"/>
                <w:lang w:val="en-US" w:eastAsia="zh-CN"/>
              </w:rPr>
              <w:t>/</w:t>
            </w:r>
            <w:r>
              <w:rPr>
                <w:rFonts w:hint="eastAsia"/>
                <w:b w:val="0"/>
                <w:bCs w:val="0"/>
                <w:color w:val="auto"/>
                <w:highlight w:val="none"/>
              </w:rPr>
              <w:t>个包</w:t>
            </w:r>
          </w:p>
        </w:tc>
      </w:tr>
      <w:tr w14:paraId="0BBF79C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110" w:type="dxa"/>
            <w:tcBorders>
              <w:tl2br w:val="nil"/>
              <w:tr2bl w:val="nil"/>
            </w:tcBorders>
            <w:vAlign w:val="center"/>
          </w:tcPr>
          <w:p w14:paraId="23E4706A">
            <w:pPr>
              <w:pStyle w:val="48"/>
              <w:rPr>
                <w:rFonts w:ascii="微软雅黑" w:hAnsi="微软雅黑" w:cs="微软雅黑"/>
                <w:bCs/>
                <w:color w:val="auto"/>
                <w:highlight w:val="none"/>
              </w:rPr>
            </w:pPr>
            <w:r>
              <w:rPr>
                <w:rFonts w:hint="eastAsia" w:ascii="微软雅黑" w:hAnsi="微软雅黑" w:cs="微软雅黑"/>
                <w:bCs/>
                <w:color w:val="auto"/>
                <w:highlight w:val="none"/>
              </w:rPr>
              <w:t>第十五条</w:t>
            </w:r>
          </w:p>
        </w:tc>
        <w:tc>
          <w:tcPr>
            <w:tcW w:w="2363" w:type="dxa"/>
            <w:tcBorders>
              <w:tl2br w:val="nil"/>
              <w:tr2bl w:val="nil"/>
            </w:tcBorders>
            <w:vAlign w:val="center"/>
          </w:tcPr>
          <w:p w14:paraId="7A9E8B5E">
            <w:pPr>
              <w:pStyle w:val="48"/>
              <w:rPr>
                <w:rFonts w:ascii="微软雅黑" w:hAnsi="微软雅黑" w:cs="微软雅黑"/>
                <w:b w:val="0"/>
                <w:color w:val="auto"/>
                <w:highlight w:val="none"/>
              </w:rPr>
            </w:pPr>
            <w:r>
              <w:rPr>
                <w:rFonts w:hint="eastAsia" w:ascii="微软雅黑" w:hAnsi="微软雅黑" w:cs="微软雅黑"/>
                <w:bCs/>
                <w:color w:val="auto"/>
                <w:highlight w:val="none"/>
                <w:lang w:val="en-US" w:eastAsia="zh-CN"/>
              </w:rPr>
              <w:t>谈判</w:t>
            </w:r>
            <w:r>
              <w:rPr>
                <w:rFonts w:hint="eastAsia" w:ascii="微软雅黑" w:hAnsi="微软雅黑" w:cs="微软雅黑"/>
                <w:bCs/>
                <w:color w:val="auto"/>
                <w:highlight w:val="none"/>
              </w:rPr>
              <w:t>保证金</w:t>
            </w:r>
          </w:p>
        </w:tc>
        <w:tc>
          <w:tcPr>
            <w:tcW w:w="6487" w:type="dxa"/>
            <w:tcBorders>
              <w:tl2br w:val="nil"/>
              <w:tr2bl w:val="nil"/>
            </w:tcBorders>
            <w:vAlign w:val="center"/>
          </w:tcPr>
          <w:p w14:paraId="79628081">
            <w:pPr>
              <w:pStyle w:val="58"/>
              <w:ind w:left="240" w:leftChars="100" w:right="-55" w:rightChars="-23" w:firstLine="0" w:firstLineChars="0"/>
              <w:rPr>
                <w:rFonts w:ascii="微软雅黑" w:hAnsi="微软雅黑" w:cs="微软雅黑"/>
                <w:color w:val="auto"/>
                <w:highlight w:val="none"/>
              </w:rPr>
            </w:pPr>
            <w:r>
              <w:rPr>
                <w:rFonts w:ascii="宋体" w:hAnsi="宋体" w:eastAsia="宋体" w:cs="宋体"/>
                <w:color w:val="auto"/>
                <w:kern w:val="0"/>
                <w:sz w:val="24"/>
                <w:szCs w:val="24"/>
                <w:highlight w:val="none"/>
                <w:lang w:val="en-US" w:eastAsia="zh-CN" w:bidi="ar"/>
              </w:rPr>
              <w:sym w:font="Wingdings" w:char="00A8"/>
            </w:r>
            <w:r>
              <w:rPr>
                <w:rFonts w:hint="eastAsia" w:ascii="微软雅黑" w:hAnsi="微软雅黑" w:cs="微软雅黑"/>
                <w:color w:val="auto"/>
                <w:highlight w:val="none"/>
              </w:rPr>
              <w:t>不要求提供</w:t>
            </w:r>
          </w:p>
          <w:p w14:paraId="4DFFA3AD">
            <w:pPr>
              <w:pStyle w:val="58"/>
              <w:ind w:left="240" w:leftChars="100" w:right="-55" w:rightChars="-23" w:firstLine="0" w:firstLineChars="0"/>
              <w:rPr>
                <w:rFonts w:ascii="微软雅黑" w:hAnsi="微软雅黑" w:cs="微软雅黑"/>
                <w:b/>
                <w:bCs/>
                <w:color w:val="auto"/>
                <w:highlight w:val="none"/>
              </w:rPr>
            </w:pPr>
            <w:r>
              <w:rPr>
                <w:rFonts w:ascii="宋体" w:hAnsi="宋体" w:eastAsia="宋体" w:cs="宋体"/>
                <w:color w:val="auto"/>
                <w:kern w:val="0"/>
                <w:sz w:val="24"/>
                <w:szCs w:val="24"/>
                <w:highlight w:val="none"/>
                <w:lang w:val="en-US" w:eastAsia="zh-CN" w:bidi="ar"/>
              </w:rPr>
              <w:sym w:font="Wingdings" w:char="00FE"/>
            </w:r>
            <w:r>
              <w:rPr>
                <w:rFonts w:hint="eastAsia" w:ascii="微软雅黑" w:hAnsi="微软雅黑" w:cs="微软雅黑"/>
                <w:b/>
                <w:bCs/>
                <w:color w:val="auto"/>
                <w:highlight w:val="none"/>
              </w:rPr>
              <w:t>要求提供</w:t>
            </w:r>
          </w:p>
          <w:p w14:paraId="702D51D3">
            <w:pPr>
              <w:pStyle w:val="58"/>
              <w:numPr>
                <w:ilvl w:val="0"/>
                <w:numId w:val="0"/>
              </w:numPr>
              <w:ind w:left="0" w:leftChars="0" w:right="-55" w:rightChars="-23" w:firstLine="400" w:firstLineChars="0"/>
              <w:rPr>
                <w:rFonts w:ascii="微软雅黑" w:hAnsi="微软雅黑" w:cs="微软雅黑"/>
                <w:b/>
                <w:bCs/>
                <w:color w:val="auto"/>
                <w:highlight w:val="none"/>
              </w:rPr>
            </w:pPr>
            <w:r>
              <w:rPr>
                <w:rFonts w:hint="default" w:ascii="微软雅黑" w:hAnsi="微软雅黑" w:eastAsia="微软雅黑" w:cs="微软雅黑"/>
                <w:b w:val="0"/>
                <w:bCs w:val="0"/>
                <w:color w:val="auto"/>
                <w:kern w:val="2"/>
                <w:sz w:val="22"/>
                <w:szCs w:val="24"/>
                <w:highlight w:val="none"/>
                <w:lang w:val="en-US" w:eastAsia="zh-CN" w:bidi="ar-SA"/>
              </w:rPr>
              <w:t>1．</w:t>
            </w:r>
            <w:r>
              <w:rPr>
                <w:rFonts w:hint="eastAsia" w:ascii="微软雅黑" w:hAnsi="微软雅黑" w:cs="微软雅黑"/>
                <w:b/>
                <w:bCs/>
                <w:color w:val="auto"/>
                <w:highlight w:val="none"/>
                <w:lang w:val="en-US" w:eastAsia="zh-CN"/>
              </w:rPr>
              <w:t>谈判</w:t>
            </w:r>
            <w:r>
              <w:rPr>
                <w:rFonts w:hint="eastAsia" w:ascii="微软雅黑" w:hAnsi="微软雅黑" w:cs="微软雅黑"/>
                <w:b/>
                <w:bCs/>
                <w:color w:val="auto"/>
                <w:highlight w:val="none"/>
              </w:rPr>
              <w:t>保证金金额：人民币</w:t>
            </w:r>
            <w:r>
              <w:rPr>
                <w:rFonts w:hint="eastAsia" w:ascii="微软雅黑" w:hAnsi="微软雅黑" w:cs="微软雅黑"/>
                <w:b/>
                <w:bCs/>
                <w:color w:val="auto"/>
                <w:highlight w:val="none"/>
                <w:u w:val="single"/>
                <w:lang w:val="en-US" w:eastAsia="zh-CN"/>
              </w:rPr>
              <w:t xml:space="preserve"> 壹元</w:t>
            </w:r>
            <w:r>
              <w:rPr>
                <w:rFonts w:hint="eastAsia" w:ascii="微软雅黑" w:hAnsi="微软雅黑" w:cs="微软雅黑"/>
                <w:b/>
                <w:bCs/>
                <w:color w:val="auto"/>
                <w:highlight w:val="none"/>
                <w:u w:val="single"/>
              </w:rPr>
              <w:t xml:space="preserve"> </w:t>
            </w:r>
            <w:r>
              <w:rPr>
                <w:rFonts w:hint="eastAsia" w:ascii="微软雅黑" w:hAnsi="微软雅黑" w:cs="微软雅黑"/>
                <w:b/>
                <w:bCs/>
                <w:color w:val="auto"/>
                <w:highlight w:val="none"/>
              </w:rPr>
              <w:t>整；</w:t>
            </w:r>
          </w:p>
          <w:p w14:paraId="2B4302E2">
            <w:pPr>
              <w:pStyle w:val="58"/>
              <w:numPr>
                <w:ilvl w:val="0"/>
                <w:numId w:val="0"/>
              </w:numPr>
              <w:ind w:left="0" w:leftChars="0" w:right="-55" w:rightChars="-23" w:firstLine="400" w:firstLineChars="0"/>
              <w:rPr>
                <w:rFonts w:ascii="微软雅黑" w:hAnsi="微软雅黑" w:cs="微软雅黑"/>
                <w:color w:val="auto"/>
                <w:highlight w:val="none"/>
              </w:rPr>
            </w:pPr>
            <w:r>
              <w:rPr>
                <w:rFonts w:hint="default" w:ascii="微软雅黑" w:hAnsi="微软雅黑" w:eastAsia="微软雅黑" w:cs="微软雅黑"/>
                <w:b w:val="0"/>
                <w:bCs w:val="0"/>
                <w:color w:val="auto"/>
                <w:kern w:val="2"/>
                <w:sz w:val="22"/>
                <w:szCs w:val="24"/>
                <w:highlight w:val="none"/>
                <w:lang w:val="en-US" w:eastAsia="zh-CN" w:bidi="ar-SA"/>
              </w:rPr>
              <w:t>2．</w:t>
            </w:r>
            <w:r>
              <w:rPr>
                <w:rFonts w:hint="eastAsia" w:ascii="微软雅黑" w:hAnsi="微软雅黑" w:cs="微软雅黑"/>
                <w:color w:val="auto"/>
                <w:highlight w:val="none"/>
                <w:lang w:val="en-US" w:eastAsia="zh-CN"/>
              </w:rPr>
              <w:t>谈判</w:t>
            </w:r>
            <w:r>
              <w:rPr>
                <w:rFonts w:hint="eastAsia" w:ascii="微软雅黑" w:hAnsi="微软雅黑" w:cs="微软雅黑"/>
                <w:color w:val="auto"/>
                <w:highlight w:val="none"/>
              </w:rPr>
              <w:t>保证金到账截止时间：同响应文件递交截止时间；</w:t>
            </w:r>
          </w:p>
          <w:p w14:paraId="68D3C63B">
            <w:pPr>
              <w:pStyle w:val="58"/>
              <w:numPr>
                <w:ilvl w:val="0"/>
                <w:numId w:val="0"/>
              </w:numPr>
              <w:ind w:left="0" w:leftChars="0" w:right="-55" w:rightChars="-23" w:firstLine="400" w:firstLineChars="0"/>
              <w:rPr>
                <w:rFonts w:ascii="微软雅黑" w:hAnsi="微软雅黑" w:cs="微软雅黑"/>
                <w:color w:val="auto"/>
                <w:highlight w:val="none"/>
              </w:rPr>
            </w:pPr>
            <w:r>
              <w:rPr>
                <w:rFonts w:hint="default" w:ascii="微软雅黑" w:hAnsi="微软雅黑" w:eastAsia="微软雅黑" w:cs="微软雅黑"/>
                <w:b w:val="0"/>
                <w:bCs w:val="0"/>
                <w:color w:val="auto"/>
                <w:kern w:val="2"/>
                <w:sz w:val="22"/>
                <w:szCs w:val="24"/>
                <w:highlight w:val="none"/>
                <w:lang w:val="en-US" w:eastAsia="zh-CN" w:bidi="ar-SA"/>
              </w:rPr>
              <w:t>3．</w:t>
            </w:r>
            <w:r>
              <w:rPr>
                <w:rFonts w:hint="eastAsia" w:ascii="微软雅黑" w:hAnsi="微软雅黑" w:cs="微软雅黑"/>
                <w:color w:val="auto"/>
                <w:highlight w:val="none"/>
                <w:lang w:val="en-US" w:eastAsia="zh-CN"/>
              </w:rPr>
              <w:t>谈判</w:t>
            </w:r>
            <w:r>
              <w:rPr>
                <w:rFonts w:hint="eastAsia" w:ascii="微软雅黑" w:hAnsi="微软雅黑" w:cs="微软雅黑"/>
                <w:color w:val="auto"/>
                <w:highlight w:val="none"/>
              </w:rPr>
              <w:t>保证金缴纳方式：</w:t>
            </w:r>
          </w:p>
          <w:p w14:paraId="4DDAA50B">
            <w:pPr>
              <w:pStyle w:val="58"/>
              <w:numPr>
                <w:ilvl w:val="0"/>
                <w:numId w:val="0"/>
              </w:numPr>
              <w:ind w:left="400" w:leftChars="0" w:right="-55" w:rightChars="-23"/>
              <w:rPr>
                <w:rFonts w:hint="eastAsia" w:ascii="微软雅黑" w:hAnsi="微软雅黑" w:cs="微软雅黑"/>
                <w:b/>
                <w:bCs/>
                <w:color w:val="auto"/>
                <w:szCs w:val="21"/>
                <w:highlight w:val="none"/>
              </w:rPr>
            </w:pPr>
            <w:r>
              <w:rPr>
                <w:rFonts w:hint="eastAsia" w:ascii="微软雅黑" w:hAnsi="微软雅黑" w:cs="微软雅黑"/>
                <w:b/>
                <w:bCs/>
                <w:color w:val="auto"/>
                <w:szCs w:val="21"/>
                <w:highlight w:val="none"/>
              </w:rPr>
              <w:sym w:font="Wingdings" w:char="00FE"/>
            </w:r>
            <w:r>
              <w:rPr>
                <w:rFonts w:hint="eastAsia" w:ascii="微软雅黑" w:hAnsi="微软雅黑" w:cs="微软雅黑"/>
                <w:b/>
                <w:bCs/>
                <w:color w:val="auto"/>
                <w:szCs w:val="21"/>
                <w:highlight w:val="none"/>
                <w:lang w:val="en-US" w:eastAsia="zh-CN"/>
              </w:rPr>
              <w:t>银行</w:t>
            </w:r>
            <w:r>
              <w:rPr>
                <w:rFonts w:hint="eastAsia" w:ascii="微软雅黑" w:hAnsi="微软雅黑" w:cs="微软雅黑"/>
                <w:b/>
                <w:bCs/>
                <w:color w:val="auto"/>
                <w:szCs w:val="21"/>
                <w:highlight w:val="none"/>
              </w:rPr>
              <w:t>转账</w:t>
            </w:r>
            <w:r>
              <w:rPr>
                <w:rFonts w:hint="eastAsia" w:ascii="微软雅黑" w:hAnsi="微软雅黑" w:cs="微软雅黑"/>
                <w:b/>
                <w:bCs/>
                <w:color w:val="auto"/>
                <w:szCs w:val="21"/>
                <w:highlight w:val="none"/>
                <w:lang w:val="en-US" w:eastAsia="zh-CN"/>
              </w:rPr>
              <w:t xml:space="preserve"> </w:t>
            </w:r>
            <w:r>
              <w:rPr>
                <w:rFonts w:hint="eastAsia" w:ascii="微软雅黑" w:hAnsi="微软雅黑" w:cs="微软雅黑"/>
                <w:b/>
                <w:bCs/>
                <w:color w:val="auto"/>
                <w:szCs w:val="21"/>
                <w:highlight w:val="none"/>
              </w:rPr>
              <w:sym w:font="Wingdings" w:char="00A8"/>
            </w:r>
            <w:r>
              <w:rPr>
                <w:rFonts w:hint="eastAsia" w:ascii="微软雅黑" w:hAnsi="微软雅黑" w:cs="微软雅黑"/>
                <w:b/>
                <w:bCs/>
                <w:color w:val="auto"/>
                <w:szCs w:val="21"/>
                <w:highlight w:val="none"/>
              </w:rPr>
              <w:t>支票</w:t>
            </w:r>
            <w:r>
              <w:rPr>
                <w:rFonts w:hint="eastAsia" w:ascii="微软雅黑" w:hAnsi="微软雅黑" w:cs="微软雅黑"/>
                <w:b/>
                <w:bCs/>
                <w:color w:val="auto"/>
                <w:szCs w:val="21"/>
                <w:highlight w:val="none"/>
                <w:lang w:val="en-US" w:eastAsia="zh-CN"/>
              </w:rPr>
              <w:t xml:space="preserve"> </w:t>
            </w:r>
            <w:r>
              <w:rPr>
                <w:rFonts w:hint="eastAsia" w:ascii="微软雅黑" w:hAnsi="微软雅黑" w:cs="微软雅黑"/>
                <w:b/>
                <w:bCs/>
                <w:color w:val="auto"/>
                <w:szCs w:val="21"/>
                <w:highlight w:val="none"/>
              </w:rPr>
              <w:sym w:font="Wingdings" w:char="00A8"/>
            </w:r>
            <w:r>
              <w:rPr>
                <w:rFonts w:hint="eastAsia" w:ascii="微软雅黑" w:hAnsi="微软雅黑" w:cs="微软雅黑"/>
                <w:b/>
                <w:bCs/>
                <w:color w:val="auto"/>
                <w:szCs w:val="21"/>
                <w:highlight w:val="none"/>
              </w:rPr>
              <w:t>汇票</w:t>
            </w:r>
            <w:r>
              <w:rPr>
                <w:rFonts w:hint="eastAsia" w:ascii="微软雅黑" w:hAnsi="微软雅黑" w:cs="微软雅黑"/>
                <w:b/>
                <w:bCs/>
                <w:color w:val="auto"/>
                <w:szCs w:val="21"/>
                <w:highlight w:val="none"/>
                <w:lang w:val="en-US" w:eastAsia="zh-CN"/>
              </w:rPr>
              <w:t xml:space="preserve"> </w:t>
            </w:r>
            <w:r>
              <w:rPr>
                <w:rFonts w:hint="eastAsia" w:ascii="微软雅黑" w:hAnsi="微软雅黑" w:cs="微软雅黑"/>
                <w:b/>
                <w:bCs/>
                <w:color w:val="auto"/>
                <w:szCs w:val="21"/>
                <w:highlight w:val="none"/>
              </w:rPr>
              <w:sym w:font="Wingdings" w:char="00A8"/>
            </w:r>
            <w:r>
              <w:rPr>
                <w:rFonts w:hint="eastAsia" w:ascii="微软雅黑" w:hAnsi="微软雅黑" w:cs="微软雅黑"/>
                <w:b/>
                <w:bCs/>
                <w:color w:val="auto"/>
                <w:szCs w:val="21"/>
                <w:highlight w:val="none"/>
              </w:rPr>
              <w:t>本票</w:t>
            </w:r>
            <w:r>
              <w:rPr>
                <w:rFonts w:hint="eastAsia" w:ascii="微软雅黑" w:hAnsi="微软雅黑" w:cs="微软雅黑"/>
                <w:b/>
                <w:bCs/>
                <w:color w:val="auto"/>
                <w:szCs w:val="21"/>
                <w:highlight w:val="none"/>
                <w:lang w:val="en-US" w:eastAsia="zh-CN"/>
              </w:rPr>
              <w:t xml:space="preserve"> </w:t>
            </w:r>
            <w:r>
              <w:rPr>
                <w:rFonts w:hint="eastAsia" w:ascii="微软雅黑" w:hAnsi="微软雅黑" w:cs="微软雅黑"/>
                <w:b/>
                <w:bCs/>
                <w:color w:val="auto"/>
                <w:szCs w:val="21"/>
                <w:highlight w:val="none"/>
              </w:rPr>
              <w:sym w:font="Wingdings" w:char="00A8"/>
            </w:r>
            <w:r>
              <w:rPr>
                <w:rFonts w:hint="eastAsia" w:ascii="微软雅黑" w:hAnsi="微软雅黑" w:cs="微软雅黑"/>
                <w:b/>
                <w:bCs/>
                <w:color w:val="auto"/>
                <w:szCs w:val="21"/>
                <w:highlight w:val="none"/>
                <w:lang w:val="en-US" w:eastAsia="zh-CN"/>
              </w:rPr>
              <w:t>银行</w:t>
            </w:r>
            <w:r>
              <w:rPr>
                <w:rFonts w:hint="eastAsia" w:ascii="微软雅黑" w:hAnsi="微软雅黑" w:cs="微软雅黑"/>
                <w:b/>
                <w:bCs/>
                <w:color w:val="auto"/>
                <w:szCs w:val="21"/>
                <w:highlight w:val="none"/>
              </w:rPr>
              <w:t>保函</w:t>
            </w:r>
          </w:p>
          <w:p w14:paraId="4D61C6A3">
            <w:pPr>
              <w:pStyle w:val="48"/>
              <w:ind w:firstLine="440" w:firstLineChars="200"/>
              <w:jc w:val="left"/>
              <w:textAlignment w:val="baseline"/>
              <w:rPr>
                <w:rFonts w:hint="default" w:ascii="微软雅黑" w:hAnsi="微软雅黑" w:cs="微软雅黑"/>
                <w:b w:val="0"/>
                <w:bCs/>
                <w:color w:val="auto"/>
                <w:szCs w:val="21"/>
                <w:highlight w:val="none"/>
                <w:lang w:val="en-US" w:eastAsia="zh-CN"/>
              </w:rPr>
            </w:pPr>
            <w:r>
              <w:rPr>
                <w:rFonts w:hint="eastAsia" w:ascii="微软雅黑" w:hAnsi="微软雅黑" w:cs="微软雅黑"/>
                <w:b w:val="0"/>
                <w:bCs/>
                <w:color w:val="auto"/>
                <w:szCs w:val="21"/>
                <w:highlight w:val="none"/>
                <w:lang w:val="en-US" w:eastAsia="zh-CN"/>
              </w:rPr>
              <w:t>备注：采用支票、汇票、本票、银行保函缴纳保证金的应按</w:t>
            </w:r>
            <w:r>
              <w:rPr>
                <w:rFonts w:hint="eastAsia" w:ascii="微软雅黑" w:hAnsi="微软雅黑" w:cs="微软雅黑"/>
                <w:b w:val="0"/>
                <w:bCs/>
                <w:color w:val="auto"/>
                <w:szCs w:val="21"/>
                <w:highlight w:val="none"/>
                <w:lang w:eastAsia="zh-CN"/>
              </w:rPr>
              <w:t>银行转账</w:t>
            </w:r>
            <w:r>
              <w:rPr>
                <w:rFonts w:hint="eastAsia" w:ascii="微软雅黑" w:hAnsi="微软雅黑" w:cs="微软雅黑"/>
                <w:b w:val="0"/>
                <w:bCs/>
                <w:color w:val="auto"/>
                <w:szCs w:val="21"/>
                <w:highlight w:val="none"/>
                <w:lang w:val="en-US" w:eastAsia="zh-CN"/>
              </w:rPr>
              <w:t>+支票</w:t>
            </w:r>
            <w:r>
              <w:rPr>
                <w:rFonts w:hint="eastAsia" w:ascii="微软雅黑" w:hAnsi="微软雅黑" w:cs="微软雅黑"/>
                <w:b w:val="0"/>
                <w:bCs/>
                <w:color w:val="auto"/>
                <w:szCs w:val="21"/>
                <w:highlight w:val="none"/>
                <w:u w:val="none" w:color="auto"/>
                <w:lang w:val="en-US" w:eastAsia="zh-CN"/>
              </w:rPr>
              <w:t>/</w:t>
            </w:r>
            <w:r>
              <w:rPr>
                <w:rFonts w:hint="eastAsia" w:ascii="微软雅黑" w:hAnsi="微软雅黑" w:cs="微软雅黑"/>
                <w:b w:val="0"/>
                <w:bCs/>
                <w:color w:val="auto"/>
                <w:szCs w:val="21"/>
                <w:highlight w:val="none"/>
                <w:lang w:val="en-US" w:eastAsia="zh-CN"/>
              </w:rPr>
              <w:t>汇票</w:t>
            </w:r>
            <w:r>
              <w:rPr>
                <w:rFonts w:hint="eastAsia" w:ascii="微软雅黑" w:hAnsi="微软雅黑" w:cs="微软雅黑"/>
                <w:b w:val="0"/>
                <w:bCs/>
                <w:color w:val="auto"/>
                <w:szCs w:val="21"/>
                <w:highlight w:val="none"/>
                <w:u w:val="none" w:color="auto"/>
                <w:lang w:val="en-US" w:eastAsia="zh-CN"/>
              </w:rPr>
              <w:t>/</w:t>
            </w:r>
            <w:r>
              <w:rPr>
                <w:rFonts w:hint="eastAsia" w:ascii="微软雅黑" w:hAnsi="微软雅黑" w:cs="微软雅黑"/>
                <w:b w:val="0"/>
                <w:bCs/>
                <w:color w:val="auto"/>
                <w:szCs w:val="21"/>
                <w:highlight w:val="none"/>
                <w:lang w:val="en-US" w:eastAsia="zh-CN"/>
              </w:rPr>
              <w:t>本票</w:t>
            </w:r>
            <w:r>
              <w:rPr>
                <w:rFonts w:hint="eastAsia" w:ascii="微软雅黑" w:hAnsi="微软雅黑" w:cs="微软雅黑"/>
                <w:b w:val="0"/>
                <w:bCs/>
                <w:color w:val="auto"/>
                <w:szCs w:val="21"/>
                <w:highlight w:val="none"/>
                <w:u w:val="none" w:color="auto"/>
                <w:lang w:val="en-US" w:eastAsia="zh-CN"/>
              </w:rPr>
              <w:t>/银行</w:t>
            </w:r>
            <w:r>
              <w:rPr>
                <w:rFonts w:hint="eastAsia" w:ascii="微软雅黑" w:hAnsi="微软雅黑" w:cs="微软雅黑"/>
                <w:b w:val="0"/>
                <w:bCs/>
                <w:color w:val="auto"/>
                <w:szCs w:val="21"/>
                <w:highlight w:val="none"/>
                <w:lang w:val="en-US" w:eastAsia="zh-CN"/>
              </w:rPr>
              <w:t>保函组合缴纳方式，相应凭证复印件请放在响应文件中。具体如下：</w:t>
            </w:r>
          </w:p>
          <w:p w14:paraId="516BA2D5">
            <w:pPr>
              <w:pStyle w:val="48"/>
              <w:ind w:firstLine="440" w:firstLineChars="200"/>
              <w:jc w:val="left"/>
              <w:textAlignment w:val="baseline"/>
              <w:rPr>
                <w:rFonts w:hint="eastAsia" w:ascii="微软雅黑" w:hAnsi="微软雅黑" w:cs="微软雅黑"/>
                <w:b/>
                <w:bCs/>
                <w:color w:val="auto"/>
                <w:szCs w:val="21"/>
                <w:highlight w:val="none"/>
              </w:rPr>
            </w:pPr>
            <w:r>
              <w:rPr>
                <w:rFonts w:hint="eastAsia" w:ascii="微软雅黑" w:hAnsi="微软雅黑" w:cs="微软雅黑"/>
                <w:b/>
                <w:bCs/>
                <w:color w:val="auto"/>
                <w:szCs w:val="21"/>
                <w:highlight w:val="none"/>
                <w:lang w:val="en-US" w:eastAsia="zh-CN"/>
              </w:rPr>
              <w:t>因系统设置银行转账额度不能少于1元钱，但实际银行转账额度可大于或等于1元钱，采用银行转账+银行保函组合方式缴纳投标保证金的供应商，两项合计金额应等于投标保证金。项目结束后按保证金程序退还。</w:t>
            </w:r>
          </w:p>
          <w:p w14:paraId="4BFF9EA3">
            <w:pPr>
              <w:pStyle w:val="58"/>
              <w:numPr>
                <w:ilvl w:val="0"/>
                <w:numId w:val="0"/>
              </w:numPr>
              <w:ind w:left="0" w:leftChars="0" w:right="-55" w:rightChars="-23" w:firstLine="400" w:firstLineChars="0"/>
              <w:rPr>
                <w:rFonts w:ascii="微软雅黑" w:hAnsi="微软雅黑" w:cs="微软雅黑"/>
                <w:color w:val="auto"/>
                <w:highlight w:val="none"/>
              </w:rPr>
            </w:pPr>
            <w:r>
              <w:rPr>
                <w:rFonts w:hint="default" w:ascii="微软雅黑" w:hAnsi="微软雅黑" w:eastAsia="微软雅黑" w:cs="微软雅黑"/>
                <w:b w:val="0"/>
                <w:bCs w:val="0"/>
                <w:color w:val="auto"/>
                <w:kern w:val="2"/>
                <w:sz w:val="22"/>
                <w:szCs w:val="24"/>
                <w:highlight w:val="none"/>
                <w:lang w:val="en-US" w:eastAsia="zh-CN" w:bidi="ar-SA"/>
              </w:rPr>
              <w:t>4．</w:t>
            </w:r>
            <w:r>
              <w:rPr>
                <w:rFonts w:hint="eastAsia" w:ascii="微软雅黑" w:hAnsi="微软雅黑" w:cs="微软雅黑"/>
                <w:color w:val="auto"/>
                <w:highlight w:val="none"/>
              </w:rPr>
              <w:t>保证金缴纳账号：</w:t>
            </w:r>
            <w:r>
              <w:rPr>
                <w:rFonts w:hint="eastAsia" w:ascii="微软雅黑" w:hAnsi="微软雅黑" w:cs="微软雅黑"/>
                <w:color w:val="auto"/>
                <w:highlight w:val="none"/>
                <w:lang w:val="en-US" w:eastAsia="zh-CN"/>
              </w:rPr>
              <w:t>供应商登录</w:t>
            </w:r>
            <w:r>
              <w:rPr>
                <w:rFonts w:hint="eastAsia" w:ascii="微软雅黑" w:hAnsi="微软雅黑" w:cs="微软雅黑"/>
                <w:color w:val="auto"/>
                <w:highlight w:val="none"/>
                <w:lang w:eastAsia="zh-CN"/>
              </w:rPr>
              <w:t>张家界市公共资源交易中心产权交易系统</w:t>
            </w:r>
            <w:r>
              <w:rPr>
                <w:rFonts w:hint="eastAsia" w:ascii="微软雅黑" w:hAnsi="微软雅黑" w:cs="微软雅黑"/>
                <w:color w:val="auto"/>
                <w:highlight w:val="none"/>
              </w:rPr>
              <w:t>（</w:t>
            </w:r>
            <w:r>
              <w:rPr>
                <w:rFonts w:hint="eastAsia" w:ascii="微软雅黑" w:hAnsi="微软雅黑" w:cs="微软雅黑"/>
                <w:color w:val="auto"/>
                <w:highlight w:val="none"/>
                <w:lang w:eastAsia="zh-CN"/>
              </w:rPr>
              <w:t>https://www.zjjggzy.cn/portal/index</w:t>
            </w:r>
            <w:r>
              <w:rPr>
                <w:rFonts w:hint="eastAsia" w:ascii="微软雅黑" w:hAnsi="微软雅黑" w:cs="微软雅黑"/>
                <w:color w:val="auto"/>
                <w:highlight w:val="none"/>
              </w:rPr>
              <w:t>），即可浏览、查阅和下载相关项目</w:t>
            </w:r>
            <w:r>
              <w:rPr>
                <w:rFonts w:hint="eastAsia" w:ascii="微软雅黑" w:hAnsi="微软雅黑" w:cs="微软雅黑"/>
                <w:color w:val="auto"/>
                <w:highlight w:val="none"/>
                <w:lang w:val="en-US" w:eastAsia="zh-CN"/>
              </w:rPr>
              <w:t>采购</w:t>
            </w:r>
            <w:r>
              <w:rPr>
                <w:rFonts w:hint="eastAsia" w:ascii="微软雅黑" w:hAnsi="微软雅黑" w:cs="微软雅黑"/>
                <w:color w:val="auto"/>
                <w:highlight w:val="none"/>
              </w:rPr>
              <w:t>文件，对意向项目点击“</w:t>
            </w:r>
            <w:r>
              <w:rPr>
                <w:rFonts w:hint="eastAsia" w:ascii="微软雅黑" w:hAnsi="微软雅黑" w:cs="微软雅黑"/>
                <w:color w:val="auto"/>
                <w:highlight w:val="none"/>
                <w:lang w:eastAsia="zh-CN"/>
              </w:rPr>
              <w:t>竞买申请</w:t>
            </w:r>
            <w:r>
              <w:rPr>
                <w:rFonts w:hint="eastAsia" w:ascii="微软雅黑" w:hAnsi="微软雅黑" w:cs="微软雅黑"/>
                <w:color w:val="auto"/>
                <w:highlight w:val="none"/>
              </w:rPr>
              <w:t>”按钮，网上填报《竞</w:t>
            </w:r>
            <w:r>
              <w:rPr>
                <w:rFonts w:hint="eastAsia" w:ascii="微软雅黑" w:hAnsi="微软雅黑" w:cs="微软雅黑"/>
                <w:color w:val="auto"/>
                <w:highlight w:val="none"/>
                <w:lang w:eastAsia="zh-CN"/>
              </w:rPr>
              <w:t>买</w:t>
            </w:r>
            <w:r>
              <w:rPr>
                <w:rFonts w:hint="eastAsia" w:ascii="微软雅黑" w:hAnsi="微软雅黑" w:cs="微软雅黑"/>
                <w:color w:val="auto"/>
                <w:highlight w:val="none"/>
              </w:rPr>
              <w:t>申请书》，点击银行获取我中心在该银行开设账户的随机子账号。</w:t>
            </w:r>
          </w:p>
          <w:p w14:paraId="5D52AB69">
            <w:pPr>
              <w:pStyle w:val="48"/>
              <w:ind w:firstLine="440" w:firstLineChars="200"/>
              <w:jc w:val="left"/>
              <w:textAlignment w:val="baseline"/>
              <w:rPr>
                <w:rFonts w:ascii="微软雅黑" w:hAnsi="微软雅黑" w:cs="微软雅黑"/>
                <w:color w:val="auto"/>
                <w:highlight w:val="none"/>
              </w:rPr>
            </w:pPr>
            <w:r>
              <w:rPr>
                <w:rFonts w:hint="eastAsia" w:ascii="微软雅黑" w:hAnsi="微软雅黑" w:cs="微软雅黑"/>
                <w:b/>
                <w:bCs/>
                <w:color w:val="auto"/>
                <w:szCs w:val="21"/>
                <w:highlight w:val="none"/>
                <w:lang w:val="en-US" w:eastAsia="zh-CN"/>
              </w:rPr>
              <w:t>5.各供应商出具的银行保函应为见索即付保函。</w:t>
            </w:r>
          </w:p>
        </w:tc>
      </w:tr>
      <w:tr w14:paraId="3671B07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10" w:type="dxa"/>
            <w:tcBorders>
              <w:tl2br w:val="nil"/>
              <w:tr2bl w:val="nil"/>
            </w:tcBorders>
            <w:vAlign w:val="center"/>
          </w:tcPr>
          <w:p w14:paraId="3ABBFBBB">
            <w:pPr>
              <w:pStyle w:val="48"/>
              <w:rPr>
                <w:rFonts w:ascii="微软雅黑" w:hAnsi="微软雅黑" w:cs="微软雅黑"/>
                <w:bCs/>
                <w:color w:val="auto"/>
                <w:szCs w:val="20"/>
                <w:highlight w:val="none"/>
              </w:rPr>
            </w:pPr>
            <w:r>
              <w:rPr>
                <w:rFonts w:hint="eastAsia" w:ascii="微软雅黑" w:hAnsi="微软雅黑" w:cs="微软雅黑"/>
                <w:bCs/>
                <w:color w:val="auto"/>
                <w:szCs w:val="20"/>
                <w:highlight w:val="none"/>
              </w:rPr>
              <w:t>第十六条</w:t>
            </w:r>
          </w:p>
        </w:tc>
        <w:tc>
          <w:tcPr>
            <w:tcW w:w="2363" w:type="dxa"/>
            <w:tcBorders>
              <w:tl2br w:val="nil"/>
              <w:tr2bl w:val="nil"/>
            </w:tcBorders>
            <w:vAlign w:val="center"/>
          </w:tcPr>
          <w:p w14:paraId="3FC54691">
            <w:pPr>
              <w:pStyle w:val="48"/>
              <w:rPr>
                <w:rFonts w:ascii="微软雅黑" w:hAnsi="微软雅黑" w:cs="微软雅黑"/>
                <w:bCs/>
                <w:color w:val="auto"/>
                <w:highlight w:val="none"/>
              </w:rPr>
            </w:pPr>
            <w:r>
              <w:rPr>
                <w:rFonts w:hint="eastAsia" w:ascii="微软雅黑" w:hAnsi="微软雅黑" w:cs="微软雅黑"/>
                <w:bCs/>
                <w:color w:val="auto"/>
                <w:highlight w:val="none"/>
              </w:rPr>
              <w:t>响应有效期</w:t>
            </w:r>
          </w:p>
        </w:tc>
        <w:tc>
          <w:tcPr>
            <w:tcW w:w="6487" w:type="dxa"/>
            <w:tcBorders>
              <w:tl2br w:val="nil"/>
              <w:tr2bl w:val="nil"/>
            </w:tcBorders>
            <w:vAlign w:val="center"/>
          </w:tcPr>
          <w:p w14:paraId="287BB3B5">
            <w:pPr>
              <w:pStyle w:val="58"/>
              <w:ind w:left="240" w:leftChars="100" w:right="-55" w:rightChars="-23" w:firstLine="0" w:firstLineChars="0"/>
              <w:rPr>
                <w:color w:val="auto"/>
                <w:highlight w:val="none"/>
              </w:rPr>
            </w:pPr>
            <w:r>
              <w:rPr>
                <w:rFonts w:hint="eastAsia"/>
                <w:color w:val="auto"/>
                <w:highlight w:val="none"/>
                <w:u w:val="single"/>
              </w:rPr>
              <w:t>90</w:t>
            </w:r>
            <w:r>
              <w:rPr>
                <w:rFonts w:hint="eastAsia"/>
                <w:color w:val="auto"/>
                <w:highlight w:val="none"/>
              </w:rPr>
              <w:t>日历日</w:t>
            </w:r>
          </w:p>
        </w:tc>
      </w:tr>
      <w:tr w14:paraId="2255C3C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10" w:type="dxa"/>
            <w:tcBorders>
              <w:tl2br w:val="nil"/>
              <w:tr2bl w:val="nil"/>
            </w:tcBorders>
            <w:vAlign w:val="center"/>
          </w:tcPr>
          <w:p w14:paraId="479D537E">
            <w:pPr>
              <w:pStyle w:val="48"/>
              <w:rPr>
                <w:rFonts w:ascii="微软雅黑" w:hAnsi="微软雅黑" w:cs="微软雅黑"/>
                <w:bCs/>
                <w:color w:val="auto"/>
                <w:szCs w:val="20"/>
                <w:highlight w:val="none"/>
              </w:rPr>
            </w:pPr>
            <w:r>
              <w:rPr>
                <w:rFonts w:hint="eastAsia" w:ascii="微软雅黑" w:hAnsi="微软雅黑" w:cs="微软雅黑"/>
                <w:bCs/>
                <w:color w:val="auto"/>
                <w:szCs w:val="20"/>
                <w:highlight w:val="none"/>
              </w:rPr>
              <w:t>第十七条</w:t>
            </w:r>
          </w:p>
        </w:tc>
        <w:tc>
          <w:tcPr>
            <w:tcW w:w="2363" w:type="dxa"/>
            <w:tcBorders>
              <w:tl2br w:val="nil"/>
              <w:tr2bl w:val="nil"/>
            </w:tcBorders>
            <w:vAlign w:val="center"/>
          </w:tcPr>
          <w:p w14:paraId="7971F0A9">
            <w:pPr>
              <w:pStyle w:val="48"/>
              <w:rPr>
                <w:rFonts w:ascii="微软雅黑" w:hAnsi="微软雅黑" w:cs="微软雅黑"/>
                <w:bCs/>
                <w:color w:val="auto"/>
                <w:szCs w:val="20"/>
                <w:highlight w:val="none"/>
              </w:rPr>
            </w:pPr>
            <w:r>
              <w:rPr>
                <w:rFonts w:hint="eastAsia" w:ascii="微软雅黑" w:hAnsi="微软雅黑" w:cs="微软雅黑"/>
                <w:bCs/>
                <w:color w:val="auto"/>
                <w:szCs w:val="20"/>
                <w:highlight w:val="none"/>
              </w:rPr>
              <w:t>网上报名截止时间</w:t>
            </w:r>
          </w:p>
        </w:tc>
        <w:tc>
          <w:tcPr>
            <w:tcW w:w="6487" w:type="dxa"/>
            <w:tcBorders>
              <w:tl2br w:val="nil"/>
              <w:tr2bl w:val="nil"/>
            </w:tcBorders>
            <w:vAlign w:val="center"/>
          </w:tcPr>
          <w:p w14:paraId="3B42FBD1">
            <w:pPr>
              <w:pStyle w:val="58"/>
              <w:ind w:firstLine="220" w:firstLineChars="100"/>
              <w:rPr>
                <w:color w:val="auto"/>
                <w:highlight w:val="none"/>
              </w:rPr>
            </w:pPr>
            <w:r>
              <w:rPr>
                <w:rFonts w:hint="eastAsia"/>
                <w:color w:val="auto"/>
                <w:highlight w:val="none"/>
                <w:u w:val="single"/>
              </w:rPr>
              <w:t>202</w:t>
            </w:r>
            <w:r>
              <w:rPr>
                <w:rFonts w:hint="eastAsia"/>
                <w:color w:val="auto"/>
                <w:highlight w:val="none"/>
                <w:u w:val="single"/>
                <w:lang w:val="en-US" w:eastAsia="zh-CN"/>
              </w:rPr>
              <w:t>6</w:t>
            </w:r>
            <w:r>
              <w:rPr>
                <w:rFonts w:hint="eastAsia"/>
                <w:color w:val="auto"/>
                <w:highlight w:val="none"/>
              </w:rPr>
              <w:t>年</w:t>
            </w:r>
            <w:r>
              <w:rPr>
                <w:rFonts w:hint="eastAsia"/>
                <w:color w:val="auto"/>
                <w:highlight w:val="none"/>
                <w:u w:val="single"/>
                <w:lang w:val="en-US" w:eastAsia="zh-CN"/>
              </w:rPr>
              <w:t>7</w:t>
            </w:r>
            <w:r>
              <w:rPr>
                <w:rFonts w:hint="eastAsia"/>
                <w:color w:val="auto"/>
                <w:highlight w:val="none"/>
              </w:rPr>
              <w:t>月</w:t>
            </w:r>
            <w:r>
              <w:rPr>
                <w:rFonts w:hint="eastAsia"/>
                <w:color w:val="auto"/>
                <w:highlight w:val="none"/>
                <w:u w:val="single"/>
                <w:lang w:val="en-US" w:eastAsia="zh-CN"/>
              </w:rPr>
              <w:t xml:space="preserve"> 17 </w:t>
            </w:r>
            <w:r>
              <w:rPr>
                <w:rFonts w:hint="eastAsia"/>
                <w:color w:val="auto"/>
                <w:highlight w:val="none"/>
              </w:rPr>
              <w:t>日上午</w:t>
            </w:r>
            <w:r>
              <w:rPr>
                <w:rFonts w:hint="eastAsia"/>
                <w:color w:val="auto"/>
                <w:highlight w:val="none"/>
                <w:u w:val="single"/>
                <w:lang w:val="en-US" w:eastAsia="zh-CN"/>
              </w:rPr>
              <w:t>10</w:t>
            </w:r>
            <w:r>
              <w:rPr>
                <w:rFonts w:hint="eastAsia"/>
                <w:color w:val="auto"/>
                <w:highlight w:val="none"/>
                <w:u w:val="single"/>
                <w:lang w:eastAsia="zh-CN"/>
              </w:rPr>
              <w:t>:</w:t>
            </w:r>
            <w:r>
              <w:rPr>
                <w:rFonts w:hint="eastAsia"/>
                <w:color w:val="auto"/>
                <w:highlight w:val="none"/>
                <w:u w:val="single"/>
              </w:rPr>
              <w:t>00</w:t>
            </w:r>
            <w:r>
              <w:rPr>
                <w:rFonts w:hint="eastAsia"/>
                <w:color w:val="auto"/>
                <w:highlight w:val="none"/>
              </w:rPr>
              <w:t>（北京时间）</w:t>
            </w:r>
          </w:p>
        </w:tc>
      </w:tr>
      <w:tr w14:paraId="72990D7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 w:hRule="atLeast"/>
          <w:jc w:val="center"/>
        </w:trPr>
        <w:tc>
          <w:tcPr>
            <w:tcW w:w="1110" w:type="dxa"/>
            <w:tcBorders>
              <w:tl2br w:val="nil"/>
              <w:tr2bl w:val="nil"/>
            </w:tcBorders>
            <w:vAlign w:val="center"/>
          </w:tcPr>
          <w:p w14:paraId="39E7E624">
            <w:pPr>
              <w:pStyle w:val="48"/>
              <w:rPr>
                <w:rFonts w:ascii="微软雅黑" w:hAnsi="微软雅黑" w:cs="微软雅黑"/>
                <w:bCs/>
                <w:color w:val="auto"/>
                <w:szCs w:val="20"/>
                <w:highlight w:val="none"/>
              </w:rPr>
            </w:pPr>
            <w:r>
              <w:rPr>
                <w:rFonts w:hint="eastAsia" w:ascii="微软雅黑" w:hAnsi="微软雅黑" w:cs="微软雅黑"/>
                <w:bCs/>
                <w:color w:val="auto"/>
                <w:szCs w:val="20"/>
                <w:highlight w:val="none"/>
              </w:rPr>
              <w:t>第二十五条</w:t>
            </w:r>
          </w:p>
        </w:tc>
        <w:tc>
          <w:tcPr>
            <w:tcW w:w="2363" w:type="dxa"/>
            <w:tcBorders>
              <w:tl2br w:val="nil"/>
              <w:tr2bl w:val="nil"/>
            </w:tcBorders>
            <w:vAlign w:val="center"/>
          </w:tcPr>
          <w:p w14:paraId="262DEB63">
            <w:pPr>
              <w:pStyle w:val="48"/>
              <w:rPr>
                <w:rFonts w:ascii="微软雅黑" w:hAnsi="微软雅黑" w:cs="微软雅黑"/>
                <w:bCs/>
                <w:color w:val="auto"/>
                <w:szCs w:val="20"/>
                <w:highlight w:val="none"/>
              </w:rPr>
            </w:pPr>
            <w:r>
              <w:rPr>
                <w:rFonts w:hint="eastAsia" w:ascii="微软雅黑" w:hAnsi="微软雅黑" w:cs="微软雅黑"/>
                <w:bCs/>
                <w:color w:val="auto"/>
                <w:szCs w:val="20"/>
                <w:highlight w:val="none"/>
              </w:rPr>
              <w:t>履约</w:t>
            </w:r>
            <w:r>
              <w:rPr>
                <w:rFonts w:hint="eastAsia" w:ascii="微软雅黑" w:hAnsi="微软雅黑" w:cs="微软雅黑"/>
                <w:bCs/>
                <w:color w:val="auto"/>
                <w:szCs w:val="20"/>
                <w:highlight w:val="none"/>
                <w:lang w:eastAsia="zh-CN"/>
              </w:rPr>
              <w:t>保证</w:t>
            </w:r>
            <w:r>
              <w:rPr>
                <w:rFonts w:hint="eastAsia" w:ascii="微软雅黑" w:hAnsi="微软雅黑" w:cs="微软雅黑"/>
                <w:bCs/>
                <w:color w:val="auto"/>
                <w:szCs w:val="20"/>
                <w:highlight w:val="none"/>
              </w:rPr>
              <w:t>金</w:t>
            </w:r>
          </w:p>
        </w:tc>
        <w:tc>
          <w:tcPr>
            <w:tcW w:w="6487" w:type="dxa"/>
            <w:tcBorders>
              <w:tl2br w:val="nil"/>
              <w:tr2bl w:val="nil"/>
            </w:tcBorders>
            <w:vAlign w:val="center"/>
          </w:tcPr>
          <w:p w14:paraId="27DEFC32">
            <w:pPr>
              <w:pStyle w:val="58"/>
              <w:ind w:firstLine="440"/>
              <w:rPr>
                <w:color w:val="auto"/>
                <w:highlight w:val="none"/>
              </w:rPr>
            </w:pPr>
            <w:r>
              <w:rPr>
                <w:rFonts w:ascii="宋体" w:hAnsi="宋体" w:eastAsia="宋体" w:cs="宋体"/>
                <w:color w:val="auto"/>
                <w:kern w:val="0"/>
                <w:sz w:val="24"/>
                <w:szCs w:val="24"/>
                <w:highlight w:val="none"/>
                <w:lang w:val="en-US" w:eastAsia="zh-CN" w:bidi="ar"/>
              </w:rPr>
              <w:sym w:font="Wingdings" w:char="00A8"/>
            </w:r>
            <w:r>
              <w:rPr>
                <w:rFonts w:hint="eastAsia"/>
                <w:b w:val="0"/>
                <w:bCs w:val="0"/>
                <w:color w:val="auto"/>
                <w:highlight w:val="none"/>
              </w:rPr>
              <w:t>不要求提供</w:t>
            </w:r>
          </w:p>
          <w:p w14:paraId="60C494D5">
            <w:pPr>
              <w:pStyle w:val="58"/>
              <w:ind w:firstLine="440"/>
              <w:rPr>
                <w:b/>
                <w:bCs/>
                <w:color w:val="auto"/>
                <w:highlight w:val="none"/>
              </w:rPr>
            </w:pPr>
            <w:r>
              <w:rPr>
                <w:rFonts w:ascii="宋体" w:hAnsi="宋体" w:eastAsia="宋体" w:cs="宋体"/>
                <w:color w:val="auto"/>
                <w:kern w:val="0"/>
                <w:sz w:val="24"/>
                <w:szCs w:val="24"/>
                <w:highlight w:val="none"/>
                <w:lang w:val="en-US" w:eastAsia="zh-CN" w:bidi="ar"/>
              </w:rPr>
              <w:sym w:font="Wingdings" w:char="00FE"/>
            </w:r>
            <w:r>
              <w:rPr>
                <w:rFonts w:hint="eastAsia"/>
                <w:b/>
                <w:bCs/>
                <w:color w:val="auto"/>
                <w:highlight w:val="none"/>
              </w:rPr>
              <w:t>要求提供</w:t>
            </w:r>
          </w:p>
          <w:p w14:paraId="7A4BFF0E">
            <w:pPr>
              <w:pStyle w:val="58"/>
              <w:numPr>
                <w:ilvl w:val="0"/>
                <w:numId w:val="7"/>
              </w:numPr>
              <w:ind w:right="-55" w:rightChars="-23" w:firstLineChars="0"/>
              <w:rPr>
                <w:color w:val="auto"/>
                <w:highlight w:val="none"/>
              </w:rPr>
            </w:pPr>
            <w:r>
              <w:rPr>
                <w:rFonts w:hint="eastAsia"/>
                <w:color w:val="auto"/>
                <w:highlight w:val="none"/>
              </w:rPr>
              <w:t>金额：</w:t>
            </w:r>
          </w:p>
          <w:p w14:paraId="076F93FD">
            <w:pPr>
              <w:pStyle w:val="58"/>
              <w:ind w:right="-55" w:rightChars="-23"/>
              <w:rPr>
                <w:color w:val="auto"/>
                <w:highlight w:val="none"/>
              </w:rPr>
            </w:pPr>
            <w:r>
              <w:rPr>
                <w:rFonts w:hint="eastAsia"/>
                <w:color w:val="auto"/>
                <w:highlight w:val="none"/>
              </w:rPr>
              <w:t>中标、成交金额降价幅度不超过采购预算10%的，履约保证金为中标、成交金额的10%</w:t>
            </w:r>
            <w:r>
              <w:rPr>
                <w:rFonts w:hint="eastAsia"/>
                <w:color w:val="auto"/>
                <w:highlight w:val="none"/>
                <w:lang w:eastAsia="zh-CN"/>
              </w:rPr>
              <w:t>；</w:t>
            </w:r>
            <w:r>
              <w:rPr>
                <w:rFonts w:hint="eastAsia"/>
                <w:color w:val="auto"/>
                <w:highlight w:val="none"/>
              </w:rPr>
              <w:t>中标、成交金额降价幅度超过采购预算10%以上的，履约保证金为采购预算减去中标、成交金额的差额。</w:t>
            </w:r>
          </w:p>
          <w:p w14:paraId="1F8F8FF8">
            <w:pPr>
              <w:pStyle w:val="58"/>
              <w:numPr>
                <w:ilvl w:val="0"/>
                <w:numId w:val="7"/>
              </w:numPr>
              <w:ind w:right="-55" w:rightChars="-23" w:firstLineChars="0"/>
              <w:rPr>
                <w:color w:val="auto"/>
                <w:highlight w:val="none"/>
              </w:rPr>
            </w:pPr>
            <w:r>
              <w:rPr>
                <w:rFonts w:hint="eastAsia"/>
                <w:color w:val="auto"/>
                <w:highlight w:val="none"/>
              </w:rPr>
              <w:t>支付方式：</w:t>
            </w:r>
          </w:p>
          <w:p w14:paraId="48C8F2DF">
            <w:pPr>
              <w:pStyle w:val="58"/>
              <w:ind w:firstLine="440"/>
              <w:rPr>
                <w:b/>
                <w:bCs/>
                <w:color w:val="auto"/>
                <w:highlight w:val="none"/>
              </w:rPr>
            </w:pPr>
            <w:r>
              <w:rPr>
                <w:rFonts w:ascii="宋体" w:hAnsi="宋体" w:eastAsia="宋体" w:cs="宋体"/>
                <w:color w:val="auto"/>
                <w:kern w:val="0"/>
                <w:sz w:val="24"/>
                <w:szCs w:val="24"/>
                <w:highlight w:val="none"/>
                <w:lang w:val="en-US" w:eastAsia="zh-CN" w:bidi="ar"/>
              </w:rPr>
              <w:sym w:font="Wingdings" w:char="00FE"/>
            </w:r>
            <w:r>
              <w:rPr>
                <w:rFonts w:hint="eastAsia"/>
                <w:b/>
                <w:bCs/>
                <w:color w:val="auto"/>
                <w:highlight w:val="none"/>
              </w:rPr>
              <w:t xml:space="preserve">银行转账 </w:t>
            </w:r>
            <w:r>
              <w:rPr>
                <w:rFonts w:ascii="宋体" w:hAnsi="宋体" w:eastAsia="宋体" w:cs="宋体"/>
                <w:color w:val="auto"/>
                <w:kern w:val="0"/>
                <w:sz w:val="24"/>
                <w:szCs w:val="24"/>
                <w:highlight w:val="none"/>
                <w:lang w:val="en-US" w:eastAsia="zh-CN" w:bidi="ar"/>
              </w:rPr>
              <w:sym w:font="Wingdings" w:char="00FE"/>
            </w:r>
            <w:r>
              <w:rPr>
                <w:rFonts w:hint="eastAsia"/>
                <w:b/>
                <w:bCs/>
                <w:color w:val="auto"/>
                <w:highlight w:val="none"/>
              </w:rPr>
              <w:t>支票</w:t>
            </w:r>
            <w:r>
              <w:rPr>
                <w:rFonts w:hint="eastAsia"/>
                <w:b/>
                <w:bCs/>
                <w:color w:val="auto"/>
                <w:highlight w:val="none"/>
                <w:lang w:val="en-US" w:eastAsia="zh-CN"/>
              </w:rPr>
              <w:t xml:space="preserve"> </w:t>
            </w:r>
            <w:r>
              <w:rPr>
                <w:rFonts w:ascii="宋体" w:hAnsi="宋体" w:eastAsia="宋体" w:cs="宋体"/>
                <w:color w:val="auto"/>
                <w:kern w:val="0"/>
                <w:sz w:val="24"/>
                <w:szCs w:val="24"/>
                <w:highlight w:val="none"/>
                <w:lang w:val="en-US" w:eastAsia="zh-CN" w:bidi="ar"/>
              </w:rPr>
              <w:sym w:font="Wingdings" w:char="00FE"/>
            </w:r>
            <w:r>
              <w:rPr>
                <w:rFonts w:hint="eastAsia"/>
                <w:b/>
                <w:bCs/>
                <w:color w:val="auto"/>
                <w:highlight w:val="none"/>
              </w:rPr>
              <w:t>汇票</w:t>
            </w:r>
            <w:r>
              <w:rPr>
                <w:rFonts w:hint="eastAsia"/>
                <w:b/>
                <w:bCs/>
                <w:color w:val="auto"/>
                <w:highlight w:val="none"/>
                <w:lang w:val="en-US" w:eastAsia="zh-CN"/>
              </w:rPr>
              <w:t xml:space="preserve"> </w:t>
            </w:r>
            <w:r>
              <w:rPr>
                <w:rFonts w:ascii="宋体" w:hAnsi="宋体" w:eastAsia="宋体" w:cs="宋体"/>
                <w:color w:val="auto"/>
                <w:kern w:val="0"/>
                <w:sz w:val="24"/>
                <w:szCs w:val="24"/>
                <w:highlight w:val="none"/>
                <w:lang w:val="en-US" w:eastAsia="zh-CN" w:bidi="ar"/>
              </w:rPr>
              <w:sym w:font="Wingdings" w:char="00FE"/>
            </w:r>
            <w:r>
              <w:rPr>
                <w:rFonts w:hint="eastAsia"/>
                <w:b/>
                <w:bCs/>
                <w:color w:val="auto"/>
                <w:highlight w:val="none"/>
              </w:rPr>
              <w:t>本票</w:t>
            </w:r>
            <w:r>
              <w:rPr>
                <w:rFonts w:hint="eastAsia"/>
                <w:b/>
                <w:bCs/>
                <w:color w:val="auto"/>
                <w:highlight w:val="none"/>
                <w:lang w:val="en-US" w:eastAsia="zh-CN"/>
              </w:rPr>
              <w:t xml:space="preserve"> </w:t>
            </w:r>
            <w:r>
              <w:rPr>
                <w:rFonts w:ascii="宋体" w:hAnsi="宋体" w:eastAsia="宋体" w:cs="宋体"/>
                <w:color w:val="auto"/>
                <w:kern w:val="0"/>
                <w:sz w:val="24"/>
                <w:szCs w:val="24"/>
                <w:highlight w:val="none"/>
                <w:lang w:val="en-US" w:eastAsia="zh-CN" w:bidi="ar"/>
              </w:rPr>
              <w:sym w:font="Wingdings" w:char="00FE"/>
            </w:r>
            <w:r>
              <w:rPr>
                <w:rFonts w:hint="eastAsia"/>
                <w:b/>
                <w:bCs/>
                <w:color w:val="auto"/>
                <w:highlight w:val="none"/>
                <w:lang w:eastAsia="zh-CN"/>
              </w:rPr>
              <w:t>银行</w:t>
            </w:r>
            <w:r>
              <w:rPr>
                <w:rFonts w:hint="eastAsia"/>
                <w:b/>
                <w:bCs/>
                <w:color w:val="auto"/>
                <w:highlight w:val="none"/>
              </w:rPr>
              <w:t>保函</w:t>
            </w:r>
            <w:r>
              <w:rPr>
                <w:rFonts w:hint="eastAsia"/>
                <w:color w:val="auto"/>
                <w:highlight w:val="none"/>
              </w:rPr>
              <w:t xml:space="preserve"> </w:t>
            </w:r>
          </w:p>
          <w:p w14:paraId="0AB0AD6A">
            <w:pPr>
              <w:pStyle w:val="58"/>
              <w:ind w:firstLine="440"/>
              <w:rPr>
                <w:rFonts w:hint="eastAsia"/>
                <w:color w:val="auto"/>
                <w:highlight w:val="none"/>
                <w:lang w:eastAsia="zh-CN"/>
              </w:rPr>
            </w:pPr>
            <w:r>
              <w:rPr>
                <w:rFonts w:hint="eastAsia"/>
                <w:color w:val="auto"/>
                <w:highlight w:val="none"/>
              </w:rPr>
              <w:t>提交保函的要求</w:t>
            </w:r>
            <w:r>
              <w:rPr>
                <w:rFonts w:hint="eastAsia"/>
                <w:color w:val="auto"/>
                <w:highlight w:val="none"/>
                <w:lang w:eastAsia="zh-CN"/>
              </w:rPr>
              <w:t>：</w:t>
            </w:r>
            <w:r>
              <w:rPr>
                <w:rFonts w:hint="eastAsia"/>
                <w:color w:val="auto"/>
                <w:highlight w:val="none"/>
              </w:rPr>
              <w:t>供应商提交的银行保函，在项目交付使用前不可撤销、不可转让、见索即付，履约担保责任至对应项目交付使用之日终止。银行保函应当是</w:t>
            </w:r>
            <w:r>
              <w:rPr>
                <w:rFonts w:hint="eastAsia"/>
                <w:color w:val="auto"/>
                <w:highlight w:val="none"/>
                <w:lang w:eastAsia="zh-CN"/>
              </w:rPr>
              <w:t>供应商</w:t>
            </w:r>
            <w:r>
              <w:rPr>
                <w:rFonts w:hint="eastAsia"/>
                <w:color w:val="auto"/>
                <w:highlight w:val="none"/>
              </w:rPr>
              <w:t>注册地或者项目所在地市域内的银行出具的保函。银行保函由采购人负责核验，报市公共资源交易中心登记</w:t>
            </w:r>
            <w:r>
              <w:rPr>
                <w:rFonts w:hint="eastAsia"/>
                <w:color w:val="auto"/>
                <w:highlight w:val="none"/>
                <w:lang w:eastAsia="zh-CN"/>
              </w:rPr>
              <w:t>。</w:t>
            </w:r>
          </w:p>
          <w:p w14:paraId="66FB993E">
            <w:pPr>
              <w:pStyle w:val="58"/>
              <w:numPr>
                <w:ilvl w:val="0"/>
                <w:numId w:val="7"/>
              </w:numPr>
              <w:ind w:left="0" w:leftChars="0" w:firstLine="400" w:firstLineChars="0"/>
              <w:rPr>
                <w:color w:val="auto"/>
                <w:highlight w:val="none"/>
                <w:u w:val="single"/>
              </w:rPr>
            </w:pPr>
            <w:r>
              <w:rPr>
                <w:rFonts w:hint="eastAsia" w:ascii="宋体" w:hAnsi="宋体" w:cs="宋体"/>
                <w:color w:val="auto"/>
                <w:highlight w:val="none"/>
              </w:rPr>
              <w:t>收取单位</w:t>
            </w:r>
            <w:r>
              <w:rPr>
                <w:rFonts w:hint="eastAsia"/>
                <w:color w:val="auto"/>
                <w:highlight w:val="none"/>
              </w:rPr>
              <w:t>：</w:t>
            </w:r>
            <w:r>
              <w:rPr>
                <w:rFonts w:hint="eastAsia"/>
                <w:color w:val="auto"/>
                <w:highlight w:val="none"/>
                <w:u w:val="single"/>
                <w:lang w:eastAsia="zh-CN"/>
              </w:rPr>
              <w:t>张家界市公安局</w:t>
            </w:r>
          </w:p>
          <w:p w14:paraId="5A6DBC1C">
            <w:pPr>
              <w:pStyle w:val="58"/>
              <w:numPr>
                <w:ilvl w:val="0"/>
                <w:numId w:val="7"/>
              </w:numPr>
              <w:ind w:left="0" w:leftChars="0" w:firstLine="400" w:firstLineChars="0"/>
              <w:rPr>
                <w:rFonts w:ascii="微软雅黑" w:hAnsi="微软雅黑" w:cs="微软雅黑"/>
                <w:color w:val="auto"/>
                <w:szCs w:val="21"/>
                <w:highlight w:val="none"/>
              </w:rPr>
            </w:pPr>
            <w:r>
              <w:rPr>
                <w:rFonts w:hint="eastAsia"/>
                <w:color w:val="auto"/>
                <w:highlight w:val="none"/>
              </w:rPr>
              <w:t>缴纳</w:t>
            </w:r>
            <w:r>
              <w:rPr>
                <w:rFonts w:hint="eastAsia"/>
                <w:color w:val="auto"/>
                <w:highlight w:val="none"/>
                <w:lang w:val="en-US" w:eastAsia="zh-CN"/>
              </w:rPr>
              <w:t>期限</w:t>
            </w:r>
            <w:r>
              <w:rPr>
                <w:rFonts w:hint="eastAsia"/>
                <w:color w:val="auto"/>
                <w:highlight w:val="none"/>
              </w:rPr>
              <w:t>：</w:t>
            </w:r>
            <w:r>
              <w:rPr>
                <w:rFonts w:hint="eastAsia"/>
                <w:color w:val="auto"/>
                <w:highlight w:val="none"/>
                <w:lang w:eastAsia="zh-CN"/>
              </w:rPr>
              <w:t>提交履约保证金的期限应当在采购文件中进行约定。供应商自领取中标、成交通知书后7个工作日内提交履约保证金，最长不超过14个工作日。若供应商未在规定时间内提交履约保证金，视为放弃中标成交资格。采购人应当取消其中标、成交资格，供应商的投标保证金不予退还，并将其列入张家界市“严重失信企业名单”实行联合惩戒，3年内不接受其参与市域内政府采购项目的投标</w:t>
            </w:r>
            <w:r>
              <w:rPr>
                <w:rFonts w:hint="eastAsia"/>
                <w:color w:val="auto"/>
                <w:highlight w:val="none"/>
              </w:rPr>
              <w:t>。</w:t>
            </w:r>
          </w:p>
        </w:tc>
      </w:tr>
      <w:tr w14:paraId="1F54032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 w:hRule="atLeast"/>
          <w:jc w:val="center"/>
        </w:trPr>
        <w:tc>
          <w:tcPr>
            <w:tcW w:w="1110" w:type="dxa"/>
            <w:tcBorders>
              <w:tl2br w:val="nil"/>
              <w:tr2bl w:val="nil"/>
            </w:tcBorders>
            <w:vAlign w:val="center"/>
          </w:tcPr>
          <w:p w14:paraId="41CC0D8F">
            <w:pPr>
              <w:pStyle w:val="48"/>
              <w:rPr>
                <w:rFonts w:ascii="微软雅黑" w:hAnsi="微软雅黑" w:cs="微软雅黑"/>
                <w:bCs/>
                <w:color w:val="auto"/>
                <w:szCs w:val="20"/>
                <w:highlight w:val="none"/>
              </w:rPr>
            </w:pPr>
            <w:r>
              <w:rPr>
                <w:rFonts w:hint="eastAsia" w:ascii="微软雅黑" w:hAnsi="微软雅黑" w:cs="微软雅黑"/>
                <w:bCs/>
                <w:color w:val="auto"/>
                <w:szCs w:val="20"/>
                <w:highlight w:val="none"/>
              </w:rPr>
              <w:t>第</w:t>
            </w:r>
            <w:r>
              <w:rPr>
                <w:rFonts w:hint="eastAsia" w:ascii="微软雅黑" w:hAnsi="微软雅黑" w:cs="微软雅黑"/>
                <w:bCs/>
                <w:color w:val="auto"/>
                <w:szCs w:val="20"/>
                <w:highlight w:val="none"/>
                <w:lang w:val="en-US" w:eastAsia="zh-CN"/>
              </w:rPr>
              <w:t>二十九</w:t>
            </w:r>
            <w:r>
              <w:rPr>
                <w:rFonts w:hint="eastAsia" w:ascii="微软雅黑" w:hAnsi="微软雅黑" w:cs="微软雅黑"/>
                <w:bCs/>
                <w:color w:val="auto"/>
                <w:szCs w:val="20"/>
                <w:highlight w:val="none"/>
              </w:rPr>
              <w:t>条</w:t>
            </w:r>
          </w:p>
        </w:tc>
        <w:tc>
          <w:tcPr>
            <w:tcW w:w="2363" w:type="dxa"/>
            <w:tcBorders>
              <w:tl2br w:val="nil"/>
              <w:tr2bl w:val="nil"/>
            </w:tcBorders>
            <w:vAlign w:val="center"/>
          </w:tcPr>
          <w:p w14:paraId="534029AF">
            <w:pPr>
              <w:pStyle w:val="48"/>
              <w:rPr>
                <w:rFonts w:ascii="微软雅黑" w:hAnsi="微软雅黑" w:cs="微软雅黑"/>
                <w:b w:val="0"/>
                <w:color w:val="auto"/>
                <w:highlight w:val="none"/>
              </w:rPr>
            </w:pPr>
            <w:r>
              <w:rPr>
                <w:rFonts w:hint="eastAsia" w:ascii="微软雅黑" w:hAnsi="微软雅黑" w:cs="微软雅黑"/>
                <w:bCs/>
                <w:color w:val="auto"/>
                <w:szCs w:val="20"/>
                <w:highlight w:val="none"/>
                <w:lang w:val="en-US" w:eastAsia="zh-CN"/>
              </w:rPr>
              <w:t>询问及</w:t>
            </w:r>
            <w:r>
              <w:rPr>
                <w:rFonts w:hint="eastAsia" w:ascii="微软雅黑" w:hAnsi="微软雅黑" w:cs="微软雅黑"/>
                <w:bCs/>
                <w:color w:val="auto"/>
                <w:szCs w:val="20"/>
                <w:highlight w:val="none"/>
              </w:rPr>
              <w:t>质疑</w:t>
            </w:r>
          </w:p>
        </w:tc>
        <w:tc>
          <w:tcPr>
            <w:tcW w:w="6487" w:type="dxa"/>
            <w:tcBorders>
              <w:tl2br w:val="nil"/>
              <w:tr2bl w:val="nil"/>
            </w:tcBorders>
            <w:vAlign w:val="center"/>
          </w:tcPr>
          <w:p w14:paraId="2BB2A443">
            <w:pPr>
              <w:pStyle w:val="58"/>
              <w:numPr>
                <w:ilvl w:val="0"/>
                <w:numId w:val="0"/>
              </w:numPr>
              <w:ind w:leftChars="200"/>
              <w:rPr>
                <w:color w:val="auto"/>
                <w:highlight w:val="none"/>
              </w:rPr>
            </w:pPr>
            <w:r>
              <w:rPr>
                <w:rFonts w:hint="eastAsia"/>
                <w:color w:val="auto"/>
                <w:highlight w:val="none"/>
              </w:rPr>
              <w:t>质疑函递交方式：书面递交</w:t>
            </w:r>
          </w:p>
          <w:p w14:paraId="0FF61D10">
            <w:pPr>
              <w:widowControl/>
              <w:spacing w:line="300" w:lineRule="exact"/>
              <w:ind w:firstLine="440" w:firstLineChars="200"/>
              <w:jc w:val="left"/>
              <w:rPr>
                <w:rFonts w:hint="eastAsia" w:ascii="宋体" w:hAnsi="宋体" w:eastAsia="微软雅黑" w:cs="宋体"/>
                <w:color w:val="auto"/>
                <w:kern w:val="2"/>
                <w:sz w:val="22"/>
                <w:szCs w:val="24"/>
                <w:highlight w:val="none"/>
                <w:lang w:val="en-US" w:eastAsia="zh-CN" w:bidi="ar-SA"/>
              </w:rPr>
            </w:pPr>
            <w:r>
              <w:rPr>
                <w:rFonts w:hint="eastAsia" w:ascii="宋体" w:hAnsi="宋体" w:eastAsia="微软雅黑" w:cs="宋体"/>
                <w:color w:val="auto"/>
                <w:kern w:val="2"/>
                <w:sz w:val="22"/>
                <w:szCs w:val="24"/>
                <w:highlight w:val="none"/>
                <w:lang w:val="en-US" w:eastAsia="zh-CN" w:bidi="ar-SA"/>
              </w:rPr>
              <w:t>联系部门：张家界市公安局</w:t>
            </w:r>
          </w:p>
          <w:p w14:paraId="74BE6019">
            <w:pPr>
              <w:widowControl/>
              <w:spacing w:line="300" w:lineRule="exact"/>
              <w:ind w:firstLine="440" w:firstLineChars="200"/>
              <w:jc w:val="left"/>
              <w:rPr>
                <w:rFonts w:hint="default" w:ascii="宋体" w:hAnsi="宋体" w:eastAsia="微软雅黑" w:cs="宋体"/>
                <w:color w:val="auto"/>
                <w:kern w:val="2"/>
                <w:sz w:val="22"/>
                <w:szCs w:val="24"/>
                <w:highlight w:val="none"/>
                <w:lang w:val="en-US" w:eastAsia="zh-CN" w:bidi="ar-SA"/>
              </w:rPr>
            </w:pPr>
            <w:r>
              <w:rPr>
                <w:rFonts w:hint="eastAsia" w:ascii="宋体" w:hAnsi="宋体" w:eastAsia="微软雅黑" w:cs="宋体"/>
                <w:color w:val="auto"/>
                <w:kern w:val="2"/>
                <w:sz w:val="22"/>
                <w:szCs w:val="24"/>
                <w:highlight w:val="none"/>
                <w:lang w:val="en-US" w:eastAsia="zh-CN" w:bidi="ar-SA"/>
              </w:rPr>
              <w:t>联系电话：</w:t>
            </w:r>
            <w:r>
              <w:rPr>
                <w:rFonts w:hint="eastAsia" w:ascii="Times New Roman"/>
                <w:color w:val="auto"/>
                <w:highlight w:val="none"/>
                <w:lang w:val="en-US" w:eastAsia="zh-CN"/>
              </w:rPr>
              <w:t>0744-8248127</w:t>
            </w:r>
          </w:p>
          <w:p w14:paraId="730E8F86">
            <w:pPr>
              <w:pStyle w:val="58"/>
              <w:ind w:firstLine="440"/>
              <w:rPr>
                <w:color w:val="auto"/>
                <w:highlight w:val="none"/>
              </w:rPr>
            </w:pPr>
            <w:r>
              <w:rPr>
                <w:rFonts w:hint="eastAsia" w:ascii="宋体" w:hAnsi="宋体" w:eastAsia="微软雅黑" w:cs="宋体"/>
                <w:color w:val="auto"/>
                <w:kern w:val="2"/>
                <w:sz w:val="22"/>
                <w:szCs w:val="24"/>
                <w:highlight w:val="none"/>
                <w:lang w:val="en-US" w:eastAsia="zh-CN" w:bidi="ar-SA"/>
              </w:rPr>
              <w:t>通信地址：张家界市永定区南庄坪</w:t>
            </w:r>
          </w:p>
        </w:tc>
      </w:tr>
    </w:tbl>
    <w:p w14:paraId="545764A9">
      <w:pPr>
        <w:rPr>
          <w:color w:val="auto"/>
          <w:highlight w:val="none"/>
        </w:rPr>
      </w:pPr>
      <w:r>
        <w:rPr>
          <w:rFonts w:hint="eastAsia"/>
          <w:color w:val="auto"/>
          <w:highlight w:val="none"/>
        </w:rPr>
        <w:br w:type="page"/>
      </w:r>
    </w:p>
    <w:p w14:paraId="65C108CB">
      <w:pPr>
        <w:pStyle w:val="4"/>
        <w:spacing w:before="156"/>
        <w:jc w:val="center"/>
        <w:rPr>
          <w:color w:val="auto"/>
          <w:highlight w:val="none"/>
        </w:rPr>
      </w:pPr>
      <w:bookmarkStart w:id="34" w:name="_Toc15273"/>
      <w:bookmarkStart w:id="35" w:name="_Toc31744"/>
      <w:bookmarkStart w:id="36" w:name="_Toc21546"/>
      <w:bookmarkStart w:id="37" w:name="_Toc5598"/>
      <w:r>
        <w:rPr>
          <w:rStyle w:val="50"/>
          <w:rFonts w:hint="eastAsia"/>
          <w:color w:val="auto"/>
          <w:highlight w:val="none"/>
        </w:rPr>
        <w:t xml:space="preserve">第二节 </w:t>
      </w:r>
      <w:r>
        <w:rPr>
          <w:rStyle w:val="50"/>
          <w:rFonts w:hint="eastAsia"/>
          <w:color w:val="auto"/>
          <w:highlight w:val="none"/>
          <w:lang w:eastAsia="zh-CN"/>
        </w:rPr>
        <w:t>供应商</w:t>
      </w:r>
      <w:r>
        <w:rPr>
          <w:rStyle w:val="50"/>
          <w:rFonts w:hint="eastAsia"/>
          <w:color w:val="auto"/>
          <w:highlight w:val="none"/>
        </w:rPr>
        <w:t>须知正文</w:t>
      </w:r>
      <w:bookmarkEnd w:id="34"/>
      <w:bookmarkEnd w:id="35"/>
      <w:bookmarkEnd w:id="36"/>
      <w:bookmarkEnd w:id="37"/>
    </w:p>
    <w:p w14:paraId="16604256">
      <w:pPr>
        <w:pStyle w:val="6"/>
        <w:numPr>
          <w:ilvl w:val="0"/>
          <w:numId w:val="8"/>
        </w:numPr>
        <w:ind w:firstLine="480"/>
        <w:outlineLvl w:val="2"/>
        <w:rPr>
          <w:color w:val="auto"/>
          <w:highlight w:val="none"/>
        </w:rPr>
      </w:pPr>
      <w:bookmarkStart w:id="38" w:name="_Toc24182"/>
      <w:bookmarkStart w:id="39" w:name="_Toc25461"/>
      <w:r>
        <w:rPr>
          <w:rFonts w:hint="eastAsia"/>
          <w:color w:val="auto"/>
          <w:highlight w:val="none"/>
        </w:rPr>
        <w:t>适用范围及</w:t>
      </w:r>
      <w:r>
        <w:rPr>
          <w:rFonts w:hint="eastAsia"/>
          <w:color w:val="auto"/>
          <w:highlight w:val="none"/>
          <w:lang w:val="en-US" w:eastAsia="zh-CN"/>
        </w:rPr>
        <w:t>谈判</w:t>
      </w:r>
      <w:r>
        <w:rPr>
          <w:rFonts w:hint="eastAsia"/>
          <w:color w:val="auto"/>
          <w:highlight w:val="none"/>
        </w:rPr>
        <w:t>原则</w:t>
      </w:r>
    </w:p>
    <w:p w14:paraId="53927D7F">
      <w:pPr>
        <w:pStyle w:val="45"/>
        <w:numPr>
          <w:ilvl w:val="0"/>
          <w:numId w:val="9"/>
        </w:numPr>
        <w:spacing w:before="156"/>
        <w:ind w:firstLine="480"/>
        <w:outlineLvl w:val="9"/>
        <w:rPr>
          <w:color w:val="auto"/>
          <w:highlight w:val="none"/>
        </w:rPr>
      </w:pPr>
      <w:r>
        <w:rPr>
          <w:rFonts w:hint="eastAsia"/>
          <w:color w:val="auto"/>
          <w:highlight w:val="none"/>
        </w:rPr>
        <w:t>本谈判文件仅适用于本次谈判所述的项目采购。</w:t>
      </w:r>
    </w:p>
    <w:p w14:paraId="7F4B968B">
      <w:pPr>
        <w:pStyle w:val="45"/>
        <w:numPr>
          <w:ilvl w:val="0"/>
          <w:numId w:val="9"/>
        </w:numPr>
        <w:spacing w:before="156"/>
        <w:ind w:firstLine="480"/>
        <w:rPr>
          <w:color w:val="auto"/>
          <w:highlight w:val="none"/>
        </w:rPr>
      </w:pPr>
      <w:r>
        <w:rPr>
          <w:rFonts w:hint="eastAsia"/>
          <w:color w:val="auto"/>
          <w:highlight w:val="none"/>
          <w:lang w:val="en-US" w:eastAsia="zh-CN"/>
        </w:rPr>
        <w:t>本次竞争性谈判</w:t>
      </w:r>
      <w:r>
        <w:rPr>
          <w:rFonts w:hint="eastAsia"/>
          <w:color w:val="auto"/>
          <w:highlight w:val="none"/>
        </w:rPr>
        <w:t>遵循“公开、公平、公正”和“诚实信用”原则，适用“起始价规则”并按“价低者得”原则确定</w:t>
      </w:r>
      <w:r>
        <w:rPr>
          <w:rFonts w:hint="eastAsia"/>
          <w:color w:val="auto"/>
          <w:highlight w:val="none"/>
          <w:lang w:eastAsia="zh-CN"/>
        </w:rPr>
        <w:t>成交供应商</w:t>
      </w:r>
      <w:r>
        <w:rPr>
          <w:rFonts w:hint="eastAsia"/>
          <w:color w:val="auto"/>
          <w:highlight w:val="none"/>
        </w:rPr>
        <w:t>。</w:t>
      </w:r>
    </w:p>
    <w:p w14:paraId="199F5542">
      <w:pPr>
        <w:pStyle w:val="6"/>
        <w:numPr>
          <w:ilvl w:val="0"/>
          <w:numId w:val="8"/>
        </w:numPr>
        <w:ind w:firstLine="480"/>
        <w:outlineLvl w:val="2"/>
        <w:rPr>
          <w:color w:val="auto"/>
          <w:highlight w:val="none"/>
        </w:rPr>
      </w:pPr>
      <w:r>
        <w:rPr>
          <w:rFonts w:hint="eastAsia"/>
          <w:color w:val="auto"/>
          <w:highlight w:val="none"/>
        </w:rPr>
        <w:t>定义</w:t>
      </w:r>
    </w:p>
    <w:p w14:paraId="50885F02">
      <w:pPr>
        <w:pStyle w:val="45"/>
        <w:numPr>
          <w:ilvl w:val="0"/>
          <w:numId w:val="10"/>
        </w:numPr>
        <w:spacing w:before="156"/>
        <w:ind w:firstLine="480"/>
        <w:rPr>
          <w:color w:val="auto"/>
          <w:highlight w:val="none"/>
        </w:rPr>
      </w:pPr>
      <w:r>
        <w:rPr>
          <w:rFonts w:hint="eastAsia"/>
          <w:color w:val="auto"/>
          <w:highlight w:val="none"/>
        </w:rPr>
        <w:t>货物：系指各种形态和种类的物品，包括原材料、燃料、设备、产品等。</w:t>
      </w:r>
    </w:p>
    <w:p w14:paraId="14648878">
      <w:pPr>
        <w:pStyle w:val="45"/>
        <w:numPr>
          <w:ilvl w:val="0"/>
          <w:numId w:val="10"/>
        </w:numPr>
        <w:spacing w:before="156"/>
        <w:ind w:firstLine="480"/>
        <w:rPr>
          <w:color w:val="auto"/>
          <w:highlight w:val="none"/>
        </w:rPr>
      </w:pPr>
      <w:r>
        <w:rPr>
          <w:rFonts w:hint="eastAsia"/>
          <w:color w:val="auto"/>
          <w:highlight w:val="none"/>
        </w:rPr>
        <w:t>服务：系指除货物和工程以外的其他政府采购对象，包括咨询、调研、评估、规划、设计、监理、审计、保险、租赁、印刷、维修、物业管理等。</w:t>
      </w:r>
    </w:p>
    <w:p w14:paraId="6C827A87">
      <w:pPr>
        <w:pStyle w:val="45"/>
        <w:numPr>
          <w:ilvl w:val="0"/>
          <w:numId w:val="10"/>
        </w:numPr>
        <w:spacing w:before="156"/>
        <w:ind w:firstLine="480"/>
        <w:rPr>
          <w:color w:val="auto"/>
          <w:highlight w:val="none"/>
        </w:rPr>
      </w:pPr>
      <w:r>
        <w:rPr>
          <w:rFonts w:hint="eastAsia"/>
          <w:color w:val="auto"/>
          <w:highlight w:val="none"/>
        </w:rPr>
        <w:t>工程</w:t>
      </w:r>
      <w:r>
        <w:rPr>
          <w:rFonts w:hint="eastAsia"/>
          <w:color w:val="auto"/>
          <w:highlight w:val="none"/>
          <w:lang w:eastAsia="zh-CN"/>
        </w:rPr>
        <w:t>：</w:t>
      </w:r>
      <w:r>
        <w:rPr>
          <w:rFonts w:hint="eastAsia"/>
          <w:color w:val="auto"/>
          <w:highlight w:val="none"/>
        </w:rPr>
        <w:t>系指建设工程，包括建筑物和构筑物的新建、改建、扩建、装修、拆除、修缮等</w:t>
      </w:r>
      <w:r>
        <w:rPr>
          <w:rFonts w:hint="eastAsia"/>
          <w:color w:val="auto"/>
          <w:highlight w:val="none"/>
          <w:lang w:eastAsia="zh-CN"/>
        </w:rPr>
        <w:t>。</w:t>
      </w:r>
    </w:p>
    <w:p w14:paraId="0C77EFF7">
      <w:pPr>
        <w:pStyle w:val="45"/>
        <w:numPr>
          <w:ilvl w:val="0"/>
          <w:numId w:val="10"/>
        </w:numPr>
        <w:spacing w:before="156"/>
        <w:ind w:firstLine="480"/>
        <w:rPr>
          <w:color w:val="auto"/>
          <w:highlight w:val="none"/>
        </w:rPr>
      </w:pPr>
      <w:r>
        <w:rPr>
          <w:rFonts w:hint="eastAsia"/>
          <w:color w:val="auto"/>
          <w:highlight w:val="none"/>
        </w:rPr>
        <w:t>时限（年份、月份等）计算：系指从</w:t>
      </w:r>
      <w:r>
        <w:rPr>
          <w:rFonts w:hint="eastAsia"/>
          <w:color w:val="auto"/>
          <w:highlight w:val="none"/>
          <w:lang w:val="en-US" w:eastAsia="zh-CN"/>
        </w:rPr>
        <w:t>谈判</w:t>
      </w:r>
      <w:r>
        <w:rPr>
          <w:rFonts w:hint="eastAsia"/>
          <w:color w:val="auto"/>
          <w:highlight w:val="none"/>
        </w:rPr>
        <w:t>之日向前追溯 X 年/月（“X” 为“一”及以后整数）起算。</w:t>
      </w:r>
    </w:p>
    <w:p w14:paraId="2B7E286C">
      <w:pPr>
        <w:pStyle w:val="45"/>
        <w:numPr>
          <w:ilvl w:val="0"/>
          <w:numId w:val="10"/>
        </w:numPr>
        <w:spacing w:before="156"/>
        <w:ind w:firstLine="480"/>
        <w:rPr>
          <w:color w:val="auto"/>
          <w:highlight w:val="none"/>
        </w:rPr>
      </w:pPr>
      <w:r>
        <w:rPr>
          <w:rFonts w:hint="eastAsia"/>
          <w:color w:val="auto"/>
          <w:highlight w:val="none"/>
        </w:rPr>
        <w:t>业绩：除非本谈判文件中另有规定，业绩系指符合本谈判文件规定且已供货（安装）完毕的与最终用户签订的合同。供应商与其关联公司（如母公司、控股公司、分公司、子公司、同一法定代表人的公司等）之间签订的合同，均不予认可。</w:t>
      </w:r>
    </w:p>
    <w:p w14:paraId="418AFEA0">
      <w:pPr>
        <w:pStyle w:val="45"/>
        <w:numPr>
          <w:ilvl w:val="0"/>
          <w:numId w:val="0"/>
        </w:numPr>
        <w:spacing w:before="156"/>
        <w:ind w:firstLine="480" w:firstLineChars="200"/>
        <w:rPr>
          <w:color w:val="auto"/>
          <w:highlight w:val="none"/>
        </w:rPr>
      </w:pPr>
      <w:r>
        <w:rPr>
          <w:rFonts w:hint="eastAsia"/>
          <w:color w:val="auto"/>
          <w:highlight w:val="none"/>
        </w:rPr>
        <w:t>除非本谈判文件中另有规定，否则业绩均为已供货（安装）完毕的业绩，业绩时间均以合同签订之日为追溯节点。</w:t>
      </w:r>
    </w:p>
    <w:p w14:paraId="6738FC65">
      <w:pPr>
        <w:pStyle w:val="45"/>
        <w:numPr>
          <w:ilvl w:val="0"/>
          <w:numId w:val="10"/>
        </w:numPr>
        <w:spacing w:before="156"/>
        <w:ind w:firstLine="480"/>
        <w:rPr>
          <w:color w:val="auto"/>
          <w:highlight w:val="none"/>
        </w:rPr>
      </w:pPr>
      <w:r>
        <w:rPr>
          <w:rFonts w:hint="eastAsia"/>
          <w:color w:val="auto"/>
          <w:highlight w:val="none"/>
        </w:rPr>
        <w:t>谈判文件中没有提及采购货物来源地的，根据《中华人民共和国政府采购法》的相关规定均应是本国货物，优先采购节能、环保产品。谈判的货物必须是合法生产的符合国家有关标准要求的货物，并满足谈判文件规定的规格、参数、质量、价格、有效期、售后服务等要求。</w:t>
      </w:r>
    </w:p>
    <w:p w14:paraId="1FE7B519">
      <w:pPr>
        <w:pStyle w:val="45"/>
        <w:numPr>
          <w:ilvl w:val="0"/>
          <w:numId w:val="0"/>
        </w:numPr>
        <w:spacing w:before="156"/>
        <w:ind w:firstLine="480" w:firstLineChars="200"/>
        <w:rPr>
          <w:color w:val="auto"/>
          <w:highlight w:val="none"/>
        </w:rPr>
      </w:pPr>
      <w:r>
        <w:rPr>
          <w:rFonts w:hint="eastAsia"/>
          <w:color w:val="auto"/>
          <w:highlight w:val="none"/>
        </w:rPr>
        <w:t>本谈判文件所采购的货物、产品、配件等全部标的，均应是全新、未使用过的，是完全符合相应质量标准的原装正品。无论谈判文件是否列明，供应商所提供的货物、产品、配件均须符合国家产品质量、安全、卫生、环保、检疫检验、生产经营许可等现行法律法规的规定。</w:t>
      </w:r>
    </w:p>
    <w:p w14:paraId="1509420A">
      <w:pPr>
        <w:pStyle w:val="45"/>
        <w:numPr>
          <w:ilvl w:val="0"/>
          <w:numId w:val="0"/>
        </w:numPr>
        <w:spacing w:before="156"/>
        <w:ind w:leftChars="200"/>
        <w:rPr>
          <w:rFonts w:hint="eastAsia" w:eastAsia="宋体"/>
          <w:color w:val="auto"/>
          <w:highlight w:val="none"/>
          <w:lang w:eastAsia="zh-CN"/>
        </w:rPr>
      </w:pPr>
      <w:r>
        <w:rPr>
          <w:rFonts w:hint="eastAsia"/>
          <w:color w:val="auto"/>
          <w:highlight w:val="none"/>
        </w:rPr>
        <w:t>本谈判文件所要求的证书、认证、资质，均应当是有权机构颁发，且在有效期内的</w:t>
      </w:r>
      <w:r>
        <w:rPr>
          <w:rFonts w:hint="eastAsia"/>
          <w:color w:val="auto"/>
          <w:highlight w:val="none"/>
          <w:lang w:eastAsia="zh-CN"/>
        </w:rPr>
        <w:t>。</w:t>
      </w:r>
    </w:p>
    <w:p w14:paraId="5CF19C04">
      <w:pPr>
        <w:pStyle w:val="6"/>
        <w:numPr>
          <w:ilvl w:val="0"/>
          <w:numId w:val="8"/>
        </w:numPr>
        <w:ind w:firstLine="480"/>
        <w:outlineLvl w:val="2"/>
        <w:rPr>
          <w:color w:val="auto"/>
          <w:highlight w:val="none"/>
        </w:rPr>
      </w:pPr>
      <w:r>
        <w:rPr>
          <w:rFonts w:hint="eastAsia"/>
          <w:color w:val="auto"/>
          <w:highlight w:val="none"/>
          <w:lang w:eastAsia="zh-CN"/>
        </w:rPr>
        <w:t>采购人</w:t>
      </w:r>
      <w:r>
        <w:rPr>
          <w:rFonts w:hint="eastAsia"/>
          <w:color w:val="auto"/>
          <w:highlight w:val="none"/>
        </w:rPr>
        <w:t>、</w:t>
      </w:r>
      <w:r>
        <w:rPr>
          <w:rFonts w:hint="eastAsia"/>
          <w:color w:val="auto"/>
          <w:highlight w:val="none"/>
          <w:lang w:val="en-US" w:eastAsia="zh-CN"/>
        </w:rPr>
        <w:t>采购代理</w:t>
      </w:r>
      <w:r>
        <w:rPr>
          <w:rFonts w:hint="eastAsia"/>
          <w:color w:val="auto"/>
          <w:highlight w:val="none"/>
        </w:rPr>
        <w:t>机构及</w:t>
      </w:r>
      <w:r>
        <w:rPr>
          <w:rFonts w:hint="eastAsia"/>
          <w:color w:val="auto"/>
          <w:highlight w:val="none"/>
          <w:lang w:eastAsia="zh-CN"/>
        </w:rPr>
        <w:t>供应商</w:t>
      </w:r>
    </w:p>
    <w:p w14:paraId="6DF91E5A">
      <w:pPr>
        <w:pStyle w:val="45"/>
        <w:numPr>
          <w:ilvl w:val="0"/>
          <w:numId w:val="11"/>
        </w:numPr>
        <w:spacing w:before="156"/>
        <w:ind w:firstLine="480"/>
        <w:rPr>
          <w:color w:val="auto"/>
          <w:highlight w:val="none"/>
        </w:rPr>
      </w:pPr>
      <w:r>
        <w:rPr>
          <w:rFonts w:hint="eastAsia"/>
          <w:color w:val="auto"/>
          <w:highlight w:val="none"/>
          <w:lang w:eastAsia="zh-CN"/>
        </w:rPr>
        <w:t>采购人</w:t>
      </w:r>
      <w:r>
        <w:rPr>
          <w:rFonts w:hint="eastAsia"/>
          <w:color w:val="auto"/>
          <w:highlight w:val="none"/>
        </w:rPr>
        <w:t>：是指依法开展政府采购活动的国家机关、事业单位、团体组织。本项目的采购人见</w:t>
      </w:r>
      <w:r>
        <w:rPr>
          <w:rFonts w:hint="eastAsia"/>
          <w:b/>
          <w:color w:val="auto"/>
          <w:highlight w:val="none"/>
        </w:rPr>
        <w:t>【供应商须知前附表】</w:t>
      </w:r>
      <w:r>
        <w:rPr>
          <w:rFonts w:hint="eastAsia"/>
          <w:b/>
          <w:bCs/>
          <w:color w:val="auto"/>
          <w:highlight w:val="none"/>
        </w:rPr>
        <w:t>。</w:t>
      </w:r>
    </w:p>
    <w:p w14:paraId="6DEEBEFE">
      <w:pPr>
        <w:pStyle w:val="45"/>
        <w:numPr>
          <w:ilvl w:val="0"/>
          <w:numId w:val="11"/>
        </w:numPr>
        <w:spacing w:before="156"/>
        <w:ind w:firstLine="480"/>
        <w:rPr>
          <w:color w:val="auto"/>
          <w:highlight w:val="none"/>
        </w:rPr>
      </w:pPr>
      <w:r>
        <w:rPr>
          <w:rFonts w:hint="eastAsia"/>
          <w:color w:val="auto"/>
          <w:highlight w:val="none"/>
        </w:rPr>
        <w:t>采购代理机构：是指集中采购机构或从事采购代理业务的社会中介机构。本项目的采购代理机构见</w:t>
      </w:r>
      <w:r>
        <w:rPr>
          <w:rFonts w:hint="eastAsia"/>
          <w:b/>
          <w:color w:val="auto"/>
          <w:highlight w:val="none"/>
        </w:rPr>
        <w:t>【供应商须知前附表】</w:t>
      </w:r>
      <w:r>
        <w:rPr>
          <w:rFonts w:hint="eastAsia"/>
          <w:b/>
          <w:bCs/>
          <w:color w:val="auto"/>
          <w:highlight w:val="none"/>
        </w:rPr>
        <w:t>。</w:t>
      </w:r>
    </w:p>
    <w:p w14:paraId="4DAADE31">
      <w:pPr>
        <w:pStyle w:val="45"/>
        <w:numPr>
          <w:ilvl w:val="0"/>
          <w:numId w:val="11"/>
        </w:numPr>
        <w:spacing w:before="156"/>
        <w:ind w:firstLine="480"/>
        <w:rPr>
          <w:color w:val="auto"/>
          <w:highlight w:val="none"/>
        </w:rPr>
      </w:pPr>
      <w:r>
        <w:rPr>
          <w:rFonts w:hint="eastAsia"/>
          <w:color w:val="auto"/>
          <w:highlight w:val="none"/>
          <w:lang w:eastAsia="zh-CN"/>
        </w:rPr>
        <w:t>供应商</w:t>
      </w:r>
      <w:r>
        <w:rPr>
          <w:rFonts w:hint="eastAsia"/>
          <w:color w:val="auto"/>
          <w:highlight w:val="none"/>
        </w:rPr>
        <w:t>：是指向采购人提供货物、工程或者服务的法人、非法人组织或者自然人。分支机构不得参加政府采购活动，但银行、保险、石油石化、电力、电信等特殊行业除外。本项目的供应商须满足以下条件：</w:t>
      </w:r>
    </w:p>
    <w:p w14:paraId="389AA545">
      <w:pPr>
        <w:pStyle w:val="45"/>
        <w:keepNext w:val="0"/>
        <w:keepLines w:val="0"/>
        <w:pageBreakBefore w:val="0"/>
        <w:widowControl w:val="0"/>
        <w:numPr>
          <w:ilvl w:val="0"/>
          <w:numId w:val="12"/>
        </w:numPr>
        <w:kinsoku/>
        <w:wordWrap/>
        <w:overflowPunct/>
        <w:topLinePunct w:val="0"/>
        <w:autoSpaceDE/>
        <w:autoSpaceDN/>
        <w:bidi w:val="0"/>
        <w:adjustRightInd w:val="0"/>
        <w:snapToGrid w:val="0"/>
        <w:spacing w:before="240"/>
        <w:ind w:left="0" w:leftChars="0" w:firstLine="420" w:firstLineChars="0"/>
        <w:textAlignment w:val="auto"/>
        <w:rPr>
          <w:color w:val="auto"/>
          <w:highlight w:val="none"/>
        </w:rPr>
      </w:pPr>
      <w:r>
        <w:rPr>
          <w:rFonts w:hint="eastAsia" w:ascii="Times New Roman" w:hAnsi="Times New Roman" w:eastAsia="宋体" w:cs="Times New Roman"/>
          <w:color w:val="auto"/>
          <w:highlight w:val="none"/>
        </w:rPr>
        <w:t>在</w:t>
      </w:r>
      <w:r>
        <w:rPr>
          <w:rFonts w:hint="eastAsia"/>
          <w:color w:val="auto"/>
          <w:highlight w:val="none"/>
        </w:rPr>
        <w:t>中华人民共和国境内注册，能够独立承担民事责任，有生产或供应能力的本国供应商。</w:t>
      </w:r>
    </w:p>
    <w:p w14:paraId="1455967A">
      <w:pPr>
        <w:pStyle w:val="45"/>
        <w:keepNext w:val="0"/>
        <w:keepLines w:val="0"/>
        <w:pageBreakBefore w:val="0"/>
        <w:widowControl w:val="0"/>
        <w:numPr>
          <w:ilvl w:val="0"/>
          <w:numId w:val="12"/>
        </w:numPr>
        <w:kinsoku/>
        <w:wordWrap/>
        <w:overflowPunct/>
        <w:topLinePunct w:val="0"/>
        <w:autoSpaceDE/>
        <w:autoSpaceDN/>
        <w:bidi w:val="0"/>
        <w:adjustRightInd w:val="0"/>
        <w:snapToGrid w:val="0"/>
        <w:spacing w:before="240"/>
        <w:ind w:left="0" w:leftChars="0" w:firstLine="420" w:firstLineChars="0"/>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具备《中华人民共和国政府采购法》第二十二条关于供应商条件的规定，遵守本项目采购人本级和上级财政部门政府采购的有关规定。</w:t>
      </w:r>
    </w:p>
    <w:p w14:paraId="4341C3FF">
      <w:pPr>
        <w:pStyle w:val="45"/>
        <w:keepNext w:val="0"/>
        <w:keepLines w:val="0"/>
        <w:pageBreakBefore w:val="0"/>
        <w:widowControl w:val="0"/>
        <w:numPr>
          <w:ilvl w:val="0"/>
          <w:numId w:val="12"/>
        </w:numPr>
        <w:kinsoku/>
        <w:wordWrap/>
        <w:overflowPunct/>
        <w:topLinePunct w:val="0"/>
        <w:autoSpaceDE/>
        <w:autoSpaceDN/>
        <w:bidi w:val="0"/>
        <w:adjustRightInd w:val="0"/>
        <w:snapToGrid w:val="0"/>
        <w:spacing w:before="240"/>
        <w:ind w:left="0" w:leftChars="0" w:firstLine="420" w:firstLineChars="0"/>
        <w:textAlignment w:val="auto"/>
        <w:outlineLvl w:val="9"/>
        <w:rPr>
          <w:color w:val="auto"/>
          <w:highlight w:val="none"/>
        </w:rPr>
      </w:pPr>
      <w:r>
        <w:rPr>
          <w:rFonts w:hint="eastAsia" w:ascii="Times New Roman" w:hAnsi="Times New Roman" w:eastAsia="宋体" w:cs="Times New Roman"/>
          <w:color w:val="auto"/>
          <w:highlight w:val="none"/>
        </w:rPr>
        <w:t>以采购代理机构认可的方式获得了本项目的谈判文件。</w:t>
      </w:r>
    </w:p>
    <w:p w14:paraId="6C2D3DE6">
      <w:pPr>
        <w:pStyle w:val="45"/>
        <w:keepNext w:val="0"/>
        <w:keepLines w:val="0"/>
        <w:pageBreakBefore w:val="0"/>
        <w:widowControl w:val="0"/>
        <w:numPr>
          <w:ilvl w:val="0"/>
          <w:numId w:val="12"/>
        </w:numPr>
        <w:kinsoku/>
        <w:wordWrap/>
        <w:overflowPunct/>
        <w:topLinePunct w:val="0"/>
        <w:autoSpaceDE/>
        <w:autoSpaceDN/>
        <w:bidi w:val="0"/>
        <w:adjustRightInd w:val="0"/>
        <w:snapToGrid w:val="0"/>
        <w:spacing w:before="240"/>
        <w:ind w:left="0" w:leftChars="0" w:firstLine="420" w:firstLineChars="0"/>
        <w:textAlignment w:val="auto"/>
        <w:rPr>
          <w:color w:val="auto"/>
          <w:highlight w:val="none"/>
        </w:rPr>
      </w:pPr>
      <w:r>
        <w:rPr>
          <w:rFonts w:hint="eastAsia" w:ascii="Times New Roman" w:hAnsi="Times New Roman" w:eastAsia="宋体" w:cs="Times New Roman"/>
          <w:color w:val="auto"/>
          <w:highlight w:val="none"/>
        </w:rPr>
        <w:t>若</w:t>
      </w:r>
      <w:r>
        <w:rPr>
          <w:rFonts w:hint="eastAsia"/>
          <w:b/>
          <w:color w:val="auto"/>
          <w:highlight w:val="none"/>
        </w:rPr>
        <w:t>【供应商须知前附表】</w:t>
      </w:r>
      <w:r>
        <w:rPr>
          <w:rFonts w:hint="eastAsia"/>
          <w:color w:val="auto"/>
          <w:highlight w:val="none"/>
        </w:rPr>
        <w:t>中写明专门面向中小企业采购的，如供应商为非中小企业，其响应文件将被认定为</w:t>
      </w:r>
      <w:r>
        <w:rPr>
          <w:rFonts w:hint="eastAsia"/>
          <w:b/>
          <w:color w:val="auto"/>
          <w:highlight w:val="none"/>
        </w:rPr>
        <w:t>响应无效</w:t>
      </w:r>
      <w:r>
        <w:rPr>
          <w:rFonts w:hint="eastAsia"/>
          <w:color w:val="auto"/>
          <w:highlight w:val="none"/>
        </w:rPr>
        <w:t>。</w:t>
      </w:r>
    </w:p>
    <w:p w14:paraId="62B054E3">
      <w:pPr>
        <w:pStyle w:val="45"/>
        <w:keepNext w:val="0"/>
        <w:keepLines w:val="0"/>
        <w:pageBreakBefore w:val="0"/>
        <w:widowControl w:val="0"/>
        <w:numPr>
          <w:ilvl w:val="0"/>
          <w:numId w:val="12"/>
        </w:numPr>
        <w:kinsoku/>
        <w:wordWrap/>
        <w:overflowPunct/>
        <w:topLinePunct w:val="0"/>
        <w:autoSpaceDE/>
        <w:autoSpaceDN/>
        <w:bidi w:val="0"/>
        <w:adjustRightInd w:val="0"/>
        <w:snapToGrid w:val="0"/>
        <w:spacing w:before="240"/>
        <w:ind w:left="0" w:leftChars="0" w:firstLine="420" w:firstLineChars="0"/>
        <w:textAlignment w:val="auto"/>
        <w:rPr>
          <w:color w:val="auto"/>
          <w:highlight w:val="none"/>
        </w:rPr>
      </w:pPr>
      <w:r>
        <w:rPr>
          <w:rFonts w:hint="eastAsia"/>
          <w:color w:val="auto"/>
          <w:highlight w:val="none"/>
        </w:rPr>
        <w:t>若</w:t>
      </w:r>
      <w:r>
        <w:rPr>
          <w:rFonts w:hint="eastAsia"/>
          <w:b/>
          <w:color w:val="auto"/>
          <w:highlight w:val="none"/>
        </w:rPr>
        <w:t>【供应商须知前附表】</w:t>
      </w:r>
      <w:r>
        <w:rPr>
          <w:rFonts w:hint="eastAsia"/>
          <w:color w:val="auto"/>
          <w:highlight w:val="none"/>
        </w:rPr>
        <w:t>中写明允许采购进口产品，供应商应保证所投产品可履行合法报通关手续进入中国关境内。</w:t>
      </w:r>
    </w:p>
    <w:p w14:paraId="6C63C536">
      <w:pPr>
        <w:pStyle w:val="45"/>
        <w:spacing w:before="240"/>
        <w:ind w:firstLine="480"/>
        <w:rPr>
          <w:color w:val="auto"/>
          <w:highlight w:val="none"/>
        </w:rPr>
      </w:pPr>
      <w:r>
        <w:rPr>
          <w:rFonts w:hint="eastAsia"/>
          <w:color w:val="auto"/>
          <w:highlight w:val="none"/>
        </w:rPr>
        <w:t>若</w:t>
      </w:r>
      <w:r>
        <w:rPr>
          <w:rFonts w:hint="eastAsia"/>
          <w:b/>
          <w:color w:val="auto"/>
          <w:highlight w:val="none"/>
        </w:rPr>
        <w:t>【供应商须知前附表】</w:t>
      </w:r>
      <w:r>
        <w:rPr>
          <w:rFonts w:hint="eastAsia"/>
          <w:color w:val="auto"/>
          <w:highlight w:val="none"/>
        </w:rPr>
        <w:t>中未写明允许采购进口产品，如供应商所投产品为进口产品，其响应文件将被认定为</w:t>
      </w:r>
      <w:r>
        <w:rPr>
          <w:rFonts w:hint="eastAsia"/>
          <w:b/>
          <w:color w:val="auto"/>
          <w:highlight w:val="none"/>
        </w:rPr>
        <w:t>响应无效</w:t>
      </w:r>
      <w:r>
        <w:rPr>
          <w:rFonts w:hint="eastAsia"/>
          <w:color w:val="auto"/>
          <w:highlight w:val="none"/>
        </w:rPr>
        <w:t>。</w:t>
      </w:r>
    </w:p>
    <w:p w14:paraId="53B743AE">
      <w:pPr>
        <w:pStyle w:val="45"/>
        <w:numPr>
          <w:ilvl w:val="0"/>
          <w:numId w:val="11"/>
        </w:numPr>
        <w:spacing w:before="156"/>
        <w:ind w:firstLine="480"/>
        <w:outlineLvl w:val="9"/>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若</w:t>
      </w:r>
      <w:r>
        <w:rPr>
          <w:rFonts w:hint="eastAsia"/>
          <w:b/>
          <w:color w:val="auto"/>
          <w:highlight w:val="none"/>
        </w:rPr>
        <w:t>【供应商须知前附表】</w:t>
      </w:r>
      <w:r>
        <w:rPr>
          <w:rFonts w:hint="eastAsia" w:ascii="Times New Roman" w:hAnsi="Times New Roman" w:eastAsia="宋体" w:cs="Times New Roman"/>
          <w:color w:val="auto"/>
          <w:highlight w:val="none"/>
          <w:lang w:eastAsia="zh-CN"/>
        </w:rPr>
        <w:t>中允许联合形式，对联合体规定如下：</w:t>
      </w:r>
    </w:p>
    <w:p w14:paraId="603A4C9B">
      <w:pPr>
        <w:pStyle w:val="45"/>
        <w:keepNext w:val="0"/>
        <w:keepLines w:val="0"/>
        <w:pageBreakBefore w:val="0"/>
        <w:widowControl w:val="0"/>
        <w:numPr>
          <w:ilvl w:val="0"/>
          <w:numId w:val="13"/>
        </w:numPr>
        <w:kinsoku/>
        <w:wordWrap/>
        <w:overflowPunct/>
        <w:topLinePunct w:val="0"/>
        <w:autoSpaceDE/>
        <w:autoSpaceDN/>
        <w:bidi w:val="0"/>
        <w:adjustRightInd w:val="0"/>
        <w:snapToGrid w:val="0"/>
        <w:spacing w:before="240"/>
        <w:ind w:left="0" w:leftChars="0" w:firstLine="420" w:firstLineChars="0"/>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两个以上供应商可以组成一个联合体，以一个供应商的身份谈判。</w:t>
      </w:r>
    </w:p>
    <w:p w14:paraId="507D32AA">
      <w:pPr>
        <w:pStyle w:val="45"/>
        <w:keepNext w:val="0"/>
        <w:keepLines w:val="0"/>
        <w:pageBreakBefore w:val="0"/>
        <w:widowControl w:val="0"/>
        <w:numPr>
          <w:ilvl w:val="0"/>
          <w:numId w:val="13"/>
        </w:numPr>
        <w:kinsoku/>
        <w:wordWrap/>
        <w:overflowPunct/>
        <w:topLinePunct w:val="0"/>
        <w:autoSpaceDE/>
        <w:autoSpaceDN/>
        <w:bidi w:val="0"/>
        <w:adjustRightInd w:val="0"/>
        <w:snapToGrid w:val="0"/>
        <w:spacing w:before="240"/>
        <w:ind w:left="0" w:leftChars="0" w:firstLine="420" w:firstLineChars="0"/>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联合体各方均应符合《中华人民共和国政府采购法》第二十二条规定的条件。</w:t>
      </w:r>
    </w:p>
    <w:p w14:paraId="07A00F94">
      <w:pPr>
        <w:pStyle w:val="45"/>
        <w:keepNext w:val="0"/>
        <w:keepLines w:val="0"/>
        <w:pageBreakBefore w:val="0"/>
        <w:widowControl w:val="0"/>
        <w:numPr>
          <w:ilvl w:val="0"/>
          <w:numId w:val="13"/>
        </w:numPr>
        <w:kinsoku/>
        <w:wordWrap/>
        <w:overflowPunct/>
        <w:topLinePunct w:val="0"/>
        <w:autoSpaceDE/>
        <w:autoSpaceDN/>
        <w:bidi w:val="0"/>
        <w:adjustRightInd w:val="0"/>
        <w:snapToGrid w:val="0"/>
        <w:spacing w:before="240"/>
        <w:ind w:left="0" w:leftChars="0" w:firstLine="420" w:firstLineChars="0"/>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采购人根据采购项目对供应商的特殊要求，联合体中至少应当有一方符合相关规定。</w:t>
      </w:r>
    </w:p>
    <w:p w14:paraId="4A2BB973">
      <w:pPr>
        <w:pStyle w:val="45"/>
        <w:keepNext w:val="0"/>
        <w:keepLines w:val="0"/>
        <w:pageBreakBefore w:val="0"/>
        <w:widowControl w:val="0"/>
        <w:numPr>
          <w:ilvl w:val="0"/>
          <w:numId w:val="13"/>
        </w:numPr>
        <w:kinsoku/>
        <w:wordWrap/>
        <w:overflowPunct/>
        <w:topLinePunct w:val="0"/>
        <w:autoSpaceDE/>
        <w:autoSpaceDN/>
        <w:bidi w:val="0"/>
        <w:adjustRightInd w:val="0"/>
        <w:snapToGrid w:val="0"/>
        <w:spacing w:before="240"/>
        <w:ind w:left="0" w:leftChars="0" w:firstLine="420" w:firstLineChars="0"/>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联合体各方应签订联合体协议，明确约定联合体各方承担的工作和相应的责任，并将联合体协议作为响应文件的一部分提交。</w:t>
      </w:r>
    </w:p>
    <w:p w14:paraId="1D884779">
      <w:pPr>
        <w:pStyle w:val="45"/>
        <w:keepNext w:val="0"/>
        <w:keepLines w:val="0"/>
        <w:pageBreakBefore w:val="0"/>
        <w:widowControl w:val="0"/>
        <w:numPr>
          <w:ilvl w:val="0"/>
          <w:numId w:val="13"/>
        </w:numPr>
        <w:kinsoku/>
        <w:wordWrap/>
        <w:overflowPunct/>
        <w:topLinePunct w:val="0"/>
        <w:autoSpaceDE/>
        <w:autoSpaceDN/>
        <w:bidi w:val="0"/>
        <w:adjustRightInd w:val="0"/>
        <w:snapToGrid w:val="0"/>
        <w:spacing w:before="240"/>
        <w:ind w:left="0" w:leftChars="0" w:firstLine="420" w:firstLineChars="0"/>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大中型企业、其他自然人、法人或者非法人组织与小型、微型企业组成联合体共同参加谈判，联合体协议中应写明小型、微型企业的协议合同金额占到联合体协议报价总金额的比例。</w:t>
      </w:r>
    </w:p>
    <w:p w14:paraId="415B84D8">
      <w:pPr>
        <w:pStyle w:val="45"/>
        <w:keepNext w:val="0"/>
        <w:keepLines w:val="0"/>
        <w:pageBreakBefore w:val="0"/>
        <w:widowControl w:val="0"/>
        <w:numPr>
          <w:ilvl w:val="0"/>
          <w:numId w:val="13"/>
        </w:numPr>
        <w:kinsoku/>
        <w:wordWrap/>
        <w:overflowPunct/>
        <w:topLinePunct w:val="0"/>
        <w:autoSpaceDE/>
        <w:autoSpaceDN/>
        <w:bidi w:val="0"/>
        <w:adjustRightInd w:val="0"/>
        <w:snapToGrid w:val="0"/>
        <w:spacing w:before="240"/>
        <w:ind w:left="0" w:leftChars="0" w:firstLine="420" w:firstLineChars="0"/>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联合体中有同类资质的供应商按照联合体分工承担相同工作的，应当按照资质等级较低的供应商确定资质等级。</w:t>
      </w:r>
    </w:p>
    <w:p w14:paraId="6EB0F300">
      <w:pPr>
        <w:pStyle w:val="45"/>
        <w:keepNext w:val="0"/>
        <w:keepLines w:val="0"/>
        <w:pageBreakBefore w:val="0"/>
        <w:widowControl w:val="0"/>
        <w:numPr>
          <w:ilvl w:val="0"/>
          <w:numId w:val="13"/>
        </w:numPr>
        <w:kinsoku/>
        <w:wordWrap/>
        <w:overflowPunct/>
        <w:topLinePunct w:val="0"/>
        <w:autoSpaceDE/>
        <w:autoSpaceDN/>
        <w:bidi w:val="0"/>
        <w:adjustRightInd w:val="0"/>
        <w:snapToGrid w:val="0"/>
        <w:spacing w:before="240"/>
        <w:ind w:left="0" w:leftChars="0" w:firstLine="420" w:firstLineChars="0"/>
        <w:textAlignment w:val="auto"/>
        <w:rPr>
          <w:color w:val="auto"/>
          <w:highlight w:val="none"/>
        </w:rPr>
      </w:pPr>
      <w:r>
        <w:rPr>
          <w:rFonts w:hint="eastAsia" w:ascii="Times New Roman" w:hAnsi="Times New Roman" w:eastAsia="宋体" w:cs="Times New Roman"/>
          <w:color w:val="auto"/>
          <w:highlight w:val="none"/>
        </w:rPr>
        <w:t>以联合体形式参加政府采购活动的，联合体各方不得再单独参加或者与其他供应商另外组成联合体参加</w:t>
      </w:r>
      <w:r>
        <w:rPr>
          <w:rFonts w:hint="eastAsia"/>
          <w:color w:val="auto"/>
          <w:highlight w:val="none"/>
        </w:rPr>
        <w:t>本项目谈判，否则相关响应文件将被认定为</w:t>
      </w:r>
      <w:r>
        <w:rPr>
          <w:rFonts w:hint="eastAsia"/>
          <w:b/>
          <w:color w:val="auto"/>
          <w:highlight w:val="none"/>
        </w:rPr>
        <w:t>响应无效</w:t>
      </w:r>
      <w:r>
        <w:rPr>
          <w:rFonts w:hint="eastAsia"/>
          <w:color w:val="auto"/>
          <w:highlight w:val="none"/>
        </w:rPr>
        <w:t>。</w:t>
      </w:r>
    </w:p>
    <w:p w14:paraId="16004802">
      <w:pPr>
        <w:pStyle w:val="45"/>
        <w:keepNext w:val="0"/>
        <w:keepLines w:val="0"/>
        <w:pageBreakBefore w:val="0"/>
        <w:widowControl w:val="0"/>
        <w:numPr>
          <w:ilvl w:val="0"/>
          <w:numId w:val="13"/>
        </w:numPr>
        <w:kinsoku/>
        <w:wordWrap/>
        <w:overflowPunct/>
        <w:topLinePunct w:val="0"/>
        <w:autoSpaceDE/>
        <w:autoSpaceDN/>
        <w:bidi w:val="0"/>
        <w:adjustRightInd w:val="0"/>
        <w:snapToGrid w:val="0"/>
        <w:spacing w:before="240"/>
        <w:ind w:left="0" w:leftChars="0" w:firstLine="420" w:firstLineChars="0"/>
        <w:textAlignment w:val="auto"/>
        <w:outlineLvl w:val="9"/>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对联合体形式的其他资格要求见供应商资格。</w:t>
      </w:r>
    </w:p>
    <w:p w14:paraId="203E9AAA">
      <w:pPr>
        <w:pStyle w:val="45"/>
        <w:numPr>
          <w:ilvl w:val="0"/>
          <w:numId w:val="11"/>
        </w:numPr>
        <w:spacing w:before="156"/>
        <w:ind w:firstLine="48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单位负责人为同一人或者存在直接控股、管理关系的不同供应商，不得参加同一合同项下的政府采购活动。否则其将被认定为</w:t>
      </w:r>
      <w:r>
        <w:rPr>
          <w:rFonts w:hint="eastAsia" w:ascii="Times New Roman" w:hAnsi="Times New Roman" w:eastAsia="宋体" w:cs="Times New Roman"/>
          <w:b/>
          <w:color w:val="auto"/>
          <w:highlight w:val="none"/>
          <w:lang w:eastAsia="zh-CN"/>
        </w:rPr>
        <w:t>响应无效</w:t>
      </w:r>
      <w:r>
        <w:rPr>
          <w:rFonts w:hint="eastAsia" w:ascii="Times New Roman" w:hAnsi="Times New Roman" w:eastAsia="宋体" w:cs="Times New Roman"/>
          <w:color w:val="auto"/>
          <w:highlight w:val="none"/>
          <w:lang w:eastAsia="zh-CN"/>
        </w:rPr>
        <w:t>。</w:t>
      </w:r>
    </w:p>
    <w:p w14:paraId="3EC5CC85">
      <w:pPr>
        <w:pStyle w:val="45"/>
        <w:numPr>
          <w:ilvl w:val="0"/>
          <w:numId w:val="11"/>
        </w:numPr>
        <w:spacing w:before="156"/>
        <w:ind w:firstLine="48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为本项目提供过整体设计、规范编制或者项目管理、监理、检测等服务的供应商，不得再参加本项目上述服务以外的其他采购活动。否则其将被认定为</w:t>
      </w:r>
      <w:r>
        <w:rPr>
          <w:rFonts w:hint="eastAsia" w:ascii="Times New Roman" w:hAnsi="Times New Roman" w:eastAsia="宋体" w:cs="Times New Roman"/>
          <w:b/>
          <w:bCs/>
          <w:color w:val="auto"/>
          <w:highlight w:val="none"/>
          <w:lang w:eastAsia="zh-CN"/>
        </w:rPr>
        <w:t>响应无效</w:t>
      </w:r>
      <w:r>
        <w:rPr>
          <w:rFonts w:hint="eastAsia" w:ascii="Times New Roman" w:hAnsi="Times New Roman" w:eastAsia="宋体" w:cs="Times New Roman"/>
          <w:color w:val="auto"/>
          <w:highlight w:val="none"/>
          <w:lang w:eastAsia="zh-CN"/>
        </w:rPr>
        <w:t>。</w:t>
      </w:r>
    </w:p>
    <w:p w14:paraId="0A05ADCD">
      <w:pPr>
        <w:pStyle w:val="6"/>
        <w:numPr>
          <w:ilvl w:val="0"/>
          <w:numId w:val="8"/>
        </w:numPr>
        <w:ind w:firstLine="480"/>
        <w:outlineLvl w:val="2"/>
        <w:rPr>
          <w:color w:val="auto"/>
          <w:highlight w:val="none"/>
        </w:rPr>
      </w:pPr>
      <w:r>
        <w:rPr>
          <w:rFonts w:hint="eastAsia"/>
          <w:color w:val="auto"/>
          <w:highlight w:val="none"/>
        </w:rPr>
        <w:t>资金来源</w:t>
      </w:r>
    </w:p>
    <w:p w14:paraId="53F9A74B">
      <w:pPr>
        <w:pStyle w:val="45"/>
        <w:numPr>
          <w:ilvl w:val="0"/>
          <w:numId w:val="14"/>
        </w:numPr>
        <w:spacing w:before="156"/>
        <w:ind w:firstLine="480"/>
        <w:rPr>
          <w:color w:val="auto"/>
          <w:highlight w:val="none"/>
        </w:rPr>
      </w:pPr>
      <w:r>
        <w:rPr>
          <w:rFonts w:hint="eastAsia"/>
          <w:color w:val="auto"/>
          <w:highlight w:val="none"/>
        </w:rPr>
        <w:t>本项目的采购人已获得足以支付本次谈判后所签订的合同项下的资金。</w:t>
      </w:r>
    </w:p>
    <w:p w14:paraId="1E590BAF">
      <w:pPr>
        <w:pStyle w:val="45"/>
        <w:numPr>
          <w:ilvl w:val="0"/>
          <w:numId w:val="14"/>
        </w:numPr>
        <w:spacing w:before="156"/>
        <w:ind w:firstLine="480"/>
        <w:outlineLvl w:val="9"/>
        <w:rPr>
          <w:color w:val="auto"/>
          <w:highlight w:val="none"/>
        </w:rPr>
      </w:pPr>
      <w:r>
        <w:rPr>
          <w:rFonts w:hint="eastAsia"/>
          <w:color w:val="auto"/>
          <w:highlight w:val="none"/>
        </w:rPr>
        <w:t>项目预算金额或分项（或分包）预算金额见</w:t>
      </w:r>
      <w:r>
        <w:rPr>
          <w:rFonts w:hint="eastAsia"/>
          <w:color w:val="auto"/>
          <w:highlight w:val="none"/>
          <w:u w:val="single"/>
          <w:lang w:val="en-US" w:eastAsia="zh-CN"/>
        </w:rPr>
        <w:t>竞争性</w:t>
      </w:r>
      <w:r>
        <w:rPr>
          <w:rFonts w:hint="eastAsia"/>
          <w:color w:val="auto"/>
          <w:highlight w:val="none"/>
          <w:u w:val="single"/>
        </w:rPr>
        <w:t>谈判</w:t>
      </w:r>
      <w:r>
        <w:rPr>
          <w:rFonts w:hint="eastAsia"/>
          <w:color w:val="auto"/>
          <w:highlight w:val="none"/>
          <w:u w:val="single"/>
          <w:lang w:val="en-US" w:eastAsia="zh-CN"/>
        </w:rPr>
        <w:t>公告</w:t>
      </w:r>
      <w:r>
        <w:rPr>
          <w:rFonts w:hint="eastAsia"/>
          <w:color w:val="auto"/>
          <w:highlight w:val="none"/>
        </w:rPr>
        <w:t>。</w:t>
      </w:r>
    </w:p>
    <w:p w14:paraId="7755FCF2">
      <w:pPr>
        <w:pStyle w:val="6"/>
        <w:numPr>
          <w:ilvl w:val="0"/>
          <w:numId w:val="8"/>
        </w:numPr>
        <w:ind w:firstLine="480"/>
        <w:outlineLvl w:val="2"/>
        <w:rPr>
          <w:color w:val="auto"/>
          <w:highlight w:val="none"/>
        </w:rPr>
      </w:pPr>
      <w:r>
        <w:rPr>
          <w:rFonts w:hint="eastAsia"/>
          <w:color w:val="auto"/>
          <w:highlight w:val="none"/>
          <w:lang w:val="en-US" w:eastAsia="zh-CN"/>
        </w:rPr>
        <w:t>谈判</w:t>
      </w:r>
      <w:r>
        <w:rPr>
          <w:rFonts w:hint="eastAsia"/>
          <w:color w:val="auto"/>
          <w:highlight w:val="none"/>
        </w:rPr>
        <w:t>费用</w:t>
      </w:r>
    </w:p>
    <w:p w14:paraId="7FB000C4">
      <w:pPr>
        <w:pStyle w:val="45"/>
        <w:spacing w:before="156"/>
        <w:ind w:firstLine="480"/>
        <w:rPr>
          <w:color w:val="auto"/>
          <w:highlight w:val="none"/>
        </w:rPr>
      </w:pPr>
      <w:r>
        <w:rPr>
          <w:rFonts w:hint="eastAsia"/>
          <w:color w:val="auto"/>
          <w:highlight w:val="none"/>
        </w:rPr>
        <w:t>不论谈判的结果如何，供应商应承担其所有与准备和参加谈判有关的费用。</w:t>
      </w:r>
    </w:p>
    <w:p w14:paraId="35F1B8CD">
      <w:pPr>
        <w:pStyle w:val="6"/>
        <w:numPr>
          <w:ilvl w:val="0"/>
          <w:numId w:val="8"/>
        </w:numPr>
        <w:ind w:firstLine="480"/>
        <w:outlineLvl w:val="2"/>
        <w:rPr>
          <w:color w:val="auto"/>
          <w:highlight w:val="none"/>
        </w:rPr>
      </w:pPr>
      <w:r>
        <w:rPr>
          <w:rFonts w:hint="eastAsia"/>
          <w:color w:val="auto"/>
          <w:highlight w:val="none"/>
        </w:rPr>
        <w:t>节能产品、环境标志产品</w:t>
      </w:r>
    </w:p>
    <w:p w14:paraId="3FCED872">
      <w:pPr>
        <w:pStyle w:val="45"/>
        <w:numPr>
          <w:ilvl w:val="0"/>
          <w:numId w:val="15"/>
        </w:numPr>
        <w:spacing w:before="156"/>
        <w:ind w:firstLine="480"/>
        <w:rPr>
          <w:color w:val="auto"/>
          <w:highlight w:val="none"/>
        </w:rPr>
      </w:pPr>
      <w:r>
        <w:rPr>
          <w:rFonts w:hint="eastAsia"/>
          <w:color w:val="auto"/>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337FC547">
      <w:pPr>
        <w:pStyle w:val="45"/>
        <w:numPr>
          <w:ilvl w:val="0"/>
          <w:numId w:val="15"/>
        </w:numPr>
        <w:spacing w:before="156"/>
        <w:ind w:firstLine="480"/>
        <w:rPr>
          <w:color w:val="auto"/>
          <w:highlight w:val="none"/>
        </w:rPr>
      </w:pPr>
      <w:r>
        <w:rPr>
          <w:rFonts w:hint="eastAsia"/>
          <w:color w:val="auto"/>
          <w:highlight w:val="none"/>
          <w:lang w:eastAsia="zh-CN"/>
        </w:rPr>
        <w:t>采购人</w:t>
      </w:r>
      <w:r>
        <w:rPr>
          <w:rFonts w:hint="eastAsia"/>
          <w:color w:val="auto"/>
          <w:highlight w:val="none"/>
        </w:rPr>
        <w:t>拟采购的产品属于品目清单范围的，</w:t>
      </w:r>
      <w:r>
        <w:rPr>
          <w:rFonts w:hint="eastAsia"/>
          <w:color w:val="auto"/>
          <w:highlight w:val="none"/>
          <w:lang w:eastAsia="zh-CN"/>
        </w:rPr>
        <w:t>采购人</w:t>
      </w:r>
      <w:r>
        <w:rPr>
          <w:rFonts w:hint="eastAsia"/>
          <w:color w:val="auto"/>
          <w:highlight w:val="none"/>
        </w:rPr>
        <w:t>及其委托的</w:t>
      </w:r>
      <w:r>
        <w:rPr>
          <w:rFonts w:hint="eastAsia"/>
          <w:color w:val="auto"/>
          <w:highlight w:val="none"/>
          <w:lang w:eastAsia="zh-CN"/>
        </w:rPr>
        <w:t>采购代理机构</w:t>
      </w:r>
      <w:r>
        <w:rPr>
          <w:rFonts w:hint="eastAsia"/>
          <w:color w:val="auto"/>
          <w:highlight w:val="none"/>
        </w:rPr>
        <w:t>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w:t>
      </w:r>
    </w:p>
    <w:p w14:paraId="09C1CE29">
      <w:pPr>
        <w:pStyle w:val="45"/>
        <w:numPr>
          <w:ilvl w:val="0"/>
          <w:numId w:val="15"/>
        </w:numPr>
        <w:spacing w:before="156"/>
        <w:ind w:firstLine="480"/>
        <w:rPr>
          <w:color w:val="auto"/>
          <w:highlight w:val="none"/>
        </w:rPr>
      </w:pPr>
      <w:r>
        <w:rPr>
          <w:rFonts w:hint="eastAsia"/>
          <w:color w:val="auto"/>
          <w:highlight w:val="none"/>
        </w:rPr>
        <w:t>如本项目采购产品属于实施政府强制采购品目清单范围的节能产品，则</w:t>
      </w:r>
      <w:r>
        <w:rPr>
          <w:rFonts w:hint="eastAsia"/>
          <w:color w:val="auto"/>
          <w:highlight w:val="none"/>
          <w:lang w:eastAsia="zh-CN"/>
        </w:rPr>
        <w:t>供应商</w:t>
      </w:r>
      <w:r>
        <w:rPr>
          <w:rFonts w:hint="eastAsia"/>
          <w:color w:val="auto"/>
          <w:highlight w:val="none"/>
        </w:rPr>
        <w:t>所报产品必须获得国家确定的认证机构出具的、处于有效期之内的节能产品认证证书，否则响应无效；</w:t>
      </w:r>
    </w:p>
    <w:p w14:paraId="30224201">
      <w:pPr>
        <w:pStyle w:val="45"/>
        <w:numPr>
          <w:ilvl w:val="0"/>
          <w:numId w:val="15"/>
        </w:numPr>
        <w:spacing w:before="156"/>
        <w:ind w:firstLine="480"/>
        <w:rPr>
          <w:color w:val="auto"/>
          <w:highlight w:val="none"/>
        </w:rPr>
      </w:pPr>
      <w:r>
        <w:rPr>
          <w:rFonts w:hint="eastAsia"/>
          <w:color w:val="auto"/>
          <w:highlight w:val="none"/>
        </w:rPr>
        <w:t>非政府强制采购的节能产品或环境标志产品，依据品目清单和认证证书实施政府优先采购。优先采购的具体规定见第四章《评审方法和评审标准》（如涉及）。</w:t>
      </w:r>
    </w:p>
    <w:p w14:paraId="3036C7BC">
      <w:pPr>
        <w:pStyle w:val="6"/>
        <w:numPr>
          <w:ilvl w:val="0"/>
          <w:numId w:val="8"/>
        </w:numPr>
        <w:ind w:firstLine="480"/>
        <w:outlineLvl w:val="2"/>
        <w:rPr>
          <w:color w:val="auto"/>
          <w:highlight w:val="none"/>
        </w:rPr>
      </w:pPr>
      <w:r>
        <w:rPr>
          <w:rFonts w:hint="eastAsia"/>
          <w:color w:val="auto"/>
          <w:highlight w:val="none"/>
          <w:lang w:val="en-US" w:eastAsia="zh-CN"/>
        </w:rPr>
        <w:t>适用法律</w:t>
      </w:r>
    </w:p>
    <w:p w14:paraId="22E76BB2">
      <w:pPr>
        <w:pStyle w:val="45"/>
        <w:numPr>
          <w:ilvl w:val="0"/>
          <w:numId w:val="0"/>
        </w:numPr>
        <w:spacing w:before="156"/>
        <w:ind w:firstLine="480" w:firstLineChars="200"/>
        <w:rPr>
          <w:rFonts w:hint="eastAsia"/>
          <w:color w:val="auto"/>
          <w:highlight w:val="none"/>
        </w:rPr>
      </w:pPr>
      <w:r>
        <w:rPr>
          <w:rFonts w:hint="eastAsia"/>
          <w:color w:val="auto"/>
          <w:highlight w:val="none"/>
          <w:lang w:val="en-US" w:eastAsia="zh-CN"/>
        </w:rPr>
        <w:t>本项目采购人、采购代理机构、供应商、谈判小组的相关行为均受《中华人民共和国政府采购法》《中华人民共和国政府采购法实施条例》及本项目本级和上级财政部门、政府采购监督管理部门的政府采购有关规定的约束，其权利受到上述法律法规的保护。</w:t>
      </w:r>
    </w:p>
    <w:p w14:paraId="623B3391">
      <w:pPr>
        <w:pStyle w:val="6"/>
        <w:numPr>
          <w:ilvl w:val="0"/>
          <w:numId w:val="8"/>
        </w:numPr>
        <w:ind w:firstLine="480"/>
        <w:outlineLvl w:val="2"/>
        <w:rPr>
          <w:color w:val="auto"/>
          <w:highlight w:val="none"/>
        </w:rPr>
      </w:pPr>
      <w:r>
        <w:rPr>
          <w:rFonts w:hint="eastAsia"/>
          <w:color w:val="auto"/>
          <w:highlight w:val="none"/>
          <w:lang w:val="en-US" w:eastAsia="zh-CN"/>
        </w:rPr>
        <w:t>现场考察</w:t>
      </w:r>
    </w:p>
    <w:p w14:paraId="574F1D57">
      <w:pPr>
        <w:pStyle w:val="45"/>
        <w:keepNext w:val="0"/>
        <w:keepLines w:val="0"/>
        <w:pageBreakBefore w:val="0"/>
        <w:widowControl w:val="0"/>
        <w:numPr>
          <w:ilvl w:val="0"/>
          <w:numId w:val="16"/>
        </w:numPr>
        <w:kinsoku/>
        <w:wordWrap/>
        <w:overflowPunct/>
        <w:topLinePunct w:val="0"/>
        <w:autoSpaceDE/>
        <w:autoSpaceDN/>
        <w:bidi w:val="0"/>
        <w:adjustRightInd w:val="0"/>
        <w:snapToGrid w:val="0"/>
        <w:spacing w:before="156"/>
        <w:ind w:left="0" w:leftChars="0" w:firstLine="425" w:firstLineChars="0"/>
        <w:textAlignment w:val="auto"/>
        <w:rPr>
          <w:rFonts w:hint="eastAsia"/>
          <w:color w:val="auto"/>
          <w:highlight w:val="none"/>
        </w:rPr>
      </w:pPr>
      <w:r>
        <w:rPr>
          <w:rFonts w:hint="eastAsia"/>
          <w:color w:val="auto"/>
          <w:highlight w:val="none"/>
        </w:rPr>
        <w:t>供应商应按</w:t>
      </w:r>
      <w:r>
        <w:rPr>
          <w:rFonts w:hint="eastAsia"/>
          <w:b/>
          <w:bCs/>
          <w:color w:val="auto"/>
          <w:highlight w:val="none"/>
        </w:rPr>
        <w:t>【供应商须知前附表】</w:t>
      </w:r>
      <w:r>
        <w:rPr>
          <w:rFonts w:hint="eastAsia"/>
          <w:color w:val="auto"/>
          <w:highlight w:val="none"/>
        </w:rPr>
        <w:t>中规定对采购项目现场和周围环境的现场考察；</w:t>
      </w:r>
    </w:p>
    <w:p w14:paraId="7AB785E8">
      <w:pPr>
        <w:pStyle w:val="45"/>
        <w:keepNext w:val="0"/>
        <w:keepLines w:val="0"/>
        <w:pageBreakBefore w:val="0"/>
        <w:widowControl w:val="0"/>
        <w:numPr>
          <w:ilvl w:val="0"/>
          <w:numId w:val="16"/>
        </w:numPr>
        <w:kinsoku/>
        <w:wordWrap/>
        <w:overflowPunct/>
        <w:topLinePunct w:val="0"/>
        <w:autoSpaceDE/>
        <w:autoSpaceDN/>
        <w:bidi w:val="0"/>
        <w:adjustRightInd w:val="0"/>
        <w:snapToGrid w:val="0"/>
        <w:spacing w:before="156"/>
        <w:ind w:left="0" w:leftChars="0" w:firstLine="425" w:firstLineChars="0"/>
        <w:textAlignment w:val="auto"/>
        <w:rPr>
          <w:rFonts w:hint="eastAsia"/>
          <w:color w:val="auto"/>
          <w:highlight w:val="none"/>
        </w:rPr>
      </w:pPr>
      <w:r>
        <w:rPr>
          <w:rFonts w:hint="eastAsia"/>
          <w:color w:val="auto"/>
          <w:highlight w:val="none"/>
        </w:rPr>
        <w:t>考察现场的费用由供应商自己承担，考察期间所发生的人身伤害及财产损失由供应商自己负责；</w:t>
      </w:r>
    </w:p>
    <w:p w14:paraId="44A16E9B">
      <w:pPr>
        <w:pStyle w:val="45"/>
        <w:keepNext w:val="0"/>
        <w:keepLines w:val="0"/>
        <w:pageBreakBefore w:val="0"/>
        <w:widowControl w:val="0"/>
        <w:numPr>
          <w:ilvl w:val="0"/>
          <w:numId w:val="16"/>
        </w:numPr>
        <w:kinsoku/>
        <w:wordWrap/>
        <w:overflowPunct/>
        <w:topLinePunct w:val="0"/>
        <w:autoSpaceDE/>
        <w:autoSpaceDN/>
        <w:bidi w:val="0"/>
        <w:adjustRightInd w:val="0"/>
        <w:snapToGrid w:val="0"/>
        <w:spacing w:before="156"/>
        <w:ind w:left="0" w:leftChars="0" w:firstLine="425" w:firstLineChars="0"/>
        <w:textAlignment w:val="auto"/>
        <w:rPr>
          <w:color w:val="auto"/>
          <w:highlight w:val="none"/>
        </w:rPr>
      </w:pPr>
      <w:r>
        <w:rPr>
          <w:rFonts w:hint="eastAsia"/>
          <w:color w:val="auto"/>
          <w:highlight w:val="none"/>
        </w:rPr>
        <w:t>采购人不对供应商据此而做出的推论、理解和结论负责。一旦成交，供应商不得以任何借口，提出额外补偿，或延长合同期限的要求。</w:t>
      </w:r>
    </w:p>
    <w:p w14:paraId="715BC113">
      <w:pPr>
        <w:pStyle w:val="6"/>
        <w:numPr>
          <w:ilvl w:val="0"/>
          <w:numId w:val="8"/>
        </w:numPr>
        <w:ind w:firstLine="480"/>
        <w:outlineLvl w:val="2"/>
        <w:rPr>
          <w:color w:val="auto"/>
          <w:highlight w:val="none"/>
        </w:rPr>
      </w:pPr>
      <w:r>
        <w:rPr>
          <w:rFonts w:hint="eastAsia"/>
          <w:color w:val="auto"/>
          <w:highlight w:val="none"/>
          <w:lang w:val="en-US" w:eastAsia="zh-CN"/>
        </w:rPr>
        <w:t>谈判</w:t>
      </w:r>
      <w:r>
        <w:rPr>
          <w:rFonts w:hint="eastAsia"/>
          <w:color w:val="auto"/>
          <w:highlight w:val="none"/>
        </w:rPr>
        <w:t>文件构成</w:t>
      </w:r>
    </w:p>
    <w:p w14:paraId="5A5A7D9D">
      <w:pPr>
        <w:pStyle w:val="45"/>
        <w:numPr>
          <w:ilvl w:val="0"/>
          <w:numId w:val="17"/>
        </w:numPr>
        <w:spacing w:before="156"/>
        <w:ind w:firstLine="480"/>
        <w:outlineLvl w:val="9"/>
        <w:rPr>
          <w:color w:val="auto"/>
          <w:highlight w:val="none"/>
        </w:rPr>
      </w:pPr>
      <w:r>
        <w:rPr>
          <w:rFonts w:hint="eastAsia"/>
          <w:color w:val="auto"/>
          <w:highlight w:val="none"/>
          <w:lang w:val="en-US" w:eastAsia="zh-CN"/>
        </w:rPr>
        <w:t>谈判</w:t>
      </w:r>
      <w:r>
        <w:rPr>
          <w:rFonts w:hint="eastAsia"/>
          <w:color w:val="auto"/>
          <w:highlight w:val="none"/>
        </w:rPr>
        <w:t>文件包括下列内容：</w:t>
      </w:r>
    </w:p>
    <w:p w14:paraId="750D41F0">
      <w:pPr>
        <w:pStyle w:val="45"/>
        <w:spacing w:before="156"/>
        <w:ind w:left="480" w:leftChars="200" w:firstLine="0" w:firstLineChars="0"/>
        <w:rPr>
          <w:color w:val="auto"/>
          <w:highlight w:val="none"/>
        </w:rPr>
      </w:pPr>
      <w:r>
        <w:rPr>
          <w:rFonts w:hint="eastAsia"/>
          <w:color w:val="auto"/>
          <w:highlight w:val="none"/>
        </w:rPr>
        <w:t>第一章 </w:t>
      </w:r>
      <w:r>
        <w:rPr>
          <w:rFonts w:hint="eastAsia"/>
          <w:color w:val="auto"/>
          <w:highlight w:val="none"/>
          <w:lang w:val="en-US" w:eastAsia="zh-CN"/>
        </w:rPr>
        <w:t>竞争性谈判</w:t>
      </w:r>
      <w:r>
        <w:rPr>
          <w:rFonts w:hint="eastAsia"/>
          <w:color w:val="auto"/>
          <w:highlight w:val="none"/>
        </w:rPr>
        <w:t>公告</w:t>
      </w:r>
    </w:p>
    <w:p w14:paraId="6687D86B">
      <w:pPr>
        <w:pStyle w:val="45"/>
        <w:spacing w:before="156"/>
        <w:ind w:left="480" w:leftChars="200" w:firstLine="0" w:firstLineChars="0"/>
        <w:rPr>
          <w:color w:val="auto"/>
          <w:highlight w:val="none"/>
        </w:rPr>
      </w:pPr>
      <w:r>
        <w:rPr>
          <w:rFonts w:hint="eastAsia"/>
          <w:color w:val="auto"/>
          <w:highlight w:val="none"/>
        </w:rPr>
        <w:t>第二章 </w:t>
      </w:r>
      <w:r>
        <w:rPr>
          <w:rFonts w:hint="eastAsia"/>
          <w:color w:val="auto"/>
          <w:highlight w:val="none"/>
          <w:lang w:eastAsia="zh-CN"/>
        </w:rPr>
        <w:t>供应商</w:t>
      </w:r>
      <w:r>
        <w:rPr>
          <w:rFonts w:hint="eastAsia"/>
          <w:color w:val="auto"/>
          <w:highlight w:val="none"/>
        </w:rPr>
        <w:t>须知</w:t>
      </w:r>
    </w:p>
    <w:p w14:paraId="2B6F928F">
      <w:pPr>
        <w:pStyle w:val="45"/>
        <w:spacing w:before="156"/>
        <w:ind w:left="480" w:leftChars="200" w:firstLine="0" w:firstLineChars="0"/>
        <w:rPr>
          <w:color w:val="auto"/>
          <w:highlight w:val="none"/>
        </w:rPr>
      </w:pPr>
      <w:r>
        <w:rPr>
          <w:rFonts w:hint="eastAsia"/>
          <w:color w:val="auto"/>
          <w:highlight w:val="none"/>
        </w:rPr>
        <w:t xml:space="preserve">第三章 </w:t>
      </w:r>
      <w:r>
        <w:rPr>
          <w:rFonts w:hint="eastAsia"/>
          <w:color w:val="auto"/>
          <w:highlight w:val="none"/>
          <w:lang w:val="en-US" w:eastAsia="zh-CN"/>
        </w:rPr>
        <w:t>采购</w:t>
      </w:r>
      <w:r>
        <w:rPr>
          <w:rFonts w:hint="eastAsia"/>
          <w:color w:val="auto"/>
          <w:highlight w:val="none"/>
        </w:rPr>
        <w:t>需求</w:t>
      </w:r>
    </w:p>
    <w:p w14:paraId="63A51D75">
      <w:pPr>
        <w:pStyle w:val="45"/>
        <w:spacing w:before="156"/>
        <w:ind w:left="480" w:leftChars="200" w:firstLine="0" w:firstLineChars="0"/>
        <w:rPr>
          <w:color w:val="auto"/>
          <w:highlight w:val="none"/>
        </w:rPr>
      </w:pPr>
      <w:r>
        <w:rPr>
          <w:rFonts w:hint="eastAsia"/>
          <w:color w:val="auto"/>
          <w:highlight w:val="none"/>
        </w:rPr>
        <w:t>第四章 评审方法及标准</w:t>
      </w:r>
    </w:p>
    <w:p w14:paraId="4E597557">
      <w:pPr>
        <w:pStyle w:val="45"/>
        <w:spacing w:before="156"/>
        <w:ind w:left="480" w:leftChars="200" w:firstLine="0" w:firstLineChars="0"/>
        <w:rPr>
          <w:color w:val="auto"/>
          <w:highlight w:val="none"/>
        </w:rPr>
      </w:pPr>
      <w:r>
        <w:rPr>
          <w:rFonts w:hint="eastAsia"/>
          <w:color w:val="auto"/>
          <w:highlight w:val="none"/>
        </w:rPr>
        <w:t>第五章 政府采购合同</w:t>
      </w:r>
      <w:r>
        <w:rPr>
          <w:rFonts w:hint="eastAsia"/>
          <w:color w:val="auto"/>
          <w:highlight w:val="none"/>
          <w:lang w:val="en-US" w:eastAsia="zh-CN"/>
        </w:rPr>
        <w:t>参考范本</w:t>
      </w:r>
      <w:r>
        <w:rPr>
          <w:rFonts w:hint="eastAsia"/>
          <w:color w:val="auto"/>
          <w:highlight w:val="none"/>
        </w:rPr>
        <w:t xml:space="preserve"> </w:t>
      </w:r>
    </w:p>
    <w:p w14:paraId="0543B209">
      <w:pPr>
        <w:pStyle w:val="45"/>
        <w:spacing w:before="156"/>
        <w:ind w:left="480" w:leftChars="200" w:firstLine="0" w:firstLineChars="0"/>
        <w:rPr>
          <w:color w:val="auto"/>
          <w:highlight w:val="none"/>
        </w:rPr>
      </w:pPr>
      <w:r>
        <w:rPr>
          <w:rFonts w:hint="eastAsia"/>
          <w:color w:val="auto"/>
          <w:highlight w:val="none"/>
        </w:rPr>
        <w:t>第六章 响应文件组成</w:t>
      </w:r>
    </w:p>
    <w:p w14:paraId="6772DBF5">
      <w:pPr>
        <w:pStyle w:val="45"/>
        <w:spacing w:before="156"/>
        <w:ind w:left="480" w:leftChars="200" w:firstLine="0" w:firstLineChars="0"/>
        <w:rPr>
          <w:color w:val="auto"/>
          <w:highlight w:val="none"/>
        </w:rPr>
      </w:pPr>
      <w:r>
        <w:rPr>
          <w:rFonts w:hint="eastAsia"/>
          <w:color w:val="auto"/>
          <w:highlight w:val="none"/>
        </w:rPr>
        <w:t>第七章 政府采购供应商质疑函范本</w:t>
      </w:r>
    </w:p>
    <w:p w14:paraId="361542C6">
      <w:pPr>
        <w:pStyle w:val="45"/>
        <w:numPr>
          <w:ilvl w:val="0"/>
          <w:numId w:val="17"/>
        </w:numPr>
        <w:spacing w:before="156"/>
        <w:ind w:firstLine="480"/>
        <w:rPr>
          <w:color w:val="auto"/>
          <w:highlight w:val="none"/>
        </w:rPr>
      </w:pPr>
      <w:r>
        <w:rPr>
          <w:rFonts w:hint="eastAsia"/>
          <w:color w:val="auto"/>
          <w:highlight w:val="none"/>
          <w:lang w:val="en-US" w:eastAsia="zh-CN"/>
        </w:rPr>
        <w:t>谈判</w:t>
      </w:r>
      <w:r>
        <w:rPr>
          <w:rFonts w:hint="eastAsia"/>
          <w:color w:val="auto"/>
          <w:highlight w:val="none"/>
        </w:rPr>
        <w:t>文件中有不一致的，有澄清的部分以最终的澄清更正内容为准。</w:t>
      </w:r>
    </w:p>
    <w:p w14:paraId="66F86E28">
      <w:pPr>
        <w:pStyle w:val="45"/>
        <w:numPr>
          <w:ilvl w:val="0"/>
          <w:numId w:val="17"/>
        </w:numPr>
        <w:spacing w:before="156"/>
        <w:ind w:firstLine="480"/>
        <w:outlineLvl w:val="9"/>
        <w:rPr>
          <w:color w:val="auto"/>
          <w:highlight w:val="none"/>
        </w:rPr>
      </w:pPr>
      <w:r>
        <w:rPr>
          <w:rFonts w:hint="eastAsia"/>
          <w:color w:val="auto"/>
          <w:highlight w:val="none"/>
        </w:rPr>
        <w:t>现场考察及相关事项见</w:t>
      </w:r>
      <w:r>
        <w:rPr>
          <w:rFonts w:hint="eastAsia"/>
          <w:b/>
          <w:bCs/>
          <w:color w:val="auto"/>
          <w:highlight w:val="none"/>
        </w:rPr>
        <w:t>【</w:t>
      </w:r>
      <w:r>
        <w:rPr>
          <w:rFonts w:hint="eastAsia"/>
          <w:b/>
          <w:bCs/>
          <w:color w:val="auto"/>
          <w:highlight w:val="none"/>
          <w:lang w:eastAsia="zh-CN"/>
        </w:rPr>
        <w:t>供应商</w:t>
      </w:r>
      <w:r>
        <w:rPr>
          <w:rFonts w:hint="eastAsia"/>
          <w:b/>
          <w:bCs/>
          <w:color w:val="auto"/>
          <w:highlight w:val="none"/>
        </w:rPr>
        <w:t>须知前附表】。</w:t>
      </w:r>
    </w:p>
    <w:p w14:paraId="0390284E">
      <w:pPr>
        <w:pStyle w:val="45"/>
        <w:numPr>
          <w:ilvl w:val="0"/>
          <w:numId w:val="17"/>
        </w:numPr>
        <w:spacing w:before="156"/>
        <w:ind w:firstLineChars="0"/>
        <w:rPr>
          <w:color w:val="auto"/>
          <w:highlight w:val="none"/>
        </w:rPr>
      </w:pPr>
      <w:r>
        <w:rPr>
          <w:rFonts w:hint="eastAsia"/>
          <w:color w:val="auto"/>
          <w:highlight w:val="none"/>
          <w:lang w:eastAsia="zh-CN"/>
        </w:rPr>
        <w:t>供应商</w:t>
      </w:r>
      <w:r>
        <w:rPr>
          <w:rFonts w:hint="eastAsia"/>
          <w:color w:val="auto"/>
          <w:highlight w:val="none"/>
        </w:rPr>
        <w:t>应认真阅读</w:t>
      </w:r>
      <w:r>
        <w:rPr>
          <w:rFonts w:hint="eastAsia"/>
          <w:color w:val="auto"/>
          <w:highlight w:val="none"/>
          <w:lang w:val="en-US" w:eastAsia="zh-CN"/>
        </w:rPr>
        <w:t>谈判</w:t>
      </w:r>
      <w:r>
        <w:rPr>
          <w:rFonts w:hint="eastAsia"/>
          <w:color w:val="auto"/>
          <w:highlight w:val="none"/>
        </w:rPr>
        <w:t>文件所有的事项、格式、条款和技术规范等。</w:t>
      </w:r>
    </w:p>
    <w:p w14:paraId="050729E0">
      <w:pPr>
        <w:pStyle w:val="6"/>
        <w:numPr>
          <w:ilvl w:val="0"/>
          <w:numId w:val="8"/>
        </w:numPr>
        <w:ind w:firstLine="480"/>
        <w:outlineLvl w:val="2"/>
        <w:rPr>
          <w:color w:val="auto"/>
          <w:highlight w:val="none"/>
        </w:rPr>
      </w:pPr>
      <w:r>
        <w:rPr>
          <w:rFonts w:hint="eastAsia"/>
          <w:color w:val="auto"/>
          <w:highlight w:val="none"/>
          <w:lang w:val="en-US" w:eastAsia="zh-CN"/>
        </w:rPr>
        <w:t>谈判</w:t>
      </w:r>
      <w:r>
        <w:rPr>
          <w:rFonts w:hint="eastAsia"/>
          <w:color w:val="auto"/>
          <w:highlight w:val="none"/>
        </w:rPr>
        <w:t>文件的澄清与修改</w:t>
      </w:r>
    </w:p>
    <w:p w14:paraId="5C5901E7">
      <w:pPr>
        <w:pStyle w:val="45"/>
        <w:numPr>
          <w:ilvl w:val="0"/>
          <w:numId w:val="18"/>
        </w:numPr>
        <w:spacing w:before="156"/>
        <w:ind w:firstLine="480"/>
        <w:rPr>
          <w:color w:val="auto"/>
          <w:highlight w:val="none"/>
        </w:rPr>
      </w:pPr>
      <w:r>
        <w:rPr>
          <w:rFonts w:hint="eastAsia"/>
          <w:bCs/>
          <w:color w:val="auto"/>
          <w:highlight w:val="none"/>
        </w:rPr>
        <w:t>供应商如</w:t>
      </w:r>
      <w:r>
        <w:rPr>
          <w:rFonts w:hint="eastAsia"/>
          <w:color w:val="auto"/>
          <w:highlight w:val="none"/>
        </w:rPr>
        <w:t>对谈判文件内容有疑问，必须在</w:t>
      </w:r>
      <w:r>
        <w:rPr>
          <w:rFonts w:hint="eastAsia"/>
          <w:b/>
          <w:color w:val="auto"/>
          <w:highlight w:val="none"/>
        </w:rPr>
        <w:t>【供应商须知前附表】</w:t>
      </w:r>
      <w:r>
        <w:rPr>
          <w:rFonts w:hint="eastAsia"/>
          <w:color w:val="auto"/>
          <w:highlight w:val="none"/>
        </w:rPr>
        <w:t>规定的询问截止时间前以书面提问形式提交给采购代理机构。</w:t>
      </w:r>
    </w:p>
    <w:p w14:paraId="56C43CF3">
      <w:pPr>
        <w:pStyle w:val="45"/>
        <w:numPr>
          <w:ilvl w:val="0"/>
          <w:numId w:val="18"/>
        </w:numPr>
        <w:spacing w:before="156"/>
        <w:ind w:firstLine="480"/>
        <w:rPr>
          <w:color w:val="auto"/>
          <w:highlight w:val="none"/>
        </w:rPr>
      </w:pPr>
      <w:r>
        <w:rPr>
          <w:rFonts w:hint="eastAsia"/>
          <w:color w:val="auto"/>
          <w:highlight w:val="none"/>
        </w:rPr>
        <w:t>采购人可主动地或在解答供应商提出的问题时对谈判文件进行澄清与修改。采购代理机构将在湖南省政府采购网及张家界市公共资源交易网以发布澄清（更正）公告的方式，澄清或修改谈判文件，澄清或修改的内容作为谈判文件的组成部分，对供应商起约束作用。供应商应主动上网查询。采购代理机构不承担供应商未及时关注相关信息引发的相关责任。</w:t>
      </w:r>
    </w:p>
    <w:p w14:paraId="2A3655B8">
      <w:pPr>
        <w:pStyle w:val="45"/>
        <w:numPr>
          <w:ilvl w:val="0"/>
          <w:numId w:val="18"/>
        </w:numPr>
        <w:spacing w:before="156"/>
        <w:ind w:firstLine="480"/>
        <w:rPr>
          <w:color w:val="auto"/>
          <w:highlight w:val="none"/>
        </w:rPr>
      </w:pPr>
      <w:r>
        <w:rPr>
          <w:rFonts w:hint="eastAsia"/>
          <w:color w:val="auto"/>
          <w:highlight w:val="none"/>
        </w:rPr>
        <w:t>任何人或任何组织向供应商提供的任何书面或口头资料，未经采购代理机构在网上发布或书面通知，均作无效处理，不得作为谈判文件的组成部分。采购代理机构对供应商由此而做出的推论、理解和结论概不负责。</w:t>
      </w:r>
    </w:p>
    <w:p w14:paraId="31CF88ED">
      <w:pPr>
        <w:pStyle w:val="45"/>
        <w:numPr>
          <w:ilvl w:val="0"/>
          <w:numId w:val="18"/>
        </w:numPr>
        <w:spacing w:before="156"/>
        <w:ind w:firstLine="480"/>
        <w:rPr>
          <w:color w:val="auto"/>
          <w:highlight w:val="none"/>
        </w:rPr>
      </w:pPr>
      <w:r>
        <w:rPr>
          <w:rFonts w:hint="eastAsia"/>
          <w:color w:val="auto"/>
          <w:highlight w:val="none"/>
        </w:rPr>
        <w:t>对于没有提出疑问又参与了本项目谈判的供应商将被视为完全认同本谈判文件（含澄清或修改的内容）。</w:t>
      </w:r>
    </w:p>
    <w:p w14:paraId="405771EB">
      <w:pPr>
        <w:pStyle w:val="6"/>
        <w:numPr>
          <w:ilvl w:val="0"/>
          <w:numId w:val="8"/>
        </w:numPr>
        <w:ind w:firstLine="480"/>
        <w:outlineLvl w:val="2"/>
        <w:rPr>
          <w:color w:val="auto"/>
          <w:highlight w:val="none"/>
        </w:rPr>
      </w:pPr>
      <w:r>
        <w:rPr>
          <w:rFonts w:hint="eastAsia"/>
          <w:color w:val="auto"/>
          <w:highlight w:val="none"/>
        </w:rPr>
        <w:t>响应范围及响应文件中标准和计量单位的使用</w:t>
      </w:r>
    </w:p>
    <w:p w14:paraId="4A9EC822">
      <w:pPr>
        <w:pStyle w:val="45"/>
        <w:numPr>
          <w:ilvl w:val="0"/>
          <w:numId w:val="19"/>
        </w:numPr>
        <w:spacing w:before="156"/>
        <w:ind w:firstLine="480"/>
        <w:rPr>
          <w:color w:val="auto"/>
          <w:highlight w:val="none"/>
        </w:rPr>
      </w:pPr>
      <w:r>
        <w:rPr>
          <w:rFonts w:hint="eastAsia"/>
          <w:color w:val="auto"/>
          <w:highlight w:val="none"/>
        </w:rPr>
        <w:t>项目有分包的，供应商可参与其中某一个或多个分包的谈判，成交包数详见</w:t>
      </w:r>
      <w:r>
        <w:rPr>
          <w:rFonts w:hint="eastAsia"/>
          <w:b/>
          <w:color w:val="auto"/>
          <w:highlight w:val="none"/>
        </w:rPr>
        <w:t>【供应商须知前附表】</w:t>
      </w:r>
      <w:r>
        <w:rPr>
          <w:rFonts w:hint="eastAsia"/>
          <w:color w:val="auto"/>
          <w:highlight w:val="none"/>
        </w:rPr>
        <w:t>中规定。</w:t>
      </w:r>
    </w:p>
    <w:p w14:paraId="5D0F8CE6">
      <w:pPr>
        <w:pStyle w:val="45"/>
        <w:numPr>
          <w:ilvl w:val="0"/>
          <w:numId w:val="19"/>
        </w:numPr>
        <w:spacing w:before="156"/>
        <w:ind w:firstLine="480"/>
        <w:rPr>
          <w:color w:val="auto"/>
          <w:highlight w:val="none"/>
        </w:rPr>
      </w:pPr>
      <w:r>
        <w:rPr>
          <w:rFonts w:hint="eastAsia"/>
          <w:color w:val="auto"/>
          <w:highlight w:val="none"/>
        </w:rPr>
        <w:t>无论谈判文件中是否要求，供应商所投货物及伴随的服务和工程均应符合国家强制性标准。</w:t>
      </w:r>
    </w:p>
    <w:p w14:paraId="23A9C1C6">
      <w:pPr>
        <w:pStyle w:val="45"/>
        <w:numPr>
          <w:ilvl w:val="0"/>
          <w:numId w:val="19"/>
        </w:numPr>
        <w:spacing w:before="156"/>
        <w:ind w:firstLine="480"/>
        <w:rPr>
          <w:color w:val="auto"/>
          <w:highlight w:val="none"/>
        </w:rPr>
      </w:pPr>
      <w:r>
        <w:rPr>
          <w:rFonts w:hint="eastAsia"/>
          <w:color w:val="auto"/>
          <w:highlight w:val="none"/>
        </w:rPr>
        <w:t>供应商与采购代理机构之间与谈判有关的所有往来通知、函件和响应文件均用中文表述。供应商随响应文件提供的证明文件和资料可以为其他语言，但必须附中文译文。翻译的中文资料与外文资料如果出现差异时，以中文为准。</w:t>
      </w:r>
    </w:p>
    <w:p w14:paraId="17B1D53D">
      <w:pPr>
        <w:pStyle w:val="45"/>
        <w:numPr>
          <w:ilvl w:val="0"/>
          <w:numId w:val="19"/>
        </w:numPr>
        <w:spacing w:before="156"/>
        <w:ind w:firstLine="480"/>
        <w:rPr>
          <w:color w:val="auto"/>
          <w:highlight w:val="none"/>
        </w:rPr>
      </w:pPr>
      <w:r>
        <w:rPr>
          <w:rFonts w:hint="eastAsia"/>
          <w:color w:val="auto"/>
          <w:highlight w:val="none"/>
        </w:rPr>
        <w:t>除谈判文件中有特殊要求外，响应文件中所使用的计量单位，应采用中华人民共和国法定计量单位。</w:t>
      </w:r>
    </w:p>
    <w:p w14:paraId="6F7CC4B7">
      <w:pPr>
        <w:pStyle w:val="6"/>
        <w:numPr>
          <w:ilvl w:val="0"/>
          <w:numId w:val="8"/>
        </w:numPr>
        <w:ind w:firstLine="480"/>
        <w:outlineLvl w:val="2"/>
        <w:rPr>
          <w:color w:val="auto"/>
          <w:highlight w:val="none"/>
        </w:rPr>
      </w:pPr>
      <w:r>
        <w:rPr>
          <w:rFonts w:hint="eastAsia"/>
          <w:color w:val="auto"/>
          <w:highlight w:val="none"/>
        </w:rPr>
        <w:t>响应文件构成</w:t>
      </w:r>
    </w:p>
    <w:p w14:paraId="4C21A503">
      <w:pPr>
        <w:pStyle w:val="45"/>
        <w:numPr>
          <w:ilvl w:val="0"/>
          <w:numId w:val="20"/>
        </w:numPr>
        <w:spacing w:before="156"/>
        <w:ind w:firstLine="480"/>
        <w:rPr>
          <w:color w:val="auto"/>
          <w:highlight w:val="none"/>
        </w:rPr>
      </w:pPr>
      <w:r>
        <w:rPr>
          <w:rFonts w:hint="eastAsia"/>
          <w:color w:val="auto"/>
          <w:highlight w:val="none"/>
        </w:rPr>
        <w:t>供应商应完整地按谈判文件提供的响应文件格式及要求编写响应文件，具体内容详见</w:t>
      </w:r>
      <w:r>
        <w:rPr>
          <w:rFonts w:hint="eastAsia"/>
          <w:b/>
          <w:bCs/>
          <w:color w:val="auto"/>
          <w:highlight w:val="none"/>
        </w:rPr>
        <w:t>第六章响应文件</w:t>
      </w:r>
      <w:r>
        <w:rPr>
          <w:rFonts w:hint="eastAsia"/>
          <w:b/>
          <w:bCs/>
          <w:color w:val="auto"/>
          <w:highlight w:val="none"/>
          <w:lang w:val="en-US" w:eastAsia="zh-CN"/>
        </w:rPr>
        <w:t>组成</w:t>
      </w:r>
      <w:r>
        <w:rPr>
          <w:rFonts w:hint="eastAsia"/>
          <w:color w:val="auto"/>
          <w:highlight w:val="none"/>
        </w:rPr>
        <w:t>的相关内容。</w:t>
      </w:r>
    </w:p>
    <w:p w14:paraId="350C40A0">
      <w:pPr>
        <w:pStyle w:val="45"/>
        <w:numPr>
          <w:ilvl w:val="0"/>
          <w:numId w:val="20"/>
        </w:numPr>
        <w:spacing w:before="156"/>
        <w:ind w:firstLine="480"/>
        <w:outlineLvl w:val="9"/>
        <w:rPr>
          <w:color w:val="auto"/>
          <w:highlight w:val="none"/>
        </w:rPr>
      </w:pPr>
      <w:r>
        <w:rPr>
          <w:rFonts w:hint="eastAsia"/>
          <w:color w:val="auto"/>
          <w:highlight w:val="none"/>
        </w:rPr>
        <w:t>上述文件应按照</w:t>
      </w:r>
      <w:r>
        <w:rPr>
          <w:rFonts w:hint="eastAsia"/>
          <w:color w:val="auto"/>
          <w:highlight w:val="none"/>
          <w:lang w:val="en-US" w:eastAsia="zh-CN"/>
        </w:rPr>
        <w:t>谈判</w:t>
      </w:r>
      <w:r>
        <w:rPr>
          <w:rFonts w:hint="eastAsia"/>
          <w:color w:val="auto"/>
          <w:highlight w:val="none"/>
        </w:rPr>
        <w:t>文件规定的格式填写、签署和盖章。</w:t>
      </w:r>
    </w:p>
    <w:p w14:paraId="58988EE5">
      <w:pPr>
        <w:pStyle w:val="6"/>
        <w:numPr>
          <w:ilvl w:val="0"/>
          <w:numId w:val="8"/>
        </w:numPr>
        <w:ind w:firstLine="480"/>
        <w:outlineLvl w:val="2"/>
        <w:rPr>
          <w:color w:val="auto"/>
          <w:highlight w:val="none"/>
        </w:rPr>
      </w:pPr>
      <w:r>
        <w:rPr>
          <w:rFonts w:hint="eastAsia"/>
          <w:color w:val="auto"/>
          <w:highlight w:val="none"/>
        </w:rPr>
        <w:t>证明响应标的的合格性和符合</w:t>
      </w:r>
      <w:r>
        <w:rPr>
          <w:rFonts w:hint="eastAsia"/>
          <w:color w:val="auto"/>
          <w:highlight w:val="none"/>
          <w:lang w:val="en-US" w:eastAsia="zh-CN"/>
        </w:rPr>
        <w:t>谈判</w:t>
      </w:r>
      <w:r>
        <w:rPr>
          <w:rFonts w:hint="eastAsia"/>
          <w:color w:val="auto"/>
          <w:highlight w:val="none"/>
        </w:rPr>
        <w:t>文件规定的响应文件</w:t>
      </w:r>
    </w:p>
    <w:p w14:paraId="1002DF16">
      <w:pPr>
        <w:pStyle w:val="45"/>
        <w:numPr>
          <w:ilvl w:val="0"/>
          <w:numId w:val="21"/>
        </w:numPr>
        <w:spacing w:before="156"/>
        <w:ind w:firstLine="480"/>
        <w:rPr>
          <w:color w:val="auto"/>
          <w:highlight w:val="none"/>
        </w:rPr>
      </w:pPr>
      <w:r>
        <w:rPr>
          <w:rFonts w:hint="eastAsia"/>
          <w:color w:val="auto"/>
          <w:highlight w:val="none"/>
          <w:lang w:eastAsia="zh-CN"/>
        </w:rPr>
        <w:t>供应商</w:t>
      </w:r>
      <w:r>
        <w:rPr>
          <w:rFonts w:hint="eastAsia"/>
          <w:color w:val="auto"/>
          <w:highlight w:val="none"/>
        </w:rPr>
        <w:t>应提交证明文件，证明其响应内容符合</w:t>
      </w:r>
      <w:r>
        <w:rPr>
          <w:rFonts w:hint="eastAsia"/>
          <w:color w:val="auto"/>
          <w:highlight w:val="none"/>
          <w:lang w:val="en-US" w:eastAsia="zh-CN"/>
        </w:rPr>
        <w:t>谈判</w:t>
      </w:r>
      <w:r>
        <w:rPr>
          <w:rFonts w:hint="eastAsia"/>
          <w:color w:val="auto"/>
          <w:highlight w:val="none"/>
        </w:rPr>
        <w:t>文件规定。该证明文件是响应文件的一部分。</w:t>
      </w:r>
    </w:p>
    <w:p w14:paraId="18399143">
      <w:pPr>
        <w:pStyle w:val="45"/>
        <w:numPr>
          <w:ilvl w:val="0"/>
          <w:numId w:val="21"/>
        </w:numPr>
        <w:spacing w:before="156"/>
        <w:ind w:firstLine="480"/>
        <w:outlineLvl w:val="9"/>
        <w:rPr>
          <w:color w:val="auto"/>
          <w:highlight w:val="none"/>
        </w:rPr>
      </w:pPr>
      <w:r>
        <w:rPr>
          <w:rFonts w:hint="eastAsia"/>
          <w:color w:val="auto"/>
          <w:highlight w:val="none"/>
        </w:rPr>
        <w:t>上款所述的证明文件，可以是文字资料、图纸和数据。</w:t>
      </w:r>
    </w:p>
    <w:p w14:paraId="23CE8E17">
      <w:pPr>
        <w:pStyle w:val="45"/>
        <w:numPr>
          <w:ilvl w:val="0"/>
          <w:numId w:val="21"/>
        </w:numPr>
        <w:spacing w:before="156"/>
        <w:ind w:firstLine="480"/>
        <w:rPr>
          <w:color w:val="auto"/>
          <w:highlight w:val="none"/>
        </w:rPr>
      </w:pPr>
      <w:r>
        <w:rPr>
          <w:rFonts w:hint="eastAsia"/>
          <w:color w:val="auto"/>
          <w:highlight w:val="none"/>
        </w:rPr>
        <w:t>本条所指证明文件不包括对</w:t>
      </w:r>
      <w:r>
        <w:rPr>
          <w:rFonts w:hint="eastAsia"/>
          <w:color w:val="auto"/>
          <w:highlight w:val="none"/>
          <w:lang w:val="en-US" w:eastAsia="zh-CN"/>
        </w:rPr>
        <w:t>谈判</w:t>
      </w:r>
      <w:r>
        <w:rPr>
          <w:rFonts w:hint="eastAsia"/>
          <w:color w:val="auto"/>
          <w:highlight w:val="none"/>
        </w:rPr>
        <w:t>文件相关部分的文字、图标的复制。</w:t>
      </w:r>
    </w:p>
    <w:p w14:paraId="35889164">
      <w:pPr>
        <w:pStyle w:val="45"/>
        <w:numPr>
          <w:ilvl w:val="0"/>
          <w:numId w:val="21"/>
        </w:numPr>
        <w:spacing w:before="156"/>
        <w:ind w:firstLine="480"/>
        <w:rPr>
          <w:color w:val="auto"/>
          <w:highlight w:val="none"/>
        </w:rPr>
      </w:pPr>
      <w:r>
        <w:rPr>
          <w:rFonts w:hint="eastAsia"/>
          <w:color w:val="auto"/>
          <w:highlight w:val="none"/>
        </w:rPr>
        <w:t>为保证公平公正，除非另有规定或说明，</w:t>
      </w:r>
      <w:r>
        <w:rPr>
          <w:rFonts w:hint="eastAsia"/>
          <w:color w:val="auto"/>
          <w:highlight w:val="none"/>
          <w:lang w:eastAsia="zh-CN"/>
        </w:rPr>
        <w:t>供应商</w:t>
      </w:r>
      <w:r>
        <w:rPr>
          <w:rFonts w:hint="eastAsia"/>
          <w:color w:val="auto"/>
          <w:highlight w:val="none"/>
        </w:rPr>
        <w:t>对同一项目响应时，不得同时提供备选响应方案。</w:t>
      </w:r>
    </w:p>
    <w:p w14:paraId="620D7A5A">
      <w:pPr>
        <w:pStyle w:val="6"/>
        <w:numPr>
          <w:ilvl w:val="0"/>
          <w:numId w:val="8"/>
        </w:numPr>
        <w:ind w:firstLine="480"/>
        <w:outlineLvl w:val="2"/>
        <w:rPr>
          <w:color w:val="auto"/>
          <w:highlight w:val="none"/>
        </w:rPr>
      </w:pPr>
      <w:r>
        <w:rPr>
          <w:rFonts w:hint="eastAsia"/>
          <w:color w:val="auto"/>
          <w:highlight w:val="none"/>
        </w:rPr>
        <w:t>报价</w:t>
      </w:r>
    </w:p>
    <w:p w14:paraId="6075A380">
      <w:pPr>
        <w:pStyle w:val="45"/>
        <w:numPr>
          <w:ilvl w:val="0"/>
          <w:numId w:val="22"/>
        </w:numPr>
        <w:spacing w:before="156"/>
        <w:ind w:firstLine="480"/>
        <w:rPr>
          <w:color w:val="auto"/>
          <w:highlight w:val="none"/>
        </w:rPr>
      </w:pPr>
      <w:r>
        <w:rPr>
          <w:rFonts w:hint="eastAsia"/>
          <w:color w:val="auto"/>
          <w:highlight w:val="none"/>
          <w:lang w:eastAsia="zh-CN"/>
        </w:rPr>
        <w:t>供应商</w:t>
      </w:r>
      <w:r>
        <w:rPr>
          <w:rFonts w:hint="eastAsia"/>
          <w:color w:val="auto"/>
          <w:highlight w:val="none"/>
        </w:rPr>
        <w:t>的报价应当包括满足本次</w:t>
      </w:r>
      <w:r>
        <w:rPr>
          <w:rFonts w:hint="eastAsia"/>
          <w:color w:val="auto"/>
          <w:highlight w:val="none"/>
          <w:lang w:val="en-US" w:eastAsia="zh-CN"/>
        </w:rPr>
        <w:t>谈判</w:t>
      </w:r>
      <w:r>
        <w:rPr>
          <w:rFonts w:hint="eastAsia"/>
          <w:color w:val="auto"/>
          <w:highlight w:val="none"/>
        </w:rPr>
        <w:t>全部项目需求所应提供的</w:t>
      </w:r>
      <w:r>
        <w:rPr>
          <w:rFonts w:hint="eastAsia"/>
          <w:color w:val="auto"/>
          <w:highlight w:val="none"/>
          <w:lang w:val="en-US" w:eastAsia="zh-CN"/>
        </w:rPr>
        <w:t>货物服务</w:t>
      </w:r>
      <w:r>
        <w:rPr>
          <w:rFonts w:hint="eastAsia"/>
          <w:color w:val="auto"/>
          <w:highlight w:val="none"/>
        </w:rPr>
        <w:t>，以及伴随的</w:t>
      </w:r>
      <w:r>
        <w:rPr>
          <w:rFonts w:hint="eastAsia"/>
          <w:color w:val="auto"/>
          <w:highlight w:val="none"/>
          <w:lang w:val="en-US" w:eastAsia="zh-CN"/>
        </w:rPr>
        <w:t>货物</w:t>
      </w:r>
      <w:r>
        <w:rPr>
          <w:rFonts w:hint="eastAsia"/>
          <w:color w:val="auto"/>
          <w:highlight w:val="none"/>
        </w:rPr>
        <w:t>和工程。所有报价均应以人民币报价。</w:t>
      </w:r>
    </w:p>
    <w:p w14:paraId="06E18C40">
      <w:pPr>
        <w:pStyle w:val="45"/>
        <w:numPr>
          <w:ilvl w:val="0"/>
          <w:numId w:val="22"/>
        </w:numPr>
        <w:spacing w:before="156"/>
        <w:ind w:firstLine="480"/>
        <w:rPr>
          <w:color w:val="auto"/>
          <w:highlight w:val="none"/>
        </w:rPr>
      </w:pPr>
      <w:r>
        <w:rPr>
          <w:rFonts w:hint="eastAsia"/>
          <w:color w:val="auto"/>
          <w:highlight w:val="none"/>
        </w:rPr>
        <w:t>报价在合同履行过程中是固定不变的，不得以任何理由予以变更。任何包含价格调整要求的谈判，其响应文件将被认定为</w:t>
      </w:r>
      <w:r>
        <w:rPr>
          <w:rFonts w:hint="eastAsia"/>
          <w:b/>
          <w:bCs/>
          <w:color w:val="auto"/>
          <w:highlight w:val="none"/>
        </w:rPr>
        <w:t>响应无效</w:t>
      </w:r>
      <w:r>
        <w:rPr>
          <w:rFonts w:hint="eastAsia"/>
          <w:color w:val="auto"/>
          <w:highlight w:val="none"/>
        </w:rPr>
        <w:t>。</w:t>
      </w:r>
    </w:p>
    <w:p w14:paraId="600B6937">
      <w:pPr>
        <w:pStyle w:val="45"/>
        <w:numPr>
          <w:ilvl w:val="0"/>
          <w:numId w:val="22"/>
        </w:numPr>
        <w:spacing w:before="156"/>
        <w:ind w:firstLine="480"/>
        <w:outlineLvl w:val="9"/>
        <w:rPr>
          <w:color w:val="auto"/>
          <w:highlight w:val="none"/>
        </w:rPr>
      </w:pPr>
      <w:r>
        <w:rPr>
          <w:rFonts w:hint="eastAsia"/>
          <w:color w:val="auto"/>
          <w:highlight w:val="none"/>
        </w:rPr>
        <w:t>采购人不接受具有附加条件的报价。</w:t>
      </w:r>
    </w:p>
    <w:p w14:paraId="52EEB24F">
      <w:pPr>
        <w:pStyle w:val="6"/>
        <w:numPr>
          <w:ilvl w:val="0"/>
          <w:numId w:val="8"/>
        </w:numPr>
        <w:ind w:firstLine="480"/>
        <w:outlineLvl w:val="2"/>
        <w:rPr>
          <w:color w:val="auto"/>
          <w:highlight w:val="none"/>
        </w:rPr>
      </w:pPr>
      <w:r>
        <w:rPr>
          <w:rFonts w:hint="eastAsia"/>
          <w:color w:val="auto"/>
          <w:highlight w:val="none"/>
          <w:lang w:val="en-US" w:eastAsia="zh-CN"/>
        </w:rPr>
        <w:t>谈判</w:t>
      </w:r>
      <w:r>
        <w:rPr>
          <w:rFonts w:hint="eastAsia"/>
          <w:color w:val="auto"/>
          <w:highlight w:val="none"/>
        </w:rPr>
        <w:t>保证金</w:t>
      </w:r>
    </w:p>
    <w:p w14:paraId="6E0E1417">
      <w:pPr>
        <w:pStyle w:val="45"/>
        <w:numPr>
          <w:ilvl w:val="0"/>
          <w:numId w:val="23"/>
        </w:numPr>
        <w:spacing w:before="156"/>
        <w:ind w:firstLine="480"/>
        <w:rPr>
          <w:color w:val="auto"/>
          <w:highlight w:val="none"/>
        </w:rPr>
      </w:pPr>
      <w:r>
        <w:rPr>
          <w:rFonts w:hint="eastAsia"/>
          <w:color w:val="auto"/>
          <w:highlight w:val="none"/>
        </w:rPr>
        <w:t>供应商应提交</w:t>
      </w:r>
      <w:r>
        <w:rPr>
          <w:rFonts w:hint="eastAsia"/>
          <w:b/>
          <w:bCs/>
          <w:color w:val="auto"/>
          <w:highlight w:val="none"/>
        </w:rPr>
        <w:t>【供应商须知前附表】</w:t>
      </w:r>
      <w:r>
        <w:rPr>
          <w:rFonts w:hint="eastAsia"/>
          <w:color w:val="auto"/>
          <w:highlight w:val="none"/>
        </w:rPr>
        <w:t>表中规定的谈判保证金，并作为其响应文件的一部分。供应商未按规定提交谈判保证金的，其响应文件将被认定为</w:t>
      </w:r>
      <w:r>
        <w:rPr>
          <w:rFonts w:hint="eastAsia"/>
          <w:b/>
          <w:bCs/>
          <w:color w:val="auto"/>
          <w:highlight w:val="none"/>
        </w:rPr>
        <w:t>响应无效</w:t>
      </w:r>
      <w:r>
        <w:rPr>
          <w:rFonts w:hint="eastAsia"/>
          <w:color w:val="auto"/>
          <w:highlight w:val="none"/>
        </w:rPr>
        <w:t>。</w:t>
      </w:r>
    </w:p>
    <w:p w14:paraId="434F07D2">
      <w:pPr>
        <w:pStyle w:val="45"/>
        <w:numPr>
          <w:ilvl w:val="0"/>
          <w:numId w:val="23"/>
        </w:numPr>
        <w:spacing w:before="156"/>
        <w:ind w:firstLine="480"/>
        <w:rPr>
          <w:color w:val="auto"/>
          <w:highlight w:val="none"/>
        </w:rPr>
      </w:pPr>
      <w:r>
        <w:rPr>
          <w:rFonts w:hint="eastAsia"/>
          <w:color w:val="auto"/>
          <w:highlight w:val="none"/>
          <w:lang w:val="en-US" w:eastAsia="zh-CN"/>
        </w:rPr>
        <w:t>谈判</w:t>
      </w:r>
      <w:r>
        <w:rPr>
          <w:rFonts w:hint="eastAsia"/>
          <w:color w:val="auto"/>
          <w:highlight w:val="none"/>
        </w:rPr>
        <w:t>保证金必须是从供应商单位的基本账户转入保证金的托管账户管理。采购人不接受以现金方式提交的保证金，以现金方式提交的保证金无效。联合体投标的，其保证金由牵头人递交。</w:t>
      </w:r>
    </w:p>
    <w:p w14:paraId="13E7CA13">
      <w:pPr>
        <w:pStyle w:val="45"/>
        <w:numPr>
          <w:ilvl w:val="0"/>
          <w:numId w:val="23"/>
        </w:numPr>
        <w:spacing w:before="156"/>
        <w:ind w:firstLine="480"/>
        <w:outlineLvl w:val="9"/>
        <w:rPr>
          <w:color w:val="auto"/>
          <w:highlight w:val="none"/>
        </w:rPr>
      </w:pPr>
      <w:r>
        <w:rPr>
          <w:rFonts w:hint="eastAsia"/>
          <w:color w:val="auto"/>
          <w:highlight w:val="none"/>
          <w:lang w:eastAsia="zh-CN"/>
        </w:rPr>
        <w:t>供应商</w:t>
      </w:r>
      <w:r>
        <w:rPr>
          <w:rFonts w:hint="eastAsia"/>
          <w:color w:val="auto"/>
          <w:highlight w:val="none"/>
        </w:rPr>
        <w:t>请注意：</w:t>
      </w:r>
    </w:p>
    <w:p w14:paraId="4D548045">
      <w:pPr>
        <w:pStyle w:val="45"/>
        <w:numPr>
          <w:ilvl w:val="0"/>
          <w:numId w:val="24"/>
        </w:numPr>
        <w:spacing w:before="156"/>
        <w:ind w:firstLineChars="0"/>
        <w:outlineLvl w:val="9"/>
        <w:rPr>
          <w:color w:val="auto"/>
          <w:highlight w:val="none"/>
        </w:rPr>
      </w:pPr>
      <w:r>
        <w:rPr>
          <w:rFonts w:hint="eastAsia"/>
          <w:color w:val="auto"/>
          <w:highlight w:val="none"/>
        </w:rPr>
        <w:t>前次采购失败的，采购代理机构将退还供应商的谈判保证金。</w:t>
      </w:r>
    </w:p>
    <w:p w14:paraId="14EBDF79">
      <w:pPr>
        <w:pStyle w:val="45"/>
        <w:numPr>
          <w:ilvl w:val="0"/>
          <w:numId w:val="24"/>
        </w:numPr>
        <w:spacing w:before="156"/>
        <w:ind w:firstLineChars="0"/>
        <w:rPr>
          <w:color w:val="auto"/>
          <w:highlight w:val="none"/>
        </w:rPr>
      </w:pPr>
      <w:r>
        <w:rPr>
          <w:rFonts w:hint="eastAsia"/>
          <w:color w:val="auto"/>
          <w:highlight w:val="none"/>
        </w:rPr>
        <w:t>采购代理机构谈判保证金缴纳账号采用动态虚拟账号（分包项目每一个包别对应一个账号），项目采购失败后，谈判保证金缴纳账号将会发生变化，请供应商参与后续采购时，注意勿将谈判保证金错交至其他项目虚拟账号或前次公告账号。</w:t>
      </w:r>
    </w:p>
    <w:p w14:paraId="6C41B508">
      <w:pPr>
        <w:pStyle w:val="45"/>
        <w:numPr>
          <w:ilvl w:val="0"/>
          <w:numId w:val="24"/>
        </w:numPr>
        <w:spacing w:before="156"/>
        <w:ind w:firstLineChars="0"/>
        <w:rPr>
          <w:color w:val="auto"/>
          <w:highlight w:val="none"/>
        </w:rPr>
      </w:pPr>
      <w:r>
        <w:rPr>
          <w:rFonts w:hint="eastAsia"/>
          <w:color w:val="auto"/>
          <w:highlight w:val="none"/>
        </w:rPr>
        <w:t>凡转账到其他项目虚拟账号或本项目前次公告账号的，其响应文件将被认定为</w:t>
      </w:r>
      <w:r>
        <w:rPr>
          <w:rFonts w:hint="eastAsia"/>
          <w:b/>
          <w:bCs/>
          <w:color w:val="auto"/>
          <w:highlight w:val="none"/>
        </w:rPr>
        <w:t>响应无效</w:t>
      </w:r>
      <w:r>
        <w:rPr>
          <w:rFonts w:hint="eastAsia"/>
          <w:color w:val="auto"/>
          <w:highlight w:val="none"/>
        </w:rPr>
        <w:t>。</w:t>
      </w:r>
    </w:p>
    <w:p w14:paraId="1413E943">
      <w:pPr>
        <w:pStyle w:val="45"/>
        <w:numPr>
          <w:ilvl w:val="0"/>
          <w:numId w:val="23"/>
        </w:numPr>
        <w:spacing w:before="156"/>
        <w:ind w:firstLine="480"/>
        <w:outlineLvl w:val="9"/>
        <w:rPr>
          <w:color w:val="auto"/>
          <w:highlight w:val="none"/>
        </w:rPr>
      </w:pPr>
      <w:r>
        <w:rPr>
          <w:rFonts w:hint="eastAsia"/>
          <w:color w:val="auto"/>
          <w:highlight w:val="none"/>
        </w:rPr>
        <w:t>有下列情形之一的，保证金不予退还：</w:t>
      </w:r>
    </w:p>
    <w:p w14:paraId="1E15B4E5">
      <w:pPr>
        <w:pStyle w:val="45"/>
        <w:numPr>
          <w:ilvl w:val="0"/>
          <w:numId w:val="25"/>
        </w:numPr>
        <w:spacing w:before="156"/>
        <w:ind w:firstLineChars="0"/>
        <w:rPr>
          <w:color w:val="auto"/>
          <w:highlight w:val="none"/>
        </w:rPr>
      </w:pPr>
      <w:r>
        <w:rPr>
          <w:rFonts w:hint="eastAsia"/>
          <w:color w:val="auto"/>
          <w:highlight w:val="none"/>
          <w:lang w:eastAsia="zh-CN"/>
        </w:rPr>
        <w:t>供应商</w:t>
      </w:r>
      <w:r>
        <w:rPr>
          <w:rFonts w:hint="eastAsia"/>
          <w:color w:val="auto"/>
          <w:highlight w:val="none"/>
        </w:rPr>
        <w:t>在响应截止时间后撤回响应文件的；</w:t>
      </w:r>
    </w:p>
    <w:p w14:paraId="1F674BC0">
      <w:pPr>
        <w:pStyle w:val="45"/>
        <w:numPr>
          <w:ilvl w:val="0"/>
          <w:numId w:val="25"/>
        </w:numPr>
        <w:spacing w:before="156"/>
        <w:ind w:firstLineChars="0"/>
        <w:rPr>
          <w:color w:val="auto"/>
          <w:highlight w:val="none"/>
        </w:rPr>
      </w:pPr>
      <w:r>
        <w:rPr>
          <w:rFonts w:hint="eastAsia"/>
          <w:color w:val="auto"/>
          <w:highlight w:val="none"/>
          <w:lang w:eastAsia="zh-CN"/>
        </w:rPr>
        <w:t>供应商</w:t>
      </w:r>
      <w:r>
        <w:rPr>
          <w:rFonts w:hint="eastAsia"/>
          <w:color w:val="auto"/>
          <w:highlight w:val="none"/>
        </w:rPr>
        <w:t>在响应文件中提供虚假材料的；</w:t>
      </w:r>
    </w:p>
    <w:p w14:paraId="4A6482C4">
      <w:pPr>
        <w:pStyle w:val="45"/>
        <w:numPr>
          <w:ilvl w:val="0"/>
          <w:numId w:val="25"/>
        </w:numPr>
        <w:spacing w:before="156"/>
        <w:ind w:firstLineChars="0"/>
        <w:rPr>
          <w:color w:val="auto"/>
          <w:highlight w:val="none"/>
        </w:rPr>
      </w:pPr>
      <w:r>
        <w:rPr>
          <w:rFonts w:hint="eastAsia"/>
          <w:color w:val="auto"/>
          <w:highlight w:val="none"/>
          <w:lang w:eastAsia="zh-CN"/>
        </w:rPr>
        <w:t>供应商</w:t>
      </w:r>
      <w:r>
        <w:rPr>
          <w:rFonts w:hint="eastAsia"/>
          <w:color w:val="auto"/>
          <w:highlight w:val="none"/>
        </w:rPr>
        <w:t>成交后无不可抗力放弃</w:t>
      </w:r>
      <w:r>
        <w:rPr>
          <w:rFonts w:hint="eastAsia"/>
          <w:color w:val="auto"/>
          <w:highlight w:val="none"/>
          <w:lang w:val="en-US" w:eastAsia="zh-CN"/>
        </w:rPr>
        <w:t>成交</w:t>
      </w:r>
      <w:r>
        <w:rPr>
          <w:rFonts w:hint="eastAsia"/>
          <w:color w:val="auto"/>
          <w:highlight w:val="none"/>
        </w:rPr>
        <w:t>结果或不按期向</w:t>
      </w:r>
      <w:r>
        <w:rPr>
          <w:rFonts w:hint="eastAsia"/>
          <w:color w:val="auto"/>
          <w:highlight w:val="none"/>
          <w:lang w:eastAsia="zh-CN"/>
        </w:rPr>
        <w:t>采购人</w:t>
      </w:r>
      <w:r>
        <w:rPr>
          <w:rFonts w:hint="eastAsia"/>
          <w:color w:val="auto"/>
          <w:highlight w:val="none"/>
        </w:rPr>
        <w:t>提交履约担保签订合同的；</w:t>
      </w:r>
    </w:p>
    <w:p w14:paraId="3E301DFB">
      <w:pPr>
        <w:pStyle w:val="45"/>
        <w:numPr>
          <w:ilvl w:val="0"/>
          <w:numId w:val="25"/>
        </w:numPr>
        <w:spacing w:before="156"/>
        <w:ind w:firstLineChars="0"/>
        <w:rPr>
          <w:color w:val="auto"/>
          <w:highlight w:val="none"/>
        </w:rPr>
      </w:pPr>
      <w:r>
        <w:rPr>
          <w:rFonts w:hint="eastAsia"/>
          <w:color w:val="auto"/>
          <w:highlight w:val="none"/>
          <w:lang w:eastAsia="zh-CN"/>
        </w:rPr>
        <w:t>成交供应商</w:t>
      </w:r>
      <w:r>
        <w:rPr>
          <w:rFonts w:hint="eastAsia"/>
          <w:color w:val="auto"/>
          <w:highlight w:val="none"/>
        </w:rPr>
        <w:t>在签订合同时向</w:t>
      </w:r>
      <w:r>
        <w:rPr>
          <w:rFonts w:hint="eastAsia"/>
          <w:color w:val="auto"/>
          <w:highlight w:val="none"/>
          <w:lang w:eastAsia="zh-CN"/>
        </w:rPr>
        <w:t>采购人</w:t>
      </w:r>
      <w:r>
        <w:rPr>
          <w:rFonts w:hint="eastAsia"/>
          <w:color w:val="auto"/>
          <w:highlight w:val="none"/>
        </w:rPr>
        <w:t>提出附加条件的；</w:t>
      </w:r>
    </w:p>
    <w:p w14:paraId="238B99D0">
      <w:pPr>
        <w:pStyle w:val="45"/>
        <w:numPr>
          <w:ilvl w:val="0"/>
          <w:numId w:val="25"/>
        </w:numPr>
        <w:spacing w:before="156"/>
        <w:ind w:firstLineChars="0"/>
        <w:rPr>
          <w:color w:val="auto"/>
          <w:highlight w:val="none"/>
        </w:rPr>
      </w:pPr>
      <w:r>
        <w:rPr>
          <w:rFonts w:hint="eastAsia"/>
          <w:color w:val="auto"/>
          <w:highlight w:val="none"/>
          <w:lang w:eastAsia="zh-CN"/>
        </w:rPr>
        <w:t>供应商</w:t>
      </w:r>
      <w:r>
        <w:rPr>
          <w:rFonts w:hint="eastAsia"/>
          <w:color w:val="auto"/>
          <w:highlight w:val="none"/>
        </w:rPr>
        <w:t>与</w:t>
      </w:r>
      <w:r>
        <w:rPr>
          <w:rFonts w:hint="eastAsia"/>
          <w:color w:val="auto"/>
          <w:highlight w:val="none"/>
          <w:lang w:eastAsia="zh-CN"/>
        </w:rPr>
        <w:t>采购人</w:t>
      </w:r>
      <w:r>
        <w:rPr>
          <w:rFonts w:hint="eastAsia"/>
          <w:color w:val="auto"/>
          <w:highlight w:val="none"/>
        </w:rPr>
        <w:t>、其他</w:t>
      </w:r>
      <w:r>
        <w:rPr>
          <w:rFonts w:hint="eastAsia"/>
          <w:color w:val="auto"/>
          <w:highlight w:val="none"/>
          <w:lang w:eastAsia="zh-CN"/>
        </w:rPr>
        <w:t>供应商</w:t>
      </w:r>
      <w:r>
        <w:rPr>
          <w:rFonts w:hint="eastAsia"/>
          <w:color w:val="auto"/>
          <w:highlight w:val="none"/>
        </w:rPr>
        <w:t>或者</w:t>
      </w:r>
      <w:r>
        <w:rPr>
          <w:rFonts w:hint="eastAsia"/>
          <w:color w:val="auto"/>
          <w:highlight w:val="none"/>
          <w:lang w:val="en-US" w:eastAsia="zh-CN"/>
        </w:rPr>
        <w:t>采购代理机构</w:t>
      </w:r>
      <w:r>
        <w:rPr>
          <w:rFonts w:hint="eastAsia"/>
          <w:color w:val="auto"/>
          <w:highlight w:val="none"/>
        </w:rPr>
        <w:t>恶意串通的。</w:t>
      </w:r>
    </w:p>
    <w:p w14:paraId="03BF40A2">
      <w:pPr>
        <w:pStyle w:val="45"/>
        <w:numPr>
          <w:ilvl w:val="0"/>
          <w:numId w:val="23"/>
        </w:numPr>
        <w:spacing w:before="156"/>
        <w:ind w:firstLine="480"/>
        <w:rPr>
          <w:color w:val="auto"/>
          <w:highlight w:val="none"/>
        </w:rPr>
      </w:pPr>
      <w:r>
        <w:rPr>
          <w:rFonts w:hint="eastAsia"/>
          <w:color w:val="auto"/>
          <w:highlight w:val="none"/>
        </w:rPr>
        <w:t>联合体参加谈判的，可以由联合体中的一方或者共同提交谈判保证金。以一方名义提交谈判保证金的，对联合体各方均具有约束力。</w:t>
      </w:r>
    </w:p>
    <w:p w14:paraId="6E232AE0">
      <w:pPr>
        <w:pStyle w:val="45"/>
        <w:numPr>
          <w:ilvl w:val="0"/>
          <w:numId w:val="23"/>
        </w:numPr>
        <w:spacing w:before="156"/>
        <w:ind w:firstLine="480"/>
        <w:rPr>
          <w:color w:val="auto"/>
          <w:highlight w:val="none"/>
        </w:rPr>
      </w:pPr>
      <w:r>
        <w:rPr>
          <w:rFonts w:hint="eastAsia"/>
          <w:color w:val="auto"/>
          <w:highlight w:val="none"/>
        </w:rPr>
        <w:t>采购代理机构将在成交通知书发出后五个工作日内退还未成交供应商的谈判保证金，在采购合同签订后五个工作日内退还成交供应商的谈判保证金</w:t>
      </w:r>
      <w:r>
        <w:rPr>
          <w:rFonts w:hint="eastAsia"/>
          <w:color w:val="auto"/>
          <w:highlight w:val="none"/>
          <w:lang w:eastAsia="zh-CN"/>
        </w:rPr>
        <w:t>。</w:t>
      </w:r>
    </w:p>
    <w:p w14:paraId="536D18DD">
      <w:pPr>
        <w:pStyle w:val="6"/>
        <w:numPr>
          <w:ilvl w:val="0"/>
          <w:numId w:val="8"/>
        </w:numPr>
        <w:ind w:firstLine="480"/>
        <w:outlineLvl w:val="2"/>
        <w:rPr>
          <w:color w:val="auto"/>
          <w:highlight w:val="none"/>
        </w:rPr>
      </w:pPr>
      <w:r>
        <w:rPr>
          <w:rFonts w:hint="eastAsia"/>
          <w:color w:val="auto"/>
          <w:highlight w:val="none"/>
        </w:rPr>
        <w:t>响应有效期</w:t>
      </w:r>
    </w:p>
    <w:p w14:paraId="075DB540">
      <w:pPr>
        <w:pStyle w:val="45"/>
        <w:numPr>
          <w:ilvl w:val="0"/>
          <w:numId w:val="26"/>
        </w:numPr>
        <w:spacing w:before="240"/>
        <w:ind w:left="0" w:leftChars="0" w:firstLine="480" w:firstLineChars="200"/>
        <w:rPr>
          <w:color w:val="auto"/>
          <w:highlight w:val="none"/>
        </w:rPr>
      </w:pPr>
      <w:r>
        <w:rPr>
          <w:rFonts w:hint="eastAsia"/>
          <w:color w:val="auto"/>
          <w:highlight w:val="none"/>
        </w:rPr>
        <w:t>谈判有效期为从响应文件提交截止之日算起的日历天数，谈判有效期详见</w:t>
      </w:r>
      <w:r>
        <w:rPr>
          <w:rFonts w:hint="eastAsia"/>
          <w:b/>
          <w:color w:val="auto"/>
          <w:highlight w:val="none"/>
        </w:rPr>
        <w:t>【供应商须知前附表】</w:t>
      </w:r>
      <w:r>
        <w:rPr>
          <w:rFonts w:hint="eastAsia"/>
          <w:color w:val="auto"/>
          <w:highlight w:val="none"/>
        </w:rPr>
        <w:t>。</w:t>
      </w:r>
    </w:p>
    <w:p w14:paraId="2BC376E1">
      <w:pPr>
        <w:pStyle w:val="45"/>
        <w:numPr>
          <w:ilvl w:val="0"/>
          <w:numId w:val="26"/>
        </w:numPr>
        <w:spacing w:before="240"/>
        <w:ind w:left="0" w:leftChars="0" w:firstLine="480" w:firstLineChars="200"/>
        <w:rPr>
          <w:color w:val="auto"/>
          <w:highlight w:val="none"/>
        </w:rPr>
      </w:pPr>
      <w:r>
        <w:rPr>
          <w:rFonts w:hint="eastAsia"/>
          <w:color w:val="auto"/>
          <w:highlight w:val="none"/>
        </w:rPr>
        <w:t>在谈判有效期内，供应商的谈判保持有效，供应商不得要求撤销或修改其响应文件。谈判有效期不满足要求的响应，其响应文件将被认定为</w:t>
      </w:r>
      <w:r>
        <w:rPr>
          <w:rFonts w:hint="eastAsia"/>
          <w:b/>
          <w:bCs/>
          <w:color w:val="auto"/>
          <w:highlight w:val="none"/>
        </w:rPr>
        <w:t>响应</w:t>
      </w:r>
      <w:r>
        <w:rPr>
          <w:rFonts w:hint="eastAsia"/>
          <w:b/>
          <w:color w:val="auto"/>
          <w:highlight w:val="none"/>
        </w:rPr>
        <w:t>无效</w:t>
      </w:r>
      <w:r>
        <w:rPr>
          <w:rFonts w:hint="eastAsia"/>
          <w:color w:val="auto"/>
          <w:highlight w:val="none"/>
        </w:rPr>
        <w:t>。</w:t>
      </w:r>
    </w:p>
    <w:p w14:paraId="4FD9BE30">
      <w:pPr>
        <w:pStyle w:val="45"/>
        <w:numPr>
          <w:ilvl w:val="0"/>
          <w:numId w:val="26"/>
        </w:numPr>
        <w:spacing w:before="240"/>
        <w:ind w:left="0" w:leftChars="0" w:firstLine="480" w:firstLineChars="200"/>
        <w:rPr>
          <w:color w:val="auto"/>
          <w:highlight w:val="none"/>
        </w:rPr>
      </w:pPr>
      <w:r>
        <w:rPr>
          <w:rFonts w:hint="eastAsia"/>
          <w:color w:val="auto"/>
          <w:highlight w:val="none"/>
        </w:rPr>
        <w:t>为保证有充分时间签订合同，采购人或采购代理机构可根据实际情况，在原谈判有效期截止之前，要求供应商延长谈判有效期。接受该要求的供应商将不会被要求和允许修正其响应文件。供应商可以拒绝延长谈判有效期的要求，且不承担任何责任。上述要求和答复都应以书面形式提交。</w:t>
      </w:r>
    </w:p>
    <w:p w14:paraId="4632F695">
      <w:pPr>
        <w:pStyle w:val="6"/>
        <w:numPr>
          <w:ilvl w:val="0"/>
          <w:numId w:val="8"/>
        </w:numPr>
        <w:ind w:firstLine="480"/>
        <w:outlineLvl w:val="2"/>
        <w:rPr>
          <w:color w:val="auto"/>
          <w:highlight w:val="none"/>
        </w:rPr>
      </w:pPr>
      <w:r>
        <w:rPr>
          <w:rFonts w:hint="eastAsia"/>
          <w:color w:val="auto"/>
          <w:highlight w:val="none"/>
        </w:rPr>
        <w:t>报名截止</w:t>
      </w:r>
    </w:p>
    <w:p w14:paraId="03881470">
      <w:pPr>
        <w:pStyle w:val="45"/>
        <w:numPr>
          <w:ilvl w:val="0"/>
          <w:numId w:val="27"/>
        </w:numPr>
        <w:spacing w:before="156"/>
        <w:ind w:firstLine="480"/>
        <w:rPr>
          <w:color w:val="auto"/>
          <w:highlight w:val="none"/>
        </w:rPr>
      </w:pPr>
      <w:r>
        <w:rPr>
          <w:rFonts w:hint="eastAsia"/>
          <w:color w:val="auto"/>
          <w:highlight w:val="none"/>
          <w:lang w:eastAsia="zh-CN"/>
        </w:rPr>
        <w:t>供应商</w:t>
      </w:r>
      <w:r>
        <w:rPr>
          <w:rFonts w:hint="eastAsia"/>
          <w:color w:val="auto"/>
          <w:highlight w:val="none"/>
        </w:rPr>
        <w:t>应在</w:t>
      </w:r>
      <w:r>
        <w:rPr>
          <w:rFonts w:hint="eastAsia"/>
          <w:b/>
          <w:bCs/>
          <w:color w:val="auto"/>
          <w:highlight w:val="none"/>
        </w:rPr>
        <w:t>【</w:t>
      </w:r>
      <w:r>
        <w:rPr>
          <w:rFonts w:hint="eastAsia"/>
          <w:b/>
          <w:bCs/>
          <w:color w:val="auto"/>
          <w:highlight w:val="none"/>
          <w:lang w:eastAsia="zh-CN"/>
        </w:rPr>
        <w:t>供应商</w:t>
      </w:r>
      <w:r>
        <w:rPr>
          <w:rFonts w:hint="eastAsia"/>
          <w:b/>
          <w:bCs/>
          <w:color w:val="auto"/>
          <w:highlight w:val="none"/>
        </w:rPr>
        <w:t>须知前附表】</w:t>
      </w:r>
      <w:r>
        <w:rPr>
          <w:rFonts w:hint="eastAsia"/>
          <w:color w:val="auto"/>
          <w:highlight w:val="none"/>
        </w:rPr>
        <w:t>中规定的报名截止时间前，在网上提交响应文件。</w:t>
      </w:r>
    </w:p>
    <w:p w14:paraId="5313D8B8">
      <w:pPr>
        <w:pStyle w:val="45"/>
        <w:numPr>
          <w:ilvl w:val="0"/>
          <w:numId w:val="27"/>
        </w:numPr>
        <w:spacing w:before="156"/>
        <w:ind w:firstLine="480"/>
        <w:rPr>
          <w:color w:val="auto"/>
          <w:highlight w:val="none"/>
        </w:rPr>
      </w:pPr>
      <w:r>
        <w:rPr>
          <w:rFonts w:hint="eastAsia"/>
          <w:color w:val="auto"/>
          <w:highlight w:val="none"/>
          <w:lang w:eastAsia="zh-CN"/>
        </w:rPr>
        <w:t>供应商</w:t>
      </w:r>
      <w:r>
        <w:rPr>
          <w:rFonts w:hint="eastAsia"/>
          <w:color w:val="auto"/>
          <w:highlight w:val="none"/>
        </w:rPr>
        <w:t>在</w:t>
      </w:r>
      <w:r>
        <w:rPr>
          <w:rFonts w:hint="eastAsia"/>
          <w:color w:val="auto"/>
          <w:highlight w:val="none"/>
          <w:lang w:val="en-US" w:eastAsia="zh-CN"/>
        </w:rPr>
        <w:t>谈判</w:t>
      </w:r>
      <w:r>
        <w:rPr>
          <w:rFonts w:hint="eastAsia"/>
          <w:color w:val="auto"/>
          <w:highlight w:val="none"/>
        </w:rPr>
        <w:t>文件规定的报名截止时间前上传了响应文件，但未在规定时间内递交保证金，响应无效。</w:t>
      </w:r>
    </w:p>
    <w:p w14:paraId="704587F7">
      <w:pPr>
        <w:pStyle w:val="45"/>
        <w:numPr>
          <w:ilvl w:val="0"/>
          <w:numId w:val="27"/>
        </w:numPr>
        <w:spacing w:before="156"/>
        <w:ind w:firstLine="480"/>
        <w:rPr>
          <w:color w:val="auto"/>
          <w:highlight w:val="none"/>
        </w:rPr>
      </w:pPr>
      <w:r>
        <w:rPr>
          <w:rFonts w:hint="eastAsia"/>
          <w:color w:val="auto"/>
          <w:highlight w:val="none"/>
          <w:lang w:eastAsia="zh-CN"/>
        </w:rPr>
        <w:t>采购人</w:t>
      </w:r>
      <w:r>
        <w:rPr>
          <w:rFonts w:hint="eastAsia"/>
          <w:color w:val="auto"/>
          <w:highlight w:val="none"/>
        </w:rPr>
        <w:t>和</w:t>
      </w:r>
      <w:r>
        <w:rPr>
          <w:rFonts w:hint="eastAsia"/>
          <w:color w:val="auto"/>
          <w:highlight w:val="none"/>
          <w:lang w:eastAsia="zh-CN"/>
        </w:rPr>
        <w:t>采购代理机构</w:t>
      </w:r>
      <w:r>
        <w:rPr>
          <w:rFonts w:hint="eastAsia"/>
          <w:color w:val="auto"/>
          <w:highlight w:val="none"/>
        </w:rPr>
        <w:t>有权按本</w:t>
      </w:r>
      <w:r>
        <w:rPr>
          <w:rFonts w:hint="eastAsia"/>
          <w:color w:val="auto"/>
          <w:highlight w:val="none"/>
          <w:lang w:val="en-US" w:eastAsia="zh-CN"/>
        </w:rPr>
        <w:t>谈判</w:t>
      </w:r>
      <w:r>
        <w:rPr>
          <w:rFonts w:hint="eastAsia"/>
          <w:color w:val="auto"/>
          <w:highlight w:val="none"/>
        </w:rPr>
        <w:t>文件的规定，延迟报名截止时间。在此情况下，</w:t>
      </w:r>
      <w:r>
        <w:rPr>
          <w:rFonts w:hint="eastAsia"/>
          <w:color w:val="auto"/>
          <w:highlight w:val="none"/>
          <w:lang w:eastAsia="zh-CN"/>
        </w:rPr>
        <w:t>采购人</w:t>
      </w:r>
      <w:r>
        <w:rPr>
          <w:rFonts w:hint="eastAsia"/>
          <w:color w:val="auto"/>
          <w:highlight w:val="none"/>
        </w:rPr>
        <w:t>、</w:t>
      </w:r>
      <w:r>
        <w:rPr>
          <w:rFonts w:hint="eastAsia"/>
          <w:color w:val="auto"/>
          <w:highlight w:val="none"/>
          <w:lang w:eastAsia="zh-CN"/>
        </w:rPr>
        <w:t>采购代理机构</w:t>
      </w:r>
      <w:r>
        <w:rPr>
          <w:rFonts w:hint="eastAsia"/>
          <w:color w:val="auto"/>
          <w:highlight w:val="none"/>
        </w:rPr>
        <w:t>和</w:t>
      </w:r>
      <w:r>
        <w:rPr>
          <w:rFonts w:hint="eastAsia"/>
          <w:color w:val="auto"/>
          <w:highlight w:val="none"/>
          <w:lang w:eastAsia="zh-CN"/>
        </w:rPr>
        <w:t>供应商</w:t>
      </w:r>
      <w:r>
        <w:rPr>
          <w:rFonts w:hint="eastAsia"/>
          <w:color w:val="auto"/>
          <w:highlight w:val="none"/>
        </w:rPr>
        <w:t>受报名截止时间制约的所有权利和义务均应延长至新的截止时间。</w:t>
      </w:r>
    </w:p>
    <w:p w14:paraId="5BE73B0B">
      <w:pPr>
        <w:pStyle w:val="6"/>
        <w:numPr>
          <w:ilvl w:val="0"/>
          <w:numId w:val="8"/>
        </w:numPr>
        <w:ind w:firstLine="480"/>
        <w:outlineLvl w:val="2"/>
        <w:rPr>
          <w:color w:val="auto"/>
          <w:highlight w:val="none"/>
        </w:rPr>
      </w:pPr>
      <w:r>
        <w:rPr>
          <w:rFonts w:hint="eastAsia"/>
          <w:color w:val="auto"/>
          <w:highlight w:val="none"/>
        </w:rPr>
        <w:t>响应文件的递交、修改与撤回</w:t>
      </w:r>
    </w:p>
    <w:p w14:paraId="0E41F74C">
      <w:pPr>
        <w:pStyle w:val="45"/>
        <w:numPr>
          <w:ilvl w:val="0"/>
          <w:numId w:val="28"/>
        </w:numPr>
        <w:spacing w:before="156"/>
        <w:ind w:firstLine="480"/>
        <w:rPr>
          <w:color w:val="auto"/>
          <w:highlight w:val="none"/>
        </w:rPr>
      </w:pPr>
      <w:r>
        <w:rPr>
          <w:rFonts w:hint="eastAsia"/>
          <w:color w:val="auto"/>
          <w:highlight w:val="none"/>
          <w:lang w:eastAsia="zh-CN"/>
        </w:rPr>
        <w:t>供应商</w:t>
      </w:r>
      <w:r>
        <w:rPr>
          <w:rFonts w:hint="eastAsia"/>
          <w:color w:val="auto"/>
          <w:highlight w:val="none"/>
        </w:rPr>
        <w:t>应当在第一章“</w:t>
      </w:r>
      <w:r>
        <w:rPr>
          <w:rFonts w:hint="eastAsia"/>
          <w:color w:val="auto"/>
          <w:highlight w:val="none"/>
          <w:lang w:val="en-US" w:eastAsia="zh-CN"/>
        </w:rPr>
        <w:t>竞争性谈判</w:t>
      </w:r>
      <w:r>
        <w:rPr>
          <w:rFonts w:hint="eastAsia"/>
          <w:color w:val="auto"/>
          <w:highlight w:val="none"/>
        </w:rPr>
        <w:t>公告”规定的报名截止时间前，交纳</w:t>
      </w:r>
      <w:r>
        <w:rPr>
          <w:rFonts w:hint="eastAsia"/>
          <w:color w:val="auto"/>
          <w:highlight w:val="none"/>
          <w:lang w:val="en-US" w:eastAsia="zh-CN"/>
        </w:rPr>
        <w:t>谈判</w:t>
      </w:r>
      <w:r>
        <w:rPr>
          <w:rFonts w:hint="eastAsia"/>
          <w:color w:val="auto"/>
          <w:highlight w:val="none"/>
        </w:rPr>
        <w:t>保证金，系统确认保证金到账后，将响应文件在电子交易系统传输递交。</w:t>
      </w:r>
    </w:p>
    <w:p w14:paraId="6B7CF244">
      <w:pPr>
        <w:pStyle w:val="45"/>
        <w:numPr>
          <w:ilvl w:val="0"/>
          <w:numId w:val="28"/>
        </w:numPr>
        <w:spacing w:before="156"/>
        <w:ind w:firstLine="480"/>
        <w:outlineLvl w:val="9"/>
        <w:rPr>
          <w:color w:val="auto"/>
          <w:highlight w:val="none"/>
        </w:rPr>
      </w:pPr>
      <w:r>
        <w:rPr>
          <w:rFonts w:hint="eastAsia"/>
          <w:color w:val="auto"/>
          <w:highlight w:val="none"/>
          <w:lang w:eastAsia="zh-CN"/>
        </w:rPr>
        <w:t>供应商</w:t>
      </w:r>
      <w:r>
        <w:rPr>
          <w:rFonts w:hint="eastAsia"/>
          <w:color w:val="auto"/>
          <w:highlight w:val="none"/>
        </w:rPr>
        <w:t>应当在报名截止时间前完成响应文件的传输递交。</w:t>
      </w:r>
    </w:p>
    <w:p w14:paraId="2CE2FB2F">
      <w:pPr>
        <w:pStyle w:val="6"/>
        <w:numPr>
          <w:ilvl w:val="0"/>
          <w:numId w:val="8"/>
        </w:numPr>
        <w:ind w:firstLine="480"/>
        <w:outlineLvl w:val="2"/>
        <w:rPr>
          <w:color w:val="auto"/>
          <w:highlight w:val="none"/>
        </w:rPr>
      </w:pPr>
      <w:r>
        <w:rPr>
          <w:rFonts w:hint="eastAsia"/>
          <w:color w:val="auto"/>
          <w:highlight w:val="none"/>
        </w:rPr>
        <w:t>评审小组</w:t>
      </w:r>
    </w:p>
    <w:p w14:paraId="7D6533B7">
      <w:pPr>
        <w:pStyle w:val="45"/>
        <w:numPr>
          <w:ilvl w:val="0"/>
          <w:numId w:val="29"/>
        </w:numPr>
        <w:spacing w:before="156"/>
        <w:ind w:firstLine="480"/>
        <w:rPr>
          <w:color w:val="auto"/>
          <w:highlight w:val="none"/>
        </w:rPr>
      </w:pPr>
      <w:r>
        <w:rPr>
          <w:rFonts w:hint="eastAsia"/>
          <w:color w:val="auto"/>
          <w:highlight w:val="none"/>
        </w:rPr>
        <w:t>按照《中华人民共和国政府采购法</w:t>
      </w:r>
      <w:r>
        <w:rPr>
          <w:rFonts w:hint="eastAsia"/>
          <w:color w:val="auto"/>
          <w:highlight w:val="none"/>
          <w:lang w:eastAsia="zh-CN"/>
        </w:rPr>
        <w:t>》《</w:t>
      </w:r>
      <w:r>
        <w:rPr>
          <w:rFonts w:hint="eastAsia"/>
          <w:color w:val="auto"/>
          <w:highlight w:val="none"/>
        </w:rPr>
        <w:t>中华人民共和国政府采购法实施条例》及本项目本级和上级财政部门、政府采购监督管理部门的有关规定依法组建的谈判小组，负责本项目评审工作。</w:t>
      </w:r>
    </w:p>
    <w:p w14:paraId="23F1AC5B">
      <w:pPr>
        <w:pStyle w:val="45"/>
        <w:numPr>
          <w:ilvl w:val="0"/>
          <w:numId w:val="29"/>
        </w:numPr>
        <w:spacing w:before="156"/>
        <w:ind w:firstLine="480"/>
        <w:outlineLvl w:val="9"/>
        <w:rPr>
          <w:color w:val="auto"/>
          <w:highlight w:val="none"/>
        </w:rPr>
      </w:pPr>
      <w:r>
        <w:rPr>
          <w:rFonts w:hint="eastAsia"/>
          <w:color w:val="auto"/>
          <w:highlight w:val="none"/>
        </w:rPr>
        <w:t>评审小组成员有下列情形之一的，应当回避：</w:t>
      </w:r>
    </w:p>
    <w:p w14:paraId="58619B78">
      <w:pPr>
        <w:pStyle w:val="45"/>
        <w:spacing w:before="240"/>
        <w:ind w:firstLine="480"/>
        <w:rPr>
          <w:color w:val="auto"/>
          <w:highlight w:val="none"/>
        </w:rPr>
      </w:pPr>
      <w:r>
        <w:rPr>
          <w:rFonts w:hint="eastAsia"/>
          <w:color w:val="auto"/>
          <w:highlight w:val="none"/>
        </w:rPr>
        <w:t>（1）参加采购活动前 3 年内与供应商存在劳动关系；</w:t>
      </w:r>
    </w:p>
    <w:p w14:paraId="449A4571">
      <w:pPr>
        <w:pStyle w:val="45"/>
        <w:spacing w:before="240"/>
        <w:ind w:firstLine="480"/>
        <w:rPr>
          <w:color w:val="auto"/>
          <w:highlight w:val="none"/>
        </w:rPr>
      </w:pPr>
      <w:r>
        <w:rPr>
          <w:rFonts w:hint="eastAsia"/>
          <w:color w:val="auto"/>
          <w:highlight w:val="none"/>
        </w:rPr>
        <w:t>（2）参加采购活动前 3 年内担任供应商的董事、监事；</w:t>
      </w:r>
    </w:p>
    <w:p w14:paraId="360A5B0F">
      <w:pPr>
        <w:pStyle w:val="45"/>
        <w:spacing w:before="240"/>
        <w:ind w:firstLine="480"/>
        <w:rPr>
          <w:color w:val="auto"/>
          <w:highlight w:val="none"/>
        </w:rPr>
      </w:pPr>
      <w:r>
        <w:rPr>
          <w:rFonts w:hint="eastAsia"/>
          <w:color w:val="auto"/>
          <w:highlight w:val="none"/>
        </w:rPr>
        <w:t>（3）参加采购活动前 3 年内是供应商的控股股东或者实际控制人；</w:t>
      </w:r>
    </w:p>
    <w:p w14:paraId="1558179A">
      <w:pPr>
        <w:pStyle w:val="45"/>
        <w:spacing w:before="240"/>
        <w:ind w:firstLine="480"/>
        <w:rPr>
          <w:color w:val="auto"/>
          <w:highlight w:val="none"/>
        </w:rPr>
      </w:pPr>
      <w:r>
        <w:rPr>
          <w:rFonts w:hint="eastAsia"/>
          <w:color w:val="auto"/>
          <w:highlight w:val="none"/>
        </w:rPr>
        <w:t>（4）与供应商的法定代表人或者负责人有夫妻、直系血亲、三代以内旁系血亲或者近姻亲关系；</w:t>
      </w:r>
    </w:p>
    <w:p w14:paraId="07809C6B">
      <w:pPr>
        <w:pStyle w:val="45"/>
        <w:numPr>
          <w:ilvl w:val="0"/>
          <w:numId w:val="0"/>
        </w:numPr>
        <w:spacing w:before="156"/>
        <w:ind w:left="403" w:leftChars="0"/>
        <w:rPr>
          <w:color w:val="auto"/>
          <w:highlight w:val="none"/>
        </w:rPr>
      </w:pPr>
      <w:r>
        <w:rPr>
          <w:rFonts w:hint="eastAsia"/>
          <w:color w:val="auto"/>
          <w:highlight w:val="none"/>
        </w:rPr>
        <w:t>（5）与供应商有其他可能影响政府采购活动公平、公正进行的关系。</w:t>
      </w:r>
    </w:p>
    <w:p w14:paraId="633A59FF">
      <w:pPr>
        <w:pStyle w:val="45"/>
        <w:numPr>
          <w:ilvl w:val="0"/>
          <w:numId w:val="29"/>
        </w:numPr>
        <w:spacing w:before="156"/>
        <w:ind w:firstLine="480"/>
        <w:rPr>
          <w:color w:val="auto"/>
          <w:highlight w:val="none"/>
        </w:rPr>
      </w:pPr>
      <w:r>
        <w:rPr>
          <w:rFonts w:hint="eastAsia"/>
          <w:color w:val="auto"/>
          <w:highlight w:val="none"/>
        </w:rPr>
        <w:t>评审专家组成员对需要共同认定的事项存在争议的，应当按照少数服从多数的原则作出结论。持不同意见的评审专家组成员应当在评审报告上签署不同意见及理由，否则视为同意评审报告。</w:t>
      </w:r>
    </w:p>
    <w:p w14:paraId="5AF37C20">
      <w:pPr>
        <w:pStyle w:val="6"/>
        <w:numPr>
          <w:ilvl w:val="0"/>
          <w:numId w:val="8"/>
        </w:numPr>
        <w:ind w:firstLine="480"/>
        <w:outlineLvl w:val="2"/>
        <w:rPr>
          <w:color w:val="auto"/>
          <w:highlight w:val="none"/>
        </w:rPr>
      </w:pPr>
      <w:r>
        <w:rPr>
          <w:rFonts w:hint="eastAsia"/>
          <w:color w:val="auto"/>
          <w:highlight w:val="none"/>
        </w:rPr>
        <w:t>网上</w:t>
      </w:r>
      <w:r>
        <w:rPr>
          <w:rFonts w:hint="eastAsia"/>
          <w:color w:val="auto"/>
          <w:highlight w:val="none"/>
          <w:lang w:val="en-US" w:eastAsia="zh-CN"/>
        </w:rPr>
        <w:t>报价</w:t>
      </w:r>
      <w:r>
        <w:rPr>
          <w:rFonts w:hint="eastAsia"/>
          <w:color w:val="auto"/>
          <w:highlight w:val="none"/>
        </w:rPr>
        <w:t>程序</w:t>
      </w:r>
    </w:p>
    <w:p w14:paraId="72238E64">
      <w:pPr>
        <w:pStyle w:val="45"/>
        <w:numPr>
          <w:ilvl w:val="0"/>
          <w:numId w:val="30"/>
        </w:numPr>
        <w:spacing w:before="156"/>
        <w:ind w:firstLine="480"/>
        <w:rPr>
          <w:color w:val="auto"/>
          <w:highlight w:val="none"/>
        </w:rPr>
      </w:pPr>
      <w:r>
        <w:rPr>
          <w:rFonts w:hint="eastAsia"/>
          <w:color w:val="auto"/>
          <w:highlight w:val="none"/>
        </w:rPr>
        <w:t>公布网上</w:t>
      </w:r>
      <w:r>
        <w:rPr>
          <w:rFonts w:hint="eastAsia"/>
          <w:color w:val="auto"/>
          <w:highlight w:val="none"/>
          <w:lang w:val="en-US" w:eastAsia="zh-CN"/>
        </w:rPr>
        <w:t>报价</w:t>
      </w:r>
      <w:r>
        <w:rPr>
          <w:rFonts w:hint="eastAsia"/>
          <w:color w:val="auto"/>
          <w:highlight w:val="none"/>
        </w:rPr>
        <w:t>信息</w:t>
      </w:r>
      <w:r>
        <w:rPr>
          <w:rFonts w:hint="eastAsia"/>
          <w:color w:val="auto"/>
          <w:highlight w:val="none"/>
          <w:lang w:val="en-US" w:eastAsia="zh-CN"/>
        </w:rPr>
        <w:t xml:space="preserve">                                   </w:t>
      </w:r>
    </w:p>
    <w:p w14:paraId="3026A22C">
      <w:pPr>
        <w:pStyle w:val="45"/>
        <w:spacing w:before="156"/>
        <w:ind w:firstLine="480"/>
        <w:rPr>
          <w:color w:val="auto"/>
          <w:highlight w:val="none"/>
        </w:rPr>
      </w:pPr>
      <w:r>
        <w:rPr>
          <w:rFonts w:hint="eastAsia"/>
          <w:color w:val="auto"/>
          <w:highlight w:val="none"/>
          <w:lang w:val="en-US" w:eastAsia="zh-CN"/>
        </w:rPr>
        <w:t>采购代理机构</w:t>
      </w:r>
      <w:r>
        <w:rPr>
          <w:rFonts w:hint="eastAsia"/>
          <w:color w:val="auto"/>
          <w:highlight w:val="none"/>
        </w:rPr>
        <w:t>将有关（项目名称）基本信息、起始价、减价幅度、保证金等信息在</w:t>
      </w:r>
      <w:r>
        <w:rPr>
          <w:rFonts w:hint="eastAsia"/>
          <w:color w:val="auto"/>
          <w:highlight w:val="none"/>
          <w:lang w:val="en-US" w:eastAsia="zh-CN"/>
        </w:rPr>
        <w:t>采购文件中明确</w:t>
      </w:r>
      <w:r>
        <w:rPr>
          <w:rFonts w:hint="eastAsia"/>
          <w:color w:val="auto"/>
          <w:highlight w:val="none"/>
        </w:rPr>
        <w:t>。</w:t>
      </w:r>
    </w:p>
    <w:p w14:paraId="385642BC">
      <w:pPr>
        <w:pStyle w:val="45"/>
        <w:numPr>
          <w:ilvl w:val="0"/>
          <w:numId w:val="30"/>
        </w:numPr>
        <w:spacing w:before="156"/>
        <w:ind w:firstLine="480"/>
        <w:outlineLvl w:val="9"/>
        <w:rPr>
          <w:color w:val="auto"/>
          <w:highlight w:val="none"/>
        </w:rPr>
      </w:pPr>
      <w:r>
        <w:rPr>
          <w:rFonts w:hint="eastAsia"/>
          <w:color w:val="auto"/>
          <w:highlight w:val="none"/>
        </w:rPr>
        <w:t>资格和符合性审查</w:t>
      </w:r>
    </w:p>
    <w:p w14:paraId="70ECFF06">
      <w:pPr>
        <w:pStyle w:val="45"/>
        <w:spacing w:before="156"/>
        <w:ind w:firstLine="480"/>
        <w:rPr>
          <w:color w:val="auto"/>
          <w:highlight w:val="none"/>
        </w:rPr>
      </w:pPr>
      <w:r>
        <w:rPr>
          <w:rFonts w:hint="eastAsia"/>
          <w:color w:val="auto"/>
          <w:highlight w:val="none"/>
        </w:rPr>
        <w:t>评审小组依据法律法规和</w:t>
      </w:r>
      <w:r>
        <w:rPr>
          <w:rFonts w:hint="eastAsia"/>
          <w:color w:val="auto"/>
          <w:highlight w:val="none"/>
          <w:lang w:val="en-US" w:eastAsia="zh-CN"/>
        </w:rPr>
        <w:t>谈判</w:t>
      </w:r>
      <w:r>
        <w:rPr>
          <w:rFonts w:hint="eastAsia"/>
          <w:color w:val="auto"/>
          <w:highlight w:val="none"/>
        </w:rPr>
        <w:t>文件中规定的内容，对</w:t>
      </w:r>
      <w:r>
        <w:rPr>
          <w:rFonts w:hint="eastAsia"/>
          <w:color w:val="auto"/>
          <w:highlight w:val="none"/>
          <w:lang w:eastAsia="zh-CN"/>
        </w:rPr>
        <w:t>供应商</w:t>
      </w:r>
      <w:r>
        <w:rPr>
          <w:rFonts w:hint="eastAsia"/>
          <w:color w:val="auto"/>
          <w:highlight w:val="none"/>
        </w:rPr>
        <w:t>资格和符合性进行审查，未通过资格审查和符合性审查的申请人不能参与网上</w:t>
      </w:r>
      <w:r>
        <w:rPr>
          <w:rFonts w:hint="eastAsia"/>
          <w:color w:val="auto"/>
          <w:highlight w:val="none"/>
          <w:lang w:val="en-US" w:eastAsia="zh-CN"/>
        </w:rPr>
        <w:t>报价</w:t>
      </w:r>
      <w:r>
        <w:rPr>
          <w:rFonts w:hint="eastAsia"/>
          <w:color w:val="auto"/>
          <w:highlight w:val="none"/>
        </w:rPr>
        <w:t>。参与并且通过资格审查和符合性审查的</w:t>
      </w:r>
      <w:r>
        <w:rPr>
          <w:rFonts w:hint="eastAsia"/>
          <w:color w:val="auto"/>
          <w:highlight w:val="none"/>
          <w:lang w:eastAsia="zh-CN"/>
        </w:rPr>
        <w:t>供应商</w:t>
      </w:r>
      <w:r>
        <w:rPr>
          <w:rFonts w:hint="eastAsia"/>
          <w:color w:val="auto"/>
          <w:highlight w:val="none"/>
        </w:rPr>
        <w:t>不得少于</w:t>
      </w:r>
      <w:r>
        <w:rPr>
          <w:rFonts w:hint="eastAsia"/>
          <w:color w:val="auto"/>
          <w:highlight w:val="none"/>
          <w:lang w:val="en-US" w:eastAsia="zh-CN"/>
        </w:rPr>
        <w:t>3</w:t>
      </w:r>
      <w:r>
        <w:rPr>
          <w:rFonts w:hint="eastAsia"/>
          <w:color w:val="auto"/>
          <w:highlight w:val="none"/>
        </w:rPr>
        <w:t>家，否则网上</w:t>
      </w:r>
      <w:r>
        <w:rPr>
          <w:rFonts w:hint="eastAsia"/>
          <w:color w:val="auto"/>
          <w:highlight w:val="none"/>
          <w:lang w:val="en-US" w:eastAsia="zh-CN"/>
        </w:rPr>
        <w:t>报价</w:t>
      </w:r>
      <w:r>
        <w:rPr>
          <w:rFonts w:hint="eastAsia"/>
          <w:color w:val="auto"/>
          <w:highlight w:val="none"/>
        </w:rPr>
        <w:t>采购活动终止。</w:t>
      </w:r>
    </w:p>
    <w:p w14:paraId="309C40EB">
      <w:pPr>
        <w:pStyle w:val="45"/>
        <w:numPr>
          <w:ilvl w:val="0"/>
          <w:numId w:val="30"/>
        </w:numPr>
        <w:spacing w:before="156"/>
        <w:ind w:firstLine="480"/>
        <w:outlineLvl w:val="9"/>
        <w:rPr>
          <w:color w:val="auto"/>
          <w:highlight w:val="none"/>
        </w:rPr>
      </w:pPr>
      <w:r>
        <w:rPr>
          <w:rFonts w:hint="eastAsia"/>
          <w:color w:val="auto"/>
          <w:highlight w:val="none"/>
        </w:rPr>
        <w:t>网上</w:t>
      </w:r>
      <w:r>
        <w:rPr>
          <w:rFonts w:hint="eastAsia"/>
          <w:color w:val="auto"/>
          <w:highlight w:val="none"/>
          <w:lang w:val="en-US" w:eastAsia="zh-CN"/>
        </w:rPr>
        <w:t>报价</w:t>
      </w:r>
    </w:p>
    <w:p w14:paraId="04B39753">
      <w:pPr>
        <w:pStyle w:val="45"/>
        <w:numPr>
          <w:ilvl w:val="0"/>
          <w:numId w:val="31"/>
        </w:numPr>
        <w:spacing w:before="156"/>
        <w:ind w:firstLineChars="0"/>
        <w:outlineLvl w:val="9"/>
        <w:rPr>
          <w:color w:val="auto"/>
          <w:highlight w:val="none"/>
        </w:rPr>
      </w:pPr>
      <w:r>
        <w:rPr>
          <w:rFonts w:hint="eastAsia"/>
          <w:color w:val="auto"/>
          <w:highlight w:val="none"/>
        </w:rPr>
        <w:t>报价规则</w:t>
      </w:r>
    </w:p>
    <w:p w14:paraId="2E8FEA0D">
      <w:pPr>
        <w:pStyle w:val="45"/>
        <w:spacing w:before="156"/>
        <w:ind w:firstLine="480"/>
        <w:rPr>
          <w:color w:val="auto"/>
          <w:highlight w:val="none"/>
        </w:rPr>
      </w:pPr>
      <w:r>
        <w:rPr>
          <w:rFonts w:hint="eastAsia"/>
          <w:color w:val="auto"/>
          <w:highlight w:val="none"/>
        </w:rPr>
        <w:t>①本次网上</w:t>
      </w:r>
      <w:r>
        <w:rPr>
          <w:rFonts w:hint="eastAsia"/>
          <w:color w:val="auto"/>
          <w:highlight w:val="none"/>
          <w:lang w:val="en-US" w:eastAsia="zh-CN"/>
        </w:rPr>
        <w:t>报价</w:t>
      </w:r>
      <w:r>
        <w:rPr>
          <w:rFonts w:hint="eastAsia"/>
          <w:color w:val="auto"/>
          <w:highlight w:val="none"/>
        </w:rPr>
        <w:t>以减价方式进行报价，同一</w:t>
      </w:r>
      <w:r>
        <w:rPr>
          <w:rFonts w:hint="eastAsia"/>
          <w:color w:val="auto"/>
          <w:highlight w:val="none"/>
          <w:lang w:eastAsia="zh-CN"/>
        </w:rPr>
        <w:t>供应商</w:t>
      </w:r>
      <w:r>
        <w:rPr>
          <w:rFonts w:hint="eastAsia"/>
          <w:color w:val="auto"/>
          <w:highlight w:val="none"/>
        </w:rPr>
        <w:t>可多次报价。初次报价不得高于起始价，初次报价后的每次报价的减价幅度应当符合规定。</w:t>
      </w:r>
    </w:p>
    <w:p w14:paraId="4E04E83B">
      <w:pPr>
        <w:pStyle w:val="45"/>
        <w:spacing w:before="156"/>
        <w:ind w:firstLine="480"/>
        <w:rPr>
          <w:color w:val="auto"/>
          <w:highlight w:val="none"/>
        </w:rPr>
      </w:pPr>
      <w:r>
        <w:rPr>
          <w:rFonts w:hint="eastAsia"/>
          <w:color w:val="auto"/>
          <w:highlight w:val="none"/>
        </w:rPr>
        <w:t>②</w:t>
      </w:r>
      <w:r>
        <w:rPr>
          <w:rFonts w:hint="eastAsia"/>
          <w:color w:val="auto"/>
          <w:highlight w:val="none"/>
          <w:lang w:eastAsia="zh-CN"/>
        </w:rPr>
        <w:t>供应商</w:t>
      </w:r>
      <w:r>
        <w:rPr>
          <w:rFonts w:hint="eastAsia"/>
          <w:color w:val="auto"/>
          <w:highlight w:val="none"/>
        </w:rPr>
        <w:t>通过系统提交的报价一经报出，不得撤回。</w:t>
      </w:r>
    </w:p>
    <w:p w14:paraId="648B76CB">
      <w:pPr>
        <w:pStyle w:val="45"/>
        <w:spacing w:before="156"/>
        <w:ind w:firstLine="480"/>
        <w:rPr>
          <w:color w:val="auto"/>
          <w:highlight w:val="none"/>
        </w:rPr>
      </w:pPr>
      <w:r>
        <w:rPr>
          <w:rFonts w:hint="eastAsia"/>
          <w:color w:val="auto"/>
          <w:highlight w:val="none"/>
        </w:rPr>
        <w:t>③因网络延迟问题，</w:t>
      </w:r>
      <w:r>
        <w:rPr>
          <w:rFonts w:hint="eastAsia"/>
          <w:color w:val="auto"/>
          <w:highlight w:val="none"/>
          <w:lang w:eastAsia="zh-CN"/>
        </w:rPr>
        <w:t>供应商</w:t>
      </w:r>
      <w:r>
        <w:rPr>
          <w:rFonts w:hint="eastAsia"/>
          <w:color w:val="auto"/>
          <w:highlight w:val="none"/>
        </w:rPr>
        <w:t>应尽量避免在网上报价截止前最后几秒钟内才报价，最迟在网上报价截止前30秒报价，以防止系统无法及时接收到报价的情况发生。</w:t>
      </w:r>
    </w:p>
    <w:p w14:paraId="3F6D8420">
      <w:pPr>
        <w:pStyle w:val="45"/>
        <w:spacing w:before="156"/>
        <w:ind w:firstLine="480"/>
        <w:rPr>
          <w:color w:val="auto"/>
          <w:highlight w:val="none"/>
        </w:rPr>
      </w:pPr>
      <w:r>
        <w:rPr>
          <w:rFonts w:hint="eastAsia"/>
          <w:color w:val="auto"/>
          <w:highlight w:val="none"/>
        </w:rPr>
        <w:t>④</w:t>
      </w:r>
      <w:r>
        <w:rPr>
          <w:rFonts w:hint="eastAsia"/>
          <w:color w:val="auto"/>
          <w:highlight w:val="none"/>
          <w:lang w:eastAsia="zh-CN"/>
        </w:rPr>
        <w:t>供应商</w:t>
      </w:r>
      <w:r>
        <w:rPr>
          <w:rFonts w:hint="eastAsia"/>
          <w:color w:val="auto"/>
          <w:highlight w:val="none"/>
        </w:rPr>
        <w:t>报价有下列情形之一的，为无效报价：</w:t>
      </w:r>
    </w:p>
    <w:p w14:paraId="298FFBC1">
      <w:pPr>
        <w:pStyle w:val="45"/>
        <w:spacing w:before="156"/>
        <w:ind w:firstLine="480"/>
        <w:rPr>
          <w:color w:val="auto"/>
          <w:highlight w:val="none"/>
        </w:rPr>
      </w:pPr>
      <w:r>
        <w:rPr>
          <w:rFonts w:hint="eastAsia"/>
          <w:color w:val="auto"/>
          <w:highlight w:val="none"/>
        </w:rPr>
        <w:t>A.报价因系统故障未在网上</w:t>
      </w:r>
      <w:r>
        <w:rPr>
          <w:rFonts w:hint="eastAsia"/>
          <w:color w:val="auto"/>
          <w:highlight w:val="none"/>
          <w:lang w:val="en-US" w:eastAsia="zh-CN"/>
        </w:rPr>
        <w:t>报价</w:t>
      </w:r>
      <w:r>
        <w:rPr>
          <w:rFonts w:hint="eastAsia"/>
          <w:color w:val="auto"/>
          <w:highlight w:val="none"/>
        </w:rPr>
        <w:t>期限内收到的；</w:t>
      </w:r>
    </w:p>
    <w:p w14:paraId="324F4394">
      <w:pPr>
        <w:pStyle w:val="45"/>
        <w:spacing w:before="156"/>
        <w:ind w:firstLine="480"/>
        <w:rPr>
          <w:color w:val="auto"/>
          <w:highlight w:val="none"/>
        </w:rPr>
      </w:pPr>
      <w:r>
        <w:rPr>
          <w:rFonts w:hint="eastAsia"/>
          <w:color w:val="auto"/>
          <w:highlight w:val="none"/>
        </w:rPr>
        <w:t>B.报价因</w:t>
      </w:r>
      <w:r>
        <w:rPr>
          <w:rFonts w:hint="eastAsia"/>
          <w:color w:val="auto"/>
          <w:highlight w:val="none"/>
          <w:lang w:eastAsia="zh-CN"/>
        </w:rPr>
        <w:t>供应商</w:t>
      </w:r>
      <w:r>
        <w:rPr>
          <w:rFonts w:hint="eastAsia"/>
          <w:color w:val="auto"/>
          <w:highlight w:val="none"/>
        </w:rPr>
        <w:t>网络故障未在网上</w:t>
      </w:r>
      <w:r>
        <w:rPr>
          <w:rFonts w:hint="eastAsia"/>
          <w:color w:val="auto"/>
          <w:highlight w:val="none"/>
          <w:lang w:val="en-US" w:eastAsia="zh-CN"/>
        </w:rPr>
        <w:t>报价</w:t>
      </w:r>
      <w:r>
        <w:rPr>
          <w:rFonts w:hint="eastAsia"/>
          <w:color w:val="auto"/>
          <w:highlight w:val="none"/>
        </w:rPr>
        <w:t>期限内收到的；</w:t>
      </w:r>
    </w:p>
    <w:p w14:paraId="74515C35">
      <w:pPr>
        <w:pStyle w:val="45"/>
        <w:spacing w:before="156"/>
        <w:ind w:firstLine="480"/>
        <w:rPr>
          <w:color w:val="auto"/>
          <w:highlight w:val="none"/>
        </w:rPr>
      </w:pPr>
      <w:r>
        <w:rPr>
          <w:rFonts w:hint="eastAsia"/>
          <w:color w:val="auto"/>
          <w:highlight w:val="none"/>
        </w:rPr>
        <w:t>C.报价高于起始价等不符合报价规则的；</w:t>
      </w:r>
    </w:p>
    <w:p w14:paraId="1243259C">
      <w:pPr>
        <w:pStyle w:val="45"/>
        <w:spacing w:before="156"/>
        <w:ind w:firstLine="480"/>
        <w:rPr>
          <w:color w:val="auto"/>
          <w:highlight w:val="none"/>
        </w:rPr>
      </w:pPr>
      <w:r>
        <w:rPr>
          <w:rFonts w:hint="eastAsia"/>
          <w:color w:val="auto"/>
          <w:highlight w:val="none"/>
        </w:rPr>
        <w:t>D.报价不符合</w:t>
      </w:r>
      <w:r>
        <w:rPr>
          <w:rFonts w:hint="eastAsia"/>
          <w:color w:val="auto"/>
          <w:highlight w:val="none"/>
          <w:lang w:val="en-US" w:eastAsia="zh-CN"/>
        </w:rPr>
        <w:t>谈判</w:t>
      </w:r>
      <w:r>
        <w:rPr>
          <w:rFonts w:hint="eastAsia"/>
          <w:color w:val="auto"/>
          <w:highlight w:val="none"/>
        </w:rPr>
        <w:t>文件规定的其他情形。</w:t>
      </w:r>
    </w:p>
    <w:p w14:paraId="00C9224C">
      <w:pPr>
        <w:pStyle w:val="45"/>
        <w:numPr>
          <w:ilvl w:val="0"/>
          <w:numId w:val="31"/>
        </w:numPr>
        <w:spacing w:before="156"/>
        <w:ind w:firstLineChars="0"/>
        <w:outlineLvl w:val="9"/>
        <w:rPr>
          <w:color w:val="auto"/>
          <w:highlight w:val="none"/>
        </w:rPr>
      </w:pPr>
      <w:r>
        <w:rPr>
          <w:rFonts w:hint="eastAsia"/>
          <w:color w:val="auto"/>
          <w:highlight w:val="none"/>
        </w:rPr>
        <w:t>报价及系统接受报价、显示、确认报价</w:t>
      </w:r>
    </w:p>
    <w:p w14:paraId="62744218">
      <w:pPr>
        <w:pStyle w:val="45"/>
        <w:spacing w:before="156"/>
        <w:ind w:firstLine="480"/>
        <w:rPr>
          <w:color w:val="auto"/>
          <w:highlight w:val="none"/>
        </w:rPr>
      </w:pPr>
      <w:r>
        <w:rPr>
          <w:rFonts w:hint="eastAsia"/>
          <w:color w:val="auto"/>
          <w:highlight w:val="none"/>
        </w:rPr>
        <w:t>①系统从开始接受报价；</w:t>
      </w:r>
    </w:p>
    <w:p w14:paraId="1712FEBF">
      <w:pPr>
        <w:pStyle w:val="45"/>
        <w:spacing w:before="156"/>
        <w:ind w:firstLine="480"/>
        <w:rPr>
          <w:color w:val="auto"/>
          <w:highlight w:val="none"/>
        </w:rPr>
      </w:pPr>
      <w:r>
        <w:rPr>
          <w:rFonts w:hint="eastAsia"/>
          <w:color w:val="auto"/>
          <w:highlight w:val="none"/>
        </w:rPr>
        <w:t>②</w:t>
      </w:r>
      <w:r>
        <w:rPr>
          <w:rFonts w:hint="eastAsia"/>
          <w:color w:val="auto"/>
          <w:highlight w:val="none"/>
          <w:lang w:eastAsia="zh-CN"/>
        </w:rPr>
        <w:t>供应商</w:t>
      </w:r>
      <w:r>
        <w:rPr>
          <w:rFonts w:hint="eastAsia"/>
          <w:color w:val="auto"/>
          <w:highlight w:val="none"/>
        </w:rPr>
        <w:t>通过系统进行报价，该报价须为当前系统确认的最低报价。</w:t>
      </w:r>
    </w:p>
    <w:p w14:paraId="1F401FC3">
      <w:pPr>
        <w:pStyle w:val="45"/>
        <w:numPr>
          <w:ilvl w:val="0"/>
          <w:numId w:val="30"/>
        </w:numPr>
        <w:spacing w:before="156"/>
        <w:ind w:firstLine="480"/>
        <w:outlineLvl w:val="9"/>
        <w:rPr>
          <w:color w:val="auto"/>
          <w:highlight w:val="none"/>
        </w:rPr>
      </w:pPr>
      <w:r>
        <w:rPr>
          <w:rFonts w:hint="eastAsia"/>
          <w:color w:val="auto"/>
          <w:highlight w:val="none"/>
        </w:rPr>
        <w:t>网上</w:t>
      </w:r>
      <w:r>
        <w:rPr>
          <w:rFonts w:hint="eastAsia"/>
          <w:color w:val="auto"/>
          <w:highlight w:val="none"/>
          <w:lang w:val="en-US" w:eastAsia="zh-CN"/>
        </w:rPr>
        <w:t>报价</w:t>
      </w:r>
      <w:r>
        <w:rPr>
          <w:rFonts w:hint="eastAsia"/>
          <w:color w:val="auto"/>
          <w:highlight w:val="none"/>
        </w:rPr>
        <w:t>开始</w:t>
      </w:r>
    </w:p>
    <w:p w14:paraId="62712434">
      <w:pPr>
        <w:pStyle w:val="45"/>
        <w:spacing w:before="156"/>
        <w:ind w:firstLine="480"/>
        <w:rPr>
          <w:color w:val="auto"/>
          <w:highlight w:val="none"/>
        </w:rPr>
      </w:pPr>
      <w:r>
        <w:rPr>
          <w:rFonts w:hint="eastAsia"/>
          <w:color w:val="auto"/>
          <w:highlight w:val="none"/>
        </w:rPr>
        <w:t>网上</w:t>
      </w:r>
      <w:r>
        <w:rPr>
          <w:rFonts w:hint="eastAsia"/>
          <w:color w:val="auto"/>
          <w:highlight w:val="none"/>
          <w:lang w:val="en-US" w:eastAsia="zh-CN"/>
        </w:rPr>
        <w:t>报价</w:t>
      </w:r>
      <w:r>
        <w:rPr>
          <w:rFonts w:hint="eastAsia"/>
          <w:color w:val="auto"/>
          <w:highlight w:val="none"/>
        </w:rPr>
        <w:t>分为自由</w:t>
      </w:r>
      <w:r>
        <w:rPr>
          <w:rFonts w:hint="eastAsia"/>
          <w:color w:val="auto"/>
          <w:highlight w:val="none"/>
          <w:lang w:val="en-US" w:eastAsia="zh-CN"/>
        </w:rPr>
        <w:t>报价</w:t>
      </w:r>
      <w:r>
        <w:rPr>
          <w:rFonts w:hint="eastAsia"/>
          <w:color w:val="auto"/>
          <w:highlight w:val="none"/>
        </w:rPr>
        <w:t>和限时</w:t>
      </w:r>
      <w:r>
        <w:rPr>
          <w:rFonts w:hint="eastAsia"/>
          <w:color w:val="auto"/>
          <w:highlight w:val="none"/>
          <w:lang w:val="en-US" w:eastAsia="zh-CN"/>
        </w:rPr>
        <w:t>报价</w:t>
      </w:r>
      <w:r>
        <w:rPr>
          <w:rFonts w:hint="eastAsia"/>
          <w:color w:val="auto"/>
          <w:highlight w:val="none"/>
        </w:rPr>
        <w:t>两个阶段；</w:t>
      </w:r>
    </w:p>
    <w:p w14:paraId="23EC6706">
      <w:pPr>
        <w:pStyle w:val="45"/>
        <w:spacing w:before="156"/>
        <w:ind w:firstLine="482"/>
        <w:rPr>
          <w:b/>
          <w:bCs/>
          <w:color w:val="auto"/>
          <w:highlight w:val="none"/>
        </w:rPr>
      </w:pPr>
      <w:r>
        <w:rPr>
          <w:rFonts w:hint="eastAsia" w:ascii="微软雅黑" w:hAnsi="微软雅黑" w:cs="微软雅黑"/>
          <w:szCs w:val="21"/>
        </w:rPr>
        <w:t>网上自由报价开始时间自通过评审专家评审通过后，系统自动颁发资格证书，</w:t>
      </w:r>
      <w:r>
        <w:rPr>
          <w:rFonts w:hint="eastAsia" w:ascii="微软雅黑" w:hAnsi="微软雅黑" w:cs="微软雅黑"/>
          <w:szCs w:val="21"/>
          <w:lang w:eastAsia="zh-CN"/>
        </w:rPr>
        <w:t>供应商</w:t>
      </w:r>
      <w:r>
        <w:rPr>
          <w:rFonts w:hint="eastAsia" w:ascii="微软雅黑" w:hAnsi="微软雅黑" w:cs="微软雅黑"/>
          <w:szCs w:val="21"/>
        </w:rPr>
        <w:t>即可在系统进行网上报价（</w:t>
      </w:r>
      <w:r>
        <w:rPr>
          <w:rFonts w:hint="eastAsia" w:ascii="微软雅黑" w:hAnsi="微软雅黑" w:cs="微软雅黑"/>
          <w:szCs w:val="21"/>
          <w:lang w:eastAsia="zh-CN"/>
        </w:rPr>
        <w:t>供应商</w:t>
      </w:r>
      <w:r>
        <w:rPr>
          <w:rFonts w:hint="eastAsia" w:ascii="微软雅黑" w:hAnsi="微软雅黑" w:cs="微软雅黑"/>
          <w:szCs w:val="21"/>
        </w:rPr>
        <w:t>在自由报价期间需进行至少一次有效报价，自由竞价阶段须有3家及以上供应商提交有效报价，方可进入限时竞价阶段。若有效报价供应商不足3家，则终止采购活动，不得进入限时竞价阶段，所有供应商报价（含自由竞价阶段报价）无效，项目按‘有效响应供应商不足三家’予以废标（公开招标）或终止谈判（竞争性谈判）处理。</w:t>
      </w:r>
      <w:r>
        <w:rPr>
          <w:rFonts w:hint="eastAsia" w:ascii="微软雅黑" w:hAnsi="微软雅黑" w:cs="微软雅黑"/>
          <w:b/>
          <w:bCs/>
          <w:szCs w:val="21"/>
        </w:rPr>
        <w:t>取得资格的</w:t>
      </w:r>
      <w:r>
        <w:rPr>
          <w:rFonts w:hint="eastAsia" w:ascii="微软雅黑" w:hAnsi="微软雅黑" w:cs="微软雅黑"/>
          <w:b/>
          <w:bCs/>
          <w:szCs w:val="21"/>
          <w:lang w:eastAsia="zh-CN"/>
        </w:rPr>
        <w:t>供应商</w:t>
      </w:r>
      <w:r>
        <w:rPr>
          <w:rFonts w:hint="eastAsia" w:ascii="微软雅黑" w:hAnsi="微软雅黑" w:cs="微软雅黑"/>
          <w:b/>
          <w:bCs/>
          <w:szCs w:val="21"/>
        </w:rPr>
        <w:t>，按照报价规则的要求，在限时报价阶段，通过产权交易系统采用反向报价多次报价方式竞争。</w:t>
      </w:r>
    </w:p>
    <w:p w14:paraId="16D787C4">
      <w:pPr>
        <w:pStyle w:val="45"/>
        <w:spacing w:before="156"/>
        <w:ind w:firstLine="480"/>
        <w:rPr>
          <w:color w:val="auto"/>
          <w:highlight w:val="none"/>
        </w:rPr>
      </w:pPr>
      <w:r>
        <w:rPr>
          <w:rFonts w:hint="eastAsia"/>
          <w:color w:val="auto"/>
          <w:highlight w:val="none"/>
        </w:rPr>
        <w:t>网上限时</w:t>
      </w:r>
      <w:r>
        <w:rPr>
          <w:rFonts w:hint="eastAsia"/>
          <w:color w:val="auto"/>
          <w:highlight w:val="none"/>
          <w:lang w:val="en-US" w:eastAsia="zh-CN"/>
        </w:rPr>
        <w:t>报价</w:t>
      </w:r>
      <w:r>
        <w:rPr>
          <w:rFonts w:hint="eastAsia"/>
          <w:color w:val="auto"/>
          <w:highlight w:val="none"/>
        </w:rPr>
        <w:t>开始时间由系统按公告规定自动确定。在公告规定的网上</w:t>
      </w:r>
      <w:r>
        <w:rPr>
          <w:rFonts w:hint="eastAsia"/>
          <w:color w:val="auto"/>
          <w:highlight w:val="none"/>
          <w:lang w:val="en-US" w:eastAsia="zh-CN"/>
        </w:rPr>
        <w:t>报价</w:t>
      </w:r>
      <w:r>
        <w:rPr>
          <w:rFonts w:hint="eastAsia"/>
          <w:color w:val="auto"/>
          <w:highlight w:val="none"/>
        </w:rPr>
        <w:t>开始时间前1分钟，系统将当前最低有效报价进行三次提示。</w:t>
      </w:r>
      <w:r>
        <w:rPr>
          <w:rFonts w:hint="eastAsia"/>
          <w:color w:val="auto"/>
          <w:highlight w:val="none"/>
          <w:lang w:val="en-US" w:eastAsia="zh-CN"/>
        </w:rPr>
        <w:t>报价</w:t>
      </w:r>
      <w:r>
        <w:rPr>
          <w:rFonts w:hint="eastAsia"/>
          <w:color w:val="auto"/>
          <w:highlight w:val="none"/>
        </w:rPr>
        <w:t>截止，按下列规则处理：</w:t>
      </w:r>
    </w:p>
    <w:p w14:paraId="00DCD601">
      <w:pPr>
        <w:pStyle w:val="45"/>
        <w:numPr>
          <w:ilvl w:val="0"/>
          <w:numId w:val="32"/>
        </w:numPr>
        <w:spacing w:before="156"/>
        <w:ind w:firstLineChars="0"/>
        <w:outlineLvl w:val="9"/>
        <w:rPr>
          <w:color w:val="auto"/>
          <w:highlight w:val="none"/>
        </w:rPr>
      </w:pPr>
      <w:r>
        <w:rPr>
          <w:rFonts w:hint="eastAsia"/>
          <w:color w:val="auto"/>
          <w:highlight w:val="none"/>
        </w:rPr>
        <w:t>网上自由</w:t>
      </w:r>
      <w:r>
        <w:rPr>
          <w:rFonts w:hint="eastAsia"/>
          <w:color w:val="auto"/>
          <w:highlight w:val="none"/>
          <w:lang w:val="en-US" w:eastAsia="zh-CN"/>
        </w:rPr>
        <w:t>报价</w:t>
      </w:r>
      <w:r>
        <w:rPr>
          <w:rFonts w:hint="eastAsia"/>
          <w:color w:val="auto"/>
          <w:highlight w:val="none"/>
        </w:rPr>
        <w:t>期间无人报价</w:t>
      </w:r>
    </w:p>
    <w:p w14:paraId="4C4F645A">
      <w:pPr>
        <w:pStyle w:val="45"/>
        <w:spacing w:before="156"/>
        <w:ind w:firstLine="480"/>
        <w:rPr>
          <w:color w:val="auto"/>
          <w:highlight w:val="none"/>
        </w:rPr>
      </w:pPr>
      <w:r>
        <w:rPr>
          <w:rFonts w:hint="eastAsia"/>
          <w:color w:val="auto"/>
          <w:highlight w:val="none"/>
        </w:rPr>
        <w:t>网上自由</w:t>
      </w:r>
      <w:r>
        <w:rPr>
          <w:rFonts w:hint="eastAsia"/>
          <w:color w:val="auto"/>
          <w:highlight w:val="none"/>
          <w:lang w:val="en-US" w:eastAsia="zh-CN"/>
        </w:rPr>
        <w:t>报价</w:t>
      </w:r>
      <w:r>
        <w:rPr>
          <w:rFonts w:hint="eastAsia"/>
          <w:color w:val="auto"/>
          <w:highlight w:val="none"/>
        </w:rPr>
        <w:t>期间，一直无人报价，网上自由</w:t>
      </w:r>
      <w:r>
        <w:rPr>
          <w:rFonts w:hint="eastAsia"/>
          <w:color w:val="auto"/>
          <w:highlight w:val="none"/>
          <w:lang w:val="en-US" w:eastAsia="zh-CN"/>
        </w:rPr>
        <w:t>报价</w:t>
      </w:r>
      <w:r>
        <w:rPr>
          <w:rFonts w:hint="eastAsia"/>
          <w:color w:val="auto"/>
          <w:highlight w:val="none"/>
        </w:rPr>
        <w:t>截止时，系统显示网上</w:t>
      </w:r>
      <w:r>
        <w:rPr>
          <w:rFonts w:hint="eastAsia"/>
          <w:color w:val="auto"/>
          <w:highlight w:val="none"/>
          <w:lang w:val="en-US" w:eastAsia="zh-CN"/>
        </w:rPr>
        <w:t>报价</w:t>
      </w:r>
      <w:r>
        <w:rPr>
          <w:rFonts w:hint="eastAsia"/>
          <w:color w:val="auto"/>
          <w:highlight w:val="none"/>
        </w:rPr>
        <w:t>不成交。</w:t>
      </w:r>
    </w:p>
    <w:p w14:paraId="430385C6">
      <w:pPr>
        <w:pStyle w:val="45"/>
        <w:numPr>
          <w:ilvl w:val="0"/>
          <w:numId w:val="32"/>
        </w:numPr>
        <w:spacing w:before="156"/>
        <w:ind w:firstLineChars="0"/>
        <w:outlineLvl w:val="9"/>
        <w:rPr>
          <w:color w:val="auto"/>
          <w:highlight w:val="none"/>
        </w:rPr>
      </w:pPr>
      <w:r>
        <w:rPr>
          <w:rFonts w:hint="eastAsia"/>
          <w:color w:val="auto"/>
          <w:highlight w:val="none"/>
        </w:rPr>
        <w:t>网上自由</w:t>
      </w:r>
      <w:r>
        <w:rPr>
          <w:rFonts w:hint="eastAsia"/>
          <w:color w:val="auto"/>
          <w:highlight w:val="none"/>
          <w:lang w:val="en-US" w:eastAsia="zh-CN"/>
        </w:rPr>
        <w:t>报价</w:t>
      </w:r>
      <w:r>
        <w:rPr>
          <w:rFonts w:hint="eastAsia"/>
          <w:color w:val="auto"/>
          <w:highlight w:val="none"/>
        </w:rPr>
        <w:t>期间有</w:t>
      </w:r>
      <w:r>
        <w:rPr>
          <w:rFonts w:hint="eastAsia"/>
          <w:color w:val="auto"/>
          <w:highlight w:val="none"/>
          <w:lang w:val="en-US" w:eastAsia="zh-CN"/>
        </w:rPr>
        <w:t>三</w:t>
      </w:r>
      <w:r>
        <w:rPr>
          <w:rStyle w:val="38"/>
          <w:rFonts w:hint="eastAsia" w:ascii="宋体" w:hAnsi="宋体" w:cs="宋体"/>
          <w:bCs/>
          <w:color w:val="auto"/>
          <w:szCs w:val="24"/>
          <w:highlight w:val="none"/>
          <w:shd w:val="clear" w:color="auto" w:fill="FFFFFF"/>
        </w:rPr>
        <w:t>家或</w:t>
      </w:r>
      <w:r>
        <w:rPr>
          <w:rStyle w:val="38"/>
          <w:rFonts w:hint="eastAsia" w:ascii="宋体" w:hAnsi="宋体" w:cs="宋体"/>
          <w:bCs/>
          <w:color w:val="auto"/>
          <w:szCs w:val="24"/>
          <w:highlight w:val="none"/>
          <w:shd w:val="clear" w:color="auto" w:fill="FFFFFF"/>
          <w:lang w:val="en-US" w:eastAsia="zh-CN"/>
        </w:rPr>
        <w:t>三</w:t>
      </w:r>
      <w:r>
        <w:rPr>
          <w:rStyle w:val="38"/>
          <w:rFonts w:hint="eastAsia" w:ascii="宋体" w:hAnsi="宋体" w:cs="宋体"/>
          <w:bCs/>
          <w:color w:val="auto"/>
          <w:szCs w:val="24"/>
          <w:highlight w:val="none"/>
          <w:shd w:val="clear" w:color="auto" w:fill="FFFFFF"/>
        </w:rPr>
        <w:t>家以上</w:t>
      </w:r>
      <w:r>
        <w:rPr>
          <w:rFonts w:hint="eastAsia"/>
          <w:color w:val="auto"/>
          <w:highlight w:val="none"/>
        </w:rPr>
        <w:t>有效报价。</w:t>
      </w:r>
    </w:p>
    <w:p w14:paraId="7BD1E9A8">
      <w:pPr>
        <w:pStyle w:val="45"/>
        <w:spacing w:before="156"/>
        <w:ind w:firstLine="480"/>
        <w:rPr>
          <w:color w:val="auto"/>
          <w:highlight w:val="none"/>
        </w:rPr>
      </w:pPr>
      <w:r>
        <w:rPr>
          <w:rFonts w:hint="eastAsia"/>
          <w:color w:val="auto"/>
          <w:highlight w:val="none"/>
        </w:rPr>
        <w:t>网上自由</w:t>
      </w:r>
      <w:r>
        <w:rPr>
          <w:rFonts w:hint="eastAsia"/>
          <w:color w:val="auto"/>
          <w:highlight w:val="none"/>
          <w:lang w:val="en-US" w:eastAsia="zh-CN"/>
        </w:rPr>
        <w:t>报价</w:t>
      </w:r>
      <w:r>
        <w:rPr>
          <w:rFonts w:hint="eastAsia"/>
          <w:color w:val="auto"/>
          <w:highlight w:val="none"/>
        </w:rPr>
        <w:t>截止时，有</w:t>
      </w:r>
      <w:r>
        <w:rPr>
          <w:rStyle w:val="38"/>
          <w:rFonts w:hint="eastAsia" w:ascii="宋体" w:hAnsi="宋体" w:cs="宋体"/>
          <w:bCs/>
          <w:color w:val="auto"/>
          <w:szCs w:val="24"/>
          <w:highlight w:val="none"/>
          <w:shd w:val="clear" w:color="auto" w:fill="FFFFFF"/>
          <w:lang w:val="en-US" w:eastAsia="zh-CN"/>
        </w:rPr>
        <w:t>3</w:t>
      </w:r>
      <w:r>
        <w:rPr>
          <w:rStyle w:val="38"/>
          <w:rFonts w:hint="eastAsia" w:ascii="宋体" w:hAnsi="宋体" w:cs="宋体"/>
          <w:bCs/>
          <w:color w:val="auto"/>
          <w:szCs w:val="24"/>
          <w:highlight w:val="none"/>
          <w:shd w:val="clear" w:color="auto" w:fill="FFFFFF"/>
        </w:rPr>
        <w:t>家及以上的</w:t>
      </w:r>
      <w:r>
        <w:rPr>
          <w:rFonts w:hint="eastAsia"/>
          <w:color w:val="auto"/>
          <w:highlight w:val="none"/>
          <w:lang w:eastAsia="zh-CN"/>
        </w:rPr>
        <w:t>供应商</w:t>
      </w:r>
      <w:r>
        <w:rPr>
          <w:rFonts w:hint="eastAsia"/>
          <w:color w:val="auto"/>
          <w:highlight w:val="none"/>
        </w:rPr>
        <w:t>有效报价，系统进入网上限时</w:t>
      </w:r>
      <w:r>
        <w:rPr>
          <w:rFonts w:hint="eastAsia"/>
          <w:color w:val="auto"/>
          <w:highlight w:val="none"/>
          <w:lang w:val="en-US" w:eastAsia="zh-CN"/>
        </w:rPr>
        <w:t>报价</w:t>
      </w:r>
      <w:r>
        <w:rPr>
          <w:rFonts w:hint="eastAsia"/>
          <w:color w:val="auto"/>
          <w:highlight w:val="none"/>
        </w:rPr>
        <w:t>程序。</w:t>
      </w:r>
    </w:p>
    <w:p w14:paraId="764F807A">
      <w:pPr>
        <w:pStyle w:val="45"/>
        <w:numPr>
          <w:ilvl w:val="0"/>
          <w:numId w:val="32"/>
        </w:numPr>
        <w:spacing w:before="156"/>
        <w:ind w:firstLineChars="0"/>
        <w:outlineLvl w:val="9"/>
        <w:rPr>
          <w:color w:val="auto"/>
          <w:highlight w:val="none"/>
        </w:rPr>
      </w:pPr>
      <w:r>
        <w:rPr>
          <w:rFonts w:hint="eastAsia"/>
          <w:color w:val="auto"/>
          <w:highlight w:val="none"/>
          <w:lang w:val="en-US" w:eastAsia="zh-CN"/>
        </w:rPr>
        <w:t>3</w:t>
      </w:r>
      <w:r>
        <w:rPr>
          <w:rFonts w:hint="eastAsia"/>
          <w:color w:val="auto"/>
          <w:highlight w:val="none"/>
        </w:rPr>
        <w:t>分钟倒计时</w:t>
      </w:r>
      <w:r>
        <w:rPr>
          <w:rFonts w:hint="eastAsia"/>
          <w:color w:val="auto"/>
          <w:highlight w:val="none"/>
          <w:lang w:val="en-US" w:eastAsia="zh-CN"/>
        </w:rPr>
        <w:t>报价</w:t>
      </w:r>
      <w:r>
        <w:rPr>
          <w:rFonts w:hint="eastAsia"/>
          <w:color w:val="auto"/>
          <w:highlight w:val="none"/>
        </w:rPr>
        <w:t>规则</w:t>
      </w:r>
    </w:p>
    <w:p w14:paraId="139BCFEC">
      <w:pPr>
        <w:pStyle w:val="45"/>
        <w:spacing w:before="156"/>
        <w:ind w:firstLine="480"/>
        <w:rPr>
          <w:color w:val="auto"/>
          <w:highlight w:val="none"/>
        </w:rPr>
      </w:pPr>
      <w:r>
        <w:rPr>
          <w:rFonts w:hint="eastAsia"/>
          <w:color w:val="auto"/>
          <w:highlight w:val="none"/>
        </w:rPr>
        <w:t>系统设置</w:t>
      </w:r>
      <w:r>
        <w:rPr>
          <w:rFonts w:hint="eastAsia"/>
          <w:color w:val="auto"/>
          <w:highlight w:val="none"/>
          <w:lang w:val="en-US" w:eastAsia="zh-CN"/>
        </w:rPr>
        <w:t>报价</w:t>
      </w:r>
      <w:r>
        <w:rPr>
          <w:rFonts w:hint="eastAsia"/>
          <w:color w:val="auto"/>
          <w:highlight w:val="none"/>
        </w:rPr>
        <w:t>开始时间到达，有</w:t>
      </w:r>
      <w:r>
        <w:rPr>
          <w:rFonts w:hint="eastAsia"/>
          <w:color w:val="auto"/>
          <w:highlight w:val="none"/>
          <w:lang w:eastAsia="zh-CN"/>
        </w:rPr>
        <w:t>供应商</w:t>
      </w:r>
      <w:r>
        <w:rPr>
          <w:rFonts w:hint="eastAsia"/>
          <w:color w:val="auto"/>
          <w:highlight w:val="none"/>
        </w:rPr>
        <w:t>参加网上限时</w:t>
      </w:r>
      <w:r>
        <w:rPr>
          <w:rFonts w:hint="eastAsia"/>
          <w:color w:val="auto"/>
          <w:highlight w:val="none"/>
          <w:lang w:val="en-US" w:eastAsia="zh-CN"/>
        </w:rPr>
        <w:t>报价</w:t>
      </w:r>
      <w:r>
        <w:rPr>
          <w:rFonts w:hint="eastAsia"/>
          <w:color w:val="auto"/>
          <w:highlight w:val="none"/>
        </w:rPr>
        <w:t>的，系统开始第一次</w:t>
      </w:r>
      <w:r>
        <w:rPr>
          <w:rFonts w:hint="eastAsia"/>
          <w:color w:val="auto"/>
          <w:highlight w:val="none"/>
          <w:lang w:val="en-US" w:eastAsia="zh-CN"/>
        </w:rPr>
        <w:t>3</w:t>
      </w:r>
      <w:r>
        <w:rPr>
          <w:rFonts w:hint="eastAsia"/>
          <w:color w:val="auto"/>
          <w:highlight w:val="none"/>
        </w:rPr>
        <w:t>分钟倒计时，具有网上限时</w:t>
      </w:r>
      <w:r>
        <w:rPr>
          <w:rFonts w:hint="eastAsia"/>
          <w:color w:val="auto"/>
          <w:highlight w:val="none"/>
          <w:lang w:val="en-US" w:eastAsia="zh-CN"/>
        </w:rPr>
        <w:t>报价</w:t>
      </w:r>
      <w:r>
        <w:rPr>
          <w:rFonts w:hint="eastAsia"/>
          <w:color w:val="auto"/>
          <w:highlight w:val="none"/>
        </w:rPr>
        <w:t>资格的</w:t>
      </w:r>
      <w:r>
        <w:rPr>
          <w:rFonts w:hint="eastAsia"/>
          <w:color w:val="auto"/>
          <w:highlight w:val="none"/>
          <w:lang w:eastAsia="zh-CN"/>
        </w:rPr>
        <w:t>供应商</w:t>
      </w:r>
      <w:r>
        <w:rPr>
          <w:rFonts w:hint="eastAsia"/>
          <w:color w:val="auto"/>
          <w:highlight w:val="none"/>
        </w:rPr>
        <w:t>可参加限时</w:t>
      </w:r>
      <w:r>
        <w:rPr>
          <w:rFonts w:hint="eastAsia"/>
          <w:color w:val="auto"/>
          <w:highlight w:val="none"/>
          <w:lang w:val="en-US" w:eastAsia="zh-CN"/>
        </w:rPr>
        <w:t>报价</w:t>
      </w:r>
      <w:r>
        <w:rPr>
          <w:rFonts w:hint="eastAsia"/>
          <w:color w:val="auto"/>
          <w:highlight w:val="none"/>
        </w:rPr>
        <w:t>，限时</w:t>
      </w:r>
      <w:r>
        <w:rPr>
          <w:rFonts w:hint="eastAsia"/>
          <w:color w:val="auto"/>
          <w:highlight w:val="none"/>
          <w:lang w:val="en-US" w:eastAsia="zh-CN"/>
        </w:rPr>
        <w:t>报价</w:t>
      </w:r>
      <w:r>
        <w:rPr>
          <w:rFonts w:hint="eastAsia"/>
          <w:color w:val="auto"/>
          <w:highlight w:val="none"/>
        </w:rPr>
        <w:t>中的报价应当在</w:t>
      </w:r>
      <w:r>
        <w:rPr>
          <w:rFonts w:hint="eastAsia"/>
          <w:color w:val="auto"/>
          <w:highlight w:val="none"/>
          <w:lang w:val="en-US" w:eastAsia="zh-CN"/>
        </w:rPr>
        <w:t>3</w:t>
      </w:r>
      <w:r>
        <w:rPr>
          <w:rFonts w:hint="eastAsia"/>
          <w:color w:val="auto"/>
          <w:highlight w:val="none"/>
        </w:rPr>
        <w:t>分钟倒计时内提交，报价规则按本须知规定执行。</w:t>
      </w:r>
    </w:p>
    <w:p w14:paraId="0E20861B">
      <w:pPr>
        <w:pStyle w:val="45"/>
        <w:spacing w:before="156"/>
        <w:ind w:firstLine="480"/>
        <w:rPr>
          <w:color w:val="auto"/>
          <w:highlight w:val="none"/>
        </w:rPr>
      </w:pPr>
      <w:r>
        <w:rPr>
          <w:rFonts w:hint="eastAsia"/>
          <w:color w:val="auto"/>
          <w:highlight w:val="none"/>
        </w:rPr>
        <w:t>如在</w:t>
      </w:r>
      <w:r>
        <w:rPr>
          <w:rFonts w:hint="eastAsia"/>
          <w:color w:val="auto"/>
          <w:highlight w:val="none"/>
          <w:lang w:val="en-US" w:eastAsia="zh-CN"/>
        </w:rPr>
        <w:t>3</w:t>
      </w:r>
      <w:r>
        <w:rPr>
          <w:rFonts w:hint="eastAsia"/>
          <w:color w:val="auto"/>
          <w:highlight w:val="none"/>
        </w:rPr>
        <w:t>分钟倒计时内的任一时刻，系统接收到具有网上限时</w:t>
      </w:r>
      <w:r>
        <w:rPr>
          <w:rFonts w:hint="eastAsia"/>
          <w:color w:val="auto"/>
          <w:highlight w:val="none"/>
          <w:lang w:val="en-US" w:eastAsia="zh-CN"/>
        </w:rPr>
        <w:t>报价</w:t>
      </w:r>
      <w:r>
        <w:rPr>
          <w:rFonts w:hint="eastAsia"/>
          <w:color w:val="auto"/>
          <w:highlight w:val="none"/>
        </w:rPr>
        <w:t>资格的任一</w:t>
      </w:r>
      <w:r>
        <w:rPr>
          <w:rFonts w:hint="eastAsia"/>
          <w:color w:val="auto"/>
          <w:highlight w:val="none"/>
          <w:lang w:eastAsia="zh-CN"/>
        </w:rPr>
        <w:t>供应商</w:t>
      </w:r>
      <w:r>
        <w:rPr>
          <w:rFonts w:hint="eastAsia"/>
          <w:color w:val="auto"/>
          <w:highlight w:val="none"/>
        </w:rPr>
        <w:t>有新的报价，系统则确认该最新报价，予以显示，并从此时刻起再顺延一个新的</w:t>
      </w:r>
      <w:r>
        <w:rPr>
          <w:rFonts w:hint="eastAsia"/>
          <w:color w:val="auto"/>
          <w:highlight w:val="none"/>
          <w:lang w:val="en-US" w:eastAsia="zh-CN"/>
        </w:rPr>
        <w:t>3</w:t>
      </w:r>
      <w:r>
        <w:rPr>
          <w:rFonts w:hint="eastAsia"/>
          <w:color w:val="auto"/>
          <w:highlight w:val="none"/>
        </w:rPr>
        <w:t>分钟倒计时，具有网上限时</w:t>
      </w:r>
      <w:r>
        <w:rPr>
          <w:rFonts w:hint="eastAsia"/>
          <w:color w:val="auto"/>
          <w:highlight w:val="none"/>
          <w:lang w:val="en-US" w:eastAsia="zh-CN"/>
        </w:rPr>
        <w:t>报价</w:t>
      </w:r>
      <w:r>
        <w:rPr>
          <w:rFonts w:hint="eastAsia"/>
          <w:color w:val="auto"/>
          <w:highlight w:val="none"/>
        </w:rPr>
        <w:t>资格的</w:t>
      </w:r>
      <w:r>
        <w:rPr>
          <w:rFonts w:hint="eastAsia"/>
          <w:color w:val="auto"/>
          <w:highlight w:val="none"/>
          <w:lang w:eastAsia="zh-CN"/>
        </w:rPr>
        <w:t>供应商</w:t>
      </w:r>
      <w:r>
        <w:rPr>
          <w:rFonts w:hint="eastAsia"/>
          <w:color w:val="auto"/>
          <w:highlight w:val="none"/>
        </w:rPr>
        <w:t>可参加新一轮</w:t>
      </w:r>
      <w:r>
        <w:rPr>
          <w:rFonts w:hint="eastAsia"/>
          <w:color w:val="auto"/>
          <w:highlight w:val="none"/>
          <w:lang w:val="en-US" w:eastAsia="zh-CN"/>
        </w:rPr>
        <w:t>报价</w:t>
      </w:r>
      <w:r>
        <w:rPr>
          <w:rFonts w:hint="eastAsia"/>
          <w:color w:val="auto"/>
          <w:highlight w:val="none"/>
        </w:rPr>
        <w:t>，并按此方式不断顺延下去，直至</w:t>
      </w:r>
      <w:r>
        <w:rPr>
          <w:rFonts w:hint="eastAsia"/>
          <w:color w:val="auto"/>
          <w:highlight w:val="none"/>
          <w:lang w:val="en-US" w:eastAsia="zh-CN"/>
        </w:rPr>
        <w:t>报价</w:t>
      </w:r>
      <w:r>
        <w:rPr>
          <w:rFonts w:hint="eastAsia"/>
          <w:color w:val="auto"/>
          <w:highlight w:val="none"/>
        </w:rPr>
        <w:t>结束。</w:t>
      </w:r>
    </w:p>
    <w:p w14:paraId="0EE08440">
      <w:pPr>
        <w:pStyle w:val="45"/>
        <w:spacing w:before="156"/>
        <w:ind w:firstLine="480"/>
        <w:rPr>
          <w:color w:val="auto"/>
          <w:highlight w:val="none"/>
        </w:rPr>
      </w:pPr>
      <w:r>
        <w:rPr>
          <w:rFonts w:hint="eastAsia"/>
          <w:color w:val="auto"/>
          <w:highlight w:val="none"/>
        </w:rPr>
        <w:t>网上限时</w:t>
      </w:r>
      <w:r>
        <w:rPr>
          <w:rFonts w:hint="eastAsia"/>
          <w:color w:val="auto"/>
          <w:highlight w:val="none"/>
          <w:lang w:val="en-US" w:eastAsia="zh-CN"/>
        </w:rPr>
        <w:t>报价</w:t>
      </w:r>
      <w:r>
        <w:rPr>
          <w:rFonts w:hint="eastAsia"/>
          <w:color w:val="auto"/>
          <w:highlight w:val="none"/>
        </w:rPr>
        <w:t>在</w:t>
      </w:r>
      <w:r>
        <w:rPr>
          <w:rFonts w:hint="eastAsia"/>
          <w:color w:val="auto"/>
          <w:highlight w:val="none"/>
          <w:lang w:val="en-US" w:eastAsia="zh-CN"/>
        </w:rPr>
        <w:t>3</w:t>
      </w:r>
      <w:r>
        <w:rPr>
          <w:rFonts w:hint="eastAsia"/>
          <w:color w:val="auto"/>
          <w:highlight w:val="none"/>
        </w:rPr>
        <w:t>分钟倒计时延续到最后1分钟，系统对当前最低有效报价进行三次提示，每次提示延时20秒。最后一次提示延时完成，限时</w:t>
      </w:r>
      <w:r>
        <w:rPr>
          <w:rFonts w:hint="eastAsia"/>
          <w:color w:val="auto"/>
          <w:highlight w:val="none"/>
          <w:lang w:val="en-US" w:eastAsia="zh-CN"/>
        </w:rPr>
        <w:t>报价</w:t>
      </w:r>
      <w:r>
        <w:rPr>
          <w:rFonts w:hint="eastAsia"/>
          <w:color w:val="auto"/>
          <w:highlight w:val="none"/>
        </w:rPr>
        <w:t>结束，系统按规定确认成交结果。</w:t>
      </w:r>
    </w:p>
    <w:p w14:paraId="213B0100">
      <w:pPr>
        <w:pStyle w:val="45"/>
        <w:numPr>
          <w:ilvl w:val="0"/>
          <w:numId w:val="32"/>
        </w:numPr>
        <w:spacing w:before="156"/>
        <w:ind w:firstLineChars="0"/>
        <w:outlineLvl w:val="9"/>
        <w:rPr>
          <w:color w:val="auto"/>
          <w:highlight w:val="none"/>
        </w:rPr>
      </w:pPr>
      <w:r>
        <w:rPr>
          <w:rFonts w:hint="eastAsia"/>
          <w:color w:val="auto"/>
          <w:highlight w:val="none"/>
        </w:rPr>
        <w:t>成交结果报告</w:t>
      </w:r>
    </w:p>
    <w:p w14:paraId="1B977D6E">
      <w:pPr>
        <w:pStyle w:val="45"/>
        <w:numPr>
          <w:ilvl w:val="0"/>
          <w:numId w:val="33"/>
        </w:numPr>
        <w:spacing w:before="156"/>
        <w:ind w:firstLine="480"/>
        <w:rPr>
          <w:color w:val="auto"/>
          <w:highlight w:val="none"/>
        </w:rPr>
      </w:pPr>
      <w:r>
        <w:rPr>
          <w:rFonts w:hint="eastAsia"/>
          <w:color w:val="auto"/>
          <w:highlight w:val="none"/>
        </w:rPr>
        <w:t>网上自由</w:t>
      </w:r>
      <w:r>
        <w:rPr>
          <w:rFonts w:hint="eastAsia"/>
          <w:color w:val="auto"/>
          <w:highlight w:val="none"/>
          <w:lang w:val="en-US" w:eastAsia="zh-CN"/>
        </w:rPr>
        <w:t>报价</w:t>
      </w:r>
      <w:r>
        <w:rPr>
          <w:rFonts w:hint="eastAsia"/>
          <w:color w:val="auto"/>
          <w:highlight w:val="none"/>
        </w:rPr>
        <w:t>有人报价，限时</w:t>
      </w:r>
      <w:r>
        <w:rPr>
          <w:rFonts w:hint="eastAsia"/>
          <w:color w:val="auto"/>
          <w:highlight w:val="none"/>
          <w:lang w:val="en-US" w:eastAsia="zh-CN"/>
        </w:rPr>
        <w:t>报价</w:t>
      </w:r>
      <w:r>
        <w:rPr>
          <w:rFonts w:hint="eastAsia"/>
          <w:color w:val="auto"/>
          <w:highlight w:val="none"/>
        </w:rPr>
        <w:t>无人报价时的成交结果报告</w:t>
      </w:r>
    </w:p>
    <w:p w14:paraId="2CE76849">
      <w:pPr>
        <w:pStyle w:val="45"/>
        <w:spacing w:before="156"/>
        <w:ind w:firstLine="480"/>
        <w:rPr>
          <w:color w:val="auto"/>
          <w:highlight w:val="none"/>
        </w:rPr>
      </w:pPr>
      <w:r>
        <w:rPr>
          <w:rFonts w:hint="eastAsia"/>
          <w:color w:val="auto"/>
          <w:highlight w:val="none"/>
        </w:rPr>
        <w:t>网上自由</w:t>
      </w:r>
      <w:r>
        <w:rPr>
          <w:rFonts w:hint="eastAsia"/>
          <w:color w:val="auto"/>
          <w:highlight w:val="none"/>
          <w:lang w:val="en-US" w:eastAsia="zh-CN"/>
        </w:rPr>
        <w:t>报价</w:t>
      </w:r>
      <w:r>
        <w:rPr>
          <w:rFonts w:hint="eastAsia"/>
          <w:color w:val="auto"/>
          <w:highlight w:val="none"/>
        </w:rPr>
        <w:t>有</w:t>
      </w:r>
      <w:r>
        <w:rPr>
          <w:rStyle w:val="38"/>
          <w:rFonts w:hint="eastAsia" w:ascii="宋体" w:hAnsi="宋体" w:cs="宋体"/>
          <w:bCs/>
          <w:color w:val="auto"/>
          <w:szCs w:val="24"/>
          <w:highlight w:val="none"/>
          <w:shd w:val="clear" w:color="auto" w:fill="FFFFFF"/>
          <w:lang w:val="en-US" w:eastAsia="zh-CN"/>
        </w:rPr>
        <w:t>三</w:t>
      </w:r>
      <w:r>
        <w:rPr>
          <w:rStyle w:val="38"/>
          <w:rFonts w:hint="eastAsia" w:ascii="宋体" w:hAnsi="宋体" w:cs="宋体"/>
          <w:bCs/>
          <w:color w:val="auto"/>
          <w:szCs w:val="24"/>
          <w:highlight w:val="none"/>
          <w:shd w:val="clear" w:color="auto" w:fill="FFFFFF"/>
        </w:rPr>
        <w:t>个或</w:t>
      </w:r>
      <w:r>
        <w:rPr>
          <w:rStyle w:val="38"/>
          <w:rFonts w:hint="eastAsia" w:ascii="宋体" w:hAnsi="宋体" w:cs="宋体"/>
          <w:bCs/>
          <w:color w:val="auto"/>
          <w:szCs w:val="24"/>
          <w:highlight w:val="none"/>
          <w:shd w:val="clear" w:color="auto" w:fill="FFFFFF"/>
          <w:lang w:val="en-US" w:eastAsia="zh-CN"/>
        </w:rPr>
        <w:t>三</w:t>
      </w:r>
      <w:r>
        <w:rPr>
          <w:rStyle w:val="38"/>
          <w:rFonts w:hint="eastAsia" w:ascii="宋体" w:hAnsi="宋体" w:cs="宋体"/>
          <w:bCs/>
          <w:color w:val="auto"/>
          <w:szCs w:val="24"/>
          <w:highlight w:val="none"/>
          <w:shd w:val="clear" w:color="auto" w:fill="FFFFFF"/>
        </w:rPr>
        <w:t>个以上</w:t>
      </w:r>
      <w:r>
        <w:rPr>
          <w:rFonts w:hint="eastAsia"/>
          <w:color w:val="auto"/>
          <w:highlight w:val="none"/>
          <w:lang w:eastAsia="zh-CN"/>
        </w:rPr>
        <w:t>供应商</w:t>
      </w:r>
      <w:r>
        <w:rPr>
          <w:rFonts w:hint="eastAsia"/>
          <w:color w:val="auto"/>
          <w:highlight w:val="none"/>
        </w:rPr>
        <w:t>有效报价，但无人进入限时</w:t>
      </w:r>
      <w:r>
        <w:rPr>
          <w:rFonts w:hint="eastAsia"/>
          <w:color w:val="auto"/>
          <w:highlight w:val="none"/>
          <w:lang w:val="en-US" w:eastAsia="zh-CN"/>
        </w:rPr>
        <w:t>报价</w:t>
      </w:r>
      <w:r>
        <w:rPr>
          <w:rFonts w:hint="eastAsia"/>
          <w:color w:val="auto"/>
          <w:highlight w:val="none"/>
        </w:rPr>
        <w:t>时，系统将最低有效报价与保留价（底价）进行比较，按下列规定确定网上</w:t>
      </w:r>
      <w:r>
        <w:rPr>
          <w:rFonts w:hint="eastAsia"/>
          <w:color w:val="auto"/>
          <w:highlight w:val="none"/>
          <w:lang w:val="en-US" w:eastAsia="zh-CN"/>
        </w:rPr>
        <w:t>报价</w:t>
      </w:r>
      <w:r>
        <w:rPr>
          <w:rFonts w:hint="eastAsia"/>
          <w:color w:val="auto"/>
          <w:highlight w:val="none"/>
        </w:rPr>
        <w:t>结果：</w:t>
      </w:r>
    </w:p>
    <w:p w14:paraId="0ECFF622">
      <w:pPr>
        <w:pStyle w:val="45"/>
        <w:spacing w:before="156"/>
        <w:ind w:firstLine="480"/>
        <w:rPr>
          <w:color w:val="auto"/>
          <w:highlight w:val="none"/>
        </w:rPr>
      </w:pPr>
      <w:r>
        <w:rPr>
          <w:rFonts w:hint="eastAsia"/>
          <w:color w:val="auto"/>
          <w:highlight w:val="none"/>
        </w:rPr>
        <w:t>最低有效报价不高于保留价（底价）的，应在</w:t>
      </w:r>
      <w:r>
        <w:rPr>
          <w:rFonts w:hint="eastAsia"/>
          <w:color w:val="auto"/>
          <w:highlight w:val="none"/>
          <w:lang w:val="en-US" w:eastAsia="zh-CN"/>
        </w:rPr>
        <w:t>报价</w:t>
      </w:r>
      <w:r>
        <w:rPr>
          <w:rFonts w:hint="eastAsia"/>
          <w:color w:val="auto"/>
          <w:highlight w:val="none"/>
        </w:rPr>
        <w:t>结束后，确定最低报价者为本项目的第一</w:t>
      </w:r>
      <w:r>
        <w:rPr>
          <w:rFonts w:hint="eastAsia"/>
          <w:color w:val="auto"/>
          <w:highlight w:val="none"/>
          <w:lang w:val="en-US" w:eastAsia="zh-CN"/>
        </w:rPr>
        <w:t>成交</w:t>
      </w:r>
      <w:r>
        <w:rPr>
          <w:rFonts w:hint="eastAsia"/>
          <w:color w:val="auto"/>
          <w:highlight w:val="none"/>
        </w:rPr>
        <w:t>候选人，由</w:t>
      </w:r>
      <w:r>
        <w:rPr>
          <w:rFonts w:hint="eastAsia"/>
          <w:color w:val="auto"/>
          <w:highlight w:val="none"/>
          <w:lang w:eastAsia="zh-CN"/>
        </w:rPr>
        <w:t>采购代理机构</w:t>
      </w:r>
      <w:r>
        <w:rPr>
          <w:rFonts w:hint="eastAsia"/>
          <w:color w:val="auto"/>
          <w:highlight w:val="none"/>
        </w:rPr>
        <w:t>向</w:t>
      </w:r>
      <w:r>
        <w:rPr>
          <w:rFonts w:hint="eastAsia"/>
          <w:color w:val="auto"/>
          <w:highlight w:val="none"/>
          <w:lang w:eastAsia="zh-CN"/>
        </w:rPr>
        <w:t>采购人</w:t>
      </w:r>
      <w:r>
        <w:rPr>
          <w:rFonts w:hint="eastAsia"/>
          <w:color w:val="auto"/>
          <w:highlight w:val="none"/>
        </w:rPr>
        <w:t>发出</w:t>
      </w:r>
      <w:r>
        <w:rPr>
          <w:rFonts w:hint="eastAsia"/>
          <w:color w:val="auto"/>
          <w:highlight w:val="none"/>
          <w:lang w:val="en-US" w:eastAsia="zh-CN"/>
        </w:rPr>
        <w:t>评审</w:t>
      </w:r>
      <w:r>
        <w:rPr>
          <w:rFonts w:hint="eastAsia"/>
          <w:color w:val="auto"/>
          <w:highlight w:val="none"/>
        </w:rPr>
        <w:t>报告；不符合的，不予发出</w:t>
      </w:r>
      <w:r>
        <w:rPr>
          <w:rFonts w:hint="eastAsia"/>
          <w:color w:val="auto"/>
          <w:highlight w:val="none"/>
          <w:lang w:val="en-US" w:eastAsia="zh-CN"/>
        </w:rPr>
        <w:t>评审</w:t>
      </w:r>
      <w:r>
        <w:rPr>
          <w:rFonts w:hint="eastAsia"/>
          <w:color w:val="auto"/>
          <w:highlight w:val="none"/>
        </w:rPr>
        <w:t>报告。</w:t>
      </w:r>
    </w:p>
    <w:p w14:paraId="1DC1513B">
      <w:pPr>
        <w:pStyle w:val="45"/>
        <w:spacing w:before="156"/>
        <w:ind w:left="480" w:leftChars="200" w:firstLine="0" w:firstLineChars="0"/>
        <w:rPr>
          <w:color w:val="auto"/>
          <w:highlight w:val="none"/>
        </w:rPr>
      </w:pPr>
      <w:r>
        <w:rPr>
          <w:rFonts w:hint="eastAsia"/>
          <w:color w:val="auto"/>
          <w:highlight w:val="none"/>
        </w:rPr>
        <w:t>最低有效报价高于保留价（底价）的，系统显示网上</w:t>
      </w:r>
      <w:r>
        <w:rPr>
          <w:rFonts w:hint="eastAsia"/>
          <w:color w:val="auto"/>
          <w:highlight w:val="none"/>
          <w:lang w:val="en-US" w:eastAsia="zh-CN"/>
        </w:rPr>
        <w:t>报价</w:t>
      </w:r>
      <w:r>
        <w:rPr>
          <w:rFonts w:hint="eastAsia"/>
          <w:color w:val="auto"/>
          <w:highlight w:val="none"/>
        </w:rPr>
        <w:t>不成交。</w:t>
      </w:r>
    </w:p>
    <w:p w14:paraId="6842AA0E">
      <w:pPr>
        <w:pStyle w:val="45"/>
        <w:numPr>
          <w:ilvl w:val="0"/>
          <w:numId w:val="33"/>
        </w:numPr>
        <w:spacing w:before="156"/>
        <w:ind w:firstLine="480"/>
        <w:rPr>
          <w:color w:val="auto"/>
          <w:highlight w:val="none"/>
        </w:rPr>
      </w:pPr>
      <w:r>
        <w:rPr>
          <w:rFonts w:hint="eastAsia"/>
          <w:color w:val="auto"/>
          <w:highlight w:val="none"/>
        </w:rPr>
        <w:t>网上限时</w:t>
      </w:r>
      <w:r>
        <w:rPr>
          <w:rFonts w:hint="eastAsia"/>
          <w:color w:val="auto"/>
          <w:highlight w:val="none"/>
          <w:lang w:val="en-US" w:eastAsia="zh-CN"/>
        </w:rPr>
        <w:t>报价</w:t>
      </w:r>
      <w:r>
        <w:rPr>
          <w:rFonts w:hint="eastAsia"/>
          <w:color w:val="auto"/>
          <w:highlight w:val="none"/>
        </w:rPr>
        <w:t>中有人报价时的成交结果报告</w:t>
      </w:r>
    </w:p>
    <w:p w14:paraId="031D764B">
      <w:pPr>
        <w:pStyle w:val="45"/>
        <w:spacing w:before="156"/>
        <w:ind w:firstLine="480"/>
        <w:rPr>
          <w:color w:val="auto"/>
          <w:highlight w:val="none"/>
        </w:rPr>
      </w:pPr>
      <w:r>
        <w:rPr>
          <w:rFonts w:hint="eastAsia"/>
          <w:color w:val="auto"/>
          <w:highlight w:val="none"/>
        </w:rPr>
        <w:t>任何一次完整的</w:t>
      </w:r>
      <w:r>
        <w:rPr>
          <w:rFonts w:hint="eastAsia"/>
          <w:color w:val="auto"/>
          <w:highlight w:val="none"/>
          <w:lang w:val="en-US" w:eastAsia="zh-CN"/>
        </w:rPr>
        <w:t>3</w:t>
      </w:r>
      <w:r>
        <w:rPr>
          <w:rFonts w:hint="eastAsia"/>
          <w:color w:val="auto"/>
          <w:highlight w:val="none"/>
        </w:rPr>
        <w:t>分钟倒计时截止时，系统会自动关闭限时</w:t>
      </w:r>
      <w:r>
        <w:rPr>
          <w:rFonts w:hint="eastAsia"/>
          <w:color w:val="auto"/>
          <w:highlight w:val="none"/>
          <w:lang w:val="en-US" w:eastAsia="zh-CN"/>
        </w:rPr>
        <w:t>报价</w:t>
      </w:r>
      <w:r>
        <w:rPr>
          <w:rFonts w:hint="eastAsia"/>
          <w:color w:val="auto"/>
          <w:highlight w:val="none"/>
        </w:rPr>
        <w:t>中的报价通道，确认当前系统接受的最低有效报价为最终报价，系统将最低有效报价与保留价（底价）进行比较，按下列规定确定网上</w:t>
      </w:r>
      <w:r>
        <w:rPr>
          <w:rFonts w:hint="eastAsia"/>
          <w:color w:val="auto"/>
          <w:highlight w:val="none"/>
          <w:lang w:val="en-US" w:eastAsia="zh-CN"/>
        </w:rPr>
        <w:t>报价</w:t>
      </w:r>
      <w:r>
        <w:rPr>
          <w:rFonts w:hint="eastAsia"/>
          <w:color w:val="auto"/>
          <w:highlight w:val="none"/>
        </w:rPr>
        <w:t>结果报告：</w:t>
      </w:r>
    </w:p>
    <w:p w14:paraId="15573EFE">
      <w:pPr>
        <w:pStyle w:val="45"/>
        <w:spacing w:before="156"/>
        <w:ind w:firstLine="480"/>
        <w:rPr>
          <w:color w:val="auto"/>
          <w:highlight w:val="none"/>
        </w:rPr>
      </w:pPr>
      <w:r>
        <w:rPr>
          <w:rFonts w:hint="eastAsia"/>
          <w:color w:val="auto"/>
          <w:highlight w:val="none"/>
        </w:rPr>
        <w:t>最低有效报价不高于保留价（底价）的，在</w:t>
      </w:r>
      <w:r>
        <w:rPr>
          <w:rFonts w:hint="eastAsia"/>
          <w:color w:val="auto"/>
          <w:highlight w:val="none"/>
          <w:lang w:val="en-US" w:eastAsia="zh-CN"/>
        </w:rPr>
        <w:t>谈判</w:t>
      </w:r>
      <w:r>
        <w:rPr>
          <w:rFonts w:hint="eastAsia"/>
          <w:color w:val="auto"/>
          <w:highlight w:val="none"/>
        </w:rPr>
        <w:t>结束后，确定最低报价者为本项目的第一</w:t>
      </w:r>
      <w:r>
        <w:rPr>
          <w:rFonts w:hint="eastAsia"/>
          <w:color w:val="auto"/>
          <w:highlight w:val="none"/>
          <w:lang w:val="en-US" w:eastAsia="zh-CN"/>
        </w:rPr>
        <w:t>成交</w:t>
      </w:r>
      <w:r>
        <w:rPr>
          <w:rFonts w:hint="eastAsia"/>
          <w:color w:val="auto"/>
          <w:highlight w:val="none"/>
        </w:rPr>
        <w:t>候选人，由</w:t>
      </w:r>
      <w:r>
        <w:rPr>
          <w:rFonts w:hint="eastAsia"/>
          <w:color w:val="auto"/>
          <w:highlight w:val="none"/>
          <w:lang w:eastAsia="zh-CN"/>
        </w:rPr>
        <w:t>采购代理机构</w:t>
      </w:r>
      <w:r>
        <w:rPr>
          <w:rFonts w:hint="eastAsia"/>
          <w:color w:val="auto"/>
          <w:highlight w:val="none"/>
        </w:rPr>
        <w:t>向</w:t>
      </w:r>
      <w:r>
        <w:rPr>
          <w:rFonts w:hint="eastAsia"/>
          <w:color w:val="auto"/>
          <w:highlight w:val="none"/>
          <w:lang w:eastAsia="zh-CN"/>
        </w:rPr>
        <w:t>采购人</w:t>
      </w:r>
      <w:r>
        <w:rPr>
          <w:rFonts w:hint="eastAsia"/>
          <w:color w:val="auto"/>
          <w:highlight w:val="none"/>
        </w:rPr>
        <w:t>发出</w:t>
      </w:r>
      <w:r>
        <w:rPr>
          <w:rFonts w:hint="eastAsia"/>
          <w:color w:val="auto"/>
          <w:highlight w:val="none"/>
          <w:lang w:val="en-US" w:eastAsia="zh-CN"/>
        </w:rPr>
        <w:t>评审</w:t>
      </w:r>
      <w:r>
        <w:rPr>
          <w:rFonts w:hint="eastAsia"/>
          <w:color w:val="auto"/>
          <w:highlight w:val="none"/>
        </w:rPr>
        <w:t>报告；不符合的，不予发出</w:t>
      </w:r>
      <w:r>
        <w:rPr>
          <w:rFonts w:hint="eastAsia"/>
          <w:color w:val="auto"/>
          <w:highlight w:val="none"/>
          <w:lang w:val="en-US" w:eastAsia="zh-CN"/>
        </w:rPr>
        <w:t>评审</w:t>
      </w:r>
      <w:r>
        <w:rPr>
          <w:rFonts w:hint="eastAsia"/>
          <w:color w:val="auto"/>
          <w:highlight w:val="none"/>
        </w:rPr>
        <w:t>报告。</w:t>
      </w:r>
    </w:p>
    <w:p w14:paraId="54068B3E">
      <w:pPr>
        <w:pStyle w:val="45"/>
        <w:spacing w:before="156"/>
        <w:ind w:left="480" w:leftChars="200" w:firstLine="0" w:firstLineChars="0"/>
        <w:rPr>
          <w:color w:val="auto"/>
          <w:highlight w:val="none"/>
        </w:rPr>
      </w:pPr>
      <w:r>
        <w:rPr>
          <w:rFonts w:hint="eastAsia"/>
          <w:color w:val="auto"/>
          <w:highlight w:val="none"/>
        </w:rPr>
        <w:t>最低有效报价高于保留价的，系统显示网上</w:t>
      </w:r>
      <w:r>
        <w:rPr>
          <w:rFonts w:hint="eastAsia"/>
          <w:color w:val="auto"/>
          <w:highlight w:val="none"/>
          <w:lang w:val="en-US" w:eastAsia="zh-CN"/>
        </w:rPr>
        <w:t>报价</w:t>
      </w:r>
      <w:r>
        <w:rPr>
          <w:rFonts w:hint="eastAsia"/>
          <w:color w:val="auto"/>
          <w:highlight w:val="none"/>
        </w:rPr>
        <w:t>不成交。</w:t>
      </w:r>
    </w:p>
    <w:p w14:paraId="66392670">
      <w:pPr>
        <w:pStyle w:val="45"/>
        <w:numPr>
          <w:ilvl w:val="0"/>
          <w:numId w:val="33"/>
        </w:numPr>
        <w:spacing w:before="156"/>
        <w:ind w:firstLine="480"/>
        <w:rPr>
          <w:color w:val="auto"/>
          <w:highlight w:val="none"/>
        </w:rPr>
      </w:pPr>
      <w:r>
        <w:rPr>
          <w:rFonts w:hint="eastAsia"/>
          <w:color w:val="auto"/>
          <w:highlight w:val="none"/>
        </w:rPr>
        <w:t>网上限时</w:t>
      </w:r>
      <w:r>
        <w:rPr>
          <w:rFonts w:hint="eastAsia"/>
          <w:color w:val="auto"/>
          <w:highlight w:val="none"/>
          <w:lang w:val="en-US" w:eastAsia="zh-CN"/>
        </w:rPr>
        <w:t>报价</w:t>
      </w:r>
      <w:r>
        <w:rPr>
          <w:rFonts w:hint="eastAsia"/>
          <w:color w:val="auto"/>
          <w:highlight w:val="none"/>
        </w:rPr>
        <w:t>中无人报价时的</w:t>
      </w:r>
      <w:r>
        <w:rPr>
          <w:rFonts w:hint="eastAsia"/>
          <w:color w:val="auto"/>
          <w:highlight w:val="none"/>
          <w:lang w:val="en-US" w:eastAsia="zh-CN"/>
        </w:rPr>
        <w:t>报价</w:t>
      </w:r>
      <w:r>
        <w:rPr>
          <w:rFonts w:hint="eastAsia"/>
          <w:color w:val="auto"/>
          <w:highlight w:val="none"/>
        </w:rPr>
        <w:t>结果报告</w:t>
      </w:r>
    </w:p>
    <w:p w14:paraId="001AD5E5">
      <w:pPr>
        <w:pStyle w:val="45"/>
        <w:spacing w:before="156"/>
        <w:ind w:left="0" w:leftChars="0" w:firstLine="480" w:firstLineChars="200"/>
        <w:rPr>
          <w:color w:val="auto"/>
          <w:highlight w:val="none"/>
        </w:rPr>
      </w:pPr>
      <w:r>
        <w:rPr>
          <w:rFonts w:hint="eastAsia"/>
          <w:color w:val="auto"/>
          <w:highlight w:val="none"/>
        </w:rPr>
        <w:t>网上自由</w:t>
      </w:r>
      <w:r>
        <w:rPr>
          <w:rFonts w:hint="eastAsia"/>
          <w:color w:val="auto"/>
          <w:highlight w:val="none"/>
          <w:lang w:val="en-US" w:eastAsia="zh-CN"/>
        </w:rPr>
        <w:t>报价</w:t>
      </w:r>
      <w:r>
        <w:rPr>
          <w:rFonts w:hint="eastAsia"/>
          <w:color w:val="auto"/>
          <w:highlight w:val="none"/>
        </w:rPr>
        <w:t>中最先报得的最低有效报价且不高于保留价（底价）的，系统显示成交。</w:t>
      </w:r>
    </w:p>
    <w:p w14:paraId="526BE275">
      <w:pPr>
        <w:pStyle w:val="45"/>
        <w:spacing w:before="156"/>
        <w:ind w:left="480" w:leftChars="200" w:firstLine="0" w:firstLineChars="0"/>
        <w:rPr>
          <w:color w:val="auto"/>
          <w:highlight w:val="none"/>
        </w:rPr>
      </w:pPr>
      <w:r>
        <w:rPr>
          <w:rFonts w:hint="eastAsia"/>
          <w:color w:val="auto"/>
          <w:highlight w:val="none"/>
        </w:rPr>
        <w:t>最低有效报价高于保留价（底价）的，系统显示网上</w:t>
      </w:r>
      <w:r>
        <w:rPr>
          <w:rFonts w:hint="eastAsia"/>
          <w:color w:val="auto"/>
          <w:highlight w:val="none"/>
          <w:lang w:val="en-US" w:eastAsia="zh-CN"/>
        </w:rPr>
        <w:t>报价</w:t>
      </w:r>
      <w:r>
        <w:rPr>
          <w:rFonts w:hint="eastAsia"/>
          <w:color w:val="auto"/>
          <w:highlight w:val="none"/>
        </w:rPr>
        <w:t>不成交。</w:t>
      </w:r>
    </w:p>
    <w:p w14:paraId="766F4C99">
      <w:pPr>
        <w:pStyle w:val="6"/>
        <w:numPr>
          <w:ilvl w:val="0"/>
          <w:numId w:val="8"/>
        </w:numPr>
        <w:ind w:firstLine="480"/>
        <w:outlineLvl w:val="2"/>
        <w:rPr>
          <w:color w:val="auto"/>
          <w:highlight w:val="none"/>
        </w:rPr>
      </w:pPr>
      <w:r>
        <w:rPr>
          <w:rFonts w:hint="eastAsia"/>
          <w:color w:val="auto"/>
          <w:highlight w:val="none"/>
        </w:rPr>
        <w:t>保密要求</w:t>
      </w:r>
    </w:p>
    <w:p w14:paraId="52D9B389">
      <w:pPr>
        <w:pStyle w:val="45"/>
        <w:numPr>
          <w:ilvl w:val="0"/>
          <w:numId w:val="34"/>
        </w:numPr>
        <w:spacing w:before="240"/>
        <w:ind w:left="0" w:leftChars="0" w:firstLine="480" w:firstLineChars="200"/>
        <w:rPr>
          <w:color w:val="auto"/>
          <w:highlight w:val="none"/>
        </w:rPr>
      </w:pPr>
      <w:r>
        <w:rPr>
          <w:rFonts w:hint="eastAsia"/>
          <w:color w:val="auto"/>
          <w:highlight w:val="none"/>
        </w:rPr>
        <w:t>谈判小组成员以及与评审工作有关的人员不得泄露评审情况以及评审过程中获悉的国家秘密、商业秘密。</w:t>
      </w:r>
    </w:p>
    <w:p w14:paraId="1DABB57D">
      <w:pPr>
        <w:pStyle w:val="45"/>
        <w:numPr>
          <w:ilvl w:val="0"/>
          <w:numId w:val="34"/>
        </w:numPr>
        <w:spacing w:before="240"/>
        <w:ind w:left="0" w:leftChars="0" w:firstLine="480" w:firstLineChars="200"/>
        <w:rPr>
          <w:color w:val="auto"/>
          <w:highlight w:val="none"/>
        </w:rPr>
      </w:pPr>
      <w:r>
        <w:rPr>
          <w:rFonts w:hint="eastAsia"/>
          <w:color w:val="auto"/>
          <w:highlight w:val="none"/>
        </w:rPr>
        <w:t>供应商不得与采购人、采购代理机构、其他供应商恶意串通；不得向采购人、采购代理机构或者谈判小组成员行贿或者提供其他不正当利益；不得提供虚假材料谋取成交；不得以任何方式干扰、影响采购工作。</w:t>
      </w:r>
    </w:p>
    <w:p w14:paraId="1598E123">
      <w:pPr>
        <w:pStyle w:val="45"/>
        <w:numPr>
          <w:ilvl w:val="0"/>
          <w:numId w:val="34"/>
        </w:numPr>
        <w:spacing w:before="240"/>
        <w:ind w:left="0" w:leftChars="0" w:firstLine="480" w:firstLineChars="200"/>
        <w:rPr>
          <w:color w:val="auto"/>
          <w:highlight w:val="none"/>
        </w:rPr>
      </w:pPr>
      <w:r>
        <w:rPr>
          <w:rFonts w:hint="eastAsia"/>
          <w:color w:val="auto"/>
          <w:highlight w:val="none"/>
        </w:rPr>
        <w:t>有下列情形之一的，属于恶意串通，成交无效，并依照《政府采购法》第七十七条的规定追究法律责任：</w:t>
      </w:r>
    </w:p>
    <w:p w14:paraId="42D48E4A">
      <w:pPr>
        <w:pStyle w:val="45"/>
        <w:spacing w:before="240"/>
        <w:ind w:firstLine="480"/>
        <w:rPr>
          <w:color w:val="auto"/>
          <w:highlight w:val="none"/>
        </w:rPr>
      </w:pPr>
      <w:r>
        <w:rPr>
          <w:rFonts w:hint="eastAsia"/>
          <w:color w:val="auto"/>
          <w:highlight w:val="none"/>
        </w:rPr>
        <w:t>（1）供应商直接或者间接从采购人、采购代理机构获得其他供应商的响应情况，并修改其响应文件的；</w:t>
      </w:r>
    </w:p>
    <w:p w14:paraId="0AC24ADE">
      <w:pPr>
        <w:pStyle w:val="45"/>
        <w:spacing w:before="240"/>
        <w:ind w:firstLine="480"/>
        <w:outlineLvl w:val="9"/>
        <w:rPr>
          <w:color w:val="auto"/>
          <w:highlight w:val="none"/>
        </w:rPr>
      </w:pPr>
      <w:r>
        <w:rPr>
          <w:rFonts w:hint="eastAsia"/>
          <w:color w:val="auto"/>
          <w:highlight w:val="none"/>
        </w:rPr>
        <w:t>（2）采购人、采购代理机构授意供应商撤换、修改响应文件的；</w:t>
      </w:r>
    </w:p>
    <w:p w14:paraId="626AA6CC">
      <w:pPr>
        <w:pStyle w:val="45"/>
        <w:spacing w:before="240"/>
        <w:ind w:firstLine="480"/>
        <w:rPr>
          <w:color w:val="auto"/>
          <w:highlight w:val="none"/>
        </w:rPr>
      </w:pPr>
      <w:r>
        <w:rPr>
          <w:rFonts w:hint="eastAsia"/>
          <w:color w:val="auto"/>
          <w:highlight w:val="none"/>
        </w:rPr>
        <w:t>（3）供应商之间协商技术方案、合同条款以及报价等响应文件实质性内容的；</w:t>
      </w:r>
    </w:p>
    <w:p w14:paraId="7A136488">
      <w:pPr>
        <w:pStyle w:val="45"/>
        <w:spacing w:before="240"/>
        <w:ind w:firstLine="480"/>
        <w:rPr>
          <w:color w:val="auto"/>
          <w:highlight w:val="none"/>
        </w:rPr>
      </w:pPr>
      <w:r>
        <w:rPr>
          <w:rFonts w:hint="eastAsia"/>
          <w:color w:val="auto"/>
          <w:highlight w:val="none"/>
        </w:rPr>
        <w:t>（4）属于同一集团、协会、商会等组织成员的供应商按照该组织要求协同参加竞争性谈判政府采购活动的；</w:t>
      </w:r>
    </w:p>
    <w:p w14:paraId="3F7B3DC0">
      <w:pPr>
        <w:pStyle w:val="45"/>
        <w:spacing w:before="240"/>
        <w:ind w:firstLine="480"/>
        <w:outlineLvl w:val="9"/>
        <w:rPr>
          <w:color w:val="auto"/>
          <w:highlight w:val="none"/>
        </w:rPr>
      </w:pPr>
      <w:r>
        <w:rPr>
          <w:rFonts w:hint="eastAsia"/>
          <w:color w:val="auto"/>
          <w:highlight w:val="none"/>
        </w:rPr>
        <w:t>（5）供应商之间事先约定由某一特定供应商成交的；</w:t>
      </w:r>
    </w:p>
    <w:p w14:paraId="1A6CC756">
      <w:pPr>
        <w:pStyle w:val="45"/>
        <w:spacing w:before="240"/>
        <w:ind w:firstLine="480"/>
        <w:rPr>
          <w:color w:val="auto"/>
          <w:highlight w:val="none"/>
        </w:rPr>
      </w:pPr>
      <w:r>
        <w:rPr>
          <w:rFonts w:hint="eastAsia"/>
          <w:color w:val="auto"/>
          <w:highlight w:val="none"/>
        </w:rPr>
        <w:t>（6）供应商之间商定部分供应商放弃提交响应文件或者退出谈判或者放弃成交的；</w:t>
      </w:r>
    </w:p>
    <w:p w14:paraId="2E5EC70D">
      <w:pPr>
        <w:pStyle w:val="45"/>
        <w:spacing w:before="240"/>
        <w:ind w:firstLine="480"/>
        <w:rPr>
          <w:color w:val="auto"/>
          <w:highlight w:val="none"/>
        </w:rPr>
      </w:pPr>
      <w:r>
        <w:rPr>
          <w:rFonts w:hint="eastAsia"/>
          <w:color w:val="auto"/>
          <w:highlight w:val="none"/>
        </w:rPr>
        <w:t>（7）供应商与采购人、采购代理机构以及谈判小组成员之间、供应商相互之间，为谋求特定供应商成交或者排斥其他供应商的其他串通行为的。</w:t>
      </w:r>
    </w:p>
    <w:p w14:paraId="2419339A">
      <w:pPr>
        <w:pStyle w:val="45"/>
        <w:spacing w:before="240"/>
        <w:ind w:firstLine="480"/>
        <w:outlineLvl w:val="9"/>
        <w:rPr>
          <w:color w:val="auto"/>
          <w:highlight w:val="none"/>
        </w:rPr>
      </w:pPr>
      <w:r>
        <w:rPr>
          <w:rFonts w:hint="eastAsia"/>
          <w:color w:val="auto"/>
          <w:highlight w:val="none"/>
        </w:rPr>
        <w:t>（8）法律、行政法规或规章规定的其他串通行为。</w:t>
      </w:r>
    </w:p>
    <w:p w14:paraId="62AD5840">
      <w:pPr>
        <w:pStyle w:val="6"/>
        <w:numPr>
          <w:ilvl w:val="0"/>
          <w:numId w:val="8"/>
        </w:numPr>
        <w:ind w:firstLine="480"/>
        <w:outlineLvl w:val="2"/>
        <w:rPr>
          <w:color w:val="auto"/>
          <w:highlight w:val="none"/>
        </w:rPr>
      </w:pPr>
      <w:r>
        <w:rPr>
          <w:rFonts w:hint="eastAsia"/>
          <w:color w:val="auto"/>
          <w:highlight w:val="none"/>
          <w:lang w:val="en-US" w:eastAsia="zh-CN"/>
        </w:rPr>
        <w:t>重新评审</w:t>
      </w:r>
    </w:p>
    <w:p w14:paraId="25B7FEB6">
      <w:pPr>
        <w:pStyle w:val="45"/>
        <w:spacing w:before="240"/>
        <w:ind w:firstLine="480"/>
        <w:rPr>
          <w:color w:val="auto"/>
          <w:highlight w:val="none"/>
        </w:rPr>
      </w:pPr>
      <w:r>
        <w:rPr>
          <w:color w:val="auto"/>
          <w:highlight w:val="none"/>
        </w:rPr>
        <w:t>除资格性审查认定错误和价格计算错误外，采购人、采购代理机构不</w:t>
      </w:r>
      <w:r>
        <w:rPr>
          <w:rFonts w:hint="eastAsia"/>
          <w:color w:val="auto"/>
          <w:highlight w:val="none"/>
          <w:lang w:val="en-US" w:eastAsia="zh-CN"/>
        </w:rPr>
        <w:t>得</w:t>
      </w:r>
      <w:r>
        <w:rPr>
          <w:color w:val="auto"/>
          <w:highlight w:val="none"/>
        </w:rPr>
        <w:t>以任何理由组织重新评审。</w:t>
      </w:r>
    </w:p>
    <w:p w14:paraId="7D05E330">
      <w:pPr>
        <w:pStyle w:val="45"/>
        <w:spacing w:before="240"/>
        <w:ind w:firstLine="480"/>
        <w:rPr>
          <w:color w:val="auto"/>
          <w:highlight w:val="none"/>
        </w:rPr>
      </w:pPr>
      <w:r>
        <w:rPr>
          <w:color w:val="auto"/>
          <w:highlight w:val="none"/>
        </w:rPr>
        <w:t>采购人、采购代理机构发现谈判小组未按照谈判文件规定的评定成交的标准进行评审的，应当重新开展采购活动，并同时书面报告本级财政部门。</w:t>
      </w:r>
    </w:p>
    <w:p w14:paraId="64241FB5">
      <w:pPr>
        <w:pStyle w:val="6"/>
        <w:numPr>
          <w:ilvl w:val="0"/>
          <w:numId w:val="8"/>
        </w:numPr>
        <w:ind w:firstLine="480"/>
        <w:outlineLvl w:val="2"/>
        <w:rPr>
          <w:color w:val="auto"/>
          <w:highlight w:val="none"/>
        </w:rPr>
      </w:pPr>
      <w:r>
        <w:rPr>
          <w:rFonts w:hint="eastAsia"/>
          <w:color w:val="auto"/>
          <w:highlight w:val="none"/>
        </w:rPr>
        <w:t>成交信息公布</w:t>
      </w:r>
    </w:p>
    <w:p w14:paraId="3A292141">
      <w:pPr>
        <w:pStyle w:val="45"/>
        <w:numPr>
          <w:ilvl w:val="0"/>
          <w:numId w:val="35"/>
        </w:numPr>
        <w:spacing w:before="156"/>
        <w:ind w:firstLine="480"/>
        <w:rPr>
          <w:rFonts w:hint="eastAsia"/>
          <w:color w:val="auto"/>
          <w:highlight w:val="none"/>
        </w:rPr>
      </w:pPr>
      <w:r>
        <w:rPr>
          <w:rFonts w:hint="eastAsia"/>
          <w:color w:val="auto"/>
          <w:highlight w:val="none"/>
        </w:rPr>
        <w:t>采用公开招标最低评标价法和竞争性谈判方式的项目，评标委员会、谈判小组应当根据通过资格审核和符合性审查的供应商的报价，按照报价由低到高的顺序推荐3个中标、成交候选人，并编写评审报告。第一中标、成交候选人的报价应当等于或者小于保留价。采购人应当按照评审报告推荐的中标、成交候选人的顺序确定中标、成交供应商。</w:t>
      </w:r>
    </w:p>
    <w:p w14:paraId="320E29A6">
      <w:pPr>
        <w:pStyle w:val="45"/>
        <w:numPr>
          <w:ilvl w:val="0"/>
          <w:numId w:val="35"/>
        </w:numPr>
        <w:spacing w:before="156"/>
        <w:ind w:firstLine="480"/>
        <w:rPr>
          <w:rFonts w:hint="eastAsia"/>
          <w:color w:val="auto"/>
          <w:highlight w:val="none"/>
        </w:rPr>
      </w:pPr>
      <w:r>
        <w:rPr>
          <w:rFonts w:hint="eastAsia"/>
          <w:color w:val="auto"/>
          <w:highlight w:val="none"/>
        </w:rPr>
        <w:t>若第一中标、成交候选人主动放弃或者未按照采购文件要求提交履约保证金或者未按时与采购人签订合同而被取消资格后，第二中标、成交候选人同意按照高于第一中标、成交候选人一个减价幅度的报价的，则第二中标、成交候选人应当确定为中标、成交供应商。</w:t>
      </w:r>
    </w:p>
    <w:p w14:paraId="4B9F8FFC">
      <w:pPr>
        <w:pStyle w:val="45"/>
        <w:numPr>
          <w:ilvl w:val="0"/>
          <w:numId w:val="35"/>
        </w:numPr>
        <w:spacing w:before="156"/>
        <w:ind w:firstLine="480"/>
        <w:rPr>
          <w:rFonts w:hint="eastAsia"/>
          <w:color w:val="auto"/>
          <w:highlight w:val="none"/>
        </w:rPr>
      </w:pPr>
      <w:r>
        <w:rPr>
          <w:rFonts w:hint="eastAsia"/>
          <w:color w:val="auto"/>
          <w:highlight w:val="none"/>
        </w:rPr>
        <w:t>若第二中标、成交候选人不接受此成交条件，第三中标、成交候选人同意按照高于第一中标、成交候选人一个减价幅度的报价的，则第三中标、成交候选人应当确定为中标、成交供应商。</w:t>
      </w:r>
    </w:p>
    <w:p w14:paraId="3A6DFE79">
      <w:pPr>
        <w:pStyle w:val="45"/>
        <w:numPr>
          <w:ilvl w:val="0"/>
          <w:numId w:val="35"/>
        </w:numPr>
        <w:spacing w:before="156"/>
        <w:ind w:firstLine="480"/>
        <w:rPr>
          <w:color w:val="auto"/>
          <w:highlight w:val="none"/>
        </w:rPr>
      </w:pPr>
      <w:r>
        <w:rPr>
          <w:rFonts w:hint="eastAsia"/>
          <w:color w:val="auto"/>
          <w:highlight w:val="none"/>
        </w:rPr>
        <w:t>若3个中标、成交候选人均不接受此成交条件，采购人应当重新组织采购活动。</w:t>
      </w:r>
    </w:p>
    <w:p w14:paraId="11F77BED">
      <w:pPr>
        <w:pStyle w:val="45"/>
        <w:numPr>
          <w:ilvl w:val="0"/>
          <w:numId w:val="35"/>
        </w:numPr>
        <w:spacing w:before="156"/>
        <w:ind w:firstLine="480"/>
        <w:rPr>
          <w:color w:val="auto"/>
          <w:highlight w:val="none"/>
        </w:rPr>
      </w:pPr>
      <w:r>
        <w:rPr>
          <w:rFonts w:hint="eastAsia"/>
          <w:color w:val="auto"/>
          <w:highlight w:val="none"/>
        </w:rPr>
        <w:t>成交公告内容应当包括</w:t>
      </w:r>
      <w:r>
        <w:rPr>
          <w:rFonts w:hint="eastAsia"/>
          <w:color w:val="auto"/>
          <w:highlight w:val="none"/>
          <w:lang w:eastAsia="zh-CN"/>
        </w:rPr>
        <w:t>采购人</w:t>
      </w:r>
      <w:r>
        <w:rPr>
          <w:rFonts w:hint="eastAsia"/>
          <w:color w:val="auto"/>
          <w:highlight w:val="none"/>
        </w:rPr>
        <w:t>及</w:t>
      </w:r>
      <w:r>
        <w:rPr>
          <w:rFonts w:hint="eastAsia"/>
          <w:color w:val="auto"/>
          <w:highlight w:val="none"/>
          <w:lang w:eastAsia="zh-CN"/>
        </w:rPr>
        <w:t>采购代理机构</w:t>
      </w:r>
      <w:r>
        <w:rPr>
          <w:rFonts w:hint="eastAsia"/>
          <w:color w:val="auto"/>
          <w:highlight w:val="none"/>
        </w:rPr>
        <w:t>的名称、地址、联系方式、项目名称和</w:t>
      </w:r>
      <w:r>
        <w:rPr>
          <w:rFonts w:hint="eastAsia"/>
          <w:color w:val="auto"/>
          <w:highlight w:val="none"/>
          <w:lang w:eastAsia="zh-CN"/>
        </w:rPr>
        <w:t>采购计划编号</w:t>
      </w:r>
      <w:r>
        <w:rPr>
          <w:rFonts w:hint="eastAsia"/>
          <w:color w:val="auto"/>
          <w:highlight w:val="none"/>
        </w:rPr>
        <w:t>，</w:t>
      </w:r>
      <w:r>
        <w:rPr>
          <w:rFonts w:hint="eastAsia"/>
          <w:color w:val="auto"/>
          <w:highlight w:val="none"/>
          <w:lang w:eastAsia="zh-CN"/>
        </w:rPr>
        <w:t>成交供应商</w:t>
      </w:r>
      <w:r>
        <w:rPr>
          <w:rFonts w:hint="eastAsia"/>
          <w:color w:val="auto"/>
          <w:highlight w:val="none"/>
        </w:rPr>
        <w:t>及其他候选人、地址和成交金额，评审情况及资格审查和符合性审查情况，成交结果公告期限、评审专家名单以及</w:t>
      </w:r>
      <w:r>
        <w:rPr>
          <w:rFonts w:hint="eastAsia"/>
          <w:color w:val="auto"/>
          <w:highlight w:val="none"/>
          <w:lang w:val="en-US" w:eastAsia="zh-CN"/>
        </w:rPr>
        <w:t>谈判</w:t>
      </w:r>
      <w:r>
        <w:rPr>
          <w:rFonts w:hint="eastAsia"/>
          <w:color w:val="auto"/>
          <w:highlight w:val="none"/>
        </w:rPr>
        <w:t>文件约定内容进行公告的内容。</w:t>
      </w:r>
    </w:p>
    <w:p w14:paraId="671BED58">
      <w:pPr>
        <w:pStyle w:val="6"/>
        <w:numPr>
          <w:ilvl w:val="0"/>
          <w:numId w:val="8"/>
        </w:numPr>
        <w:ind w:firstLine="480"/>
        <w:outlineLvl w:val="2"/>
        <w:rPr>
          <w:color w:val="auto"/>
          <w:highlight w:val="none"/>
        </w:rPr>
      </w:pPr>
      <w:r>
        <w:rPr>
          <w:rFonts w:hint="eastAsia"/>
          <w:color w:val="auto"/>
          <w:highlight w:val="none"/>
        </w:rPr>
        <w:t>成交通知</w:t>
      </w:r>
    </w:p>
    <w:p w14:paraId="08DBEF5A">
      <w:pPr>
        <w:pStyle w:val="45"/>
        <w:numPr>
          <w:ilvl w:val="0"/>
          <w:numId w:val="36"/>
        </w:numPr>
        <w:spacing w:before="156"/>
        <w:ind w:firstLine="480"/>
        <w:rPr>
          <w:color w:val="auto"/>
          <w:highlight w:val="none"/>
        </w:rPr>
      </w:pPr>
      <w:r>
        <w:rPr>
          <w:rFonts w:hint="eastAsia"/>
          <w:color w:val="auto"/>
          <w:highlight w:val="none"/>
        </w:rPr>
        <w:t>成交供应商确定后，采购人、采购代理机构将以书面形式向成交供应商发出成交通知书。成交通知书对采购人和成交供应商具有同等法律效力。</w:t>
      </w:r>
    </w:p>
    <w:p w14:paraId="4F56E1F8">
      <w:pPr>
        <w:pStyle w:val="45"/>
        <w:numPr>
          <w:ilvl w:val="0"/>
          <w:numId w:val="36"/>
        </w:numPr>
        <w:spacing w:before="156"/>
        <w:ind w:firstLine="480"/>
        <w:outlineLvl w:val="9"/>
        <w:rPr>
          <w:color w:val="auto"/>
          <w:highlight w:val="none"/>
        </w:rPr>
      </w:pPr>
      <w:r>
        <w:rPr>
          <w:rFonts w:hint="eastAsia"/>
          <w:color w:val="auto"/>
          <w:highlight w:val="none"/>
        </w:rPr>
        <w:t>成交通知书是合同文件的组成部分。</w:t>
      </w:r>
    </w:p>
    <w:p w14:paraId="3108DCFD">
      <w:pPr>
        <w:pStyle w:val="6"/>
        <w:numPr>
          <w:ilvl w:val="0"/>
          <w:numId w:val="8"/>
        </w:numPr>
        <w:ind w:firstLine="480"/>
        <w:outlineLvl w:val="2"/>
        <w:rPr>
          <w:color w:val="auto"/>
          <w:highlight w:val="none"/>
        </w:rPr>
      </w:pPr>
      <w:r>
        <w:rPr>
          <w:rFonts w:hint="eastAsia"/>
          <w:color w:val="auto"/>
          <w:highlight w:val="none"/>
          <w:lang w:eastAsia="zh-CN"/>
        </w:rPr>
        <w:t>履约保证金</w:t>
      </w:r>
    </w:p>
    <w:p w14:paraId="700138B2">
      <w:pPr>
        <w:pStyle w:val="45"/>
        <w:numPr>
          <w:ilvl w:val="0"/>
          <w:numId w:val="37"/>
        </w:numPr>
        <w:spacing w:before="156"/>
        <w:ind w:firstLine="480"/>
        <w:outlineLvl w:val="9"/>
        <w:rPr>
          <w:color w:val="auto"/>
          <w:highlight w:val="none"/>
        </w:rPr>
      </w:pPr>
      <w:r>
        <w:rPr>
          <w:rFonts w:hint="eastAsia"/>
          <w:color w:val="auto"/>
          <w:highlight w:val="none"/>
          <w:lang w:eastAsia="zh-CN"/>
        </w:rPr>
        <w:t>成交供应商</w:t>
      </w:r>
      <w:r>
        <w:rPr>
          <w:rFonts w:hint="eastAsia"/>
          <w:color w:val="auto"/>
          <w:highlight w:val="none"/>
        </w:rPr>
        <w:t>应按照</w:t>
      </w:r>
      <w:r>
        <w:rPr>
          <w:rFonts w:hint="eastAsia"/>
          <w:b/>
          <w:bCs/>
          <w:color w:val="auto"/>
          <w:highlight w:val="none"/>
        </w:rPr>
        <w:t>【</w:t>
      </w:r>
      <w:r>
        <w:rPr>
          <w:rFonts w:hint="eastAsia"/>
          <w:b/>
          <w:bCs/>
          <w:color w:val="auto"/>
          <w:highlight w:val="none"/>
          <w:lang w:eastAsia="zh-CN"/>
        </w:rPr>
        <w:t>供应商</w:t>
      </w:r>
      <w:r>
        <w:rPr>
          <w:rFonts w:hint="eastAsia"/>
          <w:b/>
          <w:bCs/>
          <w:color w:val="auto"/>
          <w:highlight w:val="none"/>
        </w:rPr>
        <w:t>须知前附表】</w:t>
      </w:r>
      <w:r>
        <w:rPr>
          <w:rFonts w:hint="eastAsia"/>
          <w:color w:val="auto"/>
          <w:highlight w:val="none"/>
        </w:rPr>
        <w:t>规定缴纳</w:t>
      </w:r>
      <w:r>
        <w:rPr>
          <w:rFonts w:hint="eastAsia"/>
          <w:color w:val="auto"/>
          <w:highlight w:val="none"/>
          <w:lang w:eastAsia="zh-CN"/>
        </w:rPr>
        <w:t>履约保证金</w:t>
      </w:r>
      <w:r>
        <w:rPr>
          <w:rFonts w:hint="eastAsia"/>
          <w:color w:val="auto"/>
          <w:highlight w:val="none"/>
        </w:rPr>
        <w:t>。</w:t>
      </w:r>
    </w:p>
    <w:p w14:paraId="6F1A7621">
      <w:pPr>
        <w:pStyle w:val="45"/>
        <w:numPr>
          <w:ilvl w:val="0"/>
          <w:numId w:val="37"/>
        </w:numPr>
        <w:spacing w:before="156"/>
        <w:ind w:firstLine="480"/>
        <w:rPr>
          <w:color w:val="auto"/>
          <w:highlight w:val="none"/>
        </w:rPr>
      </w:pPr>
      <w:r>
        <w:rPr>
          <w:rFonts w:hint="eastAsia"/>
          <w:color w:val="auto"/>
          <w:highlight w:val="none"/>
        </w:rPr>
        <w:t>如果成交供应商没有按照上述履约保证金的规定执行，将视为放弃成交资格。在此情况下，采购人可确定下一成交候选人为成交供应商，也可以重新开展采购活动。</w:t>
      </w:r>
    </w:p>
    <w:p w14:paraId="0D4B4370">
      <w:pPr>
        <w:pStyle w:val="6"/>
        <w:numPr>
          <w:ilvl w:val="0"/>
          <w:numId w:val="8"/>
        </w:numPr>
        <w:ind w:firstLine="480"/>
        <w:outlineLvl w:val="2"/>
        <w:rPr>
          <w:color w:val="auto"/>
          <w:highlight w:val="none"/>
        </w:rPr>
      </w:pPr>
      <w:r>
        <w:rPr>
          <w:rFonts w:hint="eastAsia"/>
          <w:color w:val="auto"/>
          <w:highlight w:val="none"/>
        </w:rPr>
        <w:t>签订合同</w:t>
      </w:r>
    </w:p>
    <w:p w14:paraId="215738CD">
      <w:pPr>
        <w:pStyle w:val="45"/>
        <w:numPr>
          <w:ilvl w:val="0"/>
          <w:numId w:val="38"/>
        </w:numPr>
        <w:spacing w:before="156"/>
        <w:ind w:firstLine="480"/>
        <w:rPr>
          <w:color w:val="auto"/>
          <w:highlight w:val="none"/>
        </w:rPr>
      </w:pPr>
      <w:r>
        <w:rPr>
          <w:rFonts w:hint="eastAsia"/>
          <w:color w:val="auto"/>
          <w:highlight w:val="none"/>
        </w:rPr>
        <w:t>采购人与成交供应商应当自发出成交通知书之日起 30 日内签订合同。</w:t>
      </w:r>
    </w:p>
    <w:p w14:paraId="4D791766">
      <w:pPr>
        <w:pStyle w:val="45"/>
        <w:numPr>
          <w:ilvl w:val="0"/>
          <w:numId w:val="38"/>
        </w:numPr>
        <w:spacing w:before="156"/>
        <w:ind w:firstLine="480"/>
        <w:rPr>
          <w:color w:val="auto"/>
          <w:highlight w:val="none"/>
        </w:rPr>
      </w:pPr>
      <w:r>
        <w:rPr>
          <w:rFonts w:hint="eastAsia"/>
          <w:color w:val="auto"/>
          <w:highlight w:val="none"/>
        </w:rPr>
        <w:t>谈判文件、成交供应商的响应文件及其澄清文件等，均为签订合同的依据。</w:t>
      </w:r>
    </w:p>
    <w:p w14:paraId="2D6B86E5">
      <w:pPr>
        <w:pStyle w:val="45"/>
        <w:numPr>
          <w:ilvl w:val="0"/>
          <w:numId w:val="38"/>
        </w:numPr>
        <w:spacing w:before="156"/>
        <w:ind w:firstLine="480"/>
        <w:rPr>
          <w:color w:val="auto"/>
          <w:highlight w:val="none"/>
        </w:rPr>
      </w:pPr>
      <w:r>
        <w:rPr>
          <w:rFonts w:hint="eastAsia"/>
          <w:color w:val="auto"/>
          <w:highlight w:val="none"/>
        </w:rPr>
        <w:t>成交供应商拒绝与采购人签订合同的，采购人可以按照评审报告推荐的成交候选人名单排序，确定下一成交候选人为成交供应商，也可以重新开展采购活动。成交供应商拒绝签订政府采购合同不得参加对该项目重新开展的采购活动。</w:t>
      </w:r>
    </w:p>
    <w:p w14:paraId="4A6F3D43">
      <w:pPr>
        <w:pStyle w:val="6"/>
        <w:numPr>
          <w:ilvl w:val="0"/>
          <w:numId w:val="8"/>
        </w:numPr>
        <w:ind w:firstLine="480"/>
        <w:outlineLvl w:val="2"/>
        <w:rPr>
          <w:color w:val="auto"/>
          <w:highlight w:val="none"/>
        </w:rPr>
      </w:pPr>
      <w:r>
        <w:rPr>
          <w:rFonts w:hint="eastAsia"/>
          <w:color w:val="auto"/>
          <w:highlight w:val="none"/>
          <w:lang w:val="en-US" w:eastAsia="zh-CN"/>
        </w:rPr>
        <w:t>政府采购政策</w:t>
      </w:r>
    </w:p>
    <w:p w14:paraId="51F49819">
      <w:pPr>
        <w:pStyle w:val="45"/>
        <w:spacing w:before="156"/>
        <w:ind w:firstLine="480"/>
        <w:rPr>
          <w:color w:val="auto"/>
          <w:highlight w:val="none"/>
        </w:rPr>
      </w:pPr>
      <w:r>
        <w:rPr>
          <w:rFonts w:hint="eastAsia"/>
          <w:color w:val="auto"/>
          <w:highlight w:val="none"/>
          <w:lang w:eastAsia="zh-CN"/>
        </w:rPr>
        <w:t>采用公开招标最低评标价法和竞争性谈判的项目，应当按照供应商的实际报价由低到高进行排序，不再享受价格扣除优惠政策</w:t>
      </w:r>
      <w:r>
        <w:rPr>
          <w:rFonts w:hint="eastAsia"/>
          <w:b/>
          <w:bCs/>
          <w:color w:val="auto"/>
          <w:highlight w:val="none"/>
        </w:rPr>
        <w:t>。</w:t>
      </w:r>
    </w:p>
    <w:p w14:paraId="71EC521A">
      <w:pPr>
        <w:pStyle w:val="6"/>
        <w:numPr>
          <w:ilvl w:val="0"/>
          <w:numId w:val="8"/>
        </w:numPr>
        <w:ind w:firstLine="480"/>
        <w:outlineLvl w:val="2"/>
        <w:rPr>
          <w:color w:val="auto"/>
          <w:highlight w:val="none"/>
        </w:rPr>
      </w:pPr>
      <w:r>
        <w:rPr>
          <w:rFonts w:hint="eastAsia"/>
          <w:color w:val="auto"/>
          <w:highlight w:val="none"/>
        </w:rPr>
        <w:t>人员回避</w:t>
      </w:r>
    </w:p>
    <w:p w14:paraId="7EE66C9D">
      <w:pPr>
        <w:pStyle w:val="45"/>
        <w:spacing w:before="156"/>
        <w:ind w:firstLine="480"/>
        <w:rPr>
          <w:color w:val="auto"/>
          <w:highlight w:val="none"/>
        </w:rPr>
      </w:pPr>
      <w:r>
        <w:rPr>
          <w:rFonts w:hint="eastAsia"/>
          <w:color w:val="auto"/>
          <w:highlight w:val="none"/>
          <w:lang w:eastAsia="zh-CN"/>
        </w:rPr>
        <w:t>供应商</w:t>
      </w:r>
      <w:r>
        <w:rPr>
          <w:rFonts w:hint="eastAsia"/>
          <w:color w:val="auto"/>
          <w:highlight w:val="none"/>
        </w:rPr>
        <w:t>认为</w:t>
      </w:r>
      <w:r>
        <w:rPr>
          <w:rFonts w:hint="eastAsia"/>
          <w:color w:val="auto"/>
          <w:highlight w:val="none"/>
          <w:lang w:eastAsia="zh-CN"/>
        </w:rPr>
        <w:t>采购人</w:t>
      </w:r>
      <w:r>
        <w:rPr>
          <w:rFonts w:hint="eastAsia"/>
          <w:color w:val="auto"/>
          <w:highlight w:val="none"/>
        </w:rPr>
        <w:t>及其相关人员有法律法规所列与其他</w:t>
      </w:r>
      <w:r>
        <w:rPr>
          <w:rFonts w:hint="eastAsia"/>
          <w:color w:val="auto"/>
          <w:highlight w:val="none"/>
          <w:lang w:eastAsia="zh-CN"/>
        </w:rPr>
        <w:t>供应商</w:t>
      </w:r>
      <w:r>
        <w:rPr>
          <w:rFonts w:hint="eastAsia"/>
          <w:color w:val="auto"/>
          <w:highlight w:val="none"/>
        </w:rPr>
        <w:t>有利害关系的，可以向</w:t>
      </w:r>
      <w:r>
        <w:rPr>
          <w:rFonts w:hint="eastAsia"/>
          <w:color w:val="auto"/>
          <w:highlight w:val="none"/>
          <w:lang w:eastAsia="zh-CN"/>
        </w:rPr>
        <w:t>采购人</w:t>
      </w:r>
      <w:r>
        <w:rPr>
          <w:rFonts w:hint="eastAsia"/>
          <w:color w:val="auto"/>
          <w:highlight w:val="none"/>
        </w:rPr>
        <w:t>或</w:t>
      </w:r>
      <w:r>
        <w:rPr>
          <w:rFonts w:hint="eastAsia"/>
          <w:color w:val="auto"/>
          <w:highlight w:val="none"/>
          <w:lang w:eastAsia="zh-CN"/>
        </w:rPr>
        <w:t>采购代理机构</w:t>
      </w:r>
      <w:r>
        <w:rPr>
          <w:rFonts w:hint="eastAsia"/>
          <w:color w:val="auto"/>
          <w:highlight w:val="none"/>
        </w:rPr>
        <w:t>书面提出回避申请，并说明理由。</w:t>
      </w:r>
    </w:p>
    <w:p w14:paraId="31B5B4FD">
      <w:pPr>
        <w:pStyle w:val="6"/>
        <w:numPr>
          <w:ilvl w:val="0"/>
          <w:numId w:val="8"/>
        </w:numPr>
        <w:ind w:firstLine="560"/>
        <w:outlineLvl w:val="2"/>
        <w:rPr>
          <w:rFonts w:cs="黑体"/>
          <w:color w:val="auto"/>
          <w:sz w:val="28"/>
          <w:highlight w:val="none"/>
        </w:rPr>
      </w:pPr>
      <w:r>
        <w:rPr>
          <w:rFonts w:hint="eastAsia" w:cs="黑体"/>
          <w:color w:val="auto"/>
          <w:sz w:val="28"/>
          <w:highlight w:val="none"/>
          <w:lang w:val="en-US" w:eastAsia="zh-CN"/>
        </w:rPr>
        <w:t>询问及</w:t>
      </w:r>
      <w:r>
        <w:rPr>
          <w:rFonts w:hint="eastAsia" w:cs="黑体"/>
          <w:color w:val="auto"/>
          <w:sz w:val="28"/>
          <w:highlight w:val="none"/>
        </w:rPr>
        <w:t>质疑</w:t>
      </w:r>
    </w:p>
    <w:p w14:paraId="6444F98C">
      <w:pPr>
        <w:pStyle w:val="45"/>
        <w:numPr>
          <w:ilvl w:val="0"/>
          <w:numId w:val="39"/>
        </w:numPr>
        <w:spacing w:before="240"/>
        <w:ind w:left="0" w:leftChars="0" w:firstLine="480" w:firstLineChars="200"/>
        <w:rPr>
          <w:color w:val="auto"/>
          <w:highlight w:val="none"/>
        </w:rPr>
      </w:pPr>
      <w:r>
        <w:rPr>
          <w:rFonts w:hint="eastAsia"/>
          <w:color w:val="auto"/>
          <w:highlight w:val="none"/>
        </w:rPr>
        <w:t>供应商对政府采购活动事项有疑问的，可以向采购人、采购代理机构提出询问。</w:t>
      </w:r>
    </w:p>
    <w:p w14:paraId="5805FE89">
      <w:pPr>
        <w:pStyle w:val="45"/>
        <w:numPr>
          <w:ilvl w:val="0"/>
          <w:numId w:val="39"/>
        </w:numPr>
        <w:spacing w:before="240"/>
        <w:ind w:left="0" w:leftChars="0" w:firstLine="480" w:firstLineChars="200"/>
        <w:rPr>
          <w:color w:val="auto"/>
          <w:highlight w:val="none"/>
        </w:rPr>
      </w:pPr>
      <w:r>
        <w:rPr>
          <w:rFonts w:hint="eastAsia"/>
          <w:color w:val="auto"/>
          <w:highlight w:val="none"/>
        </w:rPr>
        <w:t>供应商若认为谈判文件、采购过程和成交结果使自己的权益受到损害，可以按法律、规章及</w:t>
      </w:r>
      <w:r>
        <w:rPr>
          <w:rFonts w:ascii="宋体" w:hAnsi="宋体" w:eastAsia="宋体" w:cs="宋体"/>
          <w:color w:val="auto"/>
          <w:kern w:val="0"/>
          <w:sz w:val="24"/>
          <w:szCs w:val="24"/>
          <w:highlight w:val="none"/>
          <w:lang w:val="en-US" w:eastAsia="zh-CN" w:bidi="ar"/>
        </w:rPr>
        <w:t>《湖南省财政厅关于印发＜政府采购质疑答复和投诉处理操作规程＞的通知》(湘财购〔2024〕67号)</w:t>
      </w:r>
      <w:r>
        <w:rPr>
          <w:rFonts w:hint="eastAsia"/>
          <w:color w:val="auto"/>
          <w:highlight w:val="none"/>
        </w:rPr>
        <w:t>规定向采购人、采购代理机构提出质疑。</w:t>
      </w:r>
    </w:p>
    <w:p w14:paraId="0FE1A5BB">
      <w:pPr>
        <w:pStyle w:val="45"/>
        <w:numPr>
          <w:ilvl w:val="0"/>
          <w:numId w:val="39"/>
        </w:numPr>
        <w:spacing w:before="240"/>
        <w:ind w:left="0" w:leftChars="0" w:firstLine="480" w:firstLineChars="200"/>
        <w:rPr>
          <w:color w:val="auto"/>
          <w:highlight w:val="none"/>
        </w:rPr>
      </w:pPr>
      <w:r>
        <w:rPr>
          <w:rFonts w:hint="eastAsia"/>
          <w:color w:val="auto"/>
          <w:highlight w:val="none"/>
        </w:rPr>
        <w:t>质疑函接收部门、联系电话和通讯地址，见</w:t>
      </w:r>
      <w:r>
        <w:rPr>
          <w:rFonts w:hint="eastAsia" w:eastAsia="微软雅黑"/>
          <w:b/>
          <w:color w:val="auto"/>
          <w:highlight w:val="none"/>
        </w:rPr>
        <w:t>【供应商须知前附表】</w:t>
      </w:r>
      <w:r>
        <w:rPr>
          <w:rFonts w:hint="eastAsia"/>
          <w:color w:val="auto"/>
          <w:highlight w:val="none"/>
        </w:rPr>
        <w:t>。</w:t>
      </w:r>
    </w:p>
    <w:p w14:paraId="3D2491F1">
      <w:pPr>
        <w:pStyle w:val="6"/>
        <w:numPr>
          <w:ilvl w:val="0"/>
          <w:numId w:val="8"/>
        </w:numPr>
        <w:ind w:firstLine="480"/>
        <w:outlineLvl w:val="2"/>
        <w:rPr>
          <w:color w:val="auto"/>
          <w:highlight w:val="none"/>
        </w:rPr>
      </w:pPr>
      <w:r>
        <w:rPr>
          <w:rFonts w:hint="eastAsia"/>
          <w:color w:val="auto"/>
          <w:highlight w:val="none"/>
          <w:lang w:val="en-US" w:eastAsia="zh-CN"/>
        </w:rPr>
        <w:t>投诉</w:t>
      </w:r>
    </w:p>
    <w:p w14:paraId="62F45FD3">
      <w:pPr>
        <w:ind w:firstLine="480" w:firstLineChars="200"/>
        <w:rPr>
          <w:color w:val="auto"/>
          <w:highlight w:val="none"/>
        </w:rPr>
      </w:pPr>
      <w:r>
        <w:rPr>
          <w:rFonts w:hint="eastAsia"/>
          <w:color w:val="auto"/>
          <w:highlight w:val="none"/>
        </w:rPr>
        <w:t>供应商对采购人或采购代理机构的质疑答复不满意，或采购人或采购代理机构未在规定的期限作出答复的，可在答复期满后十五个工作日内，按政府采购相关法律法规规章的规定及程序，向同级财政部门提出投诉</w:t>
      </w:r>
    </w:p>
    <w:p w14:paraId="7A57A789">
      <w:pPr>
        <w:pStyle w:val="6"/>
        <w:numPr>
          <w:ilvl w:val="0"/>
          <w:numId w:val="8"/>
        </w:numPr>
        <w:ind w:firstLine="480"/>
        <w:outlineLvl w:val="2"/>
        <w:rPr>
          <w:color w:val="auto"/>
          <w:highlight w:val="none"/>
        </w:rPr>
      </w:pPr>
      <w:r>
        <w:rPr>
          <w:rFonts w:hint="eastAsia"/>
          <w:color w:val="auto"/>
          <w:highlight w:val="none"/>
        </w:rPr>
        <w:t>采购代理服务费</w:t>
      </w:r>
    </w:p>
    <w:p w14:paraId="13373A8F">
      <w:pPr>
        <w:pStyle w:val="45"/>
        <w:spacing w:before="240"/>
        <w:ind w:firstLine="480"/>
        <w:rPr>
          <w:color w:val="auto"/>
          <w:highlight w:val="none"/>
        </w:rPr>
      </w:pPr>
      <w:r>
        <w:rPr>
          <w:rFonts w:hint="eastAsia"/>
          <w:color w:val="auto"/>
          <w:highlight w:val="none"/>
        </w:rPr>
        <w:t>集中采购机构不得收取采购代理服务费。</w:t>
      </w:r>
    </w:p>
    <w:p w14:paraId="622F176C">
      <w:pPr>
        <w:pStyle w:val="6"/>
        <w:numPr>
          <w:ilvl w:val="0"/>
          <w:numId w:val="8"/>
        </w:numPr>
        <w:ind w:firstLine="480"/>
        <w:outlineLvl w:val="2"/>
        <w:rPr>
          <w:color w:val="auto"/>
          <w:highlight w:val="none"/>
        </w:rPr>
      </w:pPr>
      <w:r>
        <w:rPr>
          <w:rFonts w:hint="eastAsia"/>
          <w:color w:val="auto"/>
          <w:highlight w:val="none"/>
          <w:lang w:eastAsia="zh-CN"/>
        </w:rPr>
        <w:t>张家界市公共资源交易中心产权交易系统</w:t>
      </w:r>
      <w:r>
        <w:rPr>
          <w:rFonts w:hint="eastAsia"/>
          <w:color w:val="auto"/>
          <w:highlight w:val="none"/>
        </w:rPr>
        <w:t>操作须知</w:t>
      </w:r>
    </w:p>
    <w:p w14:paraId="3A9B668C">
      <w:pPr>
        <w:pStyle w:val="45"/>
        <w:numPr>
          <w:ilvl w:val="0"/>
          <w:numId w:val="40"/>
        </w:numPr>
        <w:spacing w:before="156"/>
        <w:ind w:left="0" w:firstLine="480"/>
        <w:rPr>
          <w:color w:val="auto"/>
          <w:highlight w:val="none"/>
        </w:rPr>
      </w:pPr>
      <w:r>
        <w:rPr>
          <w:rFonts w:hint="eastAsia"/>
          <w:color w:val="auto"/>
          <w:highlight w:val="none"/>
          <w:lang w:eastAsia="zh-CN"/>
        </w:rPr>
        <w:t>供应商</w:t>
      </w:r>
      <w:r>
        <w:rPr>
          <w:rFonts w:hint="eastAsia"/>
          <w:color w:val="auto"/>
          <w:highlight w:val="none"/>
        </w:rPr>
        <w:t>应妥善保管数字证书，由于数字证书遗失、损坏、更换、续期等情况导致响应文件无法上传，由</w:t>
      </w:r>
      <w:r>
        <w:rPr>
          <w:rFonts w:hint="eastAsia"/>
          <w:color w:val="auto"/>
          <w:highlight w:val="none"/>
          <w:lang w:eastAsia="zh-CN"/>
        </w:rPr>
        <w:t>供应商</w:t>
      </w:r>
      <w:r>
        <w:rPr>
          <w:rFonts w:hint="eastAsia"/>
          <w:color w:val="auto"/>
          <w:highlight w:val="none"/>
        </w:rPr>
        <w:t>自行承担责任。</w:t>
      </w:r>
    </w:p>
    <w:p w14:paraId="537E7930">
      <w:pPr>
        <w:pStyle w:val="45"/>
        <w:numPr>
          <w:ilvl w:val="0"/>
          <w:numId w:val="40"/>
        </w:numPr>
        <w:spacing w:before="156"/>
        <w:ind w:left="0" w:firstLine="480"/>
        <w:rPr>
          <w:color w:val="auto"/>
          <w:highlight w:val="none"/>
        </w:rPr>
      </w:pPr>
      <w:r>
        <w:rPr>
          <w:rFonts w:hint="eastAsia"/>
          <w:color w:val="auto"/>
          <w:highlight w:val="none"/>
          <w:lang w:val="en-US" w:eastAsia="zh-CN"/>
        </w:rPr>
        <w:t>竞争性谈判</w:t>
      </w:r>
      <w:r>
        <w:rPr>
          <w:rFonts w:hint="eastAsia"/>
          <w:color w:val="auto"/>
          <w:highlight w:val="none"/>
        </w:rPr>
        <w:t>公告由</w:t>
      </w:r>
      <w:r>
        <w:rPr>
          <w:rFonts w:hint="eastAsia"/>
          <w:color w:val="auto"/>
          <w:highlight w:val="none"/>
          <w:lang w:eastAsia="zh-CN"/>
        </w:rPr>
        <w:t>采购代理机构</w:t>
      </w:r>
      <w:r>
        <w:rPr>
          <w:rFonts w:hint="eastAsia"/>
          <w:color w:val="auto"/>
          <w:highlight w:val="none"/>
        </w:rPr>
        <w:t>通过</w:t>
      </w:r>
      <w:r>
        <w:rPr>
          <w:rFonts w:hint="eastAsia"/>
          <w:color w:val="auto"/>
          <w:highlight w:val="none"/>
          <w:lang w:val="en-US" w:eastAsia="zh-CN"/>
        </w:rPr>
        <w:t>中</w:t>
      </w:r>
      <w:r>
        <w:rPr>
          <w:rFonts w:hint="eastAsia"/>
          <w:color w:val="auto"/>
          <w:highlight w:val="none"/>
        </w:rPr>
        <w:t>国·湖南政府采购网</w:t>
      </w:r>
      <w:r>
        <w:rPr>
          <w:rFonts w:hint="eastAsia"/>
          <w:color w:val="auto"/>
          <w:highlight w:val="none"/>
          <w:lang w:eastAsia="zh-CN"/>
        </w:rPr>
        <w:t>、张家界市公共资源交易中心产权交易系统</w:t>
      </w:r>
      <w:r>
        <w:rPr>
          <w:rFonts w:hint="eastAsia"/>
          <w:color w:val="auto"/>
          <w:highlight w:val="none"/>
        </w:rPr>
        <w:t>、张家界市公共资源交易网站发布。</w:t>
      </w:r>
    </w:p>
    <w:p w14:paraId="4EFB3150">
      <w:pPr>
        <w:pStyle w:val="45"/>
        <w:numPr>
          <w:ilvl w:val="0"/>
          <w:numId w:val="40"/>
        </w:numPr>
        <w:spacing w:before="156"/>
        <w:ind w:left="0" w:firstLine="480"/>
        <w:rPr>
          <w:color w:val="auto"/>
          <w:highlight w:val="none"/>
        </w:rPr>
      </w:pPr>
      <w:r>
        <w:rPr>
          <w:rFonts w:hint="eastAsia"/>
          <w:color w:val="auto"/>
          <w:highlight w:val="none"/>
          <w:lang w:eastAsia="zh-CN"/>
        </w:rPr>
        <w:t>供应商</w:t>
      </w:r>
      <w:r>
        <w:rPr>
          <w:rFonts w:hint="eastAsia"/>
          <w:color w:val="auto"/>
          <w:highlight w:val="none"/>
        </w:rPr>
        <w:t>登录张家界市公共资源交易网站</w:t>
      </w:r>
      <w:r>
        <w:rPr>
          <w:rFonts w:hint="eastAsia"/>
          <w:color w:val="auto"/>
          <w:highlight w:val="none"/>
          <w:lang w:eastAsia="zh-CN"/>
        </w:rPr>
        <w:t>、张家界市公共资源交易中心产权交易系统</w:t>
      </w:r>
      <w:r>
        <w:rPr>
          <w:rFonts w:hint="eastAsia"/>
          <w:color w:val="auto"/>
          <w:highlight w:val="none"/>
        </w:rPr>
        <w:t>获取</w:t>
      </w:r>
      <w:r>
        <w:rPr>
          <w:rFonts w:hint="eastAsia"/>
          <w:color w:val="auto"/>
          <w:highlight w:val="none"/>
          <w:lang w:val="en-US" w:eastAsia="zh-CN"/>
        </w:rPr>
        <w:t>谈判</w:t>
      </w:r>
      <w:r>
        <w:rPr>
          <w:rFonts w:hint="eastAsia"/>
          <w:color w:val="auto"/>
          <w:highlight w:val="none"/>
        </w:rPr>
        <w:t>文件。</w:t>
      </w:r>
    </w:p>
    <w:p w14:paraId="2A25C260">
      <w:pPr>
        <w:pStyle w:val="45"/>
        <w:numPr>
          <w:ilvl w:val="0"/>
          <w:numId w:val="40"/>
        </w:numPr>
        <w:spacing w:before="156"/>
        <w:ind w:left="0" w:firstLine="480"/>
        <w:rPr>
          <w:color w:val="auto"/>
          <w:highlight w:val="none"/>
        </w:rPr>
      </w:pPr>
      <w:r>
        <w:rPr>
          <w:rFonts w:hint="eastAsia"/>
          <w:color w:val="auto"/>
          <w:highlight w:val="none"/>
        </w:rPr>
        <w:t>澄清、修改文件应由</w:t>
      </w:r>
      <w:r>
        <w:rPr>
          <w:rFonts w:hint="eastAsia"/>
          <w:color w:val="auto"/>
          <w:highlight w:val="none"/>
          <w:lang w:eastAsia="zh-CN"/>
        </w:rPr>
        <w:t>采购代理机构</w:t>
      </w:r>
      <w:r>
        <w:rPr>
          <w:rFonts w:hint="eastAsia"/>
          <w:color w:val="auto"/>
          <w:highlight w:val="none"/>
        </w:rPr>
        <w:t>在</w:t>
      </w:r>
      <w:r>
        <w:rPr>
          <w:rFonts w:hint="eastAsia"/>
          <w:color w:val="auto"/>
          <w:highlight w:val="none"/>
          <w:lang w:val="en-US" w:eastAsia="zh-CN"/>
        </w:rPr>
        <w:t>中</w:t>
      </w:r>
      <w:r>
        <w:rPr>
          <w:rFonts w:hint="eastAsia"/>
          <w:color w:val="auto"/>
          <w:highlight w:val="none"/>
        </w:rPr>
        <w:t>国·湖南政府采购网</w:t>
      </w:r>
      <w:r>
        <w:rPr>
          <w:rFonts w:hint="eastAsia"/>
          <w:color w:val="auto"/>
          <w:highlight w:val="none"/>
          <w:lang w:eastAsia="zh-CN"/>
        </w:rPr>
        <w:t>、张家界市公共资源交易中心产权交易系统</w:t>
      </w:r>
      <w:r>
        <w:rPr>
          <w:rFonts w:hint="eastAsia"/>
          <w:color w:val="auto"/>
          <w:highlight w:val="none"/>
        </w:rPr>
        <w:t>、张家界市公共资源交易网站发布，</w:t>
      </w:r>
      <w:r>
        <w:rPr>
          <w:rFonts w:hint="eastAsia"/>
          <w:color w:val="auto"/>
          <w:highlight w:val="none"/>
          <w:lang w:eastAsia="zh-CN"/>
        </w:rPr>
        <w:t>供应商</w:t>
      </w:r>
      <w:r>
        <w:rPr>
          <w:rFonts w:hint="eastAsia"/>
          <w:color w:val="auto"/>
          <w:highlight w:val="none"/>
        </w:rPr>
        <w:t>应及时查阅相关澄清、修改信息。</w:t>
      </w:r>
    </w:p>
    <w:p w14:paraId="6697D817">
      <w:pPr>
        <w:pStyle w:val="45"/>
        <w:numPr>
          <w:ilvl w:val="0"/>
          <w:numId w:val="40"/>
        </w:numPr>
        <w:spacing w:before="156"/>
        <w:ind w:left="0" w:firstLine="480"/>
        <w:rPr>
          <w:color w:val="auto"/>
          <w:highlight w:val="none"/>
        </w:rPr>
      </w:pPr>
      <w:r>
        <w:rPr>
          <w:rFonts w:hint="eastAsia"/>
          <w:color w:val="auto"/>
          <w:highlight w:val="none"/>
          <w:lang w:val="en-US" w:eastAsia="zh-CN"/>
        </w:rPr>
        <w:t>供应商</w:t>
      </w:r>
      <w:r>
        <w:rPr>
          <w:rFonts w:hint="eastAsia"/>
          <w:color w:val="auto"/>
          <w:highlight w:val="none"/>
        </w:rPr>
        <w:t>须办理数字证书ukey（办理数字证书请登录湖南省CA证书与电子签章资源共享平台注册办理，或到</w:t>
      </w:r>
      <w:r>
        <w:rPr>
          <w:rFonts w:hint="eastAsia"/>
          <w:color w:val="auto"/>
          <w:highlight w:val="none"/>
          <w:lang w:val="en-US" w:eastAsia="zh-CN"/>
        </w:rPr>
        <w:t>张家界市公共资源交易中心</w:t>
      </w:r>
      <w:r>
        <w:rPr>
          <w:rFonts w:hint="eastAsia"/>
          <w:color w:val="auto"/>
          <w:highlight w:val="none"/>
        </w:rPr>
        <w:t>一楼大厅数字证书服务窗口办理。湖南省CA证书与电子签章资源共享平台登录地址：https://casign.hnsggzy.com:7080/ca-hunanplatform/operation/main</w:t>
      </w:r>
      <w:r>
        <w:rPr>
          <w:rFonts w:hint="eastAsia"/>
          <w:color w:val="auto"/>
          <w:highlight w:val="none"/>
          <w:lang w:eastAsia="zh-CN"/>
        </w:rPr>
        <w:t>。</w:t>
      </w:r>
      <w:r>
        <w:rPr>
          <w:rFonts w:hint="eastAsia"/>
          <w:color w:val="auto"/>
          <w:highlight w:val="none"/>
        </w:rPr>
        <w:t>），数字证书驱动下载请到张家界市公共资源交易中心</w:t>
      </w:r>
      <w:r>
        <w:rPr>
          <w:rFonts w:hint="eastAsia"/>
          <w:color w:val="auto"/>
          <w:highlight w:val="none"/>
          <w:lang w:eastAsia="zh-CN"/>
        </w:rPr>
        <w:t>产权交易</w:t>
      </w:r>
      <w:r>
        <w:rPr>
          <w:rFonts w:hint="eastAsia"/>
          <w:color w:val="auto"/>
          <w:highlight w:val="none"/>
        </w:rPr>
        <w:t>系统下载专用驱动。</w:t>
      </w:r>
    </w:p>
    <w:p w14:paraId="0D71026B">
      <w:pPr>
        <w:pStyle w:val="45"/>
        <w:numPr>
          <w:ilvl w:val="0"/>
          <w:numId w:val="40"/>
        </w:numPr>
        <w:spacing w:before="156"/>
        <w:ind w:left="0" w:firstLine="480"/>
        <w:rPr>
          <w:color w:val="auto"/>
          <w:highlight w:val="none"/>
        </w:rPr>
      </w:pPr>
      <w:r>
        <w:rPr>
          <w:rFonts w:hint="eastAsia"/>
          <w:color w:val="auto"/>
          <w:highlight w:val="none"/>
          <w:lang w:eastAsia="zh-CN"/>
        </w:rPr>
        <w:t>供应商</w:t>
      </w:r>
      <w:r>
        <w:rPr>
          <w:rFonts w:hint="eastAsia"/>
          <w:color w:val="auto"/>
          <w:highlight w:val="none"/>
        </w:rPr>
        <w:t>必须于</w:t>
      </w:r>
      <w:r>
        <w:rPr>
          <w:rFonts w:hint="eastAsia"/>
          <w:color w:val="auto"/>
          <w:highlight w:val="none"/>
          <w:lang w:val="en-US" w:eastAsia="zh-CN"/>
        </w:rPr>
        <w:t>谈判</w:t>
      </w:r>
      <w:r>
        <w:rPr>
          <w:rFonts w:hint="eastAsia"/>
          <w:color w:val="auto"/>
          <w:highlight w:val="none"/>
        </w:rPr>
        <w:t>文件规定的</w:t>
      </w:r>
      <w:r>
        <w:rPr>
          <w:rFonts w:hint="eastAsia"/>
          <w:color w:val="auto"/>
          <w:highlight w:val="none"/>
          <w:lang w:eastAsia="zh-CN"/>
        </w:rPr>
        <w:t>资格审查开始</w:t>
      </w:r>
      <w:r>
        <w:rPr>
          <w:rFonts w:hint="eastAsia"/>
          <w:color w:val="auto"/>
          <w:highlight w:val="none"/>
        </w:rPr>
        <w:t>时间前通过</w:t>
      </w:r>
      <w:r>
        <w:rPr>
          <w:rFonts w:hint="eastAsia"/>
          <w:color w:val="auto"/>
          <w:highlight w:val="none"/>
          <w:lang w:eastAsia="zh-CN"/>
        </w:rPr>
        <w:t>产权交易系统</w:t>
      </w:r>
      <w:r>
        <w:rPr>
          <w:rFonts w:hint="eastAsia"/>
          <w:color w:val="auto"/>
          <w:highlight w:val="none"/>
        </w:rPr>
        <w:t>完成响应文件上传。</w:t>
      </w:r>
    </w:p>
    <w:p w14:paraId="47307922">
      <w:pPr>
        <w:pStyle w:val="45"/>
        <w:numPr>
          <w:ilvl w:val="0"/>
          <w:numId w:val="40"/>
        </w:numPr>
        <w:spacing w:before="156"/>
        <w:ind w:left="0" w:firstLine="480"/>
        <w:rPr>
          <w:color w:val="auto"/>
          <w:highlight w:val="none"/>
        </w:rPr>
      </w:pPr>
      <w:r>
        <w:rPr>
          <w:rFonts w:hint="eastAsia"/>
          <w:color w:val="auto"/>
          <w:highlight w:val="none"/>
        </w:rPr>
        <w:t>报名截止时间以</w:t>
      </w:r>
      <w:r>
        <w:rPr>
          <w:rFonts w:hint="eastAsia"/>
          <w:color w:val="auto"/>
          <w:highlight w:val="none"/>
          <w:lang w:eastAsia="zh-CN"/>
        </w:rPr>
        <w:t>产权交易系统</w:t>
      </w:r>
      <w:r>
        <w:rPr>
          <w:rFonts w:hint="eastAsia"/>
          <w:color w:val="auto"/>
          <w:highlight w:val="none"/>
        </w:rPr>
        <w:t>显示的时间为准，逾期系统将自动关闭，未完成上传的响应文件将被拒绝。</w:t>
      </w:r>
    </w:p>
    <w:p w14:paraId="78768EF6">
      <w:pPr>
        <w:pStyle w:val="45"/>
        <w:numPr>
          <w:ilvl w:val="0"/>
          <w:numId w:val="40"/>
        </w:numPr>
        <w:spacing w:before="156"/>
        <w:ind w:left="0" w:firstLine="480"/>
        <w:rPr>
          <w:color w:val="auto"/>
          <w:highlight w:val="none"/>
        </w:rPr>
      </w:pPr>
      <w:r>
        <w:rPr>
          <w:rFonts w:hint="eastAsia"/>
          <w:color w:val="auto"/>
          <w:highlight w:val="none"/>
          <w:lang w:eastAsia="zh-CN"/>
        </w:rPr>
        <w:t>供应商</w:t>
      </w:r>
      <w:r>
        <w:rPr>
          <w:rFonts w:hint="eastAsia"/>
          <w:color w:val="auto"/>
          <w:highlight w:val="none"/>
        </w:rPr>
        <w:t>须按照</w:t>
      </w:r>
      <w:r>
        <w:rPr>
          <w:rFonts w:hint="eastAsia"/>
          <w:color w:val="auto"/>
          <w:highlight w:val="none"/>
          <w:lang w:val="en-US" w:eastAsia="zh-CN"/>
        </w:rPr>
        <w:t>谈判</w:t>
      </w:r>
      <w:r>
        <w:rPr>
          <w:rFonts w:hint="eastAsia"/>
          <w:color w:val="auto"/>
          <w:highlight w:val="none"/>
        </w:rPr>
        <w:t>文件的要求在自由</w:t>
      </w:r>
      <w:r>
        <w:rPr>
          <w:rFonts w:hint="eastAsia"/>
          <w:color w:val="auto"/>
          <w:highlight w:val="none"/>
          <w:lang w:val="en-US" w:eastAsia="zh-CN"/>
        </w:rPr>
        <w:t>报价</w:t>
      </w:r>
      <w:r>
        <w:rPr>
          <w:rFonts w:hint="eastAsia"/>
          <w:color w:val="auto"/>
          <w:highlight w:val="none"/>
        </w:rPr>
        <w:t>及限时</w:t>
      </w:r>
      <w:r>
        <w:rPr>
          <w:rFonts w:hint="eastAsia"/>
          <w:color w:val="auto"/>
          <w:highlight w:val="none"/>
          <w:lang w:val="en-US" w:eastAsia="zh-CN"/>
        </w:rPr>
        <w:t>报价</w:t>
      </w:r>
      <w:r>
        <w:rPr>
          <w:rFonts w:hint="eastAsia"/>
          <w:color w:val="auto"/>
          <w:highlight w:val="none"/>
        </w:rPr>
        <w:t>时间以前登录</w:t>
      </w:r>
      <w:r>
        <w:rPr>
          <w:rFonts w:hint="eastAsia"/>
          <w:color w:val="auto"/>
          <w:highlight w:val="none"/>
          <w:lang w:eastAsia="zh-CN"/>
        </w:rPr>
        <w:t>张家界市公共资源交易中心产权交易系统</w:t>
      </w:r>
      <w:r>
        <w:rPr>
          <w:rFonts w:hint="eastAsia"/>
          <w:color w:val="auto"/>
          <w:highlight w:val="none"/>
        </w:rPr>
        <w:t>，密切关注系统并保持通讯设备畅通，直到项目</w:t>
      </w:r>
      <w:r>
        <w:rPr>
          <w:rFonts w:hint="eastAsia"/>
          <w:color w:val="auto"/>
          <w:highlight w:val="none"/>
          <w:lang w:val="en-US" w:eastAsia="zh-CN"/>
        </w:rPr>
        <w:t>报价</w:t>
      </w:r>
      <w:r>
        <w:rPr>
          <w:rFonts w:hint="eastAsia"/>
          <w:color w:val="auto"/>
          <w:highlight w:val="none"/>
        </w:rPr>
        <w:t>结束。</w:t>
      </w:r>
    </w:p>
    <w:p w14:paraId="3A2F4263">
      <w:pPr>
        <w:pStyle w:val="45"/>
        <w:numPr>
          <w:ilvl w:val="0"/>
          <w:numId w:val="40"/>
        </w:numPr>
        <w:spacing w:before="156"/>
        <w:ind w:left="0" w:firstLine="480"/>
        <w:rPr>
          <w:color w:val="auto"/>
          <w:highlight w:val="none"/>
        </w:rPr>
      </w:pPr>
      <w:r>
        <w:rPr>
          <w:rFonts w:hint="eastAsia"/>
          <w:color w:val="auto"/>
          <w:highlight w:val="none"/>
          <w:lang w:eastAsia="zh-CN"/>
        </w:rPr>
        <w:t>供应商</w:t>
      </w:r>
      <w:r>
        <w:rPr>
          <w:rFonts w:hint="eastAsia"/>
          <w:color w:val="auto"/>
          <w:highlight w:val="none"/>
        </w:rPr>
        <w:t>在报名截止时间后按</w:t>
      </w:r>
      <w:r>
        <w:rPr>
          <w:rFonts w:hint="eastAsia"/>
          <w:color w:val="auto"/>
          <w:highlight w:val="none"/>
          <w:lang w:val="en-US" w:eastAsia="zh-CN"/>
        </w:rPr>
        <w:t>谈判</w:t>
      </w:r>
      <w:r>
        <w:rPr>
          <w:rFonts w:hint="eastAsia"/>
          <w:color w:val="auto"/>
          <w:highlight w:val="none"/>
        </w:rPr>
        <w:t>文件规定的自由</w:t>
      </w:r>
      <w:r>
        <w:rPr>
          <w:rFonts w:hint="eastAsia"/>
          <w:color w:val="auto"/>
          <w:highlight w:val="none"/>
          <w:lang w:val="en-US" w:eastAsia="zh-CN"/>
        </w:rPr>
        <w:t>报价</w:t>
      </w:r>
      <w:r>
        <w:rPr>
          <w:rFonts w:hint="eastAsia"/>
          <w:color w:val="auto"/>
          <w:highlight w:val="none"/>
        </w:rPr>
        <w:t>时间完成网上报价。</w:t>
      </w:r>
      <w:r>
        <w:rPr>
          <w:rFonts w:hint="eastAsia"/>
          <w:color w:val="auto"/>
          <w:highlight w:val="none"/>
          <w:lang w:eastAsia="zh-CN"/>
        </w:rPr>
        <w:t>供应商</w:t>
      </w:r>
      <w:r>
        <w:rPr>
          <w:rFonts w:hint="eastAsia"/>
          <w:color w:val="auto"/>
          <w:highlight w:val="none"/>
        </w:rPr>
        <w:t>未在</w:t>
      </w:r>
      <w:r>
        <w:rPr>
          <w:rFonts w:hint="eastAsia"/>
          <w:color w:val="auto"/>
          <w:highlight w:val="none"/>
          <w:lang w:val="en-US" w:eastAsia="zh-CN"/>
        </w:rPr>
        <w:t>谈判</w:t>
      </w:r>
      <w:r>
        <w:rPr>
          <w:rFonts w:hint="eastAsia"/>
          <w:color w:val="auto"/>
          <w:highlight w:val="none"/>
        </w:rPr>
        <w:t>文件规定的自由</w:t>
      </w:r>
      <w:r>
        <w:rPr>
          <w:rFonts w:hint="eastAsia"/>
          <w:color w:val="auto"/>
          <w:highlight w:val="none"/>
          <w:lang w:val="en-US" w:eastAsia="zh-CN"/>
        </w:rPr>
        <w:t>报价</w:t>
      </w:r>
      <w:r>
        <w:rPr>
          <w:rFonts w:hint="eastAsia"/>
          <w:color w:val="auto"/>
          <w:highlight w:val="none"/>
        </w:rPr>
        <w:t>时间内完成网上报价的视为其放弃进入限时</w:t>
      </w:r>
      <w:r>
        <w:rPr>
          <w:rFonts w:hint="eastAsia"/>
          <w:color w:val="auto"/>
          <w:highlight w:val="none"/>
          <w:lang w:val="en-US" w:eastAsia="zh-CN"/>
        </w:rPr>
        <w:t>报价</w:t>
      </w:r>
      <w:r>
        <w:rPr>
          <w:rFonts w:hint="eastAsia"/>
          <w:color w:val="auto"/>
          <w:highlight w:val="none"/>
        </w:rPr>
        <w:t>。</w:t>
      </w:r>
    </w:p>
    <w:p w14:paraId="79B96FDA">
      <w:pPr>
        <w:pStyle w:val="45"/>
        <w:numPr>
          <w:ilvl w:val="0"/>
          <w:numId w:val="40"/>
        </w:numPr>
        <w:spacing w:before="156"/>
        <w:ind w:left="0" w:firstLine="480"/>
        <w:rPr>
          <w:color w:val="auto"/>
          <w:highlight w:val="none"/>
        </w:rPr>
      </w:pPr>
      <w:r>
        <w:rPr>
          <w:rFonts w:hint="eastAsia"/>
          <w:color w:val="auto"/>
          <w:highlight w:val="none"/>
          <w:lang w:eastAsia="zh-CN"/>
        </w:rPr>
        <w:t>采购代理机构</w:t>
      </w:r>
      <w:r>
        <w:rPr>
          <w:rFonts w:hint="eastAsia"/>
          <w:color w:val="auto"/>
          <w:highlight w:val="none"/>
        </w:rPr>
        <w:t>组织评审专家评审，按规定随机抽取确定项目</w:t>
      </w:r>
      <w:r>
        <w:rPr>
          <w:rFonts w:hint="eastAsia"/>
          <w:color w:val="auto"/>
          <w:highlight w:val="none"/>
          <w:lang w:val="en-US" w:eastAsia="zh-CN"/>
        </w:rPr>
        <w:t>谈判小</w:t>
      </w:r>
      <w:r>
        <w:rPr>
          <w:rFonts w:hint="eastAsia"/>
          <w:color w:val="auto"/>
          <w:highlight w:val="none"/>
        </w:rPr>
        <w:t>组。</w:t>
      </w:r>
      <w:r>
        <w:rPr>
          <w:rFonts w:hint="eastAsia"/>
          <w:color w:val="auto"/>
          <w:highlight w:val="none"/>
          <w:lang w:val="en-US" w:eastAsia="zh-CN"/>
        </w:rPr>
        <w:t>谈判小</w:t>
      </w:r>
      <w:r>
        <w:rPr>
          <w:rFonts w:hint="eastAsia"/>
          <w:color w:val="auto"/>
          <w:highlight w:val="none"/>
        </w:rPr>
        <w:t>组依据</w:t>
      </w:r>
      <w:r>
        <w:rPr>
          <w:rFonts w:hint="eastAsia"/>
          <w:color w:val="auto"/>
          <w:highlight w:val="none"/>
          <w:lang w:val="en-US" w:eastAsia="zh-CN"/>
        </w:rPr>
        <w:t>谈判</w:t>
      </w:r>
      <w:r>
        <w:rPr>
          <w:rFonts w:hint="eastAsia"/>
          <w:color w:val="auto"/>
          <w:highlight w:val="none"/>
        </w:rPr>
        <w:t>文件规定的评审办法进行在线评审，负责资格审查和符合性审查及其结果复核，并对评审结果签字确认。</w:t>
      </w:r>
      <w:r>
        <w:rPr>
          <w:rFonts w:hint="eastAsia"/>
          <w:color w:val="auto"/>
          <w:highlight w:val="none"/>
          <w:lang w:val="en-US" w:eastAsia="zh-CN"/>
        </w:rPr>
        <w:t>谈判小</w:t>
      </w:r>
      <w:r>
        <w:rPr>
          <w:rFonts w:hint="eastAsia"/>
          <w:color w:val="auto"/>
          <w:highlight w:val="none"/>
        </w:rPr>
        <w:t>组对</w:t>
      </w:r>
      <w:r>
        <w:rPr>
          <w:rFonts w:hint="eastAsia"/>
          <w:color w:val="auto"/>
          <w:highlight w:val="none"/>
          <w:lang w:val="en-US" w:eastAsia="zh-CN"/>
        </w:rPr>
        <w:t>谈判</w:t>
      </w:r>
      <w:r>
        <w:rPr>
          <w:rFonts w:hint="eastAsia"/>
          <w:color w:val="auto"/>
          <w:highlight w:val="none"/>
        </w:rPr>
        <w:t>文件条款存在疑义或异议的，由</w:t>
      </w:r>
      <w:r>
        <w:rPr>
          <w:rFonts w:hint="eastAsia"/>
          <w:color w:val="auto"/>
          <w:highlight w:val="none"/>
          <w:lang w:eastAsia="zh-CN"/>
        </w:rPr>
        <w:t>采购人</w:t>
      </w:r>
      <w:r>
        <w:rPr>
          <w:rFonts w:hint="eastAsia"/>
          <w:color w:val="auto"/>
          <w:highlight w:val="none"/>
        </w:rPr>
        <w:t>作出书面解释或者澄清。</w:t>
      </w:r>
    </w:p>
    <w:p w14:paraId="3626D759">
      <w:pPr>
        <w:pStyle w:val="45"/>
        <w:numPr>
          <w:ilvl w:val="0"/>
          <w:numId w:val="40"/>
        </w:numPr>
        <w:spacing w:before="156"/>
        <w:ind w:left="0" w:firstLine="480"/>
        <w:rPr>
          <w:color w:val="auto"/>
          <w:highlight w:val="none"/>
        </w:rPr>
      </w:pPr>
      <w:r>
        <w:rPr>
          <w:rFonts w:hint="eastAsia"/>
          <w:color w:val="auto"/>
          <w:highlight w:val="none"/>
          <w:lang w:val="en-US" w:eastAsia="zh-CN"/>
        </w:rPr>
        <w:t>谈判小</w:t>
      </w:r>
      <w:r>
        <w:rPr>
          <w:rFonts w:hint="eastAsia"/>
          <w:color w:val="auto"/>
          <w:highlight w:val="none"/>
        </w:rPr>
        <w:t>组完成评审后，提交评审报告。</w:t>
      </w:r>
      <w:r>
        <w:rPr>
          <w:rFonts w:hint="eastAsia"/>
          <w:color w:val="auto"/>
          <w:highlight w:val="none"/>
          <w:lang w:eastAsia="zh-CN"/>
        </w:rPr>
        <w:t>采购代理机构</w:t>
      </w:r>
      <w:r>
        <w:rPr>
          <w:rFonts w:hint="eastAsia"/>
          <w:color w:val="auto"/>
          <w:highlight w:val="none"/>
        </w:rPr>
        <w:t>将评审结果及时提交至</w:t>
      </w:r>
      <w:r>
        <w:rPr>
          <w:rFonts w:hint="eastAsia"/>
          <w:color w:val="auto"/>
          <w:highlight w:val="none"/>
          <w:lang w:eastAsia="zh-CN"/>
        </w:rPr>
        <w:t>张家界市公共资源交易中心产权交易系统</w:t>
      </w:r>
      <w:r>
        <w:rPr>
          <w:rFonts w:hint="eastAsia"/>
          <w:color w:val="auto"/>
          <w:highlight w:val="none"/>
        </w:rPr>
        <w:t>，通过</w:t>
      </w:r>
      <w:r>
        <w:rPr>
          <w:rFonts w:hint="eastAsia"/>
          <w:color w:val="auto"/>
          <w:highlight w:val="none"/>
          <w:lang w:eastAsia="zh-CN"/>
        </w:rPr>
        <w:t>产权交易系统</w:t>
      </w:r>
      <w:r>
        <w:rPr>
          <w:rFonts w:hint="eastAsia"/>
          <w:color w:val="auto"/>
          <w:highlight w:val="none"/>
        </w:rPr>
        <w:t>向</w:t>
      </w:r>
      <w:r>
        <w:rPr>
          <w:rFonts w:hint="eastAsia"/>
          <w:color w:val="auto"/>
          <w:highlight w:val="none"/>
          <w:lang w:val="en-US" w:eastAsia="zh-CN"/>
        </w:rPr>
        <w:t>供应商</w:t>
      </w:r>
      <w:r>
        <w:rPr>
          <w:rFonts w:hint="eastAsia"/>
          <w:color w:val="auto"/>
          <w:highlight w:val="none"/>
        </w:rPr>
        <w:t>颁发资格确认书。未通过资格审查和符合性审查的</w:t>
      </w:r>
      <w:r>
        <w:rPr>
          <w:rFonts w:hint="eastAsia"/>
          <w:color w:val="auto"/>
          <w:highlight w:val="none"/>
          <w:lang w:eastAsia="zh-CN"/>
        </w:rPr>
        <w:t>供应商</w:t>
      </w:r>
      <w:r>
        <w:rPr>
          <w:rFonts w:hint="eastAsia"/>
          <w:color w:val="auto"/>
          <w:highlight w:val="none"/>
        </w:rPr>
        <w:t>无资格参与网上</w:t>
      </w:r>
      <w:r>
        <w:rPr>
          <w:rFonts w:hint="eastAsia"/>
          <w:color w:val="auto"/>
          <w:highlight w:val="none"/>
          <w:lang w:val="en-US" w:eastAsia="zh-CN"/>
        </w:rPr>
        <w:t>报价</w:t>
      </w:r>
      <w:r>
        <w:rPr>
          <w:rFonts w:hint="eastAsia"/>
          <w:color w:val="auto"/>
          <w:highlight w:val="none"/>
        </w:rPr>
        <w:t>。</w:t>
      </w:r>
    </w:p>
    <w:p w14:paraId="1DB15129">
      <w:pPr>
        <w:pStyle w:val="45"/>
        <w:numPr>
          <w:ilvl w:val="0"/>
          <w:numId w:val="40"/>
        </w:numPr>
        <w:spacing w:before="156"/>
        <w:ind w:left="0" w:firstLine="480"/>
        <w:rPr>
          <w:color w:val="auto"/>
          <w:highlight w:val="none"/>
        </w:rPr>
      </w:pPr>
      <w:r>
        <w:rPr>
          <w:rFonts w:hint="eastAsia"/>
          <w:color w:val="auto"/>
          <w:highlight w:val="none"/>
        </w:rPr>
        <w:t>出现下列情形导致</w:t>
      </w:r>
      <w:r>
        <w:rPr>
          <w:rFonts w:hint="eastAsia"/>
          <w:color w:val="auto"/>
          <w:highlight w:val="none"/>
          <w:lang w:eastAsia="zh-CN"/>
        </w:rPr>
        <w:t>产权交易系统</w:t>
      </w:r>
      <w:r>
        <w:rPr>
          <w:rFonts w:hint="eastAsia"/>
          <w:color w:val="auto"/>
          <w:highlight w:val="none"/>
        </w:rPr>
        <w:t>无法正常运行，影响</w:t>
      </w:r>
      <w:r>
        <w:rPr>
          <w:rFonts w:hint="eastAsia"/>
          <w:color w:val="auto"/>
          <w:highlight w:val="none"/>
          <w:lang w:val="en-US" w:eastAsia="zh-CN"/>
        </w:rPr>
        <w:t>谈判</w:t>
      </w:r>
      <w:r>
        <w:rPr>
          <w:rFonts w:hint="eastAsia"/>
          <w:color w:val="auto"/>
          <w:highlight w:val="none"/>
        </w:rPr>
        <w:t>过程的公平、公正和信息安全，经第三方机构认定后，各方当事人免责：</w:t>
      </w:r>
    </w:p>
    <w:p w14:paraId="052724D9">
      <w:pPr>
        <w:pStyle w:val="45"/>
        <w:spacing w:before="156"/>
        <w:ind w:firstLine="480"/>
        <w:rPr>
          <w:color w:val="auto"/>
          <w:highlight w:val="none"/>
        </w:rPr>
      </w:pPr>
      <w:r>
        <w:rPr>
          <w:rFonts w:hint="eastAsia"/>
          <w:color w:val="auto"/>
          <w:highlight w:val="none"/>
        </w:rPr>
        <w:t>（1）网络、服务器、数据库发生故障造成无法访问或使用的；</w:t>
      </w:r>
    </w:p>
    <w:p w14:paraId="07BFCECD">
      <w:pPr>
        <w:pStyle w:val="45"/>
        <w:spacing w:before="156"/>
        <w:ind w:firstLine="480"/>
        <w:rPr>
          <w:color w:val="auto"/>
          <w:highlight w:val="none"/>
        </w:rPr>
      </w:pPr>
      <w:r>
        <w:rPr>
          <w:rFonts w:hint="eastAsia"/>
          <w:color w:val="auto"/>
          <w:highlight w:val="none"/>
        </w:rPr>
        <w:t>（2）电力系统发生故障导致</w:t>
      </w:r>
      <w:r>
        <w:rPr>
          <w:rFonts w:hint="eastAsia"/>
          <w:color w:val="auto"/>
          <w:highlight w:val="none"/>
          <w:lang w:eastAsia="zh-CN"/>
        </w:rPr>
        <w:t>产权交易系统</w:t>
      </w:r>
      <w:r>
        <w:rPr>
          <w:rFonts w:hint="eastAsia"/>
          <w:color w:val="auto"/>
          <w:highlight w:val="none"/>
        </w:rPr>
        <w:t>无法运行；</w:t>
      </w:r>
    </w:p>
    <w:p w14:paraId="5FC983F0">
      <w:pPr>
        <w:pStyle w:val="45"/>
        <w:spacing w:before="156"/>
        <w:ind w:firstLine="480"/>
        <w:rPr>
          <w:color w:val="auto"/>
          <w:highlight w:val="none"/>
        </w:rPr>
      </w:pPr>
      <w:r>
        <w:rPr>
          <w:rFonts w:hint="eastAsia"/>
          <w:color w:val="auto"/>
          <w:highlight w:val="none"/>
        </w:rPr>
        <w:t>（3）出现网络攻击、病毒入侵以及</w:t>
      </w:r>
      <w:r>
        <w:rPr>
          <w:rFonts w:hint="eastAsia"/>
          <w:color w:val="auto"/>
          <w:highlight w:val="none"/>
          <w:lang w:eastAsia="zh-CN"/>
        </w:rPr>
        <w:t>产权交易系统</w:t>
      </w:r>
      <w:r>
        <w:rPr>
          <w:rFonts w:hint="eastAsia"/>
          <w:color w:val="auto"/>
          <w:highlight w:val="none"/>
        </w:rPr>
        <w:t>安全漏洞导致无法正常提供服务的；</w:t>
      </w:r>
    </w:p>
    <w:p w14:paraId="321A567D">
      <w:pPr>
        <w:pStyle w:val="45"/>
        <w:spacing w:before="156"/>
        <w:ind w:firstLine="480"/>
        <w:outlineLvl w:val="9"/>
        <w:rPr>
          <w:rFonts w:hint="eastAsia"/>
          <w:color w:val="auto"/>
          <w:highlight w:val="none"/>
        </w:rPr>
      </w:pPr>
      <w:r>
        <w:rPr>
          <w:rFonts w:hint="eastAsia"/>
          <w:color w:val="auto"/>
          <w:highlight w:val="none"/>
        </w:rPr>
        <w:t>（4）其他无法保证</w:t>
      </w:r>
      <w:r>
        <w:rPr>
          <w:rFonts w:hint="eastAsia"/>
          <w:color w:val="auto"/>
          <w:highlight w:val="none"/>
          <w:lang w:val="en-US" w:eastAsia="zh-CN"/>
        </w:rPr>
        <w:t>谈判</w:t>
      </w:r>
      <w:r>
        <w:rPr>
          <w:rFonts w:hint="eastAsia"/>
          <w:color w:val="auto"/>
          <w:highlight w:val="none"/>
        </w:rPr>
        <w:t>过程公平、公正和信息安全的情形。</w:t>
      </w:r>
    </w:p>
    <w:p w14:paraId="5F60FBF2">
      <w:pPr>
        <w:pStyle w:val="45"/>
        <w:spacing w:before="156"/>
        <w:ind w:firstLine="480"/>
        <w:rPr>
          <w:color w:val="auto"/>
          <w:highlight w:val="none"/>
        </w:rPr>
      </w:pPr>
      <w:r>
        <w:rPr>
          <w:rFonts w:hint="eastAsia"/>
          <w:color w:val="auto"/>
          <w:highlight w:val="none"/>
          <w:lang w:val="en-US" w:eastAsia="zh-CN"/>
        </w:rPr>
        <w:t>13.</w:t>
      </w:r>
      <w:r>
        <w:rPr>
          <w:rFonts w:hint="eastAsia"/>
          <w:color w:val="auto"/>
          <w:highlight w:val="none"/>
        </w:rPr>
        <w:t xml:space="preserve"> 出现上述情形，系统建设方应及时组织相关方查明原因，排除故障。若能保证在</w:t>
      </w:r>
      <w:r>
        <w:rPr>
          <w:rFonts w:hint="eastAsia"/>
          <w:color w:val="auto"/>
          <w:highlight w:val="none"/>
          <w:lang w:val="en-US" w:eastAsia="zh-CN"/>
        </w:rPr>
        <w:t>报价</w:t>
      </w:r>
      <w:r>
        <w:rPr>
          <w:rFonts w:hint="eastAsia"/>
          <w:color w:val="auto"/>
          <w:highlight w:val="none"/>
        </w:rPr>
        <w:t>前恢复系统运行的，</w:t>
      </w:r>
      <w:r>
        <w:rPr>
          <w:rFonts w:hint="eastAsia"/>
          <w:color w:val="auto"/>
          <w:highlight w:val="none"/>
          <w:lang w:val="en-US" w:eastAsia="zh-CN"/>
        </w:rPr>
        <w:t>报价</w:t>
      </w:r>
      <w:r>
        <w:rPr>
          <w:rFonts w:hint="eastAsia"/>
          <w:color w:val="auto"/>
          <w:highlight w:val="none"/>
        </w:rPr>
        <w:t>程序继续进行；若导致</w:t>
      </w:r>
      <w:r>
        <w:rPr>
          <w:rFonts w:hint="eastAsia"/>
          <w:color w:val="auto"/>
          <w:highlight w:val="none"/>
          <w:lang w:val="en-US" w:eastAsia="zh-CN"/>
        </w:rPr>
        <w:t>报价</w:t>
      </w:r>
      <w:r>
        <w:rPr>
          <w:rFonts w:hint="eastAsia"/>
          <w:color w:val="auto"/>
          <w:highlight w:val="none"/>
        </w:rPr>
        <w:t>程序无法按时开展，但能在原</w:t>
      </w:r>
      <w:r>
        <w:rPr>
          <w:rFonts w:hint="eastAsia"/>
          <w:color w:val="auto"/>
          <w:highlight w:val="none"/>
          <w:lang w:val="en-US" w:eastAsia="zh-CN"/>
        </w:rPr>
        <w:t>报价</w:t>
      </w:r>
      <w:r>
        <w:rPr>
          <w:rFonts w:hint="eastAsia"/>
          <w:color w:val="auto"/>
          <w:highlight w:val="none"/>
        </w:rPr>
        <w:t>时间后1小时内恢复系统运行的，</w:t>
      </w:r>
      <w:r>
        <w:rPr>
          <w:rFonts w:hint="eastAsia"/>
          <w:color w:val="auto"/>
          <w:highlight w:val="none"/>
          <w:lang w:val="en-US" w:eastAsia="zh-CN"/>
        </w:rPr>
        <w:t>报价</w:t>
      </w:r>
      <w:r>
        <w:rPr>
          <w:rFonts w:hint="eastAsia"/>
          <w:color w:val="auto"/>
          <w:highlight w:val="none"/>
        </w:rPr>
        <w:t>程序继续进行；若导致</w:t>
      </w:r>
      <w:r>
        <w:rPr>
          <w:rFonts w:hint="eastAsia"/>
          <w:color w:val="auto"/>
          <w:highlight w:val="none"/>
          <w:lang w:val="en-US" w:eastAsia="zh-CN"/>
        </w:rPr>
        <w:t>报价</w:t>
      </w:r>
      <w:r>
        <w:rPr>
          <w:rFonts w:hint="eastAsia"/>
          <w:color w:val="auto"/>
          <w:highlight w:val="none"/>
        </w:rPr>
        <w:t>程序无法按时开展，在原</w:t>
      </w:r>
      <w:r>
        <w:rPr>
          <w:rFonts w:hint="eastAsia"/>
          <w:color w:val="auto"/>
          <w:highlight w:val="none"/>
          <w:lang w:val="en-US" w:eastAsia="zh-CN"/>
        </w:rPr>
        <w:t>报价</w:t>
      </w:r>
      <w:r>
        <w:rPr>
          <w:rFonts w:hint="eastAsia"/>
          <w:color w:val="auto"/>
          <w:highlight w:val="none"/>
        </w:rPr>
        <w:t>时间后 1 小时内无法恢复系统运行的，按以下程序操作：</w:t>
      </w:r>
    </w:p>
    <w:p w14:paraId="32550836">
      <w:pPr>
        <w:pStyle w:val="45"/>
        <w:numPr>
          <w:ilvl w:val="0"/>
          <w:numId w:val="0"/>
        </w:numPr>
        <w:spacing w:before="156"/>
        <w:ind w:firstLine="480" w:firstLineChars="200"/>
        <w:rPr>
          <w:color w:val="auto"/>
          <w:highlight w:val="none"/>
        </w:rPr>
      </w:pPr>
      <w:r>
        <w:rPr>
          <w:rFonts w:hint="eastAsia"/>
          <w:color w:val="auto"/>
          <w:highlight w:val="none"/>
        </w:rPr>
        <w:t>（1）项目中止，中止期限由</w:t>
      </w:r>
      <w:r>
        <w:rPr>
          <w:rFonts w:hint="eastAsia"/>
          <w:color w:val="auto"/>
          <w:highlight w:val="none"/>
          <w:lang w:eastAsia="zh-CN"/>
        </w:rPr>
        <w:t>采购人</w:t>
      </w:r>
      <w:r>
        <w:rPr>
          <w:rFonts w:hint="eastAsia"/>
          <w:color w:val="auto"/>
          <w:highlight w:val="none"/>
        </w:rPr>
        <w:t>或</w:t>
      </w:r>
      <w:r>
        <w:rPr>
          <w:rFonts w:hint="eastAsia"/>
          <w:color w:val="auto"/>
          <w:highlight w:val="none"/>
          <w:lang w:eastAsia="zh-CN"/>
        </w:rPr>
        <w:t>采购代理机构</w:t>
      </w:r>
      <w:r>
        <w:rPr>
          <w:rFonts w:hint="eastAsia"/>
          <w:color w:val="auto"/>
          <w:highlight w:val="none"/>
        </w:rPr>
        <w:t>根据项目具体情况确定。中止期限届满后中止情形尚未消除的，</w:t>
      </w:r>
      <w:r>
        <w:rPr>
          <w:rFonts w:hint="eastAsia"/>
          <w:color w:val="auto"/>
          <w:highlight w:val="none"/>
          <w:lang w:eastAsia="zh-CN"/>
        </w:rPr>
        <w:t>采购人</w:t>
      </w:r>
      <w:r>
        <w:rPr>
          <w:rFonts w:hint="eastAsia"/>
          <w:color w:val="auto"/>
          <w:highlight w:val="none"/>
        </w:rPr>
        <w:t>或</w:t>
      </w:r>
      <w:r>
        <w:rPr>
          <w:rFonts w:hint="eastAsia"/>
          <w:color w:val="auto"/>
          <w:highlight w:val="none"/>
          <w:lang w:eastAsia="zh-CN"/>
        </w:rPr>
        <w:t>采购代理机构</w:t>
      </w:r>
      <w:r>
        <w:rPr>
          <w:rFonts w:hint="eastAsia"/>
          <w:color w:val="auto"/>
          <w:highlight w:val="none"/>
        </w:rPr>
        <w:t>可以根据实际情况决定延长中止期限。决定延长中止期限的，应向</w:t>
      </w:r>
      <w:r>
        <w:rPr>
          <w:rFonts w:hint="eastAsia"/>
          <w:color w:val="auto"/>
          <w:highlight w:val="none"/>
          <w:lang w:eastAsia="zh-CN"/>
        </w:rPr>
        <w:t>供应商</w:t>
      </w:r>
      <w:r>
        <w:rPr>
          <w:rFonts w:hint="eastAsia"/>
          <w:color w:val="auto"/>
          <w:highlight w:val="none"/>
        </w:rPr>
        <w:t>发出延长中止期限通知，并在交易中心网站进行公布。</w:t>
      </w:r>
    </w:p>
    <w:p w14:paraId="4601708C">
      <w:pPr>
        <w:pStyle w:val="45"/>
        <w:spacing w:before="156"/>
        <w:ind w:left="0" w:leftChars="0" w:firstLine="480" w:firstLineChars="200"/>
        <w:rPr>
          <w:color w:val="auto"/>
          <w:spacing w:val="-6"/>
          <w:sz w:val="24"/>
          <w:highlight w:val="none"/>
        </w:rPr>
        <w:sectPr>
          <w:footerReference r:id="rId10" w:type="default"/>
          <w:pgSz w:w="11906" w:h="16838"/>
          <w:pgMar w:top="1230" w:right="1003" w:bottom="1174" w:left="1003" w:header="850" w:footer="992" w:gutter="0"/>
          <w:pgBorders>
            <w:top w:val="none" w:sz="0" w:space="0"/>
            <w:left w:val="none" w:sz="0" w:space="0"/>
            <w:bottom w:val="none" w:sz="0" w:space="0"/>
            <w:right w:val="none" w:sz="0" w:space="0"/>
          </w:pgBorders>
          <w:pgNumType w:fmt="decimal" w:start="1"/>
          <w:cols w:space="0" w:num="1"/>
          <w:docGrid w:type="lines" w:linePitch="312" w:charSpace="0"/>
        </w:sectPr>
      </w:pPr>
      <w:r>
        <w:rPr>
          <w:rFonts w:hint="eastAsia"/>
          <w:color w:val="auto"/>
          <w:highlight w:val="none"/>
        </w:rPr>
        <w:t>（2）项目恢复导致项目中止的情形消除后，</w:t>
      </w:r>
      <w:r>
        <w:rPr>
          <w:rFonts w:hint="eastAsia"/>
          <w:color w:val="auto"/>
          <w:highlight w:val="none"/>
          <w:lang w:eastAsia="zh-CN"/>
        </w:rPr>
        <w:t>采购人</w:t>
      </w:r>
      <w:r>
        <w:rPr>
          <w:rFonts w:hint="eastAsia"/>
          <w:color w:val="auto"/>
          <w:highlight w:val="none"/>
        </w:rPr>
        <w:t>或</w:t>
      </w:r>
      <w:r>
        <w:rPr>
          <w:rFonts w:hint="eastAsia"/>
          <w:color w:val="auto"/>
          <w:highlight w:val="none"/>
          <w:lang w:eastAsia="zh-CN"/>
        </w:rPr>
        <w:t>采购代理机构</w:t>
      </w:r>
      <w:r>
        <w:rPr>
          <w:rFonts w:hint="eastAsia"/>
          <w:color w:val="auto"/>
          <w:highlight w:val="none"/>
        </w:rPr>
        <w:t>应当尽快恢复</w:t>
      </w:r>
      <w:r>
        <w:rPr>
          <w:rFonts w:hint="eastAsia"/>
          <w:color w:val="auto"/>
          <w:highlight w:val="none"/>
          <w:lang w:val="en-US" w:eastAsia="zh-CN"/>
        </w:rPr>
        <w:t>报价</w:t>
      </w:r>
      <w:r>
        <w:rPr>
          <w:rFonts w:hint="eastAsia"/>
          <w:color w:val="auto"/>
          <w:highlight w:val="none"/>
        </w:rPr>
        <w:t>程序，向</w:t>
      </w:r>
      <w:r>
        <w:rPr>
          <w:rFonts w:hint="eastAsia"/>
          <w:color w:val="auto"/>
          <w:spacing w:val="-6"/>
          <w:sz w:val="24"/>
          <w:highlight w:val="none"/>
          <w:lang w:eastAsia="zh-CN"/>
        </w:rPr>
        <w:t>供应商</w:t>
      </w:r>
      <w:r>
        <w:rPr>
          <w:rFonts w:hint="eastAsia"/>
          <w:color w:val="auto"/>
          <w:spacing w:val="-6"/>
          <w:sz w:val="24"/>
          <w:highlight w:val="none"/>
        </w:rPr>
        <w:t>发出恢复交易通知，并在交易中心网站进行公布；已发出延长中止期限通知的，按通知执行。</w:t>
      </w:r>
    </w:p>
    <w:p w14:paraId="036C61AB">
      <w:pPr>
        <w:pStyle w:val="3"/>
        <w:spacing w:before="156" w:after="156"/>
        <w:rPr>
          <w:rFonts w:ascii="微软雅黑" w:hAnsi="微软雅黑" w:eastAsia="微软雅黑" w:cs="微软雅黑"/>
          <w:color w:val="auto"/>
          <w:highlight w:val="none"/>
        </w:rPr>
      </w:pPr>
      <w:bookmarkStart w:id="40" w:name="_Toc19974"/>
      <w:bookmarkStart w:id="41" w:name="_Toc14706"/>
      <w:r>
        <w:rPr>
          <w:rFonts w:ascii="微软雅黑" w:hAnsi="微软雅黑" w:eastAsia="微软雅黑" w:cs="微软雅黑"/>
          <w:color w:val="auto"/>
          <w:highlight w:val="none"/>
        </w:rPr>
        <w:t>第三章 项目需求</w:t>
      </w:r>
      <w:bookmarkEnd w:id="38"/>
      <w:bookmarkEnd w:id="39"/>
      <w:bookmarkEnd w:id="40"/>
      <w:bookmarkEnd w:id="41"/>
    </w:p>
    <w:p w14:paraId="65A588E5">
      <w:pPr>
        <w:pStyle w:val="45"/>
        <w:spacing w:before="240"/>
        <w:ind w:firstLine="482"/>
        <w:rPr>
          <w:b/>
          <w:bCs/>
          <w:color w:val="auto"/>
          <w:highlight w:val="none"/>
        </w:rPr>
      </w:pPr>
      <w:r>
        <w:rPr>
          <w:rFonts w:hint="eastAsia"/>
          <w:b/>
          <w:bCs/>
          <w:color w:val="auto"/>
          <w:highlight w:val="none"/>
        </w:rPr>
        <w:t>前注：</w:t>
      </w:r>
    </w:p>
    <w:p w14:paraId="35A22DDF">
      <w:pPr>
        <w:pStyle w:val="45"/>
        <w:numPr>
          <w:ilvl w:val="0"/>
          <w:numId w:val="41"/>
        </w:numPr>
        <w:spacing w:before="240" w:beforeLines="100"/>
        <w:ind w:left="0" w:leftChars="0" w:firstLine="480" w:firstLine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关于规范政府采购进口产品有关工作的通知》及政府采购管理部门的相关规定，下列采购需求中标注进口产品的货物均已履行相关论证手续，经核准采购进口产品，但不限制满足谈判文件要求的国内产品参与竞争。未标注进口产品的货物均为拒绝采购进口产品。</w:t>
      </w:r>
    </w:p>
    <w:p w14:paraId="23714054">
      <w:pPr>
        <w:pStyle w:val="45"/>
        <w:numPr>
          <w:ilvl w:val="0"/>
          <w:numId w:val="41"/>
        </w:numPr>
        <w:spacing w:before="240" w:beforeLines="100"/>
        <w:ind w:left="0" w:leftChars="0" w:firstLine="48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下列采购需求中：如属于《节能产品政府采购品目清单》中政府强制采购的节能产品，则供应商所投产品须具有市场监管总局公布的《参与实施政府采购节能产品认证机构目录》中的认证机构出具的、处于有效期内的节能产品认证证书。</w:t>
      </w:r>
    </w:p>
    <w:p w14:paraId="3507F1DA">
      <w:pPr>
        <w:pStyle w:val="45"/>
        <w:numPr>
          <w:ilvl w:val="0"/>
          <w:numId w:val="41"/>
        </w:numPr>
        <w:spacing w:before="240" w:beforeLines="100"/>
        <w:ind w:left="0" w:leftChars="0" w:firstLine="480" w:firstLine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下列采购需求中用“★”符号标明的条款为实质性要求和条件，供应商必须完全响应，未按要求响应，视为实质性偏离，其响应无效。未标注“★”的条款为非实质性要求和条件，视为非实质性偏离。非实质性偏离的范围和幅度</w:t>
      </w:r>
      <w:r>
        <w:rPr>
          <w:rFonts w:hint="eastAsia"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项，响应无效。</w:t>
      </w:r>
    </w:p>
    <w:p w14:paraId="70585BB5">
      <w:pPr>
        <w:pStyle w:val="7"/>
        <w:pageBreakBefore w:val="0"/>
        <w:numPr>
          <w:ilvl w:val="0"/>
          <w:numId w:val="42"/>
        </w:numPr>
        <w:kinsoku/>
        <w:wordWrap/>
        <w:overflowPunct/>
        <w:topLinePunct w:val="0"/>
        <w:autoSpaceDE/>
        <w:autoSpaceDN/>
        <w:bidi w:val="0"/>
        <w:adjustRightInd/>
        <w:snapToGrid/>
        <w:spacing w:line="500" w:lineRule="exact"/>
        <w:ind w:firstLine="480" w:firstLineChars="200"/>
        <w:textAlignment w:val="auto"/>
        <w:outlineLvl w:val="1"/>
        <w:rPr>
          <w:rFonts w:hint="eastAsia"/>
          <w:color w:val="auto"/>
          <w:highlight w:val="none"/>
          <w:lang w:eastAsia="zh-CN"/>
        </w:rPr>
      </w:pPr>
      <w:bookmarkStart w:id="42" w:name="_Toc24142"/>
      <w:bookmarkStart w:id="43" w:name="_Toc5734"/>
      <w:bookmarkStart w:id="44" w:name="_Toc32740"/>
      <w:bookmarkStart w:id="45" w:name="_Toc12114"/>
      <w:bookmarkStart w:id="46" w:name="_Toc9711"/>
      <w:r>
        <w:rPr>
          <w:rFonts w:hint="eastAsia"/>
          <w:color w:val="auto"/>
          <w:highlight w:val="none"/>
          <w:lang w:eastAsia="zh-CN"/>
        </w:rPr>
        <w:t>项目概况</w:t>
      </w:r>
      <w:bookmarkEnd w:id="42"/>
      <w:bookmarkEnd w:id="43"/>
    </w:p>
    <w:p w14:paraId="2A9F1716">
      <w:pPr>
        <w:widowControl w:val="0"/>
        <w:spacing w:before="17" w:after="120" w:afterAutospacing="0" w:line="340" w:lineRule="auto"/>
        <w:ind w:firstLine="720" w:firstLineChars="300"/>
        <w:jc w:val="both"/>
        <w:rPr>
          <w:rFonts w:hint="eastAsia"/>
          <w:color w:val="auto"/>
          <w:lang w:eastAsia="zh-CN"/>
        </w:rPr>
      </w:pPr>
      <w:bookmarkStart w:id="47" w:name="_Toc23714"/>
      <w:bookmarkStart w:id="48" w:name="_Toc12943"/>
      <w:r>
        <w:rPr>
          <w:rFonts w:hint="eastAsia" w:ascii="Arial Narrow" w:hAnsi="Arial Narrow" w:eastAsia="宋体" w:cs="宋体"/>
          <w:color w:val="auto"/>
          <w:kern w:val="2"/>
          <w:sz w:val="24"/>
          <w:szCs w:val="22"/>
          <w:lang w:val="en-US" w:eastAsia="zh-CN" w:bidi="ar-SA"/>
        </w:rPr>
        <w:t>为保证市公安局公安科学技术大队和专业实验室检验鉴定工作的正常开展，经过市公安局党委会研究同意，启动公安科学技术大队实验室试剂耗材及DNA样本检验项目采购。项目主要采购内容包括DNA实验室、理化实验室、电子物证实验室、法医实验室四个专业实验室的试剂耗材采购及DNA样本检验。</w:t>
      </w:r>
    </w:p>
    <w:p w14:paraId="1E03526D">
      <w:pPr>
        <w:pStyle w:val="7"/>
        <w:pageBreakBefore w:val="0"/>
        <w:numPr>
          <w:ilvl w:val="0"/>
          <w:numId w:val="42"/>
        </w:numPr>
        <w:kinsoku/>
        <w:wordWrap/>
        <w:overflowPunct/>
        <w:topLinePunct w:val="0"/>
        <w:autoSpaceDE/>
        <w:autoSpaceDN/>
        <w:bidi w:val="0"/>
        <w:adjustRightInd/>
        <w:snapToGrid/>
        <w:spacing w:line="500" w:lineRule="exact"/>
        <w:ind w:firstLine="480" w:firstLineChars="200"/>
        <w:textAlignment w:val="auto"/>
        <w:outlineLvl w:val="1"/>
        <w:rPr>
          <w:rFonts w:hint="eastAsia"/>
          <w:color w:val="auto"/>
          <w:highlight w:val="none"/>
          <w:lang w:eastAsia="zh-CN"/>
        </w:rPr>
      </w:pPr>
      <w:r>
        <w:rPr>
          <w:rFonts w:hint="eastAsia"/>
          <w:color w:val="auto"/>
          <w:highlight w:val="none"/>
          <w:lang w:eastAsia="zh-CN"/>
        </w:rPr>
        <w:t>采购项目预（概）算</w:t>
      </w:r>
      <w:bookmarkEnd w:id="47"/>
      <w:bookmarkEnd w:id="48"/>
    </w:p>
    <w:p w14:paraId="0D89A2C6">
      <w:pPr>
        <w:ind w:firstLine="420"/>
        <w:jc w:val="both"/>
        <w:rPr>
          <w:rFonts w:hint="eastAsia" w:asciiTheme="minorEastAsia" w:hAnsiTheme="minorEastAsia" w:eastAsiaTheme="minorEastAsia" w:cstheme="minorEastAsia"/>
          <w:color w:val="auto"/>
          <w:kern w:val="2"/>
          <w:sz w:val="24"/>
          <w:szCs w:val="21"/>
          <w:highlight w:val="none"/>
          <w:lang w:val="en-US" w:eastAsia="zh-CN" w:bidi="ar-SA"/>
        </w:rPr>
      </w:pPr>
      <w:bookmarkStart w:id="49" w:name="_Toc7680"/>
      <w:bookmarkStart w:id="50" w:name="_Toc4938"/>
      <w:r>
        <w:rPr>
          <w:rFonts w:hint="eastAsia" w:asciiTheme="minorEastAsia" w:hAnsiTheme="minorEastAsia" w:eastAsiaTheme="minorEastAsia" w:cstheme="minorEastAsia"/>
          <w:color w:val="auto"/>
          <w:kern w:val="2"/>
          <w:sz w:val="24"/>
          <w:szCs w:val="21"/>
          <w:highlight w:val="none"/>
          <w:lang w:val="en-US" w:eastAsia="zh-CN" w:bidi="ar-SA"/>
        </w:rPr>
        <w:t>预（概）算∶635382.00.00元 。</w:t>
      </w:r>
    </w:p>
    <w:p w14:paraId="51AE802B">
      <w:pPr>
        <w:ind w:firstLine="420"/>
        <w:jc w:val="both"/>
        <w:rPr>
          <w:rFonts w:hint="default" w:asciiTheme="minorEastAsia" w:hAnsiTheme="minorEastAsia" w:eastAsiaTheme="minorEastAsia" w:cstheme="minorEastAsia"/>
          <w:color w:val="auto"/>
          <w:kern w:val="2"/>
          <w:sz w:val="24"/>
          <w:szCs w:val="21"/>
          <w:highlight w:val="none"/>
          <w:lang w:val="en-US" w:eastAsia="zh-CN" w:bidi="ar-SA"/>
        </w:rPr>
      </w:pPr>
      <w:r>
        <w:rPr>
          <w:rFonts w:hint="default" w:asciiTheme="minorEastAsia" w:hAnsiTheme="minorEastAsia" w:eastAsiaTheme="minorEastAsia" w:cstheme="minorEastAsia"/>
          <w:color w:val="auto"/>
          <w:kern w:val="2"/>
          <w:sz w:val="24"/>
          <w:szCs w:val="21"/>
          <w:highlight w:val="none"/>
          <w:lang w:val="en-US" w:eastAsia="zh-CN" w:bidi="ar-SA"/>
        </w:rPr>
        <w:t>最高限价∶</w:t>
      </w:r>
      <w:r>
        <w:rPr>
          <w:rFonts w:hint="eastAsia" w:asciiTheme="minorEastAsia" w:hAnsiTheme="minorEastAsia" w:eastAsiaTheme="minorEastAsia" w:cstheme="minorEastAsia"/>
          <w:color w:val="auto"/>
          <w:kern w:val="2"/>
          <w:sz w:val="24"/>
          <w:szCs w:val="21"/>
          <w:highlight w:val="none"/>
          <w:lang w:val="en-US" w:eastAsia="zh-CN" w:bidi="ar-SA"/>
        </w:rPr>
        <w:t>635382.00</w:t>
      </w:r>
      <w:r>
        <w:rPr>
          <w:rFonts w:hint="default" w:asciiTheme="minorEastAsia" w:hAnsiTheme="minorEastAsia" w:eastAsiaTheme="minorEastAsia" w:cstheme="minorEastAsia"/>
          <w:color w:val="auto"/>
          <w:kern w:val="2"/>
          <w:sz w:val="24"/>
          <w:szCs w:val="21"/>
          <w:highlight w:val="none"/>
          <w:lang w:val="en-US" w:eastAsia="zh-CN" w:bidi="ar-SA"/>
        </w:rPr>
        <w:t xml:space="preserve">.00元 </w:t>
      </w:r>
      <w:r>
        <w:rPr>
          <w:rFonts w:hint="eastAsia" w:asciiTheme="minorEastAsia" w:hAnsiTheme="minorEastAsia" w:eastAsiaTheme="minorEastAsia" w:cstheme="minorEastAsia"/>
          <w:color w:val="auto"/>
          <w:kern w:val="2"/>
          <w:sz w:val="24"/>
          <w:szCs w:val="21"/>
          <w:highlight w:val="none"/>
          <w:lang w:val="en-US" w:eastAsia="zh-CN" w:bidi="ar-SA"/>
        </w:rPr>
        <w:t>。</w:t>
      </w:r>
    </w:p>
    <w:p w14:paraId="4E5CB81F">
      <w:pPr>
        <w:pStyle w:val="7"/>
        <w:pageBreakBefore w:val="0"/>
        <w:numPr>
          <w:ilvl w:val="0"/>
          <w:numId w:val="42"/>
        </w:numPr>
        <w:kinsoku/>
        <w:wordWrap/>
        <w:overflowPunct/>
        <w:topLinePunct w:val="0"/>
        <w:autoSpaceDE/>
        <w:autoSpaceDN/>
        <w:bidi w:val="0"/>
        <w:adjustRightInd/>
        <w:snapToGrid/>
        <w:spacing w:line="500" w:lineRule="exact"/>
        <w:ind w:firstLine="480" w:firstLineChars="200"/>
        <w:textAlignment w:val="auto"/>
        <w:outlineLvl w:val="1"/>
        <w:rPr>
          <w:rFonts w:hint="eastAsia"/>
          <w:color w:val="auto"/>
          <w:highlight w:val="none"/>
          <w:lang w:eastAsia="zh-CN"/>
        </w:rPr>
      </w:pPr>
      <w:r>
        <w:rPr>
          <w:rFonts w:hint="eastAsia"/>
          <w:color w:val="auto"/>
          <w:highlight w:val="none"/>
          <w:lang w:eastAsia="zh-CN"/>
        </w:rPr>
        <w:t>采购标的汇总表</w:t>
      </w:r>
      <w:bookmarkEnd w:id="49"/>
      <w:bookmarkEnd w:id="50"/>
    </w:p>
    <w:tbl>
      <w:tblPr>
        <w:tblStyle w:val="36"/>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780"/>
        <w:gridCol w:w="3198"/>
        <w:gridCol w:w="1992"/>
        <w:gridCol w:w="720"/>
        <w:gridCol w:w="826"/>
        <w:gridCol w:w="1424"/>
      </w:tblGrid>
      <w:tr w14:paraId="472FDE6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22" w:type="dxa"/>
            <w:tcBorders>
              <w:tl2br w:val="nil"/>
              <w:tr2bl w:val="nil"/>
            </w:tcBorders>
            <w:vAlign w:val="center"/>
          </w:tcPr>
          <w:p w14:paraId="0EA1BD3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b/>
                <w:bCs/>
                <w:color w:val="auto"/>
                <w:sz w:val="22"/>
                <w:szCs w:val="22"/>
                <w:highlight w:val="none"/>
                <w:lang w:eastAsia="zh-CN"/>
              </w:rPr>
              <w:t>包号</w:t>
            </w:r>
          </w:p>
        </w:tc>
        <w:tc>
          <w:tcPr>
            <w:tcW w:w="780" w:type="dxa"/>
            <w:tcBorders>
              <w:tl2br w:val="nil"/>
              <w:tr2bl w:val="nil"/>
            </w:tcBorders>
            <w:vAlign w:val="center"/>
          </w:tcPr>
          <w:p w14:paraId="7B464B7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b/>
                <w:bCs/>
                <w:color w:val="auto"/>
                <w:sz w:val="22"/>
                <w:szCs w:val="22"/>
                <w:highlight w:val="none"/>
                <w:lang w:eastAsia="zh-CN"/>
              </w:rPr>
              <w:t>序号</w:t>
            </w:r>
          </w:p>
        </w:tc>
        <w:tc>
          <w:tcPr>
            <w:tcW w:w="3198" w:type="dxa"/>
            <w:tcBorders>
              <w:tl2br w:val="nil"/>
              <w:tr2bl w:val="nil"/>
            </w:tcBorders>
            <w:vAlign w:val="center"/>
          </w:tcPr>
          <w:p w14:paraId="0F07D54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b/>
                <w:bCs/>
                <w:color w:val="auto"/>
                <w:sz w:val="22"/>
                <w:szCs w:val="22"/>
                <w:highlight w:val="none"/>
                <w:lang w:eastAsia="zh-CN"/>
              </w:rPr>
              <w:t>标的名称</w:t>
            </w:r>
          </w:p>
        </w:tc>
        <w:tc>
          <w:tcPr>
            <w:tcW w:w="1992" w:type="dxa"/>
            <w:tcBorders>
              <w:tl2br w:val="nil"/>
              <w:tr2bl w:val="nil"/>
            </w:tcBorders>
            <w:vAlign w:val="center"/>
          </w:tcPr>
          <w:p w14:paraId="24BE02D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b/>
                <w:bCs/>
                <w:color w:val="auto"/>
                <w:sz w:val="22"/>
                <w:szCs w:val="22"/>
                <w:highlight w:val="none"/>
                <w:lang w:eastAsia="zh-CN"/>
              </w:rPr>
              <w:t>品目分类编码</w:t>
            </w:r>
          </w:p>
        </w:tc>
        <w:tc>
          <w:tcPr>
            <w:tcW w:w="720" w:type="dxa"/>
            <w:tcBorders>
              <w:tl2br w:val="nil"/>
              <w:tr2bl w:val="nil"/>
            </w:tcBorders>
            <w:vAlign w:val="center"/>
          </w:tcPr>
          <w:p w14:paraId="7E0C128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b/>
                <w:bCs/>
                <w:color w:val="auto"/>
                <w:sz w:val="22"/>
                <w:szCs w:val="22"/>
                <w:highlight w:val="none"/>
                <w:lang w:eastAsia="zh-CN"/>
              </w:rPr>
              <w:t>计量单位</w:t>
            </w:r>
          </w:p>
        </w:tc>
        <w:tc>
          <w:tcPr>
            <w:tcW w:w="826" w:type="dxa"/>
            <w:tcBorders>
              <w:tl2br w:val="nil"/>
              <w:tr2bl w:val="nil"/>
            </w:tcBorders>
            <w:vAlign w:val="center"/>
          </w:tcPr>
          <w:p w14:paraId="76BA30F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b/>
                <w:bCs/>
                <w:color w:val="auto"/>
                <w:sz w:val="22"/>
                <w:szCs w:val="22"/>
                <w:highlight w:val="none"/>
                <w:lang w:eastAsia="zh-CN"/>
              </w:rPr>
              <w:t>数量</w:t>
            </w:r>
          </w:p>
        </w:tc>
        <w:tc>
          <w:tcPr>
            <w:tcW w:w="1424" w:type="dxa"/>
            <w:tcBorders>
              <w:tl2br w:val="nil"/>
              <w:tr2bl w:val="nil"/>
            </w:tcBorders>
            <w:vAlign w:val="center"/>
          </w:tcPr>
          <w:p w14:paraId="67DABA1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b/>
                <w:bCs/>
                <w:color w:val="auto"/>
                <w:sz w:val="22"/>
                <w:szCs w:val="22"/>
                <w:highlight w:val="none"/>
                <w:lang w:eastAsia="zh-CN"/>
              </w:rPr>
              <w:t>是否进口</w:t>
            </w:r>
          </w:p>
        </w:tc>
      </w:tr>
      <w:tr w14:paraId="0A210D9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22" w:type="dxa"/>
            <w:tcBorders>
              <w:tl2br w:val="nil"/>
              <w:tr2bl w:val="nil"/>
            </w:tcBorders>
            <w:vAlign w:val="center"/>
          </w:tcPr>
          <w:p w14:paraId="4604A356">
            <w:pPr>
              <w:pStyle w:val="59"/>
              <w:numPr>
                <w:ilvl w:val="0"/>
                <w:numId w:val="0"/>
              </w:numPr>
              <w:bidi w:val="0"/>
              <w:spacing w:line="480" w:lineRule="auto"/>
              <w:ind w:left="0" w:leftChars="0" w:firstLine="0" w:firstLineChars="0"/>
              <w:jc w:val="center"/>
              <w:rPr>
                <w:rFonts w:hint="eastAsia" w:ascii="微软雅黑" w:hAnsi="微软雅黑" w:eastAsia="微软雅黑" w:cs="微软雅黑"/>
                <w:b w:val="0"/>
                <w:bCs w:val="0"/>
                <w:color w:val="auto"/>
                <w:sz w:val="22"/>
                <w:szCs w:val="21"/>
                <w:highlight w:val="none"/>
                <w:vertAlign w:val="baseline"/>
                <w:lang w:eastAsia="zh-CN"/>
              </w:rPr>
            </w:pPr>
            <w:bookmarkStart w:id="51" w:name="_Toc20741"/>
            <w:bookmarkStart w:id="52" w:name="_Toc5867"/>
            <w:r>
              <w:rPr>
                <w:rFonts w:hint="eastAsia" w:ascii="微软雅黑" w:hAnsi="微软雅黑" w:eastAsia="微软雅黑" w:cs="微软雅黑"/>
                <w:b w:val="0"/>
                <w:bCs w:val="0"/>
                <w:i w:val="0"/>
                <w:iCs w:val="0"/>
                <w:color w:val="auto"/>
                <w:sz w:val="22"/>
                <w:szCs w:val="21"/>
                <w:vertAlign w:val="baseline"/>
                <w:lang w:val="en-US" w:eastAsia="zh-CN"/>
              </w:rPr>
              <w:t>包1</w:t>
            </w:r>
          </w:p>
        </w:tc>
        <w:tc>
          <w:tcPr>
            <w:tcW w:w="780" w:type="dxa"/>
            <w:tcBorders>
              <w:tl2br w:val="nil"/>
              <w:tr2bl w:val="nil"/>
            </w:tcBorders>
            <w:vAlign w:val="center"/>
          </w:tcPr>
          <w:p w14:paraId="60745FF9">
            <w:pPr>
              <w:pStyle w:val="59"/>
              <w:numPr>
                <w:ilvl w:val="0"/>
                <w:numId w:val="43"/>
              </w:numPr>
              <w:spacing w:line="480" w:lineRule="auto"/>
              <w:ind w:firstLine="0" w:firstLineChars="0"/>
              <w:jc w:val="center"/>
              <w:rPr>
                <w:rFonts w:hint="eastAsia" w:ascii="Arial Narrow" w:hAnsi="Arial Narrow" w:eastAsia="宋体" w:cs="宋体"/>
                <w:color w:val="auto"/>
                <w:kern w:val="2"/>
                <w:sz w:val="24"/>
                <w:szCs w:val="22"/>
                <w:highlight w:val="none"/>
                <w:lang w:val="en-US" w:eastAsia="zh-CN" w:bidi="ar-SA"/>
              </w:rPr>
            </w:pPr>
          </w:p>
        </w:tc>
        <w:tc>
          <w:tcPr>
            <w:tcW w:w="3198" w:type="dxa"/>
            <w:tcBorders>
              <w:tl2br w:val="nil"/>
              <w:tr2bl w:val="nil"/>
            </w:tcBorders>
            <w:vAlign w:val="center"/>
          </w:tcPr>
          <w:p w14:paraId="69EED413">
            <w:pPr>
              <w:pStyle w:val="58"/>
              <w:keepNext w:val="0"/>
              <w:keepLines w:val="0"/>
              <w:pageBreakBefore w:val="0"/>
              <w:widowControl/>
              <w:numPr>
                <w:ilvl w:val="0"/>
                <w:numId w:val="0"/>
              </w:numPr>
              <w:tabs>
                <w:tab w:val="clear" w:pos="0"/>
              </w:tabs>
              <w:kinsoku/>
              <w:wordWrap/>
              <w:overflowPunct/>
              <w:topLinePunct w:val="0"/>
              <w:autoSpaceDE/>
              <w:autoSpaceDN/>
              <w:bidi w:val="0"/>
              <w:adjustRightInd/>
              <w:snapToGrid/>
              <w:spacing w:line="300" w:lineRule="exact"/>
              <w:ind w:left="0" w:leftChars="0" w:right="-55" w:rightChars="-23" w:firstLine="0" w:firstLineChars="0"/>
              <w:jc w:val="center"/>
              <w:textAlignment w:val="auto"/>
              <w:rPr>
                <w:rFonts w:hint="eastAsia" w:ascii="Arial Narrow" w:hAnsi="Arial Narrow" w:eastAsia="宋体" w:cs="宋体"/>
                <w:color w:val="auto"/>
                <w:kern w:val="2"/>
                <w:sz w:val="24"/>
                <w:szCs w:val="22"/>
                <w:highlight w:val="none"/>
                <w:lang w:val="en-US" w:eastAsia="zh-CN" w:bidi="ar-SA"/>
              </w:rPr>
            </w:pPr>
            <w:r>
              <w:rPr>
                <w:rFonts w:hint="eastAsia" w:ascii="Arial Narrow" w:hAnsi="Arial Narrow" w:eastAsia="宋体" w:cs="宋体"/>
                <w:color w:val="auto"/>
                <w:kern w:val="2"/>
                <w:sz w:val="24"/>
                <w:szCs w:val="22"/>
                <w:lang w:val="en-US" w:eastAsia="zh-CN" w:bidi="ar-SA"/>
              </w:rPr>
              <w:t>公安科学技术大队实验室试剂耗材及DNA样本检验项目</w:t>
            </w:r>
          </w:p>
        </w:tc>
        <w:tc>
          <w:tcPr>
            <w:tcW w:w="1992" w:type="dxa"/>
            <w:tcBorders>
              <w:tl2br w:val="nil"/>
              <w:tr2bl w:val="nil"/>
            </w:tcBorders>
            <w:vAlign w:val="center"/>
          </w:tcPr>
          <w:p w14:paraId="687ADB90">
            <w:pPr>
              <w:pStyle w:val="58"/>
              <w:keepNext w:val="0"/>
              <w:keepLines w:val="0"/>
              <w:pageBreakBefore w:val="0"/>
              <w:widowControl/>
              <w:numPr>
                <w:ilvl w:val="0"/>
                <w:numId w:val="0"/>
              </w:numPr>
              <w:tabs>
                <w:tab w:val="clear" w:pos="0"/>
              </w:tabs>
              <w:kinsoku/>
              <w:wordWrap/>
              <w:overflowPunct/>
              <w:topLinePunct w:val="0"/>
              <w:autoSpaceDE/>
              <w:autoSpaceDN/>
              <w:bidi w:val="0"/>
              <w:adjustRightInd/>
              <w:snapToGrid/>
              <w:spacing w:line="300" w:lineRule="exact"/>
              <w:ind w:left="0" w:leftChars="0" w:right="-55" w:rightChars="-23" w:firstLine="0" w:firstLineChars="0"/>
              <w:jc w:val="center"/>
              <w:textAlignment w:val="auto"/>
              <w:rPr>
                <w:rFonts w:hint="eastAsia" w:ascii="Arial Narrow" w:hAnsi="Arial Narrow" w:eastAsia="宋体" w:cs="宋体"/>
                <w:color w:val="auto"/>
                <w:kern w:val="2"/>
                <w:sz w:val="24"/>
                <w:szCs w:val="22"/>
                <w:highlight w:val="none"/>
                <w:lang w:val="en-US" w:eastAsia="zh-CN" w:bidi="ar-SA"/>
              </w:rPr>
            </w:pPr>
            <w:r>
              <w:rPr>
                <w:rFonts w:hint="eastAsia" w:ascii="微软雅黑" w:hAnsi="微软雅黑" w:eastAsia="微软雅黑" w:cs="微软雅黑"/>
                <w:i w:val="0"/>
                <w:iCs w:val="0"/>
                <w:caps w:val="0"/>
                <w:color w:val="auto"/>
                <w:spacing w:val="0"/>
                <w:sz w:val="21"/>
                <w:szCs w:val="21"/>
              </w:rPr>
              <w:t>A07026602-生物试剂盒</w:t>
            </w:r>
          </w:p>
        </w:tc>
        <w:tc>
          <w:tcPr>
            <w:tcW w:w="720" w:type="dxa"/>
            <w:tcBorders>
              <w:tl2br w:val="nil"/>
              <w:tr2bl w:val="nil"/>
            </w:tcBorders>
            <w:vAlign w:val="center"/>
          </w:tcPr>
          <w:p w14:paraId="66F3FD43">
            <w:pPr>
              <w:pStyle w:val="58"/>
              <w:numPr>
                <w:ilvl w:val="0"/>
                <w:numId w:val="0"/>
              </w:numPr>
              <w:tabs>
                <w:tab w:val="clear" w:pos="0"/>
              </w:tabs>
              <w:bidi w:val="0"/>
              <w:ind w:left="240" w:leftChars="100" w:right="-55" w:rightChars="-23" w:firstLine="0" w:firstLineChars="0"/>
              <w:jc w:val="center"/>
              <w:rPr>
                <w:rFonts w:hint="eastAsia" w:ascii="Arial Narrow" w:hAnsi="Arial Narrow" w:eastAsia="宋体" w:cs="宋体"/>
                <w:color w:val="auto"/>
                <w:kern w:val="2"/>
                <w:sz w:val="24"/>
                <w:szCs w:val="22"/>
                <w:highlight w:val="none"/>
                <w:lang w:val="en-US" w:eastAsia="zh-CN" w:bidi="ar-SA"/>
              </w:rPr>
            </w:pPr>
            <w:r>
              <w:rPr>
                <w:rFonts w:hint="eastAsia" w:ascii="微软雅黑" w:hAnsi="微软雅黑" w:cs="微软雅黑"/>
                <w:i w:val="0"/>
                <w:iCs w:val="0"/>
                <w:color w:val="auto"/>
                <w:u w:val="none"/>
                <w:lang w:val="en-US" w:eastAsia="zh-CN"/>
              </w:rPr>
              <w:t>批</w:t>
            </w:r>
          </w:p>
        </w:tc>
        <w:tc>
          <w:tcPr>
            <w:tcW w:w="826" w:type="dxa"/>
            <w:tcBorders>
              <w:tl2br w:val="nil"/>
              <w:tr2bl w:val="nil"/>
            </w:tcBorders>
            <w:vAlign w:val="center"/>
          </w:tcPr>
          <w:p w14:paraId="03FA0BD9">
            <w:pPr>
              <w:pStyle w:val="58"/>
              <w:numPr>
                <w:ilvl w:val="0"/>
                <w:numId w:val="0"/>
              </w:numPr>
              <w:tabs>
                <w:tab w:val="clear" w:pos="0"/>
              </w:tabs>
              <w:bidi w:val="0"/>
              <w:ind w:left="240" w:leftChars="100" w:right="-55" w:rightChars="-23" w:firstLine="0" w:firstLineChars="0"/>
              <w:jc w:val="center"/>
              <w:rPr>
                <w:rFonts w:hint="eastAsia" w:ascii="Arial Narrow" w:hAnsi="Arial Narrow" w:eastAsia="宋体" w:cs="宋体"/>
                <w:color w:val="auto"/>
                <w:kern w:val="2"/>
                <w:sz w:val="24"/>
                <w:szCs w:val="22"/>
                <w:highlight w:val="none"/>
                <w:lang w:val="en-US" w:eastAsia="zh-CN" w:bidi="ar-SA"/>
              </w:rPr>
            </w:pPr>
            <w:r>
              <w:rPr>
                <w:rFonts w:hint="eastAsia" w:ascii="微软雅黑" w:hAnsi="微软雅黑" w:cs="微软雅黑"/>
                <w:i w:val="0"/>
                <w:iCs w:val="0"/>
                <w:color w:val="auto"/>
                <w:u w:val="none"/>
                <w:lang w:val="en-US" w:eastAsia="zh-CN"/>
              </w:rPr>
              <w:t>1</w:t>
            </w:r>
          </w:p>
        </w:tc>
        <w:tc>
          <w:tcPr>
            <w:tcW w:w="1424" w:type="dxa"/>
            <w:tcBorders>
              <w:tl2br w:val="nil"/>
              <w:tr2bl w:val="nil"/>
            </w:tcBorders>
            <w:vAlign w:val="center"/>
          </w:tcPr>
          <w:p w14:paraId="300E5496">
            <w:pPr>
              <w:pStyle w:val="58"/>
              <w:numPr>
                <w:ilvl w:val="0"/>
                <w:numId w:val="0"/>
              </w:numPr>
              <w:tabs>
                <w:tab w:val="clear" w:pos="0"/>
              </w:tabs>
              <w:ind w:left="240" w:leftChars="100" w:right="-55" w:rightChars="0" w:firstLine="0" w:firstLineChars="0"/>
              <w:rPr>
                <w:rFonts w:hint="eastAsia" w:ascii="Arial Narrow" w:hAnsi="Arial Narrow" w:eastAsia="宋体" w:cs="宋体"/>
                <w:color w:val="auto"/>
                <w:kern w:val="2"/>
                <w:sz w:val="24"/>
                <w:szCs w:val="22"/>
                <w:highlight w:val="none"/>
                <w:lang w:val="en-US" w:eastAsia="zh-CN" w:bidi="ar-SA"/>
              </w:rPr>
            </w:pPr>
            <w:r>
              <w:rPr>
                <w:rFonts w:hint="eastAsia" w:ascii="微软雅黑" w:hAnsi="微软雅黑" w:eastAsia="微软雅黑" w:cs="微软雅黑"/>
                <w:color w:val="auto"/>
                <w:sz w:val="22"/>
                <w:szCs w:val="22"/>
                <w:highlight w:val="none"/>
              </w:rPr>
              <w:t>否</w:t>
            </w:r>
          </w:p>
        </w:tc>
      </w:tr>
    </w:tbl>
    <w:p w14:paraId="0C48BBF0">
      <w:pPr>
        <w:pStyle w:val="7"/>
        <w:numPr>
          <w:ilvl w:val="0"/>
          <w:numId w:val="42"/>
        </w:numPr>
        <w:bidi w:val="0"/>
        <w:ind w:firstLine="480" w:firstLineChars="200"/>
        <w:outlineLvl w:val="1"/>
        <w:rPr>
          <w:rFonts w:hint="eastAsia"/>
          <w:color w:val="auto"/>
          <w:highlight w:val="none"/>
          <w:lang w:eastAsia="zh-CN"/>
        </w:rPr>
      </w:pPr>
      <w:r>
        <w:rPr>
          <w:rFonts w:hint="eastAsia"/>
          <w:color w:val="auto"/>
          <w:highlight w:val="none"/>
          <w:lang w:eastAsia="zh-CN"/>
        </w:rPr>
        <w:t>技术要求</w:t>
      </w:r>
      <w:bookmarkEnd w:id="51"/>
      <w:bookmarkEnd w:id="52"/>
      <w:bookmarkStart w:id="53" w:name="_Toc24227"/>
    </w:p>
    <w:p w14:paraId="484E4BF3">
      <w:pPr>
        <w:spacing w:line="240" w:lineRule="auto"/>
        <w:rPr>
          <w:rFonts w:eastAsia="宋体" w:cs="Times New Roman"/>
          <w:color w:val="auto"/>
          <w:sz w:val="21"/>
        </w:rPr>
      </w:pPr>
      <w:r>
        <w:rPr>
          <w:rFonts w:hint="eastAsia" w:ascii="宋体" w:hAnsi="宋体" w:eastAsia="宋体" w:cs="宋体"/>
          <w:b/>
          <w:bCs/>
          <w:i w:val="0"/>
          <w:iCs w:val="0"/>
          <w:color w:val="auto"/>
          <w:kern w:val="0"/>
          <w:sz w:val="32"/>
          <w:szCs w:val="32"/>
          <w:u w:val="none"/>
          <w:lang w:val="en-US" w:eastAsia="zh-CN" w:bidi="ar"/>
        </w:rPr>
        <w:t>一、DNA实验室试剂耗材采购清单及技术参数（2026年度）</w:t>
      </w:r>
    </w:p>
    <w:tbl>
      <w:tblPr>
        <w:tblStyle w:val="35"/>
        <w:tblW w:w="979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4"/>
        <w:gridCol w:w="1132"/>
        <w:gridCol w:w="5727"/>
        <w:gridCol w:w="845"/>
        <w:gridCol w:w="805"/>
        <w:gridCol w:w="818"/>
      </w:tblGrid>
      <w:tr w14:paraId="5C56D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88021">
            <w:pPr>
              <w:keepNext w:val="0"/>
              <w:keepLines w:val="0"/>
              <w:widowControl/>
              <w:suppressLineNumbers w:val="0"/>
              <w:spacing w:line="240" w:lineRule="auto"/>
              <w:jc w:val="center"/>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序号</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7EA5E">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货物名称</w:t>
            </w:r>
          </w:p>
        </w:tc>
        <w:tc>
          <w:tcPr>
            <w:tcW w:w="5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E2841">
            <w:pPr>
              <w:keepNext w:val="0"/>
              <w:keepLines w:val="0"/>
              <w:widowControl/>
              <w:suppressLineNumbers w:val="0"/>
              <w:spacing w:line="240" w:lineRule="auto"/>
              <w:jc w:val="center"/>
              <w:textAlignment w:val="center"/>
              <w:rPr>
                <w:rFonts w:hint="default" w:ascii="宋体" w:hAnsi="宋体" w:eastAsia="宋体" w:cs="宋体"/>
                <w:b/>
                <w:bCs/>
                <w:i w:val="0"/>
                <w:iCs w:val="0"/>
                <w:color w:val="auto"/>
                <w:sz w:val="22"/>
                <w:szCs w:val="22"/>
                <w:u w:val="none"/>
                <w:lang w:val="en-US"/>
              </w:rPr>
            </w:pPr>
            <w:r>
              <w:rPr>
                <w:rFonts w:hint="eastAsia" w:ascii="宋体" w:hAnsi="宋体" w:eastAsia="宋体" w:cs="宋体"/>
                <w:b/>
                <w:bCs/>
                <w:i w:val="0"/>
                <w:iCs w:val="0"/>
                <w:color w:val="auto"/>
                <w:kern w:val="0"/>
                <w:sz w:val="22"/>
                <w:szCs w:val="22"/>
                <w:u w:val="none"/>
                <w:lang w:val="en-US" w:eastAsia="zh-CN" w:bidi="ar"/>
              </w:rPr>
              <w:t>技术参数及要求</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4EC22">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规格</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97C00">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35141">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数量</w:t>
            </w:r>
          </w:p>
        </w:tc>
      </w:tr>
      <w:tr w14:paraId="0C1DA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0"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40E85">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6FA9D">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常染色体STR荧光检测试剂盒1</w:t>
            </w:r>
          </w:p>
        </w:tc>
        <w:tc>
          <w:tcPr>
            <w:tcW w:w="5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167A9">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1、★冻干型，可用于案件检验，数量以400人份/盒计算（10ul体系）；</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为保证比对效能，采用六色荧光技术，试剂盒单管能同时扩增不少于25个基因座，包含《法庭科学DNA数据库选用的基因座及其数据结构》（GB/T41009-2021）规定的全部常染色体STR核心位点以及Amelogenin基因，非核心位点须选自国标规定的的优选基因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3、为加强男性样本在排查中的识别率，减少因牙釉质蛋白基因（Amelogenin）Y微缺失的影响，避免性别错判，所投扩增试剂盒至少包含1个Y-indel基因座或1个Y-STR基因座；                                                                              4、为提高采样不良样本及降解检材的检出率，试剂盒须包含 11个以上扩增长度小于 220bp 的 Mini 位点，公安部要求的全部核心位点最大片段不超过425bp；</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5、★为保证结果准确性性，排除样本抑制/降解干扰，试剂盒必须包含不少于2个内控质量参考（IQC）标记物；</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6、为提高检出灵敏度，对低浓度模板尽可能获得有效分型，扩增体系中模板占比不低于70%，可支持全体系模板加样扩增；</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7、为保证分型准确，试剂盒采用分子量内标覆盖范围65-465bp，包含特殊识别片段62、162、262、362、462bp；</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为保证试剂盒质量，生产企业和产品符合国家相关法律法规的要求，生产企业相关人员DNA数据信息已报送公安部质控库并及时更新，试剂盒经过严格质量监控，试剂各组分的生产批号全部可追溯，产品符合公安部有关规定和DNA数据库相关国家、行业标准要求，具有中国安全技术防范认证中心颁发的《中国公共安全产品认证证书》。</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F787E">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400人份/盒</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68515">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7B7F6">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r>
      <w:tr w14:paraId="74632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0"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9D91A">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C7CC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常染色体STR荧光检测试剂盒2</w:t>
            </w:r>
          </w:p>
        </w:tc>
        <w:tc>
          <w:tcPr>
            <w:tcW w:w="5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B0A84">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1、试剂型，可用于案件检验，规格为按标准反应25ul/人份计算，包含100标准人份/盒，使用10ul反应体系也能取得良好检测效果；</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为保证比对效能，采用六色荧光技术，试剂盒单管能同时扩增不少于25个基因座，包含《法庭科学DNA数据库选用的基因座及其数据结构》（GB/T41009-2021）规定的全部常染色体STR核心位点以及Amelogenin基因，非核心位点须选自国标规定的的优选基因座；                                                                                                                                                                                                               3、为加强男性样本在排查中的识别率，减少因牙釉质蛋白基因（Amelogenin）Y微缺失的影响，避免性别错判，所投扩增试剂盒至少包含1个Y-indel基因座或1个Y-STR基因座；</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4、为提高采样不良样本及降解检材的检出率，试剂盒必须包含 11个以上扩增长度小于 220bp 的 Mini 位点，公安部要求的全部核心位点最大片段不超过425bp；</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5、★为保证结果准确性性，排除样本抑制/降解干扰，试剂盒必须包含不少于2个内控质量参考（IQC）标记物；</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6、★为了提高检测效率，满足急案要案需求，采用极速PCR技术，不超过30分钟完成扩增过程，需提供证明材料（如产品制造商盖章的说明书和彩页）；</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7、为提高检出灵敏度，对低浓度模板尽可能获得有效分型，扩增体系中模板占比不低于40%；                                                                                                                                                         8、★为保证试剂盒质量，生产企业和产品符合国家相关法律法规的要求，生产企业相关人员DNA数据信息已报送公安部质控库并及时更新，试剂盒经过严格质量监控，试剂各组分的生产批号全部可追溯，产品符合公安部有关规定和DNA数据库相关国家、行业标准要求，具有中国安全技术防范认证中心颁发的《中国公共安全产品认证证书》。</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C6A0E">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100人份/盒</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4E0B7">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84CE">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r>
      <w:tr w14:paraId="6F7BF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9"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51510">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EDE2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常染色体STR荧光检测试剂盒3</w:t>
            </w:r>
          </w:p>
        </w:tc>
        <w:tc>
          <w:tcPr>
            <w:tcW w:w="5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2B115">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1、试剂型，可用于案件检验，规格为按标准反应25ul/人份计算，包含200标准人份/盒，使用10ul反应体系也能取得良好检测效果；                                                                                                                 2、★为保证比对效能，采用六色荧光技术，试剂盒单管能同时扩增不少于25个基因座，包含《法庭科学DNA数据库选用的基因座及其数据结构》（GB/T41009-2021）规定的全部常染色体STR核心位点以及Amelogenin基因，非核心位点须选自国标规定的的优选基因座。；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3、★为排除样本抑制/降解干扰，扩增产物中需包含不少于两个内控质量参考标记物；</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4、为提高采样不良样本及降解检材的检出率，试剂盒包含9个扩增长度小于220bp的位点，公安部要求的核心位点扩增片段长度不超过420bp，所有位点扩增片段长度均小于430bp；</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5、为保证检测结果准确性，试剂盒真实bin和虚拟bin的个数合计大于610个；</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6、为提高检出灵敏度，对低浓度模板尽可能获得有效分型，在25ul扩增体系中，模板加样量最大可加样17.5ul；</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7、为避免结果误判，每个基因座有自己的滑移峰比例；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8、为保证检验时效，PCR扩增时间不超过90分钟；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9、试剂盒各组分初次使用后2-8度可长期保存，无需冷冻，截至试剂盒有效期；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10、★为保证试剂盒质量，生产企业和产品符合国家相关法律法规的要求，生产企业相关人员DNA数据信息已报送公安部质控库并及时更新，试剂盒经过严格质量监控，试剂各组分的生产批号全部可追溯，产品符合公安部有关规定和DNA数据库相关国家、行业标准要求，具有中国安全技术防范认证中心颁发的《中国公共安全产品认证证书》。</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DAD6B">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200人份/盒</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C09B5">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4E4B">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r>
      <w:tr w14:paraId="3A772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09ED3">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69A8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DNA纯化提取试剂盒</w:t>
            </w:r>
          </w:p>
        </w:tc>
        <w:tc>
          <w:tcPr>
            <w:tcW w:w="5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9E5C">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★必须适配本实验室现有核酸提取纯化仪，用于提取微量检材。</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3CB7E">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52人份/盒；盒</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EC37A">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BC53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r>
      <w:tr w14:paraId="00E68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B82AD">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3B2C8">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超微量磁珠法DNA提取试剂盒1</w:t>
            </w:r>
          </w:p>
        </w:tc>
        <w:tc>
          <w:tcPr>
            <w:tcW w:w="5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A9BC1">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★必须适配本实验室现有全自动核酸提取纯化工作站，用于提取微量检材。</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287C0">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96次/盒</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2C10D">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8AC4">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r>
      <w:tr w14:paraId="6CA98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CD5BE">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1A456">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超微量磁珠法DNA提取试剂盒2</w:t>
            </w:r>
          </w:p>
        </w:tc>
        <w:tc>
          <w:tcPr>
            <w:tcW w:w="5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F3621">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★必须适配本实验室现有全自动核酸提取纯化工作站，用于提取微量检材。</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44428">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48次/盒</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C2A5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39748">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r>
      <w:tr w14:paraId="23153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1F5A4">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7</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41860">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全自动混合斑DNA提取试剂盒1</w:t>
            </w:r>
          </w:p>
        </w:tc>
        <w:tc>
          <w:tcPr>
            <w:tcW w:w="5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0E5CB">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★必须适配本实验室现有全自动核酸提取纯化工作站，用于提取混合斑检材。                              </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8B878">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16人份/盒</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60F1E">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55E2C">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r>
      <w:tr w14:paraId="3661A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5B49E">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4F2E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全自动混合斑DNA提取试剂盒2</w:t>
            </w:r>
          </w:p>
        </w:tc>
        <w:tc>
          <w:tcPr>
            <w:tcW w:w="5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0A361">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★必须适配本实验室现有全自动核酸提取纯化工作站，用于提取混合斑检材。                                                                                          </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DCECD">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8人份/盒</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1A00B">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F3168">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r>
      <w:tr w14:paraId="2EBB9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8664F">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9</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1EA1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消化过滤板</w:t>
            </w:r>
          </w:p>
        </w:tc>
        <w:tc>
          <w:tcPr>
            <w:tcW w:w="5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6F035">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★必须适配本实验室现有全自动核酸提取纯化工作站，包含上板+下板+盖子。</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372D0">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6套/盒</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2B1C7">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F619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r>
      <w:tr w14:paraId="5A453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E0A26">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10</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3F08A">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裂解液（QJ)</w:t>
            </w:r>
          </w:p>
        </w:tc>
        <w:tc>
          <w:tcPr>
            <w:tcW w:w="5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294A">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★必须适配本实验室现有全自动核酸提取纯化工作站。</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2AF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6*17ml/盒</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0EC2F">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6C91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r>
      <w:tr w14:paraId="63E43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72CB9">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11</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E36F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洗脱液</w:t>
            </w:r>
          </w:p>
        </w:tc>
        <w:tc>
          <w:tcPr>
            <w:tcW w:w="5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8DE0E">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★必须适配本实验室现有全自动核酸提取纯化工作站。</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9DEDB">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10个/盒</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0FBE9">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4E2EB">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r>
      <w:tr w14:paraId="75353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280E5">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12</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1FCD">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w:t>
            </w:r>
            <w:r>
              <w:rPr>
                <w:rFonts w:hint="eastAsia" w:ascii="宋体" w:hAnsi="宋体" w:eastAsia="宋体" w:cs="宋体"/>
                <w:color w:val="auto"/>
                <w:sz w:val="20"/>
                <w:szCs w:val="20"/>
                <w:u w:val="none"/>
                <w:lang w:val="en-US" w:eastAsia="zh-CN" w:bidi="ar"/>
              </w:rPr>
              <w:t>NA荧光示踪试剂</w:t>
            </w:r>
          </w:p>
        </w:tc>
        <w:tc>
          <w:tcPr>
            <w:tcW w:w="5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B4EBF">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试剂主要成分：氨基酸敏感试剂。用于渗透半渗透检材的微量接触性痕迹与手印的荧光增强显现，对DNA无损。较多用于积案陈旧性检材。使用520nm激光光源激发。必须完全适配本实验室现有靶向激光生物检材发现仪。</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1AD8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r>
              <w:rPr>
                <w:rFonts w:hint="eastAsia" w:ascii="宋体" w:hAnsi="宋体" w:eastAsia="宋体" w:cs="宋体"/>
                <w:color w:val="auto"/>
                <w:sz w:val="20"/>
                <w:szCs w:val="20"/>
                <w:u w:val="none"/>
                <w:lang w:val="en-US" w:eastAsia="zh-CN" w:bidi="ar"/>
              </w:rPr>
              <w:t>0ml/套</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CFC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5A53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r>
      <w:tr w14:paraId="2BEB9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77D07">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13</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EDE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绿光痕迹物证急速显现试剂</w:t>
            </w:r>
          </w:p>
        </w:tc>
        <w:tc>
          <w:tcPr>
            <w:tcW w:w="5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E5448">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试剂与手印中油脂/氨基酸产生聚集诱导发光效应，在绿激光激发下手印及接触性痕迹 呈橙色荧光形态显现，显现过程属物理吸附，多用于7天内颜色偏浅色调检材处理。必须完全适配本实验室现有靶向激光生物检材发现仪。</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F95C">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10ml/支，6支/盒</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7E059">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0C86C">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r>
      <w:tr w14:paraId="6C394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05288">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14</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1CBF8">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蓝光痕迹物证急速显现试剂</w:t>
            </w:r>
          </w:p>
        </w:tc>
        <w:tc>
          <w:tcPr>
            <w:tcW w:w="5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8888E">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试剂与手印中油脂/氨基酸产生聚集诱导发光效应，在绿激光激发下手印及接触性痕迹 呈亮绿色荧光形态显现，显现过程属物理吸附，多用于7天内颜色偏深色调检材处理。必须完全适配本实验室现有靶向激光生物检材发现仪。</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93E17">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10ml/支，6支/盒</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D4C8A">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600CD">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r>
      <w:tr w14:paraId="15615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5"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9D63">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15</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C2D6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蓝影血痕追踪试剂</w:t>
            </w:r>
          </w:p>
        </w:tc>
        <w:tc>
          <w:tcPr>
            <w:tcW w:w="5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3CB86">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1、用于潜在血渍的显现，试剂只对血红蛋白反应，对其它洗衣液、铁锈等客体不反应，排除了众多假阳性，如含有氨基酸、蛋白质的客体无反应。</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2、AB液混合后直接喷洒，一步操作，在遇到血迹或潜血后立刻显现出几乎在任何背景下都可以看到的特殊蓝色，并且长久不褪色，不需要其他处理过程。</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3、AB液混合前保质期不低于1年，AB液混合后使用后剩余的溶液保质期不低于2个月。</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4、血液稀释2000倍以上仍可显色。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5、遇到新鲜血渍1秒内即可显出蓝色，陈旧血渍30秒内显出蓝色。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6、显色可一直持续存在，方便观察、拍照记录。</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7、以食用色素为原料，水作为溶剂，无毒环保。</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EB72E">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150ml/瓶；3瓶/套</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EEE67">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0DB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r>
      <w:tr w14:paraId="44A84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67AB2">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16</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11FDF">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无粉芦荟乳胶手套</w:t>
            </w:r>
          </w:p>
        </w:tc>
        <w:tc>
          <w:tcPr>
            <w:tcW w:w="5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A1629">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中号。</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E523E">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25双/盒</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71700">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1D44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w:t>
            </w:r>
          </w:p>
        </w:tc>
      </w:tr>
      <w:tr w14:paraId="3A026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63D5">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17</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2760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微量生物物证粘取器（锥形）</w:t>
            </w:r>
          </w:p>
        </w:tc>
        <w:tc>
          <w:tcPr>
            <w:tcW w:w="5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AB68E">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用于接触性检材载体表面脱落细胞的采集。采用锥型粘取头设计，尤其适用于狭窄缝隙位置的微量检材提取。</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C7C2D">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100支/盒</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7D189">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57376">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r>
      <w:tr w14:paraId="71F21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D714F">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18</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DE15E">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0.2ml透明半裙边96孔PCR板</w:t>
            </w:r>
          </w:p>
        </w:tc>
        <w:tc>
          <w:tcPr>
            <w:tcW w:w="5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7DAF5">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★必须适配本实验室现有基因测序仪，用于上样电泳。</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4D227">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10片/盒</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4438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5976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r>
      <w:tr w14:paraId="2CA7A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6A2F3">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19</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99559">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0.5-10ul盒装灭菌吸头</w:t>
            </w:r>
          </w:p>
        </w:tc>
        <w:tc>
          <w:tcPr>
            <w:tcW w:w="5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9F94B">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无菌、无DNA、无RNA酶、DNA酶。</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AB16F">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96支/盒</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F5FFC">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E1A64">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r>
      <w:tr w14:paraId="69265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EB3ED">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3ADB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1.5ml离心管</w:t>
            </w:r>
          </w:p>
        </w:tc>
        <w:tc>
          <w:tcPr>
            <w:tcW w:w="5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75CE7">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无菌、无DNA、无RNA酶、DNA酶。</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B1AEA">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500个/盒</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BEECF">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4488F">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r>
      <w:tr w14:paraId="3850A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22514">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21</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FE9B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中型多酶生态型消洗剂</w:t>
            </w:r>
          </w:p>
        </w:tc>
        <w:tc>
          <w:tcPr>
            <w:tcW w:w="5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114C2">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1、主要成分：蛋白酶、脂肪酶、淀粉酶、纤维素酶、果胶酶等多种生物酶，环保型表面活性剂、防锈因子和稳定剂；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2、用途：适用于手术器械的手工和机器清洗，适配本实验室现有清洗消毒机；</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2EE86">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2.5L/桶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170C6">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桶</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E688E">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r>
    </w:tbl>
    <w:p w14:paraId="2114A7F1">
      <w:pPr>
        <w:spacing w:line="240" w:lineRule="auto"/>
        <w:rPr>
          <w:rFonts w:eastAsia="宋体" w:cs="Times New Roman"/>
          <w:color w:val="auto"/>
          <w:sz w:val="21"/>
        </w:rPr>
      </w:pPr>
    </w:p>
    <w:p w14:paraId="089FCD42">
      <w:pPr>
        <w:spacing w:line="240" w:lineRule="auto"/>
        <w:rPr>
          <w:rFonts w:eastAsia="宋体" w:cs="Times New Roman"/>
          <w:color w:val="auto"/>
          <w:sz w:val="21"/>
        </w:rPr>
      </w:pPr>
      <w:r>
        <w:rPr>
          <w:rFonts w:hint="eastAsia" w:ascii="宋体" w:hAnsi="宋体" w:eastAsia="宋体" w:cs="宋体"/>
          <w:b/>
          <w:bCs/>
          <w:i w:val="0"/>
          <w:iCs w:val="0"/>
          <w:color w:val="auto"/>
          <w:kern w:val="0"/>
          <w:sz w:val="36"/>
          <w:szCs w:val="36"/>
          <w:u w:val="none"/>
          <w:lang w:val="en-US" w:eastAsia="zh-CN" w:bidi="ar"/>
        </w:rPr>
        <w:t>二 、理化实验室试剂耗材购置清单及技术参数</w:t>
      </w:r>
    </w:p>
    <w:tbl>
      <w:tblPr>
        <w:tblStyle w:val="35"/>
        <w:tblW w:w="99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91"/>
        <w:gridCol w:w="1336"/>
        <w:gridCol w:w="1350"/>
        <w:gridCol w:w="4785"/>
        <w:gridCol w:w="867"/>
        <w:gridCol w:w="840"/>
      </w:tblGrid>
      <w:tr w14:paraId="18214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jc w:val="center"/>
        </w:trPr>
        <w:tc>
          <w:tcPr>
            <w:tcW w:w="791" w:type="dxa"/>
            <w:tcBorders>
              <w:tl2br w:val="nil"/>
              <w:tr2bl w:val="nil"/>
            </w:tcBorders>
            <w:shd w:val="clear" w:color="auto" w:fill="auto"/>
            <w:vAlign w:val="center"/>
          </w:tcPr>
          <w:p w14:paraId="4B97C24F">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1336" w:type="dxa"/>
            <w:tcBorders>
              <w:tl2br w:val="nil"/>
              <w:tr2bl w:val="nil"/>
            </w:tcBorders>
            <w:shd w:val="clear" w:color="auto" w:fill="auto"/>
            <w:vAlign w:val="center"/>
          </w:tcPr>
          <w:p w14:paraId="3DAAA476">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货物名称</w:t>
            </w:r>
          </w:p>
        </w:tc>
        <w:tc>
          <w:tcPr>
            <w:tcW w:w="1350" w:type="dxa"/>
            <w:tcBorders>
              <w:tl2br w:val="nil"/>
              <w:tr2bl w:val="nil"/>
            </w:tcBorders>
            <w:shd w:val="clear" w:color="auto" w:fill="auto"/>
            <w:noWrap/>
            <w:vAlign w:val="center"/>
          </w:tcPr>
          <w:p w14:paraId="74764189">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规格</w:t>
            </w:r>
          </w:p>
        </w:tc>
        <w:tc>
          <w:tcPr>
            <w:tcW w:w="4785" w:type="dxa"/>
            <w:tcBorders>
              <w:tl2br w:val="nil"/>
              <w:tr2bl w:val="nil"/>
            </w:tcBorders>
            <w:shd w:val="clear" w:color="auto" w:fill="auto"/>
            <w:noWrap/>
            <w:vAlign w:val="center"/>
          </w:tcPr>
          <w:p w14:paraId="6F311400">
            <w:pPr>
              <w:keepNext w:val="0"/>
              <w:keepLines w:val="0"/>
              <w:widowControl/>
              <w:suppressLineNumbers w:val="0"/>
              <w:spacing w:line="240" w:lineRule="auto"/>
              <w:jc w:val="center"/>
              <w:textAlignment w:val="center"/>
              <w:rPr>
                <w:rFonts w:hint="default" w:ascii="宋体" w:hAnsi="宋体" w:eastAsia="宋体" w:cs="宋体"/>
                <w:b/>
                <w:bCs/>
                <w:i w:val="0"/>
                <w:iCs w:val="0"/>
                <w:color w:val="auto"/>
                <w:sz w:val="22"/>
                <w:szCs w:val="22"/>
                <w:u w:val="none"/>
                <w:lang w:val="en-US"/>
              </w:rPr>
            </w:pPr>
            <w:r>
              <w:rPr>
                <w:rFonts w:hint="eastAsia" w:ascii="宋体" w:hAnsi="宋体" w:eastAsia="宋体" w:cs="宋体"/>
                <w:b/>
                <w:bCs/>
                <w:i w:val="0"/>
                <w:iCs w:val="0"/>
                <w:color w:val="auto"/>
                <w:kern w:val="0"/>
                <w:sz w:val="22"/>
                <w:szCs w:val="22"/>
                <w:u w:val="none"/>
                <w:lang w:val="en-US" w:eastAsia="zh-CN" w:bidi="ar"/>
              </w:rPr>
              <w:t>技术参数及要求</w:t>
            </w:r>
          </w:p>
        </w:tc>
        <w:tc>
          <w:tcPr>
            <w:tcW w:w="867" w:type="dxa"/>
            <w:tcBorders>
              <w:tl2br w:val="nil"/>
              <w:tr2bl w:val="nil"/>
            </w:tcBorders>
            <w:shd w:val="clear" w:color="auto" w:fill="auto"/>
            <w:noWrap/>
            <w:vAlign w:val="center"/>
          </w:tcPr>
          <w:p w14:paraId="4E5BCDDC">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w:t>
            </w:r>
          </w:p>
        </w:tc>
        <w:tc>
          <w:tcPr>
            <w:tcW w:w="840" w:type="dxa"/>
            <w:tcBorders>
              <w:tl2br w:val="nil"/>
              <w:tr2bl w:val="nil"/>
            </w:tcBorders>
            <w:shd w:val="clear" w:color="auto" w:fill="auto"/>
            <w:noWrap/>
            <w:vAlign w:val="center"/>
          </w:tcPr>
          <w:p w14:paraId="5EA6627C">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数量</w:t>
            </w:r>
          </w:p>
        </w:tc>
      </w:tr>
      <w:tr w14:paraId="056F6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60" w:hRule="atLeast"/>
          <w:jc w:val="center"/>
        </w:trPr>
        <w:tc>
          <w:tcPr>
            <w:tcW w:w="791" w:type="dxa"/>
            <w:tcBorders>
              <w:tl2br w:val="nil"/>
              <w:tr2bl w:val="nil"/>
            </w:tcBorders>
            <w:shd w:val="clear" w:color="auto" w:fill="auto"/>
            <w:noWrap/>
            <w:vAlign w:val="center"/>
          </w:tcPr>
          <w:p w14:paraId="1567647B">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336" w:type="dxa"/>
            <w:tcBorders>
              <w:tl2br w:val="nil"/>
              <w:tr2bl w:val="nil"/>
            </w:tcBorders>
            <w:shd w:val="clear" w:color="auto" w:fill="auto"/>
            <w:vAlign w:val="center"/>
          </w:tcPr>
          <w:p w14:paraId="209C2688">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标样</w:t>
            </w:r>
          </w:p>
        </w:tc>
        <w:tc>
          <w:tcPr>
            <w:tcW w:w="1350" w:type="dxa"/>
            <w:tcBorders>
              <w:tl2br w:val="nil"/>
              <w:tr2bl w:val="nil"/>
            </w:tcBorders>
            <w:shd w:val="clear" w:color="auto" w:fill="auto"/>
            <w:noWrap/>
            <w:vAlign w:val="center"/>
          </w:tcPr>
          <w:p w14:paraId="644D5BA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1000μg/mL</w:t>
            </w:r>
          </w:p>
        </w:tc>
        <w:tc>
          <w:tcPr>
            <w:tcW w:w="4785" w:type="dxa"/>
            <w:tcBorders>
              <w:tl2br w:val="nil"/>
              <w:tr2bl w:val="nil"/>
            </w:tcBorders>
            <w:shd w:val="clear" w:color="auto" w:fill="auto"/>
            <w:noWrap/>
            <w:vAlign w:val="center"/>
          </w:tcPr>
          <w:p w14:paraId="1D6B8792">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灭多威肟；1.2ml/支</w:t>
            </w:r>
          </w:p>
        </w:tc>
        <w:tc>
          <w:tcPr>
            <w:tcW w:w="867" w:type="dxa"/>
            <w:tcBorders>
              <w:tl2br w:val="nil"/>
              <w:tr2bl w:val="nil"/>
            </w:tcBorders>
            <w:shd w:val="clear" w:color="auto" w:fill="auto"/>
            <w:vAlign w:val="center"/>
          </w:tcPr>
          <w:p w14:paraId="41C14527">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w:t>
            </w:r>
          </w:p>
        </w:tc>
        <w:tc>
          <w:tcPr>
            <w:tcW w:w="840" w:type="dxa"/>
            <w:tcBorders>
              <w:tl2br w:val="nil"/>
              <w:tr2bl w:val="nil"/>
            </w:tcBorders>
            <w:shd w:val="clear" w:color="auto" w:fill="auto"/>
            <w:noWrap/>
            <w:vAlign w:val="center"/>
          </w:tcPr>
          <w:p w14:paraId="06B0AE1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r>
      <w:tr w14:paraId="398F5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0" w:hRule="atLeast"/>
          <w:jc w:val="center"/>
        </w:trPr>
        <w:tc>
          <w:tcPr>
            <w:tcW w:w="791" w:type="dxa"/>
            <w:tcBorders>
              <w:tl2br w:val="nil"/>
              <w:tr2bl w:val="nil"/>
            </w:tcBorders>
            <w:shd w:val="clear" w:color="auto" w:fill="auto"/>
            <w:noWrap/>
            <w:vAlign w:val="center"/>
          </w:tcPr>
          <w:p w14:paraId="0A8DCA8C">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336" w:type="dxa"/>
            <w:tcBorders>
              <w:tl2br w:val="nil"/>
              <w:tr2bl w:val="nil"/>
            </w:tcBorders>
            <w:shd w:val="clear" w:color="auto" w:fill="auto"/>
            <w:vAlign w:val="center"/>
          </w:tcPr>
          <w:p w14:paraId="3E9DC92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毛细管柱</w:t>
            </w:r>
          </w:p>
        </w:tc>
        <w:tc>
          <w:tcPr>
            <w:tcW w:w="1350" w:type="dxa"/>
            <w:tcBorders>
              <w:tl2br w:val="nil"/>
              <w:tr2bl w:val="nil"/>
            </w:tcBorders>
            <w:shd w:val="clear" w:color="auto" w:fill="auto"/>
            <w:vAlign w:val="center"/>
          </w:tcPr>
          <w:p w14:paraId="5466D9B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根</w:t>
            </w:r>
          </w:p>
        </w:tc>
        <w:tc>
          <w:tcPr>
            <w:tcW w:w="4785" w:type="dxa"/>
            <w:tcBorders>
              <w:tl2br w:val="nil"/>
              <w:tr2bl w:val="nil"/>
            </w:tcBorders>
            <w:shd w:val="clear" w:color="auto" w:fill="auto"/>
            <w:vAlign w:val="center"/>
          </w:tcPr>
          <w:p w14:paraId="6AE2DAFE">
            <w:pPr>
              <w:keepNext w:val="0"/>
              <w:keepLines w:val="0"/>
              <w:widowControl/>
              <w:suppressLineNumbers w:val="0"/>
              <w:spacing w:line="240" w:lineRule="auto"/>
              <w:jc w:val="left"/>
              <w:textAlignment w:val="center"/>
              <w:rPr>
                <w:rFonts w:ascii="微软雅黑" w:hAnsi="微软雅黑" w:eastAsia="微软雅黑" w:cs="微软雅黑"/>
                <w:i w:val="0"/>
                <w:iCs w:val="0"/>
                <w:color w:val="auto"/>
                <w:sz w:val="20"/>
                <w:szCs w:val="20"/>
                <w:u w:val="none"/>
              </w:rPr>
            </w:pPr>
            <w:r>
              <w:rPr>
                <w:rFonts w:hint="eastAsia" w:ascii="微软雅黑" w:hAnsi="微软雅黑" w:eastAsia="微软雅黑" w:cs="微软雅黑"/>
                <w:i w:val="0"/>
                <w:iCs w:val="0"/>
                <w:color w:val="auto"/>
                <w:kern w:val="0"/>
                <w:sz w:val="20"/>
                <w:szCs w:val="20"/>
                <w:u w:val="none"/>
                <w:lang w:val="en-US" w:eastAsia="zh-CN" w:bidi="ar"/>
              </w:rPr>
              <w:t>★</w:t>
            </w:r>
            <w:r>
              <w:rPr>
                <w:rFonts w:hint="eastAsia" w:ascii="宋体" w:hAnsi="宋体" w:eastAsia="宋体" w:cs="宋体"/>
                <w:color w:val="auto"/>
                <w:sz w:val="20"/>
                <w:szCs w:val="20"/>
                <w:u w:val="none"/>
                <w:lang w:val="en-US" w:eastAsia="zh-CN" w:bidi="ar"/>
              </w:rPr>
              <w:t xml:space="preserve">R221-75923-30 SH-I-5MS Cap. Column,0.25mmx0.25μmx30m </w:t>
            </w:r>
          </w:p>
        </w:tc>
        <w:tc>
          <w:tcPr>
            <w:tcW w:w="867" w:type="dxa"/>
            <w:tcBorders>
              <w:tl2br w:val="nil"/>
              <w:tr2bl w:val="nil"/>
            </w:tcBorders>
            <w:shd w:val="clear" w:color="auto" w:fill="auto"/>
            <w:vAlign w:val="center"/>
          </w:tcPr>
          <w:p w14:paraId="6DB0DD7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根</w:t>
            </w:r>
          </w:p>
        </w:tc>
        <w:tc>
          <w:tcPr>
            <w:tcW w:w="840" w:type="dxa"/>
            <w:tcBorders>
              <w:tl2br w:val="nil"/>
              <w:tr2bl w:val="nil"/>
            </w:tcBorders>
            <w:shd w:val="clear" w:color="auto" w:fill="auto"/>
            <w:noWrap/>
            <w:vAlign w:val="center"/>
          </w:tcPr>
          <w:p w14:paraId="00994FF0">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r>
      <w:tr w14:paraId="086F0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80" w:hRule="atLeast"/>
          <w:jc w:val="center"/>
        </w:trPr>
        <w:tc>
          <w:tcPr>
            <w:tcW w:w="791" w:type="dxa"/>
            <w:tcBorders>
              <w:tl2br w:val="nil"/>
              <w:tr2bl w:val="nil"/>
            </w:tcBorders>
            <w:shd w:val="clear" w:color="auto" w:fill="auto"/>
            <w:noWrap/>
            <w:vAlign w:val="center"/>
          </w:tcPr>
          <w:p w14:paraId="095AC994">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336" w:type="dxa"/>
            <w:tcBorders>
              <w:tl2br w:val="nil"/>
              <w:tr2bl w:val="nil"/>
            </w:tcBorders>
            <w:shd w:val="clear" w:color="auto" w:fill="auto"/>
            <w:vAlign w:val="center"/>
          </w:tcPr>
          <w:p w14:paraId="445DD777">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灯丝</w:t>
            </w:r>
          </w:p>
        </w:tc>
        <w:tc>
          <w:tcPr>
            <w:tcW w:w="1350" w:type="dxa"/>
            <w:tcBorders>
              <w:tl2br w:val="nil"/>
              <w:tr2bl w:val="nil"/>
            </w:tcBorders>
            <w:shd w:val="clear" w:color="auto" w:fill="auto"/>
            <w:vAlign w:val="center"/>
          </w:tcPr>
          <w:p w14:paraId="2B266BD0">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根</w:t>
            </w:r>
          </w:p>
        </w:tc>
        <w:tc>
          <w:tcPr>
            <w:tcW w:w="4785" w:type="dxa"/>
            <w:tcBorders>
              <w:tl2br w:val="nil"/>
              <w:tr2bl w:val="nil"/>
            </w:tcBorders>
            <w:shd w:val="clear" w:color="auto" w:fill="auto"/>
            <w:vAlign w:val="center"/>
          </w:tcPr>
          <w:p w14:paraId="43D5E09D">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★点火线圈 221-41847-93，FILAMENT ASSY  180MM</w:t>
            </w:r>
          </w:p>
        </w:tc>
        <w:tc>
          <w:tcPr>
            <w:tcW w:w="867" w:type="dxa"/>
            <w:tcBorders>
              <w:tl2br w:val="nil"/>
              <w:tr2bl w:val="nil"/>
            </w:tcBorders>
            <w:shd w:val="clear" w:color="auto" w:fill="auto"/>
            <w:vAlign w:val="center"/>
          </w:tcPr>
          <w:p w14:paraId="7CB8C30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根</w:t>
            </w:r>
          </w:p>
        </w:tc>
        <w:tc>
          <w:tcPr>
            <w:tcW w:w="840" w:type="dxa"/>
            <w:tcBorders>
              <w:tl2br w:val="nil"/>
              <w:tr2bl w:val="nil"/>
            </w:tcBorders>
            <w:shd w:val="clear" w:color="auto" w:fill="auto"/>
            <w:noWrap/>
            <w:vAlign w:val="center"/>
          </w:tcPr>
          <w:p w14:paraId="7131FCCC">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r>
      <w:tr w14:paraId="2D423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20" w:hRule="atLeast"/>
          <w:jc w:val="center"/>
        </w:trPr>
        <w:tc>
          <w:tcPr>
            <w:tcW w:w="791" w:type="dxa"/>
            <w:tcBorders>
              <w:tl2br w:val="nil"/>
              <w:tr2bl w:val="nil"/>
            </w:tcBorders>
            <w:shd w:val="clear" w:color="auto" w:fill="auto"/>
            <w:noWrap/>
            <w:vAlign w:val="center"/>
          </w:tcPr>
          <w:p w14:paraId="17290F2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336" w:type="dxa"/>
            <w:tcBorders>
              <w:tl2br w:val="nil"/>
              <w:tr2bl w:val="nil"/>
            </w:tcBorders>
            <w:shd w:val="clear" w:color="auto" w:fill="auto"/>
            <w:vAlign w:val="center"/>
          </w:tcPr>
          <w:p w14:paraId="58601399">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进样瓶</w:t>
            </w:r>
          </w:p>
        </w:tc>
        <w:tc>
          <w:tcPr>
            <w:tcW w:w="1350" w:type="dxa"/>
            <w:tcBorders>
              <w:tl2br w:val="nil"/>
              <w:tr2bl w:val="nil"/>
            </w:tcBorders>
            <w:shd w:val="clear" w:color="auto" w:fill="auto"/>
            <w:vAlign w:val="center"/>
          </w:tcPr>
          <w:p w14:paraId="4A25400E">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100个/盒</w:t>
            </w:r>
          </w:p>
        </w:tc>
        <w:tc>
          <w:tcPr>
            <w:tcW w:w="4785" w:type="dxa"/>
            <w:tcBorders>
              <w:tl2br w:val="nil"/>
              <w:tr2bl w:val="nil"/>
            </w:tcBorders>
            <w:shd w:val="clear" w:color="auto" w:fill="auto"/>
            <w:vAlign w:val="center"/>
          </w:tcPr>
          <w:p w14:paraId="2BFDD037">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★1.5ML带盖，玻璃瓶 380-00451-11，1.5mL，100pcs+塑料盖垫（实心） 380-00504  9mm 100pcs</w:t>
            </w:r>
          </w:p>
        </w:tc>
        <w:tc>
          <w:tcPr>
            <w:tcW w:w="867" w:type="dxa"/>
            <w:tcBorders>
              <w:tl2br w:val="nil"/>
              <w:tr2bl w:val="nil"/>
            </w:tcBorders>
            <w:shd w:val="clear" w:color="auto" w:fill="auto"/>
            <w:vAlign w:val="center"/>
          </w:tcPr>
          <w:p w14:paraId="7790EA29">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40" w:type="dxa"/>
            <w:tcBorders>
              <w:tl2br w:val="nil"/>
              <w:tr2bl w:val="nil"/>
            </w:tcBorders>
            <w:shd w:val="clear" w:color="auto" w:fill="auto"/>
            <w:noWrap/>
            <w:vAlign w:val="center"/>
          </w:tcPr>
          <w:p w14:paraId="3484672C">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r>
      <w:tr w14:paraId="4D7D5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0" w:hRule="atLeast"/>
          <w:jc w:val="center"/>
        </w:trPr>
        <w:tc>
          <w:tcPr>
            <w:tcW w:w="791" w:type="dxa"/>
            <w:tcBorders>
              <w:tl2br w:val="nil"/>
              <w:tr2bl w:val="nil"/>
            </w:tcBorders>
            <w:shd w:val="clear" w:color="auto" w:fill="auto"/>
            <w:noWrap/>
            <w:vAlign w:val="center"/>
          </w:tcPr>
          <w:p w14:paraId="70141A8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336" w:type="dxa"/>
            <w:tcBorders>
              <w:tl2br w:val="nil"/>
              <w:tr2bl w:val="nil"/>
            </w:tcBorders>
            <w:shd w:val="clear" w:color="auto" w:fill="auto"/>
            <w:vAlign w:val="center"/>
          </w:tcPr>
          <w:p w14:paraId="2FD77B94">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有机相针式滤器</w:t>
            </w:r>
          </w:p>
        </w:tc>
        <w:tc>
          <w:tcPr>
            <w:tcW w:w="1350" w:type="dxa"/>
            <w:tcBorders>
              <w:tl2br w:val="nil"/>
              <w:tr2bl w:val="nil"/>
            </w:tcBorders>
            <w:shd w:val="clear" w:color="auto" w:fill="auto"/>
            <w:vAlign w:val="center"/>
          </w:tcPr>
          <w:p w14:paraId="5D58D82B">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13mm/0.22μm</w:t>
            </w:r>
          </w:p>
        </w:tc>
        <w:tc>
          <w:tcPr>
            <w:tcW w:w="4785" w:type="dxa"/>
            <w:tcBorders>
              <w:tl2br w:val="nil"/>
              <w:tr2bl w:val="nil"/>
            </w:tcBorders>
            <w:shd w:val="clear" w:color="auto" w:fill="auto"/>
            <w:vAlign w:val="center"/>
          </w:tcPr>
          <w:p w14:paraId="1577F0FB">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100只/罐 有机相针式滤器(尼龙)绿色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批号：M1442466 货号：SCAA-104</w:t>
            </w:r>
          </w:p>
        </w:tc>
        <w:tc>
          <w:tcPr>
            <w:tcW w:w="867" w:type="dxa"/>
            <w:tcBorders>
              <w:tl2br w:val="nil"/>
              <w:tr2bl w:val="nil"/>
            </w:tcBorders>
            <w:shd w:val="clear" w:color="auto" w:fill="auto"/>
            <w:vAlign w:val="center"/>
          </w:tcPr>
          <w:p w14:paraId="25ABD83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罐</w:t>
            </w:r>
          </w:p>
        </w:tc>
        <w:tc>
          <w:tcPr>
            <w:tcW w:w="840" w:type="dxa"/>
            <w:tcBorders>
              <w:tl2br w:val="nil"/>
              <w:tr2bl w:val="nil"/>
            </w:tcBorders>
            <w:shd w:val="clear" w:color="auto" w:fill="auto"/>
            <w:noWrap/>
            <w:vAlign w:val="center"/>
          </w:tcPr>
          <w:p w14:paraId="7026F1E9">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r>
      <w:tr w14:paraId="0FBE9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80" w:hRule="atLeast"/>
          <w:jc w:val="center"/>
        </w:trPr>
        <w:tc>
          <w:tcPr>
            <w:tcW w:w="791" w:type="dxa"/>
            <w:tcBorders>
              <w:tl2br w:val="nil"/>
              <w:tr2bl w:val="nil"/>
            </w:tcBorders>
            <w:shd w:val="clear" w:color="auto" w:fill="auto"/>
            <w:noWrap/>
            <w:vAlign w:val="center"/>
          </w:tcPr>
          <w:p w14:paraId="66F12E8A">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336" w:type="dxa"/>
            <w:tcBorders>
              <w:tl2br w:val="nil"/>
              <w:tr2bl w:val="nil"/>
            </w:tcBorders>
            <w:shd w:val="clear" w:color="auto" w:fill="auto"/>
            <w:vAlign w:val="center"/>
          </w:tcPr>
          <w:p w14:paraId="379B498A">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高纯氦气</w:t>
            </w:r>
          </w:p>
        </w:tc>
        <w:tc>
          <w:tcPr>
            <w:tcW w:w="1350" w:type="dxa"/>
            <w:tcBorders>
              <w:tl2br w:val="nil"/>
              <w:tr2bl w:val="nil"/>
            </w:tcBorders>
            <w:shd w:val="clear" w:color="auto" w:fill="auto"/>
            <w:vAlign w:val="center"/>
          </w:tcPr>
          <w:p w14:paraId="26C0F00C">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99.999%，40L</w:t>
            </w:r>
          </w:p>
        </w:tc>
        <w:tc>
          <w:tcPr>
            <w:tcW w:w="4785" w:type="dxa"/>
            <w:tcBorders>
              <w:tl2br w:val="nil"/>
              <w:tr2bl w:val="nil"/>
            </w:tcBorders>
            <w:shd w:val="clear" w:color="auto" w:fill="auto"/>
            <w:vAlign w:val="center"/>
          </w:tcPr>
          <w:p w14:paraId="58CD129B">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纯度99.999%，40L包装，压力14.5±0.5Mpa，不含气瓶</w:t>
            </w:r>
          </w:p>
        </w:tc>
        <w:tc>
          <w:tcPr>
            <w:tcW w:w="867" w:type="dxa"/>
            <w:tcBorders>
              <w:tl2br w:val="nil"/>
              <w:tr2bl w:val="nil"/>
            </w:tcBorders>
            <w:shd w:val="clear" w:color="auto" w:fill="auto"/>
            <w:vAlign w:val="center"/>
          </w:tcPr>
          <w:p w14:paraId="7CD751FA">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瓶</w:t>
            </w:r>
          </w:p>
        </w:tc>
        <w:tc>
          <w:tcPr>
            <w:tcW w:w="840" w:type="dxa"/>
            <w:tcBorders>
              <w:tl2br w:val="nil"/>
              <w:tr2bl w:val="nil"/>
            </w:tcBorders>
            <w:shd w:val="clear" w:color="auto" w:fill="auto"/>
            <w:noWrap/>
            <w:vAlign w:val="center"/>
          </w:tcPr>
          <w:p w14:paraId="0194D37E">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r>
      <w:tr w14:paraId="3C1C8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0" w:hRule="atLeast"/>
          <w:jc w:val="center"/>
        </w:trPr>
        <w:tc>
          <w:tcPr>
            <w:tcW w:w="791" w:type="dxa"/>
            <w:tcBorders>
              <w:tl2br w:val="nil"/>
              <w:tr2bl w:val="nil"/>
            </w:tcBorders>
            <w:shd w:val="clear" w:color="auto" w:fill="auto"/>
            <w:noWrap/>
            <w:vAlign w:val="center"/>
          </w:tcPr>
          <w:p w14:paraId="5650D640">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336" w:type="dxa"/>
            <w:tcBorders>
              <w:tl2br w:val="nil"/>
              <w:tr2bl w:val="nil"/>
            </w:tcBorders>
            <w:shd w:val="clear" w:color="auto" w:fill="auto"/>
            <w:vAlign w:val="center"/>
          </w:tcPr>
          <w:p w14:paraId="666F9D5A">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高纯氮气</w:t>
            </w:r>
          </w:p>
        </w:tc>
        <w:tc>
          <w:tcPr>
            <w:tcW w:w="1350" w:type="dxa"/>
            <w:tcBorders>
              <w:tl2br w:val="nil"/>
              <w:tr2bl w:val="nil"/>
            </w:tcBorders>
            <w:shd w:val="clear" w:color="auto" w:fill="auto"/>
            <w:vAlign w:val="center"/>
          </w:tcPr>
          <w:p w14:paraId="04AE19F9">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99.999%，40L</w:t>
            </w:r>
          </w:p>
        </w:tc>
        <w:tc>
          <w:tcPr>
            <w:tcW w:w="4785" w:type="dxa"/>
            <w:tcBorders>
              <w:tl2br w:val="nil"/>
              <w:tr2bl w:val="nil"/>
            </w:tcBorders>
            <w:shd w:val="clear" w:color="auto" w:fill="auto"/>
            <w:vAlign w:val="center"/>
          </w:tcPr>
          <w:p w14:paraId="710D65BF">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纯度99.999%，40L包装，压力14.5±0.5Mpa，不含气瓶</w:t>
            </w:r>
          </w:p>
        </w:tc>
        <w:tc>
          <w:tcPr>
            <w:tcW w:w="867" w:type="dxa"/>
            <w:tcBorders>
              <w:tl2br w:val="nil"/>
              <w:tr2bl w:val="nil"/>
            </w:tcBorders>
            <w:shd w:val="clear" w:color="auto" w:fill="auto"/>
            <w:vAlign w:val="center"/>
          </w:tcPr>
          <w:p w14:paraId="283184E7">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瓶</w:t>
            </w:r>
          </w:p>
        </w:tc>
        <w:tc>
          <w:tcPr>
            <w:tcW w:w="840" w:type="dxa"/>
            <w:tcBorders>
              <w:tl2br w:val="nil"/>
              <w:tr2bl w:val="nil"/>
            </w:tcBorders>
            <w:shd w:val="clear" w:color="auto" w:fill="auto"/>
            <w:noWrap/>
            <w:vAlign w:val="center"/>
          </w:tcPr>
          <w:p w14:paraId="2083D1F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r>
      <w:tr w14:paraId="4F360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0" w:hRule="atLeast"/>
          <w:jc w:val="center"/>
        </w:trPr>
        <w:tc>
          <w:tcPr>
            <w:tcW w:w="791" w:type="dxa"/>
            <w:vMerge w:val="restart"/>
            <w:tcBorders>
              <w:tl2br w:val="nil"/>
              <w:tr2bl w:val="nil"/>
            </w:tcBorders>
            <w:shd w:val="clear" w:color="auto" w:fill="auto"/>
            <w:noWrap/>
            <w:vAlign w:val="center"/>
          </w:tcPr>
          <w:p w14:paraId="39CB864E">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336" w:type="dxa"/>
            <w:vMerge w:val="restart"/>
            <w:tcBorders>
              <w:tl2br w:val="nil"/>
              <w:tr2bl w:val="nil"/>
            </w:tcBorders>
            <w:shd w:val="clear" w:color="auto" w:fill="auto"/>
            <w:vAlign w:val="center"/>
          </w:tcPr>
          <w:p w14:paraId="28198F4D">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滤芯吸头</w:t>
            </w:r>
          </w:p>
        </w:tc>
        <w:tc>
          <w:tcPr>
            <w:tcW w:w="1350" w:type="dxa"/>
            <w:tcBorders>
              <w:tl2br w:val="nil"/>
              <w:tr2bl w:val="nil"/>
            </w:tcBorders>
            <w:shd w:val="clear" w:color="auto" w:fill="auto"/>
            <w:vAlign w:val="center"/>
          </w:tcPr>
          <w:p w14:paraId="1DA694D5">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10µL，96支/盒</w:t>
            </w:r>
          </w:p>
        </w:tc>
        <w:tc>
          <w:tcPr>
            <w:tcW w:w="4785" w:type="dxa"/>
            <w:tcBorders>
              <w:tl2br w:val="nil"/>
              <w:tr2bl w:val="nil"/>
            </w:tcBorders>
            <w:shd w:val="clear" w:color="auto" w:fill="auto"/>
            <w:vAlign w:val="center"/>
          </w:tcPr>
          <w:p w14:paraId="3E7DEA14">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10µL盒装滤芯吸头31.65mm，96支/盒</w:t>
            </w:r>
          </w:p>
        </w:tc>
        <w:tc>
          <w:tcPr>
            <w:tcW w:w="867" w:type="dxa"/>
            <w:tcBorders>
              <w:tl2br w:val="nil"/>
              <w:tr2bl w:val="nil"/>
            </w:tcBorders>
            <w:shd w:val="clear" w:color="auto" w:fill="auto"/>
            <w:vAlign w:val="center"/>
          </w:tcPr>
          <w:p w14:paraId="7CC38B8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40" w:type="dxa"/>
            <w:tcBorders>
              <w:tl2br w:val="nil"/>
              <w:tr2bl w:val="nil"/>
            </w:tcBorders>
            <w:shd w:val="clear" w:color="auto" w:fill="auto"/>
            <w:noWrap/>
            <w:vAlign w:val="center"/>
          </w:tcPr>
          <w:p w14:paraId="62EC6ECE">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r>
      <w:tr w14:paraId="3A839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0" w:hRule="atLeast"/>
          <w:jc w:val="center"/>
        </w:trPr>
        <w:tc>
          <w:tcPr>
            <w:tcW w:w="791" w:type="dxa"/>
            <w:vMerge w:val="continue"/>
            <w:tcBorders>
              <w:tl2br w:val="nil"/>
              <w:tr2bl w:val="nil"/>
            </w:tcBorders>
            <w:shd w:val="clear" w:color="auto" w:fill="auto"/>
            <w:noWrap/>
            <w:vAlign w:val="center"/>
          </w:tcPr>
          <w:p w14:paraId="5164AC9D">
            <w:pPr>
              <w:spacing w:line="240" w:lineRule="auto"/>
              <w:jc w:val="center"/>
              <w:rPr>
                <w:rFonts w:hint="eastAsia" w:ascii="宋体" w:hAnsi="宋体" w:eastAsia="宋体" w:cs="宋体"/>
                <w:i w:val="0"/>
                <w:iCs w:val="0"/>
                <w:color w:val="auto"/>
                <w:sz w:val="20"/>
                <w:szCs w:val="20"/>
                <w:u w:val="none"/>
              </w:rPr>
            </w:pPr>
          </w:p>
        </w:tc>
        <w:tc>
          <w:tcPr>
            <w:tcW w:w="1336" w:type="dxa"/>
            <w:vMerge w:val="continue"/>
            <w:tcBorders>
              <w:tl2br w:val="nil"/>
              <w:tr2bl w:val="nil"/>
            </w:tcBorders>
            <w:shd w:val="clear" w:color="auto" w:fill="auto"/>
            <w:vAlign w:val="center"/>
          </w:tcPr>
          <w:p w14:paraId="579E5CC8">
            <w:pPr>
              <w:spacing w:line="240" w:lineRule="auto"/>
              <w:jc w:val="center"/>
              <w:rPr>
                <w:rFonts w:hint="eastAsia" w:ascii="宋体" w:hAnsi="宋体" w:eastAsia="宋体" w:cs="宋体"/>
                <w:i w:val="0"/>
                <w:iCs w:val="0"/>
                <w:color w:val="auto"/>
                <w:sz w:val="20"/>
                <w:szCs w:val="20"/>
                <w:u w:val="none"/>
              </w:rPr>
            </w:pPr>
          </w:p>
        </w:tc>
        <w:tc>
          <w:tcPr>
            <w:tcW w:w="1350" w:type="dxa"/>
            <w:tcBorders>
              <w:tl2br w:val="nil"/>
              <w:tr2bl w:val="nil"/>
            </w:tcBorders>
            <w:shd w:val="clear" w:color="auto" w:fill="auto"/>
            <w:vAlign w:val="center"/>
          </w:tcPr>
          <w:p w14:paraId="6B7E6649">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20µL，96支/盒</w:t>
            </w:r>
          </w:p>
        </w:tc>
        <w:tc>
          <w:tcPr>
            <w:tcW w:w="4785" w:type="dxa"/>
            <w:tcBorders>
              <w:tl2br w:val="nil"/>
              <w:tr2bl w:val="nil"/>
            </w:tcBorders>
            <w:shd w:val="clear" w:color="auto" w:fill="auto"/>
            <w:vAlign w:val="center"/>
          </w:tcPr>
          <w:p w14:paraId="692262EE">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20µL盒装滤芯吸头50.55mm，96支/盒</w:t>
            </w:r>
          </w:p>
        </w:tc>
        <w:tc>
          <w:tcPr>
            <w:tcW w:w="867" w:type="dxa"/>
            <w:tcBorders>
              <w:tl2br w:val="nil"/>
              <w:tr2bl w:val="nil"/>
            </w:tcBorders>
            <w:shd w:val="clear" w:color="auto" w:fill="auto"/>
            <w:vAlign w:val="center"/>
          </w:tcPr>
          <w:p w14:paraId="6595A4CB">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40" w:type="dxa"/>
            <w:tcBorders>
              <w:tl2br w:val="nil"/>
              <w:tr2bl w:val="nil"/>
            </w:tcBorders>
            <w:shd w:val="clear" w:color="auto" w:fill="auto"/>
            <w:noWrap/>
            <w:vAlign w:val="center"/>
          </w:tcPr>
          <w:p w14:paraId="7820B35F">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r>
      <w:tr w14:paraId="54A7A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jc w:val="center"/>
        </w:trPr>
        <w:tc>
          <w:tcPr>
            <w:tcW w:w="791" w:type="dxa"/>
            <w:vMerge w:val="continue"/>
            <w:tcBorders>
              <w:tl2br w:val="nil"/>
              <w:tr2bl w:val="nil"/>
            </w:tcBorders>
            <w:shd w:val="clear" w:color="auto" w:fill="auto"/>
            <w:noWrap/>
            <w:vAlign w:val="center"/>
          </w:tcPr>
          <w:p w14:paraId="3EC67B3C">
            <w:pPr>
              <w:spacing w:line="240" w:lineRule="auto"/>
              <w:jc w:val="center"/>
              <w:rPr>
                <w:rFonts w:hint="eastAsia" w:ascii="宋体" w:hAnsi="宋体" w:eastAsia="宋体" w:cs="宋体"/>
                <w:i w:val="0"/>
                <w:iCs w:val="0"/>
                <w:color w:val="auto"/>
                <w:sz w:val="20"/>
                <w:szCs w:val="20"/>
                <w:u w:val="none"/>
              </w:rPr>
            </w:pPr>
          </w:p>
        </w:tc>
        <w:tc>
          <w:tcPr>
            <w:tcW w:w="1336" w:type="dxa"/>
            <w:vMerge w:val="continue"/>
            <w:tcBorders>
              <w:tl2br w:val="nil"/>
              <w:tr2bl w:val="nil"/>
            </w:tcBorders>
            <w:shd w:val="clear" w:color="auto" w:fill="auto"/>
            <w:vAlign w:val="center"/>
          </w:tcPr>
          <w:p w14:paraId="464DFD07">
            <w:pPr>
              <w:spacing w:line="240" w:lineRule="auto"/>
              <w:jc w:val="center"/>
              <w:rPr>
                <w:rFonts w:hint="eastAsia" w:ascii="宋体" w:hAnsi="宋体" w:eastAsia="宋体" w:cs="宋体"/>
                <w:i w:val="0"/>
                <w:iCs w:val="0"/>
                <w:color w:val="auto"/>
                <w:sz w:val="20"/>
                <w:szCs w:val="20"/>
                <w:u w:val="none"/>
              </w:rPr>
            </w:pPr>
          </w:p>
        </w:tc>
        <w:tc>
          <w:tcPr>
            <w:tcW w:w="1350" w:type="dxa"/>
            <w:tcBorders>
              <w:tl2br w:val="nil"/>
              <w:tr2bl w:val="nil"/>
            </w:tcBorders>
            <w:shd w:val="clear" w:color="auto" w:fill="auto"/>
            <w:vAlign w:val="center"/>
          </w:tcPr>
          <w:p w14:paraId="11977D2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100µL，96支/盒</w:t>
            </w:r>
          </w:p>
        </w:tc>
        <w:tc>
          <w:tcPr>
            <w:tcW w:w="4785" w:type="dxa"/>
            <w:tcBorders>
              <w:tl2br w:val="nil"/>
              <w:tr2bl w:val="nil"/>
            </w:tcBorders>
            <w:shd w:val="clear" w:color="auto" w:fill="auto"/>
            <w:vAlign w:val="center"/>
          </w:tcPr>
          <w:p w14:paraId="7B014793">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100µL盒装滤芯吸头50.55mm，96支/盒</w:t>
            </w:r>
          </w:p>
        </w:tc>
        <w:tc>
          <w:tcPr>
            <w:tcW w:w="867" w:type="dxa"/>
            <w:tcBorders>
              <w:tl2br w:val="nil"/>
              <w:tr2bl w:val="nil"/>
            </w:tcBorders>
            <w:shd w:val="clear" w:color="auto" w:fill="auto"/>
            <w:vAlign w:val="center"/>
          </w:tcPr>
          <w:p w14:paraId="2A270736">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40" w:type="dxa"/>
            <w:tcBorders>
              <w:tl2br w:val="nil"/>
              <w:tr2bl w:val="nil"/>
            </w:tcBorders>
            <w:shd w:val="clear" w:color="auto" w:fill="auto"/>
            <w:noWrap/>
            <w:vAlign w:val="center"/>
          </w:tcPr>
          <w:p w14:paraId="46AC026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r>
      <w:tr w14:paraId="3AF34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jc w:val="center"/>
        </w:trPr>
        <w:tc>
          <w:tcPr>
            <w:tcW w:w="791" w:type="dxa"/>
            <w:vMerge w:val="continue"/>
            <w:tcBorders>
              <w:tl2br w:val="nil"/>
              <w:tr2bl w:val="nil"/>
            </w:tcBorders>
            <w:shd w:val="clear" w:color="auto" w:fill="auto"/>
            <w:noWrap/>
            <w:vAlign w:val="center"/>
          </w:tcPr>
          <w:p w14:paraId="285C7542">
            <w:pPr>
              <w:spacing w:line="240" w:lineRule="auto"/>
              <w:jc w:val="center"/>
              <w:rPr>
                <w:rFonts w:hint="eastAsia" w:ascii="宋体" w:hAnsi="宋体" w:eastAsia="宋体" w:cs="宋体"/>
                <w:i w:val="0"/>
                <w:iCs w:val="0"/>
                <w:color w:val="auto"/>
                <w:sz w:val="20"/>
                <w:szCs w:val="20"/>
                <w:u w:val="none"/>
              </w:rPr>
            </w:pPr>
          </w:p>
        </w:tc>
        <w:tc>
          <w:tcPr>
            <w:tcW w:w="1336" w:type="dxa"/>
            <w:vMerge w:val="continue"/>
            <w:tcBorders>
              <w:tl2br w:val="nil"/>
              <w:tr2bl w:val="nil"/>
            </w:tcBorders>
            <w:shd w:val="clear" w:color="auto" w:fill="auto"/>
            <w:vAlign w:val="center"/>
          </w:tcPr>
          <w:p w14:paraId="667BAC78">
            <w:pPr>
              <w:spacing w:line="240" w:lineRule="auto"/>
              <w:jc w:val="center"/>
              <w:rPr>
                <w:rFonts w:hint="eastAsia" w:ascii="宋体" w:hAnsi="宋体" w:eastAsia="宋体" w:cs="宋体"/>
                <w:i w:val="0"/>
                <w:iCs w:val="0"/>
                <w:color w:val="auto"/>
                <w:sz w:val="20"/>
                <w:szCs w:val="20"/>
                <w:u w:val="none"/>
              </w:rPr>
            </w:pPr>
          </w:p>
        </w:tc>
        <w:tc>
          <w:tcPr>
            <w:tcW w:w="1350" w:type="dxa"/>
            <w:tcBorders>
              <w:tl2br w:val="nil"/>
              <w:tr2bl w:val="nil"/>
            </w:tcBorders>
            <w:shd w:val="clear" w:color="auto" w:fill="auto"/>
            <w:vAlign w:val="center"/>
          </w:tcPr>
          <w:p w14:paraId="5E1998CE">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1000µL，100支/盒</w:t>
            </w:r>
          </w:p>
        </w:tc>
        <w:tc>
          <w:tcPr>
            <w:tcW w:w="4785" w:type="dxa"/>
            <w:tcBorders>
              <w:tl2br w:val="nil"/>
              <w:tr2bl w:val="nil"/>
            </w:tcBorders>
            <w:shd w:val="clear" w:color="auto" w:fill="auto"/>
            <w:vAlign w:val="center"/>
          </w:tcPr>
          <w:p w14:paraId="39F221A8">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1000µL盒装滤芯吸头77.98mm，100支/盒</w:t>
            </w:r>
          </w:p>
        </w:tc>
        <w:tc>
          <w:tcPr>
            <w:tcW w:w="867" w:type="dxa"/>
            <w:tcBorders>
              <w:tl2br w:val="nil"/>
              <w:tr2bl w:val="nil"/>
            </w:tcBorders>
            <w:shd w:val="clear" w:color="auto" w:fill="auto"/>
            <w:vAlign w:val="center"/>
          </w:tcPr>
          <w:p w14:paraId="7C6F303E">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40" w:type="dxa"/>
            <w:tcBorders>
              <w:tl2br w:val="nil"/>
              <w:tr2bl w:val="nil"/>
            </w:tcBorders>
            <w:shd w:val="clear" w:color="auto" w:fill="auto"/>
            <w:noWrap/>
            <w:vAlign w:val="center"/>
          </w:tcPr>
          <w:p w14:paraId="68EB376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r>
      <w:tr w14:paraId="0481C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0" w:hRule="atLeast"/>
          <w:jc w:val="center"/>
        </w:trPr>
        <w:tc>
          <w:tcPr>
            <w:tcW w:w="791" w:type="dxa"/>
            <w:vMerge w:val="restart"/>
            <w:tcBorders>
              <w:tl2br w:val="nil"/>
              <w:tr2bl w:val="nil"/>
            </w:tcBorders>
            <w:shd w:val="clear" w:color="auto" w:fill="auto"/>
            <w:noWrap/>
            <w:vAlign w:val="center"/>
          </w:tcPr>
          <w:p w14:paraId="6B5B9EE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336" w:type="dxa"/>
            <w:vMerge w:val="restart"/>
            <w:tcBorders>
              <w:tl2br w:val="nil"/>
              <w:tr2bl w:val="nil"/>
            </w:tcBorders>
            <w:shd w:val="clear" w:color="auto" w:fill="auto"/>
            <w:vAlign w:val="center"/>
          </w:tcPr>
          <w:p w14:paraId="153D5A69">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塑料冻存管盒</w:t>
            </w:r>
          </w:p>
        </w:tc>
        <w:tc>
          <w:tcPr>
            <w:tcW w:w="1350" w:type="dxa"/>
            <w:tcBorders>
              <w:tl2br w:val="nil"/>
              <w:tr2bl w:val="nil"/>
            </w:tcBorders>
            <w:shd w:val="clear" w:color="auto" w:fill="auto"/>
            <w:vAlign w:val="center"/>
          </w:tcPr>
          <w:p w14:paraId="416B8B5A">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50孔</w:t>
            </w:r>
          </w:p>
        </w:tc>
        <w:tc>
          <w:tcPr>
            <w:tcW w:w="4785" w:type="dxa"/>
            <w:tcBorders>
              <w:tl2br w:val="nil"/>
              <w:tr2bl w:val="nil"/>
            </w:tcBorders>
            <w:shd w:val="clear" w:color="auto" w:fill="auto"/>
            <w:vAlign w:val="center"/>
          </w:tcPr>
          <w:p w14:paraId="6C0E47E3">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PP 适配1.5/1.8/2mL,(全色 5个/套)</w:t>
            </w:r>
          </w:p>
        </w:tc>
        <w:tc>
          <w:tcPr>
            <w:tcW w:w="867" w:type="dxa"/>
            <w:tcBorders>
              <w:tl2br w:val="nil"/>
              <w:tr2bl w:val="nil"/>
            </w:tcBorders>
            <w:shd w:val="clear" w:color="auto" w:fill="auto"/>
            <w:vAlign w:val="center"/>
          </w:tcPr>
          <w:p w14:paraId="4C4C4899">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40" w:type="dxa"/>
            <w:tcBorders>
              <w:tl2br w:val="nil"/>
              <w:tr2bl w:val="nil"/>
            </w:tcBorders>
            <w:shd w:val="clear" w:color="auto" w:fill="auto"/>
            <w:noWrap/>
            <w:vAlign w:val="center"/>
          </w:tcPr>
          <w:p w14:paraId="2DB0BFCB">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r>
      <w:tr w14:paraId="56CFE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0" w:hRule="atLeast"/>
          <w:jc w:val="center"/>
        </w:trPr>
        <w:tc>
          <w:tcPr>
            <w:tcW w:w="791" w:type="dxa"/>
            <w:vMerge w:val="continue"/>
            <w:tcBorders>
              <w:tl2br w:val="nil"/>
              <w:tr2bl w:val="nil"/>
            </w:tcBorders>
            <w:shd w:val="clear" w:color="auto" w:fill="auto"/>
            <w:noWrap/>
            <w:vAlign w:val="center"/>
          </w:tcPr>
          <w:p w14:paraId="6972438F">
            <w:pPr>
              <w:spacing w:line="240" w:lineRule="auto"/>
              <w:jc w:val="center"/>
              <w:rPr>
                <w:rFonts w:hint="eastAsia" w:ascii="宋体" w:hAnsi="宋体" w:eastAsia="宋体" w:cs="宋体"/>
                <w:i w:val="0"/>
                <w:iCs w:val="0"/>
                <w:color w:val="auto"/>
                <w:sz w:val="20"/>
                <w:szCs w:val="20"/>
                <w:u w:val="none"/>
              </w:rPr>
            </w:pPr>
          </w:p>
        </w:tc>
        <w:tc>
          <w:tcPr>
            <w:tcW w:w="1336" w:type="dxa"/>
            <w:vMerge w:val="continue"/>
            <w:tcBorders>
              <w:tl2br w:val="nil"/>
              <w:tr2bl w:val="nil"/>
            </w:tcBorders>
            <w:shd w:val="clear" w:color="auto" w:fill="auto"/>
            <w:vAlign w:val="center"/>
          </w:tcPr>
          <w:p w14:paraId="299974BA">
            <w:pPr>
              <w:spacing w:line="240" w:lineRule="auto"/>
              <w:jc w:val="center"/>
              <w:rPr>
                <w:rFonts w:hint="eastAsia" w:ascii="宋体" w:hAnsi="宋体" w:eastAsia="宋体" w:cs="宋体"/>
                <w:i w:val="0"/>
                <w:iCs w:val="0"/>
                <w:color w:val="auto"/>
                <w:sz w:val="20"/>
                <w:szCs w:val="20"/>
                <w:u w:val="none"/>
              </w:rPr>
            </w:pPr>
          </w:p>
        </w:tc>
        <w:tc>
          <w:tcPr>
            <w:tcW w:w="1350" w:type="dxa"/>
            <w:tcBorders>
              <w:tl2br w:val="nil"/>
              <w:tr2bl w:val="nil"/>
            </w:tcBorders>
            <w:shd w:val="clear" w:color="auto" w:fill="auto"/>
            <w:vAlign w:val="center"/>
          </w:tcPr>
          <w:p w14:paraId="420D659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100孔</w:t>
            </w:r>
          </w:p>
        </w:tc>
        <w:tc>
          <w:tcPr>
            <w:tcW w:w="4785" w:type="dxa"/>
            <w:tcBorders>
              <w:tl2br w:val="nil"/>
              <w:tr2bl w:val="nil"/>
            </w:tcBorders>
            <w:shd w:val="clear" w:color="auto" w:fill="auto"/>
            <w:vAlign w:val="center"/>
          </w:tcPr>
          <w:p w14:paraId="0E768292">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PP 适配1.5/1.8/2mL,(透明 5个/套)</w:t>
            </w:r>
          </w:p>
        </w:tc>
        <w:tc>
          <w:tcPr>
            <w:tcW w:w="867" w:type="dxa"/>
            <w:tcBorders>
              <w:tl2br w:val="nil"/>
              <w:tr2bl w:val="nil"/>
            </w:tcBorders>
            <w:shd w:val="clear" w:color="auto" w:fill="auto"/>
            <w:vAlign w:val="center"/>
          </w:tcPr>
          <w:p w14:paraId="451DB845">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840" w:type="dxa"/>
            <w:tcBorders>
              <w:tl2br w:val="nil"/>
              <w:tr2bl w:val="nil"/>
            </w:tcBorders>
            <w:shd w:val="clear" w:color="auto" w:fill="auto"/>
            <w:noWrap/>
            <w:vAlign w:val="center"/>
          </w:tcPr>
          <w:p w14:paraId="3BE04000">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r>
      <w:tr w14:paraId="3308C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0" w:hRule="atLeast"/>
          <w:jc w:val="center"/>
        </w:trPr>
        <w:tc>
          <w:tcPr>
            <w:tcW w:w="791" w:type="dxa"/>
            <w:tcBorders>
              <w:tl2br w:val="nil"/>
              <w:tr2bl w:val="nil"/>
            </w:tcBorders>
            <w:shd w:val="clear" w:color="auto" w:fill="auto"/>
            <w:noWrap/>
            <w:vAlign w:val="center"/>
          </w:tcPr>
          <w:p w14:paraId="4B445CBC">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336" w:type="dxa"/>
            <w:tcBorders>
              <w:tl2br w:val="nil"/>
              <w:tr2bl w:val="nil"/>
            </w:tcBorders>
            <w:shd w:val="clear" w:color="auto" w:fill="auto"/>
            <w:vAlign w:val="center"/>
          </w:tcPr>
          <w:p w14:paraId="4B2C7D75">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移液器架</w:t>
            </w:r>
          </w:p>
        </w:tc>
        <w:tc>
          <w:tcPr>
            <w:tcW w:w="1350" w:type="dxa"/>
            <w:tcBorders>
              <w:tl2br w:val="nil"/>
              <w:tr2bl w:val="nil"/>
            </w:tcBorders>
            <w:shd w:val="clear" w:color="auto" w:fill="auto"/>
            <w:vAlign w:val="center"/>
          </w:tcPr>
          <w:p w14:paraId="3EF435EB">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L型</w:t>
            </w:r>
          </w:p>
        </w:tc>
        <w:tc>
          <w:tcPr>
            <w:tcW w:w="4785" w:type="dxa"/>
            <w:tcBorders>
              <w:tl2br w:val="nil"/>
              <w:tr2bl w:val="nil"/>
            </w:tcBorders>
            <w:shd w:val="clear" w:color="auto" w:fill="auto"/>
            <w:vAlign w:val="center"/>
          </w:tcPr>
          <w:p w14:paraId="64BCB9B8">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ABS  蓝色</w:t>
            </w:r>
          </w:p>
        </w:tc>
        <w:tc>
          <w:tcPr>
            <w:tcW w:w="867" w:type="dxa"/>
            <w:tcBorders>
              <w:tl2br w:val="nil"/>
              <w:tr2bl w:val="nil"/>
            </w:tcBorders>
            <w:shd w:val="clear" w:color="auto" w:fill="auto"/>
            <w:vAlign w:val="center"/>
          </w:tcPr>
          <w:p w14:paraId="7949316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40" w:type="dxa"/>
            <w:tcBorders>
              <w:tl2br w:val="nil"/>
              <w:tr2bl w:val="nil"/>
            </w:tcBorders>
            <w:shd w:val="clear" w:color="auto" w:fill="auto"/>
            <w:noWrap/>
            <w:vAlign w:val="center"/>
          </w:tcPr>
          <w:p w14:paraId="56D11718">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r>
      <w:tr w14:paraId="22DCD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jc w:val="center"/>
        </w:trPr>
        <w:tc>
          <w:tcPr>
            <w:tcW w:w="791" w:type="dxa"/>
            <w:vMerge w:val="restart"/>
            <w:tcBorders>
              <w:tl2br w:val="nil"/>
              <w:tr2bl w:val="nil"/>
            </w:tcBorders>
            <w:shd w:val="clear" w:color="auto" w:fill="auto"/>
            <w:vAlign w:val="center"/>
          </w:tcPr>
          <w:p w14:paraId="31A36EC5">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336" w:type="dxa"/>
            <w:vMerge w:val="restart"/>
            <w:tcBorders>
              <w:tl2br w:val="nil"/>
              <w:tr2bl w:val="nil"/>
            </w:tcBorders>
            <w:shd w:val="clear" w:color="auto" w:fill="auto"/>
            <w:vAlign w:val="center"/>
          </w:tcPr>
          <w:p w14:paraId="7490CAB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有机玻璃离心管架</w:t>
            </w:r>
          </w:p>
        </w:tc>
        <w:tc>
          <w:tcPr>
            <w:tcW w:w="1350" w:type="dxa"/>
            <w:tcBorders>
              <w:tl2br w:val="nil"/>
              <w:tr2bl w:val="nil"/>
            </w:tcBorders>
            <w:shd w:val="clear" w:color="auto" w:fill="auto"/>
            <w:vAlign w:val="center"/>
          </w:tcPr>
          <w:p w14:paraId="79E8224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1.5/2mL*48孔</w:t>
            </w:r>
          </w:p>
        </w:tc>
        <w:tc>
          <w:tcPr>
            <w:tcW w:w="4785" w:type="dxa"/>
            <w:tcBorders>
              <w:tl2br w:val="nil"/>
              <w:tr2bl w:val="nil"/>
            </w:tcBorders>
            <w:shd w:val="clear" w:color="auto" w:fill="auto"/>
            <w:vAlign w:val="center"/>
          </w:tcPr>
          <w:p w14:paraId="26F0A825">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孔直径11</w:t>
            </w:r>
            <w:r>
              <w:rPr>
                <w:rFonts w:hint="eastAsia" w:ascii="宋体" w:hAnsi="宋体" w:eastAsia="宋体" w:cs="宋体"/>
                <w:i w:val="0"/>
                <w:iCs w:val="0"/>
                <w:color w:val="auto"/>
                <w:kern w:val="0"/>
                <w:sz w:val="20"/>
                <w:szCs w:val="20"/>
                <w:u w:val="none"/>
                <w:lang w:val="en-US" w:eastAsia="zh-CN" w:bidi="ar"/>
              </w:rPr>
              <w:t xml:space="preserve">mm </w:t>
            </w:r>
          </w:p>
        </w:tc>
        <w:tc>
          <w:tcPr>
            <w:tcW w:w="867" w:type="dxa"/>
            <w:tcBorders>
              <w:tl2br w:val="nil"/>
              <w:tr2bl w:val="nil"/>
            </w:tcBorders>
            <w:shd w:val="clear" w:color="auto" w:fill="auto"/>
            <w:vAlign w:val="center"/>
          </w:tcPr>
          <w:p w14:paraId="613C5AB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40" w:type="dxa"/>
            <w:tcBorders>
              <w:tl2br w:val="nil"/>
              <w:tr2bl w:val="nil"/>
            </w:tcBorders>
            <w:shd w:val="clear" w:color="auto" w:fill="auto"/>
            <w:noWrap/>
            <w:vAlign w:val="center"/>
          </w:tcPr>
          <w:p w14:paraId="58EC6E7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r>
      <w:tr w14:paraId="10F8B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0" w:hRule="atLeast"/>
          <w:jc w:val="center"/>
        </w:trPr>
        <w:tc>
          <w:tcPr>
            <w:tcW w:w="791" w:type="dxa"/>
            <w:vMerge w:val="continue"/>
            <w:tcBorders>
              <w:tl2br w:val="nil"/>
              <w:tr2bl w:val="nil"/>
            </w:tcBorders>
            <w:shd w:val="clear" w:color="auto" w:fill="auto"/>
            <w:vAlign w:val="center"/>
          </w:tcPr>
          <w:p w14:paraId="5E178AA9">
            <w:pPr>
              <w:spacing w:line="240" w:lineRule="auto"/>
              <w:jc w:val="center"/>
              <w:rPr>
                <w:rFonts w:hint="eastAsia" w:ascii="宋体" w:hAnsi="宋体" w:eastAsia="宋体" w:cs="宋体"/>
                <w:i w:val="0"/>
                <w:iCs w:val="0"/>
                <w:color w:val="auto"/>
                <w:sz w:val="20"/>
                <w:szCs w:val="20"/>
                <w:u w:val="none"/>
              </w:rPr>
            </w:pPr>
          </w:p>
        </w:tc>
        <w:tc>
          <w:tcPr>
            <w:tcW w:w="1336" w:type="dxa"/>
            <w:vMerge w:val="continue"/>
            <w:tcBorders>
              <w:tl2br w:val="nil"/>
              <w:tr2bl w:val="nil"/>
            </w:tcBorders>
            <w:shd w:val="clear" w:color="auto" w:fill="auto"/>
            <w:vAlign w:val="center"/>
          </w:tcPr>
          <w:p w14:paraId="16A8E542">
            <w:pPr>
              <w:spacing w:line="240" w:lineRule="auto"/>
              <w:jc w:val="center"/>
              <w:rPr>
                <w:rFonts w:hint="eastAsia" w:ascii="宋体" w:hAnsi="宋体" w:eastAsia="宋体" w:cs="宋体"/>
                <w:i w:val="0"/>
                <w:iCs w:val="0"/>
                <w:color w:val="auto"/>
                <w:sz w:val="20"/>
                <w:szCs w:val="20"/>
                <w:u w:val="none"/>
              </w:rPr>
            </w:pPr>
          </w:p>
        </w:tc>
        <w:tc>
          <w:tcPr>
            <w:tcW w:w="1350" w:type="dxa"/>
            <w:tcBorders>
              <w:tl2br w:val="nil"/>
              <w:tr2bl w:val="nil"/>
            </w:tcBorders>
            <w:shd w:val="clear" w:color="auto" w:fill="auto"/>
            <w:vAlign w:val="center"/>
          </w:tcPr>
          <w:p w14:paraId="6F55A69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15mL*48孔</w:t>
            </w:r>
          </w:p>
        </w:tc>
        <w:tc>
          <w:tcPr>
            <w:tcW w:w="4785" w:type="dxa"/>
            <w:tcBorders>
              <w:tl2br w:val="nil"/>
              <w:tr2bl w:val="nil"/>
            </w:tcBorders>
            <w:shd w:val="clear" w:color="auto" w:fill="auto"/>
            <w:vAlign w:val="center"/>
          </w:tcPr>
          <w:p w14:paraId="2281DFE0">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孔直径17</w:t>
            </w:r>
            <w:r>
              <w:rPr>
                <w:rFonts w:hint="eastAsia" w:ascii="宋体" w:hAnsi="宋体" w:eastAsia="宋体" w:cs="宋体"/>
                <w:i w:val="0"/>
                <w:iCs w:val="0"/>
                <w:color w:val="auto"/>
                <w:kern w:val="0"/>
                <w:sz w:val="20"/>
                <w:szCs w:val="20"/>
                <w:u w:val="none"/>
                <w:lang w:val="en-US" w:eastAsia="zh-CN" w:bidi="ar"/>
              </w:rPr>
              <w:t xml:space="preserve">mm </w:t>
            </w:r>
          </w:p>
        </w:tc>
        <w:tc>
          <w:tcPr>
            <w:tcW w:w="867" w:type="dxa"/>
            <w:tcBorders>
              <w:tl2br w:val="nil"/>
              <w:tr2bl w:val="nil"/>
            </w:tcBorders>
            <w:shd w:val="clear" w:color="auto" w:fill="auto"/>
            <w:vAlign w:val="center"/>
          </w:tcPr>
          <w:p w14:paraId="72467DFA">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40" w:type="dxa"/>
            <w:tcBorders>
              <w:tl2br w:val="nil"/>
              <w:tr2bl w:val="nil"/>
            </w:tcBorders>
            <w:shd w:val="clear" w:color="auto" w:fill="auto"/>
            <w:noWrap/>
            <w:vAlign w:val="center"/>
          </w:tcPr>
          <w:p w14:paraId="5A5B16E6">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r>
      <w:tr w14:paraId="170AC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jc w:val="center"/>
        </w:trPr>
        <w:tc>
          <w:tcPr>
            <w:tcW w:w="791" w:type="dxa"/>
            <w:vMerge w:val="continue"/>
            <w:tcBorders>
              <w:tl2br w:val="nil"/>
              <w:tr2bl w:val="nil"/>
            </w:tcBorders>
            <w:shd w:val="clear" w:color="auto" w:fill="auto"/>
            <w:vAlign w:val="center"/>
          </w:tcPr>
          <w:p w14:paraId="75816209">
            <w:pPr>
              <w:spacing w:line="240" w:lineRule="auto"/>
              <w:jc w:val="center"/>
              <w:rPr>
                <w:rFonts w:hint="eastAsia" w:ascii="宋体" w:hAnsi="宋体" w:eastAsia="宋体" w:cs="宋体"/>
                <w:i w:val="0"/>
                <w:iCs w:val="0"/>
                <w:color w:val="auto"/>
                <w:sz w:val="20"/>
                <w:szCs w:val="20"/>
                <w:u w:val="none"/>
              </w:rPr>
            </w:pPr>
          </w:p>
        </w:tc>
        <w:tc>
          <w:tcPr>
            <w:tcW w:w="1336" w:type="dxa"/>
            <w:vMerge w:val="continue"/>
            <w:tcBorders>
              <w:tl2br w:val="nil"/>
              <w:tr2bl w:val="nil"/>
            </w:tcBorders>
            <w:shd w:val="clear" w:color="auto" w:fill="auto"/>
            <w:vAlign w:val="center"/>
          </w:tcPr>
          <w:p w14:paraId="6634BB28">
            <w:pPr>
              <w:spacing w:line="240" w:lineRule="auto"/>
              <w:jc w:val="center"/>
              <w:rPr>
                <w:rFonts w:hint="eastAsia" w:ascii="宋体" w:hAnsi="宋体" w:eastAsia="宋体" w:cs="宋体"/>
                <w:i w:val="0"/>
                <w:iCs w:val="0"/>
                <w:color w:val="auto"/>
                <w:sz w:val="20"/>
                <w:szCs w:val="20"/>
                <w:u w:val="none"/>
              </w:rPr>
            </w:pPr>
          </w:p>
        </w:tc>
        <w:tc>
          <w:tcPr>
            <w:tcW w:w="1350" w:type="dxa"/>
            <w:tcBorders>
              <w:tl2br w:val="nil"/>
              <w:tr2bl w:val="nil"/>
            </w:tcBorders>
            <w:shd w:val="clear" w:color="auto" w:fill="auto"/>
            <w:vAlign w:val="center"/>
          </w:tcPr>
          <w:p w14:paraId="6E07A6BA">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50mL*12孔</w:t>
            </w:r>
          </w:p>
        </w:tc>
        <w:tc>
          <w:tcPr>
            <w:tcW w:w="4785" w:type="dxa"/>
            <w:tcBorders>
              <w:tl2br w:val="nil"/>
              <w:tr2bl w:val="nil"/>
            </w:tcBorders>
            <w:shd w:val="clear" w:color="auto" w:fill="auto"/>
            <w:vAlign w:val="center"/>
          </w:tcPr>
          <w:p w14:paraId="34E71EB5">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孔直径30</w:t>
            </w:r>
            <w:r>
              <w:rPr>
                <w:rFonts w:hint="eastAsia" w:ascii="宋体" w:hAnsi="宋体" w:eastAsia="宋体" w:cs="宋体"/>
                <w:i w:val="0"/>
                <w:iCs w:val="0"/>
                <w:color w:val="auto"/>
                <w:kern w:val="0"/>
                <w:sz w:val="20"/>
                <w:szCs w:val="20"/>
                <w:u w:val="none"/>
                <w:lang w:val="en-US" w:eastAsia="zh-CN" w:bidi="ar"/>
              </w:rPr>
              <w:t xml:space="preserve">mm </w:t>
            </w:r>
          </w:p>
        </w:tc>
        <w:tc>
          <w:tcPr>
            <w:tcW w:w="867" w:type="dxa"/>
            <w:tcBorders>
              <w:tl2br w:val="nil"/>
              <w:tr2bl w:val="nil"/>
            </w:tcBorders>
            <w:shd w:val="clear" w:color="auto" w:fill="auto"/>
            <w:vAlign w:val="center"/>
          </w:tcPr>
          <w:p w14:paraId="555C763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40" w:type="dxa"/>
            <w:tcBorders>
              <w:tl2br w:val="nil"/>
              <w:tr2bl w:val="nil"/>
            </w:tcBorders>
            <w:shd w:val="clear" w:color="auto" w:fill="auto"/>
            <w:noWrap/>
            <w:vAlign w:val="center"/>
          </w:tcPr>
          <w:p w14:paraId="33006554">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r>
      <w:tr w14:paraId="446C1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0" w:hRule="atLeast"/>
          <w:jc w:val="center"/>
        </w:trPr>
        <w:tc>
          <w:tcPr>
            <w:tcW w:w="791" w:type="dxa"/>
            <w:tcBorders>
              <w:tl2br w:val="nil"/>
              <w:tr2bl w:val="nil"/>
            </w:tcBorders>
            <w:shd w:val="clear" w:color="auto" w:fill="auto"/>
            <w:vAlign w:val="center"/>
          </w:tcPr>
          <w:p w14:paraId="14A3541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336" w:type="dxa"/>
            <w:tcBorders>
              <w:tl2br w:val="nil"/>
              <w:tr2bl w:val="nil"/>
            </w:tcBorders>
            <w:shd w:val="clear" w:color="auto" w:fill="auto"/>
            <w:vAlign w:val="center"/>
          </w:tcPr>
          <w:p w14:paraId="1961A32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冷冻收纳盒</w:t>
            </w:r>
          </w:p>
        </w:tc>
        <w:tc>
          <w:tcPr>
            <w:tcW w:w="1350" w:type="dxa"/>
            <w:tcBorders>
              <w:tl2br w:val="nil"/>
              <w:tr2bl w:val="nil"/>
            </w:tcBorders>
            <w:shd w:val="clear" w:color="auto" w:fill="auto"/>
            <w:vAlign w:val="center"/>
          </w:tcPr>
          <w:p w14:paraId="7D65AA5D">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4L</w:t>
            </w:r>
          </w:p>
        </w:tc>
        <w:tc>
          <w:tcPr>
            <w:tcW w:w="4785" w:type="dxa"/>
            <w:tcBorders>
              <w:tl2br w:val="nil"/>
              <w:tr2bl w:val="nil"/>
            </w:tcBorders>
            <w:shd w:val="clear" w:color="auto" w:fill="auto"/>
            <w:vAlign w:val="center"/>
          </w:tcPr>
          <w:p w14:paraId="1D78819D">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PET 透明 带盖 可密封</w:t>
            </w:r>
          </w:p>
        </w:tc>
        <w:tc>
          <w:tcPr>
            <w:tcW w:w="867" w:type="dxa"/>
            <w:tcBorders>
              <w:tl2br w:val="nil"/>
              <w:tr2bl w:val="nil"/>
            </w:tcBorders>
            <w:shd w:val="clear" w:color="auto" w:fill="auto"/>
            <w:vAlign w:val="center"/>
          </w:tcPr>
          <w:p w14:paraId="4511976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40" w:type="dxa"/>
            <w:tcBorders>
              <w:tl2br w:val="nil"/>
              <w:tr2bl w:val="nil"/>
            </w:tcBorders>
            <w:shd w:val="clear" w:color="auto" w:fill="auto"/>
            <w:noWrap/>
            <w:vAlign w:val="center"/>
          </w:tcPr>
          <w:p w14:paraId="3B013C5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r>
      <w:tr w14:paraId="0D702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0" w:hRule="atLeast"/>
          <w:jc w:val="center"/>
        </w:trPr>
        <w:tc>
          <w:tcPr>
            <w:tcW w:w="791" w:type="dxa"/>
            <w:tcBorders>
              <w:tl2br w:val="nil"/>
              <w:tr2bl w:val="nil"/>
            </w:tcBorders>
            <w:shd w:val="clear" w:color="auto" w:fill="auto"/>
            <w:noWrap/>
            <w:vAlign w:val="center"/>
          </w:tcPr>
          <w:p w14:paraId="65106475">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w:t>
            </w:r>
          </w:p>
        </w:tc>
        <w:tc>
          <w:tcPr>
            <w:tcW w:w="1336" w:type="dxa"/>
            <w:tcBorders>
              <w:tl2br w:val="nil"/>
              <w:tr2bl w:val="nil"/>
            </w:tcBorders>
            <w:shd w:val="clear" w:color="auto" w:fill="auto"/>
            <w:vAlign w:val="center"/>
          </w:tcPr>
          <w:p w14:paraId="4F0D4488">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移动固态硬盘</w:t>
            </w:r>
          </w:p>
        </w:tc>
        <w:tc>
          <w:tcPr>
            <w:tcW w:w="1350" w:type="dxa"/>
            <w:tcBorders>
              <w:tl2br w:val="nil"/>
              <w:tr2bl w:val="nil"/>
            </w:tcBorders>
            <w:shd w:val="clear" w:color="auto" w:fill="auto"/>
            <w:vAlign w:val="center"/>
          </w:tcPr>
          <w:p w14:paraId="1276074B">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T7 shield</w:t>
            </w:r>
          </w:p>
        </w:tc>
        <w:tc>
          <w:tcPr>
            <w:tcW w:w="4785" w:type="dxa"/>
            <w:tcBorders>
              <w:tl2br w:val="nil"/>
              <w:tr2bl w:val="nil"/>
            </w:tcBorders>
            <w:shd w:val="clear" w:color="auto" w:fill="auto"/>
            <w:vAlign w:val="center"/>
          </w:tcPr>
          <w:p w14:paraId="3BC61261">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2T 黑 </w:t>
            </w:r>
          </w:p>
        </w:tc>
        <w:tc>
          <w:tcPr>
            <w:tcW w:w="867" w:type="dxa"/>
            <w:tcBorders>
              <w:tl2br w:val="nil"/>
              <w:tr2bl w:val="nil"/>
            </w:tcBorders>
            <w:shd w:val="clear" w:color="auto" w:fill="auto"/>
            <w:vAlign w:val="center"/>
          </w:tcPr>
          <w:p w14:paraId="5CD2D8D0">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840" w:type="dxa"/>
            <w:tcBorders>
              <w:tl2br w:val="nil"/>
              <w:tr2bl w:val="nil"/>
            </w:tcBorders>
            <w:shd w:val="clear" w:color="auto" w:fill="auto"/>
            <w:noWrap/>
            <w:vAlign w:val="center"/>
          </w:tcPr>
          <w:p w14:paraId="1D8DC2D0">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r>
      <w:tr w14:paraId="3D6F0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60" w:hRule="atLeast"/>
          <w:jc w:val="center"/>
        </w:trPr>
        <w:tc>
          <w:tcPr>
            <w:tcW w:w="791" w:type="dxa"/>
            <w:tcBorders>
              <w:tl2br w:val="nil"/>
              <w:tr2bl w:val="nil"/>
            </w:tcBorders>
            <w:shd w:val="clear" w:color="auto" w:fill="auto"/>
            <w:noWrap/>
            <w:vAlign w:val="center"/>
          </w:tcPr>
          <w:p w14:paraId="662CFA4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1336" w:type="dxa"/>
            <w:tcBorders>
              <w:tl2br w:val="nil"/>
              <w:tr2bl w:val="nil"/>
            </w:tcBorders>
            <w:shd w:val="clear" w:color="auto" w:fill="auto"/>
            <w:vAlign w:val="center"/>
          </w:tcPr>
          <w:p w14:paraId="15B0BA5F">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苯二氮卓类检测板</w:t>
            </w:r>
          </w:p>
        </w:tc>
        <w:tc>
          <w:tcPr>
            <w:tcW w:w="1350" w:type="dxa"/>
            <w:tcBorders>
              <w:tl2br w:val="nil"/>
              <w:tr2bl w:val="nil"/>
            </w:tcBorders>
            <w:shd w:val="clear" w:color="auto" w:fill="auto"/>
            <w:vAlign w:val="center"/>
          </w:tcPr>
          <w:p w14:paraId="10E546E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40人份</w:t>
            </w:r>
          </w:p>
        </w:tc>
        <w:tc>
          <w:tcPr>
            <w:tcW w:w="4785" w:type="dxa"/>
            <w:tcBorders>
              <w:tl2br w:val="nil"/>
              <w:tr2bl w:val="nil"/>
            </w:tcBorders>
            <w:shd w:val="clear" w:color="auto" w:fill="auto"/>
            <w:vAlign w:val="center"/>
          </w:tcPr>
          <w:p w14:paraId="5DF349FF">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适用检测标本：尿液</w:t>
            </w:r>
          </w:p>
        </w:tc>
        <w:tc>
          <w:tcPr>
            <w:tcW w:w="867" w:type="dxa"/>
            <w:tcBorders>
              <w:tl2br w:val="nil"/>
              <w:tr2bl w:val="nil"/>
            </w:tcBorders>
            <w:shd w:val="clear" w:color="auto" w:fill="auto"/>
            <w:vAlign w:val="center"/>
          </w:tcPr>
          <w:p w14:paraId="74D049AC">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40" w:type="dxa"/>
            <w:tcBorders>
              <w:tl2br w:val="nil"/>
              <w:tr2bl w:val="nil"/>
            </w:tcBorders>
            <w:shd w:val="clear" w:color="auto" w:fill="auto"/>
            <w:noWrap/>
            <w:vAlign w:val="center"/>
          </w:tcPr>
          <w:p w14:paraId="41EE6EDD">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r>
      <w:tr w14:paraId="2C1C9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jc w:val="center"/>
        </w:trPr>
        <w:tc>
          <w:tcPr>
            <w:tcW w:w="791" w:type="dxa"/>
            <w:tcBorders>
              <w:tl2br w:val="nil"/>
              <w:tr2bl w:val="nil"/>
            </w:tcBorders>
            <w:shd w:val="clear" w:color="auto" w:fill="auto"/>
            <w:noWrap/>
            <w:vAlign w:val="center"/>
          </w:tcPr>
          <w:p w14:paraId="696C0CEA">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19</w:t>
            </w:r>
          </w:p>
        </w:tc>
        <w:tc>
          <w:tcPr>
            <w:tcW w:w="1336" w:type="dxa"/>
            <w:tcBorders>
              <w:tl2br w:val="nil"/>
              <w:tr2bl w:val="nil"/>
            </w:tcBorders>
            <w:shd w:val="clear" w:color="auto" w:fill="auto"/>
            <w:vAlign w:val="center"/>
          </w:tcPr>
          <w:p w14:paraId="53FBE7B7">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巴比妥类检测板</w:t>
            </w:r>
          </w:p>
        </w:tc>
        <w:tc>
          <w:tcPr>
            <w:tcW w:w="1350" w:type="dxa"/>
            <w:tcBorders>
              <w:tl2br w:val="nil"/>
              <w:tr2bl w:val="nil"/>
            </w:tcBorders>
            <w:shd w:val="clear" w:color="auto" w:fill="auto"/>
            <w:vAlign w:val="center"/>
          </w:tcPr>
          <w:p w14:paraId="4AE21FEF">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40人份</w:t>
            </w:r>
          </w:p>
        </w:tc>
        <w:tc>
          <w:tcPr>
            <w:tcW w:w="4785" w:type="dxa"/>
            <w:tcBorders>
              <w:tl2br w:val="nil"/>
              <w:tr2bl w:val="nil"/>
            </w:tcBorders>
            <w:shd w:val="clear" w:color="auto" w:fill="auto"/>
            <w:vAlign w:val="center"/>
          </w:tcPr>
          <w:p w14:paraId="3E237066">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适用检测标本：尿液</w:t>
            </w:r>
          </w:p>
        </w:tc>
        <w:tc>
          <w:tcPr>
            <w:tcW w:w="867" w:type="dxa"/>
            <w:tcBorders>
              <w:tl2br w:val="nil"/>
              <w:tr2bl w:val="nil"/>
            </w:tcBorders>
            <w:shd w:val="clear" w:color="auto" w:fill="auto"/>
            <w:vAlign w:val="center"/>
          </w:tcPr>
          <w:p w14:paraId="21D08A1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40" w:type="dxa"/>
            <w:tcBorders>
              <w:tl2br w:val="nil"/>
              <w:tr2bl w:val="nil"/>
            </w:tcBorders>
            <w:shd w:val="clear" w:color="auto" w:fill="auto"/>
            <w:noWrap/>
            <w:vAlign w:val="center"/>
          </w:tcPr>
          <w:p w14:paraId="7E056855">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r>
      <w:tr w14:paraId="42962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jc w:val="center"/>
        </w:trPr>
        <w:tc>
          <w:tcPr>
            <w:tcW w:w="791" w:type="dxa"/>
            <w:tcBorders>
              <w:tl2br w:val="nil"/>
              <w:tr2bl w:val="nil"/>
            </w:tcBorders>
            <w:shd w:val="clear" w:color="auto" w:fill="auto"/>
            <w:noWrap/>
            <w:vAlign w:val="center"/>
          </w:tcPr>
          <w:p w14:paraId="0B5537A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1336" w:type="dxa"/>
            <w:tcBorders>
              <w:tl2br w:val="nil"/>
              <w:tr2bl w:val="nil"/>
            </w:tcBorders>
            <w:shd w:val="clear" w:color="auto" w:fill="auto"/>
            <w:vAlign w:val="center"/>
          </w:tcPr>
          <w:p w14:paraId="29DAFC6E">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三环抗抑郁类检查板</w:t>
            </w:r>
          </w:p>
        </w:tc>
        <w:tc>
          <w:tcPr>
            <w:tcW w:w="1350" w:type="dxa"/>
            <w:tcBorders>
              <w:tl2br w:val="nil"/>
              <w:tr2bl w:val="nil"/>
            </w:tcBorders>
            <w:shd w:val="clear" w:color="auto" w:fill="auto"/>
            <w:vAlign w:val="center"/>
          </w:tcPr>
          <w:p w14:paraId="47C75A37">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40人份</w:t>
            </w:r>
          </w:p>
        </w:tc>
        <w:tc>
          <w:tcPr>
            <w:tcW w:w="4785" w:type="dxa"/>
            <w:tcBorders>
              <w:tl2br w:val="nil"/>
              <w:tr2bl w:val="nil"/>
            </w:tcBorders>
            <w:shd w:val="clear" w:color="auto" w:fill="auto"/>
            <w:vAlign w:val="center"/>
          </w:tcPr>
          <w:p w14:paraId="6BB1F6FE">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适用检测标本：尿液</w:t>
            </w:r>
          </w:p>
        </w:tc>
        <w:tc>
          <w:tcPr>
            <w:tcW w:w="867" w:type="dxa"/>
            <w:tcBorders>
              <w:tl2br w:val="nil"/>
              <w:tr2bl w:val="nil"/>
            </w:tcBorders>
            <w:shd w:val="clear" w:color="auto" w:fill="auto"/>
            <w:vAlign w:val="center"/>
          </w:tcPr>
          <w:p w14:paraId="49FF89C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840" w:type="dxa"/>
            <w:tcBorders>
              <w:tl2br w:val="nil"/>
              <w:tr2bl w:val="nil"/>
            </w:tcBorders>
            <w:shd w:val="clear" w:color="auto" w:fill="auto"/>
            <w:noWrap/>
            <w:vAlign w:val="center"/>
          </w:tcPr>
          <w:p w14:paraId="6F5119D5">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r>
    </w:tbl>
    <w:p w14:paraId="74D45E5F">
      <w:pPr>
        <w:spacing w:line="240" w:lineRule="auto"/>
        <w:rPr>
          <w:rFonts w:eastAsia="宋体" w:cs="Times New Roman"/>
          <w:color w:val="auto"/>
          <w:sz w:val="21"/>
        </w:rPr>
      </w:pPr>
    </w:p>
    <w:p w14:paraId="5083F23B">
      <w:pPr>
        <w:spacing w:line="240" w:lineRule="auto"/>
        <w:rPr>
          <w:rFonts w:hint="default" w:eastAsia="宋体" w:cs="Times New Roman"/>
          <w:color w:val="auto"/>
          <w:sz w:val="21"/>
          <w:lang w:val="en-US" w:eastAsia="zh-CN"/>
        </w:rPr>
      </w:pPr>
      <w:r>
        <w:rPr>
          <w:rFonts w:hint="eastAsia" w:ascii="宋体" w:hAnsi="宋体" w:eastAsia="宋体" w:cs="宋体"/>
          <w:b/>
          <w:bCs/>
          <w:i w:val="0"/>
          <w:iCs w:val="0"/>
          <w:color w:val="auto"/>
          <w:kern w:val="0"/>
          <w:sz w:val="36"/>
          <w:szCs w:val="36"/>
          <w:u w:val="none"/>
          <w:lang w:val="en-US" w:eastAsia="zh-CN" w:bidi="ar"/>
        </w:rPr>
        <w:t>三、电子物证室采购清单及技术参数</w:t>
      </w:r>
    </w:p>
    <w:tbl>
      <w:tblPr>
        <w:tblStyle w:val="35"/>
        <w:tblW w:w="81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6"/>
        <w:gridCol w:w="1800"/>
        <w:gridCol w:w="3255"/>
        <w:gridCol w:w="1185"/>
        <w:gridCol w:w="1185"/>
      </w:tblGrid>
      <w:tr w14:paraId="52C2D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8" w:hRule="atLeas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8059F">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序号</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2654C">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货物名称</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CBF09">
            <w:pPr>
              <w:keepNext w:val="0"/>
              <w:keepLines w:val="0"/>
              <w:widowControl/>
              <w:suppressLineNumbers w:val="0"/>
              <w:spacing w:line="240" w:lineRule="auto"/>
              <w:jc w:val="center"/>
              <w:textAlignment w:val="center"/>
              <w:rPr>
                <w:rFonts w:hint="default"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技术参数及要求</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B4090">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7A957">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数量</w:t>
            </w:r>
          </w:p>
        </w:tc>
      </w:tr>
      <w:tr w14:paraId="2197A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8" w:hRule="atLeas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EFF2D">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E139">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机械硬盘</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B9A9B">
            <w:pPr>
              <w:keepNext w:val="0"/>
              <w:keepLines w:val="0"/>
              <w:widowControl/>
              <w:suppressLineNumbers w:val="0"/>
              <w:spacing w:line="240" w:lineRule="auto"/>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8TB，7200转，垂直式</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9B738">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8DC9">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r>
      <w:tr w14:paraId="1C9D5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8" w:hRule="atLeas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753C">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B6A5C">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移动硬盘</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ECC91">
            <w:pPr>
              <w:keepNext w:val="0"/>
              <w:keepLines w:val="0"/>
              <w:widowControl/>
              <w:suppressLineNumbers w:val="0"/>
              <w:spacing w:line="240" w:lineRule="auto"/>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2TB</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7D47C">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5EBCD">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r>
      <w:tr w14:paraId="1CDBE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8" w:hRule="atLeas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DA33B">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FB73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固态硬盘</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E0179">
            <w:pPr>
              <w:keepNext w:val="0"/>
              <w:keepLines w:val="0"/>
              <w:widowControl/>
              <w:suppressLineNumbers w:val="0"/>
              <w:spacing w:line="240" w:lineRule="auto"/>
              <w:jc w:val="both"/>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2TB</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B8A6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A36FF">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r>
      <w:tr w14:paraId="5A869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8" w:hRule="atLeas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0CA72">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17B6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光盘</w:t>
            </w:r>
          </w:p>
        </w:tc>
        <w:tc>
          <w:tcPr>
            <w:tcW w:w="3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B8500">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DVD-R刻录光盘4.7G</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5407E">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7964D">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r>
    </w:tbl>
    <w:p w14:paraId="4869106F">
      <w:pPr>
        <w:spacing w:line="240" w:lineRule="auto"/>
        <w:rPr>
          <w:rFonts w:eastAsia="宋体" w:cs="Times New Roman"/>
          <w:color w:val="auto"/>
          <w:sz w:val="21"/>
        </w:rPr>
      </w:pPr>
    </w:p>
    <w:p w14:paraId="79831922">
      <w:pPr>
        <w:spacing w:line="240" w:lineRule="auto"/>
        <w:rPr>
          <w:rFonts w:eastAsia="宋体" w:cs="Times New Roman"/>
          <w:color w:val="auto"/>
          <w:sz w:val="21"/>
        </w:rPr>
      </w:pPr>
      <w:r>
        <w:rPr>
          <w:rFonts w:hint="eastAsia" w:ascii="宋体" w:hAnsi="宋体" w:eastAsia="宋体" w:cs="宋体"/>
          <w:b/>
          <w:bCs/>
          <w:i w:val="0"/>
          <w:iCs w:val="0"/>
          <w:color w:val="auto"/>
          <w:kern w:val="0"/>
          <w:sz w:val="32"/>
          <w:szCs w:val="32"/>
          <w:u w:val="none"/>
          <w:lang w:val="en-US" w:eastAsia="zh-CN" w:bidi="ar"/>
        </w:rPr>
        <w:t>四、法医实验室采购清单及技术参数（2026年度）</w:t>
      </w:r>
    </w:p>
    <w:p w14:paraId="6DD8E78F">
      <w:pPr>
        <w:spacing w:line="240" w:lineRule="auto"/>
        <w:rPr>
          <w:rFonts w:eastAsia="宋体" w:cs="Times New Roman"/>
          <w:color w:val="auto"/>
          <w:sz w:val="21"/>
        </w:rPr>
      </w:pPr>
    </w:p>
    <w:tbl>
      <w:tblPr>
        <w:tblStyle w:val="35"/>
        <w:tblW w:w="89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2"/>
        <w:gridCol w:w="1351"/>
        <w:gridCol w:w="4119"/>
        <w:gridCol w:w="1145"/>
        <w:gridCol w:w="586"/>
        <w:gridCol w:w="1050"/>
      </w:tblGrid>
      <w:tr w14:paraId="19494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B034C">
            <w:pPr>
              <w:keepNext w:val="0"/>
              <w:keepLines w:val="0"/>
              <w:widowControl/>
              <w:suppressLineNumbers w:val="0"/>
              <w:spacing w:line="240" w:lineRule="auto"/>
              <w:jc w:val="center"/>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序号</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E87A3">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货物名称</w:t>
            </w:r>
          </w:p>
        </w:tc>
        <w:tc>
          <w:tcPr>
            <w:tcW w:w="4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F974C">
            <w:pPr>
              <w:keepNext w:val="0"/>
              <w:keepLines w:val="0"/>
              <w:widowControl/>
              <w:suppressLineNumbers w:val="0"/>
              <w:spacing w:line="240" w:lineRule="auto"/>
              <w:jc w:val="center"/>
              <w:textAlignment w:val="center"/>
              <w:rPr>
                <w:rFonts w:hint="default" w:ascii="宋体" w:hAnsi="宋体" w:eastAsia="宋体" w:cs="宋体"/>
                <w:b/>
                <w:bCs/>
                <w:i w:val="0"/>
                <w:iCs w:val="0"/>
                <w:color w:val="auto"/>
                <w:sz w:val="22"/>
                <w:szCs w:val="22"/>
                <w:u w:val="none"/>
                <w:lang w:val="en-US"/>
              </w:rPr>
            </w:pPr>
            <w:r>
              <w:rPr>
                <w:rFonts w:hint="eastAsia" w:ascii="宋体" w:hAnsi="宋体" w:eastAsia="宋体" w:cs="宋体"/>
                <w:b/>
                <w:bCs/>
                <w:i w:val="0"/>
                <w:iCs w:val="0"/>
                <w:color w:val="auto"/>
                <w:kern w:val="0"/>
                <w:sz w:val="22"/>
                <w:szCs w:val="22"/>
                <w:u w:val="none"/>
                <w:lang w:val="en-US" w:eastAsia="zh-CN" w:bidi="ar"/>
              </w:rPr>
              <w:t>技术参数及要求</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F53D">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规格</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6816A">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4E7B0">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数量</w:t>
            </w:r>
          </w:p>
        </w:tc>
      </w:tr>
      <w:tr w14:paraId="3A72B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1422E">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7989">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法医穿刺针</w:t>
            </w:r>
          </w:p>
        </w:tc>
        <w:tc>
          <w:tcPr>
            <w:tcW w:w="4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BFB1C">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18#穿刺针头，弯头，双针，1.8mm粗，全长10.5cm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3DE8E">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10支/盒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28DE4">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8BC7D">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r>
      <w:tr w14:paraId="6CAFA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6EBE8">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D821C">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防毒面具</w:t>
            </w:r>
          </w:p>
        </w:tc>
        <w:tc>
          <w:tcPr>
            <w:tcW w:w="4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D5585">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用于对某些空气污染物的呼吸防护，防止吸入颗粒物或有毒有害气体，包含半面罩、滤毒盒、滤棉、滤棉盖。</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C1C2B">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5CB78">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98C17">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r>
      <w:tr w14:paraId="498B2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D74EE">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CB88D">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防毒面具滤毒盒</w:t>
            </w:r>
          </w:p>
        </w:tc>
        <w:tc>
          <w:tcPr>
            <w:tcW w:w="4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2CD59">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适用于防护有机蒸汽、二氧化碳、氯化氢、氯气、二氧化氯、氟化氢、氨气、甲胺、甲醛及硫化氢（NIOSH*)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22FFC">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2个/包</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7DA70">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包</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04ADC">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r>
      <w:tr w14:paraId="66E62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63719">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0B04B">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防毒面具滤棉</w:t>
            </w:r>
          </w:p>
        </w:tc>
        <w:tc>
          <w:tcPr>
            <w:tcW w:w="4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CB33">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适用于过滤非油性颗粒物≥95%，如粉尘、PM2.5等</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FF9E7">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10片/盒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E8870">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9D7C4">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r>
      <w:tr w14:paraId="2D131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581E7">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5</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786CF">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手术刀片</w:t>
            </w:r>
          </w:p>
        </w:tc>
        <w:tc>
          <w:tcPr>
            <w:tcW w:w="4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989D1">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外科手术刀片22号</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D4B0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100片/盒</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6800C">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A884A">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r>
      <w:tr w14:paraId="3E5E1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DDB98">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6</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8713D">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放大镜</w:t>
            </w:r>
          </w:p>
        </w:tc>
        <w:tc>
          <w:tcPr>
            <w:tcW w:w="4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F309F">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手持式，内置LED光源，用于对体表细微损伤、印记或附着物进行初步放大检查</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C6C6A">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3D8E5">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AE9FA">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r>
      <w:tr w14:paraId="46F07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0830">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7</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28337">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血压计</w:t>
            </w:r>
          </w:p>
        </w:tc>
        <w:tc>
          <w:tcPr>
            <w:tcW w:w="4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A7915">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臂筒式，医用级专用高精准全自动电子</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5288E">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CFA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51BEE">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r>
      <w:tr w14:paraId="106F4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1D91D">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8</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1A25">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身高体重秤测量仪</w:t>
            </w:r>
          </w:p>
        </w:tc>
        <w:tc>
          <w:tcPr>
            <w:tcW w:w="4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2AB69">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医用专用超声波身高体重测量一体机，精准体重秤智能电子秤</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446A6">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29A77">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1F954">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r>
      <w:tr w14:paraId="48FBA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0149">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9</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F50E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法医临床检查床</w:t>
            </w:r>
          </w:p>
        </w:tc>
        <w:tc>
          <w:tcPr>
            <w:tcW w:w="41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30858">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用于法医临床人体检验</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EC807">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4B97E">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E218D">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r>
    </w:tbl>
    <w:p w14:paraId="07601CE1">
      <w:pPr>
        <w:spacing w:line="240" w:lineRule="auto"/>
        <w:rPr>
          <w:rFonts w:eastAsia="宋体" w:cs="Times New Roman"/>
          <w:color w:val="auto"/>
          <w:sz w:val="21"/>
        </w:rPr>
      </w:pPr>
    </w:p>
    <w:p w14:paraId="0D3D3C75">
      <w:pPr>
        <w:spacing w:line="240" w:lineRule="auto"/>
        <w:jc w:val="both"/>
        <w:rPr>
          <w:rFonts w:hint="eastAsia" w:ascii="黑体" w:hAnsi="黑体" w:eastAsia="黑体" w:cs="黑体"/>
          <w:b w:val="0"/>
          <w:bCs w:val="0"/>
          <w:color w:val="auto"/>
          <w:sz w:val="32"/>
          <w:szCs w:val="32"/>
          <w:lang w:val="en-US" w:eastAsia="zh-CN"/>
        </w:rPr>
      </w:pPr>
      <w:r>
        <w:rPr>
          <w:rFonts w:hint="eastAsia" w:ascii="宋体" w:hAnsi="宋体" w:eastAsia="宋体" w:cs="宋体"/>
          <w:b/>
          <w:bCs/>
          <w:i w:val="0"/>
          <w:iCs w:val="0"/>
          <w:color w:val="auto"/>
          <w:kern w:val="0"/>
          <w:sz w:val="32"/>
          <w:szCs w:val="32"/>
          <w:u w:val="none"/>
          <w:lang w:val="en-US" w:eastAsia="zh-CN" w:bidi="ar"/>
        </w:rPr>
        <w:t>五、张家界市公局DNA室样本检测相关采购清单及技术参数</w:t>
      </w:r>
    </w:p>
    <w:tbl>
      <w:tblPr>
        <w:tblStyle w:val="35"/>
        <w:tblW w:w="10082" w:type="dxa"/>
        <w:jc w:val="center"/>
        <w:tblLayout w:type="fixed"/>
        <w:tblCellMar>
          <w:top w:w="0" w:type="dxa"/>
          <w:left w:w="0" w:type="dxa"/>
          <w:bottom w:w="0" w:type="dxa"/>
          <w:right w:w="0" w:type="dxa"/>
        </w:tblCellMar>
      </w:tblPr>
      <w:tblGrid>
        <w:gridCol w:w="586"/>
        <w:gridCol w:w="1252"/>
        <w:gridCol w:w="5772"/>
        <w:gridCol w:w="1081"/>
        <w:gridCol w:w="777"/>
        <w:gridCol w:w="614"/>
      </w:tblGrid>
      <w:tr w14:paraId="2D162E0C">
        <w:tblPrEx>
          <w:tblCellMar>
            <w:top w:w="0" w:type="dxa"/>
            <w:left w:w="0" w:type="dxa"/>
            <w:bottom w:w="0" w:type="dxa"/>
            <w:right w:w="0" w:type="dxa"/>
          </w:tblCellMar>
        </w:tblPrEx>
        <w:trPr>
          <w:trHeight w:val="484" w:hRule="atLeast"/>
          <w:jc w:val="center"/>
        </w:trPr>
        <w:tc>
          <w:tcPr>
            <w:tcW w:w="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96EC9">
            <w:pPr>
              <w:keepNext w:val="0"/>
              <w:keepLines w:val="0"/>
              <w:widowControl/>
              <w:suppressLineNumbers w:val="0"/>
              <w:spacing w:line="240" w:lineRule="auto"/>
              <w:jc w:val="center"/>
              <w:textAlignment w:val="center"/>
              <w:rPr>
                <w:rFonts w:hint="default" w:ascii="宋体" w:hAnsi="宋体" w:eastAsia="宋体" w:cs="宋体"/>
                <w:b/>
                <w:i w:val="0"/>
                <w:color w:val="auto"/>
                <w:kern w:val="0"/>
                <w:sz w:val="22"/>
                <w:szCs w:val="22"/>
                <w:u w:val="none"/>
                <w:lang w:val="en-US" w:eastAsia="zh-CN" w:bidi="ar"/>
              </w:rPr>
            </w:pPr>
            <w:r>
              <w:rPr>
                <w:rFonts w:hint="eastAsia" w:ascii="宋体" w:hAnsi="宋体" w:eastAsia="宋体" w:cs="宋体"/>
                <w:b/>
                <w:i w:val="0"/>
                <w:color w:val="auto"/>
                <w:kern w:val="0"/>
                <w:sz w:val="22"/>
                <w:szCs w:val="22"/>
                <w:u w:val="none"/>
                <w:lang w:val="en-US" w:eastAsia="zh-CN" w:bidi="ar"/>
              </w:rPr>
              <w:t>序号</w:t>
            </w:r>
          </w:p>
        </w:tc>
        <w:tc>
          <w:tcPr>
            <w:tcW w:w="12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7BD83">
            <w:pPr>
              <w:keepNext w:val="0"/>
              <w:keepLines w:val="0"/>
              <w:widowControl/>
              <w:suppressLineNumbers w:val="0"/>
              <w:spacing w:line="240" w:lineRule="auto"/>
              <w:jc w:val="center"/>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货物名称</w:t>
            </w:r>
          </w:p>
        </w:tc>
        <w:tc>
          <w:tcPr>
            <w:tcW w:w="57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D88661">
            <w:pPr>
              <w:keepNext w:val="0"/>
              <w:keepLines w:val="0"/>
              <w:widowControl/>
              <w:suppressLineNumbers w:val="0"/>
              <w:spacing w:line="240" w:lineRule="auto"/>
              <w:jc w:val="center"/>
              <w:textAlignment w:val="center"/>
              <w:rPr>
                <w:rFonts w:hint="default" w:ascii="宋体" w:hAnsi="宋体" w:eastAsia="宋体" w:cs="宋体"/>
                <w:b/>
                <w:i w:val="0"/>
                <w:color w:val="auto"/>
                <w:sz w:val="22"/>
                <w:szCs w:val="22"/>
                <w:u w:val="none"/>
                <w:lang w:val="en-US"/>
              </w:rPr>
            </w:pPr>
            <w:r>
              <w:rPr>
                <w:rFonts w:hint="eastAsia" w:ascii="宋体" w:hAnsi="宋体" w:eastAsia="宋体" w:cs="宋体"/>
                <w:b/>
                <w:i w:val="0"/>
                <w:color w:val="auto"/>
                <w:kern w:val="0"/>
                <w:sz w:val="22"/>
                <w:szCs w:val="22"/>
                <w:u w:val="none"/>
                <w:lang w:val="en-US" w:eastAsia="zh-CN" w:bidi="ar"/>
              </w:rPr>
              <w:t>技术参数及要求</w:t>
            </w:r>
          </w:p>
        </w:tc>
        <w:tc>
          <w:tcPr>
            <w:tcW w:w="10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7070D">
            <w:pPr>
              <w:keepNext w:val="0"/>
              <w:keepLines w:val="0"/>
              <w:widowControl/>
              <w:suppressLineNumbers w:val="0"/>
              <w:spacing w:line="240" w:lineRule="auto"/>
              <w:jc w:val="center"/>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规格</w:t>
            </w:r>
          </w:p>
        </w:tc>
        <w:tc>
          <w:tcPr>
            <w:tcW w:w="7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51E65">
            <w:pPr>
              <w:keepNext w:val="0"/>
              <w:keepLines w:val="0"/>
              <w:widowControl/>
              <w:suppressLineNumbers w:val="0"/>
              <w:spacing w:line="240" w:lineRule="auto"/>
              <w:jc w:val="center"/>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单位</w:t>
            </w:r>
          </w:p>
        </w:tc>
        <w:tc>
          <w:tcPr>
            <w:tcW w:w="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FAA998">
            <w:pPr>
              <w:keepNext w:val="0"/>
              <w:keepLines w:val="0"/>
              <w:widowControl/>
              <w:suppressLineNumbers w:val="0"/>
              <w:spacing w:line="240" w:lineRule="auto"/>
              <w:jc w:val="center"/>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数量</w:t>
            </w:r>
          </w:p>
        </w:tc>
      </w:tr>
      <w:tr w14:paraId="2C975DC2">
        <w:tblPrEx>
          <w:tblCellMar>
            <w:top w:w="0" w:type="dxa"/>
            <w:left w:w="0" w:type="dxa"/>
            <w:bottom w:w="0" w:type="dxa"/>
            <w:right w:w="0" w:type="dxa"/>
          </w:tblCellMar>
        </w:tblPrEx>
        <w:trPr>
          <w:trHeight w:val="719" w:hRule="atLeast"/>
          <w:jc w:val="center"/>
        </w:trPr>
        <w:tc>
          <w:tcPr>
            <w:tcW w:w="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1C8B72">
            <w:pPr>
              <w:keepNext w:val="0"/>
              <w:keepLines w:val="0"/>
              <w:widowControl/>
              <w:suppressLineNumbers w:val="0"/>
              <w:spacing w:line="240" w:lineRule="auto"/>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w:t>
            </w:r>
          </w:p>
        </w:tc>
        <w:tc>
          <w:tcPr>
            <w:tcW w:w="12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737B38">
            <w:pPr>
              <w:keepNext w:val="0"/>
              <w:keepLines w:val="0"/>
              <w:widowControl/>
              <w:suppressLineNumbers w:val="0"/>
              <w:spacing w:line="240" w:lineRule="auto"/>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基因测序仪专用毛细管</w:t>
            </w:r>
          </w:p>
        </w:tc>
        <w:tc>
          <w:tcPr>
            <w:tcW w:w="57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C5D5B8">
            <w:pPr>
              <w:keepNext w:val="0"/>
              <w:keepLines w:val="0"/>
              <w:widowControl/>
              <w:suppressLineNumbers w:val="0"/>
              <w:spacing w:line="240" w:lineRule="auto"/>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★必须适配本实验室现有国产基因分析仪，16道36cm。</w:t>
            </w:r>
          </w:p>
        </w:tc>
        <w:tc>
          <w:tcPr>
            <w:tcW w:w="10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437C18">
            <w:pPr>
              <w:keepNext w:val="0"/>
              <w:keepLines w:val="0"/>
              <w:widowControl/>
              <w:suppressLineNumbers w:val="0"/>
              <w:spacing w:line="240" w:lineRule="auto"/>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根</w:t>
            </w:r>
          </w:p>
        </w:tc>
        <w:tc>
          <w:tcPr>
            <w:tcW w:w="7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E626FD">
            <w:pPr>
              <w:keepNext w:val="0"/>
              <w:keepLines w:val="0"/>
              <w:widowControl/>
              <w:suppressLineNumbers w:val="0"/>
              <w:spacing w:line="240" w:lineRule="auto"/>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根</w:t>
            </w:r>
          </w:p>
        </w:tc>
        <w:tc>
          <w:tcPr>
            <w:tcW w:w="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8ABF20">
            <w:pPr>
              <w:keepNext w:val="0"/>
              <w:keepLines w:val="0"/>
              <w:widowControl/>
              <w:suppressLineNumbers w:val="0"/>
              <w:spacing w:line="240" w:lineRule="auto"/>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r>
      <w:tr w14:paraId="3AE5302F">
        <w:tblPrEx>
          <w:tblCellMar>
            <w:top w:w="0" w:type="dxa"/>
            <w:left w:w="0" w:type="dxa"/>
            <w:bottom w:w="0" w:type="dxa"/>
            <w:right w:w="0" w:type="dxa"/>
          </w:tblCellMar>
        </w:tblPrEx>
        <w:trPr>
          <w:trHeight w:val="656" w:hRule="atLeast"/>
          <w:jc w:val="center"/>
        </w:trPr>
        <w:tc>
          <w:tcPr>
            <w:tcW w:w="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062A12">
            <w:pPr>
              <w:keepNext w:val="0"/>
              <w:keepLines w:val="0"/>
              <w:widowControl/>
              <w:suppressLineNumbers w:val="0"/>
              <w:spacing w:line="240" w:lineRule="auto"/>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2</w:t>
            </w:r>
          </w:p>
        </w:tc>
        <w:tc>
          <w:tcPr>
            <w:tcW w:w="12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D916DB">
            <w:pPr>
              <w:keepNext w:val="0"/>
              <w:keepLines w:val="0"/>
              <w:widowControl/>
              <w:suppressLineNumbers w:val="0"/>
              <w:spacing w:line="240" w:lineRule="auto"/>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 xml:space="preserve">基因测序仪专用POP4胶 </w:t>
            </w:r>
          </w:p>
        </w:tc>
        <w:tc>
          <w:tcPr>
            <w:tcW w:w="57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D426C1">
            <w:pPr>
              <w:keepNext w:val="0"/>
              <w:keepLines w:val="0"/>
              <w:widowControl/>
              <w:suppressLineNumbers w:val="0"/>
              <w:spacing w:line="240" w:lineRule="auto"/>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★必须适配本实验室现有国产基因分析仪基因分析仪。</w:t>
            </w:r>
          </w:p>
        </w:tc>
        <w:tc>
          <w:tcPr>
            <w:tcW w:w="10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1B0ACF">
            <w:pPr>
              <w:keepNext w:val="0"/>
              <w:keepLines w:val="0"/>
              <w:widowControl/>
              <w:suppressLineNumbers w:val="0"/>
              <w:spacing w:line="240" w:lineRule="auto"/>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3.5ml/瓶</w:t>
            </w:r>
          </w:p>
        </w:tc>
        <w:tc>
          <w:tcPr>
            <w:tcW w:w="7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C187AD">
            <w:pPr>
              <w:keepNext w:val="0"/>
              <w:keepLines w:val="0"/>
              <w:widowControl/>
              <w:suppressLineNumbers w:val="0"/>
              <w:spacing w:line="240" w:lineRule="auto"/>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瓶</w:t>
            </w:r>
          </w:p>
        </w:tc>
        <w:tc>
          <w:tcPr>
            <w:tcW w:w="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41846E">
            <w:pPr>
              <w:keepNext w:val="0"/>
              <w:keepLines w:val="0"/>
              <w:widowControl/>
              <w:suppressLineNumbers w:val="0"/>
              <w:spacing w:line="240" w:lineRule="auto"/>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9</w:t>
            </w:r>
          </w:p>
        </w:tc>
      </w:tr>
      <w:tr w14:paraId="321D1BD1">
        <w:tblPrEx>
          <w:tblCellMar>
            <w:top w:w="0" w:type="dxa"/>
            <w:left w:w="0" w:type="dxa"/>
            <w:bottom w:w="0" w:type="dxa"/>
            <w:right w:w="0" w:type="dxa"/>
          </w:tblCellMar>
        </w:tblPrEx>
        <w:trPr>
          <w:trHeight w:val="593" w:hRule="atLeast"/>
          <w:jc w:val="center"/>
        </w:trPr>
        <w:tc>
          <w:tcPr>
            <w:tcW w:w="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EFFE41">
            <w:pPr>
              <w:keepNext w:val="0"/>
              <w:keepLines w:val="0"/>
              <w:widowControl/>
              <w:suppressLineNumbers w:val="0"/>
              <w:spacing w:line="240" w:lineRule="auto"/>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3</w:t>
            </w:r>
          </w:p>
        </w:tc>
        <w:tc>
          <w:tcPr>
            <w:tcW w:w="12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C3DA57">
            <w:pPr>
              <w:keepNext w:val="0"/>
              <w:keepLines w:val="0"/>
              <w:widowControl/>
              <w:suppressLineNumbers w:val="0"/>
              <w:spacing w:line="240" w:lineRule="auto"/>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基因测序仪专用缓冲液</w:t>
            </w:r>
          </w:p>
        </w:tc>
        <w:tc>
          <w:tcPr>
            <w:tcW w:w="57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FE02D4">
            <w:pPr>
              <w:keepNext w:val="0"/>
              <w:keepLines w:val="0"/>
              <w:widowControl/>
              <w:suppressLineNumbers w:val="0"/>
              <w:spacing w:line="240" w:lineRule="auto"/>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★必须适配本实验室现有国产基因分析仪基因分析仪。</w:t>
            </w:r>
          </w:p>
        </w:tc>
        <w:tc>
          <w:tcPr>
            <w:tcW w:w="10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9A561">
            <w:pPr>
              <w:keepNext w:val="0"/>
              <w:keepLines w:val="0"/>
              <w:widowControl/>
              <w:suppressLineNumbers w:val="0"/>
              <w:spacing w:line="240" w:lineRule="auto"/>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500ml/瓶</w:t>
            </w:r>
          </w:p>
        </w:tc>
        <w:tc>
          <w:tcPr>
            <w:tcW w:w="7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BFE7C1">
            <w:pPr>
              <w:keepNext w:val="0"/>
              <w:keepLines w:val="0"/>
              <w:widowControl/>
              <w:suppressLineNumbers w:val="0"/>
              <w:spacing w:line="240" w:lineRule="auto"/>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瓶</w:t>
            </w:r>
          </w:p>
        </w:tc>
        <w:tc>
          <w:tcPr>
            <w:tcW w:w="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9A694C">
            <w:pPr>
              <w:keepNext w:val="0"/>
              <w:keepLines w:val="0"/>
              <w:widowControl/>
              <w:suppressLineNumbers w:val="0"/>
              <w:spacing w:line="240" w:lineRule="auto"/>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r>
      <w:tr w14:paraId="4624A048">
        <w:tblPrEx>
          <w:tblCellMar>
            <w:top w:w="0" w:type="dxa"/>
            <w:left w:w="0" w:type="dxa"/>
            <w:bottom w:w="0" w:type="dxa"/>
            <w:right w:w="0" w:type="dxa"/>
          </w:tblCellMar>
        </w:tblPrEx>
        <w:trPr>
          <w:trHeight w:val="909" w:hRule="atLeast"/>
          <w:jc w:val="center"/>
        </w:trPr>
        <w:tc>
          <w:tcPr>
            <w:tcW w:w="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7D1109">
            <w:pPr>
              <w:keepNext w:val="0"/>
              <w:keepLines w:val="0"/>
              <w:widowControl/>
              <w:suppressLineNumbers w:val="0"/>
              <w:spacing w:line="240" w:lineRule="auto"/>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4</w:t>
            </w:r>
          </w:p>
        </w:tc>
        <w:tc>
          <w:tcPr>
            <w:tcW w:w="12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ED918A">
            <w:pPr>
              <w:keepNext w:val="0"/>
              <w:keepLines w:val="0"/>
              <w:widowControl/>
              <w:suppressLineNumbers w:val="0"/>
              <w:spacing w:line="240" w:lineRule="auto"/>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去离子超纯甲酰胺</w:t>
            </w:r>
          </w:p>
        </w:tc>
        <w:tc>
          <w:tcPr>
            <w:tcW w:w="57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8E496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★本品可在DNA分析仪毛细管系统中，用作DNA样品的变形和重悬，须适配本实验室现有基因分析仪。</w:t>
            </w:r>
          </w:p>
        </w:tc>
        <w:tc>
          <w:tcPr>
            <w:tcW w:w="10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978171">
            <w:pPr>
              <w:keepNext w:val="0"/>
              <w:keepLines w:val="0"/>
              <w:widowControl/>
              <w:suppressLineNumbers w:val="0"/>
              <w:spacing w:line="240" w:lineRule="auto"/>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25ml/瓶</w:t>
            </w:r>
          </w:p>
        </w:tc>
        <w:tc>
          <w:tcPr>
            <w:tcW w:w="7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C9B350">
            <w:pPr>
              <w:keepNext w:val="0"/>
              <w:keepLines w:val="0"/>
              <w:widowControl/>
              <w:suppressLineNumbers w:val="0"/>
              <w:spacing w:line="240" w:lineRule="auto"/>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瓶</w:t>
            </w:r>
          </w:p>
        </w:tc>
        <w:tc>
          <w:tcPr>
            <w:tcW w:w="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BE307">
            <w:pPr>
              <w:keepNext w:val="0"/>
              <w:keepLines w:val="0"/>
              <w:widowControl/>
              <w:suppressLineNumbers w:val="0"/>
              <w:spacing w:line="240" w:lineRule="auto"/>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r>
      <w:tr w14:paraId="2C9DE4AD">
        <w:tblPrEx>
          <w:tblCellMar>
            <w:top w:w="0" w:type="dxa"/>
            <w:left w:w="0" w:type="dxa"/>
            <w:bottom w:w="0" w:type="dxa"/>
            <w:right w:w="0" w:type="dxa"/>
          </w:tblCellMar>
        </w:tblPrEx>
        <w:trPr>
          <w:trHeight w:val="1288" w:hRule="atLeast"/>
          <w:jc w:val="center"/>
        </w:trPr>
        <w:tc>
          <w:tcPr>
            <w:tcW w:w="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1FBF72">
            <w:pPr>
              <w:keepNext w:val="0"/>
              <w:keepLines w:val="0"/>
              <w:widowControl/>
              <w:suppressLineNumbers w:val="0"/>
              <w:spacing w:line="240" w:lineRule="auto"/>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5</w:t>
            </w:r>
          </w:p>
        </w:tc>
        <w:tc>
          <w:tcPr>
            <w:tcW w:w="125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4CAD7">
            <w:pPr>
              <w:keepNext w:val="0"/>
              <w:keepLines w:val="0"/>
              <w:widowControl/>
              <w:suppressLineNumbers w:val="0"/>
              <w:spacing w:line="240" w:lineRule="auto"/>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扩增试剂盒</w:t>
            </w:r>
          </w:p>
        </w:tc>
        <w:tc>
          <w:tcPr>
            <w:tcW w:w="57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03FC5F">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为保证亲缘比对的比对效能，所投扩增试剂盒可同时检测不少于29个（包含29个）常染色体基因座，同时为了满足公安部打拐工作的位点要求，试剂盒必须包含《法庭科学DNA数据库选用的基因座及其数据结构》（GB/T41009）规定的全部常染色体STR核心和优选基因座以及Amelogenin基因。</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2、为加强男性样本在排查中的识别率，减少因牙釉质蛋白基因（Amelogenin）Y微缺失的影响，避免性别错判，所投扩增试剂盒至少包含1个Y-indel基因座或1个Y-STR基因座。</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3、为提高采样不良样本及降解检材的检出率，所投试剂盒包含不少于10个扩增长度小于250bp的常染色体mini-STR位点，全部扩增片段均小于550bp。</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 xml:space="preserve">4、为保证检测服务的准确性，所投试剂盒实体bin数量不得低于360个，实体bin和虚拟bin总数不低于540个。                                                                                                                                                                                                                                                                      </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5、所投扩增试剂盒采用6色荧光标记复合扩增技术，1色荧光标记分子量内标，5色荧光标记待测样品。</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6、试剂盒中包含检测所需的扩增前试剂、扩增后试剂、内标、ladder等全部组份，规格为按标准反应25ul/人份计算，包含200标准人份/盒。</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7、★所投扩增试剂盒可对血卡，唾液卡，血滤纸，FTA卡，棉棒等多种检材进行直接扩增而无需提取纯化，也可对扩增案件检材提取后的DNA模板进行扩增检测，使用10ul反应体系能取得良好检测效果，扩增时间小于90分钟。</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8、★为能顺利与全国公安机关相关系统进行对接，试剂盒名称和基因座参数信息均已收录在全国公安机关相关系统，检测结果可通过IDX软件进行分析，导出的CODIS数据基因座分型可直接批量导入全国公安机关相关系统。</w:t>
            </w:r>
          </w:p>
          <w:p w14:paraId="70ACB4B0">
            <w:pPr>
              <w:keepNext w:val="0"/>
              <w:keepLines w:val="0"/>
              <w:pageBreakBefore w:val="0"/>
              <w:widowControl/>
              <w:numPr>
                <w:ilvl w:val="0"/>
                <w:numId w:val="44"/>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为保证试剂盒质量，生产企业和产品符合国家相关法律法规的要求，生产企业相关人员DNA数据信息已报送公安部质控库并及时更新，试剂盒经过严格质量监控，试剂各组分的生产批号全部可追溯，产品符合公安部有关规定和DNA数据库相关国家、行业标准要求，具有中国安全技术防范认证中心颁发的《中国公共安全产品认证证书》。</w:t>
            </w:r>
          </w:p>
        </w:tc>
        <w:tc>
          <w:tcPr>
            <w:tcW w:w="10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C5B389">
            <w:pPr>
              <w:keepNext w:val="0"/>
              <w:keepLines w:val="0"/>
              <w:widowControl/>
              <w:suppressLineNumbers w:val="0"/>
              <w:spacing w:line="240" w:lineRule="auto"/>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200人份/盒（25ul体系）</w:t>
            </w:r>
          </w:p>
        </w:tc>
        <w:tc>
          <w:tcPr>
            <w:tcW w:w="7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13C96F">
            <w:pPr>
              <w:keepNext w:val="0"/>
              <w:keepLines w:val="0"/>
              <w:widowControl/>
              <w:suppressLineNumbers w:val="0"/>
              <w:spacing w:line="240" w:lineRule="auto"/>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盒</w:t>
            </w:r>
          </w:p>
        </w:tc>
        <w:tc>
          <w:tcPr>
            <w:tcW w:w="6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F5C02E">
            <w:pPr>
              <w:keepNext w:val="0"/>
              <w:keepLines w:val="0"/>
              <w:widowControl/>
              <w:suppressLineNumbers w:val="0"/>
              <w:spacing w:line="240" w:lineRule="auto"/>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11</w:t>
            </w:r>
          </w:p>
        </w:tc>
      </w:tr>
    </w:tbl>
    <w:p w14:paraId="2C6F99C2">
      <w:pPr>
        <w:pStyle w:val="59"/>
        <w:keepNext w:val="0"/>
        <w:keepLines w:val="0"/>
        <w:pageBreakBefore w:val="0"/>
        <w:widowControl/>
        <w:kinsoku/>
        <w:wordWrap/>
        <w:overflowPunct/>
        <w:topLinePunct w:val="0"/>
        <w:autoSpaceDE/>
        <w:autoSpaceDN/>
        <w:bidi w:val="0"/>
        <w:adjustRightInd/>
        <w:snapToGrid/>
        <w:spacing w:line="440" w:lineRule="exact"/>
        <w:ind w:left="0" w:leftChars="0" w:firstLine="0" w:firstLineChars="0"/>
        <w:textAlignment w:val="auto"/>
        <w:rPr>
          <w:rFonts w:hint="eastAsia"/>
          <w:i w:val="0"/>
          <w:iCs w:val="0"/>
          <w:color w:val="auto"/>
          <w:u w:val="none"/>
          <w:lang w:eastAsia="zh-CN"/>
        </w:rPr>
      </w:pPr>
    </w:p>
    <w:p w14:paraId="1E498298">
      <w:pPr>
        <w:keepNext w:val="0"/>
        <w:keepLines w:val="0"/>
        <w:pageBreakBefore w:val="0"/>
        <w:widowControl/>
        <w:numPr>
          <w:ilvl w:val="0"/>
          <w:numId w:val="0"/>
        </w:numPr>
        <w:kinsoku/>
        <w:wordWrap/>
        <w:overflowPunct/>
        <w:topLinePunct w:val="0"/>
        <w:autoSpaceDE/>
        <w:autoSpaceDN/>
        <w:bidi w:val="0"/>
        <w:adjustRightInd/>
        <w:snapToGrid/>
        <w:spacing w:line="440" w:lineRule="exact"/>
        <w:jc w:val="left"/>
        <w:textAlignment w:val="auto"/>
        <w:rPr>
          <w:rFonts w:hint="eastAsia" w:ascii="Arial Narrow" w:hAnsi="Arial Narrow" w:eastAsia="宋体" w:cs="宋体"/>
          <w:i w:val="0"/>
          <w:iCs w:val="0"/>
          <w:color w:val="auto"/>
          <w:kern w:val="2"/>
          <w:sz w:val="24"/>
          <w:szCs w:val="22"/>
          <w:u w:val="none"/>
          <w:lang w:val="en-US" w:eastAsia="zh-CN" w:bidi="ar-SA"/>
        </w:rPr>
      </w:pPr>
      <w:r>
        <w:rPr>
          <w:rFonts w:hint="eastAsia" w:ascii="Arial Narrow" w:hAnsi="Arial Narrow" w:cs="宋体"/>
          <w:i w:val="0"/>
          <w:iCs w:val="0"/>
          <w:color w:val="auto"/>
          <w:kern w:val="2"/>
          <w:sz w:val="24"/>
          <w:szCs w:val="22"/>
          <w:u w:val="none"/>
          <w:lang w:val="en-US" w:eastAsia="zh-CN" w:bidi="ar-SA"/>
        </w:rPr>
        <w:t>（五）</w:t>
      </w:r>
      <w:r>
        <w:rPr>
          <w:rFonts w:hint="eastAsia" w:ascii="Arial Narrow" w:hAnsi="Arial Narrow" w:eastAsia="宋体" w:cs="宋体"/>
          <w:i w:val="0"/>
          <w:iCs w:val="0"/>
          <w:color w:val="auto"/>
          <w:kern w:val="2"/>
          <w:sz w:val="24"/>
          <w:szCs w:val="22"/>
          <w:u w:val="none"/>
          <w:lang w:val="en-US" w:eastAsia="zh-CN" w:bidi="ar-SA"/>
        </w:rPr>
        <w:t>商务要求</w:t>
      </w:r>
    </w:p>
    <w:p w14:paraId="79667CA9">
      <w:pPr>
        <w:pStyle w:val="2"/>
        <w:rPr>
          <w:rFonts w:hint="eastAsia"/>
          <w:color w:val="auto"/>
          <w:lang w:val="en-US" w:eastAsia="zh-CN"/>
        </w:rPr>
      </w:pPr>
    </w:p>
    <w:tbl>
      <w:tblPr>
        <w:tblStyle w:val="35"/>
        <w:tblW w:w="10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1380"/>
        <w:gridCol w:w="8210"/>
      </w:tblGrid>
      <w:tr w14:paraId="13EC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blHeader/>
          <w:jc w:val="center"/>
        </w:trPr>
        <w:tc>
          <w:tcPr>
            <w:tcW w:w="530" w:type="dxa"/>
            <w:tcBorders>
              <w:tl2br w:val="nil"/>
              <w:tr2bl w:val="nil"/>
            </w:tcBorders>
            <w:shd w:val="pct10" w:color="ADB9CA" w:fill="D6DCE5"/>
            <w:vAlign w:val="center"/>
          </w:tcPr>
          <w:p w14:paraId="056C23BB">
            <w:pPr>
              <w:keepNext w:val="0"/>
              <w:keepLines w:val="0"/>
              <w:pageBreakBefore w:val="0"/>
              <w:kinsoku/>
              <w:wordWrap/>
              <w:overflowPunct w:val="0"/>
              <w:topLinePunct w:val="0"/>
              <w:autoSpaceDE/>
              <w:autoSpaceDN/>
              <w:bidi w:val="0"/>
              <w:adjustRightInd w:val="0"/>
              <w:snapToGrid w:val="0"/>
              <w:spacing w:line="308" w:lineRule="exact"/>
              <w:ind w:left="0" w:leftChars="0" w:right="0" w:rightChars="0"/>
              <w:jc w:val="center"/>
              <w:rPr>
                <w:rFonts w:hint="eastAsia" w:ascii="等线" w:hAnsi="等线" w:eastAsia="等线" w:cs="等线"/>
                <w:b/>
                <w:bCs w:val="0"/>
                <w:color w:val="auto"/>
                <w:sz w:val="22"/>
                <w:szCs w:val="22"/>
              </w:rPr>
            </w:pPr>
            <w:r>
              <w:rPr>
                <w:rFonts w:hint="eastAsia" w:ascii="等线" w:hAnsi="等线" w:eastAsia="等线" w:cs="等线"/>
                <w:b/>
                <w:bCs w:val="0"/>
                <w:color w:val="auto"/>
                <w:sz w:val="22"/>
                <w:szCs w:val="22"/>
              </w:rPr>
              <w:t>序号</w:t>
            </w:r>
          </w:p>
        </w:tc>
        <w:tc>
          <w:tcPr>
            <w:tcW w:w="1380" w:type="dxa"/>
            <w:tcBorders>
              <w:tl2br w:val="nil"/>
              <w:tr2bl w:val="nil"/>
            </w:tcBorders>
            <w:shd w:val="pct10" w:color="ADB9CA" w:fill="D6DCE5"/>
            <w:vAlign w:val="center"/>
          </w:tcPr>
          <w:p w14:paraId="5E556D4B">
            <w:pPr>
              <w:keepNext w:val="0"/>
              <w:keepLines w:val="0"/>
              <w:pageBreakBefore w:val="0"/>
              <w:widowControl w:val="0"/>
              <w:kinsoku/>
              <w:wordWrap/>
              <w:overflowPunct w:val="0"/>
              <w:topLinePunct w:val="0"/>
              <w:autoSpaceDE/>
              <w:autoSpaceDN/>
              <w:bidi w:val="0"/>
              <w:adjustRightInd w:val="0"/>
              <w:snapToGrid w:val="0"/>
              <w:spacing w:line="308" w:lineRule="exact"/>
              <w:jc w:val="center"/>
              <w:rPr>
                <w:rFonts w:hint="eastAsia" w:ascii="等线" w:hAnsi="等线" w:eastAsia="等线" w:cs="等线"/>
                <w:b/>
                <w:bCs w:val="0"/>
                <w:color w:val="auto"/>
                <w:kern w:val="0"/>
                <w:sz w:val="22"/>
                <w:szCs w:val="22"/>
              </w:rPr>
            </w:pPr>
            <w:r>
              <w:rPr>
                <w:rFonts w:hint="eastAsia" w:ascii="等线" w:hAnsi="等线" w:eastAsia="等线" w:cs="等线"/>
                <w:b/>
                <w:bCs w:val="0"/>
                <w:color w:val="auto"/>
                <w:kern w:val="0"/>
                <w:sz w:val="22"/>
                <w:szCs w:val="22"/>
              </w:rPr>
              <w:t>商务</w:t>
            </w:r>
          </w:p>
          <w:p w14:paraId="3AC02275">
            <w:pPr>
              <w:keepNext w:val="0"/>
              <w:keepLines w:val="0"/>
              <w:pageBreakBefore w:val="0"/>
              <w:widowControl w:val="0"/>
              <w:kinsoku/>
              <w:wordWrap/>
              <w:overflowPunct w:val="0"/>
              <w:topLinePunct w:val="0"/>
              <w:autoSpaceDE/>
              <w:autoSpaceDN/>
              <w:bidi w:val="0"/>
              <w:adjustRightInd w:val="0"/>
              <w:snapToGrid w:val="0"/>
              <w:spacing w:line="308" w:lineRule="exact"/>
              <w:jc w:val="center"/>
              <w:rPr>
                <w:rFonts w:hint="eastAsia" w:ascii="等线" w:hAnsi="等线" w:eastAsia="等线" w:cs="等线"/>
                <w:b/>
                <w:bCs w:val="0"/>
                <w:color w:val="auto"/>
                <w:kern w:val="0"/>
                <w:sz w:val="22"/>
                <w:szCs w:val="22"/>
              </w:rPr>
            </w:pPr>
            <w:r>
              <w:rPr>
                <w:rFonts w:hint="eastAsia" w:ascii="等线" w:hAnsi="等线" w:eastAsia="等线" w:cs="等线"/>
                <w:b/>
                <w:bCs w:val="0"/>
                <w:color w:val="auto"/>
                <w:kern w:val="0"/>
                <w:sz w:val="22"/>
                <w:szCs w:val="22"/>
              </w:rPr>
              <w:t>条款</w:t>
            </w:r>
          </w:p>
        </w:tc>
        <w:tc>
          <w:tcPr>
            <w:tcW w:w="8210" w:type="dxa"/>
            <w:tcBorders>
              <w:tl2br w:val="nil"/>
              <w:tr2bl w:val="nil"/>
            </w:tcBorders>
            <w:shd w:val="pct10" w:color="ADB9CA" w:fill="D6DCE5"/>
            <w:vAlign w:val="center"/>
          </w:tcPr>
          <w:p w14:paraId="32C8F742">
            <w:pPr>
              <w:keepNext w:val="0"/>
              <w:keepLines w:val="0"/>
              <w:pageBreakBefore w:val="0"/>
              <w:kinsoku/>
              <w:wordWrap/>
              <w:overflowPunct w:val="0"/>
              <w:topLinePunct w:val="0"/>
              <w:autoSpaceDE/>
              <w:autoSpaceDN/>
              <w:bidi w:val="0"/>
              <w:adjustRightInd w:val="0"/>
              <w:snapToGrid w:val="0"/>
              <w:spacing w:line="308" w:lineRule="exact"/>
              <w:ind w:left="0" w:leftChars="0" w:right="0" w:rightChars="0"/>
              <w:jc w:val="center"/>
              <w:rPr>
                <w:rFonts w:hint="eastAsia" w:ascii="等线" w:hAnsi="等线" w:eastAsia="等线" w:cs="等线"/>
                <w:b/>
                <w:color w:val="auto"/>
                <w:sz w:val="22"/>
                <w:szCs w:val="22"/>
              </w:rPr>
            </w:pPr>
            <w:r>
              <w:rPr>
                <w:rFonts w:hint="eastAsia" w:ascii="等线" w:hAnsi="等线" w:eastAsia="等线" w:cs="等线"/>
                <w:b/>
                <w:color w:val="auto"/>
                <w:sz w:val="22"/>
                <w:szCs w:val="22"/>
              </w:rPr>
              <w:t>内    容</w:t>
            </w:r>
          </w:p>
        </w:tc>
      </w:tr>
      <w:tr w14:paraId="379D7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tcBorders>
              <w:tl2br w:val="nil"/>
              <w:tr2bl w:val="nil"/>
            </w:tcBorders>
            <w:shd w:val="clear" w:color="C4BC96" w:fill="auto"/>
            <w:vAlign w:val="center"/>
          </w:tcPr>
          <w:p w14:paraId="70DE86D9">
            <w:pPr>
              <w:keepNext w:val="0"/>
              <w:keepLines w:val="0"/>
              <w:pageBreakBefore w:val="0"/>
              <w:tabs>
                <w:tab w:val="left" w:pos="102"/>
              </w:tabs>
              <w:kinsoku/>
              <w:wordWrap/>
              <w:overflowPunct w:val="0"/>
              <w:topLinePunct w:val="0"/>
              <w:autoSpaceDE/>
              <w:autoSpaceDN/>
              <w:bidi w:val="0"/>
              <w:adjustRightInd w:val="0"/>
              <w:snapToGrid w:val="0"/>
              <w:spacing w:line="308" w:lineRule="exact"/>
              <w:ind w:left="0" w:leftChars="0" w:right="0" w:rightChars="0"/>
              <w:jc w:val="center"/>
              <w:rPr>
                <w:rFonts w:hint="eastAsia" w:ascii="等线" w:hAnsi="等线" w:eastAsia="等线" w:cs="等线"/>
                <w:b w:val="0"/>
                <w:bCs/>
                <w:color w:val="auto"/>
                <w:sz w:val="22"/>
                <w:szCs w:val="22"/>
              </w:rPr>
            </w:pPr>
            <w:r>
              <w:rPr>
                <w:rFonts w:hint="eastAsia" w:ascii="等线" w:hAnsi="等线" w:eastAsia="等线" w:cs="等线"/>
                <w:b w:val="0"/>
                <w:bCs/>
                <w:color w:val="auto"/>
                <w:sz w:val="22"/>
                <w:szCs w:val="22"/>
              </w:rPr>
              <w:t>1</w:t>
            </w:r>
          </w:p>
        </w:tc>
        <w:tc>
          <w:tcPr>
            <w:tcW w:w="1380" w:type="dxa"/>
            <w:tcBorders>
              <w:tl2br w:val="nil"/>
              <w:tr2bl w:val="nil"/>
            </w:tcBorders>
            <w:shd w:val="clear" w:color="C4BC96" w:fill="auto"/>
            <w:vAlign w:val="center"/>
          </w:tcPr>
          <w:p w14:paraId="614265FD">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center"/>
              <w:textAlignment w:val="center"/>
              <w:rPr>
                <w:rFonts w:hint="eastAsia" w:ascii="等线" w:hAnsi="等线" w:eastAsia="等线" w:cs="等线"/>
                <w:i w:val="0"/>
                <w:iCs w:val="0"/>
                <w:snapToGrid w:val="0"/>
                <w:color w:val="auto"/>
                <w:kern w:val="0"/>
                <w:sz w:val="22"/>
                <w:szCs w:val="22"/>
                <w:u w:val="none"/>
                <w:lang w:val="en-US" w:eastAsia="zh-CN"/>
              </w:rPr>
            </w:pPr>
            <w:r>
              <w:rPr>
                <w:rFonts w:hint="eastAsia" w:cs="等线"/>
                <w:i w:val="0"/>
                <w:iCs w:val="0"/>
                <w:snapToGrid w:val="0"/>
                <w:color w:val="auto"/>
                <w:kern w:val="0"/>
                <w:sz w:val="22"/>
                <w:szCs w:val="22"/>
                <w:u w:val="none"/>
                <w:lang w:val="en-US" w:eastAsia="zh-CN"/>
              </w:rPr>
              <w:t>交付时间</w:t>
            </w:r>
          </w:p>
        </w:tc>
        <w:tc>
          <w:tcPr>
            <w:tcW w:w="8210" w:type="dxa"/>
            <w:tcBorders>
              <w:tl2br w:val="nil"/>
              <w:tr2bl w:val="nil"/>
            </w:tcBorders>
            <w:shd w:val="clear" w:color="C4BC96" w:fill="auto"/>
            <w:vAlign w:val="center"/>
          </w:tcPr>
          <w:p w14:paraId="09941253">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ascii="等线" w:hAnsi="等线" w:eastAsia="宋体" w:cs="等线"/>
                <w:i w:val="0"/>
                <w:iCs w:val="0"/>
                <w:snapToGrid w:val="0"/>
                <w:color w:val="auto"/>
                <w:kern w:val="0"/>
                <w:sz w:val="22"/>
                <w:szCs w:val="22"/>
                <w:u w:val="none"/>
                <w:lang w:val="en-US" w:eastAsia="zh-CN"/>
              </w:rPr>
            </w:pPr>
            <w:r>
              <w:rPr>
                <w:rFonts w:hint="eastAsia" w:cs="宋体"/>
                <w:color w:val="auto"/>
                <w:u w:val="none"/>
              </w:rPr>
              <w:t>自合同签订之日起</w:t>
            </w:r>
            <w:r>
              <w:rPr>
                <w:rFonts w:hint="eastAsia" w:cs="宋体"/>
                <w:color w:val="auto"/>
                <w:u w:val="none"/>
                <w:lang w:val="en-US" w:eastAsia="zh-CN"/>
              </w:rPr>
              <w:t>3</w:t>
            </w:r>
            <w:r>
              <w:rPr>
                <w:rFonts w:hint="eastAsia" w:cs="宋体"/>
                <w:color w:val="auto"/>
                <w:u w:val="none"/>
              </w:rPr>
              <w:t>0天内完成</w:t>
            </w:r>
            <w:r>
              <w:rPr>
                <w:rFonts w:hint="eastAsia" w:cs="宋体"/>
                <w:color w:val="auto"/>
                <w:u w:val="none"/>
                <w:lang w:val="en-US" w:eastAsia="zh-CN"/>
              </w:rPr>
              <w:t>交货</w:t>
            </w:r>
          </w:p>
        </w:tc>
      </w:tr>
      <w:tr w14:paraId="3E4FC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30" w:type="dxa"/>
            <w:tcBorders>
              <w:tl2br w:val="nil"/>
              <w:tr2bl w:val="nil"/>
            </w:tcBorders>
            <w:shd w:val="clear" w:color="C4BC96" w:fill="auto"/>
            <w:vAlign w:val="center"/>
          </w:tcPr>
          <w:p w14:paraId="3D0EE180">
            <w:pPr>
              <w:keepNext w:val="0"/>
              <w:keepLines w:val="0"/>
              <w:pageBreakBefore w:val="0"/>
              <w:tabs>
                <w:tab w:val="left" w:pos="102"/>
              </w:tabs>
              <w:kinsoku/>
              <w:wordWrap/>
              <w:overflowPunct w:val="0"/>
              <w:topLinePunct w:val="0"/>
              <w:autoSpaceDE/>
              <w:autoSpaceDN/>
              <w:bidi w:val="0"/>
              <w:adjustRightInd w:val="0"/>
              <w:snapToGrid w:val="0"/>
              <w:spacing w:line="308" w:lineRule="exact"/>
              <w:ind w:left="0" w:leftChars="0" w:right="0" w:rightChars="0"/>
              <w:jc w:val="center"/>
              <w:rPr>
                <w:rFonts w:hint="eastAsia" w:ascii="等线" w:hAnsi="等线" w:eastAsia="等线" w:cs="等线"/>
                <w:b w:val="0"/>
                <w:bCs/>
                <w:color w:val="auto"/>
                <w:sz w:val="22"/>
                <w:szCs w:val="22"/>
              </w:rPr>
            </w:pPr>
            <w:r>
              <w:rPr>
                <w:rFonts w:hint="eastAsia" w:ascii="等线" w:hAnsi="等线" w:eastAsia="等线" w:cs="等线"/>
                <w:b w:val="0"/>
                <w:bCs/>
                <w:color w:val="auto"/>
                <w:sz w:val="22"/>
                <w:szCs w:val="22"/>
              </w:rPr>
              <w:t>2</w:t>
            </w:r>
          </w:p>
        </w:tc>
        <w:tc>
          <w:tcPr>
            <w:tcW w:w="1380" w:type="dxa"/>
            <w:tcBorders>
              <w:tl2br w:val="nil"/>
              <w:tr2bl w:val="nil"/>
            </w:tcBorders>
            <w:shd w:val="clear" w:color="C4BC96" w:fill="auto"/>
            <w:vAlign w:val="center"/>
          </w:tcPr>
          <w:p w14:paraId="4F619E41">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lang w:val="en-US" w:eastAsia="zh-CN"/>
              </w:rPr>
            </w:pPr>
            <w:r>
              <w:rPr>
                <w:rFonts w:hint="eastAsia" w:cs="宋体"/>
                <w:color w:val="auto"/>
                <w:u w:val="none"/>
                <w:lang w:val="en-US" w:eastAsia="zh-CN"/>
              </w:rPr>
              <w:t>交货地点</w:t>
            </w:r>
          </w:p>
        </w:tc>
        <w:tc>
          <w:tcPr>
            <w:tcW w:w="8210" w:type="dxa"/>
            <w:tcBorders>
              <w:tl2br w:val="nil"/>
              <w:tr2bl w:val="nil"/>
            </w:tcBorders>
            <w:shd w:val="clear" w:color="C4BC96" w:fill="auto"/>
            <w:vAlign w:val="center"/>
          </w:tcPr>
          <w:p w14:paraId="509D2918">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lang w:val="en-US" w:eastAsia="zh-CN"/>
              </w:rPr>
            </w:pPr>
            <w:r>
              <w:rPr>
                <w:rFonts w:hint="eastAsia" w:cs="宋体"/>
                <w:color w:val="auto"/>
                <w:u w:val="none"/>
                <w:lang w:val="en-US" w:eastAsia="zh-CN"/>
              </w:rPr>
              <w:t>甲方指定地点。</w:t>
            </w:r>
          </w:p>
        </w:tc>
      </w:tr>
      <w:tr w14:paraId="748C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530" w:type="dxa"/>
            <w:tcBorders>
              <w:tl2br w:val="nil"/>
              <w:tr2bl w:val="nil"/>
            </w:tcBorders>
            <w:shd w:val="clear" w:color="C4BC96" w:fill="auto"/>
            <w:vAlign w:val="center"/>
          </w:tcPr>
          <w:p w14:paraId="4565B2B5">
            <w:pPr>
              <w:keepNext w:val="0"/>
              <w:keepLines w:val="0"/>
              <w:pageBreakBefore w:val="0"/>
              <w:tabs>
                <w:tab w:val="left" w:pos="102"/>
              </w:tabs>
              <w:kinsoku/>
              <w:wordWrap/>
              <w:overflowPunct w:val="0"/>
              <w:topLinePunct w:val="0"/>
              <w:autoSpaceDE/>
              <w:autoSpaceDN/>
              <w:bidi w:val="0"/>
              <w:adjustRightInd w:val="0"/>
              <w:snapToGrid w:val="0"/>
              <w:spacing w:line="308" w:lineRule="exact"/>
              <w:ind w:left="0" w:leftChars="0" w:right="0" w:rightChars="0"/>
              <w:jc w:val="center"/>
              <w:rPr>
                <w:rFonts w:hint="eastAsia" w:ascii="等线" w:hAnsi="等线" w:eastAsia="等线" w:cs="等线"/>
                <w:b w:val="0"/>
                <w:bCs/>
                <w:color w:val="auto"/>
                <w:sz w:val="22"/>
                <w:szCs w:val="22"/>
              </w:rPr>
            </w:pPr>
            <w:r>
              <w:rPr>
                <w:rFonts w:hint="eastAsia" w:ascii="等线" w:hAnsi="等线" w:eastAsia="等线" w:cs="等线"/>
                <w:b w:val="0"/>
                <w:bCs/>
                <w:color w:val="auto"/>
                <w:sz w:val="22"/>
                <w:szCs w:val="22"/>
              </w:rPr>
              <w:t>3</w:t>
            </w:r>
          </w:p>
        </w:tc>
        <w:tc>
          <w:tcPr>
            <w:tcW w:w="1380" w:type="dxa"/>
            <w:tcBorders>
              <w:tl2br w:val="nil"/>
              <w:tr2bl w:val="nil"/>
            </w:tcBorders>
            <w:shd w:val="clear" w:color="C4BC96" w:fill="auto"/>
            <w:vAlign w:val="center"/>
          </w:tcPr>
          <w:p w14:paraId="7A275C60">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r>
              <w:rPr>
                <w:rFonts w:hint="eastAsia" w:cs="宋体"/>
                <w:color w:val="auto"/>
                <w:u w:val="none"/>
              </w:rPr>
              <w:t>质保期</w:t>
            </w:r>
          </w:p>
        </w:tc>
        <w:tc>
          <w:tcPr>
            <w:tcW w:w="8210" w:type="dxa"/>
            <w:tcBorders>
              <w:tl2br w:val="nil"/>
              <w:tr2bl w:val="nil"/>
            </w:tcBorders>
            <w:shd w:val="clear" w:color="C4BC96" w:fill="auto"/>
            <w:vAlign w:val="center"/>
          </w:tcPr>
          <w:p w14:paraId="112F572A">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r>
              <w:rPr>
                <w:rFonts w:hint="eastAsia" w:cs="宋体"/>
                <w:color w:val="auto"/>
                <w:u w:val="none"/>
                <w:lang w:val="en-US" w:eastAsia="zh-CN"/>
              </w:rPr>
              <w:t>本项目质量保证期为2年（从最终验收合格且交付之日开始计算）。</w:t>
            </w:r>
          </w:p>
        </w:tc>
      </w:tr>
      <w:tr w14:paraId="5126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vMerge w:val="restart"/>
            <w:tcBorders>
              <w:tl2br w:val="nil"/>
              <w:tr2bl w:val="nil"/>
            </w:tcBorders>
            <w:shd w:val="clear" w:color="auto" w:fill="auto"/>
            <w:vAlign w:val="center"/>
          </w:tcPr>
          <w:p w14:paraId="6CE0B4C0">
            <w:pPr>
              <w:keepNext w:val="0"/>
              <w:keepLines w:val="0"/>
              <w:pageBreakBefore w:val="0"/>
              <w:tabs>
                <w:tab w:val="left" w:pos="102"/>
              </w:tabs>
              <w:kinsoku/>
              <w:wordWrap/>
              <w:overflowPunct w:val="0"/>
              <w:topLinePunct w:val="0"/>
              <w:autoSpaceDE/>
              <w:autoSpaceDN/>
              <w:bidi w:val="0"/>
              <w:adjustRightInd w:val="0"/>
              <w:snapToGrid w:val="0"/>
              <w:spacing w:line="308" w:lineRule="exact"/>
              <w:ind w:left="0" w:leftChars="0" w:right="0" w:rightChars="0"/>
              <w:jc w:val="center"/>
              <w:rPr>
                <w:rFonts w:hint="eastAsia" w:ascii="等线" w:hAnsi="等线" w:eastAsia="等线" w:cs="等线"/>
                <w:b w:val="0"/>
                <w:bCs/>
                <w:color w:val="auto"/>
                <w:sz w:val="22"/>
                <w:szCs w:val="22"/>
              </w:rPr>
            </w:pPr>
            <w:r>
              <w:rPr>
                <w:rFonts w:hint="eastAsia" w:ascii="等线" w:hAnsi="等线" w:eastAsia="等线" w:cs="等线"/>
                <w:b w:val="0"/>
                <w:bCs/>
                <w:color w:val="auto"/>
                <w:sz w:val="22"/>
                <w:szCs w:val="22"/>
              </w:rPr>
              <w:t>4</w:t>
            </w:r>
          </w:p>
        </w:tc>
        <w:tc>
          <w:tcPr>
            <w:tcW w:w="1380" w:type="dxa"/>
            <w:vMerge w:val="restart"/>
            <w:tcBorders>
              <w:tl2br w:val="nil"/>
              <w:tr2bl w:val="nil"/>
            </w:tcBorders>
            <w:shd w:val="clear" w:color="auto" w:fill="auto"/>
            <w:vAlign w:val="center"/>
          </w:tcPr>
          <w:p w14:paraId="4DEEBECA">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r>
              <w:rPr>
                <w:rFonts w:hint="eastAsia" w:cs="宋体"/>
                <w:color w:val="auto"/>
                <w:u w:val="none"/>
              </w:rPr>
              <w:t>报价要求</w:t>
            </w:r>
          </w:p>
        </w:tc>
        <w:tc>
          <w:tcPr>
            <w:tcW w:w="8210" w:type="dxa"/>
            <w:tcBorders>
              <w:tl2br w:val="nil"/>
              <w:tr2bl w:val="nil"/>
            </w:tcBorders>
            <w:shd w:val="clear" w:color="auto" w:fill="auto"/>
            <w:vAlign w:val="center"/>
          </w:tcPr>
          <w:p w14:paraId="54F9EB89">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r>
              <w:rPr>
                <w:rFonts w:hint="eastAsia" w:cs="宋体"/>
                <w:color w:val="auto"/>
                <w:u w:val="none"/>
                <w:lang w:val="en-US" w:eastAsia="zh-CN"/>
              </w:rPr>
              <w:t>1.</w:t>
            </w:r>
            <w:r>
              <w:rPr>
                <w:rFonts w:hint="eastAsia" w:cs="宋体"/>
                <w:color w:val="auto"/>
                <w:u w:val="none"/>
                <w:lang w:eastAsia="zh-CN"/>
              </w:rPr>
              <w:t>供应商</w:t>
            </w:r>
            <w:r>
              <w:rPr>
                <w:rFonts w:hint="eastAsia" w:cs="宋体"/>
                <w:color w:val="auto"/>
                <w:u w:val="none"/>
              </w:rPr>
              <w:t>的报价应包含为完成本</w:t>
            </w:r>
            <w:r>
              <w:rPr>
                <w:rFonts w:hint="eastAsia" w:cs="宋体"/>
                <w:color w:val="auto"/>
                <w:u w:val="none"/>
                <w:lang w:eastAsia="zh-CN"/>
              </w:rPr>
              <w:t>谈判文件</w:t>
            </w:r>
            <w:r>
              <w:rPr>
                <w:rFonts w:hint="eastAsia" w:cs="宋体"/>
                <w:color w:val="auto"/>
                <w:u w:val="none"/>
              </w:rPr>
              <w:t>提出的货物或服务等全部相关工作所有可能发生的费用，即投标</w:t>
            </w:r>
            <w:r>
              <w:rPr>
                <w:rFonts w:hint="eastAsia" w:cs="宋体"/>
                <w:color w:val="auto"/>
                <w:u w:val="none"/>
                <w:lang w:val="en-US" w:eastAsia="zh-CN"/>
              </w:rPr>
              <w:t>报价为全费用单价。若合价计算有误，按全费用单价修改合价。</w:t>
            </w:r>
            <w:r>
              <w:rPr>
                <w:rFonts w:hint="eastAsia" w:cs="宋体"/>
                <w:color w:val="auto"/>
                <w:u w:val="none"/>
              </w:rPr>
              <w:t>对在合同实施过程中可能发生的其他费用，</w:t>
            </w:r>
            <w:r>
              <w:rPr>
                <w:rFonts w:hint="eastAsia" w:cs="宋体"/>
                <w:color w:val="auto"/>
                <w:u w:val="none"/>
                <w:lang w:eastAsia="zh-CN"/>
              </w:rPr>
              <w:t>委托人</w:t>
            </w:r>
            <w:r>
              <w:rPr>
                <w:rFonts w:hint="eastAsia" w:cs="宋体"/>
                <w:color w:val="auto"/>
                <w:u w:val="none"/>
              </w:rPr>
              <w:t>概不负责。</w:t>
            </w:r>
          </w:p>
        </w:tc>
      </w:tr>
      <w:tr w14:paraId="2ACF1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530" w:type="dxa"/>
            <w:vMerge w:val="continue"/>
            <w:tcBorders>
              <w:tl2br w:val="nil"/>
              <w:tr2bl w:val="nil"/>
            </w:tcBorders>
            <w:shd w:val="clear" w:color="auto" w:fill="auto"/>
            <w:vAlign w:val="center"/>
          </w:tcPr>
          <w:p w14:paraId="64F3930F">
            <w:pPr>
              <w:keepNext w:val="0"/>
              <w:keepLines w:val="0"/>
              <w:pageBreakBefore w:val="0"/>
              <w:numPr>
                <w:ilvl w:val="0"/>
                <w:numId w:val="32"/>
              </w:numPr>
              <w:tabs>
                <w:tab w:val="left" w:pos="102"/>
              </w:tabs>
              <w:kinsoku/>
              <w:wordWrap/>
              <w:overflowPunct w:val="0"/>
              <w:topLinePunct w:val="0"/>
              <w:autoSpaceDE/>
              <w:autoSpaceDN/>
              <w:bidi w:val="0"/>
              <w:adjustRightInd w:val="0"/>
              <w:snapToGrid w:val="0"/>
              <w:spacing w:line="308" w:lineRule="exact"/>
              <w:ind w:left="0" w:leftChars="0" w:right="0" w:rightChars="0" w:firstLine="0"/>
              <w:jc w:val="center"/>
              <w:rPr>
                <w:rFonts w:hint="eastAsia" w:ascii="等线" w:hAnsi="等线" w:eastAsia="等线" w:cs="等线"/>
                <w:b w:val="0"/>
                <w:bCs/>
                <w:color w:val="auto"/>
                <w:sz w:val="22"/>
                <w:szCs w:val="22"/>
              </w:rPr>
            </w:pPr>
          </w:p>
        </w:tc>
        <w:tc>
          <w:tcPr>
            <w:tcW w:w="1380" w:type="dxa"/>
            <w:vMerge w:val="continue"/>
            <w:tcBorders>
              <w:tl2br w:val="nil"/>
              <w:tr2bl w:val="nil"/>
            </w:tcBorders>
            <w:shd w:val="clear" w:color="auto" w:fill="auto"/>
            <w:vAlign w:val="center"/>
          </w:tcPr>
          <w:p w14:paraId="60602DA6">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p>
        </w:tc>
        <w:tc>
          <w:tcPr>
            <w:tcW w:w="8210" w:type="dxa"/>
            <w:tcBorders>
              <w:tl2br w:val="nil"/>
              <w:tr2bl w:val="nil"/>
            </w:tcBorders>
            <w:shd w:val="clear" w:color="auto" w:fill="auto"/>
            <w:vAlign w:val="center"/>
          </w:tcPr>
          <w:p w14:paraId="500143A9">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r>
              <w:rPr>
                <w:rFonts w:hint="eastAsia" w:cs="宋体"/>
                <w:color w:val="auto"/>
                <w:u w:val="none"/>
                <w:lang w:val="en-US" w:eastAsia="zh-CN"/>
              </w:rPr>
              <w:t>2.</w:t>
            </w:r>
            <w:r>
              <w:rPr>
                <w:rFonts w:hint="eastAsia" w:cs="宋体"/>
                <w:color w:val="auto"/>
                <w:u w:val="none"/>
              </w:rPr>
              <w:t>对本文件未列明，而</w:t>
            </w:r>
            <w:r>
              <w:rPr>
                <w:rFonts w:hint="eastAsia" w:cs="宋体"/>
                <w:color w:val="auto"/>
                <w:u w:val="none"/>
                <w:lang w:eastAsia="zh-CN"/>
              </w:rPr>
              <w:t>供应商</w:t>
            </w:r>
            <w:r>
              <w:rPr>
                <w:rFonts w:hint="eastAsia" w:cs="宋体"/>
                <w:color w:val="auto"/>
                <w:u w:val="none"/>
              </w:rPr>
              <w:t>认为必需的费用也需列入投标总报价。在合同实施时，</w:t>
            </w:r>
            <w:r>
              <w:rPr>
                <w:rFonts w:hint="eastAsia" w:cs="宋体"/>
                <w:color w:val="auto"/>
                <w:u w:val="none"/>
                <w:lang w:eastAsia="zh-CN"/>
              </w:rPr>
              <w:t>委托人</w:t>
            </w:r>
            <w:r>
              <w:rPr>
                <w:rFonts w:hint="eastAsia" w:cs="宋体"/>
                <w:color w:val="auto"/>
                <w:u w:val="none"/>
              </w:rPr>
              <w:t>将不予支付</w:t>
            </w:r>
            <w:r>
              <w:rPr>
                <w:rFonts w:hint="eastAsia" w:cs="宋体"/>
                <w:color w:val="auto"/>
                <w:u w:val="none"/>
                <w:lang w:eastAsia="zh-CN"/>
              </w:rPr>
              <w:t>中标人</w:t>
            </w:r>
            <w:r>
              <w:rPr>
                <w:rFonts w:hint="eastAsia" w:cs="宋体"/>
                <w:color w:val="auto"/>
                <w:u w:val="none"/>
              </w:rPr>
              <w:t>没有列入的项目费用，并认为此项目的费用已包含在</w:t>
            </w:r>
            <w:r>
              <w:rPr>
                <w:rFonts w:hint="eastAsia" w:cs="宋体"/>
                <w:color w:val="auto"/>
                <w:u w:val="none"/>
                <w:lang w:val="en-US" w:eastAsia="zh-CN"/>
              </w:rPr>
              <w:t>响应</w:t>
            </w:r>
            <w:r>
              <w:rPr>
                <w:rFonts w:hint="eastAsia" w:cs="宋体"/>
                <w:color w:val="auto"/>
                <w:u w:val="none"/>
              </w:rPr>
              <w:t>总报价中。</w:t>
            </w:r>
          </w:p>
        </w:tc>
      </w:tr>
      <w:tr w14:paraId="0AF38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vMerge w:val="restart"/>
            <w:tcBorders>
              <w:tl2br w:val="nil"/>
              <w:tr2bl w:val="nil"/>
            </w:tcBorders>
            <w:shd w:val="clear" w:color="auto" w:fill="auto"/>
            <w:vAlign w:val="center"/>
          </w:tcPr>
          <w:p w14:paraId="1C679952">
            <w:pPr>
              <w:keepNext w:val="0"/>
              <w:keepLines w:val="0"/>
              <w:pageBreakBefore w:val="0"/>
              <w:tabs>
                <w:tab w:val="left" w:pos="102"/>
              </w:tabs>
              <w:kinsoku/>
              <w:wordWrap/>
              <w:overflowPunct w:val="0"/>
              <w:topLinePunct w:val="0"/>
              <w:autoSpaceDE/>
              <w:autoSpaceDN/>
              <w:bidi w:val="0"/>
              <w:adjustRightInd w:val="0"/>
              <w:snapToGrid w:val="0"/>
              <w:spacing w:line="308" w:lineRule="exact"/>
              <w:ind w:left="0" w:leftChars="0" w:right="0" w:rightChars="0"/>
              <w:jc w:val="center"/>
              <w:rPr>
                <w:rFonts w:hint="eastAsia" w:ascii="等线" w:hAnsi="等线" w:eastAsia="等线" w:cs="等线"/>
                <w:b w:val="0"/>
                <w:bCs/>
                <w:color w:val="auto"/>
                <w:sz w:val="22"/>
                <w:szCs w:val="22"/>
              </w:rPr>
            </w:pPr>
            <w:r>
              <w:rPr>
                <w:rFonts w:hint="eastAsia" w:ascii="等线" w:hAnsi="等线" w:eastAsia="等线" w:cs="等线"/>
                <w:b w:val="0"/>
                <w:bCs/>
                <w:color w:val="auto"/>
                <w:sz w:val="22"/>
                <w:szCs w:val="22"/>
              </w:rPr>
              <w:t>5</w:t>
            </w:r>
          </w:p>
        </w:tc>
        <w:tc>
          <w:tcPr>
            <w:tcW w:w="1380" w:type="dxa"/>
            <w:vMerge w:val="restart"/>
            <w:tcBorders>
              <w:tl2br w:val="nil"/>
              <w:tr2bl w:val="nil"/>
            </w:tcBorders>
            <w:shd w:val="clear" w:color="auto" w:fill="auto"/>
            <w:vAlign w:val="center"/>
          </w:tcPr>
          <w:p w14:paraId="324F6571">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r>
              <w:rPr>
                <w:rFonts w:hint="eastAsia" w:cs="宋体"/>
                <w:color w:val="auto"/>
                <w:u w:val="none"/>
              </w:rPr>
              <w:t>付款方式</w:t>
            </w:r>
          </w:p>
        </w:tc>
        <w:tc>
          <w:tcPr>
            <w:tcW w:w="8210" w:type="dxa"/>
            <w:tcBorders>
              <w:tl2br w:val="nil"/>
              <w:tr2bl w:val="nil"/>
            </w:tcBorders>
            <w:shd w:val="clear" w:color="auto" w:fill="auto"/>
            <w:vAlign w:val="center"/>
          </w:tcPr>
          <w:p w14:paraId="5F05C6A6">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default" w:cs="宋体"/>
                <w:color w:val="auto"/>
                <w:u w:val="none"/>
                <w:lang w:val="en-US" w:eastAsia="zh-CN"/>
              </w:rPr>
            </w:pPr>
            <w:r>
              <w:rPr>
                <w:rFonts w:hint="eastAsia" w:cs="宋体"/>
                <w:color w:val="auto"/>
                <w:u w:val="none"/>
                <w:lang w:val="en-US" w:eastAsia="zh-CN"/>
              </w:rPr>
              <w:t>合同签订时约定。</w:t>
            </w:r>
          </w:p>
        </w:tc>
      </w:tr>
      <w:tr w14:paraId="4558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vMerge w:val="continue"/>
            <w:tcBorders>
              <w:tl2br w:val="nil"/>
              <w:tr2bl w:val="nil"/>
            </w:tcBorders>
            <w:shd w:val="clear" w:color="auto" w:fill="auto"/>
            <w:vAlign w:val="center"/>
          </w:tcPr>
          <w:p w14:paraId="6954EA16">
            <w:pPr>
              <w:keepNext w:val="0"/>
              <w:keepLines w:val="0"/>
              <w:pageBreakBefore w:val="0"/>
              <w:numPr>
                <w:ilvl w:val="0"/>
                <w:numId w:val="32"/>
              </w:numPr>
              <w:tabs>
                <w:tab w:val="left" w:pos="102"/>
              </w:tabs>
              <w:kinsoku/>
              <w:wordWrap/>
              <w:overflowPunct w:val="0"/>
              <w:topLinePunct w:val="0"/>
              <w:autoSpaceDE/>
              <w:autoSpaceDN/>
              <w:bidi w:val="0"/>
              <w:adjustRightInd w:val="0"/>
              <w:snapToGrid w:val="0"/>
              <w:spacing w:line="308" w:lineRule="exact"/>
              <w:ind w:left="0" w:leftChars="0" w:right="0" w:rightChars="0" w:firstLine="0"/>
              <w:jc w:val="center"/>
              <w:rPr>
                <w:rFonts w:hint="eastAsia" w:ascii="等线" w:hAnsi="等线" w:eastAsia="等线" w:cs="等线"/>
                <w:b w:val="0"/>
                <w:bCs/>
                <w:color w:val="auto"/>
                <w:sz w:val="22"/>
                <w:szCs w:val="22"/>
              </w:rPr>
            </w:pPr>
          </w:p>
        </w:tc>
        <w:tc>
          <w:tcPr>
            <w:tcW w:w="1380" w:type="dxa"/>
            <w:vMerge w:val="continue"/>
            <w:tcBorders>
              <w:tl2br w:val="nil"/>
              <w:tr2bl w:val="nil"/>
            </w:tcBorders>
            <w:shd w:val="clear" w:color="auto" w:fill="auto"/>
            <w:vAlign w:val="center"/>
          </w:tcPr>
          <w:p w14:paraId="4CDC1E51">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p>
        </w:tc>
        <w:tc>
          <w:tcPr>
            <w:tcW w:w="8210" w:type="dxa"/>
            <w:tcBorders>
              <w:tl2br w:val="nil"/>
              <w:tr2bl w:val="nil"/>
            </w:tcBorders>
            <w:shd w:val="clear" w:color="auto" w:fill="auto"/>
            <w:vAlign w:val="center"/>
          </w:tcPr>
          <w:p w14:paraId="435FD43F">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lang w:val="en-US" w:eastAsia="zh-CN"/>
              </w:rPr>
            </w:pPr>
            <w:r>
              <w:rPr>
                <w:rFonts w:hint="eastAsia" w:cs="宋体"/>
                <w:color w:val="auto"/>
                <w:u w:val="none"/>
                <w:lang w:val="en-US" w:eastAsia="zh-CN"/>
              </w:rPr>
              <w:t>2.乙方必须按国家有关财税规定开具发票。</w:t>
            </w:r>
          </w:p>
        </w:tc>
      </w:tr>
      <w:tr w14:paraId="23B1A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vMerge w:val="continue"/>
            <w:tcBorders>
              <w:tl2br w:val="nil"/>
              <w:tr2bl w:val="nil"/>
            </w:tcBorders>
            <w:shd w:val="clear" w:color="auto" w:fill="auto"/>
            <w:vAlign w:val="center"/>
          </w:tcPr>
          <w:p w14:paraId="708F487F">
            <w:pPr>
              <w:keepNext w:val="0"/>
              <w:keepLines w:val="0"/>
              <w:pageBreakBefore w:val="0"/>
              <w:numPr>
                <w:ilvl w:val="0"/>
                <w:numId w:val="32"/>
              </w:numPr>
              <w:tabs>
                <w:tab w:val="left" w:pos="102"/>
              </w:tabs>
              <w:kinsoku/>
              <w:wordWrap/>
              <w:overflowPunct w:val="0"/>
              <w:topLinePunct w:val="0"/>
              <w:autoSpaceDE/>
              <w:autoSpaceDN/>
              <w:bidi w:val="0"/>
              <w:adjustRightInd w:val="0"/>
              <w:snapToGrid w:val="0"/>
              <w:spacing w:line="308" w:lineRule="exact"/>
              <w:ind w:left="0" w:leftChars="0" w:right="0" w:rightChars="0" w:firstLine="0"/>
              <w:jc w:val="center"/>
              <w:rPr>
                <w:rFonts w:hint="eastAsia" w:ascii="等线" w:hAnsi="等线" w:eastAsia="等线" w:cs="等线"/>
                <w:b w:val="0"/>
                <w:bCs/>
                <w:color w:val="auto"/>
                <w:sz w:val="22"/>
                <w:szCs w:val="22"/>
              </w:rPr>
            </w:pPr>
          </w:p>
        </w:tc>
        <w:tc>
          <w:tcPr>
            <w:tcW w:w="1380" w:type="dxa"/>
            <w:vMerge w:val="continue"/>
            <w:tcBorders>
              <w:tl2br w:val="nil"/>
              <w:tr2bl w:val="nil"/>
            </w:tcBorders>
            <w:shd w:val="clear" w:color="auto" w:fill="auto"/>
            <w:vAlign w:val="center"/>
          </w:tcPr>
          <w:p w14:paraId="541A05A0">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p>
        </w:tc>
        <w:tc>
          <w:tcPr>
            <w:tcW w:w="8210" w:type="dxa"/>
            <w:tcBorders>
              <w:tl2br w:val="nil"/>
              <w:tr2bl w:val="nil"/>
            </w:tcBorders>
            <w:shd w:val="clear" w:color="auto" w:fill="auto"/>
            <w:vAlign w:val="center"/>
          </w:tcPr>
          <w:p w14:paraId="01566853">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r>
              <w:rPr>
                <w:rFonts w:hint="eastAsia" w:cs="宋体"/>
                <w:color w:val="auto"/>
                <w:u w:val="none"/>
                <w:lang w:val="en-US" w:eastAsia="zh-CN"/>
              </w:rPr>
              <w:t>3.</w:t>
            </w:r>
            <w:r>
              <w:rPr>
                <w:rFonts w:hint="eastAsia" w:cs="宋体"/>
                <w:color w:val="auto"/>
                <w:u w:val="none"/>
              </w:rPr>
              <w:t>本项目按照项目完成进度情况支付相应的款项，具体比例在合同中约定。</w:t>
            </w:r>
          </w:p>
        </w:tc>
      </w:tr>
      <w:tr w14:paraId="1C9B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0" w:type="dxa"/>
            <w:vMerge w:val="restart"/>
            <w:tcBorders>
              <w:tl2br w:val="nil"/>
              <w:tr2bl w:val="nil"/>
            </w:tcBorders>
            <w:shd w:val="clear" w:color="auto" w:fill="auto"/>
            <w:vAlign w:val="center"/>
          </w:tcPr>
          <w:p w14:paraId="740193D0">
            <w:pPr>
              <w:keepNext w:val="0"/>
              <w:keepLines w:val="0"/>
              <w:pageBreakBefore w:val="0"/>
              <w:tabs>
                <w:tab w:val="left" w:pos="102"/>
              </w:tabs>
              <w:kinsoku/>
              <w:wordWrap/>
              <w:overflowPunct w:val="0"/>
              <w:topLinePunct w:val="0"/>
              <w:autoSpaceDE/>
              <w:autoSpaceDN/>
              <w:bidi w:val="0"/>
              <w:adjustRightInd w:val="0"/>
              <w:snapToGrid w:val="0"/>
              <w:spacing w:line="308" w:lineRule="exact"/>
              <w:ind w:left="0" w:leftChars="0" w:right="0" w:rightChars="0"/>
              <w:jc w:val="center"/>
              <w:rPr>
                <w:rFonts w:hint="eastAsia" w:ascii="等线" w:hAnsi="等线" w:eastAsia="等线" w:cs="等线"/>
                <w:b w:val="0"/>
                <w:bCs/>
                <w:color w:val="auto"/>
                <w:sz w:val="22"/>
                <w:szCs w:val="22"/>
              </w:rPr>
            </w:pPr>
            <w:r>
              <w:rPr>
                <w:rFonts w:hint="eastAsia" w:ascii="等线" w:hAnsi="等线" w:eastAsia="等线" w:cs="等线"/>
                <w:b w:val="0"/>
                <w:bCs/>
                <w:color w:val="auto"/>
                <w:sz w:val="22"/>
                <w:szCs w:val="22"/>
              </w:rPr>
              <w:t>6</w:t>
            </w:r>
          </w:p>
        </w:tc>
        <w:tc>
          <w:tcPr>
            <w:tcW w:w="1380" w:type="dxa"/>
            <w:vMerge w:val="restart"/>
            <w:tcBorders>
              <w:tl2br w:val="nil"/>
              <w:tr2bl w:val="nil"/>
            </w:tcBorders>
            <w:shd w:val="clear" w:color="auto" w:fill="auto"/>
            <w:vAlign w:val="center"/>
          </w:tcPr>
          <w:p w14:paraId="6CE885B6">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r>
              <w:rPr>
                <w:rFonts w:hint="eastAsia" w:cs="宋体"/>
                <w:color w:val="auto"/>
                <w:u w:val="none"/>
              </w:rPr>
              <w:t>验收要求</w:t>
            </w:r>
          </w:p>
        </w:tc>
        <w:tc>
          <w:tcPr>
            <w:tcW w:w="8210" w:type="dxa"/>
            <w:tcBorders>
              <w:tl2br w:val="nil"/>
              <w:tr2bl w:val="nil"/>
            </w:tcBorders>
            <w:shd w:val="clear" w:color="auto" w:fill="auto"/>
            <w:vAlign w:val="center"/>
          </w:tcPr>
          <w:p w14:paraId="1866D2A1">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lang w:eastAsia="zh-CN"/>
              </w:rPr>
            </w:pPr>
            <w:r>
              <w:rPr>
                <w:rFonts w:hint="eastAsia" w:cs="宋体"/>
                <w:color w:val="auto"/>
                <w:u w:val="none"/>
                <w:lang w:val="en-US" w:eastAsia="zh-CN"/>
              </w:rPr>
              <w:t>1.</w:t>
            </w:r>
            <w:r>
              <w:rPr>
                <w:rFonts w:hint="eastAsia" w:cs="宋体"/>
                <w:color w:val="auto"/>
                <w:u w:val="none"/>
                <w:lang w:eastAsia="zh-CN"/>
              </w:rPr>
              <w:t>履约验收时间：</w:t>
            </w:r>
            <w:r>
              <w:rPr>
                <w:rFonts w:hint="eastAsia" w:cs="宋体"/>
                <w:color w:val="auto"/>
                <w:u w:val="none"/>
                <w:lang w:val="en-US" w:eastAsia="zh-CN"/>
              </w:rPr>
              <w:t>送货完成后，中标人应向采购人提交验收申请。采购人按验收程序组织验收。</w:t>
            </w:r>
          </w:p>
        </w:tc>
      </w:tr>
      <w:tr w14:paraId="5839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vMerge w:val="continue"/>
            <w:tcBorders>
              <w:tl2br w:val="nil"/>
              <w:tr2bl w:val="nil"/>
            </w:tcBorders>
            <w:shd w:val="clear" w:color="auto" w:fill="auto"/>
            <w:vAlign w:val="center"/>
          </w:tcPr>
          <w:p w14:paraId="40B0DB75">
            <w:pPr>
              <w:keepNext w:val="0"/>
              <w:keepLines w:val="0"/>
              <w:pageBreakBefore w:val="0"/>
              <w:numPr>
                <w:ilvl w:val="0"/>
                <w:numId w:val="32"/>
              </w:numPr>
              <w:tabs>
                <w:tab w:val="left" w:pos="102"/>
              </w:tabs>
              <w:kinsoku/>
              <w:wordWrap/>
              <w:overflowPunct w:val="0"/>
              <w:topLinePunct w:val="0"/>
              <w:autoSpaceDE/>
              <w:autoSpaceDN/>
              <w:bidi w:val="0"/>
              <w:adjustRightInd w:val="0"/>
              <w:snapToGrid w:val="0"/>
              <w:spacing w:line="308" w:lineRule="exact"/>
              <w:ind w:left="0" w:leftChars="0" w:right="0" w:rightChars="0" w:firstLine="0"/>
              <w:jc w:val="center"/>
              <w:rPr>
                <w:rFonts w:hint="eastAsia" w:ascii="等线" w:hAnsi="等线" w:eastAsia="等线" w:cs="等线"/>
                <w:b w:val="0"/>
                <w:bCs/>
                <w:color w:val="auto"/>
                <w:sz w:val="22"/>
                <w:szCs w:val="22"/>
              </w:rPr>
            </w:pPr>
          </w:p>
        </w:tc>
        <w:tc>
          <w:tcPr>
            <w:tcW w:w="1380" w:type="dxa"/>
            <w:vMerge w:val="continue"/>
            <w:tcBorders>
              <w:tl2br w:val="nil"/>
              <w:tr2bl w:val="nil"/>
            </w:tcBorders>
            <w:shd w:val="clear" w:color="auto" w:fill="auto"/>
            <w:vAlign w:val="center"/>
          </w:tcPr>
          <w:p w14:paraId="77167F34">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p>
        </w:tc>
        <w:tc>
          <w:tcPr>
            <w:tcW w:w="8210" w:type="dxa"/>
            <w:tcBorders>
              <w:tl2br w:val="nil"/>
              <w:tr2bl w:val="nil"/>
            </w:tcBorders>
            <w:shd w:val="clear" w:color="auto" w:fill="auto"/>
            <w:vAlign w:val="center"/>
          </w:tcPr>
          <w:p w14:paraId="16783811">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lang w:val="en-US" w:eastAsia="zh-CN"/>
              </w:rPr>
            </w:pPr>
            <w:r>
              <w:rPr>
                <w:rFonts w:hint="eastAsia" w:cs="宋体"/>
                <w:color w:val="auto"/>
                <w:u w:val="none"/>
                <w:lang w:val="en-US" w:eastAsia="zh-CN"/>
              </w:rPr>
              <w:t>2.履约验收方式：中标人负责送货上门并安装、调试、试运行完成，自检合格后，出具验收结果报告移交采购人（张家界市公安局）。</w:t>
            </w:r>
          </w:p>
        </w:tc>
      </w:tr>
      <w:tr w14:paraId="5D89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vMerge w:val="continue"/>
            <w:tcBorders>
              <w:tl2br w:val="nil"/>
              <w:tr2bl w:val="nil"/>
            </w:tcBorders>
            <w:shd w:val="clear" w:color="auto" w:fill="auto"/>
            <w:vAlign w:val="center"/>
          </w:tcPr>
          <w:p w14:paraId="60841C46">
            <w:pPr>
              <w:keepNext w:val="0"/>
              <w:keepLines w:val="0"/>
              <w:pageBreakBefore w:val="0"/>
              <w:numPr>
                <w:ilvl w:val="0"/>
                <w:numId w:val="32"/>
              </w:numPr>
              <w:tabs>
                <w:tab w:val="left" w:pos="102"/>
              </w:tabs>
              <w:kinsoku/>
              <w:wordWrap/>
              <w:overflowPunct w:val="0"/>
              <w:topLinePunct w:val="0"/>
              <w:autoSpaceDE/>
              <w:autoSpaceDN/>
              <w:bidi w:val="0"/>
              <w:adjustRightInd w:val="0"/>
              <w:snapToGrid w:val="0"/>
              <w:spacing w:line="308" w:lineRule="exact"/>
              <w:ind w:left="0" w:leftChars="0" w:right="0" w:rightChars="0" w:firstLine="0"/>
              <w:jc w:val="center"/>
              <w:rPr>
                <w:rFonts w:hint="eastAsia" w:ascii="等线" w:hAnsi="等线" w:eastAsia="等线" w:cs="等线"/>
                <w:b w:val="0"/>
                <w:bCs/>
                <w:color w:val="auto"/>
                <w:sz w:val="22"/>
                <w:szCs w:val="22"/>
              </w:rPr>
            </w:pPr>
          </w:p>
        </w:tc>
        <w:tc>
          <w:tcPr>
            <w:tcW w:w="1380" w:type="dxa"/>
            <w:vMerge w:val="continue"/>
            <w:tcBorders>
              <w:tl2br w:val="nil"/>
              <w:tr2bl w:val="nil"/>
            </w:tcBorders>
            <w:shd w:val="clear" w:color="auto" w:fill="auto"/>
            <w:vAlign w:val="center"/>
          </w:tcPr>
          <w:p w14:paraId="272E1725">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p>
        </w:tc>
        <w:tc>
          <w:tcPr>
            <w:tcW w:w="8210" w:type="dxa"/>
            <w:tcBorders>
              <w:tl2br w:val="nil"/>
              <w:tr2bl w:val="nil"/>
            </w:tcBorders>
            <w:shd w:val="clear" w:color="auto" w:fill="auto"/>
            <w:vAlign w:val="center"/>
          </w:tcPr>
          <w:p w14:paraId="78792E1B">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lang w:eastAsia="zh-CN"/>
              </w:rPr>
            </w:pPr>
            <w:r>
              <w:rPr>
                <w:rFonts w:hint="eastAsia" w:cs="宋体"/>
                <w:color w:val="auto"/>
                <w:u w:val="none"/>
                <w:lang w:val="en-US" w:eastAsia="zh-CN"/>
              </w:rPr>
              <w:t>3.</w:t>
            </w:r>
            <w:r>
              <w:rPr>
                <w:rFonts w:hint="eastAsia" w:cs="宋体"/>
                <w:color w:val="auto"/>
                <w:u w:val="none"/>
                <w:lang w:eastAsia="zh-CN"/>
              </w:rPr>
              <w:t>履约验收程序：</w:t>
            </w:r>
            <w:r>
              <w:rPr>
                <w:rFonts w:hint="eastAsia" w:cs="宋体"/>
                <w:color w:val="auto"/>
                <w:u w:val="none"/>
                <w:lang w:val="en-US" w:eastAsia="zh-CN"/>
              </w:rPr>
              <w:t>所有货物送达采购人指定地点后采购人按要求组织验收。</w:t>
            </w:r>
          </w:p>
        </w:tc>
      </w:tr>
      <w:tr w14:paraId="4264E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vMerge w:val="continue"/>
            <w:tcBorders>
              <w:tl2br w:val="nil"/>
              <w:tr2bl w:val="nil"/>
            </w:tcBorders>
            <w:shd w:val="clear" w:color="auto" w:fill="auto"/>
            <w:vAlign w:val="center"/>
          </w:tcPr>
          <w:p w14:paraId="3BDD5E8D">
            <w:pPr>
              <w:keepNext w:val="0"/>
              <w:keepLines w:val="0"/>
              <w:pageBreakBefore w:val="0"/>
              <w:numPr>
                <w:ilvl w:val="0"/>
                <w:numId w:val="32"/>
              </w:numPr>
              <w:tabs>
                <w:tab w:val="left" w:pos="102"/>
              </w:tabs>
              <w:kinsoku/>
              <w:wordWrap/>
              <w:overflowPunct w:val="0"/>
              <w:topLinePunct w:val="0"/>
              <w:autoSpaceDE/>
              <w:autoSpaceDN/>
              <w:bidi w:val="0"/>
              <w:adjustRightInd w:val="0"/>
              <w:snapToGrid w:val="0"/>
              <w:spacing w:line="308" w:lineRule="exact"/>
              <w:ind w:left="0" w:leftChars="0" w:right="0" w:rightChars="0" w:firstLine="0"/>
              <w:jc w:val="center"/>
              <w:rPr>
                <w:rFonts w:hint="eastAsia" w:ascii="等线" w:hAnsi="等线" w:eastAsia="等线" w:cs="等线"/>
                <w:b w:val="0"/>
                <w:bCs/>
                <w:color w:val="auto"/>
                <w:sz w:val="22"/>
                <w:szCs w:val="22"/>
              </w:rPr>
            </w:pPr>
          </w:p>
        </w:tc>
        <w:tc>
          <w:tcPr>
            <w:tcW w:w="1380" w:type="dxa"/>
            <w:vMerge w:val="continue"/>
            <w:tcBorders>
              <w:tl2br w:val="nil"/>
              <w:tr2bl w:val="nil"/>
            </w:tcBorders>
            <w:shd w:val="clear" w:color="auto" w:fill="auto"/>
            <w:vAlign w:val="center"/>
          </w:tcPr>
          <w:p w14:paraId="57020D84">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p>
        </w:tc>
        <w:tc>
          <w:tcPr>
            <w:tcW w:w="8210" w:type="dxa"/>
            <w:tcBorders>
              <w:tl2br w:val="nil"/>
              <w:tr2bl w:val="nil"/>
            </w:tcBorders>
            <w:shd w:val="clear" w:color="auto" w:fill="auto"/>
            <w:vAlign w:val="center"/>
          </w:tcPr>
          <w:p w14:paraId="4200E1A2">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lang w:val="en-US" w:eastAsia="zh-CN"/>
              </w:rPr>
            </w:pPr>
            <w:r>
              <w:rPr>
                <w:rFonts w:hint="eastAsia" w:cs="宋体"/>
                <w:color w:val="auto"/>
                <w:u w:val="none"/>
                <w:lang w:val="en-US" w:eastAsia="zh-CN"/>
              </w:rPr>
              <w:t xml:space="preserve">履约验收内容：采购项目全部货物如果发现产品调换、配置改变、技术资料不全，外观破损，变形缺件或已经使用过等质量问题，采购人拒绝验货，按中标人违约处理。 </w:t>
            </w:r>
          </w:p>
        </w:tc>
      </w:tr>
      <w:tr w14:paraId="50F9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vMerge w:val="restart"/>
            <w:tcBorders>
              <w:tl2br w:val="nil"/>
              <w:tr2bl w:val="nil"/>
            </w:tcBorders>
            <w:shd w:val="clear" w:color="auto" w:fill="auto"/>
            <w:vAlign w:val="center"/>
          </w:tcPr>
          <w:p w14:paraId="7F420639">
            <w:pPr>
              <w:keepNext w:val="0"/>
              <w:keepLines w:val="0"/>
              <w:pageBreakBefore w:val="0"/>
              <w:tabs>
                <w:tab w:val="left" w:pos="102"/>
              </w:tabs>
              <w:kinsoku/>
              <w:wordWrap/>
              <w:overflowPunct w:val="0"/>
              <w:topLinePunct w:val="0"/>
              <w:autoSpaceDE/>
              <w:autoSpaceDN/>
              <w:bidi w:val="0"/>
              <w:adjustRightInd w:val="0"/>
              <w:snapToGrid w:val="0"/>
              <w:spacing w:line="308" w:lineRule="exact"/>
              <w:ind w:left="0" w:leftChars="0" w:right="0" w:rightChars="0"/>
              <w:jc w:val="center"/>
              <w:rPr>
                <w:rFonts w:hint="eastAsia" w:ascii="等线" w:hAnsi="等线" w:eastAsia="等线" w:cs="等线"/>
                <w:b w:val="0"/>
                <w:bCs/>
                <w:color w:val="auto"/>
                <w:sz w:val="22"/>
                <w:szCs w:val="22"/>
                <w:lang w:eastAsia="zh-CN"/>
              </w:rPr>
            </w:pPr>
            <w:r>
              <w:rPr>
                <w:rFonts w:hint="eastAsia" w:cs="等线"/>
                <w:b w:val="0"/>
                <w:bCs/>
                <w:color w:val="auto"/>
                <w:sz w:val="22"/>
                <w:szCs w:val="22"/>
                <w:lang w:val="en-US" w:eastAsia="zh-CN"/>
              </w:rPr>
              <w:t>7</w:t>
            </w:r>
          </w:p>
        </w:tc>
        <w:tc>
          <w:tcPr>
            <w:tcW w:w="1380" w:type="dxa"/>
            <w:vMerge w:val="restart"/>
            <w:tcBorders>
              <w:tl2br w:val="nil"/>
              <w:tr2bl w:val="nil"/>
            </w:tcBorders>
            <w:shd w:val="clear" w:color="auto" w:fill="auto"/>
            <w:vAlign w:val="center"/>
          </w:tcPr>
          <w:p w14:paraId="442C2FA9">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r>
              <w:rPr>
                <w:rFonts w:hint="eastAsia" w:cs="宋体"/>
                <w:color w:val="auto"/>
                <w:u w:val="none"/>
              </w:rPr>
              <w:t>质量要求</w:t>
            </w:r>
          </w:p>
        </w:tc>
        <w:tc>
          <w:tcPr>
            <w:tcW w:w="8210" w:type="dxa"/>
            <w:tcBorders>
              <w:tl2br w:val="nil"/>
              <w:tr2bl w:val="nil"/>
            </w:tcBorders>
            <w:shd w:val="clear" w:color="auto" w:fill="auto"/>
            <w:vAlign w:val="center"/>
          </w:tcPr>
          <w:p w14:paraId="0EDB370D">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r>
              <w:rPr>
                <w:rFonts w:hint="eastAsia" w:cs="宋体"/>
                <w:color w:val="auto"/>
                <w:u w:val="none"/>
              </w:rPr>
              <w:t>本次</w:t>
            </w:r>
            <w:r>
              <w:rPr>
                <w:rFonts w:hint="eastAsia" w:cs="宋体"/>
                <w:color w:val="auto"/>
                <w:u w:val="none"/>
                <w:lang w:eastAsia="zh-CN"/>
              </w:rPr>
              <w:t>投标</w:t>
            </w:r>
            <w:r>
              <w:rPr>
                <w:rFonts w:hint="eastAsia" w:cs="宋体"/>
                <w:color w:val="auto"/>
                <w:u w:val="none"/>
              </w:rPr>
              <w:t>项目的产品和</w:t>
            </w:r>
            <w:r>
              <w:rPr>
                <w:rFonts w:hint="eastAsia" w:cs="宋体"/>
                <w:color w:val="auto"/>
                <w:u w:val="none"/>
                <w:lang w:val="en-US" w:eastAsia="zh-CN"/>
              </w:rPr>
              <w:t>使用</w:t>
            </w:r>
            <w:r>
              <w:rPr>
                <w:rFonts w:hint="eastAsia" w:cs="宋体"/>
                <w:color w:val="auto"/>
                <w:u w:val="none"/>
              </w:rPr>
              <w:t>必须完全满足中华人民共和国国家质量标准及现行规范要求。</w:t>
            </w:r>
          </w:p>
        </w:tc>
      </w:tr>
      <w:tr w14:paraId="2484E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530" w:type="dxa"/>
            <w:vMerge w:val="continue"/>
            <w:tcBorders>
              <w:tl2br w:val="nil"/>
              <w:tr2bl w:val="nil"/>
            </w:tcBorders>
            <w:shd w:val="clear" w:color="auto" w:fill="auto"/>
            <w:vAlign w:val="center"/>
          </w:tcPr>
          <w:p w14:paraId="56086F5B">
            <w:pPr>
              <w:keepNext w:val="0"/>
              <w:keepLines w:val="0"/>
              <w:pageBreakBefore w:val="0"/>
              <w:numPr>
                <w:ilvl w:val="0"/>
                <w:numId w:val="32"/>
              </w:numPr>
              <w:tabs>
                <w:tab w:val="left" w:pos="102"/>
              </w:tabs>
              <w:kinsoku/>
              <w:wordWrap/>
              <w:overflowPunct w:val="0"/>
              <w:topLinePunct w:val="0"/>
              <w:autoSpaceDE/>
              <w:autoSpaceDN/>
              <w:bidi w:val="0"/>
              <w:adjustRightInd w:val="0"/>
              <w:snapToGrid w:val="0"/>
              <w:spacing w:line="308" w:lineRule="exact"/>
              <w:ind w:left="0" w:leftChars="0" w:right="0" w:rightChars="0" w:firstLine="0"/>
              <w:jc w:val="center"/>
              <w:rPr>
                <w:rFonts w:hint="eastAsia" w:ascii="等线" w:hAnsi="等线" w:eastAsia="等线" w:cs="等线"/>
                <w:b w:val="0"/>
                <w:bCs/>
                <w:color w:val="auto"/>
                <w:sz w:val="22"/>
                <w:szCs w:val="22"/>
              </w:rPr>
            </w:pPr>
          </w:p>
        </w:tc>
        <w:tc>
          <w:tcPr>
            <w:tcW w:w="1380" w:type="dxa"/>
            <w:vMerge w:val="continue"/>
            <w:tcBorders>
              <w:tl2br w:val="nil"/>
              <w:tr2bl w:val="nil"/>
            </w:tcBorders>
            <w:shd w:val="clear" w:color="auto" w:fill="auto"/>
            <w:vAlign w:val="center"/>
          </w:tcPr>
          <w:p w14:paraId="34C3F763">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p>
        </w:tc>
        <w:tc>
          <w:tcPr>
            <w:tcW w:w="8210" w:type="dxa"/>
            <w:tcBorders>
              <w:tl2br w:val="nil"/>
              <w:tr2bl w:val="nil"/>
            </w:tcBorders>
            <w:shd w:val="clear" w:color="auto" w:fill="auto"/>
            <w:vAlign w:val="center"/>
          </w:tcPr>
          <w:p w14:paraId="661FECE5">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r>
              <w:rPr>
                <w:rFonts w:hint="eastAsia" w:cs="宋体"/>
                <w:color w:val="auto"/>
                <w:u w:val="none"/>
              </w:rPr>
              <w:t>所有</w:t>
            </w:r>
            <w:r>
              <w:rPr>
                <w:rFonts w:hint="eastAsia" w:cs="宋体"/>
                <w:color w:val="auto"/>
                <w:u w:val="none"/>
                <w:lang w:val="en-US" w:eastAsia="zh-CN"/>
              </w:rPr>
              <w:t>货物</w:t>
            </w:r>
            <w:r>
              <w:rPr>
                <w:rFonts w:hint="eastAsia" w:cs="宋体"/>
                <w:color w:val="auto"/>
                <w:u w:val="none"/>
              </w:rPr>
              <w:t>均要求是经过实际运行验证、性能稳定的全新产品，且设备上具有原制造厂商的铭牌、标志。</w:t>
            </w:r>
          </w:p>
        </w:tc>
      </w:tr>
      <w:tr w14:paraId="3D62A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vMerge w:val="continue"/>
            <w:tcBorders>
              <w:tl2br w:val="nil"/>
              <w:tr2bl w:val="nil"/>
            </w:tcBorders>
            <w:shd w:val="clear" w:color="auto" w:fill="auto"/>
            <w:vAlign w:val="center"/>
          </w:tcPr>
          <w:p w14:paraId="033471F8">
            <w:pPr>
              <w:keepNext w:val="0"/>
              <w:keepLines w:val="0"/>
              <w:pageBreakBefore w:val="0"/>
              <w:numPr>
                <w:ilvl w:val="0"/>
                <w:numId w:val="32"/>
              </w:numPr>
              <w:tabs>
                <w:tab w:val="left" w:pos="102"/>
              </w:tabs>
              <w:kinsoku/>
              <w:wordWrap/>
              <w:overflowPunct w:val="0"/>
              <w:topLinePunct w:val="0"/>
              <w:autoSpaceDE/>
              <w:autoSpaceDN/>
              <w:bidi w:val="0"/>
              <w:adjustRightInd w:val="0"/>
              <w:snapToGrid w:val="0"/>
              <w:spacing w:line="308" w:lineRule="exact"/>
              <w:ind w:left="0" w:leftChars="0" w:right="0" w:rightChars="0" w:firstLine="0"/>
              <w:jc w:val="center"/>
              <w:rPr>
                <w:rFonts w:hint="eastAsia" w:ascii="等线" w:hAnsi="等线" w:eastAsia="等线" w:cs="等线"/>
                <w:b w:val="0"/>
                <w:bCs/>
                <w:color w:val="auto"/>
                <w:sz w:val="22"/>
                <w:szCs w:val="22"/>
              </w:rPr>
            </w:pPr>
          </w:p>
        </w:tc>
        <w:tc>
          <w:tcPr>
            <w:tcW w:w="1380" w:type="dxa"/>
            <w:vMerge w:val="continue"/>
            <w:tcBorders>
              <w:tl2br w:val="nil"/>
              <w:tr2bl w:val="nil"/>
            </w:tcBorders>
            <w:shd w:val="clear" w:color="auto" w:fill="auto"/>
            <w:vAlign w:val="center"/>
          </w:tcPr>
          <w:p w14:paraId="5E13D267">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p>
        </w:tc>
        <w:tc>
          <w:tcPr>
            <w:tcW w:w="8210" w:type="dxa"/>
            <w:tcBorders>
              <w:tl2br w:val="nil"/>
              <w:tr2bl w:val="nil"/>
            </w:tcBorders>
            <w:shd w:val="clear" w:color="auto" w:fill="auto"/>
            <w:vAlign w:val="center"/>
          </w:tcPr>
          <w:p w14:paraId="1D78F11A">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lang w:eastAsia="zh-CN"/>
              </w:rPr>
            </w:pPr>
            <w:r>
              <w:rPr>
                <w:rFonts w:hint="eastAsia" w:cs="宋体"/>
                <w:color w:val="auto"/>
                <w:u w:val="none"/>
                <w:lang w:eastAsia="zh-CN"/>
              </w:rPr>
              <w:t>供应商在投标及成交后，发生侵犯专利权的行为时，其侵权责任与委托人无关，应由供应商承担相应的责任，并不得影响委托人的利益。</w:t>
            </w:r>
          </w:p>
        </w:tc>
      </w:tr>
      <w:tr w14:paraId="19689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tcBorders>
              <w:tl2br w:val="nil"/>
              <w:tr2bl w:val="nil"/>
            </w:tcBorders>
            <w:shd w:val="clear" w:color="auto" w:fill="auto"/>
            <w:vAlign w:val="center"/>
          </w:tcPr>
          <w:p w14:paraId="3CA51DF6">
            <w:pPr>
              <w:keepNext w:val="0"/>
              <w:keepLines w:val="0"/>
              <w:pageBreakBefore w:val="0"/>
              <w:numPr>
                <w:ilvl w:val="-1"/>
                <w:numId w:val="0"/>
              </w:numPr>
              <w:tabs>
                <w:tab w:val="left" w:pos="102"/>
              </w:tabs>
              <w:kinsoku/>
              <w:wordWrap/>
              <w:overflowPunct w:val="0"/>
              <w:topLinePunct w:val="0"/>
              <w:autoSpaceDE/>
              <w:autoSpaceDN/>
              <w:bidi w:val="0"/>
              <w:adjustRightInd w:val="0"/>
              <w:snapToGrid w:val="0"/>
              <w:spacing w:line="308" w:lineRule="exact"/>
              <w:ind w:left="0" w:leftChars="0" w:right="0" w:rightChars="0" w:firstLine="0"/>
              <w:jc w:val="center"/>
              <w:rPr>
                <w:rFonts w:hint="default" w:ascii="等线" w:hAnsi="等线" w:eastAsia="等线" w:cs="等线"/>
                <w:b w:val="0"/>
                <w:bCs/>
                <w:color w:val="auto"/>
                <w:sz w:val="22"/>
                <w:szCs w:val="22"/>
                <w:lang w:val="en-US" w:eastAsia="zh-CN"/>
              </w:rPr>
            </w:pPr>
            <w:r>
              <w:rPr>
                <w:rFonts w:hint="eastAsia" w:cs="等线"/>
                <w:b w:val="0"/>
                <w:bCs/>
                <w:color w:val="auto"/>
                <w:sz w:val="22"/>
                <w:szCs w:val="22"/>
                <w:lang w:val="en-US" w:eastAsia="zh-CN"/>
              </w:rPr>
              <w:t>8</w:t>
            </w:r>
          </w:p>
        </w:tc>
        <w:tc>
          <w:tcPr>
            <w:tcW w:w="1380" w:type="dxa"/>
            <w:tcBorders>
              <w:tl2br w:val="nil"/>
              <w:tr2bl w:val="nil"/>
            </w:tcBorders>
            <w:shd w:val="clear" w:color="auto" w:fill="auto"/>
            <w:vAlign w:val="center"/>
          </w:tcPr>
          <w:p w14:paraId="189CC235">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lang w:val="en-US" w:eastAsia="zh-CN"/>
              </w:rPr>
            </w:pPr>
            <w:r>
              <w:rPr>
                <w:rFonts w:hint="eastAsia" w:cs="宋体"/>
                <w:color w:val="auto"/>
                <w:u w:val="none"/>
                <w:lang w:val="en-US" w:eastAsia="zh-CN"/>
              </w:rPr>
              <w:t>售后服务</w:t>
            </w:r>
          </w:p>
        </w:tc>
        <w:tc>
          <w:tcPr>
            <w:tcW w:w="8210" w:type="dxa"/>
            <w:tcBorders>
              <w:tl2br w:val="nil"/>
              <w:tr2bl w:val="nil"/>
            </w:tcBorders>
            <w:shd w:val="clear" w:color="auto" w:fill="auto"/>
            <w:vAlign w:val="center"/>
          </w:tcPr>
          <w:p w14:paraId="564F7182">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eastAsia="宋体" w:cs="宋体"/>
                <w:color w:val="auto"/>
                <w:u w:val="none"/>
                <w:lang w:val="en-US" w:eastAsia="zh-CN"/>
              </w:rPr>
            </w:pPr>
            <w:r>
              <w:rPr>
                <w:rFonts w:hint="eastAsia" w:eastAsia="宋体" w:cs="宋体"/>
                <w:color w:val="auto"/>
                <w:u w:val="none"/>
                <w:lang w:val="en-US" w:eastAsia="zh-CN"/>
              </w:rPr>
              <w:t>1、现场验收服务</w:t>
            </w:r>
          </w:p>
          <w:p w14:paraId="7DE3F01F">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eastAsia="宋体" w:cs="宋体"/>
                <w:color w:val="auto"/>
                <w:u w:val="none"/>
                <w:lang w:val="en-US" w:eastAsia="zh-CN"/>
              </w:rPr>
            </w:pPr>
            <w:r>
              <w:rPr>
                <w:rFonts w:hint="eastAsia" w:eastAsia="宋体" w:cs="宋体"/>
                <w:color w:val="auto"/>
                <w:u w:val="none"/>
                <w:lang w:val="en-US" w:eastAsia="zh-CN"/>
              </w:rPr>
              <w:t>中标方须指派至少一名具备相关资质的技术人员，赴采购方现场参与试剂盒性能验证等验收工作。</w:t>
            </w:r>
          </w:p>
          <w:p w14:paraId="0E37F14D">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eastAsia="宋体" w:cs="宋体"/>
                <w:color w:val="auto"/>
                <w:u w:val="none"/>
                <w:lang w:val="en-US" w:eastAsia="zh-CN"/>
              </w:rPr>
            </w:pPr>
            <w:r>
              <w:rPr>
                <w:rFonts w:hint="eastAsia" w:eastAsia="宋体" w:cs="宋体"/>
                <w:color w:val="auto"/>
                <w:u w:val="none"/>
                <w:lang w:val="en-US" w:eastAsia="zh-CN"/>
              </w:rPr>
              <w:t>2、技术支持期限</w:t>
            </w:r>
          </w:p>
          <w:p w14:paraId="1CD0CE0F">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eastAsia="宋体" w:cs="宋体"/>
                <w:color w:val="auto"/>
                <w:u w:val="none"/>
                <w:lang w:val="en-US" w:eastAsia="zh-CN"/>
              </w:rPr>
            </w:pPr>
            <w:r>
              <w:rPr>
                <w:rFonts w:hint="eastAsia" w:eastAsia="宋体" w:cs="宋体"/>
                <w:color w:val="auto"/>
                <w:u w:val="none"/>
                <w:lang w:val="en-US" w:eastAsia="zh-CN"/>
              </w:rPr>
              <w:t>中标方自产品最终验收合格之日起，提供为期12个月的免费技术支持服务，服务范围涵盖技术咨询、故障排查、操作指导及现场处置。</w:t>
            </w:r>
          </w:p>
          <w:p w14:paraId="20710CFC">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default" w:eastAsia="宋体" w:cs="宋体"/>
                <w:color w:val="auto"/>
                <w:u w:val="none"/>
                <w:lang w:val="en-US" w:eastAsia="zh-CN"/>
              </w:rPr>
            </w:pPr>
            <w:r>
              <w:rPr>
                <w:rFonts w:hint="eastAsia" w:eastAsia="宋体" w:cs="宋体"/>
                <w:color w:val="auto"/>
                <w:u w:val="none"/>
                <w:lang w:val="en-US" w:eastAsia="zh-CN"/>
              </w:rPr>
              <w:t>3、现场培训服务</w:t>
            </w:r>
          </w:p>
          <w:p w14:paraId="0EAD4E1B">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default" w:eastAsia="宋体" w:cs="宋体"/>
                <w:color w:val="auto"/>
                <w:u w:val="none"/>
                <w:lang w:val="en-US" w:eastAsia="zh-CN"/>
              </w:rPr>
            </w:pPr>
            <w:r>
              <w:rPr>
                <w:rFonts w:hint="eastAsia" w:eastAsia="宋体" w:cs="宋体"/>
                <w:color w:val="auto"/>
                <w:u w:val="none"/>
                <w:lang w:val="en-US" w:eastAsia="zh-CN"/>
              </w:rPr>
              <w:t>中标方须为采购方实验室提供产品使用现场培训，培训内容包括试剂盒标准操作流程、配套仪器使用规范、质量控制要求、数据分析与管理等。</w:t>
            </w:r>
          </w:p>
          <w:p w14:paraId="33C9F769">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eastAsia="宋体" w:cs="宋体"/>
                <w:color w:val="auto"/>
                <w:u w:val="none"/>
                <w:lang w:val="en-US" w:eastAsia="zh-CN"/>
              </w:rPr>
            </w:pPr>
            <w:r>
              <w:rPr>
                <w:rFonts w:hint="eastAsia" w:eastAsia="宋体" w:cs="宋体"/>
                <w:color w:val="auto"/>
                <w:u w:val="none"/>
                <w:lang w:val="en-US" w:eastAsia="zh-CN"/>
              </w:rPr>
              <w:t>4、专项技术支持</w:t>
            </w:r>
          </w:p>
          <w:p w14:paraId="26AD4B50">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eastAsia="宋体" w:cs="宋体"/>
                <w:color w:val="auto"/>
                <w:u w:val="none"/>
                <w:lang w:val="en-US" w:eastAsia="zh-CN"/>
              </w:rPr>
            </w:pPr>
            <w:r>
              <w:rPr>
                <w:rFonts w:hint="eastAsia" w:eastAsia="宋体" w:cs="宋体"/>
                <w:color w:val="auto"/>
                <w:u w:val="none"/>
                <w:lang w:val="en-US" w:eastAsia="zh-CN"/>
              </w:rPr>
              <w:t>中标方须指派1名资深技术人员，在实验室样本处理、核酸扩增、电泳检测、数据分析处理等实验全流程操作环节，以及相关的仪器设备的使用、维护与故障排查方面提供专属现场技术支持。</w:t>
            </w:r>
          </w:p>
          <w:p w14:paraId="452DCE7B">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eastAsia="宋体" w:cs="宋体"/>
                <w:color w:val="auto"/>
                <w:u w:val="none"/>
                <w:lang w:val="en-US" w:eastAsia="zh-CN"/>
              </w:rPr>
            </w:pPr>
            <w:r>
              <w:rPr>
                <w:rFonts w:hint="eastAsia" w:eastAsia="宋体" w:cs="宋体"/>
                <w:color w:val="auto"/>
                <w:u w:val="none"/>
                <w:lang w:val="en-US" w:eastAsia="zh-CN"/>
              </w:rPr>
              <w:t>5、响应与到场时效</w:t>
            </w:r>
          </w:p>
          <w:p w14:paraId="5230DC3C">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default" w:eastAsia="宋体" w:cs="宋体"/>
                <w:color w:val="auto"/>
                <w:u w:val="none"/>
                <w:lang w:val="en-US" w:eastAsia="zh-CN"/>
              </w:rPr>
            </w:pPr>
            <w:r>
              <w:rPr>
                <w:rFonts w:hint="eastAsia" w:eastAsia="宋体" w:cs="宋体"/>
                <w:color w:val="auto"/>
                <w:u w:val="none"/>
                <w:lang w:val="en-US" w:eastAsia="zh-CN"/>
              </w:rPr>
              <w:t>当采购方实验室提出现场技术支持需求后，中标方须在2个工作日内完成需求响应，并在5个工作日内指派符合条件的技术人员抵达现场开展工作。</w:t>
            </w:r>
          </w:p>
          <w:p w14:paraId="69A6DDB3">
            <w:pPr>
              <w:pStyle w:val="2"/>
              <w:rPr>
                <w:rFonts w:hint="eastAsia" w:cs="宋体"/>
                <w:color w:val="auto"/>
                <w:u w:val="none"/>
                <w:lang w:val="en-US" w:eastAsia="zh-CN"/>
              </w:rPr>
            </w:pPr>
          </w:p>
        </w:tc>
      </w:tr>
      <w:tr w14:paraId="37DF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tcBorders>
              <w:tl2br w:val="nil"/>
              <w:tr2bl w:val="nil"/>
            </w:tcBorders>
            <w:shd w:val="clear" w:color="auto" w:fill="auto"/>
            <w:vAlign w:val="center"/>
          </w:tcPr>
          <w:p w14:paraId="52DAA981">
            <w:pPr>
              <w:keepNext w:val="0"/>
              <w:keepLines w:val="0"/>
              <w:pageBreakBefore w:val="0"/>
              <w:tabs>
                <w:tab w:val="left" w:pos="102"/>
              </w:tabs>
              <w:kinsoku/>
              <w:wordWrap/>
              <w:overflowPunct w:val="0"/>
              <w:topLinePunct w:val="0"/>
              <w:autoSpaceDE/>
              <w:autoSpaceDN/>
              <w:bidi w:val="0"/>
              <w:adjustRightInd w:val="0"/>
              <w:snapToGrid w:val="0"/>
              <w:spacing w:line="308" w:lineRule="exact"/>
              <w:ind w:left="0" w:leftChars="0" w:right="0" w:rightChars="0"/>
              <w:jc w:val="center"/>
              <w:rPr>
                <w:rFonts w:hint="eastAsia" w:ascii="等线" w:hAnsi="等线" w:eastAsia="等线" w:cs="等线"/>
                <w:b w:val="0"/>
                <w:bCs/>
                <w:color w:val="auto"/>
                <w:sz w:val="22"/>
                <w:szCs w:val="22"/>
                <w:lang w:eastAsia="zh-CN"/>
              </w:rPr>
            </w:pPr>
            <w:r>
              <w:rPr>
                <w:rFonts w:hint="eastAsia" w:cs="等线"/>
                <w:b w:val="0"/>
                <w:bCs/>
                <w:color w:val="auto"/>
                <w:sz w:val="22"/>
                <w:szCs w:val="22"/>
                <w:lang w:val="en-US" w:eastAsia="zh-CN"/>
              </w:rPr>
              <w:t>9</w:t>
            </w:r>
          </w:p>
        </w:tc>
        <w:tc>
          <w:tcPr>
            <w:tcW w:w="1380" w:type="dxa"/>
            <w:tcBorders>
              <w:tl2br w:val="nil"/>
              <w:tr2bl w:val="nil"/>
            </w:tcBorders>
            <w:shd w:val="clear" w:color="auto" w:fill="auto"/>
            <w:vAlign w:val="center"/>
          </w:tcPr>
          <w:p w14:paraId="0C09FF29">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r>
              <w:rPr>
                <w:rFonts w:hint="eastAsia" w:cs="宋体"/>
                <w:color w:val="auto"/>
                <w:u w:val="none"/>
              </w:rPr>
              <w:t>保密</w:t>
            </w:r>
          </w:p>
        </w:tc>
        <w:tc>
          <w:tcPr>
            <w:tcW w:w="8210" w:type="dxa"/>
            <w:tcBorders>
              <w:tl2br w:val="nil"/>
              <w:tr2bl w:val="nil"/>
            </w:tcBorders>
            <w:shd w:val="clear" w:color="auto" w:fill="auto"/>
            <w:vAlign w:val="center"/>
          </w:tcPr>
          <w:p w14:paraId="351BAA05">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r>
              <w:rPr>
                <w:rFonts w:hint="eastAsia" w:cs="宋体"/>
                <w:color w:val="auto"/>
                <w:u w:val="none"/>
                <w:lang w:val="en-US" w:eastAsia="zh-CN"/>
              </w:rPr>
              <w:t>1</w:t>
            </w:r>
            <w:r>
              <w:rPr>
                <w:rFonts w:hint="eastAsia" w:cs="宋体"/>
                <w:color w:val="auto"/>
                <w:u w:val="none"/>
              </w:rPr>
              <w:t>乙方有权依据合同约定和项目需要，向甲方了解有关情况，调阅有关资料等，甲方应予积极配合。</w:t>
            </w:r>
          </w:p>
          <w:p w14:paraId="6EFB35CD">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r>
              <w:rPr>
                <w:rFonts w:hint="eastAsia" w:cs="宋体"/>
                <w:color w:val="auto"/>
                <w:u w:val="none"/>
                <w:lang w:val="en-US" w:eastAsia="zh-CN"/>
              </w:rPr>
              <w:t>2</w:t>
            </w:r>
            <w:r>
              <w:rPr>
                <w:rFonts w:hint="eastAsia" w:cs="宋体"/>
                <w:color w:val="auto"/>
                <w:u w:val="none"/>
              </w:rPr>
              <w:t>乙方有义务妥善保管和保护由甲方提供的前款信息和资料等，未经甲方书面同意，乙方不得复制、记录或以其他方式泄露所了解的甲方的秘密。</w:t>
            </w:r>
          </w:p>
          <w:p w14:paraId="7526B0D0">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r>
              <w:rPr>
                <w:rFonts w:hint="eastAsia" w:cs="宋体"/>
                <w:color w:val="auto"/>
                <w:u w:val="none"/>
                <w:lang w:val="en-US" w:eastAsia="zh-CN"/>
              </w:rPr>
              <w:t>3</w:t>
            </w:r>
            <w:r>
              <w:rPr>
                <w:rFonts w:hint="eastAsia" w:cs="宋体"/>
                <w:color w:val="auto"/>
                <w:u w:val="none"/>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35C0941">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r>
              <w:rPr>
                <w:rFonts w:hint="eastAsia" w:cs="宋体"/>
                <w:color w:val="auto"/>
                <w:u w:val="none"/>
                <w:lang w:val="en-US" w:eastAsia="zh-CN"/>
              </w:rPr>
              <w:t>4</w:t>
            </w:r>
            <w:r>
              <w:rPr>
                <w:rFonts w:hint="eastAsia" w:cs="宋体"/>
                <w:color w:val="auto"/>
                <w:u w:val="none"/>
              </w:rPr>
              <w:t>双方约定，</w:t>
            </w:r>
            <w:r>
              <w:rPr>
                <w:rFonts w:hint="eastAsia" w:cs="宋体"/>
                <w:color w:val="auto"/>
                <w:u w:val="none"/>
                <w:lang w:eastAsia="zh-CN"/>
              </w:rPr>
              <w:t>根据国家保密相关法律签订保密协议</w:t>
            </w:r>
            <w:r>
              <w:rPr>
                <w:rFonts w:hint="eastAsia" w:cs="宋体"/>
                <w:color w:val="auto"/>
                <w:u w:val="none"/>
              </w:rPr>
              <w:t>；如一方违反本条约定致使另一方遭受损失的，守约方有权要求违约方承担全部的损失。</w:t>
            </w:r>
          </w:p>
        </w:tc>
      </w:tr>
      <w:tr w14:paraId="49CB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0" w:type="dxa"/>
            <w:tcBorders>
              <w:tl2br w:val="nil"/>
              <w:tr2bl w:val="nil"/>
            </w:tcBorders>
            <w:shd w:val="clear" w:color="auto" w:fill="auto"/>
            <w:vAlign w:val="center"/>
          </w:tcPr>
          <w:p w14:paraId="1C8EEAD3">
            <w:pPr>
              <w:keepNext w:val="0"/>
              <w:keepLines w:val="0"/>
              <w:pageBreakBefore w:val="0"/>
              <w:tabs>
                <w:tab w:val="left" w:pos="102"/>
              </w:tabs>
              <w:kinsoku/>
              <w:wordWrap/>
              <w:overflowPunct w:val="0"/>
              <w:topLinePunct w:val="0"/>
              <w:autoSpaceDE/>
              <w:autoSpaceDN/>
              <w:bidi w:val="0"/>
              <w:adjustRightInd w:val="0"/>
              <w:snapToGrid w:val="0"/>
              <w:spacing w:line="308" w:lineRule="exact"/>
              <w:ind w:left="0" w:leftChars="0" w:right="0" w:rightChars="0"/>
              <w:jc w:val="center"/>
              <w:rPr>
                <w:rFonts w:hint="eastAsia" w:ascii="等线" w:hAnsi="等线" w:eastAsia="等线" w:cs="等线"/>
                <w:b w:val="0"/>
                <w:bCs/>
                <w:color w:val="auto"/>
                <w:sz w:val="22"/>
                <w:szCs w:val="22"/>
                <w:lang w:val="en-US" w:eastAsia="zh-CN"/>
              </w:rPr>
            </w:pPr>
            <w:r>
              <w:rPr>
                <w:rFonts w:hint="eastAsia" w:ascii="等线" w:hAnsi="等线" w:eastAsia="等线" w:cs="等线"/>
                <w:b w:val="0"/>
                <w:bCs/>
                <w:color w:val="auto"/>
                <w:sz w:val="22"/>
                <w:szCs w:val="22"/>
              </w:rPr>
              <w:t>1</w:t>
            </w:r>
            <w:r>
              <w:rPr>
                <w:rFonts w:hint="eastAsia" w:cs="等线"/>
                <w:b w:val="0"/>
                <w:bCs/>
                <w:color w:val="auto"/>
                <w:sz w:val="22"/>
                <w:szCs w:val="22"/>
                <w:lang w:val="en-US" w:eastAsia="zh-CN"/>
              </w:rPr>
              <w:t>0</w:t>
            </w:r>
          </w:p>
        </w:tc>
        <w:tc>
          <w:tcPr>
            <w:tcW w:w="1380" w:type="dxa"/>
            <w:tcBorders>
              <w:tl2br w:val="nil"/>
              <w:tr2bl w:val="nil"/>
            </w:tcBorders>
            <w:shd w:val="clear" w:color="auto" w:fill="auto"/>
            <w:vAlign w:val="center"/>
          </w:tcPr>
          <w:p w14:paraId="66688CD9">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r>
              <w:rPr>
                <w:rFonts w:hint="eastAsia" w:cs="宋体"/>
                <w:color w:val="auto"/>
                <w:u w:val="none"/>
              </w:rPr>
              <w:t>廉政要求</w:t>
            </w:r>
          </w:p>
        </w:tc>
        <w:tc>
          <w:tcPr>
            <w:tcW w:w="8210" w:type="dxa"/>
            <w:tcBorders>
              <w:tl2br w:val="nil"/>
              <w:tr2bl w:val="nil"/>
            </w:tcBorders>
            <w:shd w:val="clear" w:color="auto" w:fill="auto"/>
            <w:vAlign w:val="center"/>
          </w:tcPr>
          <w:p w14:paraId="01F2FD06">
            <w:pPr>
              <w:keepNext w:val="0"/>
              <w:keepLines w:val="0"/>
              <w:pageBreakBefore w:val="0"/>
              <w:widowControl w:val="0"/>
              <w:suppressLineNumbers w:val="0"/>
              <w:kinsoku/>
              <w:wordWrap/>
              <w:overflowPunct w:val="0"/>
              <w:topLinePunct w:val="0"/>
              <w:autoSpaceDE/>
              <w:autoSpaceDN/>
              <w:bidi w:val="0"/>
              <w:adjustRightInd w:val="0"/>
              <w:snapToGrid w:val="0"/>
              <w:spacing w:line="307" w:lineRule="exact"/>
              <w:jc w:val="both"/>
              <w:textAlignment w:val="center"/>
              <w:rPr>
                <w:rFonts w:hint="eastAsia" w:cs="宋体"/>
                <w:color w:val="auto"/>
                <w:u w:val="none"/>
              </w:rPr>
            </w:pPr>
            <w:r>
              <w:rPr>
                <w:rFonts w:hint="eastAsia" w:cs="宋体"/>
                <w:color w:val="auto"/>
                <w:u w:val="none"/>
                <w:lang w:eastAsia="zh-CN"/>
              </w:rPr>
              <w:t>供应商</w:t>
            </w:r>
            <w:r>
              <w:rPr>
                <w:rFonts w:hint="eastAsia" w:cs="宋体"/>
                <w:color w:val="auto"/>
                <w:u w:val="none"/>
              </w:rPr>
              <w:t>自觉遵守廉政要求，承诺在项目</w:t>
            </w:r>
            <w:r>
              <w:rPr>
                <w:rFonts w:hint="eastAsia" w:cs="宋体"/>
                <w:color w:val="auto"/>
                <w:u w:val="none"/>
                <w:lang w:val="en-US" w:eastAsia="zh-CN"/>
              </w:rPr>
              <w:t>政府采购过程</w:t>
            </w:r>
            <w:r>
              <w:rPr>
                <w:rFonts w:hint="eastAsia" w:cs="宋体"/>
                <w:color w:val="auto"/>
                <w:u w:val="none"/>
              </w:rPr>
              <w:t>及实施阶段，遵守法律、法规及</w:t>
            </w:r>
            <w:r>
              <w:rPr>
                <w:rFonts w:hint="eastAsia" w:cs="宋体"/>
                <w:color w:val="auto"/>
                <w:u w:val="none"/>
                <w:lang w:eastAsia="zh-CN"/>
              </w:rPr>
              <w:t>委托人</w:t>
            </w:r>
            <w:r>
              <w:rPr>
                <w:rFonts w:hint="eastAsia" w:cs="宋体"/>
                <w:color w:val="auto"/>
                <w:u w:val="none"/>
              </w:rPr>
              <w:t>相关规定，自觉接受监督。如有违法、违规行为，应承担相应的法律责任，</w:t>
            </w:r>
            <w:r>
              <w:rPr>
                <w:rFonts w:hint="eastAsia" w:cs="宋体"/>
                <w:color w:val="auto"/>
                <w:u w:val="none"/>
                <w:lang w:eastAsia="zh-CN"/>
              </w:rPr>
              <w:t>委托人</w:t>
            </w:r>
            <w:r>
              <w:rPr>
                <w:rFonts w:hint="eastAsia" w:cs="宋体"/>
                <w:color w:val="auto"/>
                <w:u w:val="none"/>
              </w:rPr>
              <w:t>有权不予签订合同或解除合同。</w:t>
            </w:r>
          </w:p>
        </w:tc>
      </w:tr>
    </w:tbl>
    <w:p w14:paraId="267F2A02">
      <w:pPr>
        <w:widowControl/>
        <w:numPr>
          <w:ilvl w:val="0"/>
          <w:numId w:val="0"/>
        </w:numPr>
        <w:bidi w:val="0"/>
        <w:spacing w:line="340" w:lineRule="exact"/>
        <w:ind w:firstLine="480" w:firstLineChars="200"/>
        <w:jc w:val="left"/>
        <w:rPr>
          <w:rFonts w:hint="eastAsia" w:ascii="Arial Narrow" w:hAnsi="Arial Narrow" w:eastAsia="宋体" w:cs="宋体"/>
          <w:color w:val="auto"/>
          <w:kern w:val="2"/>
          <w:sz w:val="24"/>
          <w:szCs w:val="22"/>
          <w:u w:val="single"/>
          <w:lang w:val="en-US" w:eastAsia="zh-CN" w:bidi="ar-SA"/>
        </w:rPr>
      </w:pPr>
    </w:p>
    <w:p w14:paraId="2659CD6D">
      <w:pPr>
        <w:pStyle w:val="59"/>
        <w:numPr>
          <w:ilvl w:val="0"/>
          <w:numId w:val="0"/>
        </w:numPr>
        <w:bidi w:val="0"/>
        <w:ind w:firstLine="480" w:firstLineChars="200"/>
        <w:rPr>
          <w:rFonts w:hint="eastAsia"/>
          <w:color w:val="auto"/>
          <w:u w:val="single"/>
          <w:lang w:val="en-US" w:eastAsia="zh-CN"/>
        </w:rPr>
      </w:pPr>
    </w:p>
    <w:p w14:paraId="19D51D3E">
      <w:pPr>
        <w:pStyle w:val="3"/>
        <w:pageBreakBefore/>
        <w:spacing w:before="156" w:after="156"/>
        <w:jc w:val="center"/>
        <w:rPr>
          <w:rFonts w:hint="default"/>
          <w:color w:val="auto"/>
          <w:highlight w:val="none"/>
        </w:rPr>
      </w:pPr>
      <w:r>
        <w:rPr>
          <w:color w:val="auto"/>
          <w:highlight w:val="none"/>
        </w:rPr>
        <w:t>第四章 评审方法及标准</w:t>
      </w:r>
      <w:bookmarkEnd w:id="44"/>
      <w:bookmarkEnd w:id="45"/>
      <w:bookmarkEnd w:id="46"/>
      <w:bookmarkEnd w:id="53"/>
    </w:p>
    <w:p w14:paraId="7D5C88E3">
      <w:pPr>
        <w:pStyle w:val="45"/>
        <w:spacing w:before="156"/>
        <w:ind w:firstLine="480"/>
        <w:rPr>
          <w:color w:val="auto"/>
          <w:highlight w:val="none"/>
        </w:rPr>
      </w:pPr>
      <w:r>
        <w:rPr>
          <w:rFonts w:hint="eastAsia"/>
          <w:color w:val="auto"/>
          <w:highlight w:val="none"/>
        </w:rPr>
        <w:t>本项目将按照</w:t>
      </w:r>
      <w:r>
        <w:rPr>
          <w:rFonts w:hint="eastAsia"/>
          <w:color w:val="auto"/>
          <w:highlight w:val="none"/>
          <w:lang w:val="en-US" w:eastAsia="zh-CN"/>
        </w:rPr>
        <w:t>谈判</w:t>
      </w:r>
      <w:r>
        <w:rPr>
          <w:rFonts w:hint="eastAsia"/>
          <w:color w:val="auto"/>
          <w:highlight w:val="none"/>
        </w:rPr>
        <w:t>文件第一至第三章的相关要求及本章的规定评审。</w:t>
      </w:r>
    </w:p>
    <w:p w14:paraId="2EAD977D">
      <w:pPr>
        <w:pStyle w:val="4"/>
        <w:spacing w:before="156"/>
        <w:jc w:val="center"/>
        <w:rPr>
          <w:color w:val="auto"/>
          <w:highlight w:val="none"/>
        </w:rPr>
      </w:pPr>
      <w:bookmarkStart w:id="54" w:name="_Toc13095"/>
      <w:bookmarkStart w:id="55" w:name="_Toc28005"/>
      <w:bookmarkStart w:id="56" w:name="_Toc25199"/>
      <w:bookmarkStart w:id="57" w:name="_Toc9881"/>
      <w:r>
        <w:rPr>
          <w:rFonts w:hint="eastAsia"/>
          <w:color w:val="auto"/>
          <w:highlight w:val="none"/>
        </w:rPr>
        <w:t>第一节 资格审查</w:t>
      </w:r>
      <w:bookmarkEnd w:id="54"/>
      <w:bookmarkEnd w:id="55"/>
      <w:bookmarkEnd w:id="56"/>
      <w:bookmarkEnd w:id="57"/>
    </w:p>
    <w:p w14:paraId="62306285">
      <w:pPr>
        <w:pStyle w:val="45"/>
        <w:spacing w:before="156"/>
        <w:ind w:firstLine="480"/>
        <w:rPr>
          <w:color w:val="auto"/>
          <w:highlight w:val="none"/>
        </w:rPr>
      </w:pPr>
      <w:r>
        <w:rPr>
          <w:rFonts w:hint="eastAsia"/>
          <w:color w:val="auto"/>
          <w:highlight w:val="none"/>
        </w:rPr>
        <w:t>1.1依据相关法律法规规定，由</w:t>
      </w:r>
      <w:r>
        <w:rPr>
          <w:rFonts w:hint="eastAsia"/>
          <w:color w:val="auto"/>
          <w:highlight w:val="none"/>
          <w:lang w:val="en-US" w:eastAsia="zh-CN"/>
        </w:rPr>
        <w:t>谈判小组</w:t>
      </w:r>
      <w:r>
        <w:rPr>
          <w:rFonts w:hint="eastAsia"/>
          <w:color w:val="auto"/>
          <w:highlight w:val="none"/>
        </w:rPr>
        <w:t>对</w:t>
      </w:r>
      <w:r>
        <w:rPr>
          <w:rFonts w:hint="eastAsia"/>
          <w:color w:val="auto"/>
          <w:highlight w:val="none"/>
          <w:lang w:eastAsia="zh-CN"/>
        </w:rPr>
        <w:t>供应商</w:t>
      </w:r>
      <w:r>
        <w:rPr>
          <w:rFonts w:hint="eastAsia"/>
          <w:color w:val="auto"/>
          <w:highlight w:val="none"/>
        </w:rPr>
        <w:t>进行资格审查。资格审查表如下：</w:t>
      </w:r>
    </w:p>
    <w:p w14:paraId="1B265803">
      <w:pPr>
        <w:pStyle w:val="45"/>
        <w:spacing w:before="156"/>
        <w:ind w:firstLine="0" w:firstLineChars="0"/>
        <w:jc w:val="center"/>
        <w:rPr>
          <w:color w:val="auto"/>
          <w:highlight w:val="none"/>
        </w:rPr>
      </w:pPr>
      <w:r>
        <w:rPr>
          <w:rFonts w:hint="eastAsia" w:ascii="方正小标宋_GBK" w:hAnsi="方正小标宋_GBK" w:eastAsia="方正小标宋_GBK" w:cs="方正小标宋_GBK"/>
          <w:color w:val="auto"/>
          <w:sz w:val="30"/>
          <w:szCs w:val="30"/>
          <w:highlight w:val="none"/>
        </w:rPr>
        <w:t>资格审查表</w:t>
      </w:r>
    </w:p>
    <w:tbl>
      <w:tblPr>
        <w:tblStyle w:val="35"/>
        <w:tblW w:w="9870"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700"/>
        <w:gridCol w:w="1820"/>
        <w:gridCol w:w="4560"/>
        <w:gridCol w:w="2790"/>
      </w:tblGrid>
      <w:tr w14:paraId="0A28207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652" w:hRule="atLeast"/>
        </w:trPr>
        <w:tc>
          <w:tcPr>
            <w:tcW w:w="700" w:type="dxa"/>
            <w:tcBorders>
              <w:tl2br w:val="nil"/>
              <w:tr2bl w:val="nil"/>
            </w:tcBorders>
            <w:shd w:val="pct10" w:color="ADB9CA" w:fill="D6DCE5"/>
            <w:tcMar>
              <w:top w:w="0" w:type="dxa"/>
              <w:left w:w="0" w:type="dxa"/>
              <w:bottom w:w="0" w:type="dxa"/>
              <w:right w:w="0" w:type="dxa"/>
            </w:tcMar>
            <w:vAlign w:val="center"/>
          </w:tcPr>
          <w:p w14:paraId="47581883">
            <w:pPr>
              <w:pStyle w:val="48"/>
              <w:rPr>
                <w:color w:val="auto"/>
                <w:highlight w:val="none"/>
              </w:rPr>
            </w:pPr>
            <w:r>
              <w:rPr>
                <w:rFonts w:hint="eastAsia"/>
                <w:color w:val="auto"/>
                <w:highlight w:val="none"/>
              </w:rPr>
              <w:t>序号</w:t>
            </w:r>
          </w:p>
        </w:tc>
        <w:tc>
          <w:tcPr>
            <w:tcW w:w="1820" w:type="dxa"/>
            <w:tcBorders>
              <w:tl2br w:val="nil"/>
              <w:tr2bl w:val="nil"/>
            </w:tcBorders>
            <w:shd w:val="pct10" w:color="ADB9CA" w:fill="D6DCE5"/>
            <w:tcMar>
              <w:top w:w="0" w:type="dxa"/>
              <w:left w:w="0" w:type="dxa"/>
              <w:bottom w:w="0" w:type="dxa"/>
              <w:right w:w="0" w:type="dxa"/>
            </w:tcMar>
            <w:vAlign w:val="center"/>
          </w:tcPr>
          <w:p w14:paraId="1DE8B06E">
            <w:pPr>
              <w:pStyle w:val="48"/>
              <w:rPr>
                <w:color w:val="auto"/>
                <w:highlight w:val="none"/>
              </w:rPr>
            </w:pPr>
            <w:r>
              <w:rPr>
                <w:rFonts w:hint="eastAsia"/>
                <w:color w:val="auto"/>
                <w:highlight w:val="none"/>
              </w:rPr>
              <w:t>评审指标</w:t>
            </w:r>
          </w:p>
        </w:tc>
        <w:tc>
          <w:tcPr>
            <w:tcW w:w="4560" w:type="dxa"/>
            <w:tcBorders>
              <w:tl2br w:val="nil"/>
              <w:tr2bl w:val="nil"/>
            </w:tcBorders>
            <w:shd w:val="pct10" w:color="ADB9CA" w:fill="D6DCE5"/>
            <w:tcMar>
              <w:top w:w="0" w:type="dxa"/>
              <w:left w:w="0" w:type="dxa"/>
              <w:bottom w:w="0" w:type="dxa"/>
              <w:right w:w="0" w:type="dxa"/>
            </w:tcMar>
            <w:vAlign w:val="center"/>
          </w:tcPr>
          <w:p w14:paraId="46D80700">
            <w:pPr>
              <w:pStyle w:val="48"/>
              <w:rPr>
                <w:color w:val="auto"/>
                <w:highlight w:val="none"/>
              </w:rPr>
            </w:pPr>
            <w:r>
              <w:rPr>
                <w:rFonts w:hint="eastAsia"/>
                <w:color w:val="auto"/>
                <w:highlight w:val="none"/>
              </w:rPr>
              <w:t>评审标准</w:t>
            </w:r>
          </w:p>
        </w:tc>
        <w:tc>
          <w:tcPr>
            <w:tcW w:w="2790" w:type="dxa"/>
            <w:tcBorders>
              <w:tl2br w:val="nil"/>
              <w:tr2bl w:val="nil"/>
            </w:tcBorders>
            <w:shd w:val="pct10" w:color="ADB9CA" w:fill="D6DCE5"/>
            <w:tcMar>
              <w:top w:w="0" w:type="dxa"/>
              <w:left w:w="0" w:type="dxa"/>
              <w:bottom w:w="0" w:type="dxa"/>
              <w:right w:w="0" w:type="dxa"/>
            </w:tcMar>
            <w:vAlign w:val="center"/>
          </w:tcPr>
          <w:p w14:paraId="7F1C4C77">
            <w:pPr>
              <w:pStyle w:val="48"/>
              <w:rPr>
                <w:color w:val="auto"/>
                <w:highlight w:val="none"/>
              </w:rPr>
            </w:pPr>
            <w:r>
              <w:rPr>
                <w:rFonts w:hint="eastAsia"/>
                <w:color w:val="auto"/>
                <w:highlight w:val="none"/>
              </w:rPr>
              <w:t>格式及材料要求</w:t>
            </w:r>
          </w:p>
        </w:tc>
      </w:tr>
      <w:tr w14:paraId="2A23562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770" w:hRule="atLeast"/>
        </w:trPr>
        <w:tc>
          <w:tcPr>
            <w:tcW w:w="700" w:type="dxa"/>
            <w:tcBorders>
              <w:tl2br w:val="nil"/>
              <w:tr2bl w:val="nil"/>
            </w:tcBorders>
            <w:tcMar>
              <w:top w:w="0" w:type="dxa"/>
              <w:left w:w="0" w:type="dxa"/>
              <w:bottom w:w="0" w:type="dxa"/>
              <w:right w:w="0" w:type="dxa"/>
            </w:tcMar>
            <w:vAlign w:val="center"/>
          </w:tcPr>
          <w:p w14:paraId="055F01F6">
            <w:pPr>
              <w:pStyle w:val="48"/>
              <w:numPr>
                <w:ilvl w:val="0"/>
                <w:numId w:val="45"/>
              </w:numPr>
              <w:rPr>
                <w:color w:val="auto"/>
                <w:szCs w:val="22"/>
                <w:highlight w:val="none"/>
              </w:rPr>
            </w:pPr>
          </w:p>
        </w:tc>
        <w:tc>
          <w:tcPr>
            <w:tcW w:w="1820" w:type="dxa"/>
            <w:tcBorders>
              <w:tl2br w:val="nil"/>
              <w:tr2bl w:val="nil"/>
            </w:tcBorders>
            <w:tcMar>
              <w:top w:w="0" w:type="dxa"/>
              <w:left w:w="0" w:type="dxa"/>
              <w:bottom w:w="0" w:type="dxa"/>
              <w:right w:w="0" w:type="dxa"/>
            </w:tcMar>
            <w:vAlign w:val="center"/>
          </w:tcPr>
          <w:p w14:paraId="3D55E150">
            <w:pPr>
              <w:pStyle w:val="48"/>
              <w:rPr>
                <w:color w:val="auto"/>
                <w:szCs w:val="22"/>
                <w:highlight w:val="none"/>
              </w:rPr>
            </w:pPr>
            <w:r>
              <w:rPr>
                <w:rFonts w:hint="eastAsia"/>
                <w:color w:val="auto"/>
                <w:szCs w:val="22"/>
                <w:highlight w:val="none"/>
              </w:rPr>
              <w:t>营业执照</w:t>
            </w:r>
          </w:p>
        </w:tc>
        <w:tc>
          <w:tcPr>
            <w:tcW w:w="4560" w:type="dxa"/>
            <w:tcBorders>
              <w:tl2br w:val="nil"/>
              <w:tr2bl w:val="nil"/>
            </w:tcBorders>
            <w:tcMar>
              <w:top w:w="0" w:type="dxa"/>
              <w:left w:w="0" w:type="dxa"/>
              <w:bottom w:w="0" w:type="dxa"/>
              <w:right w:w="0" w:type="dxa"/>
            </w:tcMar>
            <w:vAlign w:val="center"/>
          </w:tcPr>
          <w:p w14:paraId="6A6D9A5E">
            <w:pPr>
              <w:pStyle w:val="58"/>
              <w:ind w:firstLine="440"/>
              <w:rPr>
                <w:color w:val="auto"/>
                <w:highlight w:val="none"/>
              </w:rPr>
            </w:pPr>
            <w:r>
              <w:rPr>
                <w:rFonts w:hint="eastAsia"/>
                <w:color w:val="auto"/>
                <w:highlight w:val="none"/>
                <w:lang w:eastAsia="zh-CN"/>
              </w:rPr>
              <w:t>供应商</w:t>
            </w:r>
            <w:r>
              <w:rPr>
                <w:rFonts w:hint="eastAsia"/>
                <w:color w:val="auto"/>
                <w:highlight w:val="none"/>
              </w:rPr>
              <w:t>为企业（包括合伙企业）的，应提供有效的“营业执照”；</w:t>
            </w:r>
          </w:p>
          <w:p w14:paraId="72F071CC">
            <w:pPr>
              <w:pStyle w:val="58"/>
              <w:ind w:firstLine="440"/>
              <w:rPr>
                <w:color w:val="auto"/>
                <w:highlight w:val="none"/>
              </w:rPr>
            </w:pPr>
            <w:r>
              <w:rPr>
                <w:rFonts w:hint="eastAsia"/>
                <w:color w:val="auto"/>
                <w:highlight w:val="none"/>
                <w:lang w:eastAsia="zh-CN"/>
              </w:rPr>
              <w:t>供应商</w:t>
            </w:r>
            <w:r>
              <w:rPr>
                <w:rFonts w:hint="eastAsia"/>
                <w:color w:val="auto"/>
                <w:highlight w:val="none"/>
              </w:rPr>
              <w:t>为事业单位的，应提供有效的“事业单位法人证书”；</w:t>
            </w:r>
          </w:p>
          <w:p w14:paraId="764D0F6C">
            <w:pPr>
              <w:pStyle w:val="58"/>
              <w:ind w:firstLine="440"/>
              <w:rPr>
                <w:color w:val="auto"/>
                <w:highlight w:val="none"/>
              </w:rPr>
            </w:pPr>
            <w:r>
              <w:rPr>
                <w:rFonts w:hint="eastAsia"/>
                <w:color w:val="auto"/>
                <w:highlight w:val="none"/>
                <w:lang w:eastAsia="zh-CN"/>
              </w:rPr>
              <w:t>供应商</w:t>
            </w:r>
            <w:r>
              <w:rPr>
                <w:rFonts w:hint="eastAsia"/>
                <w:color w:val="auto"/>
                <w:highlight w:val="none"/>
              </w:rPr>
              <w:t>是非企业机构的，应提供有效的“执业许可证</w:t>
            </w:r>
            <w:r>
              <w:rPr>
                <w:rFonts w:hint="eastAsia"/>
                <w:color w:val="auto"/>
                <w:highlight w:val="none"/>
                <w:lang w:eastAsia="zh-CN"/>
              </w:rPr>
              <w:t>”“</w:t>
            </w:r>
            <w:r>
              <w:rPr>
                <w:rFonts w:hint="eastAsia"/>
                <w:color w:val="auto"/>
                <w:highlight w:val="none"/>
              </w:rPr>
              <w:t>登记证书”等证明文件；</w:t>
            </w:r>
          </w:p>
          <w:p w14:paraId="6C20FB18">
            <w:pPr>
              <w:pStyle w:val="58"/>
              <w:ind w:firstLine="440"/>
              <w:rPr>
                <w:color w:val="auto"/>
                <w:highlight w:val="none"/>
              </w:rPr>
            </w:pPr>
            <w:r>
              <w:rPr>
                <w:rFonts w:hint="eastAsia"/>
                <w:color w:val="auto"/>
                <w:highlight w:val="none"/>
                <w:lang w:eastAsia="zh-CN"/>
              </w:rPr>
              <w:t>供应商</w:t>
            </w:r>
            <w:r>
              <w:rPr>
                <w:rFonts w:hint="eastAsia"/>
                <w:color w:val="auto"/>
                <w:highlight w:val="none"/>
              </w:rPr>
              <w:t>是个体工商户的，应提供有效的“个体工商户营业执照”；</w:t>
            </w:r>
          </w:p>
          <w:p w14:paraId="73142609">
            <w:pPr>
              <w:pStyle w:val="58"/>
              <w:ind w:firstLine="440"/>
              <w:rPr>
                <w:color w:val="auto"/>
                <w:highlight w:val="none"/>
              </w:rPr>
            </w:pPr>
            <w:r>
              <w:rPr>
                <w:rFonts w:hint="eastAsia"/>
                <w:color w:val="auto"/>
                <w:highlight w:val="none"/>
                <w:lang w:eastAsia="zh-CN"/>
              </w:rPr>
              <w:t>供应商</w:t>
            </w:r>
            <w:r>
              <w:rPr>
                <w:rFonts w:hint="eastAsia"/>
                <w:color w:val="auto"/>
                <w:highlight w:val="none"/>
              </w:rPr>
              <w:t>是自然人的，应提供有效的自然人身份证明。</w:t>
            </w:r>
          </w:p>
        </w:tc>
        <w:tc>
          <w:tcPr>
            <w:tcW w:w="2790" w:type="dxa"/>
            <w:tcBorders>
              <w:tl2br w:val="nil"/>
              <w:tr2bl w:val="nil"/>
            </w:tcBorders>
            <w:tcMar>
              <w:top w:w="0" w:type="dxa"/>
              <w:left w:w="0" w:type="dxa"/>
              <w:bottom w:w="0" w:type="dxa"/>
              <w:right w:w="0" w:type="dxa"/>
            </w:tcMar>
          </w:tcPr>
          <w:p w14:paraId="4B14EDAE">
            <w:pPr>
              <w:pStyle w:val="58"/>
              <w:ind w:firstLine="440"/>
              <w:rPr>
                <w:color w:val="auto"/>
                <w:highlight w:val="none"/>
              </w:rPr>
            </w:pPr>
            <w:r>
              <w:rPr>
                <w:rFonts w:hint="eastAsia"/>
                <w:color w:val="auto"/>
                <w:highlight w:val="none"/>
              </w:rPr>
              <w:t>提供有效的</w:t>
            </w:r>
            <w:r>
              <w:rPr>
                <w:rFonts w:hint="eastAsia"/>
                <w:color w:val="auto"/>
                <w:highlight w:val="none"/>
                <w:lang w:eastAsia="zh-CN"/>
              </w:rPr>
              <w:t>供应商</w:t>
            </w:r>
            <w:r>
              <w:rPr>
                <w:rFonts w:hint="eastAsia"/>
                <w:color w:val="auto"/>
                <w:highlight w:val="none"/>
              </w:rPr>
              <w:t>营业执照（或事业单位法人登记证书）和税务登记证的扫描件或影印件，应完整地体现出营业执照（或事业单位法人登记证书）和税务登记证的全部内容。已办理“三证合一“或”五证合一”登记的，</w:t>
            </w:r>
            <w:r>
              <w:rPr>
                <w:rFonts w:hint="eastAsia"/>
                <w:color w:val="auto"/>
                <w:highlight w:val="none"/>
                <w:lang w:val="en-US" w:eastAsia="zh-CN"/>
              </w:rPr>
              <w:t>谈判</w:t>
            </w:r>
            <w:r>
              <w:rPr>
                <w:rFonts w:hint="eastAsia"/>
                <w:color w:val="auto"/>
                <w:highlight w:val="none"/>
              </w:rPr>
              <w:t>文件中提供营业执照（或事业单位法人登记证书）扫描件即可。</w:t>
            </w:r>
          </w:p>
        </w:tc>
      </w:tr>
      <w:tr w14:paraId="76D26FA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770" w:hRule="atLeast"/>
        </w:trPr>
        <w:tc>
          <w:tcPr>
            <w:tcW w:w="700" w:type="dxa"/>
            <w:tcBorders>
              <w:tl2br w:val="nil"/>
              <w:tr2bl w:val="nil"/>
            </w:tcBorders>
            <w:tcMar>
              <w:top w:w="0" w:type="dxa"/>
              <w:left w:w="0" w:type="dxa"/>
              <w:bottom w:w="0" w:type="dxa"/>
              <w:right w:w="0" w:type="dxa"/>
            </w:tcMar>
            <w:vAlign w:val="center"/>
          </w:tcPr>
          <w:p w14:paraId="393DF9D9">
            <w:pPr>
              <w:pStyle w:val="48"/>
              <w:numPr>
                <w:ilvl w:val="0"/>
                <w:numId w:val="45"/>
              </w:numPr>
              <w:rPr>
                <w:color w:val="auto"/>
                <w:szCs w:val="22"/>
                <w:highlight w:val="none"/>
              </w:rPr>
            </w:pPr>
          </w:p>
        </w:tc>
        <w:tc>
          <w:tcPr>
            <w:tcW w:w="1820" w:type="dxa"/>
            <w:tcBorders>
              <w:tl2br w:val="nil"/>
              <w:tr2bl w:val="nil"/>
            </w:tcBorders>
            <w:tcMar>
              <w:top w:w="0" w:type="dxa"/>
              <w:left w:w="0" w:type="dxa"/>
              <w:bottom w:w="0" w:type="dxa"/>
              <w:right w:w="0" w:type="dxa"/>
            </w:tcMar>
            <w:vAlign w:val="center"/>
          </w:tcPr>
          <w:p w14:paraId="7AE07743">
            <w:pPr>
              <w:pStyle w:val="48"/>
              <w:rPr>
                <w:color w:val="auto"/>
                <w:szCs w:val="22"/>
                <w:highlight w:val="none"/>
              </w:rPr>
            </w:pPr>
            <w:r>
              <w:rPr>
                <w:rFonts w:hint="eastAsia"/>
                <w:color w:val="auto"/>
                <w:szCs w:val="22"/>
                <w:highlight w:val="none"/>
                <w:lang w:eastAsia="zh-CN"/>
              </w:rPr>
              <w:t>供应商</w:t>
            </w:r>
            <w:r>
              <w:rPr>
                <w:rFonts w:hint="eastAsia"/>
                <w:color w:val="auto"/>
                <w:szCs w:val="22"/>
                <w:highlight w:val="none"/>
              </w:rPr>
              <w:t>资格声明</w:t>
            </w:r>
          </w:p>
        </w:tc>
        <w:tc>
          <w:tcPr>
            <w:tcW w:w="4560" w:type="dxa"/>
            <w:tcBorders>
              <w:tl2br w:val="nil"/>
              <w:tr2bl w:val="nil"/>
            </w:tcBorders>
            <w:tcMar>
              <w:top w:w="0" w:type="dxa"/>
              <w:left w:w="0" w:type="dxa"/>
              <w:bottom w:w="0" w:type="dxa"/>
              <w:right w:w="0" w:type="dxa"/>
            </w:tcMar>
            <w:vAlign w:val="center"/>
          </w:tcPr>
          <w:p w14:paraId="6D59E8DF">
            <w:pPr>
              <w:pStyle w:val="58"/>
              <w:ind w:firstLine="440"/>
              <w:rPr>
                <w:color w:val="auto"/>
                <w:highlight w:val="none"/>
              </w:rPr>
            </w:pPr>
            <w:r>
              <w:rPr>
                <w:rFonts w:hint="eastAsia"/>
                <w:color w:val="auto"/>
                <w:highlight w:val="none"/>
              </w:rPr>
              <w:t>格式、填写要求符合</w:t>
            </w:r>
            <w:r>
              <w:rPr>
                <w:rFonts w:hint="eastAsia"/>
                <w:color w:val="auto"/>
                <w:highlight w:val="none"/>
                <w:lang w:val="en-US" w:eastAsia="zh-CN"/>
              </w:rPr>
              <w:t>谈判</w:t>
            </w:r>
            <w:r>
              <w:rPr>
                <w:rFonts w:hint="eastAsia"/>
                <w:color w:val="auto"/>
                <w:highlight w:val="none"/>
              </w:rPr>
              <w:t>文件规定并加盖</w:t>
            </w:r>
            <w:r>
              <w:rPr>
                <w:rFonts w:hint="eastAsia"/>
                <w:color w:val="auto"/>
                <w:highlight w:val="none"/>
                <w:lang w:eastAsia="zh-CN"/>
              </w:rPr>
              <w:t>供应商</w:t>
            </w:r>
            <w:r>
              <w:rPr>
                <w:rFonts w:hint="eastAsia"/>
                <w:color w:val="auto"/>
                <w:highlight w:val="none"/>
              </w:rPr>
              <w:t>单位公章</w:t>
            </w:r>
          </w:p>
        </w:tc>
        <w:tc>
          <w:tcPr>
            <w:tcW w:w="2790" w:type="dxa"/>
            <w:tcBorders>
              <w:tl2br w:val="nil"/>
              <w:tr2bl w:val="nil"/>
            </w:tcBorders>
            <w:tcMar>
              <w:top w:w="0" w:type="dxa"/>
              <w:left w:w="0" w:type="dxa"/>
              <w:bottom w:w="0" w:type="dxa"/>
              <w:right w:w="0" w:type="dxa"/>
            </w:tcMar>
            <w:vAlign w:val="center"/>
          </w:tcPr>
          <w:p w14:paraId="22B94094">
            <w:pPr>
              <w:pStyle w:val="58"/>
              <w:ind w:firstLine="440"/>
              <w:rPr>
                <w:color w:val="auto"/>
                <w:highlight w:val="none"/>
              </w:rPr>
            </w:pPr>
            <w:r>
              <w:rPr>
                <w:rFonts w:hint="eastAsia"/>
                <w:color w:val="auto"/>
                <w:highlight w:val="none"/>
              </w:rPr>
              <w:t>详见附件3-3</w:t>
            </w:r>
          </w:p>
          <w:p w14:paraId="401832AD">
            <w:pPr>
              <w:pStyle w:val="58"/>
              <w:ind w:firstLine="440"/>
              <w:rPr>
                <w:color w:val="auto"/>
                <w:highlight w:val="none"/>
              </w:rPr>
            </w:pPr>
          </w:p>
        </w:tc>
      </w:tr>
      <w:tr w14:paraId="7E3127E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3875" w:hRule="atLeast"/>
        </w:trPr>
        <w:tc>
          <w:tcPr>
            <w:tcW w:w="700" w:type="dxa"/>
            <w:tcBorders>
              <w:tl2br w:val="nil"/>
              <w:tr2bl w:val="nil"/>
            </w:tcBorders>
            <w:tcMar>
              <w:top w:w="0" w:type="dxa"/>
              <w:left w:w="0" w:type="dxa"/>
              <w:bottom w:w="0" w:type="dxa"/>
              <w:right w:w="0" w:type="dxa"/>
            </w:tcMar>
            <w:vAlign w:val="center"/>
          </w:tcPr>
          <w:p w14:paraId="721C7048">
            <w:pPr>
              <w:pStyle w:val="48"/>
              <w:numPr>
                <w:ilvl w:val="0"/>
                <w:numId w:val="45"/>
              </w:numPr>
              <w:rPr>
                <w:color w:val="auto"/>
                <w:szCs w:val="22"/>
                <w:highlight w:val="none"/>
              </w:rPr>
            </w:pPr>
          </w:p>
        </w:tc>
        <w:tc>
          <w:tcPr>
            <w:tcW w:w="1820" w:type="dxa"/>
            <w:tcBorders>
              <w:tl2br w:val="nil"/>
              <w:tr2bl w:val="nil"/>
            </w:tcBorders>
            <w:tcMar>
              <w:top w:w="0" w:type="dxa"/>
              <w:left w:w="0" w:type="dxa"/>
              <w:bottom w:w="0" w:type="dxa"/>
              <w:right w:w="0" w:type="dxa"/>
            </w:tcMar>
            <w:vAlign w:val="center"/>
          </w:tcPr>
          <w:p w14:paraId="154773CD">
            <w:pPr>
              <w:pStyle w:val="48"/>
              <w:rPr>
                <w:color w:val="auto"/>
                <w:szCs w:val="22"/>
                <w:highlight w:val="none"/>
              </w:rPr>
            </w:pPr>
            <w:r>
              <w:rPr>
                <w:rFonts w:hint="eastAsia"/>
                <w:color w:val="auto"/>
                <w:szCs w:val="22"/>
                <w:highlight w:val="none"/>
                <w:lang w:eastAsia="zh-CN"/>
              </w:rPr>
              <w:t>供应商</w:t>
            </w:r>
            <w:r>
              <w:rPr>
                <w:rFonts w:hint="eastAsia"/>
                <w:color w:val="auto"/>
                <w:szCs w:val="22"/>
                <w:highlight w:val="none"/>
              </w:rPr>
              <w:t>信用记录</w:t>
            </w:r>
          </w:p>
        </w:tc>
        <w:tc>
          <w:tcPr>
            <w:tcW w:w="4560" w:type="dxa"/>
            <w:tcBorders>
              <w:tl2br w:val="nil"/>
              <w:tr2bl w:val="nil"/>
            </w:tcBorders>
            <w:tcMar>
              <w:top w:w="0" w:type="dxa"/>
              <w:left w:w="0" w:type="dxa"/>
              <w:bottom w:w="0" w:type="dxa"/>
              <w:right w:w="0" w:type="dxa"/>
            </w:tcMar>
            <w:vAlign w:val="center"/>
          </w:tcPr>
          <w:p w14:paraId="1C2F6BFE">
            <w:pPr>
              <w:pStyle w:val="58"/>
              <w:ind w:firstLine="440"/>
              <w:rPr>
                <w:color w:val="auto"/>
                <w:highlight w:val="none"/>
              </w:rPr>
            </w:pPr>
            <w:r>
              <w:rPr>
                <w:rFonts w:hint="eastAsia"/>
                <w:color w:val="auto"/>
                <w:highlight w:val="none"/>
              </w:rPr>
              <w:t>查询渠道：信用中国网站和中国政府采购网（www.creditchina.gov.cn、www.ccgp.gov.cn）；</w:t>
            </w:r>
          </w:p>
          <w:p w14:paraId="131077B3">
            <w:pPr>
              <w:pStyle w:val="58"/>
              <w:ind w:firstLine="440"/>
              <w:rPr>
                <w:color w:val="auto"/>
                <w:highlight w:val="none"/>
              </w:rPr>
            </w:pPr>
            <w:r>
              <w:rPr>
                <w:rFonts w:hint="eastAsia"/>
                <w:color w:val="auto"/>
                <w:highlight w:val="none"/>
              </w:rPr>
              <w:t>截止时点：报名截止时间以后、资格审查阶段</w:t>
            </w:r>
            <w:r>
              <w:rPr>
                <w:rFonts w:hint="eastAsia"/>
                <w:color w:val="auto"/>
                <w:highlight w:val="none"/>
                <w:lang w:eastAsia="zh-CN"/>
              </w:rPr>
              <w:t>采购人</w:t>
            </w:r>
            <w:r>
              <w:rPr>
                <w:rFonts w:hint="eastAsia"/>
                <w:color w:val="auto"/>
                <w:highlight w:val="none"/>
              </w:rPr>
              <w:t>或</w:t>
            </w:r>
            <w:r>
              <w:rPr>
                <w:rFonts w:hint="eastAsia"/>
                <w:color w:val="auto"/>
                <w:highlight w:val="none"/>
                <w:lang w:eastAsia="zh-CN"/>
              </w:rPr>
              <w:t>采购代理机构</w:t>
            </w:r>
            <w:r>
              <w:rPr>
                <w:rFonts w:hint="eastAsia"/>
                <w:color w:val="auto"/>
                <w:highlight w:val="none"/>
              </w:rPr>
              <w:t>的实际查询时间；</w:t>
            </w:r>
          </w:p>
          <w:p w14:paraId="03C116D2">
            <w:pPr>
              <w:pStyle w:val="58"/>
              <w:ind w:firstLine="440"/>
              <w:rPr>
                <w:color w:val="auto"/>
                <w:highlight w:val="none"/>
              </w:rPr>
            </w:pPr>
            <w:r>
              <w:rPr>
                <w:rFonts w:hint="eastAsia"/>
                <w:color w:val="auto"/>
                <w:highlight w:val="none"/>
              </w:rPr>
              <w:t>信用信息查询记录和证据留存具体方式：查询结果网页打印页作为查询记录和证据，与其他</w:t>
            </w:r>
            <w:r>
              <w:rPr>
                <w:rFonts w:hint="eastAsia"/>
                <w:color w:val="auto"/>
                <w:highlight w:val="none"/>
                <w:lang w:val="en-US" w:eastAsia="zh-CN"/>
              </w:rPr>
              <w:t>采购</w:t>
            </w:r>
            <w:r>
              <w:rPr>
                <w:rFonts w:hint="eastAsia"/>
                <w:color w:val="auto"/>
                <w:highlight w:val="none"/>
              </w:rPr>
              <w:t>文件一并保存；</w:t>
            </w:r>
          </w:p>
          <w:p w14:paraId="21C4642D">
            <w:pPr>
              <w:pStyle w:val="58"/>
              <w:ind w:firstLine="440"/>
              <w:rPr>
                <w:color w:val="auto"/>
                <w:highlight w:val="none"/>
              </w:rPr>
            </w:pPr>
            <w:r>
              <w:rPr>
                <w:rFonts w:hint="eastAsia"/>
                <w:color w:val="auto"/>
                <w:highlight w:val="none"/>
              </w:rPr>
              <w:t>信用信息的使用原则：经认定的被列入失信被执行人、重大税收违法案件当事人名单、政府采购严重违法失信行为记录名单的</w:t>
            </w:r>
            <w:r>
              <w:rPr>
                <w:rFonts w:hint="eastAsia"/>
                <w:color w:val="auto"/>
                <w:highlight w:val="none"/>
                <w:lang w:eastAsia="zh-CN"/>
              </w:rPr>
              <w:t>供应商</w:t>
            </w:r>
            <w:r>
              <w:rPr>
                <w:rFonts w:hint="eastAsia"/>
                <w:color w:val="auto"/>
                <w:highlight w:val="none"/>
              </w:rPr>
              <w:t>，其响应无效。联合体形式</w:t>
            </w:r>
            <w:r>
              <w:rPr>
                <w:rFonts w:hint="eastAsia"/>
                <w:color w:val="auto"/>
                <w:highlight w:val="none"/>
                <w:lang w:val="en-US" w:eastAsia="zh-CN"/>
              </w:rPr>
              <w:t>投标</w:t>
            </w:r>
            <w:r>
              <w:rPr>
                <w:rFonts w:hint="eastAsia"/>
                <w:color w:val="auto"/>
                <w:highlight w:val="none"/>
              </w:rPr>
              <w:t>的，联合体成员存在不良信用记录，视同联合体存在不良信用记录。</w:t>
            </w:r>
          </w:p>
        </w:tc>
        <w:tc>
          <w:tcPr>
            <w:tcW w:w="2790" w:type="dxa"/>
            <w:tcBorders>
              <w:tl2br w:val="nil"/>
              <w:tr2bl w:val="nil"/>
            </w:tcBorders>
            <w:tcMar>
              <w:top w:w="0" w:type="dxa"/>
              <w:left w:w="0" w:type="dxa"/>
              <w:bottom w:w="0" w:type="dxa"/>
              <w:right w:w="0" w:type="dxa"/>
            </w:tcMar>
            <w:vAlign w:val="center"/>
          </w:tcPr>
          <w:p w14:paraId="1BFA9EAF">
            <w:pPr>
              <w:pStyle w:val="58"/>
              <w:ind w:firstLine="440"/>
              <w:rPr>
                <w:color w:val="auto"/>
                <w:highlight w:val="none"/>
              </w:rPr>
            </w:pPr>
            <w:r>
              <w:rPr>
                <w:rFonts w:hint="eastAsia"/>
                <w:color w:val="auto"/>
                <w:highlight w:val="none"/>
              </w:rPr>
              <w:t>无须</w:t>
            </w:r>
            <w:r>
              <w:rPr>
                <w:rFonts w:hint="eastAsia"/>
                <w:color w:val="auto"/>
                <w:highlight w:val="none"/>
                <w:lang w:eastAsia="zh-CN"/>
              </w:rPr>
              <w:t>供应商</w:t>
            </w:r>
            <w:r>
              <w:rPr>
                <w:rFonts w:hint="eastAsia"/>
                <w:color w:val="auto"/>
                <w:highlight w:val="none"/>
              </w:rPr>
              <w:t>提供，由</w:t>
            </w:r>
            <w:r>
              <w:rPr>
                <w:rFonts w:hint="eastAsia"/>
                <w:color w:val="auto"/>
                <w:highlight w:val="none"/>
                <w:lang w:eastAsia="zh-CN"/>
              </w:rPr>
              <w:t>采购人</w:t>
            </w:r>
            <w:r>
              <w:rPr>
                <w:rFonts w:hint="eastAsia"/>
                <w:color w:val="auto"/>
                <w:highlight w:val="none"/>
              </w:rPr>
              <w:t>或</w:t>
            </w:r>
            <w:r>
              <w:rPr>
                <w:rFonts w:hint="eastAsia"/>
                <w:color w:val="auto"/>
                <w:highlight w:val="none"/>
                <w:lang w:eastAsia="zh-CN"/>
              </w:rPr>
              <w:t>采购代理机构</w:t>
            </w:r>
            <w:r>
              <w:rPr>
                <w:rFonts w:hint="eastAsia"/>
                <w:color w:val="auto"/>
                <w:highlight w:val="none"/>
              </w:rPr>
              <w:t>查询。</w:t>
            </w:r>
          </w:p>
        </w:tc>
      </w:tr>
      <w:tr w14:paraId="57BFEBE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400" w:hRule="atLeast"/>
        </w:trPr>
        <w:tc>
          <w:tcPr>
            <w:tcW w:w="700" w:type="dxa"/>
            <w:tcBorders>
              <w:tl2br w:val="nil"/>
              <w:tr2bl w:val="nil"/>
            </w:tcBorders>
            <w:tcMar>
              <w:top w:w="0" w:type="dxa"/>
              <w:left w:w="0" w:type="dxa"/>
              <w:bottom w:w="0" w:type="dxa"/>
              <w:right w:w="0" w:type="dxa"/>
            </w:tcMar>
            <w:vAlign w:val="center"/>
          </w:tcPr>
          <w:p w14:paraId="0BD36CC3">
            <w:pPr>
              <w:pStyle w:val="48"/>
              <w:numPr>
                <w:ilvl w:val="0"/>
                <w:numId w:val="45"/>
              </w:numPr>
              <w:rPr>
                <w:color w:val="auto"/>
                <w:szCs w:val="22"/>
                <w:highlight w:val="none"/>
              </w:rPr>
            </w:pPr>
          </w:p>
        </w:tc>
        <w:tc>
          <w:tcPr>
            <w:tcW w:w="1820" w:type="dxa"/>
            <w:tcBorders>
              <w:tl2br w:val="nil"/>
              <w:tr2bl w:val="nil"/>
            </w:tcBorders>
            <w:tcMar>
              <w:top w:w="0" w:type="dxa"/>
              <w:left w:w="0" w:type="dxa"/>
              <w:bottom w:w="0" w:type="dxa"/>
              <w:right w:w="0" w:type="dxa"/>
            </w:tcMar>
            <w:vAlign w:val="center"/>
          </w:tcPr>
          <w:p w14:paraId="5DCDA035">
            <w:pPr>
              <w:pStyle w:val="48"/>
              <w:rPr>
                <w:color w:val="auto"/>
                <w:szCs w:val="22"/>
                <w:highlight w:val="none"/>
              </w:rPr>
            </w:pPr>
            <w:r>
              <w:rPr>
                <w:rFonts w:hint="eastAsia"/>
                <w:color w:val="auto"/>
                <w:szCs w:val="22"/>
                <w:highlight w:val="none"/>
              </w:rPr>
              <w:t>无重大违法记录声明函、无不良信用记录声明函</w:t>
            </w:r>
          </w:p>
        </w:tc>
        <w:tc>
          <w:tcPr>
            <w:tcW w:w="4560" w:type="dxa"/>
            <w:tcBorders>
              <w:tl2br w:val="nil"/>
              <w:tr2bl w:val="nil"/>
            </w:tcBorders>
            <w:tcMar>
              <w:top w:w="0" w:type="dxa"/>
              <w:left w:w="0" w:type="dxa"/>
              <w:bottom w:w="0" w:type="dxa"/>
              <w:right w:w="0" w:type="dxa"/>
            </w:tcMar>
            <w:vAlign w:val="center"/>
          </w:tcPr>
          <w:p w14:paraId="25094DB0">
            <w:pPr>
              <w:pStyle w:val="58"/>
              <w:ind w:firstLine="440"/>
              <w:rPr>
                <w:color w:val="auto"/>
                <w:highlight w:val="none"/>
              </w:rPr>
            </w:pPr>
            <w:r>
              <w:rPr>
                <w:rFonts w:hint="eastAsia"/>
                <w:color w:val="auto"/>
                <w:highlight w:val="none"/>
              </w:rPr>
              <w:t>格式、填写要求符合</w:t>
            </w:r>
            <w:r>
              <w:rPr>
                <w:rFonts w:hint="eastAsia"/>
                <w:color w:val="auto"/>
                <w:highlight w:val="none"/>
                <w:lang w:val="en-US" w:eastAsia="zh-CN"/>
              </w:rPr>
              <w:t>谈判</w:t>
            </w:r>
            <w:r>
              <w:rPr>
                <w:rFonts w:hint="eastAsia"/>
                <w:color w:val="auto"/>
                <w:highlight w:val="none"/>
              </w:rPr>
              <w:t>文件规定并加盖</w:t>
            </w:r>
            <w:r>
              <w:rPr>
                <w:rFonts w:hint="eastAsia"/>
                <w:color w:val="auto"/>
                <w:highlight w:val="none"/>
                <w:lang w:eastAsia="zh-CN"/>
              </w:rPr>
              <w:t>供应商</w:t>
            </w:r>
            <w:r>
              <w:rPr>
                <w:rFonts w:hint="eastAsia"/>
                <w:color w:val="auto"/>
                <w:highlight w:val="none"/>
              </w:rPr>
              <w:t>单位公章</w:t>
            </w:r>
          </w:p>
        </w:tc>
        <w:tc>
          <w:tcPr>
            <w:tcW w:w="2790" w:type="dxa"/>
            <w:tcBorders>
              <w:tl2br w:val="nil"/>
              <w:tr2bl w:val="nil"/>
            </w:tcBorders>
            <w:tcMar>
              <w:top w:w="0" w:type="dxa"/>
              <w:left w:w="0" w:type="dxa"/>
              <w:bottom w:w="0" w:type="dxa"/>
              <w:right w:w="0" w:type="dxa"/>
            </w:tcMar>
            <w:vAlign w:val="center"/>
          </w:tcPr>
          <w:p w14:paraId="1CB375BE">
            <w:pPr>
              <w:pStyle w:val="58"/>
              <w:ind w:firstLine="440"/>
              <w:rPr>
                <w:color w:val="auto"/>
                <w:highlight w:val="none"/>
              </w:rPr>
            </w:pPr>
            <w:r>
              <w:rPr>
                <w:rFonts w:hint="eastAsia"/>
                <w:color w:val="auto"/>
                <w:highlight w:val="none"/>
              </w:rPr>
              <w:t>详见附件3-4</w:t>
            </w:r>
          </w:p>
        </w:tc>
      </w:tr>
      <w:tr w14:paraId="356CD05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400" w:hRule="atLeast"/>
        </w:trPr>
        <w:tc>
          <w:tcPr>
            <w:tcW w:w="700" w:type="dxa"/>
            <w:tcBorders>
              <w:tl2br w:val="nil"/>
              <w:tr2bl w:val="nil"/>
            </w:tcBorders>
            <w:tcMar>
              <w:top w:w="0" w:type="dxa"/>
              <w:left w:w="0" w:type="dxa"/>
              <w:bottom w:w="0" w:type="dxa"/>
              <w:right w:w="0" w:type="dxa"/>
            </w:tcMar>
            <w:vAlign w:val="center"/>
          </w:tcPr>
          <w:p w14:paraId="06B4AA56">
            <w:pPr>
              <w:pStyle w:val="48"/>
              <w:numPr>
                <w:ilvl w:val="0"/>
                <w:numId w:val="45"/>
              </w:numPr>
              <w:rPr>
                <w:color w:val="auto"/>
                <w:szCs w:val="22"/>
                <w:highlight w:val="none"/>
              </w:rPr>
            </w:pPr>
          </w:p>
        </w:tc>
        <w:tc>
          <w:tcPr>
            <w:tcW w:w="1820" w:type="dxa"/>
            <w:tcBorders>
              <w:tl2br w:val="nil"/>
              <w:tr2bl w:val="nil"/>
            </w:tcBorders>
            <w:tcMar>
              <w:top w:w="0" w:type="dxa"/>
              <w:left w:w="0" w:type="dxa"/>
              <w:bottom w:w="0" w:type="dxa"/>
              <w:right w:w="0" w:type="dxa"/>
            </w:tcMar>
            <w:vAlign w:val="center"/>
          </w:tcPr>
          <w:p w14:paraId="6D96795C">
            <w:pPr>
              <w:pStyle w:val="48"/>
              <w:rPr>
                <w:color w:val="auto"/>
                <w:szCs w:val="22"/>
                <w:highlight w:val="none"/>
              </w:rPr>
            </w:pPr>
            <w:r>
              <w:rPr>
                <w:rFonts w:hint="eastAsia"/>
                <w:color w:val="auto"/>
                <w:szCs w:val="22"/>
                <w:highlight w:val="none"/>
              </w:rPr>
              <w:t>存在关联关系的</w:t>
            </w:r>
            <w:r>
              <w:rPr>
                <w:rFonts w:hint="eastAsia"/>
                <w:color w:val="auto"/>
                <w:szCs w:val="22"/>
                <w:highlight w:val="none"/>
                <w:lang w:eastAsia="zh-CN"/>
              </w:rPr>
              <w:t>供应商</w:t>
            </w:r>
            <w:r>
              <w:rPr>
                <w:rFonts w:hint="eastAsia"/>
                <w:color w:val="auto"/>
                <w:szCs w:val="22"/>
                <w:highlight w:val="none"/>
              </w:rPr>
              <w:t>不参与</w:t>
            </w:r>
            <w:r>
              <w:rPr>
                <w:rFonts w:hint="eastAsia"/>
                <w:color w:val="auto"/>
                <w:szCs w:val="22"/>
                <w:highlight w:val="none"/>
                <w:lang w:val="en-US" w:eastAsia="zh-CN"/>
              </w:rPr>
              <w:t>谈判</w:t>
            </w:r>
            <w:r>
              <w:rPr>
                <w:rFonts w:hint="eastAsia"/>
                <w:color w:val="auto"/>
                <w:szCs w:val="22"/>
                <w:highlight w:val="none"/>
              </w:rPr>
              <w:t>的承诺书</w:t>
            </w:r>
          </w:p>
        </w:tc>
        <w:tc>
          <w:tcPr>
            <w:tcW w:w="4560" w:type="dxa"/>
            <w:tcBorders>
              <w:tl2br w:val="nil"/>
              <w:tr2bl w:val="nil"/>
            </w:tcBorders>
            <w:tcMar>
              <w:top w:w="0" w:type="dxa"/>
              <w:left w:w="0" w:type="dxa"/>
              <w:bottom w:w="0" w:type="dxa"/>
              <w:right w:w="0" w:type="dxa"/>
            </w:tcMar>
            <w:vAlign w:val="center"/>
          </w:tcPr>
          <w:p w14:paraId="01E572F6">
            <w:pPr>
              <w:pStyle w:val="58"/>
              <w:ind w:firstLine="440"/>
              <w:rPr>
                <w:color w:val="auto"/>
                <w:highlight w:val="none"/>
              </w:rPr>
            </w:pPr>
            <w:r>
              <w:rPr>
                <w:rFonts w:hint="eastAsia"/>
                <w:color w:val="auto"/>
                <w:highlight w:val="none"/>
              </w:rPr>
              <w:t>格式、填写要求符合</w:t>
            </w:r>
            <w:r>
              <w:rPr>
                <w:rFonts w:hint="eastAsia"/>
                <w:color w:val="auto"/>
                <w:highlight w:val="none"/>
                <w:lang w:val="en-US" w:eastAsia="zh-CN"/>
              </w:rPr>
              <w:t>谈判</w:t>
            </w:r>
            <w:r>
              <w:rPr>
                <w:rFonts w:hint="eastAsia"/>
                <w:color w:val="auto"/>
                <w:highlight w:val="none"/>
              </w:rPr>
              <w:t>文件规定并加盖</w:t>
            </w:r>
            <w:r>
              <w:rPr>
                <w:rFonts w:hint="eastAsia"/>
                <w:color w:val="auto"/>
                <w:highlight w:val="none"/>
                <w:lang w:eastAsia="zh-CN"/>
              </w:rPr>
              <w:t>供应商</w:t>
            </w:r>
            <w:r>
              <w:rPr>
                <w:rFonts w:hint="eastAsia"/>
                <w:color w:val="auto"/>
                <w:highlight w:val="none"/>
              </w:rPr>
              <w:t>单位公章</w:t>
            </w:r>
          </w:p>
        </w:tc>
        <w:tc>
          <w:tcPr>
            <w:tcW w:w="2790" w:type="dxa"/>
            <w:tcBorders>
              <w:tl2br w:val="nil"/>
              <w:tr2bl w:val="nil"/>
            </w:tcBorders>
            <w:tcMar>
              <w:top w:w="0" w:type="dxa"/>
              <w:left w:w="0" w:type="dxa"/>
              <w:bottom w:w="0" w:type="dxa"/>
              <w:right w:w="0" w:type="dxa"/>
            </w:tcMar>
            <w:vAlign w:val="center"/>
          </w:tcPr>
          <w:p w14:paraId="1E5D754C">
            <w:pPr>
              <w:pStyle w:val="58"/>
              <w:ind w:firstLine="440"/>
              <w:rPr>
                <w:color w:val="auto"/>
                <w:highlight w:val="none"/>
              </w:rPr>
            </w:pPr>
            <w:r>
              <w:rPr>
                <w:rFonts w:hint="eastAsia"/>
                <w:color w:val="auto"/>
                <w:highlight w:val="none"/>
              </w:rPr>
              <w:t>详见附件3-5</w:t>
            </w:r>
          </w:p>
          <w:p w14:paraId="6DFD6985">
            <w:pPr>
              <w:pStyle w:val="58"/>
              <w:ind w:firstLine="440"/>
              <w:rPr>
                <w:color w:val="auto"/>
                <w:highlight w:val="none"/>
              </w:rPr>
            </w:pPr>
          </w:p>
        </w:tc>
      </w:tr>
      <w:tr w14:paraId="28354AF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1400" w:hRule="atLeast"/>
        </w:trPr>
        <w:tc>
          <w:tcPr>
            <w:tcW w:w="700" w:type="dxa"/>
            <w:tcBorders>
              <w:tl2br w:val="nil"/>
              <w:tr2bl w:val="nil"/>
            </w:tcBorders>
            <w:tcMar>
              <w:top w:w="0" w:type="dxa"/>
              <w:left w:w="0" w:type="dxa"/>
              <w:bottom w:w="0" w:type="dxa"/>
              <w:right w:w="0" w:type="dxa"/>
            </w:tcMar>
            <w:vAlign w:val="center"/>
          </w:tcPr>
          <w:p w14:paraId="1C41EB9E">
            <w:pPr>
              <w:pStyle w:val="48"/>
              <w:numPr>
                <w:ilvl w:val="0"/>
                <w:numId w:val="45"/>
              </w:numPr>
              <w:rPr>
                <w:color w:val="auto"/>
                <w:szCs w:val="22"/>
                <w:highlight w:val="none"/>
              </w:rPr>
            </w:pPr>
          </w:p>
        </w:tc>
        <w:tc>
          <w:tcPr>
            <w:tcW w:w="1820" w:type="dxa"/>
            <w:tcBorders>
              <w:tl2br w:val="nil"/>
              <w:tr2bl w:val="nil"/>
            </w:tcBorders>
            <w:tcMar>
              <w:top w:w="0" w:type="dxa"/>
              <w:left w:w="0" w:type="dxa"/>
              <w:bottom w:w="0" w:type="dxa"/>
              <w:right w:w="0" w:type="dxa"/>
            </w:tcMar>
            <w:vAlign w:val="center"/>
          </w:tcPr>
          <w:p w14:paraId="258BC6D8">
            <w:pPr>
              <w:pStyle w:val="48"/>
              <w:rPr>
                <w:rFonts w:hint="eastAsia"/>
                <w:color w:val="auto"/>
                <w:szCs w:val="22"/>
                <w:highlight w:val="none"/>
              </w:rPr>
            </w:pPr>
            <w:r>
              <w:rPr>
                <w:rFonts w:hint="eastAsia" w:ascii="Times New Roman" w:hAnsi="Times New Roman" w:cs="Times New Roman"/>
                <w:color w:val="auto"/>
                <w:szCs w:val="22"/>
                <w:highlight w:val="none"/>
                <w:lang w:val="en-US" w:eastAsia="zh-CN"/>
              </w:rPr>
              <w:t>湖南省政府采购供应商资格承诺函</w:t>
            </w:r>
          </w:p>
        </w:tc>
        <w:tc>
          <w:tcPr>
            <w:tcW w:w="4560" w:type="dxa"/>
            <w:tcBorders>
              <w:tl2br w:val="nil"/>
              <w:tr2bl w:val="nil"/>
            </w:tcBorders>
            <w:tcMar>
              <w:top w:w="0" w:type="dxa"/>
              <w:left w:w="0" w:type="dxa"/>
              <w:bottom w:w="0" w:type="dxa"/>
              <w:right w:w="0" w:type="dxa"/>
            </w:tcMar>
            <w:vAlign w:val="center"/>
          </w:tcPr>
          <w:p w14:paraId="0CC73783">
            <w:pPr>
              <w:pStyle w:val="58"/>
              <w:ind w:firstLine="440"/>
              <w:rPr>
                <w:rFonts w:hint="eastAsia"/>
                <w:color w:val="auto"/>
                <w:highlight w:val="none"/>
              </w:rPr>
            </w:pPr>
            <w:r>
              <w:rPr>
                <w:rFonts w:hint="eastAsia"/>
                <w:color w:val="auto"/>
                <w:highlight w:val="none"/>
              </w:rPr>
              <w:t>格式、填写要求符合</w:t>
            </w:r>
            <w:r>
              <w:rPr>
                <w:rFonts w:hint="eastAsia"/>
                <w:color w:val="auto"/>
                <w:highlight w:val="none"/>
                <w:lang w:val="en-US" w:eastAsia="zh-CN"/>
              </w:rPr>
              <w:t>谈判</w:t>
            </w:r>
            <w:r>
              <w:rPr>
                <w:rFonts w:hint="eastAsia"/>
                <w:color w:val="auto"/>
                <w:highlight w:val="none"/>
              </w:rPr>
              <w:t>文件规定并加盖</w:t>
            </w:r>
            <w:r>
              <w:rPr>
                <w:rFonts w:hint="eastAsia"/>
                <w:color w:val="auto"/>
                <w:highlight w:val="none"/>
                <w:lang w:eastAsia="zh-CN"/>
              </w:rPr>
              <w:t>供应商</w:t>
            </w:r>
            <w:r>
              <w:rPr>
                <w:rFonts w:hint="eastAsia"/>
                <w:color w:val="auto"/>
                <w:highlight w:val="none"/>
              </w:rPr>
              <w:t>单位公章</w:t>
            </w:r>
          </w:p>
        </w:tc>
        <w:tc>
          <w:tcPr>
            <w:tcW w:w="2790" w:type="dxa"/>
            <w:tcBorders>
              <w:tl2br w:val="nil"/>
              <w:tr2bl w:val="nil"/>
            </w:tcBorders>
            <w:tcMar>
              <w:top w:w="0" w:type="dxa"/>
              <w:left w:w="0" w:type="dxa"/>
              <w:bottom w:w="0" w:type="dxa"/>
              <w:right w:w="0" w:type="dxa"/>
            </w:tcMar>
            <w:vAlign w:val="center"/>
          </w:tcPr>
          <w:p w14:paraId="6ADF8EEF">
            <w:pPr>
              <w:pStyle w:val="58"/>
              <w:ind w:firstLine="440"/>
              <w:rPr>
                <w:color w:val="auto"/>
                <w:highlight w:val="none"/>
              </w:rPr>
            </w:pPr>
            <w:r>
              <w:rPr>
                <w:rFonts w:hint="eastAsia"/>
                <w:color w:val="auto"/>
                <w:highlight w:val="none"/>
              </w:rPr>
              <w:t>详见附件3-6</w:t>
            </w:r>
          </w:p>
        </w:tc>
      </w:tr>
      <w:tr w14:paraId="055E88A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953" w:hRule="atLeast"/>
        </w:trPr>
        <w:tc>
          <w:tcPr>
            <w:tcW w:w="700" w:type="dxa"/>
            <w:tcBorders>
              <w:tl2br w:val="nil"/>
              <w:tr2bl w:val="nil"/>
            </w:tcBorders>
            <w:tcMar>
              <w:top w:w="0" w:type="dxa"/>
              <w:left w:w="0" w:type="dxa"/>
              <w:bottom w:w="0" w:type="dxa"/>
              <w:right w:w="0" w:type="dxa"/>
            </w:tcMar>
            <w:vAlign w:val="center"/>
          </w:tcPr>
          <w:p w14:paraId="52B6154F">
            <w:pPr>
              <w:pStyle w:val="48"/>
              <w:numPr>
                <w:ilvl w:val="0"/>
                <w:numId w:val="45"/>
              </w:numPr>
              <w:rPr>
                <w:color w:val="auto"/>
                <w:szCs w:val="22"/>
                <w:highlight w:val="none"/>
              </w:rPr>
            </w:pPr>
          </w:p>
        </w:tc>
        <w:tc>
          <w:tcPr>
            <w:tcW w:w="1820" w:type="dxa"/>
            <w:tcBorders>
              <w:tl2br w:val="nil"/>
              <w:tr2bl w:val="nil"/>
            </w:tcBorders>
            <w:tcMar>
              <w:top w:w="0" w:type="dxa"/>
              <w:left w:w="0" w:type="dxa"/>
              <w:bottom w:w="0" w:type="dxa"/>
              <w:right w:w="0" w:type="dxa"/>
            </w:tcMar>
            <w:vAlign w:val="center"/>
          </w:tcPr>
          <w:p w14:paraId="69A6BA34">
            <w:pPr>
              <w:pStyle w:val="48"/>
              <w:rPr>
                <w:color w:val="auto"/>
                <w:szCs w:val="22"/>
                <w:highlight w:val="none"/>
              </w:rPr>
            </w:pPr>
            <w:r>
              <w:rPr>
                <w:rFonts w:hint="eastAsia"/>
                <w:color w:val="auto"/>
                <w:szCs w:val="22"/>
                <w:highlight w:val="none"/>
              </w:rPr>
              <w:t>特定资格条件（如有）</w:t>
            </w:r>
          </w:p>
        </w:tc>
        <w:tc>
          <w:tcPr>
            <w:tcW w:w="4560" w:type="dxa"/>
            <w:tcBorders>
              <w:tl2br w:val="nil"/>
              <w:tr2bl w:val="nil"/>
            </w:tcBorders>
            <w:tcMar>
              <w:top w:w="0" w:type="dxa"/>
              <w:left w:w="0" w:type="dxa"/>
              <w:bottom w:w="0" w:type="dxa"/>
              <w:right w:w="0" w:type="dxa"/>
            </w:tcMar>
            <w:vAlign w:val="center"/>
          </w:tcPr>
          <w:p w14:paraId="5A1D6697">
            <w:pPr>
              <w:pStyle w:val="58"/>
              <w:ind w:firstLine="660" w:firstLineChars="300"/>
              <w:rPr>
                <w:rFonts w:hint="default" w:eastAsia="微软雅黑"/>
                <w:color w:val="auto"/>
                <w:highlight w:val="none"/>
                <w:lang w:val="en-US" w:eastAsia="zh-CN"/>
              </w:rPr>
            </w:pPr>
            <w:r>
              <w:rPr>
                <w:rFonts w:hint="eastAsia"/>
                <w:color w:val="auto"/>
                <w:highlight w:val="none"/>
                <w:lang w:val="en-US" w:eastAsia="zh-CN"/>
              </w:rPr>
              <w:t>合格有效</w:t>
            </w:r>
          </w:p>
        </w:tc>
        <w:tc>
          <w:tcPr>
            <w:tcW w:w="2790" w:type="dxa"/>
            <w:tcBorders>
              <w:tl2br w:val="nil"/>
              <w:tr2bl w:val="nil"/>
            </w:tcBorders>
            <w:tcMar>
              <w:top w:w="0" w:type="dxa"/>
              <w:left w:w="0" w:type="dxa"/>
              <w:bottom w:w="0" w:type="dxa"/>
              <w:right w:w="0" w:type="dxa"/>
            </w:tcMar>
            <w:vAlign w:val="center"/>
          </w:tcPr>
          <w:p w14:paraId="0D259F17">
            <w:pPr>
              <w:pStyle w:val="58"/>
              <w:ind w:firstLine="440"/>
              <w:jc w:val="both"/>
              <w:rPr>
                <w:rFonts w:hint="eastAsia" w:eastAsia="微软雅黑"/>
                <w:color w:val="auto"/>
                <w:highlight w:val="none"/>
                <w:lang w:val="en-US" w:eastAsia="zh-CN"/>
              </w:rPr>
            </w:pPr>
            <w:r>
              <w:rPr>
                <w:rFonts w:hint="eastAsia"/>
                <w:color w:val="auto"/>
                <w:highlight w:val="none"/>
              </w:rPr>
              <w:t>详见附件3-</w:t>
            </w:r>
            <w:r>
              <w:rPr>
                <w:rFonts w:hint="eastAsia"/>
                <w:color w:val="auto"/>
                <w:highlight w:val="none"/>
                <w:lang w:val="en-US" w:eastAsia="zh-CN"/>
              </w:rPr>
              <w:t>7</w:t>
            </w:r>
          </w:p>
        </w:tc>
      </w:tr>
      <w:tr w14:paraId="7F208C0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612" w:hRule="atLeast"/>
        </w:trPr>
        <w:tc>
          <w:tcPr>
            <w:tcW w:w="700" w:type="dxa"/>
            <w:tcBorders>
              <w:tl2br w:val="nil"/>
              <w:tr2bl w:val="nil"/>
            </w:tcBorders>
            <w:tcMar>
              <w:top w:w="0" w:type="dxa"/>
              <w:left w:w="0" w:type="dxa"/>
              <w:bottom w:w="0" w:type="dxa"/>
              <w:right w:w="0" w:type="dxa"/>
            </w:tcMar>
            <w:vAlign w:val="center"/>
          </w:tcPr>
          <w:p w14:paraId="3871E181">
            <w:pPr>
              <w:pStyle w:val="48"/>
              <w:numPr>
                <w:ilvl w:val="0"/>
                <w:numId w:val="45"/>
              </w:numPr>
              <w:rPr>
                <w:color w:val="auto"/>
                <w:szCs w:val="22"/>
                <w:highlight w:val="none"/>
              </w:rPr>
            </w:pPr>
          </w:p>
        </w:tc>
        <w:tc>
          <w:tcPr>
            <w:tcW w:w="1820" w:type="dxa"/>
            <w:tcBorders>
              <w:tl2br w:val="nil"/>
              <w:tr2bl w:val="nil"/>
            </w:tcBorders>
            <w:tcMar>
              <w:top w:w="0" w:type="dxa"/>
              <w:left w:w="0" w:type="dxa"/>
              <w:bottom w:w="0" w:type="dxa"/>
              <w:right w:w="0" w:type="dxa"/>
            </w:tcMar>
            <w:vAlign w:val="center"/>
          </w:tcPr>
          <w:p w14:paraId="5C98A3BB">
            <w:pPr>
              <w:pStyle w:val="48"/>
              <w:rPr>
                <w:color w:val="auto"/>
                <w:szCs w:val="22"/>
                <w:highlight w:val="none"/>
              </w:rPr>
            </w:pPr>
            <w:r>
              <w:rPr>
                <w:rFonts w:hint="eastAsia"/>
                <w:color w:val="auto"/>
                <w:szCs w:val="22"/>
                <w:highlight w:val="none"/>
              </w:rPr>
              <w:t>授权委托书</w:t>
            </w:r>
          </w:p>
        </w:tc>
        <w:tc>
          <w:tcPr>
            <w:tcW w:w="4560" w:type="dxa"/>
            <w:tcBorders>
              <w:tl2br w:val="nil"/>
              <w:tr2bl w:val="nil"/>
            </w:tcBorders>
            <w:tcMar>
              <w:top w:w="0" w:type="dxa"/>
              <w:left w:w="0" w:type="dxa"/>
              <w:bottom w:w="0" w:type="dxa"/>
              <w:right w:w="0" w:type="dxa"/>
            </w:tcMar>
            <w:vAlign w:val="center"/>
          </w:tcPr>
          <w:p w14:paraId="35445914">
            <w:pPr>
              <w:pStyle w:val="58"/>
              <w:ind w:firstLine="440"/>
              <w:rPr>
                <w:color w:val="auto"/>
                <w:highlight w:val="none"/>
              </w:rPr>
            </w:pPr>
            <w:r>
              <w:rPr>
                <w:rFonts w:hint="eastAsia"/>
                <w:color w:val="auto"/>
                <w:highlight w:val="none"/>
              </w:rPr>
              <w:t>格式、填写要求符合</w:t>
            </w:r>
            <w:r>
              <w:rPr>
                <w:rFonts w:hint="eastAsia"/>
                <w:color w:val="auto"/>
                <w:highlight w:val="none"/>
                <w:lang w:val="en-US" w:eastAsia="zh-CN"/>
              </w:rPr>
              <w:t>谈判</w:t>
            </w:r>
            <w:r>
              <w:rPr>
                <w:rFonts w:hint="eastAsia"/>
                <w:color w:val="auto"/>
                <w:highlight w:val="none"/>
              </w:rPr>
              <w:t>文件规定并加盖</w:t>
            </w:r>
            <w:r>
              <w:rPr>
                <w:rFonts w:hint="eastAsia"/>
                <w:color w:val="auto"/>
                <w:highlight w:val="none"/>
                <w:lang w:eastAsia="zh-CN"/>
              </w:rPr>
              <w:t>供应商</w:t>
            </w:r>
            <w:r>
              <w:rPr>
                <w:rFonts w:hint="eastAsia"/>
                <w:color w:val="auto"/>
                <w:highlight w:val="none"/>
              </w:rPr>
              <w:t>单位公章</w:t>
            </w:r>
          </w:p>
        </w:tc>
        <w:tc>
          <w:tcPr>
            <w:tcW w:w="2790" w:type="dxa"/>
            <w:tcBorders>
              <w:tl2br w:val="nil"/>
              <w:tr2bl w:val="nil"/>
            </w:tcBorders>
            <w:tcMar>
              <w:top w:w="0" w:type="dxa"/>
              <w:left w:w="0" w:type="dxa"/>
              <w:bottom w:w="0" w:type="dxa"/>
              <w:right w:w="0" w:type="dxa"/>
            </w:tcMar>
            <w:vAlign w:val="center"/>
          </w:tcPr>
          <w:p w14:paraId="3BA9FF5D">
            <w:pPr>
              <w:pStyle w:val="58"/>
              <w:ind w:firstLine="440"/>
              <w:rPr>
                <w:color w:val="auto"/>
                <w:highlight w:val="none"/>
              </w:rPr>
            </w:pPr>
            <w:r>
              <w:rPr>
                <w:rFonts w:hint="eastAsia"/>
                <w:color w:val="auto"/>
                <w:highlight w:val="none"/>
              </w:rPr>
              <w:t>详见附件二</w:t>
            </w:r>
          </w:p>
          <w:p w14:paraId="7577132B">
            <w:pPr>
              <w:pStyle w:val="58"/>
              <w:ind w:firstLine="440"/>
              <w:rPr>
                <w:color w:val="auto"/>
                <w:highlight w:val="none"/>
              </w:rPr>
            </w:pPr>
          </w:p>
        </w:tc>
      </w:tr>
      <w:tr w14:paraId="442AA7F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612" w:hRule="atLeast"/>
        </w:trPr>
        <w:tc>
          <w:tcPr>
            <w:tcW w:w="700" w:type="dxa"/>
            <w:tcBorders>
              <w:tl2br w:val="nil"/>
              <w:tr2bl w:val="nil"/>
            </w:tcBorders>
            <w:tcMar>
              <w:top w:w="0" w:type="dxa"/>
              <w:left w:w="0" w:type="dxa"/>
              <w:bottom w:w="0" w:type="dxa"/>
              <w:right w:w="0" w:type="dxa"/>
            </w:tcMar>
            <w:vAlign w:val="center"/>
          </w:tcPr>
          <w:p w14:paraId="1CA72862">
            <w:pPr>
              <w:pStyle w:val="48"/>
              <w:numPr>
                <w:ilvl w:val="0"/>
                <w:numId w:val="45"/>
              </w:numPr>
              <w:rPr>
                <w:color w:val="auto"/>
                <w:szCs w:val="22"/>
                <w:highlight w:val="none"/>
              </w:rPr>
            </w:pPr>
          </w:p>
        </w:tc>
        <w:tc>
          <w:tcPr>
            <w:tcW w:w="1820" w:type="dxa"/>
            <w:tcBorders>
              <w:tl2br w:val="nil"/>
              <w:tr2bl w:val="nil"/>
            </w:tcBorders>
            <w:tcMar>
              <w:top w:w="0" w:type="dxa"/>
              <w:left w:w="0" w:type="dxa"/>
              <w:bottom w:w="0" w:type="dxa"/>
              <w:right w:w="0" w:type="dxa"/>
            </w:tcMar>
            <w:vAlign w:val="center"/>
          </w:tcPr>
          <w:p w14:paraId="3DFC16E7">
            <w:pPr>
              <w:pStyle w:val="48"/>
              <w:rPr>
                <w:color w:val="auto"/>
                <w:szCs w:val="22"/>
                <w:highlight w:val="none"/>
              </w:rPr>
            </w:pPr>
            <w:r>
              <w:rPr>
                <w:rFonts w:hint="eastAsia"/>
                <w:color w:val="auto"/>
                <w:szCs w:val="22"/>
                <w:highlight w:val="none"/>
              </w:rPr>
              <w:t>保证金</w:t>
            </w:r>
          </w:p>
        </w:tc>
        <w:tc>
          <w:tcPr>
            <w:tcW w:w="4560" w:type="dxa"/>
            <w:tcBorders>
              <w:tl2br w:val="nil"/>
              <w:tr2bl w:val="nil"/>
            </w:tcBorders>
            <w:tcMar>
              <w:top w:w="0" w:type="dxa"/>
              <w:left w:w="0" w:type="dxa"/>
              <w:bottom w:w="0" w:type="dxa"/>
              <w:right w:w="0" w:type="dxa"/>
            </w:tcMar>
            <w:vAlign w:val="center"/>
          </w:tcPr>
          <w:p w14:paraId="398E097B">
            <w:pPr>
              <w:pStyle w:val="58"/>
              <w:ind w:firstLine="440"/>
              <w:rPr>
                <w:color w:val="auto"/>
                <w:highlight w:val="none"/>
              </w:rPr>
            </w:pPr>
            <w:r>
              <w:rPr>
                <w:rFonts w:hint="eastAsia"/>
                <w:color w:val="auto"/>
                <w:highlight w:val="none"/>
              </w:rPr>
              <w:t>符合</w:t>
            </w:r>
            <w:r>
              <w:rPr>
                <w:rFonts w:hint="eastAsia"/>
                <w:color w:val="auto"/>
                <w:highlight w:val="none"/>
                <w:lang w:val="en-US" w:eastAsia="zh-CN"/>
              </w:rPr>
              <w:t>谈判</w:t>
            </w:r>
            <w:r>
              <w:rPr>
                <w:rFonts w:hint="eastAsia"/>
                <w:color w:val="auto"/>
                <w:highlight w:val="none"/>
              </w:rPr>
              <w:t>文件须知要求</w:t>
            </w:r>
          </w:p>
        </w:tc>
        <w:tc>
          <w:tcPr>
            <w:tcW w:w="2790" w:type="dxa"/>
            <w:tcBorders>
              <w:tl2br w:val="nil"/>
              <w:tr2bl w:val="nil"/>
            </w:tcBorders>
            <w:tcMar>
              <w:top w:w="0" w:type="dxa"/>
              <w:left w:w="0" w:type="dxa"/>
              <w:bottom w:w="0" w:type="dxa"/>
              <w:right w:w="0" w:type="dxa"/>
            </w:tcMar>
            <w:vAlign w:val="center"/>
          </w:tcPr>
          <w:p w14:paraId="4F512B16">
            <w:pPr>
              <w:pStyle w:val="58"/>
              <w:ind w:firstLine="440"/>
              <w:rPr>
                <w:color w:val="auto"/>
                <w:highlight w:val="none"/>
              </w:rPr>
            </w:pPr>
            <w:r>
              <w:rPr>
                <w:rFonts w:hint="eastAsia"/>
                <w:color w:val="auto"/>
                <w:highlight w:val="none"/>
              </w:rPr>
              <w:t>由系统提供保证金到账情况</w:t>
            </w:r>
          </w:p>
        </w:tc>
      </w:tr>
      <w:tr w14:paraId="04FEE25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424" w:hRule="atLeast"/>
        </w:trPr>
        <w:tc>
          <w:tcPr>
            <w:tcW w:w="700" w:type="dxa"/>
            <w:tcBorders>
              <w:tl2br w:val="nil"/>
              <w:tr2bl w:val="nil"/>
            </w:tcBorders>
            <w:tcMar>
              <w:top w:w="0" w:type="dxa"/>
              <w:left w:w="0" w:type="dxa"/>
              <w:bottom w:w="0" w:type="dxa"/>
              <w:right w:w="0" w:type="dxa"/>
            </w:tcMar>
            <w:vAlign w:val="center"/>
          </w:tcPr>
          <w:p w14:paraId="3F3AC329">
            <w:pPr>
              <w:pStyle w:val="48"/>
              <w:numPr>
                <w:ilvl w:val="0"/>
                <w:numId w:val="45"/>
              </w:numPr>
              <w:rPr>
                <w:color w:val="auto"/>
                <w:szCs w:val="22"/>
                <w:highlight w:val="none"/>
              </w:rPr>
            </w:pPr>
          </w:p>
        </w:tc>
        <w:tc>
          <w:tcPr>
            <w:tcW w:w="1820" w:type="dxa"/>
            <w:tcBorders>
              <w:tl2br w:val="nil"/>
              <w:tr2bl w:val="nil"/>
            </w:tcBorders>
            <w:tcMar>
              <w:top w:w="0" w:type="dxa"/>
              <w:left w:w="0" w:type="dxa"/>
              <w:bottom w:w="0" w:type="dxa"/>
              <w:right w:w="0" w:type="dxa"/>
            </w:tcMar>
            <w:vAlign w:val="center"/>
          </w:tcPr>
          <w:p w14:paraId="2F2E80F8">
            <w:pPr>
              <w:pStyle w:val="48"/>
              <w:rPr>
                <w:color w:val="auto"/>
                <w:szCs w:val="22"/>
                <w:highlight w:val="none"/>
              </w:rPr>
            </w:pPr>
            <w:r>
              <w:rPr>
                <w:rFonts w:hint="eastAsia"/>
                <w:color w:val="auto"/>
                <w:szCs w:val="22"/>
                <w:highlight w:val="none"/>
              </w:rPr>
              <w:t>其他要求</w:t>
            </w:r>
          </w:p>
        </w:tc>
        <w:tc>
          <w:tcPr>
            <w:tcW w:w="4560" w:type="dxa"/>
            <w:tcBorders>
              <w:tl2br w:val="nil"/>
              <w:tr2bl w:val="nil"/>
            </w:tcBorders>
            <w:tcMar>
              <w:top w:w="0" w:type="dxa"/>
              <w:left w:w="0" w:type="dxa"/>
              <w:bottom w:w="0" w:type="dxa"/>
              <w:right w:w="0" w:type="dxa"/>
            </w:tcMar>
            <w:vAlign w:val="center"/>
          </w:tcPr>
          <w:p w14:paraId="2B3B1E5C">
            <w:pPr>
              <w:pStyle w:val="58"/>
              <w:ind w:firstLine="440"/>
              <w:rPr>
                <w:color w:val="auto"/>
                <w:highlight w:val="none"/>
              </w:rPr>
            </w:pPr>
            <w:r>
              <w:rPr>
                <w:rFonts w:hint="eastAsia"/>
                <w:color w:val="auto"/>
                <w:highlight w:val="none"/>
              </w:rPr>
              <w:t>符合法律、行政法规规定的其他条件或</w:t>
            </w:r>
            <w:r>
              <w:rPr>
                <w:rFonts w:hint="eastAsia"/>
                <w:color w:val="auto"/>
                <w:highlight w:val="none"/>
                <w:lang w:val="en-US" w:eastAsia="zh-CN"/>
              </w:rPr>
              <w:t>谈判</w:t>
            </w:r>
            <w:r>
              <w:rPr>
                <w:rFonts w:hint="eastAsia"/>
                <w:color w:val="auto"/>
                <w:highlight w:val="none"/>
              </w:rPr>
              <w:t>文件列明的其他要求</w:t>
            </w:r>
          </w:p>
        </w:tc>
        <w:tc>
          <w:tcPr>
            <w:tcW w:w="2790" w:type="dxa"/>
            <w:tcBorders>
              <w:tl2br w:val="nil"/>
              <w:tr2bl w:val="nil"/>
            </w:tcBorders>
            <w:tcMar>
              <w:top w:w="0" w:type="dxa"/>
              <w:left w:w="0" w:type="dxa"/>
              <w:bottom w:w="0" w:type="dxa"/>
              <w:right w:w="0" w:type="dxa"/>
            </w:tcMar>
            <w:vAlign w:val="center"/>
          </w:tcPr>
          <w:p w14:paraId="0EAFD44C">
            <w:pPr>
              <w:pStyle w:val="58"/>
              <w:ind w:firstLine="440"/>
              <w:rPr>
                <w:color w:val="auto"/>
                <w:highlight w:val="none"/>
              </w:rPr>
            </w:pPr>
          </w:p>
        </w:tc>
      </w:tr>
    </w:tbl>
    <w:p w14:paraId="2CF4348D">
      <w:pPr>
        <w:rPr>
          <w:color w:val="auto"/>
          <w:highlight w:val="none"/>
        </w:rPr>
      </w:pPr>
      <w:r>
        <w:rPr>
          <w:rFonts w:hint="eastAsia"/>
          <w:color w:val="auto"/>
          <w:highlight w:val="none"/>
        </w:rPr>
        <w:br w:type="page"/>
      </w:r>
    </w:p>
    <w:p w14:paraId="01BFA1C8">
      <w:pPr>
        <w:pStyle w:val="4"/>
        <w:spacing w:before="156"/>
        <w:jc w:val="center"/>
        <w:rPr>
          <w:color w:val="auto"/>
          <w:highlight w:val="none"/>
        </w:rPr>
      </w:pPr>
      <w:bookmarkStart w:id="58" w:name="_Toc25592"/>
      <w:bookmarkStart w:id="59" w:name="_Toc32574"/>
      <w:bookmarkStart w:id="60" w:name="_Toc6409"/>
      <w:bookmarkStart w:id="61" w:name="_Toc31994"/>
      <w:r>
        <w:rPr>
          <w:rFonts w:hint="eastAsia"/>
          <w:color w:val="auto"/>
          <w:highlight w:val="none"/>
          <w:lang w:val="en-US" w:eastAsia="zh-CN"/>
        </w:rPr>
        <w:t xml:space="preserve">   </w:t>
      </w:r>
      <w:r>
        <w:rPr>
          <w:rFonts w:hint="eastAsia"/>
          <w:color w:val="auto"/>
          <w:highlight w:val="none"/>
        </w:rPr>
        <w:t>第二节 符合性审查</w:t>
      </w:r>
      <w:bookmarkEnd w:id="58"/>
      <w:bookmarkEnd w:id="59"/>
      <w:bookmarkEnd w:id="60"/>
      <w:bookmarkEnd w:id="61"/>
    </w:p>
    <w:p w14:paraId="7CB00E79">
      <w:pPr>
        <w:pStyle w:val="19"/>
        <w:ind w:firstLine="480"/>
        <w:rPr>
          <w:color w:val="auto"/>
          <w:highlight w:val="none"/>
        </w:rPr>
      </w:pPr>
      <w:r>
        <w:rPr>
          <w:rFonts w:hint="eastAsia"/>
          <w:color w:val="auto"/>
          <w:highlight w:val="none"/>
        </w:rPr>
        <w:t>2.1</w:t>
      </w:r>
      <w:r>
        <w:rPr>
          <w:rFonts w:hint="eastAsia"/>
          <w:color w:val="auto"/>
          <w:highlight w:val="none"/>
          <w:lang w:val="en-US" w:eastAsia="zh-CN"/>
        </w:rPr>
        <w:t>谈判小组</w:t>
      </w:r>
      <w:r>
        <w:rPr>
          <w:rFonts w:hint="eastAsia"/>
          <w:color w:val="auto"/>
          <w:highlight w:val="none"/>
        </w:rPr>
        <w:t>对通过资格审查的</w:t>
      </w:r>
      <w:r>
        <w:rPr>
          <w:rFonts w:hint="eastAsia"/>
          <w:color w:val="auto"/>
          <w:highlight w:val="none"/>
          <w:lang w:eastAsia="zh-CN"/>
        </w:rPr>
        <w:t>供应商</w:t>
      </w:r>
      <w:r>
        <w:rPr>
          <w:rFonts w:hint="eastAsia"/>
          <w:color w:val="auto"/>
          <w:highlight w:val="none"/>
        </w:rPr>
        <w:t>的响应文件进行符合性审查，以确定其是否满足</w:t>
      </w:r>
      <w:r>
        <w:rPr>
          <w:rFonts w:hint="eastAsia"/>
          <w:color w:val="auto"/>
          <w:highlight w:val="none"/>
          <w:lang w:val="en-US" w:eastAsia="zh-CN"/>
        </w:rPr>
        <w:t>谈判</w:t>
      </w:r>
      <w:r>
        <w:rPr>
          <w:rFonts w:hint="eastAsia"/>
          <w:color w:val="auto"/>
          <w:highlight w:val="none"/>
        </w:rPr>
        <w:t>文件的实质性要求。符合性审查表如下：</w:t>
      </w:r>
    </w:p>
    <w:p w14:paraId="31132FD4">
      <w:pPr>
        <w:pStyle w:val="45"/>
        <w:spacing w:before="156"/>
        <w:ind w:firstLine="0" w:firstLineChars="0"/>
        <w:jc w:val="center"/>
        <w:rPr>
          <w:rFonts w:ascii="方正小标宋_GBK" w:hAnsi="方正小标宋_GBK" w:eastAsia="方正小标宋_GBK" w:cs="方正小标宋_GBK"/>
          <w:color w:val="auto"/>
          <w:sz w:val="30"/>
          <w:szCs w:val="30"/>
          <w:highlight w:val="none"/>
        </w:rPr>
      </w:pPr>
      <w:r>
        <w:rPr>
          <w:rFonts w:hint="eastAsia" w:ascii="方正小标宋_GBK" w:hAnsi="方正小标宋_GBK" w:eastAsia="方正小标宋_GBK" w:cs="方正小标宋_GBK"/>
          <w:color w:val="auto"/>
          <w:sz w:val="30"/>
          <w:szCs w:val="30"/>
          <w:highlight w:val="none"/>
        </w:rPr>
        <w:t>符合性审查表</w:t>
      </w:r>
    </w:p>
    <w:tbl>
      <w:tblPr>
        <w:tblStyle w:val="36"/>
        <w:tblW w:w="9915" w:type="dxa"/>
        <w:tblInd w:w="123"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115"/>
        <w:gridCol w:w="3632"/>
        <w:gridCol w:w="3338"/>
      </w:tblGrid>
      <w:tr w14:paraId="09D58C5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blHeader/>
        </w:trPr>
        <w:tc>
          <w:tcPr>
            <w:tcW w:w="830" w:type="dxa"/>
            <w:tcBorders>
              <w:tl2br w:val="nil"/>
              <w:tr2bl w:val="nil"/>
            </w:tcBorders>
            <w:shd w:val="pct10" w:color="ADB9CA" w:fill="D6DCE5"/>
            <w:vAlign w:val="center"/>
          </w:tcPr>
          <w:p w14:paraId="21A4095D">
            <w:pPr>
              <w:pStyle w:val="44"/>
              <w:rPr>
                <w:color w:val="auto"/>
                <w:highlight w:val="none"/>
              </w:rPr>
            </w:pPr>
            <w:r>
              <w:rPr>
                <w:color w:val="auto"/>
                <w:highlight w:val="none"/>
              </w:rPr>
              <w:t>序号</w:t>
            </w:r>
          </w:p>
        </w:tc>
        <w:tc>
          <w:tcPr>
            <w:tcW w:w="2115" w:type="dxa"/>
            <w:tcBorders>
              <w:tl2br w:val="nil"/>
              <w:tr2bl w:val="nil"/>
            </w:tcBorders>
            <w:shd w:val="pct10" w:color="ADB9CA" w:fill="D6DCE5"/>
            <w:vAlign w:val="center"/>
          </w:tcPr>
          <w:p w14:paraId="02BF1B03">
            <w:pPr>
              <w:pStyle w:val="44"/>
              <w:ind w:left="240"/>
              <w:rPr>
                <w:color w:val="auto"/>
                <w:highlight w:val="none"/>
              </w:rPr>
            </w:pPr>
            <w:r>
              <w:rPr>
                <w:color w:val="auto"/>
                <w:highlight w:val="none"/>
              </w:rPr>
              <w:t>评审指标</w:t>
            </w:r>
          </w:p>
        </w:tc>
        <w:tc>
          <w:tcPr>
            <w:tcW w:w="3632" w:type="dxa"/>
            <w:tcBorders>
              <w:tl2br w:val="nil"/>
              <w:tr2bl w:val="nil"/>
            </w:tcBorders>
            <w:shd w:val="pct10" w:color="ADB9CA" w:fill="D6DCE5"/>
            <w:vAlign w:val="center"/>
          </w:tcPr>
          <w:p w14:paraId="5BCD68C6">
            <w:pPr>
              <w:pStyle w:val="44"/>
              <w:ind w:left="240"/>
              <w:rPr>
                <w:color w:val="auto"/>
                <w:highlight w:val="none"/>
              </w:rPr>
            </w:pPr>
            <w:r>
              <w:rPr>
                <w:color w:val="auto"/>
                <w:highlight w:val="none"/>
              </w:rPr>
              <w:t>评审标准</w:t>
            </w:r>
          </w:p>
        </w:tc>
        <w:tc>
          <w:tcPr>
            <w:tcW w:w="3338" w:type="dxa"/>
            <w:tcBorders>
              <w:tl2br w:val="nil"/>
              <w:tr2bl w:val="nil"/>
            </w:tcBorders>
            <w:shd w:val="pct10" w:color="ADB9CA" w:fill="D6DCE5"/>
            <w:vAlign w:val="center"/>
          </w:tcPr>
          <w:p w14:paraId="636B4DD7">
            <w:pPr>
              <w:pStyle w:val="44"/>
              <w:ind w:left="240"/>
              <w:rPr>
                <w:color w:val="auto"/>
                <w:highlight w:val="none"/>
              </w:rPr>
            </w:pPr>
            <w:r>
              <w:rPr>
                <w:color w:val="auto"/>
                <w:highlight w:val="none"/>
              </w:rPr>
              <w:t>格式及材料要求</w:t>
            </w:r>
          </w:p>
        </w:tc>
      </w:tr>
      <w:tr w14:paraId="44671DD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30" w:type="dxa"/>
            <w:tcBorders>
              <w:tl2br w:val="nil"/>
              <w:tr2bl w:val="nil"/>
            </w:tcBorders>
            <w:vAlign w:val="center"/>
          </w:tcPr>
          <w:p w14:paraId="454615A4">
            <w:pPr>
              <w:pStyle w:val="48"/>
              <w:numPr>
                <w:ilvl w:val="0"/>
                <w:numId w:val="46"/>
              </w:numPr>
              <w:rPr>
                <w:color w:val="auto"/>
                <w:highlight w:val="none"/>
              </w:rPr>
            </w:pPr>
          </w:p>
        </w:tc>
        <w:tc>
          <w:tcPr>
            <w:tcW w:w="2115" w:type="dxa"/>
            <w:tcBorders>
              <w:tl2br w:val="nil"/>
              <w:tr2bl w:val="nil"/>
            </w:tcBorders>
            <w:vAlign w:val="center"/>
          </w:tcPr>
          <w:p w14:paraId="6E486590">
            <w:pPr>
              <w:pStyle w:val="48"/>
              <w:rPr>
                <w:color w:val="auto"/>
                <w:highlight w:val="none"/>
              </w:rPr>
            </w:pPr>
            <w:r>
              <w:rPr>
                <w:rFonts w:hint="eastAsia"/>
                <w:color w:val="auto"/>
                <w:highlight w:val="none"/>
                <w:lang w:val="en-US" w:eastAsia="zh-CN"/>
              </w:rPr>
              <w:t>谈判</w:t>
            </w:r>
            <w:r>
              <w:rPr>
                <w:rFonts w:hint="eastAsia"/>
                <w:color w:val="auto"/>
                <w:highlight w:val="none"/>
              </w:rPr>
              <w:t>响应声明</w:t>
            </w:r>
          </w:p>
        </w:tc>
        <w:tc>
          <w:tcPr>
            <w:tcW w:w="3632" w:type="dxa"/>
            <w:tcBorders>
              <w:tl2br w:val="nil"/>
              <w:tr2bl w:val="nil"/>
            </w:tcBorders>
            <w:vAlign w:val="center"/>
          </w:tcPr>
          <w:p w14:paraId="03E73697">
            <w:pPr>
              <w:pStyle w:val="58"/>
              <w:ind w:firstLine="440"/>
              <w:rPr>
                <w:color w:val="auto"/>
                <w:highlight w:val="none"/>
              </w:rPr>
            </w:pPr>
            <w:r>
              <w:rPr>
                <w:rFonts w:hint="eastAsia"/>
                <w:color w:val="auto"/>
                <w:highlight w:val="none"/>
              </w:rPr>
              <w:t>格式、填写要求符合</w:t>
            </w:r>
            <w:r>
              <w:rPr>
                <w:rFonts w:hint="eastAsia"/>
                <w:color w:val="auto"/>
                <w:highlight w:val="none"/>
                <w:lang w:val="en-US" w:eastAsia="zh-CN"/>
              </w:rPr>
              <w:t>谈判</w:t>
            </w:r>
            <w:r>
              <w:rPr>
                <w:rFonts w:hint="eastAsia"/>
                <w:color w:val="auto"/>
                <w:highlight w:val="none"/>
              </w:rPr>
              <w:t>文件规定并加盖</w:t>
            </w:r>
            <w:r>
              <w:rPr>
                <w:rFonts w:hint="eastAsia"/>
                <w:color w:val="auto"/>
                <w:highlight w:val="none"/>
                <w:lang w:eastAsia="zh-CN"/>
              </w:rPr>
              <w:t>供应商</w:t>
            </w:r>
            <w:r>
              <w:rPr>
                <w:rFonts w:hint="eastAsia"/>
                <w:color w:val="auto"/>
                <w:highlight w:val="none"/>
              </w:rPr>
              <w:t>公章</w:t>
            </w:r>
          </w:p>
        </w:tc>
        <w:tc>
          <w:tcPr>
            <w:tcW w:w="3338" w:type="dxa"/>
            <w:tcBorders>
              <w:tl2br w:val="nil"/>
              <w:tr2bl w:val="nil"/>
            </w:tcBorders>
            <w:vAlign w:val="center"/>
          </w:tcPr>
          <w:p w14:paraId="1380E4E9">
            <w:pPr>
              <w:pStyle w:val="58"/>
              <w:ind w:firstLine="440"/>
              <w:rPr>
                <w:color w:val="auto"/>
                <w:highlight w:val="none"/>
              </w:rPr>
            </w:pPr>
            <w:r>
              <w:rPr>
                <w:rFonts w:hint="eastAsia"/>
                <w:color w:val="auto"/>
                <w:highlight w:val="none"/>
              </w:rPr>
              <w:t>详见第六章响应文件组成格式一</w:t>
            </w:r>
          </w:p>
        </w:tc>
      </w:tr>
      <w:tr w14:paraId="7AB0313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830" w:type="dxa"/>
            <w:tcBorders>
              <w:tl2br w:val="nil"/>
              <w:tr2bl w:val="nil"/>
            </w:tcBorders>
            <w:vAlign w:val="center"/>
          </w:tcPr>
          <w:p w14:paraId="045D5104">
            <w:pPr>
              <w:pStyle w:val="48"/>
              <w:numPr>
                <w:ilvl w:val="0"/>
                <w:numId w:val="46"/>
              </w:numPr>
              <w:rPr>
                <w:color w:val="auto"/>
                <w:highlight w:val="none"/>
              </w:rPr>
            </w:pPr>
          </w:p>
        </w:tc>
        <w:tc>
          <w:tcPr>
            <w:tcW w:w="2115" w:type="dxa"/>
            <w:tcBorders>
              <w:tl2br w:val="nil"/>
              <w:tr2bl w:val="nil"/>
            </w:tcBorders>
            <w:vAlign w:val="center"/>
          </w:tcPr>
          <w:p w14:paraId="337E47F2">
            <w:pPr>
              <w:pStyle w:val="48"/>
              <w:rPr>
                <w:color w:val="auto"/>
                <w:highlight w:val="none"/>
              </w:rPr>
            </w:pPr>
            <w:r>
              <w:rPr>
                <w:rFonts w:hint="eastAsia"/>
                <w:color w:val="auto"/>
                <w:highlight w:val="none"/>
                <w:lang w:val="en-US" w:eastAsia="zh-CN"/>
              </w:rPr>
              <w:t>谈判</w:t>
            </w:r>
            <w:r>
              <w:rPr>
                <w:rFonts w:hint="eastAsia"/>
                <w:color w:val="auto"/>
                <w:highlight w:val="none"/>
              </w:rPr>
              <w:t>响应情况</w:t>
            </w:r>
          </w:p>
        </w:tc>
        <w:tc>
          <w:tcPr>
            <w:tcW w:w="3632" w:type="dxa"/>
            <w:tcBorders>
              <w:tl2br w:val="nil"/>
              <w:tr2bl w:val="nil"/>
            </w:tcBorders>
            <w:vAlign w:val="center"/>
          </w:tcPr>
          <w:p w14:paraId="10D9D14C">
            <w:pPr>
              <w:pStyle w:val="58"/>
              <w:ind w:firstLine="440"/>
              <w:rPr>
                <w:rFonts w:hint="default" w:eastAsia="微软雅黑"/>
                <w:color w:val="auto"/>
                <w:highlight w:val="none"/>
                <w:lang w:val="en-US" w:eastAsia="zh-CN"/>
              </w:rPr>
            </w:pPr>
            <w:r>
              <w:rPr>
                <w:rFonts w:hint="eastAsia"/>
                <w:color w:val="auto"/>
                <w:highlight w:val="none"/>
              </w:rPr>
              <w:t>符合</w:t>
            </w:r>
            <w:r>
              <w:rPr>
                <w:rFonts w:hint="eastAsia"/>
                <w:color w:val="auto"/>
                <w:highlight w:val="none"/>
                <w:lang w:val="en-US" w:eastAsia="zh-CN"/>
              </w:rPr>
              <w:t>谈判</w:t>
            </w:r>
            <w:r>
              <w:rPr>
                <w:rFonts w:hint="eastAsia"/>
                <w:color w:val="auto"/>
                <w:highlight w:val="none"/>
              </w:rPr>
              <w:t>文件项目需求中的要求</w:t>
            </w:r>
          </w:p>
        </w:tc>
        <w:tc>
          <w:tcPr>
            <w:tcW w:w="3338" w:type="dxa"/>
            <w:tcBorders>
              <w:tl2br w:val="nil"/>
              <w:tr2bl w:val="nil"/>
            </w:tcBorders>
            <w:vAlign w:val="center"/>
          </w:tcPr>
          <w:p w14:paraId="61A68536">
            <w:pPr>
              <w:pStyle w:val="58"/>
              <w:ind w:firstLine="440"/>
              <w:rPr>
                <w:color w:val="auto"/>
                <w:highlight w:val="none"/>
              </w:rPr>
            </w:pPr>
            <w:r>
              <w:rPr>
                <w:rFonts w:hint="eastAsia"/>
                <w:color w:val="auto"/>
                <w:highlight w:val="none"/>
              </w:rPr>
              <w:t>详见第六章响应文件组成格式四</w:t>
            </w:r>
          </w:p>
        </w:tc>
      </w:tr>
      <w:tr w14:paraId="6187EA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830" w:type="dxa"/>
            <w:tcBorders>
              <w:tl2br w:val="nil"/>
              <w:tr2bl w:val="nil"/>
            </w:tcBorders>
            <w:vAlign w:val="center"/>
          </w:tcPr>
          <w:p w14:paraId="66B19C3D">
            <w:pPr>
              <w:pStyle w:val="48"/>
              <w:numPr>
                <w:ilvl w:val="0"/>
                <w:numId w:val="46"/>
              </w:numPr>
              <w:rPr>
                <w:color w:val="auto"/>
                <w:highlight w:val="none"/>
              </w:rPr>
            </w:pPr>
          </w:p>
        </w:tc>
        <w:tc>
          <w:tcPr>
            <w:tcW w:w="2115" w:type="dxa"/>
            <w:tcBorders>
              <w:tl2br w:val="nil"/>
              <w:tr2bl w:val="nil"/>
            </w:tcBorders>
            <w:vAlign w:val="center"/>
          </w:tcPr>
          <w:p w14:paraId="43F4A0AF">
            <w:pPr>
              <w:pStyle w:val="48"/>
              <w:rPr>
                <w:color w:val="auto"/>
                <w:highlight w:val="none"/>
              </w:rPr>
            </w:pPr>
            <w:r>
              <w:rPr>
                <w:rFonts w:hint="eastAsia"/>
                <w:color w:val="auto"/>
                <w:highlight w:val="none"/>
                <w:lang w:val="en-US" w:eastAsia="zh-CN"/>
              </w:rPr>
              <w:t>人员配置和管理方案</w:t>
            </w:r>
          </w:p>
        </w:tc>
        <w:tc>
          <w:tcPr>
            <w:tcW w:w="3632" w:type="dxa"/>
            <w:tcBorders>
              <w:tl2br w:val="nil"/>
              <w:tr2bl w:val="nil"/>
            </w:tcBorders>
            <w:vAlign w:val="center"/>
          </w:tcPr>
          <w:p w14:paraId="34CB48A3">
            <w:pPr>
              <w:pStyle w:val="58"/>
              <w:ind w:firstLine="440"/>
              <w:rPr>
                <w:color w:val="auto"/>
                <w:highlight w:val="none"/>
              </w:rPr>
            </w:pPr>
            <w:r>
              <w:rPr>
                <w:rFonts w:hint="eastAsia"/>
                <w:color w:val="auto"/>
                <w:highlight w:val="none"/>
              </w:rPr>
              <w:t>符合</w:t>
            </w:r>
            <w:r>
              <w:rPr>
                <w:rFonts w:hint="eastAsia"/>
                <w:color w:val="auto"/>
                <w:highlight w:val="none"/>
                <w:lang w:val="en-US" w:eastAsia="zh-CN"/>
              </w:rPr>
              <w:t>谈判</w:t>
            </w:r>
            <w:r>
              <w:rPr>
                <w:rFonts w:hint="eastAsia"/>
                <w:color w:val="auto"/>
                <w:highlight w:val="none"/>
              </w:rPr>
              <w:t>文件项目需求中的要求</w:t>
            </w:r>
          </w:p>
        </w:tc>
        <w:tc>
          <w:tcPr>
            <w:tcW w:w="3338" w:type="dxa"/>
            <w:tcBorders>
              <w:tl2br w:val="nil"/>
              <w:tr2bl w:val="nil"/>
            </w:tcBorders>
            <w:vAlign w:val="center"/>
          </w:tcPr>
          <w:p w14:paraId="085BBA9F">
            <w:pPr>
              <w:pStyle w:val="58"/>
              <w:ind w:firstLine="440"/>
              <w:rPr>
                <w:color w:val="auto"/>
                <w:highlight w:val="none"/>
              </w:rPr>
            </w:pPr>
            <w:r>
              <w:rPr>
                <w:rFonts w:hint="eastAsia"/>
                <w:color w:val="auto"/>
                <w:highlight w:val="none"/>
              </w:rPr>
              <w:t>详见第六章响应文件组成格式五</w:t>
            </w:r>
          </w:p>
        </w:tc>
      </w:tr>
      <w:tr w14:paraId="2CF7A2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830" w:type="dxa"/>
            <w:tcBorders>
              <w:tl2br w:val="nil"/>
              <w:tr2bl w:val="nil"/>
            </w:tcBorders>
            <w:vAlign w:val="center"/>
          </w:tcPr>
          <w:p w14:paraId="60976F98">
            <w:pPr>
              <w:pStyle w:val="48"/>
              <w:numPr>
                <w:ilvl w:val="0"/>
                <w:numId w:val="46"/>
              </w:numPr>
              <w:rPr>
                <w:color w:val="auto"/>
                <w:highlight w:val="none"/>
              </w:rPr>
            </w:pPr>
          </w:p>
        </w:tc>
        <w:tc>
          <w:tcPr>
            <w:tcW w:w="2115" w:type="dxa"/>
            <w:tcBorders>
              <w:tl2br w:val="nil"/>
              <w:tr2bl w:val="nil"/>
            </w:tcBorders>
            <w:shd w:val="clear" w:color="auto" w:fill="auto"/>
            <w:vAlign w:val="center"/>
          </w:tcPr>
          <w:p w14:paraId="04597927">
            <w:pPr>
              <w:pStyle w:val="48"/>
              <w:rPr>
                <w:rFonts w:hint="eastAsia" w:ascii="Times New Roman" w:hAnsi="Times New Roman" w:eastAsia="微软雅黑" w:cs="Times New Roman"/>
                <w:b/>
                <w:color w:val="auto"/>
                <w:kern w:val="2"/>
                <w:sz w:val="22"/>
                <w:szCs w:val="24"/>
                <w:highlight w:val="none"/>
                <w:lang w:val="en-US" w:eastAsia="zh-CN" w:bidi="ar-SA"/>
              </w:rPr>
            </w:pPr>
            <w:r>
              <w:rPr>
                <w:rFonts w:hint="eastAsia" w:ascii="Times New Roman" w:hAnsi="Times New Roman" w:eastAsia="微软雅黑" w:cs="Times New Roman"/>
                <w:b/>
                <w:color w:val="auto"/>
                <w:kern w:val="2"/>
                <w:sz w:val="22"/>
                <w:szCs w:val="24"/>
                <w:highlight w:val="none"/>
                <w:lang w:val="en-US" w:eastAsia="zh-CN" w:bidi="ar-SA"/>
              </w:rPr>
              <w:t>服务承诺及落实措施</w:t>
            </w:r>
          </w:p>
        </w:tc>
        <w:tc>
          <w:tcPr>
            <w:tcW w:w="3632" w:type="dxa"/>
            <w:tcBorders>
              <w:tl2br w:val="nil"/>
              <w:tr2bl w:val="nil"/>
            </w:tcBorders>
            <w:shd w:val="clear" w:color="auto" w:fill="auto"/>
            <w:vAlign w:val="center"/>
          </w:tcPr>
          <w:p w14:paraId="43A5F698">
            <w:pPr>
              <w:pStyle w:val="58"/>
              <w:ind w:firstLine="440" w:firstLineChars="200"/>
              <w:rPr>
                <w:rFonts w:hint="eastAsia" w:ascii="宋体" w:hAnsi="宋体" w:eastAsia="微软雅黑" w:cs="宋体"/>
                <w:color w:val="auto"/>
                <w:kern w:val="2"/>
                <w:sz w:val="22"/>
                <w:szCs w:val="24"/>
                <w:highlight w:val="none"/>
                <w:lang w:val="en-US" w:eastAsia="zh-CN" w:bidi="ar-SA"/>
              </w:rPr>
            </w:pPr>
            <w:r>
              <w:rPr>
                <w:rFonts w:hint="eastAsia"/>
                <w:color w:val="auto"/>
                <w:highlight w:val="none"/>
              </w:rPr>
              <w:t>符合</w:t>
            </w:r>
            <w:r>
              <w:rPr>
                <w:rFonts w:hint="eastAsia"/>
                <w:color w:val="auto"/>
                <w:highlight w:val="none"/>
                <w:lang w:val="en-US" w:eastAsia="zh-CN"/>
              </w:rPr>
              <w:t>谈判</w:t>
            </w:r>
            <w:r>
              <w:rPr>
                <w:rFonts w:hint="eastAsia"/>
                <w:color w:val="auto"/>
                <w:highlight w:val="none"/>
              </w:rPr>
              <w:t>文件的要求</w:t>
            </w:r>
          </w:p>
        </w:tc>
        <w:tc>
          <w:tcPr>
            <w:tcW w:w="3338" w:type="dxa"/>
            <w:tcBorders>
              <w:tl2br w:val="nil"/>
              <w:tr2bl w:val="nil"/>
            </w:tcBorders>
            <w:shd w:val="clear" w:color="auto" w:fill="auto"/>
            <w:vAlign w:val="center"/>
          </w:tcPr>
          <w:p w14:paraId="51C9C408">
            <w:pPr>
              <w:pStyle w:val="58"/>
              <w:ind w:firstLine="440" w:firstLineChars="200"/>
              <w:rPr>
                <w:rFonts w:hint="eastAsia" w:ascii="宋体" w:hAnsi="宋体" w:eastAsia="微软雅黑" w:cs="宋体"/>
                <w:color w:val="auto"/>
                <w:kern w:val="2"/>
                <w:sz w:val="22"/>
                <w:szCs w:val="24"/>
                <w:highlight w:val="none"/>
                <w:lang w:val="en-US" w:eastAsia="zh-CN" w:bidi="ar-SA"/>
              </w:rPr>
            </w:pPr>
            <w:r>
              <w:rPr>
                <w:rFonts w:hint="eastAsia"/>
                <w:color w:val="auto"/>
                <w:highlight w:val="none"/>
              </w:rPr>
              <w:t>详见第六章响应文件组成格式</w:t>
            </w:r>
            <w:r>
              <w:rPr>
                <w:rFonts w:hint="eastAsia"/>
                <w:color w:val="auto"/>
                <w:highlight w:val="none"/>
                <w:lang w:val="en-US" w:eastAsia="zh-CN"/>
              </w:rPr>
              <w:t>六</w:t>
            </w:r>
          </w:p>
        </w:tc>
      </w:tr>
      <w:tr w14:paraId="39EF242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830" w:type="dxa"/>
            <w:tcBorders>
              <w:tl2br w:val="nil"/>
              <w:tr2bl w:val="nil"/>
            </w:tcBorders>
            <w:vAlign w:val="center"/>
          </w:tcPr>
          <w:p w14:paraId="440167D5">
            <w:pPr>
              <w:pStyle w:val="48"/>
              <w:numPr>
                <w:ilvl w:val="0"/>
                <w:numId w:val="46"/>
              </w:numPr>
              <w:rPr>
                <w:color w:val="auto"/>
                <w:highlight w:val="none"/>
              </w:rPr>
            </w:pPr>
          </w:p>
        </w:tc>
        <w:tc>
          <w:tcPr>
            <w:tcW w:w="2115" w:type="dxa"/>
            <w:tcBorders>
              <w:tl2br w:val="nil"/>
              <w:tr2bl w:val="nil"/>
            </w:tcBorders>
            <w:shd w:val="clear" w:color="auto" w:fill="auto"/>
            <w:vAlign w:val="center"/>
          </w:tcPr>
          <w:p w14:paraId="1D56B520">
            <w:pPr>
              <w:pStyle w:val="48"/>
              <w:rPr>
                <w:rFonts w:hint="eastAsia"/>
                <w:color w:val="auto"/>
                <w:highlight w:val="none"/>
                <w:lang w:val="en-US" w:eastAsia="zh-CN"/>
              </w:rPr>
            </w:pPr>
            <w:r>
              <w:rPr>
                <w:rFonts w:hint="eastAsia"/>
                <w:color w:val="auto"/>
                <w:highlight w:val="none"/>
                <w:lang w:val="en-US" w:eastAsia="zh-CN"/>
              </w:rPr>
              <w:t>谈判</w:t>
            </w:r>
            <w:r>
              <w:rPr>
                <w:rFonts w:hint="eastAsia"/>
                <w:color w:val="auto"/>
                <w:highlight w:val="none"/>
              </w:rPr>
              <w:t>承诺</w:t>
            </w:r>
            <w:r>
              <w:rPr>
                <w:rFonts w:hint="eastAsia"/>
                <w:color w:val="auto"/>
                <w:highlight w:val="none"/>
                <w:lang w:eastAsia="zh-CN"/>
              </w:rPr>
              <w:t>书</w:t>
            </w:r>
          </w:p>
        </w:tc>
        <w:tc>
          <w:tcPr>
            <w:tcW w:w="3632" w:type="dxa"/>
            <w:tcBorders>
              <w:tl2br w:val="nil"/>
              <w:tr2bl w:val="nil"/>
            </w:tcBorders>
            <w:shd w:val="clear" w:color="auto" w:fill="auto"/>
            <w:vAlign w:val="center"/>
          </w:tcPr>
          <w:p w14:paraId="58CE5AE0">
            <w:pPr>
              <w:pStyle w:val="58"/>
              <w:ind w:firstLine="440" w:firstLineChars="200"/>
              <w:rPr>
                <w:rFonts w:hint="eastAsia" w:ascii="宋体" w:hAnsi="宋体" w:eastAsia="微软雅黑" w:cs="宋体"/>
                <w:color w:val="auto"/>
                <w:kern w:val="2"/>
                <w:sz w:val="22"/>
                <w:szCs w:val="24"/>
                <w:highlight w:val="none"/>
                <w:lang w:val="en-US" w:eastAsia="zh-CN" w:bidi="ar-SA"/>
              </w:rPr>
            </w:pPr>
            <w:r>
              <w:rPr>
                <w:rFonts w:hint="eastAsia"/>
                <w:color w:val="auto"/>
                <w:highlight w:val="none"/>
              </w:rPr>
              <w:t>符合</w:t>
            </w:r>
            <w:r>
              <w:rPr>
                <w:rFonts w:hint="eastAsia"/>
                <w:color w:val="auto"/>
                <w:highlight w:val="none"/>
                <w:lang w:val="en-US" w:eastAsia="zh-CN"/>
              </w:rPr>
              <w:t>谈判</w:t>
            </w:r>
            <w:r>
              <w:rPr>
                <w:rFonts w:hint="eastAsia"/>
                <w:color w:val="auto"/>
                <w:highlight w:val="none"/>
              </w:rPr>
              <w:t>文件的要求</w:t>
            </w:r>
          </w:p>
        </w:tc>
        <w:tc>
          <w:tcPr>
            <w:tcW w:w="3338" w:type="dxa"/>
            <w:tcBorders>
              <w:tl2br w:val="nil"/>
              <w:tr2bl w:val="nil"/>
            </w:tcBorders>
            <w:shd w:val="clear" w:color="auto" w:fill="auto"/>
            <w:vAlign w:val="center"/>
          </w:tcPr>
          <w:p w14:paraId="78BD2621">
            <w:pPr>
              <w:pStyle w:val="58"/>
              <w:ind w:firstLine="440" w:firstLineChars="200"/>
              <w:rPr>
                <w:rFonts w:hint="eastAsia" w:ascii="宋体" w:hAnsi="宋体" w:eastAsia="微软雅黑" w:cs="宋体"/>
                <w:color w:val="auto"/>
                <w:kern w:val="2"/>
                <w:sz w:val="22"/>
                <w:szCs w:val="24"/>
                <w:highlight w:val="none"/>
                <w:lang w:val="en-US" w:eastAsia="zh-CN" w:bidi="ar-SA"/>
              </w:rPr>
            </w:pPr>
            <w:r>
              <w:rPr>
                <w:rFonts w:hint="eastAsia"/>
                <w:color w:val="auto"/>
                <w:highlight w:val="none"/>
              </w:rPr>
              <w:t>详见第六章响应文件组成格式</w:t>
            </w:r>
            <w:r>
              <w:rPr>
                <w:rFonts w:hint="eastAsia"/>
                <w:color w:val="auto"/>
                <w:highlight w:val="none"/>
                <w:lang w:val="en-US" w:eastAsia="zh-CN"/>
              </w:rPr>
              <w:t>七</w:t>
            </w:r>
          </w:p>
        </w:tc>
      </w:tr>
      <w:tr w14:paraId="153B8D8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830" w:type="dxa"/>
            <w:tcBorders>
              <w:tl2br w:val="nil"/>
              <w:tr2bl w:val="nil"/>
            </w:tcBorders>
            <w:vAlign w:val="center"/>
          </w:tcPr>
          <w:p w14:paraId="7622D87C">
            <w:pPr>
              <w:pStyle w:val="48"/>
              <w:numPr>
                <w:ilvl w:val="0"/>
                <w:numId w:val="46"/>
              </w:numPr>
              <w:rPr>
                <w:color w:val="auto"/>
                <w:highlight w:val="none"/>
              </w:rPr>
            </w:pPr>
          </w:p>
        </w:tc>
        <w:tc>
          <w:tcPr>
            <w:tcW w:w="2115" w:type="dxa"/>
            <w:tcBorders>
              <w:tl2br w:val="nil"/>
              <w:tr2bl w:val="nil"/>
            </w:tcBorders>
            <w:vAlign w:val="center"/>
          </w:tcPr>
          <w:p w14:paraId="5B5676A3">
            <w:pPr>
              <w:pStyle w:val="48"/>
              <w:jc w:val="center"/>
              <w:rPr>
                <w:rFonts w:hint="eastAsia"/>
                <w:color w:val="auto"/>
                <w:highlight w:val="none"/>
                <w:lang w:val="en-US" w:eastAsia="zh-CN"/>
              </w:rPr>
            </w:pPr>
            <w:r>
              <w:rPr>
                <w:rFonts w:hint="eastAsia"/>
                <w:color w:val="auto"/>
                <w:szCs w:val="22"/>
                <w:highlight w:val="none"/>
                <w:lang w:val="en-US" w:eastAsia="zh-CN"/>
              </w:rPr>
              <w:t>送达方式确认函</w:t>
            </w:r>
          </w:p>
        </w:tc>
        <w:tc>
          <w:tcPr>
            <w:tcW w:w="3632" w:type="dxa"/>
            <w:tcBorders>
              <w:tl2br w:val="nil"/>
              <w:tr2bl w:val="nil"/>
            </w:tcBorders>
            <w:vAlign w:val="center"/>
          </w:tcPr>
          <w:p w14:paraId="3DB9DD2D">
            <w:pPr>
              <w:pStyle w:val="58"/>
              <w:ind w:firstLine="440"/>
              <w:rPr>
                <w:rFonts w:hint="eastAsia"/>
                <w:color w:val="auto"/>
                <w:highlight w:val="none"/>
              </w:rPr>
            </w:pPr>
            <w:r>
              <w:rPr>
                <w:rFonts w:hint="eastAsia"/>
                <w:color w:val="auto"/>
                <w:highlight w:val="none"/>
              </w:rPr>
              <w:t>符合</w:t>
            </w:r>
            <w:r>
              <w:rPr>
                <w:rFonts w:hint="eastAsia"/>
                <w:color w:val="auto"/>
                <w:highlight w:val="none"/>
                <w:lang w:val="en-US" w:eastAsia="zh-CN"/>
              </w:rPr>
              <w:t>谈判</w:t>
            </w:r>
            <w:r>
              <w:rPr>
                <w:rFonts w:hint="eastAsia"/>
                <w:color w:val="auto"/>
                <w:highlight w:val="none"/>
              </w:rPr>
              <w:t>文件的要求</w:t>
            </w:r>
          </w:p>
        </w:tc>
        <w:tc>
          <w:tcPr>
            <w:tcW w:w="3338" w:type="dxa"/>
            <w:tcBorders>
              <w:tl2br w:val="nil"/>
              <w:tr2bl w:val="nil"/>
            </w:tcBorders>
            <w:vAlign w:val="center"/>
          </w:tcPr>
          <w:p w14:paraId="3D6CA997">
            <w:pPr>
              <w:pStyle w:val="58"/>
              <w:ind w:firstLine="440"/>
              <w:rPr>
                <w:rFonts w:hint="eastAsia" w:eastAsia="微软雅黑"/>
                <w:color w:val="auto"/>
                <w:highlight w:val="none"/>
                <w:lang w:val="en-US" w:eastAsia="zh-CN"/>
              </w:rPr>
            </w:pPr>
            <w:r>
              <w:rPr>
                <w:rFonts w:hint="eastAsia"/>
                <w:color w:val="auto"/>
                <w:highlight w:val="none"/>
              </w:rPr>
              <w:t>详见第六章响应文件组成格式</w:t>
            </w:r>
            <w:r>
              <w:rPr>
                <w:rFonts w:hint="eastAsia"/>
                <w:color w:val="auto"/>
                <w:highlight w:val="none"/>
                <w:lang w:val="en-US" w:eastAsia="zh-CN"/>
              </w:rPr>
              <w:t>十一</w:t>
            </w:r>
          </w:p>
        </w:tc>
      </w:tr>
      <w:tr w14:paraId="22325D4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830" w:type="dxa"/>
            <w:tcBorders>
              <w:tl2br w:val="nil"/>
              <w:tr2bl w:val="nil"/>
            </w:tcBorders>
            <w:vAlign w:val="center"/>
          </w:tcPr>
          <w:p w14:paraId="784E6299">
            <w:pPr>
              <w:pStyle w:val="48"/>
              <w:numPr>
                <w:ilvl w:val="0"/>
                <w:numId w:val="46"/>
              </w:numPr>
              <w:rPr>
                <w:color w:val="auto"/>
                <w:highlight w:val="none"/>
              </w:rPr>
            </w:pPr>
          </w:p>
        </w:tc>
        <w:tc>
          <w:tcPr>
            <w:tcW w:w="2115" w:type="dxa"/>
            <w:tcBorders>
              <w:tl2br w:val="nil"/>
              <w:tr2bl w:val="nil"/>
            </w:tcBorders>
            <w:vAlign w:val="center"/>
          </w:tcPr>
          <w:p w14:paraId="6A0D5076">
            <w:pPr>
              <w:pStyle w:val="48"/>
              <w:jc w:val="center"/>
              <w:rPr>
                <w:rFonts w:hint="eastAsia"/>
                <w:color w:val="auto"/>
                <w:szCs w:val="22"/>
                <w:highlight w:val="none"/>
                <w:lang w:val="en-US" w:eastAsia="zh-CN"/>
              </w:rPr>
            </w:pPr>
            <w:r>
              <w:rPr>
                <w:rFonts w:hint="eastAsia"/>
                <w:color w:val="auto"/>
                <w:highlight w:val="none"/>
                <w:lang w:val="en-US" w:eastAsia="zh-CN"/>
              </w:rPr>
              <w:t>中小企业声明函</w:t>
            </w:r>
          </w:p>
        </w:tc>
        <w:tc>
          <w:tcPr>
            <w:tcW w:w="3632" w:type="dxa"/>
            <w:tcBorders>
              <w:tl2br w:val="nil"/>
              <w:tr2bl w:val="nil"/>
            </w:tcBorders>
            <w:vAlign w:val="center"/>
          </w:tcPr>
          <w:p w14:paraId="06A17E5E">
            <w:pPr>
              <w:pStyle w:val="58"/>
              <w:ind w:firstLine="440"/>
              <w:rPr>
                <w:rFonts w:hint="eastAsia"/>
                <w:color w:val="auto"/>
                <w:highlight w:val="none"/>
              </w:rPr>
            </w:pPr>
            <w:r>
              <w:rPr>
                <w:rFonts w:hint="eastAsia"/>
                <w:color w:val="auto"/>
                <w:highlight w:val="none"/>
              </w:rPr>
              <w:t>符合</w:t>
            </w:r>
            <w:r>
              <w:rPr>
                <w:rFonts w:hint="eastAsia"/>
                <w:color w:val="auto"/>
                <w:highlight w:val="none"/>
                <w:lang w:val="en-US" w:eastAsia="zh-CN"/>
              </w:rPr>
              <w:t>谈判</w:t>
            </w:r>
            <w:r>
              <w:rPr>
                <w:rFonts w:hint="eastAsia"/>
                <w:color w:val="auto"/>
                <w:highlight w:val="none"/>
              </w:rPr>
              <w:t>文件的要求</w:t>
            </w:r>
          </w:p>
        </w:tc>
        <w:tc>
          <w:tcPr>
            <w:tcW w:w="3338" w:type="dxa"/>
            <w:tcBorders>
              <w:tl2br w:val="nil"/>
              <w:tr2bl w:val="nil"/>
            </w:tcBorders>
            <w:vAlign w:val="center"/>
          </w:tcPr>
          <w:p w14:paraId="65689B74">
            <w:pPr>
              <w:pStyle w:val="58"/>
              <w:ind w:firstLine="440"/>
              <w:rPr>
                <w:rFonts w:hint="eastAsia" w:eastAsia="微软雅黑"/>
                <w:color w:val="auto"/>
                <w:highlight w:val="none"/>
                <w:lang w:val="en-US" w:eastAsia="zh-CN"/>
              </w:rPr>
            </w:pPr>
            <w:r>
              <w:rPr>
                <w:rFonts w:hint="eastAsia"/>
                <w:color w:val="auto"/>
                <w:highlight w:val="none"/>
              </w:rPr>
              <w:t>详见第六章响应文件组成格式</w:t>
            </w:r>
            <w:r>
              <w:rPr>
                <w:rFonts w:hint="eastAsia"/>
                <w:color w:val="auto"/>
                <w:highlight w:val="none"/>
                <w:lang w:val="en-US" w:eastAsia="zh-CN"/>
              </w:rPr>
              <w:t>十二</w:t>
            </w:r>
          </w:p>
        </w:tc>
      </w:tr>
      <w:tr w14:paraId="20B5C51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830" w:type="dxa"/>
            <w:tcBorders>
              <w:tl2br w:val="nil"/>
              <w:tr2bl w:val="nil"/>
            </w:tcBorders>
            <w:vAlign w:val="center"/>
          </w:tcPr>
          <w:p w14:paraId="1FC078A8">
            <w:pPr>
              <w:pStyle w:val="48"/>
              <w:numPr>
                <w:ilvl w:val="0"/>
                <w:numId w:val="46"/>
              </w:numPr>
              <w:rPr>
                <w:color w:val="auto"/>
                <w:highlight w:val="none"/>
              </w:rPr>
            </w:pPr>
          </w:p>
        </w:tc>
        <w:tc>
          <w:tcPr>
            <w:tcW w:w="2115" w:type="dxa"/>
            <w:tcBorders>
              <w:tl2br w:val="nil"/>
              <w:tr2bl w:val="nil"/>
            </w:tcBorders>
            <w:vAlign w:val="center"/>
          </w:tcPr>
          <w:p w14:paraId="7E543BEC">
            <w:pPr>
              <w:pStyle w:val="48"/>
              <w:rPr>
                <w:color w:val="auto"/>
                <w:highlight w:val="none"/>
              </w:rPr>
            </w:pPr>
            <w:r>
              <w:rPr>
                <w:rFonts w:hint="eastAsia"/>
                <w:color w:val="auto"/>
                <w:highlight w:val="none"/>
              </w:rPr>
              <w:t>其他要求</w:t>
            </w:r>
          </w:p>
        </w:tc>
        <w:tc>
          <w:tcPr>
            <w:tcW w:w="3632" w:type="dxa"/>
            <w:tcBorders>
              <w:tl2br w:val="nil"/>
              <w:tr2bl w:val="nil"/>
            </w:tcBorders>
            <w:vAlign w:val="center"/>
          </w:tcPr>
          <w:p w14:paraId="3E0180D1">
            <w:pPr>
              <w:pStyle w:val="58"/>
              <w:ind w:firstLine="440"/>
              <w:rPr>
                <w:color w:val="auto"/>
                <w:highlight w:val="none"/>
              </w:rPr>
            </w:pPr>
            <w:r>
              <w:rPr>
                <w:rFonts w:hint="eastAsia"/>
                <w:color w:val="auto"/>
                <w:highlight w:val="none"/>
              </w:rPr>
              <w:t>符合法律、行政法规规定的其他条件或</w:t>
            </w:r>
            <w:r>
              <w:rPr>
                <w:rFonts w:hint="eastAsia"/>
                <w:color w:val="auto"/>
                <w:highlight w:val="none"/>
                <w:lang w:val="en-US" w:eastAsia="zh-CN"/>
              </w:rPr>
              <w:t>谈判</w:t>
            </w:r>
            <w:r>
              <w:rPr>
                <w:rFonts w:hint="eastAsia"/>
                <w:color w:val="auto"/>
                <w:highlight w:val="none"/>
              </w:rPr>
              <w:t>文件列明的其他要求</w:t>
            </w:r>
          </w:p>
        </w:tc>
        <w:tc>
          <w:tcPr>
            <w:tcW w:w="3338" w:type="dxa"/>
            <w:tcBorders>
              <w:tl2br w:val="nil"/>
              <w:tr2bl w:val="nil"/>
            </w:tcBorders>
            <w:vAlign w:val="center"/>
          </w:tcPr>
          <w:p w14:paraId="23E705A1">
            <w:pPr>
              <w:pStyle w:val="58"/>
              <w:ind w:firstLine="440"/>
              <w:rPr>
                <w:color w:val="auto"/>
                <w:highlight w:val="none"/>
              </w:rPr>
            </w:pPr>
          </w:p>
        </w:tc>
      </w:tr>
    </w:tbl>
    <w:p w14:paraId="63D9926C">
      <w:pPr>
        <w:pStyle w:val="45"/>
        <w:spacing w:before="156"/>
        <w:ind w:firstLine="482"/>
        <w:rPr>
          <w:rFonts w:hint="eastAsia"/>
          <w:color w:val="auto"/>
          <w:highlight w:val="none"/>
        </w:rPr>
      </w:pPr>
      <w:r>
        <w:rPr>
          <w:rFonts w:hint="eastAsia"/>
          <w:b/>
          <w:bCs/>
          <w:color w:val="auto"/>
          <w:highlight w:val="none"/>
        </w:rPr>
        <w:t>符合性审查指标通过标准：</w:t>
      </w:r>
      <w:r>
        <w:rPr>
          <w:rFonts w:hint="eastAsia"/>
          <w:color w:val="auto"/>
          <w:highlight w:val="none"/>
          <w:lang w:eastAsia="zh-CN"/>
        </w:rPr>
        <w:t>供应商</w:t>
      </w:r>
      <w:r>
        <w:rPr>
          <w:rFonts w:hint="eastAsia"/>
          <w:color w:val="auto"/>
          <w:highlight w:val="none"/>
        </w:rPr>
        <w:t>必须通过符合性审查表中的全部评审指标。</w:t>
      </w:r>
    </w:p>
    <w:p w14:paraId="3B7EF11F">
      <w:pPr>
        <w:rPr>
          <w:rFonts w:hint="eastAsia"/>
          <w:color w:val="auto"/>
          <w:highlight w:val="none"/>
        </w:rPr>
      </w:pPr>
      <w:r>
        <w:rPr>
          <w:rFonts w:hint="eastAsia"/>
          <w:color w:val="auto"/>
          <w:highlight w:val="none"/>
        </w:rPr>
        <w:br w:type="page"/>
      </w:r>
    </w:p>
    <w:p w14:paraId="30E354FF">
      <w:pPr>
        <w:pStyle w:val="4"/>
        <w:spacing w:before="156"/>
        <w:jc w:val="center"/>
        <w:rPr>
          <w:rFonts w:hint="eastAsia"/>
          <w:color w:val="auto"/>
          <w:highlight w:val="none"/>
          <w:lang w:val="en-US" w:eastAsia="zh-CN"/>
        </w:rPr>
      </w:pPr>
      <w:bookmarkStart w:id="62" w:name="_Toc3262"/>
      <w:r>
        <w:rPr>
          <w:rFonts w:hint="eastAsia"/>
          <w:color w:val="auto"/>
          <w:highlight w:val="none"/>
        </w:rPr>
        <w:t>第</w:t>
      </w:r>
      <w:r>
        <w:rPr>
          <w:rFonts w:hint="eastAsia"/>
          <w:color w:val="auto"/>
          <w:highlight w:val="none"/>
          <w:lang w:val="en-US" w:eastAsia="zh-CN"/>
        </w:rPr>
        <w:t>三</w:t>
      </w:r>
      <w:r>
        <w:rPr>
          <w:rFonts w:hint="eastAsia"/>
          <w:color w:val="auto"/>
          <w:highlight w:val="none"/>
        </w:rPr>
        <w:t xml:space="preserve">节 </w:t>
      </w:r>
      <w:r>
        <w:rPr>
          <w:rFonts w:hint="eastAsia"/>
          <w:color w:val="auto"/>
          <w:highlight w:val="none"/>
          <w:lang w:val="en-US" w:eastAsia="zh-CN"/>
        </w:rPr>
        <w:t>报价</w:t>
      </w:r>
      <w:bookmarkEnd w:id="62"/>
    </w:p>
    <w:p w14:paraId="5B954748">
      <w:pPr>
        <w:pStyle w:val="45"/>
        <w:numPr>
          <w:ilvl w:val="0"/>
          <w:numId w:val="47"/>
        </w:numPr>
        <w:spacing w:before="156"/>
        <w:ind w:left="-62" w:leftChars="0" w:firstLine="482" w:firstLineChars="0"/>
        <w:textAlignment w:val="baseline"/>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本项目报价采用（减价）多轮报价方式，设置保留价（底价），根据报价情况，将不高于保留价的供应商按照报价由低到高的顺序推荐3名</w:t>
      </w:r>
      <w:r>
        <w:rPr>
          <w:rFonts w:hint="eastAsia" w:cs="Times New Roman"/>
          <w:b/>
          <w:bCs/>
          <w:color w:val="auto"/>
          <w:highlight w:val="none"/>
          <w:lang w:val="en-US" w:eastAsia="zh-CN"/>
        </w:rPr>
        <w:t>成交</w:t>
      </w:r>
      <w:r>
        <w:rPr>
          <w:rFonts w:hint="eastAsia" w:ascii="Times New Roman" w:hAnsi="Times New Roman" w:eastAsia="宋体" w:cs="Times New Roman"/>
          <w:b/>
          <w:bCs/>
          <w:color w:val="auto"/>
          <w:highlight w:val="none"/>
          <w:lang w:val="en-US" w:eastAsia="zh-CN"/>
        </w:rPr>
        <w:t>候选人，不足3个</w:t>
      </w:r>
      <w:r>
        <w:rPr>
          <w:rFonts w:hint="eastAsia" w:cs="Times New Roman"/>
          <w:b/>
          <w:bCs/>
          <w:color w:val="auto"/>
          <w:highlight w:val="none"/>
          <w:lang w:val="en-US" w:eastAsia="zh-CN"/>
        </w:rPr>
        <w:t>成交</w:t>
      </w:r>
      <w:r>
        <w:rPr>
          <w:rFonts w:hint="eastAsia" w:ascii="Times New Roman" w:hAnsi="Times New Roman" w:eastAsia="宋体" w:cs="Times New Roman"/>
          <w:b/>
          <w:bCs/>
          <w:color w:val="auto"/>
          <w:highlight w:val="none"/>
          <w:lang w:val="en-US" w:eastAsia="zh-CN"/>
        </w:rPr>
        <w:t>候选人的，按实际个数推荐。</w:t>
      </w:r>
    </w:p>
    <w:p w14:paraId="72850A0B">
      <w:pPr>
        <w:pStyle w:val="45"/>
        <w:numPr>
          <w:ilvl w:val="0"/>
          <w:numId w:val="47"/>
        </w:numPr>
        <w:spacing w:before="156"/>
        <w:ind w:left="-62" w:leftChars="0" w:firstLine="482" w:firstLineChars="0"/>
        <w:textAlignment w:val="baseline"/>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报价基本情况</w:t>
      </w:r>
    </w:p>
    <w:tbl>
      <w:tblPr>
        <w:tblStyle w:val="35"/>
        <w:tblW w:w="10070"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862"/>
        <w:gridCol w:w="2237"/>
        <w:gridCol w:w="2192"/>
        <w:gridCol w:w="1680"/>
        <w:gridCol w:w="2259"/>
        <w:gridCol w:w="840"/>
      </w:tblGrid>
      <w:tr w14:paraId="5978219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698" w:hRule="atLeast"/>
        </w:trPr>
        <w:tc>
          <w:tcPr>
            <w:tcW w:w="862" w:type="dxa"/>
            <w:tcBorders>
              <w:right w:val="single" w:color="auto" w:sz="4" w:space="0"/>
              <w:tl2br w:val="nil"/>
              <w:tr2bl w:val="nil"/>
            </w:tcBorders>
            <w:shd w:val="pct10" w:color="ADB9CA" w:fill="D6DCE5"/>
            <w:tcMar>
              <w:top w:w="0" w:type="dxa"/>
              <w:left w:w="84" w:type="dxa"/>
              <w:bottom w:w="0" w:type="dxa"/>
              <w:right w:w="84" w:type="dxa"/>
            </w:tcMar>
            <w:vAlign w:val="center"/>
          </w:tcPr>
          <w:p w14:paraId="0688B48C">
            <w:pPr>
              <w:pStyle w:val="48"/>
              <w:rPr>
                <w:rFonts w:hint="eastAsia" w:eastAsia="微软雅黑"/>
                <w:color w:val="auto"/>
                <w:highlight w:val="none"/>
                <w:lang w:val="en-US" w:eastAsia="zh-CN"/>
              </w:rPr>
            </w:pPr>
            <w:r>
              <w:rPr>
                <w:rFonts w:hint="eastAsia"/>
                <w:color w:val="auto"/>
                <w:highlight w:val="none"/>
                <w:lang w:val="en-US" w:eastAsia="zh-CN"/>
              </w:rPr>
              <w:t>包名</w:t>
            </w:r>
          </w:p>
        </w:tc>
        <w:tc>
          <w:tcPr>
            <w:tcW w:w="2237" w:type="dxa"/>
            <w:tcBorders>
              <w:left w:val="single" w:color="auto" w:sz="4" w:space="0"/>
              <w:tl2br w:val="nil"/>
              <w:tr2bl w:val="nil"/>
            </w:tcBorders>
            <w:shd w:val="pct10" w:color="ADB9CA" w:fill="D6DCE5"/>
            <w:tcMar>
              <w:top w:w="0" w:type="dxa"/>
              <w:left w:w="84" w:type="dxa"/>
              <w:bottom w:w="0" w:type="dxa"/>
              <w:right w:w="84" w:type="dxa"/>
            </w:tcMar>
            <w:vAlign w:val="center"/>
          </w:tcPr>
          <w:p w14:paraId="1C069D3A">
            <w:pPr>
              <w:pStyle w:val="48"/>
              <w:rPr>
                <w:rFonts w:hint="default"/>
                <w:color w:val="auto"/>
                <w:highlight w:val="none"/>
                <w:lang w:val="en-US" w:eastAsia="zh-CN"/>
              </w:rPr>
            </w:pPr>
            <w:r>
              <w:rPr>
                <w:rFonts w:hint="eastAsia"/>
                <w:color w:val="auto"/>
                <w:highlight w:val="none"/>
                <w:lang w:val="en-US" w:eastAsia="zh-CN"/>
              </w:rPr>
              <w:t>标的名称</w:t>
            </w:r>
          </w:p>
        </w:tc>
        <w:tc>
          <w:tcPr>
            <w:tcW w:w="2192" w:type="dxa"/>
            <w:tcBorders>
              <w:tl2br w:val="nil"/>
              <w:tr2bl w:val="nil"/>
            </w:tcBorders>
            <w:shd w:val="pct10" w:color="ADB9CA" w:fill="D6DCE5"/>
            <w:tcMar>
              <w:top w:w="0" w:type="dxa"/>
              <w:left w:w="84" w:type="dxa"/>
              <w:bottom w:w="0" w:type="dxa"/>
              <w:right w:w="84" w:type="dxa"/>
            </w:tcMar>
            <w:vAlign w:val="center"/>
          </w:tcPr>
          <w:p w14:paraId="05608F45">
            <w:pPr>
              <w:pStyle w:val="48"/>
              <w:rPr>
                <w:color w:val="auto"/>
                <w:highlight w:val="none"/>
              </w:rPr>
            </w:pPr>
            <w:r>
              <w:rPr>
                <w:rFonts w:hint="eastAsia"/>
                <w:color w:val="auto"/>
                <w:highlight w:val="none"/>
                <w:lang w:val="en-US" w:eastAsia="zh-CN"/>
              </w:rPr>
              <w:t>报价</w:t>
            </w:r>
            <w:r>
              <w:rPr>
                <w:rFonts w:hint="eastAsia"/>
                <w:color w:val="auto"/>
                <w:highlight w:val="none"/>
              </w:rPr>
              <w:t>起始价（元）</w:t>
            </w:r>
          </w:p>
        </w:tc>
        <w:tc>
          <w:tcPr>
            <w:tcW w:w="1680" w:type="dxa"/>
            <w:tcBorders>
              <w:tl2br w:val="nil"/>
              <w:tr2bl w:val="nil"/>
            </w:tcBorders>
            <w:shd w:val="pct10" w:color="ADB9CA" w:fill="D6DCE5"/>
            <w:tcMar>
              <w:top w:w="0" w:type="dxa"/>
              <w:left w:w="84" w:type="dxa"/>
              <w:bottom w:w="0" w:type="dxa"/>
              <w:right w:w="84" w:type="dxa"/>
            </w:tcMar>
            <w:vAlign w:val="center"/>
          </w:tcPr>
          <w:p w14:paraId="1691A19E">
            <w:pPr>
              <w:pStyle w:val="48"/>
              <w:rPr>
                <w:color w:val="auto"/>
                <w:highlight w:val="none"/>
              </w:rPr>
            </w:pPr>
            <w:r>
              <w:rPr>
                <w:rFonts w:hint="eastAsia"/>
                <w:color w:val="auto"/>
                <w:highlight w:val="none"/>
              </w:rPr>
              <w:t>保证金（元）</w:t>
            </w:r>
          </w:p>
        </w:tc>
        <w:tc>
          <w:tcPr>
            <w:tcW w:w="2259" w:type="dxa"/>
            <w:tcBorders>
              <w:tl2br w:val="nil"/>
              <w:tr2bl w:val="nil"/>
            </w:tcBorders>
            <w:shd w:val="pct10" w:color="ADB9CA" w:fill="D6DCE5"/>
            <w:tcMar>
              <w:top w:w="0" w:type="dxa"/>
              <w:left w:w="84" w:type="dxa"/>
              <w:bottom w:w="0" w:type="dxa"/>
              <w:right w:w="84" w:type="dxa"/>
            </w:tcMar>
            <w:vAlign w:val="center"/>
          </w:tcPr>
          <w:p w14:paraId="2E5EFE58">
            <w:pPr>
              <w:pStyle w:val="48"/>
              <w:rPr>
                <w:color w:val="auto"/>
                <w:highlight w:val="none"/>
              </w:rPr>
            </w:pPr>
            <w:r>
              <w:rPr>
                <w:rFonts w:hint="eastAsia"/>
                <w:color w:val="auto"/>
                <w:highlight w:val="none"/>
                <w:lang w:val="en-US" w:eastAsia="zh-CN"/>
              </w:rPr>
              <w:t>报价</w:t>
            </w:r>
            <w:r>
              <w:rPr>
                <w:rFonts w:hint="eastAsia"/>
                <w:color w:val="auto"/>
                <w:highlight w:val="none"/>
              </w:rPr>
              <w:t>（减价）幅度（元）</w:t>
            </w:r>
          </w:p>
        </w:tc>
        <w:tc>
          <w:tcPr>
            <w:tcW w:w="840" w:type="dxa"/>
            <w:tcBorders>
              <w:tl2br w:val="nil"/>
              <w:tr2bl w:val="nil"/>
            </w:tcBorders>
            <w:shd w:val="pct10" w:color="ADB9CA" w:fill="D6DCE5"/>
            <w:tcMar>
              <w:top w:w="0" w:type="dxa"/>
              <w:left w:w="84" w:type="dxa"/>
              <w:bottom w:w="0" w:type="dxa"/>
              <w:right w:w="84" w:type="dxa"/>
            </w:tcMar>
            <w:vAlign w:val="center"/>
          </w:tcPr>
          <w:p w14:paraId="1D2BB02A">
            <w:pPr>
              <w:pStyle w:val="48"/>
              <w:rPr>
                <w:color w:val="auto"/>
                <w:highlight w:val="none"/>
              </w:rPr>
            </w:pPr>
            <w:r>
              <w:rPr>
                <w:rFonts w:hint="eastAsia"/>
                <w:color w:val="auto"/>
                <w:highlight w:val="none"/>
              </w:rPr>
              <w:t>备注</w:t>
            </w:r>
          </w:p>
        </w:tc>
      </w:tr>
      <w:tr w14:paraId="610E3AF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15" w:type="dxa"/>
            <w:left w:w="15" w:type="dxa"/>
            <w:bottom w:w="15" w:type="dxa"/>
            <w:right w:w="15" w:type="dxa"/>
          </w:tblCellMar>
        </w:tblPrEx>
        <w:trPr>
          <w:trHeight w:val="929" w:hRule="atLeast"/>
        </w:trPr>
        <w:tc>
          <w:tcPr>
            <w:tcW w:w="862" w:type="dxa"/>
            <w:tcBorders>
              <w:right w:val="single" w:color="auto" w:sz="4" w:space="0"/>
              <w:tl2br w:val="nil"/>
              <w:tr2bl w:val="nil"/>
            </w:tcBorders>
            <w:shd w:val="clear" w:color="auto" w:fill="auto"/>
            <w:tcMar>
              <w:top w:w="0" w:type="dxa"/>
              <w:left w:w="84" w:type="dxa"/>
              <w:bottom w:w="0" w:type="dxa"/>
              <w:right w:w="84" w:type="dxa"/>
            </w:tcMar>
            <w:vAlign w:val="center"/>
          </w:tcPr>
          <w:p w14:paraId="3E693B98">
            <w:pPr>
              <w:pStyle w:val="48"/>
              <w:spacing w:line="240" w:lineRule="auto"/>
              <w:rPr>
                <w:rFonts w:hint="eastAsia"/>
                <w:color w:val="auto"/>
                <w:highlight w:val="none"/>
                <w:lang w:val="en-US" w:eastAsia="zh-CN"/>
              </w:rPr>
            </w:pPr>
            <w:r>
              <w:rPr>
                <w:rFonts w:hint="eastAsia" w:ascii="Arial Narrow" w:hAnsi="Arial Narrow" w:eastAsia="宋体" w:cs="宋体"/>
                <w:kern w:val="2"/>
                <w:sz w:val="24"/>
                <w:szCs w:val="22"/>
                <w:u w:val="none"/>
                <w:lang w:val="en-US" w:eastAsia="zh-CN" w:bidi="ar-SA"/>
              </w:rPr>
              <w:t>包1</w:t>
            </w:r>
          </w:p>
        </w:tc>
        <w:tc>
          <w:tcPr>
            <w:tcW w:w="2237" w:type="dxa"/>
            <w:tcBorders>
              <w:left w:val="single" w:color="auto" w:sz="4" w:space="0"/>
              <w:tl2br w:val="nil"/>
              <w:tr2bl w:val="nil"/>
            </w:tcBorders>
            <w:tcMar>
              <w:top w:w="0" w:type="dxa"/>
              <w:left w:w="84" w:type="dxa"/>
              <w:bottom w:w="0" w:type="dxa"/>
              <w:right w:w="84" w:type="dxa"/>
            </w:tcMar>
            <w:vAlign w:val="center"/>
          </w:tcPr>
          <w:p w14:paraId="3E6487A1">
            <w:pPr>
              <w:pStyle w:val="58"/>
              <w:keepNext w:val="0"/>
              <w:keepLines w:val="0"/>
              <w:pageBreakBefore w:val="0"/>
              <w:widowControl/>
              <w:numPr>
                <w:ilvl w:val="0"/>
                <w:numId w:val="0"/>
              </w:numPr>
              <w:tabs>
                <w:tab w:val="clear" w:pos="0"/>
              </w:tabs>
              <w:kinsoku/>
              <w:wordWrap/>
              <w:overflowPunct/>
              <w:topLinePunct w:val="0"/>
              <w:autoSpaceDE/>
              <w:autoSpaceDN/>
              <w:bidi w:val="0"/>
              <w:adjustRightInd/>
              <w:snapToGrid/>
              <w:spacing w:line="300" w:lineRule="exact"/>
              <w:ind w:left="0" w:leftChars="0" w:right="-55" w:rightChars="-23" w:firstLine="0" w:firstLineChars="0"/>
              <w:jc w:val="center"/>
              <w:textAlignment w:val="auto"/>
              <w:rPr>
                <w:rFonts w:hint="eastAsia" w:ascii="Arial Narrow" w:hAnsi="Arial Narrow" w:eastAsia="宋体" w:cs="宋体"/>
                <w:color w:val="auto"/>
                <w:kern w:val="2"/>
                <w:sz w:val="24"/>
                <w:szCs w:val="22"/>
                <w:highlight w:val="none"/>
                <w:lang w:val="en-US" w:eastAsia="zh-CN" w:bidi="ar-SA"/>
              </w:rPr>
            </w:pPr>
            <w:r>
              <w:rPr>
                <w:rFonts w:hint="eastAsia" w:ascii="Arial Narrow" w:hAnsi="Arial Narrow" w:eastAsia="宋体" w:cs="宋体"/>
                <w:kern w:val="2"/>
                <w:sz w:val="24"/>
                <w:szCs w:val="22"/>
                <w:lang w:val="en-US" w:eastAsia="zh-CN" w:bidi="ar-SA"/>
              </w:rPr>
              <w:t>公安科学技术大队实验室试剂耗材及DNA样本检验项目</w:t>
            </w:r>
          </w:p>
        </w:tc>
        <w:tc>
          <w:tcPr>
            <w:tcW w:w="2192" w:type="dxa"/>
            <w:tcBorders>
              <w:tl2br w:val="nil"/>
              <w:tr2bl w:val="nil"/>
            </w:tcBorders>
            <w:tcMar>
              <w:top w:w="0" w:type="dxa"/>
              <w:left w:w="84" w:type="dxa"/>
              <w:bottom w:w="0" w:type="dxa"/>
              <w:right w:w="84" w:type="dxa"/>
            </w:tcMar>
            <w:vAlign w:val="center"/>
          </w:tcPr>
          <w:p w14:paraId="5907B45D">
            <w:pPr>
              <w:pStyle w:val="48"/>
              <w:rPr>
                <w:rFonts w:hint="eastAsia" w:ascii="Times New Roman" w:hAnsi="Times New Roman" w:eastAsia="宋体" w:cs="Times New Roman"/>
                <w:color w:val="auto"/>
                <w:kern w:val="2"/>
                <w:sz w:val="24"/>
                <w:szCs w:val="22"/>
                <w:highlight w:val="none"/>
                <w:u w:val="none"/>
                <w:lang w:val="en-US" w:eastAsia="zh-CN" w:bidi="ar-SA"/>
              </w:rPr>
            </w:pPr>
            <w:r>
              <w:rPr>
                <w:rFonts w:hint="eastAsia" w:cs="Times New Roman"/>
                <w:b/>
                <w:bCs w:val="0"/>
                <w:color w:val="auto"/>
                <w:highlight w:val="none"/>
                <w:lang w:val="en-US" w:eastAsia="zh-CN"/>
              </w:rPr>
              <w:t>635382.00</w:t>
            </w:r>
          </w:p>
        </w:tc>
        <w:tc>
          <w:tcPr>
            <w:tcW w:w="1680" w:type="dxa"/>
            <w:tcBorders>
              <w:tl2br w:val="nil"/>
              <w:tr2bl w:val="nil"/>
            </w:tcBorders>
            <w:tcMar>
              <w:top w:w="0" w:type="dxa"/>
              <w:left w:w="84" w:type="dxa"/>
              <w:bottom w:w="0" w:type="dxa"/>
              <w:right w:w="84" w:type="dxa"/>
            </w:tcMar>
            <w:vAlign w:val="center"/>
          </w:tcPr>
          <w:p w14:paraId="0A715A1A">
            <w:pPr>
              <w:pageBreakBefore w:val="0"/>
              <w:kinsoku/>
              <w:wordWrap/>
              <w:overflowPunct/>
              <w:topLinePunct w:val="0"/>
              <w:autoSpaceDE/>
              <w:autoSpaceDN/>
              <w:bidi w:val="0"/>
              <w:ind w:left="0" w:leftChars="0"/>
              <w:jc w:val="center"/>
              <w:rPr>
                <w:rFonts w:hint="eastAsia"/>
                <w:b w:val="0"/>
                <w:bCs/>
                <w:color w:val="auto"/>
                <w:highlight w:val="none"/>
                <w:lang w:val="en-US" w:eastAsia="zh-CN"/>
              </w:rPr>
            </w:pPr>
            <w:r>
              <w:rPr>
                <w:rFonts w:hint="eastAsia"/>
                <w:b/>
                <w:bCs w:val="0"/>
                <w:color w:val="auto"/>
                <w:highlight w:val="none"/>
                <w:u w:val="none"/>
                <w:lang w:val="en-US" w:eastAsia="zh-CN"/>
              </w:rPr>
              <w:t>1</w:t>
            </w:r>
          </w:p>
        </w:tc>
        <w:tc>
          <w:tcPr>
            <w:tcW w:w="2259" w:type="dxa"/>
            <w:tcBorders>
              <w:tl2br w:val="nil"/>
              <w:tr2bl w:val="nil"/>
            </w:tcBorders>
            <w:tcMar>
              <w:top w:w="0" w:type="dxa"/>
              <w:left w:w="84" w:type="dxa"/>
              <w:bottom w:w="0" w:type="dxa"/>
              <w:right w:w="84" w:type="dxa"/>
            </w:tcMar>
            <w:vAlign w:val="center"/>
          </w:tcPr>
          <w:p w14:paraId="29804A63">
            <w:pPr>
              <w:pStyle w:val="48"/>
              <w:pageBreakBefore w:val="0"/>
              <w:kinsoku/>
              <w:wordWrap/>
              <w:overflowPunct/>
              <w:topLinePunct w:val="0"/>
              <w:autoSpaceDE/>
              <w:autoSpaceDN/>
              <w:bidi w:val="0"/>
              <w:ind w:left="0" w:leftChars="0"/>
              <w:jc w:val="center"/>
              <w:rPr>
                <w:rFonts w:hint="eastAsia"/>
                <w:b w:val="0"/>
                <w:bCs/>
                <w:color w:val="auto"/>
                <w:highlight w:val="none"/>
                <w:lang w:val="en-US" w:eastAsia="zh-CN"/>
              </w:rPr>
            </w:pPr>
            <w:r>
              <w:rPr>
                <w:rFonts w:hint="eastAsia"/>
                <w:b/>
                <w:bCs w:val="0"/>
                <w:color w:val="auto"/>
                <w:highlight w:val="none"/>
                <w:lang w:val="en-US" w:eastAsia="zh-CN"/>
              </w:rPr>
              <w:t>6400及其整数倍</w:t>
            </w:r>
          </w:p>
        </w:tc>
        <w:tc>
          <w:tcPr>
            <w:tcW w:w="840" w:type="dxa"/>
            <w:tcBorders>
              <w:tl2br w:val="nil"/>
              <w:tr2bl w:val="nil"/>
            </w:tcBorders>
            <w:tcMar>
              <w:top w:w="0" w:type="dxa"/>
              <w:left w:w="84" w:type="dxa"/>
              <w:bottom w:w="0" w:type="dxa"/>
              <w:right w:w="84" w:type="dxa"/>
            </w:tcMar>
            <w:vAlign w:val="center"/>
          </w:tcPr>
          <w:p w14:paraId="1D90C6EA">
            <w:pPr>
              <w:pStyle w:val="48"/>
              <w:rPr>
                <w:b w:val="0"/>
                <w:bCs/>
                <w:color w:val="auto"/>
                <w:highlight w:val="none"/>
              </w:rPr>
            </w:pPr>
          </w:p>
        </w:tc>
      </w:tr>
    </w:tbl>
    <w:p w14:paraId="7CAE236D">
      <w:pPr>
        <w:pStyle w:val="45"/>
        <w:numPr>
          <w:ilvl w:val="0"/>
          <w:numId w:val="47"/>
        </w:numPr>
        <w:spacing w:before="156"/>
        <w:ind w:left="-62" w:leftChars="0" w:firstLine="482" w:firstLineChars="0"/>
        <w:textAlignment w:val="baseline"/>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报价时间安排</w:t>
      </w:r>
    </w:p>
    <w:p w14:paraId="29AD5FE9">
      <w:pPr>
        <w:pStyle w:val="45"/>
        <w:keepNext w:val="0"/>
        <w:keepLines w:val="0"/>
        <w:pageBreakBefore w:val="0"/>
        <w:widowControl w:val="0"/>
        <w:numPr>
          <w:ilvl w:val="0"/>
          <w:numId w:val="48"/>
        </w:numPr>
        <w:kinsoku/>
        <w:wordWrap/>
        <w:overflowPunct/>
        <w:topLinePunct w:val="0"/>
        <w:autoSpaceDE/>
        <w:autoSpaceDN/>
        <w:bidi w:val="0"/>
        <w:spacing w:before="156"/>
        <w:ind w:left="0" w:leftChars="0" w:firstLine="425" w:firstLineChars="0"/>
        <w:textAlignment w:val="auto"/>
        <w:rPr>
          <w:color w:val="auto"/>
          <w:highlight w:val="none"/>
        </w:rPr>
      </w:pPr>
      <w:r>
        <w:rPr>
          <w:rFonts w:hint="eastAsia"/>
          <w:color w:val="auto"/>
          <w:highlight w:val="none"/>
        </w:rPr>
        <w:t>自由</w:t>
      </w:r>
      <w:r>
        <w:rPr>
          <w:rFonts w:hint="eastAsia"/>
          <w:color w:val="auto"/>
          <w:highlight w:val="none"/>
          <w:lang w:val="en-US" w:eastAsia="zh-CN"/>
        </w:rPr>
        <w:t>报价</w:t>
      </w:r>
      <w:r>
        <w:rPr>
          <w:rFonts w:hint="eastAsia"/>
          <w:color w:val="auto"/>
          <w:highlight w:val="none"/>
        </w:rPr>
        <w:t>开始时间：</w:t>
      </w:r>
      <w:r>
        <w:rPr>
          <w:rFonts w:hint="eastAsia"/>
          <w:color w:val="auto"/>
          <w:highlight w:val="none"/>
          <w:u w:val="single"/>
        </w:rPr>
        <w:t xml:space="preserve"> </w:t>
      </w:r>
      <w:r>
        <w:rPr>
          <w:rFonts w:hint="eastAsia"/>
          <w:color w:val="auto"/>
          <w:highlight w:val="none"/>
          <w:u w:val="single"/>
          <w:lang w:eastAsia="zh-CN"/>
        </w:rPr>
        <w:t>202</w:t>
      </w:r>
      <w:r>
        <w:rPr>
          <w:rFonts w:hint="eastAsia"/>
          <w:color w:val="auto"/>
          <w:highlight w:val="none"/>
          <w:u w:val="single"/>
          <w:lang w:val="en-US" w:eastAsia="zh-CN"/>
        </w:rPr>
        <w:t>6</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lang w:val="en-US" w:eastAsia="zh-CN"/>
        </w:rPr>
        <w:t>7</w:t>
      </w:r>
      <w:r>
        <w:rPr>
          <w:rFonts w:hint="eastAsia"/>
          <w:color w:val="auto"/>
          <w:highlight w:val="none"/>
        </w:rPr>
        <w:t>月</w:t>
      </w:r>
      <w:r>
        <w:rPr>
          <w:rFonts w:hint="eastAsia"/>
          <w:color w:val="auto"/>
          <w:highlight w:val="none"/>
          <w:u w:val="single"/>
          <w:lang w:val="en-US" w:eastAsia="zh-CN"/>
        </w:rPr>
        <w:t>17</w:t>
      </w:r>
      <w:r>
        <w:rPr>
          <w:rFonts w:hint="eastAsia"/>
          <w:color w:val="auto"/>
          <w:highlight w:val="none"/>
        </w:rPr>
        <w:t>日（备注：经</w:t>
      </w:r>
      <w:r>
        <w:rPr>
          <w:rFonts w:hint="eastAsia"/>
          <w:color w:val="auto"/>
          <w:highlight w:val="none"/>
          <w:lang w:val="en-US" w:eastAsia="zh-CN"/>
        </w:rPr>
        <w:t>资格审查和符合性审查</w:t>
      </w:r>
      <w:r>
        <w:rPr>
          <w:rFonts w:hint="eastAsia"/>
          <w:color w:val="auto"/>
          <w:highlight w:val="none"/>
        </w:rPr>
        <w:t>通过后由系统颁发资格证书进行</w:t>
      </w:r>
      <w:r>
        <w:rPr>
          <w:rFonts w:hint="eastAsia"/>
          <w:color w:val="auto"/>
          <w:highlight w:val="none"/>
          <w:lang w:val="en-US" w:eastAsia="zh-CN"/>
        </w:rPr>
        <w:t>报价</w:t>
      </w:r>
      <w:r>
        <w:rPr>
          <w:rFonts w:hint="eastAsia"/>
          <w:color w:val="auto"/>
          <w:highlight w:val="none"/>
        </w:rPr>
        <w:t>）。</w:t>
      </w:r>
    </w:p>
    <w:p w14:paraId="10FB1B0C">
      <w:pPr>
        <w:pStyle w:val="45"/>
        <w:keepNext w:val="0"/>
        <w:keepLines w:val="0"/>
        <w:pageBreakBefore w:val="0"/>
        <w:widowControl w:val="0"/>
        <w:numPr>
          <w:ilvl w:val="0"/>
          <w:numId w:val="48"/>
        </w:numPr>
        <w:kinsoku/>
        <w:wordWrap/>
        <w:overflowPunct/>
        <w:topLinePunct w:val="0"/>
        <w:autoSpaceDE/>
        <w:autoSpaceDN/>
        <w:bidi w:val="0"/>
        <w:spacing w:before="156"/>
        <w:ind w:left="0" w:leftChars="0" w:firstLine="425" w:firstLineChars="0"/>
        <w:textAlignment w:val="auto"/>
        <w:rPr>
          <w:color w:val="auto"/>
          <w:highlight w:val="none"/>
        </w:rPr>
      </w:pPr>
      <w:r>
        <w:rPr>
          <w:rFonts w:hint="eastAsia"/>
          <w:color w:val="auto"/>
          <w:highlight w:val="none"/>
        </w:rPr>
        <w:t>限时</w:t>
      </w:r>
      <w:r>
        <w:rPr>
          <w:rFonts w:hint="eastAsia"/>
          <w:color w:val="auto"/>
          <w:highlight w:val="none"/>
          <w:lang w:eastAsia="zh-CN"/>
        </w:rPr>
        <w:t>报价</w:t>
      </w:r>
      <w:r>
        <w:rPr>
          <w:rFonts w:hint="eastAsia"/>
          <w:color w:val="auto"/>
          <w:highlight w:val="none"/>
        </w:rPr>
        <w:t>开始时间：</w:t>
      </w:r>
      <w:r>
        <w:rPr>
          <w:rFonts w:hint="eastAsia"/>
          <w:color w:val="auto"/>
          <w:highlight w:val="none"/>
          <w:u w:val="none"/>
          <w:lang w:val="en-US" w:eastAsia="zh-CN"/>
        </w:rPr>
        <w:t>开始时间</w:t>
      </w:r>
      <w:r>
        <w:rPr>
          <w:rFonts w:hint="eastAsia"/>
          <w:color w:val="auto"/>
          <w:highlight w:val="none"/>
          <w:u w:val="none"/>
          <w:lang w:eastAsia="zh-CN"/>
        </w:rPr>
        <w:t>202</w:t>
      </w:r>
      <w:r>
        <w:rPr>
          <w:rFonts w:hint="eastAsia"/>
          <w:color w:val="auto"/>
          <w:highlight w:val="none"/>
          <w:u w:val="none"/>
          <w:lang w:val="en-US" w:eastAsia="zh-CN"/>
        </w:rPr>
        <w:t>6</w:t>
      </w:r>
      <w:r>
        <w:rPr>
          <w:rFonts w:hint="eastAsia"/>
          <w:color w:val="auto"/>
          <w:highlight w:val="none"/>
          <w:u w:val="none"/>
        </w:rPr>
        <w:t>年</w:t>
      </w:r>
      <w:r>
        <w:rPr>
          <w:rFonts w:hint="eastAsia"/>
          <w:color w:val="auto"/>
          <w:highlight w:val="none"/>
          <w:u w:val="none"/>
          <w:lang w:val="en-US" w:eastAsia="zh-CN"/>
        </w:rPr>
        <w:t>7</w:t>
      </w:r>
      <w:r>
        <w:rPr>
          <w:rFonts w:hint="eastAsia"/>
          <w:color w:val="auto"/>
          <w:highlight w:val="none"/>
          <w:u w:val="none"/>
        </w:rPr>
        <w:t>月</w:t>
      </w:r>
      <w:r>
        <w:rPr>
          <w:rFonts w:hint="eastAsia"/>
          <w:color w:val="auto"/>
          <w:highlight w:val="none"/>
          <w:u w:val="none"/>
          <w:lang w:val="en-US" w:eastAsia="zh-CN"/>
        </w:rPr>
        <w:t>17</w:t>
      </w:r>
      <w:r>
        <w:rPr>
          <w:rFonts w:hint="eastAsia"/>
          <w:color w:val="auto"/>
          <w:highlight w:val="none"/>
          <w:u w:val="none"/>
        </w:rPr>
        <w:t>日</w:t>
      </w:r>
      <w:r>
        <w:rPr>
          <w:rFonts w:hint="eastAsia"/>
          <w:color w:val="auto"/>
          <w:highlight w:val="none"/>
          <w:u w:val="none"/>
          <w:lang w:val="en-US" w:eastAsia="zh-CN"/>
        </w:rPr>
        <w:t>15:00</w:t>
      </w:r>
      <w:r>
        <w:rPr>
          <w:rFonts w:hint="eastAsia"/>
          <w:color w:val="auto"/>
          <w:highlight w:val="none"/>
        </w:rPr>
        <w:t>。</w:t>
      </w:r>
    </w:p>
    <w:p w14:paraId="5CDE6A81">
      <w:pPr>
        <w:rPr>
          <w:color w:val="auto"/>
          <w:highlight w:val="none"/>
        </w:rPr>
      </w:pPr>
    </w:p>
    <w:p w14:paraId="75136220">
      <w:pPr>
        <w:pStyle w:val="19"/>
        <w:ind w:firstLine="480"/>
        <w:rPr>
          <w:color w:val="auto"/>
          <w:highlight w:val="none"/>
        </w:rPr>
        <w:sectPr>
          <w:pgSz w:w="11906" w:h="16838"/>
          <w:pgMar w:top="1440" w:right="1080" w:bottom="1440" w:left="1080" w:header="850" w:footer="992" w:gutter="0"/>
          <w:pgBorders>
            <w:top w:val="none" w:sz="0" w:space="0"/>
            <w:left w:val="none" w:sz="0" w:space="0"/>
            <w:bottom w:val="none" w:sz="0" w:space="0"/>
            <w:right w:val="none" w:sz="0" w:space="0"/>
          </w:pgBorders>
          <w:pgNumType w:fmt="decimal"/>
          <w:cols w:space="0" w:num="1"/>
          <w:docGrid w:type="lines" w:linePitch="312" w:charSpace="0"/>
        </w:sectPr>
      </w:pPr>
    </w:p>
    <w:p w14:paraId="006115C9">
      <w:pPr>
        <w:pStyle w:val="3"/>
        <w:numPr>
          <w:ilvl w:val="0"/>
          <w:numId w:val="0"/>
        </w:numPr>
        <w:bidi w:val="0"/>
        <w:jc w:val="center"/>
        <w:rPr>
          <w:color w:val="auto"/>
          <w:highlight w:val="none"/>
        </w:rPr>
      </w:pPr>
      <w:bookmarkStart w:id="63" w:name="_Toc25314"/>
      <w:bookmarkStart w:id="64" w:name="_Toc6985"/>
      <w:bookmarkStart w:id="65" w:name="_Toc26312"/>
      <w:r>
        <w:rPr>
          <w:color w:val="auto"/>
          <w:highlight w:val="none"/>
        </w:rPr>
        <w:t xml:space="preserve">第五章 </w:t>
      </w:r>
      <w:bookmarkEnd w:id="63"/>
      <w:bookmarkEnd w:id="64"/>
      <w:bookmarkEnd w:id="65"/>
      <w:bookmarkStart w:id="66" w:name="_Toc17943"/>
      <w:bookmarkStart w:id="67" w:name="_Toc22669"/>
      <w:bookmarkStart w:id="68" w:name="_Toc2635"/>
      <w:r>
        <w:rPr>
          <w:rFonts w:hint="eastAsia"/>
          <w:color w:val="auto"/>
          <w:highlight w:val="none"/>
        </w:rPr>
        <w:t>政府采购合同</w:t>
      </w:r>
      <w:bookmarkEnd w:id="66"/>
    </w:p>
    <w:p w14:paraId="5A507BF5">
      <w:pPr>
        <w:pStyle w:val="4"/>
        <w:jc w:val="center"/>
        <w:rPr>
          <w:rFonts w:hint="eastAsia"/>
          <w:color w:val="auto"/>
          <w:highlight w:val="none"/>
        </w:rPr>
      </w:pPr>
      <w:bookmarkStart w:id="69" w:name="_Toc23400"/>
      <w:bookmarkStart w:id="70" w:name="_Toc17615"/>
      <w:bookmarkStart w:id="71" w:name="_Toc19561"/>
    </w:p>
    <w:p w14:paraId="2183EDFE">
      <w:pPr>
        <w:pStyle w:val="4"/>
        <w:jc w:val="center"/>
        <w:rPr>
          <w:color w:val="auto"/>
          <w:highlight w:val="none"/>
        </w:rPr>
      </w:pPr>
      <w:r>
        <w:rPr>
          <w:rFonts w:hint="eastAsia"/>
          <w:color w:val="auto"/>
          <w:highlight w:val="none"/>
        </w:rPr>
        <w:t>第一部分</w:t>
      </w:r>
      <w:r>
        <w:rPr>
          <w:color w:val="auto"/>
          <w:highlight w:val="none"/>
        </w:rPr>
        <w:t xml:space="preserve"> </w:t>
      </w:r>
      <w:r>
        <w:rPr>
          <w:rFonts w:hint="eastAsia"/>
          <w:color w:val="auto"/>
          <w:highlight w:val="none"/>
        </w:rPr>
        <w:t>合同书</w:t>
      </w:r>
      <w:bookmarkEnd w:id="69"/>
      <w:bookmarkEnd w:id="70"/>
      <w:bookmarkEnd w:id="71"/>
    </w:p>
    <w:p w14:paraId="36681B59">
      <w:pPr>
        <w:rPr>
          <w:color w:val="auto"/>
          <w:highlight w:val="none"/>
        </w:rPr>
      </w:pPr>
    </w:p>
    <w:tbl>
      <w:tblPr>
        <w:tblStyle w:val="35"/>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
        <w:gridCol w:w="2889"/>
        <w:gridCol w:w="240"/>
        <w:gridCol w:w="6087"/>
        <w:gridCol w:w="264"/>
      </w:tblGrid>
      <w:tr w14:paraId="5E0A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9720" w:type="dxa"/>
            <w:gridSpan w:val="5"/>
            <w:tcBorders>
              <w:top w:val="nil"/>
              <w:left w:val="nil"/>
              <w:bottom w:val="nil"/>
              <w:right w:val="nil"/>
            </w:tcBorders>
            <w:noWrap w:val="0"/>
            <w:vAlign w:val="top"/>
          </w:tcPr>
          <w:p w14:paraId="67C428BB">
            <w:pPr>
              <w:pStyle w:val="19"/>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Times New Roman" w:hAnsi="Times New Roman"/>
                <w:b/>
                <w:color w:val="auto"/>
              </w:rPr>
            </w:pPr>
            <w:bookmarkStart w:id="72" w:name="_Toc18902"/>
          </w:p>
        </w:tc>
      </w:tr>
      <w:tr w14:paraId="6FC51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2" w:hRule="atLeast"/>
          <w:jc w:val="center"/>
        </w:trPr>
        <w:tc>
          <w:tcPr>
            <w:tcW w:w="9720" w:type="dxa"/>
            <w:gridSpan w:val="5"/>
            <w:tcBorders>
              <w:top w:val="nil"/>
              <w:left w:val="nil"/>
              <w:bottom w:val="nil"/>
              <w:right w:val="nil"/>
            </w:tcBorders>
            <w:noWrap w:val="0"/>
            <w:vAlign w:val="top"/>
          </w:tcPr>
          <w:p w14:paraId="0BDFCE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olor w:val="auto"/>
                <w:sz w:val="44"/>
              </w:rPr>
            </w:pPr>
            <w:r>
              <w:rPr>
                <w:rFonts w:hint="eastAsia" w:ascii="方正小标宋_GBK" w:hAnsi="方正小标宋_GBK" w:eastAsia="方正小标宋_GBK" w:cs="方正小标宋_GBK"/>
                <w:color w:val="000000" w:themeColor="text1"/>
                <w:sz w:val="72"/>
                <w:szCs w:val="72"/>
                <w14:textFill>
                  <w14:solidFill>
                    <w14:schemeClr w14:val="tx1"/>
                  </w14:solidFill>
                </w14:textFill>
              </w:rPr>
              <w:t>政府采购合同</w:t>
            </w:r>
          </w:p>
        </w:tc>
      </w:tr>
      <w:tr w14:paraId="04D9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9720" w:type="dxa"/>
            <w:gridSpan w:val="5"/>
            <w:tcBorders>
              <w:top w:val="nil"/>
              <w:left w:val="nil"/>
              <w:bottom w:val="nil"/>
              <w:right w:val="nil"/>
            </w:tcBorders>
            <w:noWrap w:val="0"/>
            <w:vAlign w:val="top"/>
          </w:tcPr>
          <w:p w14:paraId="60E184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rPr>
            </w:pPr>
            <w:r>
              <w:rPr>
                <w:rFonts w:hint="eastAsia" w:ascii="方正小标宋_GBK" w:hAnsi="方正小标宋_GBK" w:eastAsia="方正小标宋_GBK" w:cs="方正小标宋_GBK"/>
                <w:color w:val="000000" w:themeColor="text1"/>
                <w:sz w:val="56"/>
                <w:szCs w:val="56"/>
                <w14:textFill>
                  <w14:solidFill>
                    <w14:schemeClr w14:val="tx1"/>
                  </w14:solidFill>
                </w14:textFill>
              </w:rPr>
              <w:t>（货物类）</w:t>
            </w:r>
          </w:p>
        </w:tc>
      </w:tr>
      <w:tr w14:paraId="34A39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240" w:type="dxa"/>
            <w:vMerge w:val="restart"/>
            <w:tcBorders>
              <w:top w:val="nil"/>
              <w:left w:val="nil"/>
              <w:bottom w:val="nil"/>
              <w:right w:val="nil"/>
            </w:tcBorders>
            <w:noWrap w:val="0"/>
            <w:vAlign w:val="center"/>
          </w:tcPr>
          <w:p w14:paraId="677503F2">
            <w:pPr>
              <w:adjustRightInd w:val="0"/>
              <w:snapToGrid w:val="0"/>
              <w:rPr>
                <w:rFonts w:ascii="Times New Roman" w:hAnsi="Times New Roman" w:eastAsia="楷体_GB2312"/>
                <w:color w:val="auto"/>
                <w:sz w:val="52"/>
              </w:rPr>
            </w:pPr>
          </w:p>
        </w:tc>
        <w:tc>
          <w:tcPr>
            <w:tcW w:w="2889" w:type="dxa"/>
            <w:tcBorders>
              <w:top w:val="nil"/>
              <w:left w:val="nil"/>
              <w:bottom w:val="nil"/>
              <w:right w:val="nil"/>
            </w:tcBorders>
            <w:noWrap w:val="0"/>
            <w:vAlign w:val="center"/>
          </w:tcPr>
          <w:p w14:paraId="2269DAED">
            <w:pPr>
              <w:adjustRightInd w:val="0"/>
              <w:snapToGrid w:val="0"/>
              <w:spacing w:line="360" w:lineRule="auto"/>
              <w:jc w:val="distribute"/>
              <w:rPr>
                <w:rFonts w:ascii="Times New Roman" w:hAnsi="Times New Roman"/>
                <w:color w:val="auto"/>
              </w:rPr>
            </w:pPr>
            <w:r>
              <w:rPr>
                <w:rFonts w:hint="eastAsia" w:ascii="黑体" w:hAnsi="黑体" w:eastAsia="黑体" w:cs="黑体"/>
                <w:color w:val="auto"/>
                <w:sz w:val="32"/>
                <w:szCs w:val="32"/>
                <w:highlight w:val="white"/>
              </w:rPr>
              <w:t>项目名称：</w:t>
            </w:r>
          </w:p>
        </w:tc>
        <w:tc>
          <w:tcPr>
            <w:tcW w:w="240" w:type="dxa"/>
            <w:tcBorders>
              <w:top w:val="nil"/>
              <w:left w:val="nil"/>
              <w:bottom w:val="nil"/>
              <w:right w:val="nil"/>
            </w:tcBorders>
            <w:noWrap w:val="0"/>
            <w:vAlign w:val="center"/>
          </w:tcPr>
          <w:p w14:paraId="70C2B4D4">
            <w:pPr>
              <w:ind w:firstLine="1960" w:firstLineChars="700"/>
              <w:rPr>
                <w:rFonts w:ascii="Times New Roman" w:hAnsi="Times New Roman"/>
                <w:color w:val="auto"/>
                <w:sz w:val="28"/>
                <w:szCs w:val="28"/>
              </w:rPr>
            </w:pPr>
          </w:p>
        </w:tc>
        <w:tc>
          <w:tcPr>
            <w:tcW w:w="6087" w:type="dxa"/>
            <w:tcBorders>
              <w:top w:val="nil"/>
              <w:left w:val="nil"/>
              <w:bottom w:val="nil"/>
              <w:right w:val="nil"/>
            </w:tcBorders>
            <w:noWrap w:val="0"/>
            <w:vAlign w:val="center"/>
          </w:tcPr>
          <w:p w14:paraId="75184968">
            <w:pPr>
              <w:rPr>
                <w:rFonts w:hint="eastAsia" w:ascii="微软雅黑" w:hAnsi="微软雅黑" w:eastAsia="微软雅黑" w:cs="微软雅黑"/>
                <w:color w:val="auto"/>
                <w:spacing w:val="20"/>
                <w:sz w:val="28"/>
                <w:szCs w:val="28"/>
                <w:lang w:eastAsia="zh-CN"/>
              </w:rPr>
            </w:pPr>
            <w:r>
              <w:rPr>
                <w:rFonts w:hint="eastAsia" w:ascii="黑体" w:hAnsi="黑体" w:eastAsia="黑体" w:cs="黑体"/>
                <w:color w:val="auto"/>
                <w:sz w:val="32"/>
                <w:szCs w:val="36"/>
                <w:lang w:val="en-US" w:eastAsia="zh-CN"/>
              </w:rPr>
              <w:t>2026年度</w:t>
            </w:r>
            <w:r>
              <w:rPr>
                <w:rFonts w:hint="eastAsia" w:ascii="黑体" w:hAnsi="黑体" w:eastAsia="黑体" w:cs="黑体"/>
                <w:color w:val="auto"/>
                <w:sz w:val="32"/>
                <w:szCs w:val="36"/>
                <w:lang w:eastAsia="zh-CN"/>
              </w:rPr>
              <w:t>市公安局公安科学技术大队实验室试剂耗材及DNA样本检测项目</w:t>
            </w:r>
          </w:p>
        </w:tc>
        <w:tc>
          <w:tcPr>
            <w:tcW w:w="264" w:type="dxa"/>
            <w:vMerge w:val="restart"/>
            <w:tcBorders>
              <w:top w:val="nil"/>
              <w:left w:val="nil"/>
              <w:bottom w:val="nil"/>
              <w:right w:val="nil"/>
            </w:tcBorders>
            <w:noWrap w:val="0"/>
            <w:vAlign w:val="center"/>
          </w:tcPr>
          <w:p w14:paraId="5A3818EA">
            <w:pPr>
              <w:adjustRightInd w:val="0"/>
              <w:snapToGrid w:val="0"/>
              <w:rPr>
                <w:rFonts w:ascii="Times New Roman" w:hAnsi="Times New Roman" w:eastAsia="楷体_GB2312"/>
                <w:color w:val="auto"/>
                <w:sz w:val="52"/>
              </w:rPr>
            </w:pPr>
          </w:p>
        </w:tc>
      </w:tr>
      <w:tr w14:paraId="0F71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240" w:type="dxa"/>
            <w:vMerge w:val="continue"/>
            <w:tcBorders>
              <w:top w:val="nil"/>
              <w:left w:val="nil"/>
              <w:bottom w:val="nil"/>
              <w:right w:val="nil"/>
            </w:tcBorders>
            <w:noWrap w:val="0"/>
            <w:vAlign w:val="center"/>
          </w:tcPr>
          <w:p w14:paraId="1483A0D5">
            <w:pPr>
              <w:widowControl/>
              <w:jc w:val="left"/>
              <w:rPr>
                <w:rFonts w:ascii="Times New Roman" w:hAnsi="Times New Roman" w:eastAsia="楷体_GB2312"/>
                <w:color w:val="auto"/>
                <w:sz w:val="52"/>
              </w:rPr>
            </w:pPr>
          </w:p>
        </w:tc>
        <w:tc>
          <w:tcPr>
            <w:tcW w:w="2889" w:type="dxa"/>
            <w:tcBorders>
              <w:top w:val="nil"/>
              <w:left w:val="nil"/>
              <w:bottom w:val="nil"/>
              <w:right w:val="nil"/>
            </w:tcBorders>
            <w:noWrap w:val="0"/>
            <w:vAlign w:val="center"/>
          </w:tcPr>
          <w:p w14:paraId="61371F84">
            <w:pPr>
              <w:adjustRightInd w:val="0"/>
              <w:snapToGrid w:val="0"/>
              <w:spacing w:line="360" w:lineRule="auto"/>
              <w:jc w:val="distribute"/>
              <w:rPr>
                <w:rFonts w:ascii="Times New Roman" w:hAnsi="Times New Roman"/>
                <w:color w:val="auto"/>
              </w:rPr>
            </w:pPr>
            <w:r>
              <w:rPr>
                <w:rFonts w:hint="eastAsia" w:ascii="黑体" w:hAnsi="黑体" w:eastAsia="黑体" w:cs="黑体"/>
                <w:color w:val="auto"/>
                <w:sz w:val="32"/>
                <w:szCs w:val="32"/>
                <w:highlight w:val="white"/>
              </w:rPr>
              <w:t>采购合同编号：</w:t>
            </w:r>
          </w:p>
        </w:tc>
        <w:tc>
          <w:tcPr>
            <w:tcW w:w="240" w:type="dxa"/>
            <w:tcBorders>
              <w:top w:val="nil"/>
              <w:left w:val="nil"/>
              <w:bottom w:val="nil"/>
              <w:right w:val="nil"/>
            </w:tcBorders>
            <w:noWrap w:val="0"/>
            <w:vAlign w:val="center"/>
          </w:tcPr>
          <w:p w14:paraId="24ED0683">
            <w:pPr>
              <w:ind w:firstLine="1960" w:firstLineChars="700"/>
              <w:rPr>
                <w:rFonts w:ascii="Times New Roman" w:hAnsi="Times New Roman"/>
                <w:color w:val="auto"/>
                <w:sz w:val="28"/>
                <w:szCs w:val="28"/>
              </w:rPr>
            </w:pPr>
          </w:p>
        </w:tc>
        <w:tc>
          <w:tcPr>
            <w:tcW w:w="6087" w:type="dxa"/>
            <w:tcBorders>
              <w:top w:val="nil"/>
              <w:left w:val="nil"/>
              <w:bottom w:val="nil"/>
              <w:right w:val="nil"/>
            </w:tcBorders>
            <w:noWrap w:val="0"/>
            <w:vAlign w:val="center"/>
          </w:tcPr>
          <w:p w14:paraId="6F7C51D2">
            <w:pPr>
              <w:rPr>
                <w:rFonts w:hint="eastAsia" w:ascii="微软雅黑" w:hAnsi="微软雅黑" w:eastAsia="微软雅黑" w:cs="微软雅黑"/>
                <w:color w:val="auto"/>
                <w:sz w:val="28"/>
                <w:szCs w:val="28"/>
              </w:rPr>
            </w:pPr>
          </w:p>
        </w:tc>
        <w:tc>
          <w:tcPr>
            <w:tcW w:w="264" w:type="dxa"/>
            <w:vMerge w:val="continue"/>
            <w:tcBorders>
              <w:top w:val="nil"/>
              <w:left w:val="nil"/>
              <w:bottom w:val="nil"/>
              <w:right w:val="nil"/>
            </w:tcBorders>
            <w:noWrap w:val="0"/>
            <w:vAlign w:val="center"/>
          </w:tcPr>
          <w:p w14:paraId="79FEEBCA">
            <w:pPr>
              <w:widowControl/>
              <w:jc w:val="left"/>
              <w:rPr>
                <w:rFonts w:ascii="Times New Roman" w:hAnsi="Times New Roman" w:eastAsia="楷体_GB2312"/>
                <w:color w:val="auto"/>
                <w:sz w:val="52"/>
              </w:rPr>
            </w:pPr>
          </w:p>
        </w:tc>
      </w:tr>
      <w:tr w14:paraId="18573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240" w:type="dxa"/>
            <w:vMerge w:val="continue"/>
            <w:tcBorders>
              <w:top w:val="nil"/>
              <w:left w:val="nil"/>
              <w:bottom w:val="nil"/>
              <w:right w:val="nil"/>
            </w:tcBorders>
            <w:noWrap w:val="0"/>
            <w:vAlign w:val="center"/>
          </w:tcPr>
          <w:p w14:paraId="05C38F04">
            <w:pPr>
              <w:widowControl/>
              <w:jc w:val="left"/>
              <w:rPr>
                <w:rFonts w:ascii="Times New Roman" w:hAnsi="Times New Roman" w:eastAsia="楷体_GB2312"/>
                <w:color w:val="auto"/>
                <w:sz w:val="52"/>
              </w:rPr>
            </w:pPr>
          </w:p>
        </w:tc>
        <w:tc>
          <w:tcPr>
            <w:tcW w:w="2889" w:type="dxa"/>
            <w:tcBorders>
              <w:top w:val="nil"/>
              <w:left w:val="nil"/>
              <w:bottom w:val="nil"/>
              <w:right w:val="nil"/>
            </w:tcBorders>
            <w:noWrap w:val="0"/>
            <w:vAlign w:val="center"/>
          </w:tcPr>
          <w:p w14:paraId="68A69675">
            <w:pPr>
              <w:adjustRightInd w:val="0"/>
              <w:snapToGrid w:val="0"/>
              <w:spacing w:line="360" w:lineRule="auto"/>
              <w:jc w:val="distribute"/>
              <w:rPr>
                <w:rFonts w:ascii="Times New Roman" w:hAnsi="Times New Roman"/>
                <w:color w:val="auto"/>
              </w:rPr>
            </w:pPr>
            <w:r>
              <w:rPr>
                <w:rFonts w:hint="eastAsia" w:ascii="黑体" w:hAnsi="黑体" w:eastAsia="黑体" w:cs="黑体"/>
                <w:color w:val="auto"/>
                <w:sz w:val="32"/>
                <w:szCs w:val="32"/>
                <w:highlight w:val="white"/>
              </w:rPr>
              <w:t>甲方（采购人）：</w:t>
            </w:r>
          </w:p>
        </w:tc>
        <w:tc>
          <w:tcPr>
            <w:tcW w:w="240" w:type="dxa"/>
            <w:tcBorders>
              <w:top w:val="nil"/>
              <w:left w:val="nil"/>
              <w:bottom w:val="nil"/>
              <w:right w:val="nil"/>
            </w:tcBorders>
            <w:noWrap w:val="0"/>
            <w:vAlign w:val="center"/>
          </w:tcPr>
          <w:p w14:paraId="5FB120E0">
            <w:pPr>
              <w:ind w:firstLine="1960" w:firstLineChars="700"/>
              <w:rPr>
                <w:rFonts w:ascii="Times New Roman" w:hAnsi="Times New Roman"/>
                <w:color w:val="auto"/>
                <w:sz w:val="28"/>
                <w:szCs w:val="28"/>
              </w:rPr>
            </w:pPr>
          </w:p>
        </w:tc>
        <w:tc>
          <w:tcPr>
            <w:tcW w:w="6087" w:type="dxa"/>
            <w:tcBorders>
              <w:top w:val="nil"/>
              <w:left w:val="nil"/>
              <w:bottom w:val="nil"/>
              <w:right w:val="nil"/>
            </w:tcBorders>
            <w:noWrap w:val="0"/>
            <w:vAlign w:val="center"/>
          </w:tcPr>
          <w:p w14:paraId="76003784">
            <w:pPr>
              <w:rPr>
                <w:rFonts w:hint="default" w:ascii="微软雅黑" w:hAnsi="微软雅黑" w:eastAsia="微软雅黑" w:cs="微软雅黑"/>
                <w:color w:val="auto"/>
                <w:sz w:val="28"/>
                <w:szCs w:val="28"/>
                <w:lang w:val="en" w:eastAsia="zh-CN"/>
              </w:rPr>
            </w:pPr>
            <w:r>
              <w:rPr>
                <w:rFonts w:hint="eastAsia" w:ascii="黑体" w:hAnsi="黑体" w:eastAsia="黑体" w:cs="黑体"/>
                <w:color w:val="auto"/>
                <w:sz w:val="28"/>
                <w:szCs w:val="32"/>
                <w:lang w:val="en-US" w:eastAsia="zh-CN"/>
              </w:rPr>
              <w:t>张家界市公安局</w:t>
            </w:r>
          </w:p>
        </w:tc>
        <w:tc>
          <w:tcPr>
            <w:tcW w:w="264" w:type="dxa"/>
            <w:vMerge w:val="continue"/>
            <w:tcBorders>
              <w:top w:val="nil"/>
              <w:left w:val="nil"/>
              <w:bottom w:val="nil"/>
              <w:right w:val="nil"/>
            </w:tcBorders>
            <w:noWrap w:val="0"/>
            <w:vAlign w:val="center"/>
          </w:tcPr>
          <w:p w14:paraId="76DC1102">
            <w:pPr>
              <w:widowControl/>
              <w:jc w:val="left"/>
              <w:rPr>
                <w:rFonts w:ascii="Times New Roman" w:hAnsi="Times New Roman" w:eastAsia="楷体_GB2312"/>
                <w:color w:val="auto"/>
                <w:sz w:val="52"/>
              </w:rPr>
            </w:pPr>
          </w:p>
        </w:tc>
      </w:tr>
      <w:tr w14:paraId="1F51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240" w:type="dxa"/>
            <w:vMerge w:val="continue"/>
            <w:tcBorders>
              <w:top w:val="nil"/>
              <w:left w:val="nil"/>
              <w:bottom w:val="nil"/>
              <w:right w:val="nil"/>
            </w:tcBorders>
            <w:noWrap w:val="0"/>
            <w:vAlign w:val="center"/>
          </w:tcPr>
          <w:p w14:paraId="50325173">
            <w:pPr>
              <w:widowControl/>
              <w:jc w:val="left"/>
              <w:rPr>
                <w:rFonts w:ascii="Times New Roman" w:hAnsi="Times New Roman" w:eastAsia="楷体_GB2312"/>
                <w:color w:val="auto"/>
                <w:sz w:val="52"/>
              </w:rPr>
            </w:pPr>
          </w:p>
        </w:tc>
        <w:tc>
          <w:tcPr>
            <w:tcW w:w="2889" w:type="dxa"/>
            <w:tcBorders>
              <w:top w:val="nil"/>
              <w:left w:val="nil"/>
              <w:bottom w:val="nil"/>
              <w:right w:val="nil"/>
            </w:tcBorders>
            <w:noWrap w:val="0"/>
            <w:vAlign w:val="center"/>
          </w:tcPr>
          <w:p w14:paraId="596F8331">
            <w:pPr>
              <w:adjustRightInd w:val="0"/>
              <w:snapToGrid w:val="0"/>
              <w:spacing w:line="360" w:lineRule="auto"/>
              <w:jc w:val="distribute"/>
              <w:rPr>
                <w:rFonts w:ascii="Times New Roman" w:hAnsi="Times New Roman"/>
                <w:color w:val="auto"/>
              </w:rPr>
            </w:pPr>
            <w:r>
              <w:rPr>
                <w:rFonts w:hint="eastAsia" w:ascii="黑体" w:hAnsi="黑体" w:eastAsia="黑体" w:cs="黑体"/>
                <w:color w:val="auto"/>
                <w:sz w:val="32"/>
                <w:szCs w:val="32"/>
                <w:highlight w:val="white"/>
              </w:rPr>
              <w:t>乙方（供应商）：</w:t>
            </w:r>
          </w:p>
        </w:tc>
        <w:tc>
          <w:tcPr>
            <w:tcW w:w="240" w:type="dxa"/>
            <w:tcBorders>
              <w:top w:val="nil"/>
              <w:left w:val="nil"/>
              <w:bottom w:val="nil"/>
              <w:right w:val="nil"/>
            </w:tcBorders>
            <w:noWrap w:val="0"/>
            <w:vAlign w:val="center"/>
          </w:tcPr>
          <w:p w14:paraId="02C34CD8">
            <w:pPr>
              <w:ind w:firstLine="1960" w:firstLineChars="700"/>
              <w:rPr>
                <w:rFonts w:ascii="Times New Roman" w:hAnsi="Times New Roman"/>
                <w:color w:val="auto"/>
                <w:sz w:val="28"/>
                <w:szCs w:val="28"/>
              </w:rPr>
            </w:pPr>
          </w:p>
        </w:tc>
        <w:tc>
          <w:tcPr>
            <w:tcW w:w="6087" w:type="dxa"/>
            <w:tcBorders>
              <w:top w:val="nil"/>
              <w:left w:val="nil"/>
              <w:bottom w:val="nil"/>
              <w:right w:val="nil"/>
            </w:tcBorders>
            <w:noWrap w:val="0"/>
            <w:vAlign w:val="center"/>
          </w:tcPr>
          <w:p w14:paraId="1A91C41A">
            <w:pPr>
              <w:rPr>
                <w:rFonts w:ascii="Times New Roman" w:hAnsi="Times New Roman"/>
                <w:color w:val="auto"/>
                <w:sz w:val="28"/>
                <w:szCs w:val="28"/>
              </w:rPr>
            </w:pPr>
          </w:p>
        </w:tc>
        <w:tc>
          <w:tcPr>
            <w:tcW w:w="264" w:type="dxa"/>
            <w:vMerge w:val="continue"/>
            <w:tcBorders>
              <w:top w:val="nil"/>
              <w:left w:val="nil"/>
              <w:bottom w:val="nil"/>
              <w:right w:val="nil"/>
            </w:tcBorders>
            <w:noWrap w:val="0"/>
            <w:vAlign w:val="center"/>
          </w:tcPr>
          <w:p w14:paraId="5F92B5FB">
            <w:pPr>
              <w:widowControl/>
              <w:jc w:val="left"/>
              <w:rPr>
                <w:rFonts w:ascii="Times New Roman" w:hAnsi="Times New Roman" w:eastAsia="楷体_GB2312"/>
                <w:color w:val="auto"/>
                <w:sz w:val="52"/>
              </w:rPr>
            </w:pPr>
          </w:p>
        </w:tc>
      </w:tr>
      <w:tr w14:paraId="75D0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240" w:type="dxa"/>
            <w:tcBorders>
              <w:top w:val="nil"/>
              <w:left w:val="nil"/>
              <w:bottom w:val="nil"/>
              <w:right w:val="nil"/>
            </w:tcBorders>
            <w:noWrap w:val="0"/>
            <w:vAlign w:val="center"/>
          </w:tcPr>
          <w:p w14:paraId="7D3D0742">
            <w:pPr>
              <w:widowControl/>
              <w:jc w:val="left"/>
              <w:rPr>
                <w:rFonts w:ascii="Times New Roman" w:hAnsi="Times New Roman" w:eastAsia="楷体_GB2312"/>
                <w:color w:val="auto"/>
                <w:sz w:val="52"/>
              </w:rPr>
            </w:pPr>
          </w:p>
        </w:tc>
        <w:tc>
          <w:tcPr>
            <w:tcW w:w="2889" w:type="dxa"/>
            <w:tcBorders>
              <w:top w:val="nil"/>
              <w:left w:val="nil"/>
              <w:bottom w:val="nil"/>
              <w:right w:val="nil"/>
            </w:tcBorders>
            <w:noWrap w:val="0"/>
            <w:vAlign w:val="center"/>
          </w:tcPr>
          <w:p w14:paraId="60BC85A4">
            <w:pPr>
              <w:adjustRightInd w:val="0"/>
              <w:snapToGrid w:val="0"/>
              <w:spacing w:line="360" w:lineRule="auto"/>
              <w:jc w:val="distribute"/>
              <w:rPr>
                <w:rFonts w:ascii="黑体" w:hAnsi="黑体" w:eastAsia="黑体" w:cs="黑体"/>
                <w:color w:val="auto"/>
                <w:sz w:val="32"/>
                <w:szCs w:val="32"/>
                <w:highlight w:val="white"/>
              </w:rPr>
            </w:pPr>
            <w:r>
              <w:rPr>
                <w:rFonts w:hint="eastAsia" w:ascii="黑体" w:hAnsi="黑体" w:eastAsia="黑体" w:cs="黑体"/>
                <w:color w:val="auto"/>
                <w:sz w:val="32"/>
                <w:szCs w:val="32"/>
                <w:highlight w:val="white"/>
              </w:rPr>
              <w:t>签订地点：</w:t>
            </w:r>
          </w:p>
        </w:tc>
        <w:tc>
          <w:tcPr>
            <w:tcW w:w="240" w:type="dxa"/>
            <w:tcBorders>
              <w:top w:val="nil"/>
              <w:left w:val="nil"/>
              <w:bottom w:val="nil"/>
              <w:right w:val="nil"/>
            </w:tcBorders>
            <w:noWrap w:val="0"/>
            <w:vAlign w:val="center"/>
          </w:tcPr>
          <w:p w14:paraId="39E60C5D">
            <w:pPr>
              <w:ind w:firstLine="1960" w:firstLineChars="700"/>
              <w:rPr>
                <w:rFonts w:ascii="Times New Roman" w:hAnsi="Times New Roman"/>
                <w:color w:val="auto"/>
                <w:sz w:val="28"/>
                <w:szCs w:val="28"/>
              </w:rPr>
            </w:pPr>
          </w:p>
        </w:tc>
        <w:tc>
          <w:tcPr>
            <w:tcW w:w="6087" w:type="dxa"/>
            <w:tcBorders>
              <w:top w:val="nil"/>
              <w:left w:val="nil"/>
              <w:bottom w:val="nil"/>
              <w:right w:val="nil"/>
            </w:tcBorders>
            <w:noWrap w:val="0"/>
            <w:vAlign w:val="center"/>
          </w:tcPr>
          <w:p w14:paraId="65F681A9">
            <w:pPr>
              <w:rPr>
                <w:rFonts w:ascii="Times New Roman" w:hAnsi="Times New Roman"/>
                <w:color w:val="auto"/>
                <w:sz w:val="28"/>
                <w:szCs w:val="28"/>
              </w:rPr>
            </w:pPr>
          </w:p>
        </w:tc>
        <w:tc>
          <w:tcPr>
            <w:tcW w:w="264" w:type="dxa"/>
            <w:tcBorders>
              <w:top w:val="nil"/>
              <w:left w:val="nil"/>
              <w:bottom w:val="nil"/>
              <w:right w:val="nil"/>
            </w:tcBorders>
            <w:noWrap w:val="0"/>
            <w:vAlign w:val="center"/>
          </w:tcPr>
          <w:p w14:paraId="5530111E">
            <w:pPr>
              <w:widowControl/>
              <w:jc w:val="distribute"/>
              <w:rPr>
                <w:rFonts w:ascii="Times New Roman" w:hAnsi="Times New Roman" w:eastAsia="楷体_GB2312"/>
                <w:color w:val="auto"/>
                <w:sz w:val="52"/>
              </w:rPr>
            </w:pPr>
          </w:p>
        </w:tc>
      </w:tr>
      <w:tr w14:paraId="3BF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240" w:type="dxa"/>
            <w:tcBorders>
              <w:top w:val="nil"/>
              <w:left w:val="nil"/>
              <w:bottom w:val="nil"/>
              <w:right w:val="nil"/>
            </w:tcBorders>
            <w:noWrap w:val="0"/>
            <w:vAlign w:val="center"/>
          </w:tcPr>
          <w:p w14:paraId="4E1BAC38">
            <w:pPr>
              <w:widowControl/>
              <w:jc w:val="left"/>
              <w:rPr>
                <w:rFonts w:ascii="Times New Roman" w:hAnsi="Times New Roman" w:eastAsia="楷体_GB2312"/>
                <w:color w:val="auto"/>
                <w:sz w:val="52"/>
              </w:rPr>
            </w:pPr>
          </w:p>
        </w:tc>
        <w:tc>
          <w:tcPr>
            <w:tcW w:w="2889" w:type="dxa"/>
            <w:tcBorders>
              <w:top w:val="nil"/>
              <w:left w:val="nil"/>
              <w:bottom w:val="nil"/>
              <w:right w:val="nil"/>
            </w:tcBorders>
            <w:noWrap w:val="0"/>
            <w:vAlign w:val="center"/>
          </w:tcPr>
          <w:p w14:paraId="7674B322">
            <w:pPr>
              <w:adjustRightInd w:val="0"/>
              <w:snapToGrid w:val="0"/>
              <w:spacing w:line="360" w:lineRule="auto"/>
              <w:jc w:val="distribute"/>
              <w:rPr>
                <w:rFonts w:ascii="黑体" w:hAnsi="黑体" w:eastAsia="黑体" w:cs="黑体"/>
                <w:color w:val="auto"/>
                <w:sz w:val="32"/>
                <w:szCs w:val="32"/>
                <w:highlight w:val="white"/>
              </w:rPr>
            </w:pPr>
            <w:r>
              <w:rPr>
                <w:rFonts w:hint="eastAsia" w:ascii="黑体" w:hAnsi="黑体" w:eastAsia="黑体" w:cs="黑体"/>
                <w:color w:val="auto"/>
                <w:sz w:val="32"/>
                <w:szCs w:val="32"/>
                <w:highlight w:val="white"/>
              </w:rPr>
              <w:t>签订日期：</w:t>
            </w:r>
          </w:p>
        </w:tc>
        <w:tc>
          <w:tcPr>
            <w:tcW w:w="240" w:type="dxa"/>
            <w:tcBorders>
              <w:top w:val="nil"/>
              <w:left w:val="nil"/>
              <w:bottom w:val="nil"/>
              <w:right w:val="nil"/>
            </w:tcBorders>
            <w:noWrap w:val="0"/>
            <w:vAlign w:val="center"/>
          </w:tcPr>
          <w:p w14:paraId="59858DD7">
            <w:pPr>
              <w:ind w:firstLine="1960" w:firstLineChars="700"/>
              <w:rPr>
                <w:rFonts w:ascii="Times New Roman" w:hAnsi="Times New Roman"/>
                <w:color w:val="auto"/>
                <w:sz w:val="28"/>
                <w:szCs w:val="28"/>
              </w:rPr>
            </w:pPr>
          </w:p>
        </w:tc>
        <w:tc>
          <w:tcPr>
            <w:tcW w:w="6087" w:type="dxa"/>
            <w:tcBorders>
              <w:top w:val="nil"/>
              <w:left w:val="nil"/>
              <w:bottom w:val="nil"/>
              <w:right w:val="nil"/>
            </w:tcBorders>
            <w:noWrap w:val="0"/>
            <w:vAlign w:val="center"/>
          </w:tcPr>
          <w:p w14:paraId="58621372">
            <w:pPr>
              <w:rPr>
                <w:rFonts w:ascii="Times New Roman" w:hAnsi="Times New Roman"/>
                <w:color w:val="auto"/>
                <w:sz w:val="28"/>
                <w:szCs w:val="28"/>
              </w:rPr>
            </w:pPr>
          </w:p>
        </w:tc>
        <w:tc>
          <w:tcPr>
            <w:tcW w:w="264" w:type="dxa"/>
            <w:tcBorders>
              <w:top w:val="nil"/>
              <w:left w:val="nil"/>
              <w:bottom w:val="nil"/>
              <w:right w:val="nil"/>
            </w:tcBorders>
            <w:noWrap w:val="0"/>
            <w:vAlign w:val="center"/>
          </w:tcPr>
          <w:p w14:paraId="67024B9E">
            <w:pPr>
              <w:widowControl/>
              <w:jc w:val="distribute"/>
              <w:rPr>
                <w:rFonts w:ascii="Times New Roman" w:hAnsi="Times New Roman" w:eastAsia="楷体_GB2312"/>
                <w:color w:val="auto"/>
                <w:sz w:val="52"/>
              </w:rPr>
            </w:pPr>
          </w:p>
        </w:tc>
      </w:tr>
    </w:tbl>
    <w:p w14:paraId="0BC1D3DF">
      <w:pPr>
        <w:rPr>
          <w:color w:val="auto"/>
        </w:rPr>
      </w:pPr>
      <w:r>
        <w:rPr>
          <w:rFonts w:hint="eastAsia"/>
          <w:color w:val="auto"/>
        </w:rPr>
        <w:br w:type="page"/>
      </w:r>
    </w:p>
    <w:p w14:paraId="261052C4">
      <w:pPr>
        <w:widowControl w:val="0"/>
        <w:adjustRightInd w:val="0"/>
        <w:snapToGrid w:val="0"/>
        <w:spacing w:before="156" w:beforeLines="50" w:line="460" w:lineRule="exact"/>
        <w:ind w:firstLine="480" w:firstLineChars="200"/>
        <w:jc w:val="both"/>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u w:val="single"/>
          <w:lang w:val="en-US" w:eastAsia="zh-CN" w:bidi="ar-SA"/>
        </w:rPr>
        <w:t>张家界市公安局</w:t>
      </w:r>
      <w:r>
        <w:rPr>
          <w:rFonts w:ascii="Times New Roman" w:hAnsi="Times New Roman" w:eastAsia="宋体" w:cs="Times New Roman"/>
          <w:color w:val="auto"/>
          <w:kern w:val="2"/>
          <w:sz w:val="24"/>
          <w:szCs w:val="22"/>
          <w:u w:val="single"/>
          <w:lang w:val="en-US" w:eastAsia="zh-CN" w:bidi="ar-SA"/>
        </w:rPr>
        <w:t xml:space="preserve"> </w:t>
      </w:r>
      <w:r>
        <w:rPr>
          <w:rFonts w:hint="eastAsia" w:ascii="Times New Roman" w:hAnsi="Times New Roman" w:eastAsia="宋体" w:cs="Times New Roman"/>
          <w:color w:val="auto"/>
          <w:kern w:val="2"/>
          <w:sz w:val="24"/>
          <w:szCs w:val="22"/>
          <w:lang w:val="en-US" w:eastAsia="zh-CN" w:bidi="ar-SA"/>
        </w:rPr>
        <w:t>（以下简称：甲方）通过</w:t>
      </w:r>
      <w:r>
        <w:rPr>
          <w:rFonts w:hint="eastAsia" w:ascii="Times New Roman" w:hAnsi="Times New Roman" w:eastAsia="宋体" w:cs="Times New Roman"/>
          <w:color w:val="auto"/>
          <w:kern w:val="2"/>
          <w:sz w:val="24"/>
          <w:szCs w:val="22"/>
          <w:u w:val="single"/>
          <w:lang w:val="en-US" w:eastAsia="zh-CN" w:bidi="ar-SA"/>
        </w:rPr>
        <w:t xml:space="preserve"> </w:t>
      </w:r>
      <w:r>
        <w:rPr>
          <w:rFonts w:hint="eastAsia" w:ascii="Times New Roman" w:hAnsi="Times New Roman" w:eastAsia="宋体" w:cs="Times New Roman"/>
          <w:color w:val="auto"/>
          <w:kern w:val="2"/>
          <w:sz w:val="24"/>
          <w:szCs w:val="24"/>
          <w:u w:val="single"/>
          <w:lang w:val="en-US" w:eastAsia="zh-CN" w:bidi="ar-SA"/>
        </w:rPr>
        <w:t>湖南省天平项目管理有限公司</w:t>
      </w:r>
      <w:r>
        <w:rPr>
          <w:rFonts w:ascii="Times New Roman" w:hAnsi="Times New Roman" w:eastAsia="宋体" w:cs="Times New Roman"/>
          <w:color w:val="auto"/>
          <w:kern w:val="2"/>
          <w:sz w:val="24"/>
          <w:szCs w:val="22"/>
          <w:u w:val="single"/>
          <w:lang w:val="en-US" w:eastAsia="zh-CN" w:bidi="ar-SA"/>
        </w:rPr>
        <w:t xml:space="preserve"> </w:t>
      </w:r>
      <w:r>
        <w:rPr>
          <w:rFonts w:hint="eastAsia" w:ascii="Times New Roman" w:hAnsi="Times New Roman" w:eastAsia="宋体" w:cs="Times New Roman"/>
          <w:color w:val="auto"/>
          <w:kern w:val="2"/>
          <w:sz w:val="24"/>
          <w:szCs w:val="22"/>
          <w:lang w:val="en-US" w:eastAsia="zh-CN" w:bidi="ar-SA"/>
        </w:rPr>
        <w:t>组织的竞争性谈判方式采购活动，经评标委员会评定，</w:t>
      </w:r>
      <w:r>
        <w:rPr>
          <w:rFonts w:hint="eastAsia" w:ascii="Times New Roman" w:hAnsi="Times New Roman" w:eastAsia="宋体" w:cs="Times New Roman"/>
          <w:color w:val="auto"/>
          <w:kern w:val="2"/>
          <w:sz w:val="24"/>
          <w:szCs w:val="22"/>
          <w:u w:val="single"/>
          <w:lang w:val="en-US" w:eastAsia="zh-CN" w:bidi="ar-SA"/>
        </w:rPr>
        <w:t>（中标人名称）</w:t>
      </w:r>
      <w:r>
        <w:rPr>
          <w:rFonts w:ascii="Times New Roman" w:hAnsi="Times New Roman" w:eastAsia="宋体" w:cs="Times New Roman"/>
          <w:color w:val="auto"/>
          <w:kern w:val="2"/>
          <w:sz w:val="24"/>
          <w:szCs w:val="22"/>
          <w:u w:val="single"/>
          <w:lang w:val="en-US" w:eastAsia="zh-CN" w:bidi="ar-SA"/>
        </w:rPr>
        <w:t xml:space="preserve">   </w:t>
      </w:r>
      <w:r>
        <w:rPr>
          <w:rFonts w:hint="eastAsia" w:ascii="Times New Roman" w:hAnsi="Times New Roman" w:eastAsia="宋体" w:cs="Times New Roman"/>
          <w:color w:val="auto"/>
          <w:kern w:val="2"/>
          <w:sz w:val="24"/>
          <w:szCs w:val="22"/>
          <w:lang w:val="en-US" w:eastAsia="zh-CN" w:bidi="ar-SA"/>
        </w:rPr>
        <w:t>（以下简称：乙方）为本项目中标人，现按照采购文件确定的事项签订本合同。</w:t>
      </w:r>
    </w:p>
    <w:p w14:paraId="32E0D9E6">
      <w:pPr>
        <w:widowControl w:val="0"/>
        <w:adjustRightInd w:val="0"/>
        <w:snapToGrid w:val="0"/>
        <w:spacing w:before="156" w:beforeLines="50" w:line="460" w:lineRule="exact"/>
        <w:ind w:firstLine="480" w:firstLineChars="200"/>
        <w:jc w:val="both"/>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根据《中华人民共和国民法典》、《中华人民共和国政府采购法》等相关法律法规之规定，按照平等、自愿、公平和诚实信用的原则，经甲方和乙方协商一致，约定以下合同条款，以兹共同遵守、全面履行。</w:t>
      </w:r>
    </w:p>
    <w:p w14:paraId="52100E32">
      <w:pPr>
        <w:widowControl w:val="0"/>
        <w:adjustRightInd w:val="0"/>
        <w:snapToGrid w:val="0"/>
        <w:spacing w:before="156" w:beforeLines="50" w:line="46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1.1</w:t>
      </w:r>
      <w:r>
        <w:rPr>
          <w:rFonts w:hint="eastAsia" w:ascii="Times New Roman" w:hAnsi="Times New Roman" w:eastAsia="宋体" w:cs="Times New Roman"/>
          <w:b/>
          <w:bCs/>
          <w:color w:val="auto"/>
          <w:kern w:val="2"/>
          <w:sz w:val="24"/>
          <w:szCs w:val="22"/>
          <w:lang w:val="en-US" w:eastAsia="zh-CN" w:bidi="ar-SA"/>
        </w:rPr>
        <w:t>合同组成部分</w:t>
      </w:r>
    </w:p>
    <w:p w14:paraId="01D3586B">
      <w:pPr>
        <w:widowControl w:val="0"/>
        <w:adjustRightInd w:val="0"/>
        <w:snapToGrid w:val="0"/>
        <w:spacing w:before="156" w:beforeLines="50" w:line="460" w:lineRule="exact"/>
        <w:ind w:firstLine="480" w:firstLineChars="200"/>
        <w:jc w:val="both"/>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下列文件为本合同的组成部分，并构成一个整体，需综合解释、相互补充。如果下列文件内容出现不一致的情形，那么在保证按照采购文件确定的事项前提下，组成本合同的多个文件的优先使用顺序如下：</w:t>
      </w:r>
    </w:p>
    <w:p w14:paraId="060C6681">
      <w:pPr>
        <w:widowControl w:val="0"/>
        <w:adjustRightInd w:val="0"/>
        <w:snapToGrid w:val="0"/>
        <w:spacing w:before="156" w:beforeLines="50" w:line="46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1.1.1</w:t>
      </w:r>
      <w:r>
        <w:rPr>
          <w:rFonts w:hint="eastAsia" w:ascii="Times New Roman" w:hAnsi="Times New Roman" w:eastAsia="宋体" w:cs="Times New Roman"/>
          <w:color w:val="auto"/>
          <w:kern w:val="2"/>
          <w:sz w:val="24"/>
          <w:szCs w:val="22"/>
          <w:lang w:val="en-US" w:eastAsia="zh-CN" w:bidi="ar-SA"/>
        </w:rPr>
        <w:t>本合同及其补充合同、变更协议；</w:t>
      </w:r>
    </w:p>
    <w:p w14:paraId="2082D206">
      <w:pPr>
        <w:widowControl w:val="0"/>
        <w:adjustRightInd w:val="0"/>
        <w:snapToGrid w:val="0"/>
        <w:spacing w:before="156" w:beforeLines="50" w:line="46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1.1.2</w:t>
      </w:r>
      <w:r>
        <w:rPr>
          <w:rFonts w:hint="eastAsia" w:ascii="Times New Roman" w:hAnsi="Times New Roman" w:eastAsia="宋体" w:cs="Times New Roman"/>
          <w:color w:val="auto"/>
          <w:kern w:val="2"/>
          <w:sz w:val="24"/>
          <w:szCs w:val="22"/>
          <w:lang w:val="en-US" w:eastAsia="zh-CN" w:bidi="ar-SA"/>
        </w:rPr>
        <w:t>中标通知书；</w:t>
      </w:r>
    </w:p>
    <w:p w14:paraId="128F0900">
      <w:pPr>
        <w:widowControl w:val="0"/>
        <w:adjustRightInd w:val="0"/>
        <w:snapToGrid w:val="0"/>
        <w:spacing w:before="156" w:beforeLines="50" w:line="46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1.1.3</w:t>
      </w:r>
      <w:r>
        <w:rPr>
          <w:rFonts w:hint="eastAsia" w:ascii="Times New Roman" w:hAnsi="Times New Roman" w:eastAsia="宋体" w:cs="Times New Roman"/>
          <w:color w:val="auto"/>
          <w:kern w:val="2"/>
          <w:sz w:val="24"/>
          <w:szCs w:val="22"/>
          <w:lang w:val="en-US" w:eastAsia="zh-CN" w:bidi="ar-SA"/>
        </w:rPr>
        <w:t>响应文件（含澄清或者说明文件）；</w:t>
      </w:r>
    </w:p>
    <w:p w14:paraId="4F5A8413">
      <w:pPr>
        <w:widowControl w:val="0"/>
        <w:adjustRightInd w:val="0"/>
        <w:snapToGrid w:val="0"/>
        <w:spacing w:before="156" w:beforeLines="50" w:line="46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1.1.4</w:t>
      </w:r>
      <w:r>
        <w:rPr>
          <w:rFonts w:hint="eastAsia" w:ascii="Times New Roman" w:hAnsi="Times New Roman" w:eastAsia="宋体" w:cs="Times New Roman"/>
          <w:color w:val="auto"/>
          <w:kern w:val="2"/>
          <w:sz w:val="24"/>
          <w:szCs w:val="22"/>
          <w:lang w:val="en-US" w:eastAsia="zh-CN" w:bidi="ar-SA"/>
        </w:rPr>
        <w:t>谈判文件（含澄清或者修改文件）；</w:t>
      </w:r>
    </w:p>
    <w:p w14:paraId="2AD93499">
      <w:pPr>
        <w:widowControl w:val="0"/>
        <w:adjustRightInd w:val="0"/>
        <w:snapToGrid w:val="0"/>
        <w:spacing w:before="156" w:beforeLines="50" w:line="46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1.1.5</w:t>
      </w:r>
      <w:r>
        <w:rPr>
          <w:rFonts w:hint="eastAsia" w:ascii="Times New Roman" w:hAnsi="Times New Roman" w:eastAsia="宋体" w:cs="Times New Roman"/>
          <w:color w:val="auto"/>
          <w:kern w:val="2"/>
          <w:sz w:val="24"/>
          <w:szCs w:val="22"/>
          <w:lang w:val="en-US" w:eastAsia="zh-CN" w:bidi="ar-SA"/>
        </w:rPr>
        <w:t>其他相关采购文件。</w:t>
      </w:r>
    </w:p>
    <w:p w14:paraId="52E948EA">
      <w:pPr>
        <w:widowControl w:val="0"/>
        <w:adjustRightInd w:val="0"/>
        <w:snapToGrid w:val="0"/>
        <w:spacing w:before="156" w:beforeLines="50" w:line="54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1.2</w:t>
      </w:r>
      <w:r>
        <w:rPr>
          <w:rFonts w:hint="eastAsia" w:ascii="Times New Roman" w:hAnsi="Times New Roman" w:eastAsia="宋体" w:cs="Times New Roman"/>
          <w:b/>
          <w:bCs/>
          <w:color w:val="auto"/>
          <w:kern w:val="2"/>
          <w:sz w:val="24"/>
          <w:szCs w:val="22"/>
          <w:lang w:val="en-US" w:eastAsia="zh-CN" w:bidi="ar-SA"/>
        </w:rPr>
        <w:t>货物</w:t>
      </w:r>
    </w:p>
    <w:tbl>
      <w:tblPr>
        <w:tblStyle w:val="35"/>
        <w:tblW w:w="0" w:type="auto"/>
        <w:tblInd w:w="0" w:type="dxa"/>
        <w:tblLayout w:type="fixed"/>
        <w:tblCellMar>
          <w:top w:w="0" w:type="dxa"/>
          <w:left w:w="108" w:type="dxa"/>
          <w:bottom w:w="0" w:type="dxa"/>
          <w:right w:w="108" w:type="dxa"/>
        </w:tblCellMar>
      </w:tblPr>
      <w:tblGrid>
        <w:gridCol w:w="624"/>
        <w:gridCol w:w="2216"/>
        <w:gridCol w:w="3088"/>
        <w:gridCol w:w="1215"/>
        <w:gridCol w:w="1065"/>
        <w:gridCol w:w="1995"/>
      </w:tblGrid>
      <w:tr w14:paraId="24B0F4C3">
        <w:tblPrEx>
          <w:tblCellMar>
            <w:top w:w="0" w:type="dxa"/>
            <w:left w:w="108" w:type="dxa"/>
            <w:bottom w:w="0" w:type="dxa"/>
            <w:right w:w="108" w:type="dxa"/>
          </w:tblCellMar>
        </w:tblPrEx>
        <w:tc>
          <w:tcPr>
            <w:tcW w:w="624" w:type="dxa"/>
            <w:tcBorders>
              <w:top w:val="double" w:color="auto" w:sz="4" w:space="0"/>
              <w:left w:val="double" w:color="auto" w:sz="4" w:space="0"/>
              <w:bottom w:val="single" w:color="auto" w:sz="4" w:space="0"/>
              <w:right w:val="single" w:color="auto" w:sz="4" w:space="0"/>
            </w:tcBorders>
            <w:noWrap w:val="0"/>
            <w:vAlign w:val="center"/>
          </w:tcPr>
          <w:p w14:paraId="27469893">
            <w:pPr>
              <w:widowControl w:val="0"/>
              <w:spacing w:line="300" w:lineRule="exact"/>
              <w:jc w:val="center"/>
              <w:rPr>
                <w:rFonts w:ascii="Times New Roman" w:hAnsi="Times New Roman" w:eastAsia="微软雅黑" w:cs="Times New Roman"/>
                <w:b/>
                <w:color w:val="auto"/>
                <w:kern w:val="2"/>
                <w:sz w:val="22"/>
                <w:szCs w:val="24"/>
                <w:lang w:val="en-US" w:eastAsia="zh-CN" w:bidi="ar-SA"/>
              </w:rPr>
            </w:pPr>
            <w:r>
              <w:rPr>
                <w:rFonts w:hint="eastAsia" w:ascii="Times New Roman" w:hAnsi="Times New Roman" w:eastAsia="微软雅黑" w:cs="Times New Roman"/>
                <w:b/>
                <w:color w:val="auto"/>
                <w:kern w:val="2"/>
                <w:sz w:val="22"/>
                <w:szCs w:val="24"/>
                <w:lang w:val="en-US" w:eastAsia="zh-CN" w:bidi="ar-SA"/>
              </w:rPr>
              <w:t>序号</w:t>
            </w:r>
          </w:p>
        </w:tc>
        <w:tc>
          <w:tcPr>
            <w:tcW w:w="2216" w:type="dxa"/>
            <w:tcBorders>
              <w:top w:val="double" w:color="auto" w:sz="4" w:space="0"/>
              <w:left w:val="single" w:color="auto" w:sz="4" w:space="0"/>
              <w:bottom w:val="single" w:color="auto" w:sz="4" w:space="0"/>
              <w:right w:val="single" w:color="auto" w:sz="4" w:space="0"/>
            </w:tcBorders>
            <w:noWrap w:val="0"/>
            <w:vAlign w:val="center"/>
          </w:tcPr>
          <w:p w14:paraId="77E5F021">
            <w:pPr>
              <w:widowControl w:val="0"/>
              <w:spacing w:line="300" w:lineRule="exact"/>
              <w:jc w:val="center"/>
              <w:rPr>
                <w:rFonts w:ascii="Times New Roman" w:hAnsi="Times New Roman" w:eastAsia="微软雅黑" w:cs="Times New Roman"/>
                <w:b/>
                <w:color w:val="auto"/>
                <w:kern w:val="2"/>
                <w:sz w:val="22"/>
                <w:szCs w:val="24"/>
                <w:lang w:val="en-US" w:eastAsia="zh-CN" w:bidi="ar-SA"/>
              </w:rPr>
            </w:pPr>
            <w:r>
              <w:rPr>
                <w:rFonts w:hint="eastAsia" w:ascii="Times New Roman" w:hAnsi="Times New Roman" w:eastAsia="微软雅黑" w:cs="Times New Roman"/>
                <w:b/>
                <w:color w:val="auto"/>
                <w:kern w:val="2"/>
                <w:sz w:val="22"/>
                <w:szCs w:val="24"/>
                <w:lang w:val="en-US" w:eastAsia="zh-CN" w:bidi="ar-SA"/>
              </w:rPr>
              <w:t>货物名称</w:t>
            </w:r>
          </w:p>
        </w:tc>
        <w:tc>
          <w:tcPr>
            <w:tcW w:w="3088" w:type="dxa"/>
            <w:tcBorders>
              <w:top w:val="double" w:color="auto" w:sz="4" w:space="0"/>
              <w:left w:val="single" w:color="auto" w:sz="4" w:space="0"/>
              <w:bottom w:val="single" w:color="auto" w:sz="4" w:space="0"/>
              <w:right w:val="single" w:color="auto" w:sz="4" w:space="0"/>
            </w:tcBorders>
            <w:noWrap w:val="0"/>
            <w:vAlign w:val="center"/>
          </w:tcPr>
          <w:p w14:paraId="21F2674A">
            <w:pPr>
              <w:widowControl w:val="0"/>
              <w:spacing w:line="300" w:lineRule="exact"/>
              <w:jc w:val="center"/>
              <w:rPr>
                <w:rFonts w:ascii="Times New Roman" w:hAnsi="Times New Roman" w:eastAsia="微软雅黑" w:cs="Times New Roman"/>
                <w:b/>
                <w:color w:val="auto"/>
                <w:kern w:val="2"/>
                <w:sz w:val="22"/>
                <w:szCs w:val="24"/>
                <w:lang w:val="en-US" w:eastAsia="zh-CN" w:bidi="ar-SA"/>
              </w:rPr>
            </w:pPr>
            <w:r>
              <w:rPr>
                <w:rFonts w:hint="eastAsia" w:ascii="Times New Roman" w:hAnsi="Times New Roman" w:eastAsia="微软雅黑" w:cs="Times New Roman"/>
                <w:b/>
                <w:color w:val="auto"/>
                <w:kern w:val="2"/>
                <w:sz w:val="22"/>
                <w:szCs w:val="24"/>
                <w:lang w:val="en-US" w:eastAsia="zh-CN" w:bidi="ar-SA"/>
              </w:rPr>
              <w:t>规格型号</w:t>
            </w:r>
          </w:p>
        </w:tc>
        <w:tc>
          <w:tcPr>
            <w:tcW w:w="1215" w:type="dxa"/>
            <w:tcBorders>
              <w:top w:val="double" w:color="auto" w:sz="4" w:space="0"/>
              <w:left w:val="single" w:color="auto" w:sz="4" w:space="0"/>
              <w:bottom w:val="single" w:color="auto" w:sz="4" w:space="0"/>
              <w:right w:val="single" w:color="auto" w:sz="4" w:space="0"/>
            </w:tcBorders>
            <w:noWrap w:val="0"/>
            <w:vAlign w:val="center"/>
          </w:tcPr>
          <w:p w14:paraId="0F33A089">
            <w:pPr>
              <w:widowControl w:val="0"/>
              <w:spacing w:line="300" w:lineRule="exact"/>
              <w:jc w:val="center"/>
              <w:rPr>
                <w:rFonts w:ascii="Times New Roman" w:hAnsi="Times New Roman" w:eastAsia="微软雅黑" w:cs="Times New Roman"/>
                <w:b/>
                <w:color w:val="auto"/>
                <w:kern w:val="2"/>
                <w:sz w:val="22"/>
                <w:szCs w:val="24"/>
                <w:lang w:val="en-US" w:eastAsia="zh-CN" w:bidi="ar-SA"/>
              </w:rPr>
            </w:pPr>
            <w:r>
              <w:rPr>
                <w:rFonts w:hint="eastAsia" w:ascii="Times New Roman" w:hAnsi="Times New Roman" w:eastAsia="微软雅黑" w:cs="Times New Roman"/>
                <w:b/>
                <w:color w:val="auto"/>
                <w:kern w:val="2"/>
                <w:sz w:val="22"/>
                <w:szCs w:val="24"/>
                <w:lang w:val="en-US" w:eastAsia="zh-CN" w:bidi="ar-SA"/>
              </w:rPr>
              <w:t>单位</w:t>
            </w:r>
          </w:p>
        </w:tc>
        <w:tc>
          <w:tcPr>
            <w:tcW w:w="1065" w:type="dxa"/>
            <w:tcBorders>
              <w:top w:val="double" w:color="auto" w:sz="4" w:space="0"/>
              <w:left w:val="single" w:color="auto" w:sz="4" w:space="0"/>
              <w:bottom w:val="single" w:color="auto" w:sz="4" w:space="0"/>
              <w:right w:val="single" w:color="auto" w:sz="4" w:space="0"/>
            </w:tcBorders>
            <w:noWrap w:val="0"/>
            <w:vAlign w:val="center"/>
          </w:tcPr>
          <w:p w14:paraId="22508DA7">
            <w:pPr>
              <w:widowControl w:val="0"/>
              <w:spacing w:line="300" w:lineRule="exact"/>
              <w:jc w:val="center"/>
              <w:rPr>
                <w:rFonts w:ascii="Times New Roman" w:hAnsi="Times New Roman" w:eastAsia="微软雅黑" w:cs="Times New Roman"/>
                <w:b/>
                <w:color w:val="auto"/>
                <w:kern w:val="2"/>
                <w:sz w:val="22"/>
                <w:szCs w:val="24"/>
                <w:lang w:val="en-US" w:eastAsia="zh-CN" w:bidi="ar-SA"/>
              </w:rPr>
            </w:pPr>
            <w:r>
              <w:rPr>
                <w:rFonts w:hint="eastAsia" w:ascii="Times New Roman" w:hAnsi="Times New Roman" w:eastAsia="微软雅黑" w:cs="Times New Roman"/>
                <w:b/>
                <w:color w:val="auto"/>
                <w:kern w:val="2"/>
                <w:sz w:val="22"/>
                <w:szCs w:val="24"/>
                <w:lang w:val="en-US" w:eastAsia="zh-CN" w:bidi="ar-SA"/>
              </w:rPr>
              <w:t>数量</w:t>
            </w:r>
          </w:p>
        </w:tc>
        <w:tc>
          <w:tcPr>
            <w:tcW w:w="1995" w:type="dxa"/>
            <w:tcBorders>
              <w:top w:val="double" w:color="auto" w:sz="4" w:space="0"/>
              <w:left w:val="single" w:color="auto" w:sz="4" w:space="0"/>
              <w:bottom w:val="single" w:color="auto" w:sz="4" w:space="0"/>
              <w:right w:val="double" w:color="auto" w:sz="4" w:space="0"/>
            </w:tcBorders>
            <w:noWrap w:val="0"/>
            <w:vAlign w:val="center"/>
          </w:tcPr>
          <w:p w14:paraId="54BB1B7E">
            <w:pPr>
              <w:widowControl w:val="0"/>
              <w:spacing w:line="300" w:lineRule="exact"/>
              <w:jc w:val="center"/>
              <w:rPr>
                <w:rFonts w:ascii="Times New Roman" w:hAnsi="Times New Roman" w:eastAsia="微软雅黑" w:cs="Times New Roman"/>
                <w:b/>
                <w:color w:val="auto"/>
                <w:kern w:val="2"/>
                <w:sz w:val="22"/>
                <w:szCs w:val="24"/>
                <w:lang w:val="en-US" w:eastAsia="zh-CN" w:bidi="ar-SA"/>
              </w:rPr>
            </w:pPr>
            <w:r>
              <w:rPr>
                <w:rFonts w:hint="eastAsia" w:ascii="Times New Roman" w:hAnsi="Times New Roman" w:eastAsia="微软雅黑" w:cs="Times New Roman"/>
                <w:b/>
                <w:color w:val="auto"/>
                <w:kern w:val="2"/>
                <w:sz w:val="22"/>
                <w:szCs w:val="24"/>
                <w:lang w:val="en-US" w:eastAsia="zh-CN" w:bidi="ar-SA"/>
              </w:rPr>
              <w:t>生产厂商</w:t>
            </w:r>
          </w:p>
        </w:tc>
      </w:tr>
      <w:tr w14:paraId="2A684239">
        <w:tblPrEx>
          <w:tblCellMar>
            <w:top w:w="0" w:type="dxa"/>
            <w:left w:w="108" w:type="dxa"/>
            <w:bottom w:w="0" w:type="dxa"/>
            <w:right w:w="108" w:type="dxa"/>
          </w:tblCellMar>
        </w:tblPrEx>
        <w:tc>
          <w:tcPr>
            <w:tcW w:w="624" w:type="dxa"/>
            <w:tcBorders>
              <w:top w:val="single" w:color="auto" w:sz="4" w:space="0"/>
              <w:left w:val="double" w:color="auto" w:sz="4" w:space="0"/>
              <w:bottom w:val="single" w:color="auto" w:sz="4" w:space="0"/>
              <w:right w:val="single" w:color="auto" w:sz="4" w:space="0"/>
            </w:tcBorders>
            <w:noWrap w:val="0"/>
            <w:vAlign w:val="top"/>
          </w:tcPr>
          <w:p w14:paraId="457B77F0">
            <w:pPr>
              <w:widowControl w:val="0"/>
              <w:spacing w:line="300" w:lineRule="exact"/>
              <w:jc w:val="center"/>
              <w:rPr>
                <w:rFonts w:ascii="Times New Roman" w:hAnsi="Times New Roman" w:eastAsia="微软雅黑" w:cs="Times New Roman"/>
                <w:b/>
                <w:color w:val="auto"/>
                <w:kern w:val="2"/>
                <w:sz w:val="22"/>
                <w:szCs w:val="24"/>
                <w:lang w:val="en-US" w:eastAsia="zh-CN" w:bidi="ar-SA"/>
              </w:rPr>
            </w:pPr>
            <w:r>
              <w:rPr>
                <w:rFonts w:ascii="Times New Roman" w:hAnsi="Times New Roman" w:eastAsia="微软雅黑" w:cs="Times New Roman"/>
                <w:b/>
                <w:color w:val="auto"/>
                <w:kern w:val="2"/>
                <w:sz w:val="22"/>
                <w:szCs w:val="24"/>
                <w:lang w:val="en-US" w:eastAsia="zh-CN" w:bidi="ar-SA"/>
              </w:rPr>
              <w:t>1</w:t>
            </w:r>
          </w:p>
        </w:tc>
        <w:tc>
          <w:tcPr>
            <w:tcW w:w="2216" w:type="dxa"/>
            <w:tcBorders>
              <w:top w:val="single" w:color="auto" w:sz="4" w:space="0"/>
              <w:left w:val="single" w:color="auto" w:sz="4" w:space="0"/>
              <w:bottom w:val="single" w:color="auto" w:sz="4" w:space="0"/>
              <w:right w:val="single" w:color="auto" w:sz="4" w:space="0"/>
            </w:tcBorders>
            <w:noWrap w:val="0"/>
            <w:vAlign w:val="top"/>
          </w:tcPr>
          <w:p w14:paraId="6EFF87DF">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p>
        </w:tc>
        <w:tc>
          <w:tcPr>
            <w:tcW w:w="3088" w:type="dxa"/>
            <w:tcBorders>
              <w:top w:val="single" w:color="auto" w:sz="4" w:space="0"/>
              <w:left w:val="single" w:color="auto" w:sz="4" w:space="0"/>
              <w:bottom w:val="single" w:color="auto" w:sz="4" w:space="0"/>
              <w:right w:val="single" w:color="auto" w:sz="4" w:space="0"/>
            </w:tcBorders>
            <w:noWrap w:val="0"/>
            <w:vAlign w:val="top"/>
          </w:tcPr>
          <w:p w14:paraId="42CD0C0E">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0525E91B">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p>
        </w:tc>
        <w:tc>
          <w:tcPr>
            <w:tcW w:w="1065" w:type="dxa"/>
            <w:tcBorders>
              <w:top w:val="single" w:color="auto" w:sz="4" w:space="0"/>
              <w:left w:val="single" w:color="auto" w:sz="4" w:space="0"/>
              <w:bottom w:val="single" w:color="auto" w:sz="4" w:space="0"/>
              <w:right w:val="single" w:color="auto" w:sz="4" w:space="0"/>
            </w:tcBorders>
            <w:noWrap w:val="0"/>
            <w:vAlign w:val="top"/>
          </w:tcPr>
          <w:p w14:paraId="1CB110B7">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p>
        </w:tc>
        <w:tc>
          <w:tcPr>
            <w:tcW w:w="1995" w:type="dxa"/>
            <w:tcBorders>
              <w:top w:val="single" w:color="auto" w:sz="4" w:space="0"/>
              <w:left w:val="single" w:color="auto" w:sz="4" w:space="0"/>
              <w:bottom w:val="single" w:color="auto" w:sz="4" w:space="0"/>
              <w:right w:val="double" w:color="auto" w:sz="4" w:space="0"/>
            </w:tcBorders>
            <w:noWrap w:val="0"/>
            <w:vAlign w:val="top"/>
          </w:tcPr>
          <w:p w14:paraId="7A0188AA">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p>
        </w:tc>
      </w:tr>
      <w:tr w14:paraId="0628CE56">
        <w:tblPrEx>
          <w:tblCellMar>
            <w:top w:w="0" w:type="dxa"/>
            <w:left w:w="108" w:type="dxa"/>
            <w:bottom w:w="0" w:type="dxa"/>
            <w:right w:w="108" w:type="dxa"/>
          </w:tblCellMar>
        </w:tblPrEx>
        <w:tc>
          <w:tcPr>
            <w:tcW w:w="624" w:type="dxa"/>
            <w:tcBorders>
              <w:top w:val="single" w:color="auto" w:sz="4" w:space="0"/>
              <w:left w:val="double" w:color="auto" w:sz="4" w:space="0"/>
              <w:bottom w:val="single" w:color="auto" w:sz="4" w:space="0"/>
              <w:right w:val="single" w:color="auto" w:sz="4" w:space="0"/>
            </w:tcBorders>
            <w:noWrap w:val="0"/>
            <w:vAlign w:val="top"/>
          </w:tcPr>
          <w:p w14:paraId="4BC097E4">
            <w:pPr>
              <w:widowControl w:val="0"/>
              <w:spacing w:line="300" w:lineRule="exact"/>
              <w:jc w:val="center"/>
              <w:rPr>
                <w:rFonts w:ascii="Times New Roman" w:hAnsi="Times New Roman" w:eastAsia="微软雅黑" w:cs="Times New Roman"/>
                <w:b/>
                <w:color w:val="auto"/>
                <w:kern w:val="2"/>
                <w:sz w:val="22"/>
                <w:szCs w:val="24"/>
                <w:lang w:val="en-US" w:eastAsia="zh-CN" w:bidi="ar-SA"/>
              </w:rPr>
            </w:pPr>
            <w:r>
              <w:rPr>
                <w:rFonts w:ascii="Times New Roman" w:hAnsi="Times New Roman" w:eastAsia="微软雅黑" w:cs="Times New Roman"/>
                <w:b/>
                <w:color w:val="auto"/>
                <w:kern w:val="2"/>
                <w:sz w:val="22"/>
                <w:szCs w:val="24"/>
                <w:lang w:val="en-US" w:eastAsia="zh-CN" w:bidi="ar-SA"/>
              </w:rPr>
              <w:t>2</w:t>
            </w:r>
          </w:p>
        </w:tc>
        <w:tc>
          <w:tcPr>
            <w:tcW w:w="2216" w:type="dxa"/>
            <w:tcBorders>
              <w:top w:val="single" w:color="auto" w:sz="4" w:space="0"/>
              <w:left w:val="single" w:color="auto" w:sz="4" w:space="0"/>
              <w:bottom w:val="single" w:color="auto" w:sz="4" w:space="0"/>
              <w:right w:val="single" w:color="auto" w:sz="4" w:space="0"/>
            </w:tcBorders>
            <w:noWrap w:val="0"/>
            <w:vAlign w:val="top"/>
          </w:tcPr>
          <w:p w14:paraId="6EAC0049">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p>
        </w:tc>
        <w:tc>
          <w:tcPr>
            <w:tcW w:w="3088" w:type="dxa"/>
            <w:tcBorders>
              <w:top w:val="single" w:color="auto" w:sz="4" w:space="0"/>
              <w:left w:val="single" w:color="auto" w:sz="4" w:space="0"/>
              <w:bottom w:val="single" w:color="auto" w:sz="4" w:space="0"/>
              <w:right w:val="single" w:color="auto" w:sz="4" w:space="0"/>
            </w:tcBorders>
            <w:noWrap w:val="0"/>
            <w:vAlign w:val="top"/>
          </w:tcPr>
          <w:p w14:paraId="3DE4AB3D">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44BD378A">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p>
        </w:tc>
        <w:tc>
          <w:tcPr>
            <w:tcW w:w="1065" w:type="dxa"/>
            <w:tcBorders>
              <w:top w:val="single" w:color="auto" w:sz="4" w:space="0"/>
              <w:left w:val="single" w:color="auto" w:sz="4" w:space="0"/>
              <w:bottom w:val="single" w:color="auto" w:sz="4" w:space="0"/>
              <w:right w:val="single" w:color="auto" w:sz="4" w:space="0"/>
            </w:tcBorders>
            <w:noWrap w:val="0"/>
            <w:vAlign w:val="top"/>
          </w:tcPr>
          <w:p w14:paraId="24E9C464">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p>
        </w:tc>
        <w:tc>
          <w:tcPr>
            <w:tcW w:w="1995" w:type="dxa"/>
            <w:tcBorders>
              <w:top w:val="single" w:color="auto" w:sz="4" w:space="0"/>
              <w:left w:val="single" w:color="auto" w:sz="4" w:space="0"/>
              <w:bottom w:val="single" w:color="auto" w:sz="4" w:space="0"/>
              <w:right w:val="double" w:color="auto" w:sz="4" w:space="0"/>
            </w:tcBorders>
            <w:noWrap w:val="0"/>
            <w:vAlign w:val="top"/>
          </w:tcPr>
          <w:p w14:paraId="1CF0B656">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p>
        </w:tc>
      </w:tr>
      <w:tr w14:paraId="7AB4B228">
        <w:tblPrEx>
          <w:tblCellMar>
            <w:top w:w="0" w:type="dxa"/>
            <w:left w:w="108" w:type="dxa"/>
            <w:bottom w:w="0" w:type="dxa"/>
            <w:right w:w="108" w:type="dxa"/>
          </w:tblCellMar>
        </w:tblPrEx>
        <w:tc>
          <w:tcPr>
            <w:tcW w:w="624" w:type="dxa"/>
            <w:tcBorders>
              <w:top w:val="single" w:color="auto" w:sz="4" w:space="0"/>
              <w:left w:val="double" w:color="auto" w:sz="4" w:space="0"/>
              <w:bottom w:val="single" w:color="auto" w:sz="4" w:space="0"/>
              <w:right w:val="single" w:color="auto" w:sz="4" w:space="0"/>
            </w:tcBorders>
            <w:noWrap w:val="0"/>
            <w:vAlign w:val="top"/>
          </w:tcPr>
          <w:p w14:paraId="1469CE2A">
            <w:pPr>
              <w:widowControl w:val="0"/>
              <w:spacing w:line="300" w:lineRule="exact"/>
              <w:jc w:val="center"/>
              <w:rPr>
                <w:rFonts w:ascii="Times New Roman" w:hAnsi="Times New Roman" w:eastAsia="微软雅黑" w:cs="Times New Roman"/>
                <w:b/>
                <w:color w:val="auto"/>
                <w:kern w:val="2"/>
                <w:sz w:val="22"/>
                <w:szCs w:val="24"/>
                <w:lang w:val="en-US" w:eastAsia="zh-CN" w:bidi="ar-SA"/>
              </w:rPr>
            </w:pPr>
            <w:r>
              <w:rPr>
                <w:rFonts w:ascii="Times New Roman" w:hAnsi="Times New Roman" w:eastAsia="微软雅黑" w:cs="Times New Roman"/>
                <w:b/>
                <w:color w:val="auto"/>
                <w:kern w:val="2"/>
                <w:sz w:val="22"/>
                <w:szCs w:val="24"/>
                <w:lang w:val="en-US" w:eastAsia="zh-CN" w:bidi="ar-SA"/>
              </w:rPr>
              <w:t>3</w:t>
            </w:r>
          </w:p>
        </w:tc>
        <w:tc>
          <w:tcPr>
            <w:tcW w:w="2216" w:type="dxa"/>
            <w:tcBorders>
              <w:top w:val="single" w:color="auto" w:sz="4" w:space="0"/>
              <w:left w:val="single" w:color="auto" w:sz="4" w:space="0"/>
              <w:bottom w:val="single" w:color="auto" w:sz="4" w:space="0"/>
              <w:right w:val="single" w:color="auto" w:sz="4" w:space="0"/>
            </w:tcBorders>
            <w:noWrap w:val="0"/>
            <w:vAlign w:val="top"/>
          </w:tcPr>
          <w:p w14:paraId="4B380614">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p>
        </w:tc>
        <w:tc>
          <w:tcPr>
            <w:tcW w:w="3088" w:type="dxa"/>
            <w:tcBorders>
              <w:top w:val="single" w:color="auto" w:sz="4" w:space="0"/>
              <w:left w:val="single" w:color="auto" w:sz="4" w:space="0"/>
              <w:bottom w:val="single" w:color="auto" w:sz="4" w:space="0"/>
              <w:right w:val="single" w:color="auto" w:sz="4" w:space="0"/>
            </w:tcBorders>
            <w:noWrap w:val="0"/>
            <w:vAlign w:val="top"/>
          </w:tcPr>
          <w:p w14:paraId="7D02AE97">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42912BB2">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p>
        </w:tc>
        <w:tc>
          <w:tcPr>
            <w:tcW w:w="1065" w:type="dxa"/>
            <w:tcBorders>
              <w:top w:val="single" w:color="auto" w:sz="4" w:space="0"/>
              <w:left w:val="single" w:color="auto" w:sz="4" w:space="0"/>
              <w:bottom w:val="single" w:color="auto" w:sz="4" w:space="0"/>
              <w:right w:val="single" w:color="auto" w:sz="4" w:space="0"/>
            </w:tcBorders>
            <w:noWrap w:val="0"/>
            <w:vAlign w:val="top"/>
          </w:tcPr>
          <w:p w14:paraId="025D12CB">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p>
        </w:tc>
        <w:tc>
          <w:tcPr>
            <w:tcW w:w="1995" w:type="dxa"/>
            <w:tcBorders>
              <w:top w:val="single" w:color="auto" w:sz="4" w:space="0"/>
              <w:left w:val="single" w:color="auto" w:sz="4" w:space="0"/>
              <w:bottom w:val="single" w:color="auto" w:sz="4" w:space="0"/>
              <w:right w:val="double" w:color="auto" w:sz="4" w:space="0"/>
            </w:tcBorders>
            <w:noWrap w:val="0"/>
            <w:vAlign w:val="top"/>
          </w:tcPr>
          <w:p w14:paraId="645CA255">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p>
        </w:tc>
      </w:tr>
      <w:tr w14:paraId="7FB23381">
        <w:tblPrEx>
          <w:tblCellMar>
            <w:top w:w="0" w:type="dxa"/>
            <w:left w:w="108" w:type="dxa"/>
            <w:bottom w:w="0" w:type="dxa"/>
            <w:right w:w="108" w:type="dxa"/>
          </w:tblCellMar>
        </w:tblPrEx>
        <w:tc>
          <w:tcPr>
            <w:tcW w:w="624" w:type="dxa"/>
            <w:tcBorders>
              <w:top w:val="single" w:color="auto" w:sz="4" w:space="0"/>
              <w:left w:val="double" w:color="auto" w:sz="4" w:space="0"/>
              <w:bottom w:val="double" w:color="auto" w:sz="4" w:space="0"/>
              <w:right w:val="single" w:color="auto" w:sz="4" w:space="0"/>
            </w:tcBorders>
            <w:noWrap w:val="0"/>
            <w:vAlign w:val="top"/>
          </w:tcPr>
          <w:p w14:paraId="797E1E99">
            <w:pPr>
              <w:widowControl w:val="0"/>
              <w:spacing w:line="300" w:lineRule="exact"/>
              <w:jc w:val="center"/>
              <w:rPr>
                <w:rFonts w:ascii="Times New Roman" w:hAnsi="Times New Roman" w:eastAsia="微软雅黑" w:cs="Times New Roman"/>
                <w:b/>
                <w:color w:val="auto"/>
                <w:kern w:val="2"/>
                <w:sz w:val="22"/>
                <w:szCs w:val="24"/>
                <w:lang w:val="en-US" w:eastAsia="zh-CN" w:bidi="ar-SA"/>
              </w:rPr>
            </w:pPr>
            <w:r>
              <w:rPr>
                <w:rFonts w:hint="eastAsia" w:ascii="Times New Roman" w:hAnsi="Times New Roman" w:eastAsia="微软雅黑" w:cs="Times New Roman"/>
                <w:b/>
                <w:color w:val="auto"/>
                <w:kern w:val="2"/>
                <w:sz w:val="22"/>
                <w:szCs w:val="24"/>
                <w:lang w:val="en-US" w:eastAsia="zh-CN" w:bidi="ar-SA"/>
              </w:rPr>
              <w:t>……</w:t>
            </w:r>
          </w:p>
        </w:tc>
        <w:tc>
          <w:tcPr>
            <w:tcW w:w="2216" w:type="dxa"/>
            <w:tcBorders>
              <w:top w:val="single" w:color="auto" w:sz="4" w:space="0"/>
              <w:left w:val="single" w:color="auto" w:sz="4" w:space="0"/>
              <w:bottom w:val="double" w:color="auto" w:sz="4" w:space="0"/>
              <w:right w:val="single" w:color="auto" w:sz="4" w:space="0"/>
            </w:tcBorders>
            <w:noWrap w:val="0"/>
            <w:vAlign w:val="top"/>
          </w:tcPr>
          <w:p w14:paraId="7085DF99">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p>
        </w:tc>
        <w:tc>
          <w:tcPr>
            <w:tcW w:w="3088" w:type="dxa"/>
            <w:tcBorders>
              <w:top w:val="single" w:color="auto" w:sz="4" w:space="0"/>
              <w:left w:val="single" w:color="auto" w:sz="4" w:space="0"/>
              <w:bottom w:val="double" w:color="auto" w:sz="4" w:space="0"/>
              <w:right w:val="single" w:color="auto" w:sz="4" w:space="0"/>
            </w:tcBorders>
            <w:noWrap w:val="0"/>
            <w:vAlign w:val="top"/>
          </w:tcPr>
          <w:p w14:paraId="0E6CF0CB">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p>
        </w:tc>
        <w:tc>
          <w:tcPr>
            <w:tcW w:w="1215" w:type="dxa"/>
            <w:tcBorders>
              <w:top w:val="single" w:color="auto" w:sz="4" w:space="0"/>
              <w:left w:val="single" w:color="auto" w:sz="4" w:space="0"/>
              <w:bottom w:val="double" w:color="auto" w:sz="4" w:space="0"/>
              <w:right w:val="single" w:color="auto" w:sz="4" w:space="0"/>
            </w:tcBorders>
            <w:noWrap w:val="0"/>
            <w:vAlign w:val="top"/>
          </w:tcPr>
          <w:p w14:paraId="1E7AF881">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p>
        </w:tc>
        <w:tc>
          <w:tcPr>
            <w:tcW w:w="1065" w:type="dxa"/>
            <w:tcBorders>
              <w:top w:val="single" w:color="auto" w:sz="4" w:space="0"/>
              <w:left w:val="single" w:color="auto" w:sz="4" w:space="0"/>
              <w:bottom w:val="double" w:color="auto" w:sz="4" w:space="0"/>
              <w:right w:val="single" w:color="auto" w:sz="4" w:space="0"/>
            </w:tcBorders>
            <w:noWrap w:val="0"/>
            <w:vAlign w:val="top"/>
          </w:tcPr>
          <w:p w14:paraId="3D3B4D1B">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p>
        </w:tc>
        <w:tc>
          <w:tcPr>
            <w:tcW w:w="1995" w:type="dxa"/>
            <w:tcBorders>
              <w:top w:val="single" w:color="auto" w:sz="4" w:space="0"/>
              <w:left w:val="single" w:color="auto" w:sz="4" w:space="0"/>
              <w:bottom w:val="double" w:color="auto" w:sz="4" w:space="0"/>
              <w:right w:val="double" w:color="auto" w:sz="4" w:space="0"/>
            </w:tcBorders>
            <w:noWrap w:val="0"/>
            <w:vAlign w:val="top"/>
          </w:tcPr>
          <w:p w14:paraId="353CCBFD">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p>
        </w:tc>
      </w:tr>
    </w:tbl>
    <w:p w14:paraId="5ACF2379">
      <w:pPr>
        <w:widowControl w:val="0"/>
        <w:adjustRightInd w:val="0"/>
        <w:snapToGrid w:val="0"/>
        <w:spacing w:before="156" w:beforeLines="50" w:line="54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1.3</w:t>
      </w:r>
      <w:r>
        <w:rPr>
          <w:rFonts w:hint="eastAsia" w:ascii="Times New Roman" w:hAnsi="Times New Roman" w:eastAsia="宋体" w:cs="Times New Roman"/>
          <w:b/>
          <w:bCs/>
          <w:color w:val="auto"/>
          <w:kern w:val="2"/>
          <w:sz w:val="24"/>
          <w:szCs w:val="22"/>
          <w:lang w:val="en-US" w:eastAsia="zh-CN" w:bidi="ar-SA"/>
        </w:rPr>
        <w:t>价款</w:t>
      </w:r>
    </w:p>
    <w:p w14:paraId="07B4F08C">
      <w:pPr>
        <w:widowControl w:val="0"/>
        <w:adjustRightInd w:val="0"/>
        <w:snapToGrid w:val="0"/>
        <w:spacing w:before="156" w:beforeLines="50" w:line="540" w:lineRule="exact"/>
        <w:ind w:firstLine="480" w:firstLineChars="200"/>
        <w:jc w:val="both"/>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本合同总价为：￥</w:t>
      </w:r>
      <w:r>
        <w:rPr>
          <w:rFonts w:ascii="Times New Roman" w:hAnsi="Times New Roman" w:eastAsia="宋体" w:cs="Times New Roman"/>
          <w:color w:val="auto"/>
          <w:kern w:val="2"/>
          <w:sz w:val="24"/>
          <w:szCs w:val="22"/>
          <w:lang w:val="en-US" w:eastAsia="zh-CN" w:bidi="ar-SA"/>
        </w:rPr>
        <w:t xml:space="preserve"> </w:t>
      </w:r>
      <w:r>
        <w:rPr>
          <w:rFonts w:ascii="Times New Roman" w:hAnsi="Times New Roman" w:eastAsia="宋体" w:cs="Times New Roman"/>
          <w:color w:val="auto"/>
          <w:kern w:val="2"/>
          <w:sz w:val="24"/>
          <w:szCs w:val="22"/>
          <w:u w:val="single"/>
          <w:lang w:val="en-US" w:eastAsia="zh-CN" w:bidi="ar-SA"/>
        </w:rPr>
        <w:t xml:space="preserve">          </w:t>
      </w:r>
      <w:r>
        <w:rPr>
          <w:rFonts w:hint="eastAsia" w:ascii="Times New Roman" w:hAnsi="Times New Roman" w:eastAsia="宋体" w:cs="Times New Roman"/>
          <w:color w:val="auto"/>
          <w:kern w:val="2"/>
          <w:sz w:val="24"/>
          <w:szCs w:val="22"/>
          <w:lang w:val="en-US" w:eastAsia="zh-CN" w:bidi="ar-SA"/>
        </w:rPr>
        <w:t>元（大写：人民币</w:t>
      </w:r>
      <w:r>
        <w:rPr>
          <w:rFonts w:ascii="Times New Roman" w:hAnsi="Times New Roman" w:eastAsia="宋体" w:cs="Times New Roman"/>
          <w:color w:val="auto"/>
          <w:kern w:val="2"/>
          <w:sz w:val="24"/>
          <w:szCs w:val="22"/>
          <w:u w:val="single"/>
          <w:lang w:val="en-US" w:eastAsia="zh-CN" w:bidi="ar-SA"/>
        </w:rPr>
        <w:t xml:space="preserve">            </w:t>
      </w:r>
      <w:r>
        <w:rPr>
          <w:rFonts w:ascii="Times New Roman" w:hAnsi="Times New Roman" w:eastAsia="宋体" w:cs="Times New Roman"/>
          <w:color w:val="auto"/>
          <w:kern w:val="2"/>
          <w:sz w:val="24"/>
          <w:szCs w:val="22"/>
          <w:u w:val="single"/>
          <w:lang w:val="en-US" w:eastAsia="zh-CN" w:bidi="ar-SA"/>
        </w:rPr>
        <w:tab/>
      </w:r>
      <w:r>
        <w:rPr>
          <w:rFonts w:hint="eastAsia" w:ascii="Times New Roman" w:hAnsi="Times New Roman" w:eastAsia="宋体" w:cs="Times New Roman"/>
          <w:color w:val="auto"/>
          <w:kern w:val="2"/>
          <w:sz w:val="24"/>
          <w:szCs w:val="22"/>
          <w:lang w:val="en-US" w:eastAsia="zh-CN" w:bidi="ar-SA"/>
        </w:rPr>
        <w:t>元）。</w:t>
      </w:r>
    </w:p>
    <w:p w14:paraId="0729D2B5">
      <w:pPr>
        <w:widowControl w:val="0"/>
        <w:adjustRightInd w:val="0"/>
        <w:snapToGrid w:val="0"/>
        <w:spacing w:before="156" w:beforeLines="50" w:line="540" w:lineRule="exact"/>
        <w:ind w:firstLine="480" w:firstLineChars="200"/>
        <w:jc w:val="both"/>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分项价格：</w:t>
      </w:r>
    </w:p>
    <w:tbl>
      <w:tblPr>
        <w:tblStyle w:val="35"/>
        <w:tblW w:w="0" w:type="auto"/>
        <w:tblInd w:w="0" w:type="dxa"/>
        <w:tblLayout w:type="fixed"/>
        <w:tblCellMar>
          <w:top w:w="0" w:type="dxa"/>
          <w:left w:w="108" w:type="dxa"/>
          <w:bottom w:w="0" w:type="dxa"/>
          <w:right w:w="108" w:type="dxa"/>
        </w:tblCellMar>
      </w:tblPr>
      <w:tblGrid>
        <w:gridCol w:w="869"/>
        <w:gridCol w:w="3600"/>
        <w:gridCol w:w="5869"/>
      </w:tblGrid>
      <w:tr w14:paraId="70646F38">
        <w:tblPrEx>
          <w:tblCellMar>
            <w:top w:w="0" w:type="dxa"/>
            <w:left w:w="108" w:type="dxa"/>
            <w:bottom w:w="0" w:type="dxa"/>
            <w:right w:w="108" w:type="dxa"/>
          </w:tblCellMar>
        </w:tblPrEx>
        <w:trPr>
          <w:trHeight w:val="502" w:hRule="atLeast"/>
        </w:trPr>
        <w:tc>
          <w:tcPr>
            <w:tcW w:w="869" w:type="dxa"/>
            <w:tcBorders>
              <w:top w:val="double" w:color="auto" w:sz="4" w:space="0"/>
              <w:left w:val="double" w:color="auto" w:sz="4" w:space="0"/>
              <w:bottom w:val="single" w:color="auto" w:sz="4" w:space="0"/>
              <w:right w:val="single" w:color="auto" w:sz="4" w:space="0"/>
            </w:tcBorders>
            <w:noWrap w:val="0"/>
            <w:vAlign w:val="center"/>
          </w:tcPr>
          <w:p w14:paraId="7960E115">
            <w:pPr>
              <w:widowControl w:val="0"/>
              <w:tabs>
                <w:tab w:val="left" w:pos="0"/>
              </w:tabs>
              <w:spacing w:line="300" w:lineRule="exact"/>
              <w:jc w:val="center"/>
              <w:rPr>
                <w:rFonts w:ascii="Times New Roman" w:hAnsi="Times New Roman" w:eastAsia="微软雅黑" w:cs="Times New Roman"/>
                <w:b/>
                <w:color w:val="auto"/>
                <w:kern w:val="2"/>
                <w:sz w:val="22"/>
                <w:szCs w:val="20"/>
                <w:lang w:val="en-US" w:eastAsia="zh-CN" w:bidi="ar-SA"/>
              </w:rPr>
            </w:pPr>
            <w:r>
              <w:rPr>
                <w:rFonts w:hint="eastAsia" w:ascii="Times New Roman" w:hAnsi="Times New Roman" w:eastAsia="微软雅黑" w:cs="Times New Roman"/>
                <w:b/>
                <w:color w:val="auto"/>
                <w:kern w:val="2"/>
                <w:sz w:val="22"/>
                <w:szCs w:val="20"/>
                <w:lang w:val="en-US" w:eastAsia="zh-CN" w:bidi="ar-SA"/>
              </w:rPr>
              <w:t>序号</w:t>
            </w:r>
          </w:p>
        </w:tc>
        <w:tc>
          <w:tcPr>
            <w:tcW w:w="3600" w:type="dxa"/>
            <w:tcBorders>
              <w:top w:val="double" w:color="auto" w:sz="4" w:space="0"/>
              <w:left w:val="single" w:color="auto" w:sz="4" w:space="0"/>
              <w:bottom w:val="single" w:color="auto" w:sz="4" w:space="0"/>
              <w:right w:val="single" w:color="auto" w:sz="4" w:space="0"/>
            </w:tcBorders>
            <w:noWrap w:val="0"/>
            <w:vAlign w:val="center"/>
          </w:tcPr>
          <w:p w14:paraId="795D2E41">
            <w:pPr>
              <w:widowControl w:val="0"/>
              <w:tabs>
                <w:tab w:val="left" w:pos="0"/>
              </w:tabs>
              <w:spacing w:line="300" w:lineRule="exact"/>
              <w:jc w:val="center"/>
              <w:rPr>
                <w:rFonts w:ascii="Times New Roman" w:hAnsi="Times New Roman" w:eastAsia="微软雅黑" w:cs="Times New Roman"/>
                <w:b/>
                <w:color w:val="auto"/>
                <w:kern w:val="2"/>
                <w:sz w:val="22"/>
                <w:szCs w:val="20"/>
                <w:lang w:val="en-US" w:eastAsia="zh-CN" w:bidi="ar-SA"/>
              </w:rPr>
            </w:pPr>
            <w:r>
              <w:rPr>
                <w:rFonts w:hint="eastAsia" w:ascii="Times New Roman" w:hAnsi="Times New Roman" w:eastAsia="微软雅黑" w:cs="Times New Roman"/>
                <w:b/>
                <w:color w:val="auto"/>
                <w:kern w:val="2"/>
                <w:sz w:val="22"/>
                <w:szCs w:val="20"/>
                <w:lang w:val="en-US" w:eastAsia="zh-CN" w:bidi="ar-SA"/>
              </w:rPr>
              <w:t>分项名称</w:t>
            </w:r>
          </w:p>
        </w:tc>
        <w:tc>
          <w:tcPr>
            <w:tcW w:w="5869" w:type="dxa"/>
            <w:tcBorders>
              <w:top w:val="double" w:color="auto" w:sz="4" w:space="0"/>
              <w:left w:val="single" w:color="auto" w:sz="4" w:space="0"/>
              <w:bottom w:val="single" w:color="auto" w:sz="4" w:space="0"/>
              <w:right w:val="double" w:color="auto" w:sz="4" w:space="0"/>
            </w:tcBorders>
            <w:noWrap w:val="0"/>
            <w:vAlign w:val="center"/>
          </w:tcPr>
          <w:p w14:paraId="39C70F1C">
            <w:pPr>
              <w:widowControl w:val="0"/>
              <w:tabs>
                <w:tab w:val="left" w:pos="0"/>
              </w:tabs>
              <w:spacing w:line="300" w:lineRule="exact"/>
              <w:jc w:val="center"/>
              <w:rPr>
                <w:rFonts w:ascii="Times New Roman" w:hAnsi="Times New Roman" w:eastAsia="微软雅黑" w:cs="Times New Roman"/>
                <w:b/>
                <w:color w:val="auto"/>
                <w:kern w:val="2"/>
                <w:sz w:val="22"/>
                <w:szCs w:val="20"/>
                <w:lang w:val="en-US" w:eastAsia="zh-CN" w:bidi="ar-SA"/>
              </w:rPr>
            </w:pPr>
            <w:r>
              <w:rPr>
                <w:rFonts w:hint="eastAsia" w:ascii="Times New Roman" w:hAnsi="Times New Roman" w:eastAsia="微软雅黑" w:cs="Times New Roman"/>
                <w:b/>
                <w:color w:val="auto"/>
                <w:kern w:val="2"/>
                <w:sz w:val="22"/>
                <w:szCs w:val="20"/>
                <w:lang w:val="en-US" w:eastAsia="zh-CN" w:bidi="ar-SA"/>
              </w:rPr>
              <w:t>分项价格</w:t>
            </w:r>
          </w:p>
        </w:tc>
      </w:tr>
      <w:tr w14:paraId="5036D674">
        <w:tblPrEx>
          <w:tblCellMar>
            <w:top w:w="0" w:type="dxa"/>
            <w:left w:w="108" w:type="dxa"/>
            <w:bottom w:w="0" w:type="dxa"/>
            <w:right w:w="108" w:type="dxa"/>
          </w:tblCellMar>
        </w:tblPrEx>
        <w:tc>
          <w:tcPr>
            <w:tcW w:w="869" w:type="dxa"/>
            <w:tcBorders>
              <w:top w:val="single" w:color="auto" w:sz="4" w:space="0"/>
              <w:left w:val="double" w:color="auto" w:sz="4" w:space="0"/>
              <w:bottom w:val="single" w:color="auto" w:sz="4" w:space="0"/>
              <w:right w:val="single" w:color="auto" w:sz="4" w:space="0"/>
            </w:tcBorders>
            <w:noWrap w:val="0"/>
            <w:vAlign w:val="top"/>
          </w:tcPr>
          <w:p w14:paraId="435467F8">
            <w:pPr>
              <w:widowControl w:val="0"/>
              <w:spacing w:line="540" w:lineRule="exact"/>
              <w:jc w:val="center"/>
              <w:rPr>
                <w:rFonts w:ascii="Times New Roman" w:hAnsi="Times New Roman" w:eastAsia="微软雅黑" w:cs="Times New Roman"/>
                <w:b/>
                <w:color w:val="auto"/>
                <w:kern w:val="2"/>
                <w:sz w:val="22"/>
                <w:szCs w:val="24"/>
                <w:lang w:val="en-US" w:eastAsia="zh-CN" w:bidi="ar-SA"/>
              </w:rPr>
            </w:pPr>
            <w:r>
              <w:rPr>
                <w:rFonts w:ascii="Times New Roman" w:hAnsi="Times New Roman" w:eastAsia="微软雅黑" w:cs="Times New Roman"/>
                <w:b/>
                <w:color w:val="auto"/>
                <w:kern w:val="2"/>
                <w:sz w:val="22"/>
                <w:szCs w:val="24"/>
                <w:lang w:val="en-US" w:eastAsia="zh-CN" w:bidi="ar-SA"/>
              </w:rPr>
              <w:t>1</w:t>
            </w:r>
          </w:p>
        </w:tc>
        <w:tc>
          <w:tcPr>
            <w:tcW w:w="3600" w:type="dxa"/>
            <w:tcBorders>
              <w:top w:val="single" w:color="auto" w:sz="4" w:space="0"/>
              <w:left w:val="single" w:color="auto" w:sz="4" w:space="0"/>
              <w:bottom w:val="single" w:color="auto" w:sz="4" w:space="0"/>
              <w:right w:val="single" w:color="auto" w:sz="4" w:space="0"/>
            </w:tcBorders>
            <w:noWrap w:val="0"/>
            <w:vAlign w:val="top"/>
          </w:tcPr>
          <w:p w14:paraId="550E1F1B">
            <w:pPr>
              <w:widowControl w:val="0"/>
              <w:spacing w:line="540" w:lineRule="exact"/>
              <w:jc w:val="center"/>
              <w:rPr>
                <w:rFonts w:ascii="Times New Roman" w:hAnsi="Times New Roman" w:eastAsia="微软雅黑" w:cs="Times New Roman"/>
                <w:b/>
                <w:color w:val="auto"/>
                <w:kern w:val="2"/>
                <w:sz w:val="22"/>
                <w:szCs w:val="24"/>
                <w:lang w:val="en-US" w:eastAsia="zh-CN" w:bidi="ar-SA"/>
              </w:rPr>
            </w:pPr>
          </w:p>
        </w:tc>
        <w:tc>
          <w:tcPr>
            <w:tcW w:w="5869" w:type="dxa"/>
            <w:tcBorders>
              <w:top w:val="single" w:color="auto" w:sz="4" w:space="0"/>
              <w:left w:val="single" w:color="auto" w:sz="4" w:space="0"/>
              <w:bottom w:val="single" w:color="auto" w:sz="4" w:space="0"/>
              <w:right w:val="double" w:color="auto" w:sz="4" w:space="0"/>
            </w:tcBorders>
            <w:noWrap w:val="0"/>
            <w:vAlign w:val="top"/>
          </w:tcPr>
          <w:p w14:paraId="65DE70AA">
            <w:pPr>
              <w:widowControl w:val="0"/>
              <w:spacing w:line="540" w:lineRule="exact"/>
              <w:jc w:val="center"/>
              <w:rPr>
                <w:rFonts w:ascii="Times New Roman" w:hAnsi="Times New Roman" w:eastAsia="微软雅黑" w:cs="Times New Roman"/>
                <w:b/>
                <w:color w:val="auto"/>
                <w:kern w:val="2"/>
                <w:sz w:val="22"/>
                <w:szCs w:val="24"/>
                <w:lang w:val="en-US" w:eastAsia="zh-CN" w:bidi="ar-SA"/>
              </w:rPr>
            </w:pPr>
          </w:p>
        </w:tc>
      </w:tr>
      <w:tr w14:paraId="1E259E8A">
        <w:tblPrEx>
          <w:tblCellMar>
            <w:top w:w="0" w:type="dxa"/>
            <w:left w:w="108" w:type="dxa"/>
            <w:bottom w:w="0" w:type="dxa"/>
            <w:right w:w="108" w:type="dxa"/>
          </w:tblCellMar>
        </w:tblPrEx>
        <w:tc>
          <w:tcPr>
            <w:tcW w:w="869" w:type="dxa"/>
            <w:tcBorders>
              <w:top w:val="single" w:color="auto" w:sz="4" w:space="0"/>
              <w:left w:val="double" w:color="auto" w:sz="4" w:space="0"/>
              <w:bottom w:val="single" w:color="auto" w:sz="4" w:space="0"/>
              <w:right w:val="single" w:color="auto" w:sz="4" w:space="0"/>
            </w:tcBorders>
            <w:noWrap w:val="0"/>
            <w:vAlign w:val="top"/>
          </w:tcPr>
          <w:p w14:paraId="1399C241">
            <w:pPr>
              <w:widowControl w:val="0"/>
              <w:spacing w:line="540" w:lineRule="exact"/>
              <w:jc w:val="center"/>
              <w:rPr>
                <w:rFonts w:ascii="Times New Roman" w:hAnsi="Times New Roman" w:eastAsia="微软雅黑" w:cs="Times New Roman"/>
                <w:b/>
                <w:color w:val="auto"/>
                <w:kern w:val="2"/>
                <w:sz w:val="22"/>
                <w:szCs w:val="24"/>
                <w:lang w:val="en-US" w:eastAsia="zh-CN" w:bidi="ar-SA"/>
              </w:rPr>
            </w:pPr>
            <w:r>
              <w:rPr>
                <w:rFonts w:ascii="Times New Roman" w:hAnsi="Times New Roman" w:eastAsia="微软雅黑" w:cs="Times New Roman"/>
                <w:b/>
                <w:color w:val="auto"/>
                <w:kern w:val="2"/>
                <w:sz w:val="22"/>
                <w:szCs w:val="24"/>
                <w:lang w:val="en-US" w:eastAsia="zh-CN" w:bidi="ar-SA"/>
              </w:rPr>
              <w:t>2</w:t>
            </w:r>
          </w:p>
        </w:tc>
        <w:tc>
          <w:tcPr>
            <w:tcW w:w="3600" w:type="dxa"/>
            <w:tcBorders>
              <w:top w:val="single" w:color="auto" w:sz="4" w:space="0"/>
              <w:left w:val="single" w:color="auto" w:sz="4" w:space="0"/>
              <w:bottom w:val="single" w:color="auto" w:sz="4" w:space="0"/>
              <w:right w:val="single" w:color="auto" w:sz="4" w:space="0"/>
            </w:tcBorders>
            <w:noWrap w:val="0"/>
            <w:vAlign w:val="top"/>
          </w:tcPr>
          <w:p w14:paraId="38B42300">
            <w:pPr>
              <w:widowControl w:val="0"/>
              <w:spacing w:line="540" w:lineRule="exact"/>
              <w:jc w:val="center"/>
              <w:rPr>
                <w:rFonts w:ascii="Times New Roman" w:hAnsi="Times New Roman" w:eastAsia="微软雅黑" w:cs="Times New Roman"/>
                <w:b/>
                <w:color w:val="auto"/>
                <w:kern w:val="2"/>
                <w:sz w:val="22"/>
                <w:szCs w:val="24"/>
                <w:lang w:val="en-US" w:eastAsia="zh-CN" w:bidi="ar-SA"/>
              </w:rPr>
            </w:pPr>
          </w:p>
        </w:tc>
        <w:tc>
          <w:tcPr>
            <w:tcW w:w="5869" w:type="dxa"/>
            <w:tcBorders>
              <w:top w:val="single" w:color="auto" w:sz="4" w:space="0"/>
              <w:left w:val="single" w:color="auto" w:sz="4" w:space="0"/>
              <w:bottom w:val="single" w:color="auto" w:sz="4" w:space="0"/>
              <w:right w:val="double" w:color="auto" w:sz="4" w:space="0"/>
            </w:tcBorders>
            <w:noWrap w:val="0"/>
            <w:vAlign w:val="top"/>
          </w:tcPr>
          <w:p w14:paraId="563BAC3F">
            <w:pPr>
              <w:widowControl w:val="0"/>
              <w:spacing w:line="540" w:lineRule="exact"/>
              <w:jc w:val="center"/>
              <w:rPr>
                <w:rFonts w:ascii="Times New Roman" w:hAnsi="Times New Roman" w:eastAsia="微软雅黑" w:cs="Times New Roman"/>
                <w:b/>
                <w:color w:val="auto"/>
                <w:kern w:val="2"/>
                <w:sz w:val="22"/>
                <w:szCs w:val="24"/>
                <w:lang w:val="en-US" w:eastAsia="zh-CN" w:bidi="ar-SA"/>
              </w:rPr>
            </w:pPr>
          </w:p>
        </w:tc>
      </w:tr>
      <w:tr w14:paraId="2FD67B05">
        <w:tblPrEx>
          <w:tblCellMar>
            <w:top w:w="0" w:type="dxa"/>
            <w:left w:w="108" w:type="dxa"/>
            <w:bottom w:w="0" w:type="dxa"/>
            <w:right w:w="108" w:type="dxa"/>
          </w:tblCellMar>
        </w:tblPrEx>
        <w:tc>
          <w:tcPr>
            <w:tcW w:w="869" w:type="dxa"/>
            <w:tcBorders>
              <w:top w:val="single" w:color="auto" w:sz="4" w:space="0"/>
              <w:left w:val="double" w:color="auto" w:sz="4" w:space="0"/>
              <w:bottom w:val="single" w:color="auto" w:sz="4" w:space="0"/>
              <w:right w:val="single" w:color="auto" w:sz="4" w:space="0"/>
            </w:tcBorders>
            <w:noWrap w:val="0"/>
            <w:vAlign w:val="top"/>
          </w:tcPr>
          <w:p w14:paraId="53BA4741">
            <w:pPr>
              <w:widowControl w:val="0"/>
              <w:spacing w:line="540" w:lineRule="exact"/>
              <w:jc w:val="center"/>
              <w:rPr>
                <w:rFonts w:ascii="Times New Roman" w:hAnsi="Times New Roman" w:eastAsia="微软雅黑" w:cs="Times New Roman"/>
                <w:b/>
                <w:color w:val="auto"/>
                <w:kern w:val="2"/>
                <w:sz w:val="22"/>
                <w:szCs w:val="24"/>
                <w:lang w:val="en-US" w:eastAsia="zh-CN" w:bidi="ar-SA"/>
              </w:rPr>
            </w:pPr>
            <w:r>
              <w:rPr>
                <w:rFonts w:ascii="Times New Roman" w:hAnsi="Times New Roman" w:eastAsia="微软雅黑" w:cs="Times New Roman"/>
                <w:b/>
                <w:color w:val="auto"/>
                <w:kern w:val="2"/>
                <w:sz w:val="22"/>
                <w:szCs w:val="24"/>
                <w:lang w:val="en-US" w:eastAsia="zh-CN" w:bidi="ar-SA"/>
              </w:rPr>
              <w:t>3</w:t>
            </w:r>
          </w:p>
        </w:tc>
        <w:tc>
          <w:tcPr>
            <w:tcW w:w="3600" w:type="dxa"/>
            <w:tcBorders>
              <w:top w:val="single" w:color="auto" w:sz="4" w:space="0"/>
              <w:left w:val="single" w:color="auto" w:sz="4" w:space="0"/>
              <w:bottom w:val="single" w:color="auto" w:sz="4" w:space="0"/>
              <w:right w:val="single" w:color="auto" w:sz="4" w:space="0"/>
            </w:tcBorders>
            <w:noWrap w:val="0"/>
            <w:vAlign w:val="top"/>
          </w:tcPr>
          <w:p w14:paraId="005DD0B0">
            <w:pPr>
              <w:widowControl w:val="0"/>
              <w:spacing w:line="540" w:lineRule="exact"/>
              <w:jc w:val="center"/>
              <w:rPr>
                <w:rFonts w:ascii="Times New Roman" w:hAnsi="Times New Roman" w:eastAsia="微软雅黑" w:cs="Times New Roman"/>
                <w:b/>
                <w:color w:val="auto"/>
                <w:kern w:val="2"/>
                <w:sz w:val="22"/>
                <w:szCs w:val="24"/>
                <w:lang w:val="en-US" w:eastAsia="zh-CN" w:bidi="ar-SA"/>
              </w:rPr>
            </w:pPr>
          </w:p>
        </w:tc>
        <w:tc>
          <w:tcPr>
            <w:tcW w:w="5869" w:type="dxa"/>
            <w:tcBorders>
              <w:top w:val="single" w:color="auto" w:sz="4" w:space="0"/>
              <w:left w:val="single" w:color="auto" w:sz="4" w:space="0"/>
              <w:bottom w:val="single" w:color="auto" w:sz="4" w:space="0"/>
              <w:right w:val="double" w:color="auto" w:sz="4" w:space="0"/>
            </w:tcBorders>
            <w:noWrap w:val="0"/>
            <w:vAlign w:val="top"/>
          </w:tcPr>
          <w:p w14:paraId="785F37B4">
            <w:pPr>
              <w:widowControl w:val="0"/>
              <w:spacing w:line="540" w:lineRule="exact"/>
              <w:jc w:val="center"/>
              <w:rPr>
                <w:rFonts w:ascii="Times New Roman" w:hAnsi="Times New Roman" w:eastAsia="微软雅黑" w:cs="Times New Roman"/>
                <w:b/>
                <w:color w:val="auto"/>
                <w:kern w:val="2"/>
                <w:sz w:val="22"/>
                <w:szCs w:val="24"/>
                <w:lang w:val="en-US" w:eastAsia="zh-CN" w:bidi="ar-SA"/>
              </w:rPr>
            </w:pPr>
          </w:p>
        </w:tc>
      </w:tr>
      <w:tr w14:paraId="21F136CE">
        <w:tblPrEx>
          <w:tblCellMar>
            <w:top w:w="0" w:type="dxa"/>
            <w:left w:w="108" w:type="dxa"/>
            <w:bottom w:w="0" w:type="dxa"/>
            <w:right w:w="108" w:type="dxa"/>
          </w:tblCellMar>
        </w:tblPrEx>
        <w:tc>
          <w:tcPr>
            <w:tcW w:w="869" w:type="dxa"/>
            <w:tcBorders>
              <w:top w:val="single" w:color="auto" w:sz="4" w:space="0"/>
              <w:left w:val="double" w:color="auto" w:sz="4" w:space="0"/>
              <w:bottom w:val="single" w:color="auto" w:sz="4" w:space="0"/>
              <w:right w:val="single" w:color="auto" w:sz="4" w:space="0"/>
            </w:tcBorders>
            <w:noWrap w:val="0"/>
            <w:vAlign w:val="top"/>
          </w:tcPr>
          <w:p w14:paraId="06887878">
            <w:pPr>
              <w:widowControl w:val="0"/>
              <w:spacing w:line="540" w:lineRule="exact"/>
              <w:jc w:val="center"/>
              <w:rPr>
                <w:rFonts w:ascii="Times New Roman" w:hAnsi="Times New Roman" w:eastAsia="微软雅黑" w:cs="Times New Roman"/>
                <w:b/>
                <w:color w:val="auto"/>
                <w:kern w:val="2"/>
                <w:sz w:val="22"/>
                <w:szCs w:val="24"/>
                <w:lang w:val="en-US" w:eastAsia="zh-CN" w:bidi="ar-SA"/>
              </w:rPr>
            </w:pPr>
            <w:r>
              <w:rPr>
                <w:rFonts w:hint="eastAsia" w:ascii="Times New Roman" w:hAnsi="Times New Roman" w:eastAsia="微软雅黑" w:cs="微软雅黑"/>
                <w:b/>
                <w:color w:val="auto"/>
                <w:kern w:val="2"/>
                <w:sz w:val="22"/>
                <w:szCs w:val="24"/>
                <w:lang w:val="en-US" w:eastAsia="zh-CN" w:bidi="ar-SA"/>
              </w:rPr>
              <w:t>……</w:t>
            </w:r>
          </w:p>
        </w:tc>
        <w:tc>
          <w:tcPr>
            <w:tcW w:w="3600" w:type="dxa"/>
            <w:tcBorders>
              <w:top w:val="single" w:color="auto" w:sz="4" w:space="0"/>
              <w:left w:val="single" w:color="auto" w:sz="4" w:space="0"/>
              <w:bottom w:val="single" w:color="auto" w:sz="4" w:space="0"/>
              <w:right w:val="single" w:color="auto" w:sz="4" w:space="0"/>
            </w:tcBorders>
            <w:noWrap w:val="0"/>
            <w:vAlign w:val="top"/>
          </w:tcPr>
          <w:p w14:paraId="296D89B9">
            <w:pPr>
              <w:widowControl w:val="0"/>
              <w:spacing w:line="540" w:lineRule="exact"/>
              <w:jc w:val="center"/>
              <w:rPr>
                <w:rFonts w:ascii="Times New Roman" w:hAnsi="Times New Roman" w:eastAsia="微软雅黑" w:cs="Times New Roman"/>
                <w:b/>
                <w:color w:val="auto"/>
                <w:kern w:val="2"/>
                <w:sz w:val="22"/>
                <w:szCs w:val="24"/>
                <w:lang w:val="en-US" w:eastAsia="zh-CN" w:bidi="ar-SA"/>
              </w:rPr>
            </w:pPr>
          </w:p>
        </w:tc>
        <w:tc>
          <w:tcPr>
            <w:tcW w:w="5869" w:type="dxa"/>
            <w:tcBorders>
              <w:top w:val="single" w:color="auto" w:sz="4" w:space="0"/>
              <w:left w:val="single" w:color="auto" w:sz="4" w:space="0"/>
              <w:bottom w:val="single" w:color="auto" w:sz="4" w:space="0"/>
              <w:right w:val="double" w:color="auto" w:sz="4" w:space="0"/>
            </w:tcBorders>
            <w:noWrap w:val="0"/>
            <w:vAlign w:val="top"/>
          </w:tcPr>
          <w:p w14:paraId="211FCCC0">
            <w:pPr>
              <w:widowControl w:val="0"/>
              <w:spacing w:line="540" w:lineRule="exact"/>
              <w:jc w:val="center"/>
              <w:rPr>
                <w:rFonts w:ascii="Times New Roman" w:hAnsi="Times New Roman" w:eastAsia="微软雅黑" w:cs="Times New Roman"/>
                <w:b/>
                <w:color w:val="auto"/>
                <w:kern w:val="2"/>
                <w:sz w:val="22"/>
                <w:szCs w:val="24"/>
                <w:lang w:val="en-US" w:eastAsia="zh-CN" w:bidi="ar-SA"/>
              </w:rPr>
            </w:pPr>
          </w:p>
        </w:tc>
      </w:tr>
      <w:tr w14:paraId="12978844">
        <w:tblPrEx>
          <w:tblCellMar>
            <w:top w:w="0" w:type="dxa"/>
            <w:left w:w="108" w:type="dxa"/>
            <w:bottom w:w="0" w:type="dxa"/>
            <w:right w:w="108" w:type="dxa"/>
          </w:tblCellMar>
        </w:tblPrEx>
        <w:tc>
          <w:tcPr>
            <w:tcW w:w="4469" w:type="dxa"/>
            <w:gridSpan w:val="2"/>
            <w:tcBorders>
              <w:top w:val="single" w:color="auto" w:sz="4" w:space="0"/>
              <w:left w:val="double" w:color="auto" w:sz="4" w:space="0"/>
              <w:bottom w:val="double" w:color="auto" w:sz="4" w:space="0"/>
              <w:right w:val="single" w:color="auto" w:sz="4" w:space="0"/>
            </w:tcBorders>
            <w:noWrap w:val="0"/>
            <w:vAlign w:val="top"/>
          </w:tcPr>
          <w:p w14:paraId="35000511">
            <w:pPr>
              <w:widowControl w:val="0"/>
              <w:spacing w:line="540" w:lineRule="exact"/>
              <w:jc w:val="center"/>
              <w:rPr>
                <w:rFonts w:ascii="Times New Roman" w:hAnsi="Times New Roman" w:eastAsia="微软雅黑" w:cs="Times New Roman"/>
                <w:b/>
                <w:color w:val="auto"/>
                <w:kern w:val="2"/>
                <w:sz w:val="22"/>
                <w:szCs w:val="24"/>
                <w:lang w:val="en-US" w:eastAsia="zh-CN" w:bidi="ar-SA"/>
              </w:rPr>
            </w:pPr>
            <w:r>
              <w:rPr>
                <w:rFonts w:hint="eastAsia" w:ascii="Times New Roman" w:hAnsi="Times New Roman" w:eastAsia="微软雅黑" w:cs="Times New Roman"/>
                <w:b/>
                <w:color w:val="auto"/>
                <w:kern w:val="2"/>
                <w:sz w:val="22"/>
                <w:szCs w:val="24"/>
                <w:lang w:val="en-US" w:eastAsia="zh-CN" w:bidi="ar-SA"/>
              </w:rPr>
              <w:t>合</w:t>
            </w:r>
            <w:r>
              <w:rPr>
                <w:rFonts w:ascii="Times New Roman" w:hAnsi="Times New Roman" w:eastAsia="微软雅黑" w:cs="Times New Roman"/>
                <w:b/>
                <w:color w:val="auto"/>
                <w:kern w:val="2"/>
                <w:sz w:val="22"/>
                <w:szCs w:val="24"/>
                <w:lang w:val="en-US" w:eastAsia="zh-CN" w:bidi="ar-SA"/>
              </w:rPr>
              <w:t xml:space="preserve">   </w:t>
            </w:r>
            <w:r>
              <w:rPr>
                <w:rFonts w:hint="eastAsia" w:ascii="Times New Roman" w:hAnsi="Times New Roman" w:eastAsia="微软雅黑" w:cs="Times New Roman"/>
                <w:b/>
                <w:color w:val="auto"/>
                <w:kern w:val="2"/>
                <w:sz w:val="22"/>
                <w:szCs w:val="24"/>
                <w:lang w:val="en-US" w:eastAsia="zh-CN" w:bidi="ar-SA"/>
              </w:rPr>
              <w:t>计</w:t>
            </w:r>
          </w:p>
        </w:tc>
        <w:tc>
          <w:tcPr>
            <w:tcW w:w="5869" w:type="dxa"/>
            <w:tcBorders>
              <w:top w:val="single" w:color="auto" w:sz="4" w:space="0"/>
              <w:left w:val="single" w:color="auto" w:sz="4" w:space="0"/>
              <w:bottom w:val="double" w:color="auto" w:sz="4" w:space="0"/>
              <w:right w:val="double" w:color="auto" w:sz="4" w:space="0"/>
            </w:tcBorders>
            <w:noWrap w:val="0"/>
            <w:vAlign w:val="top"/>
          </w:tcPr>
          <w:p w14:paraId="5D5E8B4C">
            <w:pPr>
              <w:widowControl w:val="0"/>
              <w:spacing w:line="540" w:lineRule="exact"/>
              <w:jc w:val="center"/>
              <w:rPr>
                <w:rFonts w:ascii="Times New Roman" w:hAnsi="Times New Roman" w:eastAsia="微软雅黑" w:cs="Times New Roman"/>
                <w:b/>
                <w:color w:val="auto"/>
                <w:kern w:val="2"/>
                <w:sz w:val="22"/>
                <w:szCs w:val="24"/>
                <w:lang w:val="en-US" w:eastAsia="zh-CN" w:bidi="ar-SA"/>
              </w:rPr>
            </w:pPr>
          </w:p>
        </w:tc>
      </w:tr>
    </w:tbl>
    <w:p w14:paraId="61E5BB41">
      <w:pPr>
        <w:widowControl w:val="0"/>
        <w:adjustRightInd w:val="0"/>
        <w:snapToGrid w:val="0"/>
        <w:spacing w:before="156" w:beforeLines="50" w:line="46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1.4</w:t>
      </w:r>
      <w:r>
        <w:rPr>
          <w:rFonts w:hint="eastAsia" w:ascii="Times New Roman" w:hAnsi="Times New Roman" w:eastAsia="宋体" w:cs="Times New Roman"/>
          <w:b/>
          <w:bCs/>
          <w:color w:val="auto"/>
          <w:kern w:val="2"/>
          <w:sz w:val="24"/>
          <w:szCs w:val="22"/>
          <w:lang w:val="en-US" w:eastAsia="zh-CN" w:bidi="ar-SA"/>
        </w:rPr>
        <w:t>付款方式和发票开具方式</w:t>
      </w:r>
    </w:p>
    <w:p w14:paraId="46590F9A">
      <w:pPr>
        <w:widowControl w:val="0"/>
        <w:adjustRightInd w:val="0"/>
        <w:snapToGrid w:val="0"/>
        <w:spacing w:before="156" w:beforeLines="50" w:line="46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1.4.1</w:t>
      </w:r>
      <w:r>
        <w:rPr>
          <w:rFonts w:hint="eastAsia" w:ascii="Times New Roman" w:hAnsi="Times New Roman" w:eastAsia="宋体" w:cs="Times New Roman"/>
          <w:color w:val="auto"/>
          <w:kern w:val="2"/>
          <w:sz w:val="24"/>
          <w:szCs w:val="22"/>
          <w:lang w:val="en-US" w:eastAsia="zh-CN" w:bidi="ar-SA"/>
        </w:rPr>
        <w:t>付款方式</w:t>
      </w:r>
      <w:r>
        <w:rPr>
          <w:rFonts w:hint="eastAsia" w:ascii="Times New Roman" w:hAnsi="Times New Roman" w:eastAsia="宋体" w:cs="Times New Roman"/>
          <w:color w:val="auto"/>
          <w:kern w:val="2"/>
          <w:sz w:val="24"/>
          <w:szCs w:val="22"/>
          <w:u w:val="none"/>
          <w:lang w:val="en-US" w:eastAsia="zh-CN" w:bidi="ar-SA"/>
        </w:rPr>
        <w:t>：</w:t>
      </w:r>
      <w:r>
        <w:rPr>
          <w:rFonts w:hint="eastAsia" w:ascii="Times New Roman" w:hAnsi="Times New Roman" w:eastAsia="宋体" w:cs="Times New Roman"/>
          <w:color w:val="auto"/>
          <w:kern w:val="2"/>
          <w:sz w:val="24"/>
          <w:szCs w:val="22"/>
          <w:u w:val="single"/>
          <w:lang w:val="en-US" w:eastAsia="zh-CN" w:bidi="ar-SA"/>
        </w:rPr>
        <w:t>合同签订时约定</w:t>
      </w:r>
      <w:r>
        <w:rPr>
          <w:rFonts w:hint="eastAsia" w:ascii="Times New Roman" w:hAnsi="Times New Roman" w:eastAsia="宋体" w:cs="宋体"/>
          <w:color w:val="auto"/>
          <w:kern w:val="2"/>
          <w:sz w:val="24"/>
          <w:szCs w:val="22"/>
          <w:u w:val="none"/>
          <w:lang w:val="en-US" w:eastAsia="zh-CN" w:bidi="ar-SA"/>
        </w:rPr>
        <w:t>。</w:t>
      </w:r>
    </w:p>
    <w:p w14:paraId="6B7DA744">
      <w:pPr>
        <w:widowControl w:val="0"/>
        <w:adjustRightInd w:val="0"/>
        <w:snapToGrid w:val="0"/>
        <w:spacing w:before="156" w:beforeLines="50" w:line="460" w:lineRule="exact"/>
        <w:ind w:firstLine="480" w:firstLineChars="200"/>
        <w:jc w:val="both"/>
        <w:rPr>
          <w:rFonts w:ascii="Times New Roman" w:hAnsi="Times New Roman" w:eastAsia="宋体" w:cs="Times New Roman"/>
          <w:color w:val="auto"/>
          <w:kern w:val="2"/>
          <w:sz w:val="24"/>
          <w:szCs w:val="22"/>
          <w:u w:val="single"/>
          <w:lang w:val="en-US" w:eastAsia="zh-CN" w:bidi="ar-SA"/>
        </w:rPr>
      </w:pPr>
      <w:r>
        <w:rPr>
          <w:rFonts w:ascii="Times New Roman" w:hAnsi="Times New Roman" w:eastAsia="宋体" w:cs="Times New Roman"/>
          <w:color w:val="auto"/>
          <w:kern w:val="2"/>
          <w:sz w:val="24"/>
          <w:szCs w:val="22"/>
          <w:lang w:val="en-US" w:eastAsia="zh-CN" w:bidi="ar-SA"/>
        </w:rPr>
        <w:t>1.4.2</w:t>
      </w:r>
      <w:r>
        <w:rPr>
          <w:rFonts w:hint="eastAsia" w:ascii="Times New Roman" w:hAnsi="Times New Roman" w:eastAsia="宋体" w:cs="Times New Roman"/>
          <w:color w:val="auto"/>
          <w:kern w:val="2"/>
          <w:sz w:val="24"/>
          <w:szCs w:val="22"/>
          <w:lang w:val="en-US" w:eastAsia="zh-CN" w:bidi="ar-SA"/>
        </w:rPr>
        <w:t>发票开具方式：</w:t>
      </w:r>
      <w:r>
        <w:rPr>
          <w:rFonts w:ascii="Times New Roman" w:hAnsi="Times New Roman" w:eastAsia="宋体" w:cs="Times New Roman"/>
          <w:color w:val="auto"/>
          <w:kern w:val="2"/>
          <w:sz w:val="24"/>
          <w:szCs w:val="22"/>
          <w:u w:val="single"/>
          <w:lang w:val="en-US" w:eastAsia="zh-CN" w:bidi="ar-SA"/>
        </w:rPr>
        <w:t xml:space="preserve"> </w:t>
      </w:r>
      <w:r>
        <w:rPr>
          <w:rFonts w:hint="eastAsia" w:ascii="Times New Roman" w:hAnsi="Times New Roman" w:eastAsia="宋体" w:cs="Times New Roman"/>
          <w:color w:val="auto"/>
          <w:kern w:val="2"/>
          <w:sz w:val="24"/>
          <w:szCs w:val="22"/>
          <w:u w:val="single"/>
          <w:lang w:val="en-US" w:eastAsia="zh-CN" w:bidi="ar-SA"/>
        </w:rPr>
        <w:t xml:space="preserve"> 普通发票 </w:t>
      </w:r>
      <w:r>
        <w:rPr>
          <w:rFonts w:hint="eastAsia" w:ascii="Times New Roman" w:hAnsi="Times New Roman" w:eastAsia="宋体" w:cs="Times New Roman"/>
          <w:color w:val="auto"/>
          <w:kern w:val="2"/>
          <w:sz w:val="24"/>
          <w:szCs w:val="22"/>
          <w:u w:val="none"/>
          <w:lang w:val="en-US" w:eastAsia="zh-CN" w:bidi="ar-SA"/>
        </w:rPr>
        <w:t>。</w:t>
      </w:r>
    </w:p>
    <w:p w14:paraId="7BD23039">
      <w:pPr>
        <w:widowControl w:val="0"/>
        <w:adjustRightInd w:val="0"/>
        <w:snapToGrid w:val="0"/>
        <w:spacing w:before="156" w:beforeLines="50" w:line="46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1.5</w:t>
      </w:r>
      <w:r>
        <w:rPr>
          <w:rFonts w:hint="eastAsia" w:ascii="Times New Roman" w:hAnsi="Times New Roman" w:eastAsia="宋体" w:cs="Times New Roman"/>
          <w:b/>
          <w:bCs/>
          <w:color w:val="auto"/>
          <w:kern w:val="2"/>
          <w:sz w:val="24"/>
          <w:szCs w:val="22"/>
          <w:lang w:val="en-US" w:eastAsia="zh-CN" w:bidi="ar-SA"/>
        </w:rPr>
        <w:t>货物交付期限、地点和方式</w:t>
      </w:r>
    </w:p>
    <w:p w14:paraId="624AD074">
      <w:pPr>
        <w:widowControl w:val="0"/>
        <w:adjustRightInd w:val="0"/>
        <w:snapToGrid w:val="0"/>
        <w:spacing w:before="156" w:beforeLines="50" w:line="46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1.5.1</w:t>
      </w:r>
      <w:r>
        <w:rPr>
          <w:rFonts w:hint="eastAsia" w:ascii="Times New Roman" w:hAnsi="Times New Roman" w:eastAsia="宋体" w:cs="Times New Roman"/>
          <w:color w:val="auto"/>
          <w:kern w:val="2"/>
          <w:sz w:val="24"/>
          <w:szCs w:val="22"/>
          <w:lang w:val="en-US" w:eastAsia="zh-CN" w:bidi="ar-SA"/>
        </w:rPr>
        <w:t>交付期限：</w:t>
      </w:r>
      <w:r>
        <w:rPr>
          <w:rFonts w:hint="eastAsia" w:ascii="Times New Roman" w:hAnsi="Times New Roman" w:eastAsia="宋体" w:cs="Times New Roman"/>
          <w:color w:val="auto"/>
          <w:kern w:val="2"/>
          <w:sz w:val="24"/>
          <w:szCs w:val="22"/>
          <w:u w:val="single"/>
          <w:lang w:val="en-US" w:eastAsia="zh-CN" w:bidi="ar-SA"/>
        </w:rPr>
        <w:t>自合同签订之日起30天内完成</w:t>
      </w:r>
      <w:r>
        <w:rPr>
          <w:rFonts w:hint="eastAsia" w:ascii="Times New Roman" w:hAnsi="Times New Roman" w:eastAsia="宋体" w:cs="Times New Roman"/>
          <w:color w:val="auto"/>
          <w:kern w:val="2"/>
          <w:sz w:val="24"/>
          <w:szCs w:val="22"/>
          <w:u w:val="none"/>
          <w:lang w:val="en-US" w:eastAsia="zh-CN" w:bidi="ar-SA"/>
        </w:rPr>
        <w:t>；</w:t>
      </w:r>
    </w:p>
    <w:p w14:paraId="75C7730D">
      <w:pPr>
        <w:widowControl w:val="0"/>
        <w:adjustRightInd w:val="0"/>
        <w:snapToGrid w:val="0"/>
        <w:spacing w:before="156" w:beforeLines="50" w:line="46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1.5.2</w:t>
      </w:r>
      <w:r>
        <w:rPr>
          <w:rFonts w:hint="eastAsia" w:ascii="Times New Roman" w:hAnsi="Times New Roman" w:eastAsia="宋体" w:cs="Times New Roman"/>
          <w:color w:val="auto"/>
          <w:kern w:val="2"/>
          <w:sz w:val="24"/>
          <w:szCs w:val="22"/>
          <w:lang w:val="en-US" w:eastAsia="zh-CN" w:bidi="ar-SA"/>
        </w:rPr>
        <w:t>交付地点：</w:t>
      </w:r>
      <w:r>
        <w:rPr>
          <w:rFonts w:hint="eastAsia" w:ascii="Times New Roman" w:hAnsi="Times New Roman" w:eastAsia="宋体" w:cs="Times New Roman"/>
          <w:color w:val="auto"/>
          <w:kern w:val="2"/>
          <w:sz w:val="24"/>
          <w:szCs w:val="22"/>
          <w:u w:val="single"/>
          <w:lang w:val="en-US" w:eastAsia="zh-CN" w:bidi="ar-SA"/>
        </w:rPr>
        <w:t>张家界市永定区，具体由采购人指定</w:t>
      </w:r>
      <w:r>
        <w:rPr>
          <w:rFonts w:hint="eastAsia" w:ascii="Times New Roman" w:hAnsi="Times New Roman" w:eastAsia="宋体" w:cs="Times New Roman"/>
          <w:color w:val="auto"/>
          <w:kern w:val="2"/>
          <w:sz w:val="24"/>
          <w:szCs w:val="22"/>
          <w:u w:val="none"/>
          <w:lang w:val="en-US" w:eastAsia="zh-CN" w:bidi="ar-SA"/>
        </w:rPr>
        <w:t>；</w:t>
      </w:r>
    </w:p>
    <w:p w14:paraId="72955016">
      <w:pPr>
        <w:widowControl w:val="0"/>
        <w:adjustRightInd w:val="0"/>
        <w:snapToGrid w:val="0"/>
        <w:spacing w:before="156" w:beforeLines="50" w:line="46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1.5.3</w:t>
      </w:r>
      <w:r>
        <w:rPr>
          <w:rFonts w:hint="eastAsia" w:ascii="Times New Roman" w:hAnsi="Times New Roman" w:eastAsia="宋体" w:cs="Times New Roman"/>
          <w:color w:val="auto"/>
          <w:kern w:val="2"/>
          <w:sz w:val="24"/>
          <w:szCs w:val="22"/>
          <w:lang w:val="en-US" w:eastAsia="zh-CN" w:bidi="ar-SA"/>
        </w:rPr>
        <w:t>交付方式：</w:t>
      </w:r>
      <w:r>
        <w:rPr>
          <w:rFonts w:hint="eastAsia" w:ascii="Times New Roman" w:hAnsi="Times New Roman" w:eastAsia="宋体" w:cs="Times New Roman"/>
          <w:color w:val="auto"/>
          <w:kern w:val="2"/>
          <w:sz w:val="24"/>
          <w:szCs w:val="22"/>
          <w:u w:val="single"/>
          <w:lang w:val="en-US" w:eastAsia="zh-CN" w:bidi="ar-SA"/>
        </w:rPr>
        <w:t>供货安装调试完成并通过终验后交付使用</w:t>
      </w:r>
      <w:r>
        <w:rPr>
          <w:rFonts w:hint="eastAsia" w:ascii="Times New Roman" w:hAnsi="Times New Roman" w:eastAsia="宋体" w:cs="Times New Roman"/>
          <w:color w:val="auto"/>
          <w:kern w:val="2"/>
          <w:sz w:val="24"/>
          <w:szCs w:val="22"/>
          <w:u w:val="none"/>
          <w:lang w:val="en-US" w:eastAsia="zh-CN" w:bidi="ar-SA"/>
        </w:rPr>
        <w:t>。</w:t>
      </w:r>
    </w:p>
    <w:p w14:paraId="342C2605">
      <w:pPr>
        <w:widowControl w:val="0"/>
        <w:adjustRightInd w:val="0"/>
        <w:snapToGrid w:val="0"/>
        <w:spacing w:before="156" w:beforeLines="50" w:line="46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1.6</w:t>
      </w:r>
      <w:r>
        <w:rPr>
          <w:rFonts w:hint="eastAsia" w:ascii="Times New Roman" w:hAnsi="Times New Roman" w:eastAsia="宋体" w:cs="Times New Roman"/>
          <w:b/>
          <w:bCs/>
          <w:color w:val="auto"/>
          <w:kern w:val="2"/>
          <w:sz w:val="24"/>
          <w:szCs w:val="22"/>
          <w:lang w:val="en-US" w:eastAsia="zh-CN" w:bidi="ar-SA"/>
        </w:rPr>
        <w:t>违约责任</w:t>
      </w:r>
    </w:p>
    <w:p w14:paraId="7607C18A">
      <w:pPr>
        <w:widowControl w:val="0"/>
        <w:adjustRightInd w:val="0"/>
        <w:snapToGrid w:val="0"/>
        <w:spacing w:before="156" w:beforeLines="50" w:line="46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1.6.1</w:t>
      </w:r>
      <w:r>
        <w:rPr>
          <w:rFonts w:hint="eastAsia" w:ascii="Times New Roman" w:hAnsi="Times New Roman" w:eastAsia="宋体" w:cs="Times New Roman"/>
          <w:color w:val="auto"/>
          <w:kern w:val="2"/>
          <w:sz w:val="24"/>
          <w:szCs w:val="22"/>
          <w:lang w:val="en-US" w:eastAsia="zh-CN" w:bidi="ar-SA"/>
        </w:rPr>
        <w:t>除不可抗力外，如果乙方没有按照本合同约定的期限、地点和方式交付货物，那么甲方可要求乙方支付违约金，违约金按每迟延交付货物一日的应交付而未交付货物价格的</w:t>
      </w:r>
      <w:r>
        <w:rPr>
          <w:rFonts w:ascii="Times New Roman" w:hAnsi="Times New Roman" w:eastAsia="宋体" w:cs="Times New Roman"/>
          <w:color w:val="auto"/>
          <w:kern w:val="2"/>
          <w:sz w:val="24"/>
          <w:szCs w:val="22"/>
          <w:u w:val="single"/>
          <w:lang w:val="en-US" w:eastAsia="zh-CN" w:bidi="ar-SA"/>
        </w:rPr>
        <w:t>0.</w:t>
      </w:r>
      <w:r>
        <w:rPr>
          <w:rFonts w:hint="eastAsia" w:ascii="Times New Roman" w:hAnsi="Times New Roman" w:eastAsia="宋体" w:cs="Times New Roman"/>
          <w:color w:val="auto"/>
          <w:kern w:val="2"/>
          <w:sz w:val="24"/>
          <w:szCs w:val="22"/>
          <w:u w:val="single"/>
          <w:lang w:val="en-US" w:eastAsia="zh-CN" w:bidi="ar-SA"/>
        </w:rPr>
        <w:t>5</w:t>
      </w:r>
      <w:r>
        <w:rPr>
          <w:rFonts w:ascii="Times New Roman" w:hAnsi="Times New Roman" w:eastAsia="宋体" w:cs="Times New Roman"/>
          <w:color w:val="auto"/>
          <w:kern w:val="2"/>
          <w:sz w:val="24"/>
          <w:szCs w:val="22"/>
          <w:lang w:val="en-US" w:eastAsia="zh-CN" w:bidi="ar-SA"/>
        </w:rPr>
        <w:t>%</w:t>
      </w:r>
      <w:r>
        <w:rPr>
          <w:rFonts w:hint="eastAsia" w:ascii="Times New Roman" w:hAnsi="Times New Roman" w:eastAsia="宋体" w:cs="Times New Roman"/>
          <w:color w:val="auto"/>
          <w:kern w:val="2"/>
          <w:sz w:val="24"/>
          <w:szCs w:val="22"/>
          <w:lang w:val="en-US" w:eastAsia="zh-CN" w:bidi="ar-SA"/>
        </w:rPr>
        <w:t>计算，最高限额为本合同总价的</w:t>
      </w:r>
      <w:r>
        <w:rPr>
          <w:rFonts w:hint="eastAsia" w:ascii="Times New Roman" w:hAnsi="Times New Roman" w:eastAsia="宋体" w:cs="Times New Roman"/>
          <w:color w:val="auto"/>
          <w:kern w:val="2"/>
          <w:sz w:val="24"/>
          <w:szCs w:val="22"/>
          <w:u w:val="single"/>
          <w:lang w:val="en-US" w:eastAsia="zh-CN" w:bidi="ar-SA"/>
        </w:rPr>
        <w:t>20</w:t>
      </w:r>
      <w:r>
        <w:rPr>
          <w:rFonts w:ascii="Times New Roman" w:hAnsi="Times New Roman" w:eastAsia="宋体" w:cs="Times New Roman"/>
          <w:color w:val="auto"/>
          <w:kern w:val="2"/>
          <w:sz w:val="24"/>
          <w:szCs w:val="22"/>
          <w:lang w:val="en-US" w:eastAsia="zh-CN" w:bidi="ar-SA"/>
        </w:rPr>
        <w:t xml:space="preserve"> %</w:t>
      </w:r>
      <w:r>
        <w:rPr>
          <w:rFonts w:hint="eastAsia" w:ascii="Times New Roman" w:hAnsi="Times New Roman" w:eastAsia="宋体" w:cs="Times New Roman"/>
          <w:color w:val="auto"/>
          <w:kern w:val="2"/>
          <w:sz w:val="24"/>
          <w:szCs w:val="22"/>
          <w:lang w:val="en-US" w:eastAsia="zh-CN" w:bidi="ar-SA"/>
        </w:rPr>
        <w:t>；迟延交付货物的违约金计算数额达到前述最高限额之日起，甲方有权在要求乙方支付违约金的同时，书面通知乙方解除本合同；</w:t>
      </w:r>
    </w:p>
    <w:p w14:paraId="038969DB">
      <w:pPr>
        <w:widowControl w:val="0"/>
        <w:adjustRightInd w:val="0"/>
        <w:snapToGrid w:val="0"/>
        <w:spacing w:before="156" w:beforeLines="50" w:line="46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1.6.2</w:t>
      </w:r>
      <w:r>
        <w:rPr>
          <w:rFonts w:hint="eastAsia" w:ascii="Times New Roman" w:hAnsi="Times New Roman" w:eastAsia="宋体" w:cs="Times New Roman"/>
          <w:color w:val="auto"/>
          <w:kern w:val="2"/>
          <w:sz w:val="24"/>
          <w:szCs w:val="22"/>
          <w:lang w:val="en-US" w:eastAsia="zh-CN" w:bidi="ar-SA"/>
        </w:rPr>
        <w:t>除不可抗力外，如果甲方没有按照本合同约定的付款方式付款，那么乙方可要求甲方支付违约金，违约金按每迟延付款一日的应付而未付款的</w:t>
      </w:r>
      <w:r>
        <w:rPr>
          <w:rFonts w:ascii="Times New Roman" w:hAnsi="Times New Roman" w:eastAsia="宋体" w:cs="Times New Roman"/>
          <w:color w:val="auto"/>
          <w:kern w:val="2"/>
          <w:sz w:val="24"/>
          <w:szCs w:val="22"/>
          <w:u w:val="single"/>
          <w:lang w:val="en-US" w:eastAsia="zh-CN" w:bidi="ar-SA"/>
        </w:rPr>
        <w:t>0.</w:t>
      </w:r>
      <w:r>
        <w:rPr>
          <w:rFonts w:hint="eastAsia" w:ascii="Times New Roman" w:hAnsi="Times New Roman" w:eastAsia="宋体" w:cs="Times New Roman"/>
          <w:color w:val="auto"/>
          <w:kern w:val="2"/>
          <w:sz w:val="24"/>
          <w:szCs w:val="22"/>
          <w:u w:val="single"/>
          <w:lang w:val="en-US" w:eastAsia="zh-CN" w:bidi="ar-SA"/>
        </w:rPr>
        <w:t>5</w:t>
      </w:r>
      <w:r>
        <w:rPr>
          <w:rFonts w:ascii="Times New Roman" w:hAnsi="Times New Roman" w:eastAsia="宋体" w:cs="Times New Roman"/>
          <w:color w:val="auto"/>
          <w:kern w:val="2"/>
          <w:sz w:val="24"/>
          <w:szCs w:val="22"/>
          <w:lang w:val="en-US" w:eastAsia="zh-CN" w:bidi="ar-SA"/>
        </w:rPr>
        <w:t xml:space="preserve">% </w:t>
      </w:r>
      <w:r>
        <w:rPr>
          <w:rFonts w:hint="eastAsia" w:ascii="Times New Roman" w:hAnsi="Times New Roman" w:eastAsia="宋体" w:cs="Times New Roman"/>
          <w:color w:val="auto"/>
          <w:kern w:val="2"/>
          <w:sz w:val="24"/>
          <w:szCs w:val="22"/>
          <w:lang w:val="en-US" w:eastAsia="zh-CN" w:bidi="ar-SA"/>
        </w:rPr>
        <w:t>计算，最高限额为本合同总价的</w:t>
      </w:r>
      <w:r>
        <w:rPr>
          <w:rFonts w:ascii="Times New Roman" w:hAnsi="Times New Roman" w:eastAsia="宋体" w:cs="Times New Roman"/>
          <w:color w:val="auto"/>
          <w:kern w:val="2"/>
          <w:sz w:val="24"/>
          <w:szCs w:val="22"/>
          <w:u w:val="single"/>
          <w:lang w:val="en-US" w:eastAsia="zh-CN" w:bidi="ar-SA"/>
        </w:rPr>
        <w:t>0.</w:t>
      </w:r>
      <w:r>
        <w:rPr>
          <w:rFonts w:hint="eastAsia" w:ascii="Times New Roman" w:hAnsi="Times New Roman" w:eastAsia="宋体" w:cs="Times New Roman"/>
          <w:color w:val="auto"/>
          <w:kern w:val="2"/>
          <w:sz w:val="24"/>
          <w:szCs w:val="22"/>
          <w:u w:val="single"/>
          <w:lang w:val="en-US" w:eastAsia="zh-CN" w:bidi="ar-SA"/>
        </w:rPr>
        <w:t>5</w:t>
      </w:r>
      <w:r>
        <w:rPr>
          <w:rFonts w:ascii="Times New Roman" w:hAnsi="Times New Roman" w:eastAsia="宋体" w:cs="Times New Roman"/>
          <w:color w:val="auto"/>
          <w:kern w:val="2"/>
          <w:sz w:val="24"/>
          <w:szCs w:val="22"/>
          <w:lang w:val="en-US" w:eastAsia="zh-CN" w:bidi="ar-SA"/>
        </w:rPr>
        <w:t>%</w:t>
      </w:r>
      <w:r>
        <w:rPr>
          <w:rFonts w:hint="eastAsia" w:ascii="Times New Roman" w:hAnsi="Times New Roman" w:eastAsia="宋体" w:cs="Times New Roman"/>
          <w:color w:val="auto"/>
          <w:kern w:val="2"/>
          <w:sz w:val="24"/>
          <w:szCs w:val="22"/>
          <w:lang w:val="en-US" w:eastAsia="zh-CN" w:bidi="ar-SA"/>
        </w:rPr>
        <w:t>；</w:t>
      </w:r>
    </w:p>
    <w:p w14:paraId="59885A46">
      <w:pPr>
        <w:widowControl w:val="0"/>
        <w:adjustRightInd w:val="0"/>
        <w:snapToGrid w:val="0"/>
        <w:spacing w:before="156" w:beforeLines="50" w:line="46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1.6.3</w:t>
      </w:r>
      <w:r>
        <w:rPr>
          <w:rFonts w:hint="eastAsia" w:ascii="Times New Roman" w:hAnsi="Times New Roman" w:eastAsia="宋体" w:cs="Times New Roman"/>
          <w:color w:val="auto"/>
          <w:kern w:val="2"/>
          <w:sz w:val="24"/>
          <w:szCs w:val="22"/>
          <w:lang w:val="en-US" w:eastAsia="zh-CN" w:bidi="ar-SA"/>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w:t>
      </w:r>
      <w:r>
        <w:rPr>
          <w:rFonts w:ascii="Times New Roman" w:hAnsi="Times New Roman" w:eastAsia="宋体" w:cs="Times New Roman"/>
          <w:color w:val="auto"/>
          <w:kern w:val="2"/>
          <w:sz w:val="24"/>
          <w:szCs w:val="22"/>
          <w:lang w:val="en-US" w:eastAsia="zh-CN" w:bidi="ar-SA"/>
        </w:rPr>
        <w:t xml:space="preserve"> </w:t>
      </w:r>
      <w:r>
        <w:rPr>
          <w:rFonts w:hint="eastAsia" w:ascii="Times New Roman" w:hAnsi="Times New Roman" w:eastAsia="宋体" w:cs="Times New Roman"/>
          <w:color w:val="auto"/>
          <w:kern w:val="2"/>
          <w:sz w:val="24"/>
          <w:szCs w:val="22"/>
          <w:lang w:val="en-US" w:eastAsia="zh-CN" w:bidi="ar-SA"/>
        </w:rPr>
        <w:t>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42697EC">
      <w:pPr>
        <w:widowControl w:val="0"/>
        <w:adjustRightInd w:val="0"/>
        <w:snapToGrid w:val="0"/>
        <w:spacing w:before="156" w:beforeLines="50" w:line="46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1.6.4</w:t>
      </w:r>
      <w:r>
        <w:rPr>
          <w:rFonts w:hint="eastAsia" w:ascii="Times New Roman" w:hAnsi="Times New Roman" w:eastAsia="宋体" w:cs="Times New Roman"/>
          <w:color w:val="auto"/>
          <w:kern w:val="2"/>
          <w:sz w:val="24"/>
          <w:szCs w:val="22"/>
          <w:lang w:val="en-US" w:eastAsia="zh-CN" w:bidi="ar-SA"/>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7A4C00B0">
      <w:pPr>
        <w:widowControl w:val="0"/>
        <w:adjustRightInd w:val="0"/>
        <w:snapToGrid w:val="0"/>
        <w:spacing w:before="156" w:beforeLines="50" w:line="46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1.6.5</w:t>
      </w:r>
      <w:r>
        <w:rPr>
          <w:rFonts w:hint="eastAsia" w:ascii="Times New Roman" w:hAnsi="Times New Roman" w:eastAsia="宋体" w:cs="Times New Roman"/>
          <w:color w:val="auto"/>
          <w:kern w:val="2"/>
          <w:sz w:val="24"/>
          <w:szCs w:val="22"/>
          <w:lang w:val="en-US" w:eastAsia="zh-CN" w:bidi="ar-SA"/>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597197D7">
      <w:pPr>
        <w:widowControl w:val="0"/>
        <w:adjustRightInd w:val="0"/>
        <w:snapToGrid w:val="0"/>
        <w:spacing w:before="156" w:beforeLines="50" w:line="46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1.6.6</w:t>
      </w:r>
      <w:r>
        <w:rPr>
          <w:rFonts w:hint="eastAsia" w:ascii="Times New Roman" w:hAnsi="Times New Roman" w:eastAsia="宋体" w:cs="Times New Roman"/>
          <w:color w:val="auto"/>
          <w:kern w:val="2"/>
          <w:sz w:val="24"/>
          <w:szCs w:val="22"/>
          <w:lang w:val="en-US" w:eastAsia="zh-CN" w:bidi="ar-SA"/>
        </w:rPr>
        <w:t>如果出现政府采购监督管理部门在处理投诉事项期间，书面通知甲方暂停采购活动的情形，或者询问或质疑事项可能影响中标结果的，导致甲方中止履行合同的情形，均不视为甲方违约。</w:t>
      </w:r>
    </w:p>
    <w:p w14:paraId="1D6CE05D">
      <w:pPr>
        <w:widowControl w:val="0"/>
        <w:adjustRightInd w:val="0"/>
        <w:snapToGrid w:val="0"/>
        <w:spacing w:before="156" w:beforeLines="50" w:line="46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1.7</w:t>
      </w:r>
      <w:r>
        <w:rPr>
          <w:rFonts w:hint="eastAsia" w:ascii="Times New Roman" w:hAnsi="Times New Roman" w:eastAsia="宋体" w:cs="Times New Roman"/>
          <w:b/>
          <w:bCs/>
          <w:color w:val="auto"/>
          <w:kern w:val="2"/>
          <w:sz w:val="24"/>
          <w:szCs w:val="22"/>
          <w:lang w:val="en-US" w:eastAsia="zh-CN" w:bidi="ar-SA"/>
        </w:rPr>
        <w:t>合同争议的解决</w:t>
      </w:r>
    </w:p>
    <w:p w14:paraId="173E2F38">
      <w:pPr>
        <w:widowControl w:val="0"/>
        <w:adjustRightInd w:val="0"/>
        <w:snapToGrid w:val="0"/>
        <w:spacing w:before="156" w:beforeLines="50" w:line="460" w:lineRule="exact"/>
        <w:ind w:firstLine="480" w:firstLineChars="200"/>
        <w:jc w:val="both"/>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本合同履行过程中发生的任何争议，双方当事人均可通过和解或者调解解决；不愿和解、调解或者和解、调解不成的，可以选择下列第</w:t>
      </w:r>
      <w:r>
        <w:rPr>
          <w:rFonts w:ascii="Times New Roman" w:hAnsi="Times New Roman" w:eastAsia="宋体" w:cs="Times New Roman"/>
          <w:color w:val="auto"/>
          <w:kern w:val="2"/>
          <w:sz w:val="24"/>
          <w:szCs w:val="22"/>
          <w:u w:val="single"/>
          <w:lang w:val="en-US" w:eastAsia="zh-CN" w:bidi="ar-SA"/>
        </w:rPr>
        <w:t>1.7.1</w:t>
      </w:r>
      <w:r>
        <w:rPr>
          <w:rFonts w:hint="eastAsia" w:ascii="Times New Roman" w:hAnsi="Times New Roman" w:eastAsia="宋体" w:cs="Times New Roman"/>
          <w:color w:val="auto"/>
          <w:kern w:val="2"/>
          <w:sz w:val="24"/>
          <w:szCs w:val="22"/>
          <w:lang w:val="en-US" w:eastAsia="zh-CN" w:bidi="ar-SA"/>
        </w:rPr>
        <w:t>种方式解决：</w:t>
      </w:r>
    </w:p>
    <w:p w14:paraId="5AE9334B">
      <w:pPr>
        <w:widowControl w:val="0"/>
        <w:adjustRightInd w:val="0"/>
        <w:snapToGrid w:val="0"/>
        <w:spacing w:before="156" w:beforeLines="50" w:line="46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1.7.1</w:t>
      </w:r>
      <w:r>
        <w:rPr>
          <w:rFonts w:hint="eastAsia" w:ascii="Times New Roman" w:hAnsi="Times New Roman" w:eastAsia="宋体" w:cs="Times New Roman"/>
          <w:color w:val="auto"/>
          <w:kern w:val="2"/>
          <w:sz w:val="24"/>
          <w:szCs w:val="22"/>
          <w:lang w:val="en-US" w:eastAsia="zh-CN" w:bidi="ar-SA"/>
        </w:rPr>
        <w:t>将争议提交张家界仲裁委员会依申请仲裁时其现行有效的仲裁规则裁决；</w:t>
      </w:r>
    </w:p>
    <w:p w14:paraId="20E006E6">
      <w:pPr>
        <w:widowControl w:val="0"/>
        <w:adjustRightInd w:val="0"/>
        <w:snapToGrid w:val="0"/>
        <w:spacing w:before="156" w:beforeLines="50" w:line="460" w:lineRule="exact"/>
        <w:ind w:firstLine="480"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1.7.2</w:t>
      </w:r>
      <w:r>
        <w:rPr>
          <w:rFonts w:hint="eastAsia" w:ascii="Times New Roman" w:hAnsi="Times New Roman" w:eastAsia="宋体" w:cs="Times New Roman"/>
          <w:color w:val="auto"/>
          <w:kern w:val="2"/>
          <w:sz w:val="24"/>
          <w:szCs w:val="22"/>
          <w:lang w:val="en-US" w:eastAsia="zh-CN" w:bidi="ar-SA"/>
        </w:rPr>
        <w:t>向乙方所在地人民法院起诉。</w:t>
      </w:r>
    </w:p>
    <w:p w14:paraId="105D4A82">
      <w:pPr>
        <w:widowControl w:val="0"/>
        <w:adjustRightInd w:val="0"/>
        <w:snapToGrid w:val="0"/>
        <w:spacing w:before="156" w:beforeLines="50" w:line="46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1.8</w:t>
      </w:r>
      <w:r>
        <w:rPr>
          <w:rFonts w:hint="eastAsia" w:ascii="Times New Roman" w:hAnsi="Times New Roman" w:eastAsia="宋体" w:cs="Times New Roman"/>
          <w:b/>
          <w:bCs/>
          <w:color w:val="auto"/>
          <w:kern w:val="2"/>
          <w:sz w:val="24"/>
          <w:szCs w:val="22"/>
          <w:lang w:val="en-US" w:eastAsia="zh-CN" w:bidi="ar-SA"/>
        </w:rPr>
        <w:t>合同生效</w:t>
      </w:r>
    </w:p>
    <w:tbl>
      <w:tblPr>
        <w:tblStyle w:val="35"/>
        <w:tblpPr w:leftFromText="180" w:rightFromText="180" w:vertAnchor="text" w:horzAnchor="page" w:tblpX="1202" w:tblpY="790"/>
        <w:tblOverlap w:val="never"/>
        <w:tblW w:w="0" w:type="auto"/>
        <w:tblInd w:w="0" w:type="dxa"/>
        <w:tblLayout w:type="autofit"/>
        <w:tblCellMar>
          <w:top w:w="0" w:type="dxa"/>
          <w:left w:w="108" w:type="dxa"/>
          <w:bottom w:w="0" w:type="dxa"/>
          <w:right w:w="108" w:type="dxa"/>
        </w:tblCellMar>
      </w:tblPr>
      <w:tblGrid>
        <w:gridCol w:w="2384"/>
        <w:gridCol w:w="2355"/>
        <w:gridCol w:w="2370"/>
        <w:gridCol w:w="2642"/>
      </w:tblGrid>
      <w:tr w14:paraId="2D3AEA8E">
        <w:tblPrEx>
          <w:tblCellMar>
            <w:top w:w="0" w:type="dxa"/>
            <w:left w:w="108" w:type="dxa"/>
            <w:bottom w:w="0" w:type="dxa"/>
            <w:right w:w="108" w:type="dxa"/>
          </w:tblCellMar>
        </w:tblPrEx>
        <w:tc>
          <w:tcPr>
            <w:tcW w:w="2384" w:type="dxa"/>
            <w:tcBorders>
              <w:top w:val="nil"/>
              <w:left w:val="nil"/>
              <w:bottom w:val="nil"/>
              <w:right w:val="nil"/>
            </w:tcBorders>
            <w:noWrap w:val="0"/>
            <w:vAlign w:val="center"/>
          </w:tcPr>
          <w:p w14:paraId="752E26AD">
            <w:pPr>
              <w:widowControl w:val="0"/>
              <w:adjustRightInd w:val="0"/>
              <w:snapToGrid w:val="0"/>
              <w:spacing w:before="156" w:beforeLines="50" w:line="540" w:lineRule="exact"/>
              <w:ind w:firstLine="0" w:firstLineChars="0"/>
              <w:jc w:val="distribute"/>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甲方（单位盖章）：</w:t>
            </w:r>
          </w:p>
        </w:tc>
        <w:tc>
          <w:tcPr>
            <w:tcW w:w="2355" w:type="dxa"/>
            <w:tcBorders>
              <w:top w:val="nil"/>
              <w:left w:val="nil"/>
              <w:bottom w:val="nil"/>
              <w:right w:val="nil"/>
            </w:tcBorders>
            <w:noWrap w:val="0"/>
            <w:vAlign w:val="center"/>
          </w:tcPr>
          <w:p w14:paraId="60D02750">
            <w:pPr>
              <w:widowControl w:val="0"/>
              <w:adjustRightInd w:val="0"/>
              <w:snapToGrid w:val="0"/>
              <w:spacing w:before="156" w:beforeLines="50" w:line="540" w:lineRule="exact"/>
              <w:ind w:firstLine="480" w:firstLineChars="200"/>
              <w:jc w:val="center"/>
              <w:rPr>
                <w:rFonts w:ascii="Times New Roman" w:hAnsi="Times New Roman" w:eastAsia="宋体" w:cs="Times New Roman"/>
                <w:color w:val="auto"/>
                <w:kern w:val="2"/>
                <w:sz w:val="24"/>
                <w:szCs w:val="22"/>
                <w:lang w:val="en-US" w:eastAsia="zh-CN" w:bidi="ar-SA"/>
              </w:rPr>
            </w:pPr>
          </w:p>
        </w:tc>
        <w:tc>
          <w:tcPr>
            <w:tcW w:w="2370" w:type="dxa"/>
            <w:tcBorders>
              <w:top w:val="nil"/>
              <w:left w:val="nil"/>
              <w:bottom w:val="nil"/>
              <w:right w:val="nil"/>
            </w:tcBorders>
            <w:noWrap w:val="0"/>
            <w:vAlign w:val="center"/>
          </w:tcPr>
          <w:p w14:paraId="49552E02">
            <w:pPr>
              <w:widowControl w:val="0"/>
              <w:adjustRightInd w:val="0"/>
              <w:snapToGrid w:val="0"/>
              <w:spacing w:before="156" w:beforeLines="50" w:line="540" w:lineRule="exact"/>
              <w:ind w:firstLine="0" w:firstLineChars="0"/>
              <w:jc w:val="distribute"/>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乙方（单位盖章）：</w:t>
            </w:r>
          </w:p>
        </w:tc>
        <w:tc>
          <w:tcPr>
            <w:tcW w:w="2642" w:type="dxa"/>
            <w:tcBorders>
              <w:top w:val="nil"/>
              <w:left w:val="nil"/>
              <w:bottom w:val="nil"/>
              <w:right w:val="nil"/>
            </w:tcBorders>
            <w:noWrap w:val="0"/>
            <w:vAlign w:val="center"/>
          </w:tcPr>
          <w:p w14:paraId="46699F06">
            <w:pPr>
              <w:widowControl w:val="0"/>
              <w:adjustRightInd w:val="0"/>
              <w:snapToGrid w:val="0"/>
              <w:spacing w:before="156" w:beforeLines="50" w:line="540" w:lineRule="exact"/>
              <w:ind w:firstLine="480" w:firstLineChars="200"/>
              <w:jc w:val="center"/>
              <w:rPr>
                <w:rFonts w:ascii="Times New Roman" w:hAnsi="Times New Roman" w:eastAsia="宋体" w:cs="Times New Roman"/>
                <w:color w:val="auto"/>
                <w:kern w:val="2"/>
                <w:sz w:val="24"/>
                <w:szCs w:val="22"/>
                <w:lang w:val="en-US" w:eastAsia="zh-CN" w:bidi="ar-SA"/>
              </w:rPr>
            </w:pPr>
          </w:p>
        </w:tc>
      </w:tr>
      <w:tr w14:paraId="3D891841">
        <w:tblPrEx>
          <w:tblCellMar>
            <w:top w:w="0" w:type="dxa"/>
            <w:left w:w="108" w:type="dxa"/>
            <w:bottom w:w="0" w:type="dxa"/>
            <w:right w:w="108" w:type="dxa"/>
          </w:tblCellMar>
        </w:tblPrEx>
        <w:trPr>
          <w:trHeight w:val="1402" w:hRule="atLeast"/>
        </w:trPr>
        <w:tc>
          <w:tcPr>
            <w:tcW w:w="2384" w:type="dxa"/>
            <w:tcBorders>
              <w:top w:val="nil"/>
              <w:left w:val="nil"/>
              <w:bottom w:val="nil"/>
              <w:right w:val="nil"/>
            </w:tcBorders>
            <w:noWrap w:val="0"/>
            <w:vAlign w:val="center"/>
          </w:tcPr>
          <w:p w14:paraId="130F2CD9">
            <w:pPr>
              <w:widowControl w:val="0"/>
              <w:adjustRightInd w:val="0"/>
              <w:snapToGrid w:val="0"/>
              <w:spacing w:before="156" w:beforeLines="50" w:line="540" w:lineRule="exact"/>
              <w:ind w:firstLine="0" w:firstLineChars="0"/>
              <w:jc w:val="distribute"/>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法定代表人或授权代表（签字或盖章）：</w:t>
            </w:r>
          </w:p>
        </w:tc>
        <w:tc>
          <w:tcPr>
            <w:tcW w:w="2355" w:type="dxa"/>
            <w:tcBorders>
              <w:top w:val="nil"/>
              <w:left w:val="nil"/>
              <w:bottom w:val="nil"/>
              <w:right w:val="nil"/>
            </w:tcBorders>
            <w:noWrap w:val="0"/>
            <w:vAlign w:val="center"/>
          </w:tcPr>
          <w:p w14:paraId="2F8D82EB">
            <w:pPr>
              <w:widowControl w:val="0"/>
              <w:adjustRightInd w:val="0"/>
              <w:snapToGrid w:val="0"/>
              <w:spacing w:before="156" w:beforeLines="50" w:line="540" w:lineRule="exact"/>
              <w:ind w:firstLine="480" w:firstLineChars="200"/>
              <w:jc w:val="center"/>
              <w:rPr>
                <w:rFonts w:ascii="Times New Roman" w:hAnsi="Times New Roman" w:eastAsia="宋体" w:cs="Times New Roman"/>
                <w:color w:val="auto"/>
                <w:kern w:val="2"/>
                <w:sz w:val="24"/>
                <w:szCs w:val="22"/>
                <w:lang w:val="en-US" w:eastAsia="zh-CN" w:bidi="ar-SA"/>
              </w:rPr>
            </w:pPr>
          </w:p>
        </w:tc>
        <w:tc>
          <w:tcPr>
            <w:tcW w:w="2370" w:type="dxa"/>
            <w:tcBorders>
              <w:top w:val="nil"/>
              <w:left w:val="nil"/>
              <w:bottom w:val="nil"/>
              <w:right w:val="nil"/>
            </w:tcBorders>
            <w:noWrap w:val="0"/>
            <w:vAlign w:val="center"/>
          </w:tcPr>
          <w:p w14:paraId="73522EC1">
            <w:pPr>
              <w:widowControl w:val="0"/>
              <w:adjustRightInd w:val="0"/>
              <w:snapToGrid w:val="0"/>
              <w:spacing w:before="156" w:beforeLines="50" w:line="540" w:lineRule="exact"/>
              <w:ind w:firstLine="0" w:firstLineChars="0"/>
              <w:jc w:val="distribute"/>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法定代表人或授权代表（签字或盖章）：</w:t>
            </w:r>
          </w:p>
        </w:tc>
        <w:tc>
          <w:tcPr>
            <w:tcW w:w="2642" w:type="dxa"/>
            <w:tcBorders>
              <w:top w:val="nil"/>
              <w:left w:val="nil"/>
              <w:bottom w:val="nil"/>
              <w:right w:val="nil"/>
            </w:tcBorders>
            <w:noWrap w:val="0"/>
            <w:vAlign w:val="center"/>
          </w:tcPr>
          <w:p w14:paraId="15ADBA9C">
            <w:pPr>
              <w:widowControl w:val="0"/>
              <w:adjustRightInd w:val="0"/>
              <w:snapToGrid w:val="0"/>
              <w:spacing w:before="156" w:beforeLines="50" w:line="540" w:lineRule="exact"/>
              <w:ind w:firstLine="480" w:firstLineChars="200"/>
              <w:jc w:val="center"/>
              <w:rPr>
                <w:rFonts w:ascii="Times New Roman" w:hAnsi="Times New Roman" w:eastAsia="宋体" w:cs="Times New Roman"/>
                <w:color w:val="auto"/>
                <w:kern w:val="2"/>
                <w:sz w:val="24"/>
                <w:szCs w:val="22"/>
                <w:lang w:val="en-US" w:eastAsia="zh-CN" w:bidi="ar-SA"/>
              </w:rPr>
            </w:pPr>
          </w:p>
        </w:tc>
      </w:tr>
      <w:tr w14:paraId="63E43D47">
        <w:tblPrEx>
          <w:tblCellMar>
            <w:top w:w="0" w:type="dxa"/>
            <w:left w:w="108" w:type="dxa"/>
            <w:bottom w:w="0" w:type="dxa"/>
            <w:right w:w="108" w:type="dxa"/>
          </w:tblCellMar>
        </w:tblPrEx>
        <w:tc>
          <w:tcPr>
            <w:tcW w:w="2384" w:type="dxa"/>
            <w:tcBorders>
              <w:top w:val="nil"/>
              <w:left w:val="nil"/>
              <w:bottom w:val="nil"/>
              <w:right w:val="nil"/>
            </w:tcBorders>
            <w:noWrap w:val="0"/>
            <w:vAlign w:val="center"/>
          </w:tcPr>
          <w:p w14:paraId="4B153BBF">
            <w:pPr>
              <w:widowControl w:val="0"/>
              <w:adjustRightInd w:val="0"/>
              <w:snapToGrid w:val="0"/>
              <w:spacing w:before="156" w:beforeLines="50" w:line="540" w:lineRule="exact"/>
              <w:ind w:firstLine="0" w:firstLineChars="0"/>
              <w:jc w:val="both"/>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时</w:t>
            </w:r>
            <w:r>
              <w:rPr>
                <w:rFonts w:ascii="Times New Roman" w:hAnsi="Times New Roman" w:eastAsia="宋体" w:cs="Times New Roman"/>
                <w:color w:val="auto"/>
                <w:kern w:val="2"/>
                <w:sz w:val="24"/>
                <w:szCs w:val="22"/>
                <w:lang w:val="en-US" w:eastAsia="zh-CN" w:bidi="ar-SA"/>
              </w:rPr>
              <w:t xml:space="preserve">      </w:t>
            </w:r>
            <w:r>
              <w:rPr>
                <w:rFonts w:hint="eastAsia" w:ascii="Times New Roman" w:hAnsi="Times New Roman" w:eastAsia="宋体" w:cs="Times New Roman"/>
                <w:color w:val="auto"/>
                <w:kern w:val="2"/>
                <w:sz w:val="24"/>
                <w:szCs w:val="22"/>
                <w:lang w:val="en-US" w:eastAsia="zh-CN" w:bidi="ar-SA"/>
              </w:rPr>
              <w:t>间：</w:t>
            </w:r>
          </w:p>
        </w:tc>
        <w:tc>
          <w:tcPr>
            <w:tcW w:w="2355" w:type="dxa"/>
            <w:tcBorders>
              <w:top w:val="nil"/>
              <w:left w:val="nil"/>
              <w:bottom w:val="nil"/>
              <w:right w:val="nil"/>
            </w:tcBorders>
            <w:noWrap w:val="0"/>
            <w:vAlign w:val="center"/>
          </w:tcPr>
          <w:p w14:paraId="60AB232F">
            <w:pPr>
              <w:widowControl w:val="0"/>
              <w:adjustRightInd w:val="0"/>
              <w:snapToGrid w:val="0"/>
              <w:spacing w:before="156" w:beforeLines="50" w:line="540" w:lineRule="exact"/>
              <w:ind w:firstLine="0" w:firstLineChars="0"/>
              <w:jc w:val="center"/>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年</w:t>
            </w:r>
            <w:r>
              <w:rPr>
                <w:rFonts w:ascii="Times New Roman" w:hAnsi="Times New Roman" w:eastAsia="宋体" w:cs="Times New Roman"/>
                <w:color w:val="auto"/>
                <w:kern w:val="2"/>
                <w:sz w:val="24"/>
                <w:szCs w:val="22"/>
                <w:lang w:val="en-US" w:eastAsia="zh-CN" w:bidi="ar-SA"/>
              </w:rPr>
              <w:t xml:space="preserve">   </w:t>
            </w:r>
            <w:r>
              <w:rPr>
                <w:rFonts w:hint="eastAsia" w:ascii="Times New Roman" w:hAnsi="Times New Roman" w:eastAsia="宋体" w:cs="Times New Roman"/>
                <w:color w:val="auto"/>
                <w:kern w:val="2"/>
                <w:sz w:val="24"/>
                <w:szCs w:val="22"/>
                <w:lang w:val="en-US" w:eastAsia="zh-CN" w:bidi="ar-SA"/>
              </w:rPr>
              <w:t>月</w:t>
            </w:r>
            <w:r>
              <w:rPr>
                <w:rFonts w:ascii="Times New Roman" w:hAnsi="Times New Roman" w:eastAsia="宋体" w:cs="Times New Roman"/>
                <w:color w:val="auto"/>
                <w:kern w:val="2"/>
                <w:sz w:val="24"/>
                <w:szCs w:val="22"/>
                <w:lang w:val="en-US" w:eastAsia="zh-CN" w:bidi="ar-SA"/>
              </w:rPr>
              <w:t xml:space="preserve">   </w:t>
            </w:r>
            <w:r>
              <w:rPr>
                <w:rFonts w:hint="eastAsia" w:ascii="Times New Roman" w:hAnsi="Times New Roman" w:eastAsia="宋体" w:cs="Times New Roman"/>
                <w:color w:val="auto"/>
                <w:kern w:val="2"/>
                <w:sz w:val="24"/>
                <w:szCs w:val="22"/>
                <w:lang w:val="en-US" w:eastAsia="zh-CN" w:bidi="ar-SA"/>
              </w:rPr>
              <w:t>日</w:t>
            </w:r>
          </w:p>
        </w:tc>
        <w:tc>
          <w:tcPr>
            <w:tcW w:w="2370" w:type="dxa"/>
            <w:tcBorders>
              <w:top w:val="nil"/>
              <w:left w:val="nil"/>
              <w:bottom w:val="nil"/>
              <w:right w:val="nil"/>
            </w:tcBorders>
            <w:noWrap w:val="0"/>
            <w:vAlign w:val="center"/>
          </w:tcPr>
          <w:p w14:paraId="54DFE41B">
            <w:pPr>
              <w:widowControl w:val="0"/>
              <w:adjustRightInd w:val="0"/>
              <w:snapToGrid w:val="0"/>
              <w:spacing w:before="156" w:beforeLines="50" w:line="540" w:lineRule="exact"/>
              <w:ind w:firstLine="0" w:firstLineChars="0"/>
              <w:jc w:val="both"/>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时</w:t>
            </w:r>
            <w:r>
              <w:rPr>
                <w:rFonts w:ascii="Times New Roman" w:hAnsi="Times New Roman" w:eastAsia="宋体" w:cs="Times New Roman"/>
                <w:color w:val="auto"/>
                <w:kern w:val="2"/>
                <w:sz w:val="24"/>
                <w:szCs w:val="22"/>
                <w:lang w:val="en-US" w:eastAsia="zh-CN" w:bidi="ar-SA"/>
              </w:rPr>
              <w:t xml:space="preserve">      </w:t>
            </w:r>
            <w:r>
              <w:rPr>
                <w:rFonts w:hint="eastAsia" w:ascii="Times New Roman" w:hAnsi="Times New Roman" w:eastAsia="宋体" w:cs="Times New Roman"/>
                <w:color w:val="auto"/>
                <w:kern w:val="2"/>
                <w:sz w:val="24"/>
                <w:szCs w:val="22"/>
                <w:lang w:val="en-US" w:eastAsia="zh-CN" w:bidi="ar-SA"/>
              </w:rPr>
              <w:t>间：</w:t>
            </w:r>
          </w:p>
        </w:tc>
        <w:tc>
          <w:tcPr>
            <w:tcW w:w="2642" w:type="dxa"/>
            <w:tcBorders>
              <w:top w:val="nil"/>
              <w:left w:val="nil"/>
              <w:bottom w:val="nil"/>
              <w:right w:val="nil"/>
            </w:tcBorders>
            <w:noWrap w:val="0"/>
            <w:vAlign w:val="center"/>
          </w:tcPr>
          <w:p w14:paraId="6D00C411">
            <w:pPr>
              <w:widowControl w:val="0"/>
              <w:adjustRightInd w:val="0"/>
              <w:snapToGrid w:val="0"/>
              <w:spacing w:before="156" w:beforeLines="50" w:line="540" w:lineRule="exact"/>
              <w:ind w:firstLine="480" w:firstLineChars="200"/>
              <w:jc w:val="center"/>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年</w:t>
            </w:r>
            <w:r>
              <w:rPr>
                <w:rFonts w:ascii="Times New Roman" w:hAnsi="Times New Roman" w:eastAsia="宋体" w:cs="Times New Roman"/>
                <w:color w:val="auto"/>
                <w:kern w:val="2"/>
                <w:sz w:val="24"/>
                <w:szCs w:val="22"/>
                <w:lang w:val="en-US" w:eastAsia="zh-CN" w:bidi="ar-SA"/>
              </w:rPr>
              <w:t xml:space="preserve">   </w:t>
            </w:r>
            <w:r>
              <w:rPr>
                <w:rFonts w:hint="eastAsia" w:ascii="Times New Roman" w:hAnsi="Times New Roman" w:eastAsia="宋体" w:cs="Times New Roman"/>
                <w:color w:val="auto"/>
                <w:kern w:val="2"/>
                <w:sz w:val="24"/>
                <w:szCs w:val="22"/>
                <w:lang w:val="en-US" w:eastAsia="zh-CN" w:bidi="ar-SA"/>
              </w:rPr>
              <w:t>月</w:t>
            </w:r>
            <w:r>
              <w:rPr>
                <w:rFonts w:ascii="Times New Roman" w:hAnsi="Times New Roman" w:eastAsia="宋体" w:cs="Times New Roman"/>
                <w:color w:val="auto"/>
                <w:kern w:val="2"/>
                <w:sz w:val="24"/>
                <w:szCs w:val="22"/>
                <w:lang w:val="en-US" w:eastAsia="zh-CN" w:bidi="ar-SA"/>
              </w:rPr>
              <w:t xml:space="preserve">   </w:t>
            </w:r>
            <w:r>
              <w:rPr>
                <w:rFonts w:hint="eastAsia" w:ascii="Times New Roman" w:hAnsi="Times New Roman" w:eastAsia="宋体" w:cs="Times New Roman"/>
                <w:color w:val="auto"/>
                <w:kern w:val="2"/>
                <w:sz w:val="24"/>
                <w:szCs w:val="22"/>
                <w:lang w:val="en-US" w:eastAsia="zh-CN" w:bidi="ar-SA"/>
              </w:rPr>
              <w:t>日</w:t>
            </w:r>
          </w:p>
        </w:tc>
      </w:tr>
    </w:tbl>
    <w:p w14:paraId="64B5B928">
      <w:pPr>
        <w:widowControl w:val="0"/>
        <w:adjustRightInd w:val="0"/>
        <w:snapToGrid w:val="0"/>
        <w:spacing w:before="156" w:beforeLines="50" w:line="460" w:lineRule="exact"/>
        <w:ind w:firstLine="480" w:firstLineChars="200"/>
        <w:jc w:val="both"/>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本合同自双方当事人盖章时生效。</w:t>
      </w:r>
    </w:p>
    <w:p w14:paraId="67BFCF3D">
      <w:pPr>
        <w:spacing w:line="540" w:lineRule="exact"/>
        <w:rPr>
          <w:rFonts w:ascii="黑体" w:hAnsi="黑体" w:eastAsia="黑体" w:cs="黑体"/>
          <w:color w:val="auto"/>
          <w:sz w:val="30"/>
          <w:szCs w:val="30"/>
        </w:rPr>
      </w:pPr>
    </w:p>
    <w:p w14:paraId="1779F318">
      <w:pPr>
        <w:keepNext/>
        <w:keepLines/>
        <w:widowControl w:val="0"/>
        <w:tabs>
          <w:tab w:val="left" w:pos="0"/>
        </w:tabs>
        <w:spacing w:before="50" w:beforeLines="50" w:after="10" w:line="560" w:lineRule="exact"/>
        <w:jc w:val="center"/>
        <w:outlineLvl w:val="1"/>
        <w:rPr>
          <w:rFonts w:hint="eastAsia" w:ascii="Arial" w:hAnsi="Arial" w:eastAsia="黑体" w:cs="Times New Roman"/>
          <w:color w:val="auto"/>
          <w:kern w:val="2"/>
          <w:sz w:val="30"/>
          <w:szCs w:val="24"/>
          <w:lang w:val="en-US" w:eastAsia="zh-CN" w:bidi="ar-SA"/>
        </w:rPr>
      </w:pPr>
      <w:r>
        <w:rPr>
          <w:rFonts w:hint="eastAsia" w:ascii="Arial" w:hAnsi="Arial" w:eastAsia="黑体" w:cs="Times New Roman"/>
          <w:color w:val="auto"/>
          <w:kern w:val="2"/>
          <w:sz w:val="30"/>
          <w:szCs w:val="24"/>
          <w:lang w:val="en-US" w:eastAsia="zh-CN" w:bidi="ar-SA"/>
        </w:rPr>
        <w:t>第二部分</w:t>
      </w:r>
      <w:r>
        <w:rPr>
          <w:rFonts w:ascii="Arial" w:hAnsi="Arial" w:eastAsia="黑体" w:cs="Times New Roman"/>
          <w:color w:val="auto"/>
          <w:kern w:val="2"/>
          <w:sz w:val="30"/>
          <w:szCs w:val="24"/>
          <w:lang w:val="en-US" w:eastAsia="zh-CN" w:bidi="ar-SA"/>
        </w:rPr>
        <w:t xml:space="preserve"> </w:t>
      </w:r>
      <w:r>
        <w:rPr>
          <w:rFonts w:hint="eastAsia" w:ascii="Arial" w:hAnsi="Arial" w:eastAsia="黑体" w:cs="Times New Roman"/>
          <w:color w:val="auto"/>
          <w:kern w:val="2"/>
          <w:sz w:val="30"/>
          <w:szCs w:val="24"/>
          <w:lang w:val="en-US" w:eastAsia="zh-CN" w:bidi="ar-SA"/>
        </w:rPr>
        <w:t>政府采购合同通用条款（货物类）</w:t>
      </w:r>
    </w:p>
    <w:p w14:paraId="3DC599CB">
      <w:pPr>
        <w:widowControl w:val="0"/>
        <w:adjustRightInd w:val="0"/>
        <w:snapToGrid w:val="0"/>
        <w:spacing w:before="156" w:beforeLines="50" w:line="44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2.1</w:t>
      </w:r>
      <w:r>
        <w:rPr>
          <w:rFonts w:hint="eastAsia" w:ascii="Times New Roman" w:hAnsi="Times New Roman" w:eastAsia="宋体" w:cs="Times New Roman"/>
          <w:b/>
          <w:bCs/>
          <w:color w:val="auto"/>
          <w:kern w:val="2"/>
          <w:sz w:val="24"/>
          <w:szCs w:val="22"/>
          <w:lang w:val="en-US" w:eastAsia="zh-CN" w:bidi="ar-SA"/>
        </w:rPr>
        <w:t>定义</w:t>
      </w:r>
    </w:p>
    <w:p w14:paraId="4DB2FE45">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本合同中的下列词语应按以下内容进行解释：</w:t>
      </w:r>
    </w:p>
    <w:p w14:paraId="1795DFCC">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2.1.1</w:t>
      </w:r>
      <w:r>
        <w:rPr>
          <w:rFonts w:hint="eastAsia" w:ascii="Times New Roman" w:hAnsi="Times New Roman" w:eastAsia="宋体" w:cs="Times New Roman"/>
          <w:color w:val="auto"/>
          <w:kern w:val="2"/>
          <w:sz w:val="24"/>
          <w:szCs w:val="22"/>
          <w:lang w:val="en-US" w:eastAsia="zh-CN" w:bidi="ar-SA"/>
        </w:rPr>
        <w:t>“合同”系指采购人和成交供应商签订的载明双方当事人所达成的协议，并包括所有的附件、附录和构成合同的其他文件。</w:t>
      </w:r>
    </w:p>
    <w:p w14:paraId="5ED1BA47">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2.1.2</w:t>
      </w:r>
      <w:r>
        <w:rPr>
          <w:rFonts w:hint="eastAsia" w:ascii="Times New Roman" w:hAnsi="Times New Roman" w:eastAsia="宋体" w:cs="Times New Roman"/>
          <w:color w:val="auto"/>
          <w:kern w:val="2"/>
          <w:sz w:val="24"/>
          <w:szCs w:val="22"/>
          <w:lang w:val="en-US" w:eastAsia="zh-CN" w:bidi="ar-SA"/>
        </w:rPr>
        <w:t>“合同价”系指根据合同约定，成交供应商在完全履行合同义务后，</w:t>
      </w:r>
      <w:r>
        <w:rPr>
          <w:rFonts w:ascii="Times New Roman" w:hAnsi="Times New Roman" w:eastAsia="宋体" w:cs="Times New Roman"/>
          <w:color w:val="auto"/>
          <w:kern w:val="2"/>
          <w:sz w:val="24"/>
          <w:szCs w:val="22"/>
          <w:lang w:val="en-US" w:eastAsia="zh-CN" w:bidi="ar-SA"/>
        </w:rPr>
        <w:t xml:space="preserve"> </w:t>
      </w:r>
      <w:r>
        <w:rPr>
          <w:rFonts w:hint="eastAsia" w:ascii="Times New Roman" w:hAnsi="Times New Roman" w:eastAsia="宋体" w:cs="Times New Roman"/>
          <w:color w:val="auto"/>
          <w:kern w:val="2"/>
          <w:sz w:val="24"/>
          <w:szCs w:val="22"/>
          <w:lang w:val="en-US" w:eastAsia="zh-CN" w:bidi="ar-SA"/>
        </w:rPr>
        <w:t>采购人应支付给成交供应商的价格。</w:t>
      </w:r>
    </w:p>
    <w:p w14:paraId="135DD755">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2.1.3</w:t>
      </w:r>
      <w:r>
        <w:rPr>
          <w:rFonts w:hint="eastAsia" w:ascii="Times New Roman" w:hAnsi="Times New Roman" w:eastAsia="宋体" w:cs="Times New Roman"/>
          <w:color w:val="auto"/>
          <w:kern w:val="2"/>
          <w:sz w:val="24"/>
          <w:szCs w:val="22"/>
          <w:lang w:val="en-US" w:eastAsia="zh-CN" w:bidi="ar-SA"/>
        </w:rPr>
        <w:t>“货物”系指中标人根据合同约定应向采购人交付的一切各种形态和种类的物品，包括原材料、燃料、设备、机械、仪表、备件、计算机软件、产品等，并包括工具、手册等其他相关资料。</w:t>
      </w:r>
    </w:p>
    <w:p w14:paraId="0E39CFB7">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2.1.4</w:t>
      </w:r>
      <w:r>
        <w:rPr>
          <w:rFonts w:hint="eastAsia" w:ascii="Times New Roman" w:hAnsi="Times New Roman" w:eastAsia="宋体" w:cs="Times New Roman"/>
          <w:color w:val="auto"/>
          <w:kern w:val="2"/>
          <w:sz w:val="24"/>
          <w:szCs w:val="22"/>
          <w:lang w:val="en-US" w:eastAsia="zh-CN" w:bidi="ar-SA"/>
        </w:rPr>
        <w:t>“甲方”系指与成交供应商签署合同的采购人；采购人委托采购代理机构代表其与乙方签订合同的，采购人的授权委托书作为合同附件。</w:t>
      </w:r>
    </w:p>
    <w:p w14:paraId="05AE84CA">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2.1.5</w:t>
      </w:r>
      <w:r>
        <w:rPr>
          <w:rFonts w:hint="eastAsia" w:ascii="Times New Roman" w:hAnsi="Times New Roman" w:eastAsia="宋体" w:cs="Times New Roman"/>
          <w:color w:val="auto"/>
          <w:kern w:val="2"/>
          <w:sz w:val="24"/>
          <w:szCs w:val="22"/>
          <w:lang w:val="en-US" w:eastAsia="zh-CN" w:bidi="ar-SA"/>
        </w:rPr>
        <w:t>“乙方”系指根据合同约定提供服务的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2C09CC3">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2.1.6</w:t>
      </w:r>
      <w:r>
        <w:rPr>
          <w:rFonts w:hint="eastAsia" w:ascii="Times New Roman" w:hAnsi="Times New Roman" w:eastAsia="宋体" w:cs="Times New Roman"/>
          <w:color w:val="auto"/>
          <w:kern w:val="2"/>
          <w:sz w:val="24"/>
          <w:szCs w:val="22"/>
          <w:lang w:val="en-US" w:eastAsia="zh-CN" w:bidi="ar-SA"/>
        </w:rPr>
        <w:t>“现场”系指合同约定提供服务的地点。</w:t>
      </w:r>
    </w:p>
    <w:p w14:paraId="2BF5F03A">
      <w:pPr>
        <w:widowControl w:val="0"/>
        <w:adjustRightInd w:val="0"/>
        <w:snapToGrid w:val="0"/>
        <w:spacing w:before="156" w:beforeLines="50" w:line="44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2.2</w:t>
      </w:r>
      <w:r>
        <w:rPr>
          <w:rFonts w:hint="eastAsia" w:ascii="Times New Roman" w:hAnsi="Times New Roman" w:eastAsia="宋体" w:cs="Times New Roman"/>
          <w:b/>
          <w:bCs/>
          <w:color w:val="auto"/>
          <w:kern w:val="2"/>
          <w:sz w:val="24"/>
          <w:szCs w:val="22"/>
          <w:lang w:val="en-US" w:eastAsia="zh-CN" w:bidi="ar-SA"/>
        </w:rPr>
        <w:t>技术规范</w:t>
      </w:r>
    </w:p>
    <w:p w14:paraId="052853B9">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CEB5F24">
      <w:pPr>
        <w:widowControl w:val="0"/>
        <w:adjustRightInd w:val="0"/>
        <w:snapToGrid w:val="0"/>
        <w:spacing w:before="156" w:beforeLines="50" w:line="44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2.3</w:t>
      </w:r>
      <w:r>
        <w:rPr>
          <w:rFonts w:hint="eastAsia" w:ascii="Times New Roman" w:hAnsi="Times New Roman" w:eastAsia="宋体" w:cs="Times New Roman"/>
          <w:b/>
          <w:bCs/>
          <w:color w:val="auto"/>
          <w:kern w:val="2"/>
          <w:sz w:val="24"/>
          <w:szCs w:val="22"/>
          <w:lang w:val="en-US" w:eastAsia="zh-CN" w:bidi="ar-SA"/>
        </w:rPr>
        <w:t>知识产权</w:t>
      </w:r>
    </w:p>
    <w:p w14:paraId="49C62E6A">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2.3.1</w:t>
      </w:r>
      <w:r>
        <w:rPr>
          <w:rFonts w:hint="eastAsia" w:ascii="Times New Roman" w:hAnsi="Times New Roman" w:eastAsia="宋体" w:cs="Times New Roman"/>
          <w:color w:val="auto"/>
          <w:kern w:val="2"/>
          <w:sz w:val="24"/>
          <w:szCs w:val="22"/>
          <w:lang w:val="en-US" w:eastAsia="zh-CN" w:bidi="ar-SA"/>
        </w:rPr>
        <w:t>乙方应保证其提供的服务不受任何第三方提出的侵犯其著作权、商标权、专利权等知识产权方面的起诉；如果任何第三方提出侵权指控，那么乙方须与该第三方交涉并承担由此发生的一切责任、费用和赔偿；</w:t>
      </w:r>
    </w:p>
    <w:p w14:paraId="1056E5DF">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2.3.2</w:t>
      </w:r>
      <w:r>
        <w:rPr>
          <w:rFonts w:hint="eastAsia" w:ascii="Times New Roman" w:hAnsi="Times New Roman" w:eastAsia="宋体" w:cs="Times New Roman"/>
          <w:color w:val="auto"/>
          <w:kern w:val="2"/>
          <w:sz w:val="24"/>
          <w:szCs w:val="22"/>
          <w:lang w:val="en-US" w:eastAsia="zh-CN" w:bidi="ar-SA"/>
        </w:rPr>
        <w:t>具有知识产权的计算机软件等货物的知识产权归属，详见</w:t>
      </w:r>
      <w:r>
        <w:rPr>
          <w:rFonts w:hint="eastAsia" w:ascii="Times New Roman" w:hAnsi="Times New Roman" w:eastAsia="宋体" w:cs="Times New Roman"/>
          <w:b/>
          <w:color w:val="auto"/>
          <w:kern w:val="2"/>
          <w:sz w:val="24"/>
          <w:szCs w:val="22"/>
          <w:lang w:val="en-US" w:eastAsia="zh-CN" w:bidi="ar-SA"/>
        </w:rPr>
        <w:t>合同专用条款</w:t>
      </w:r>
      <w:r>
        <w:rPr>
          <w:rFonts w:hint="eastAsia" w:ascii="Times New Roman" w:hAnsi="Times New Roman" w:eastAsia="宋体" w:cs="Times New Roman"/>
          <w:color w:val="auto"/>
          <w:kern w:val="2"/>
          <w:sz w:val="24"/>
          <w:szCs w:val="22"/>
          <w:lang w:val="en-US" w:eastAsia="zh-CN" w:bidi="ar-SA"/>
        </w:rPr>
        <w:t>。</w:t>
      </w:r>
    </w:p>
    <w:p w14:paraId="2126CE9E">
      <w:pPr>
        <w:widowControl w:val="0"/>
        <w:adjustRightInd w:val="0"/>
        <w:snapToGrid w:val="0"/>
        <w:spacing w:before="156" w:beforeLines="50" w:line="44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2.4</w:t>
      </w:r>
      <w:r>
        <w:rPr>
          <w:rFonts w:hint="eastAsia" w:ascii="Times New Roman" w:hAnsi="Times New Roman" w:eastAsia="宋体" w:cs="Times New Roman"/>
          <w:b/>
          <w:bCs/>
          <w:color w:val="auto"/>
          <w:kern w:val="2"/>
          <w:sz w:val="24"/>
          <w:szCs w:val="22"/>
          <w:lang w:val="en-US" w:eastAsia="zh-CN" w:bidi="ar-SA"/>
        </w:rPr>
        <w:t>包装和装运</w:t>
      </w:r>
    </w:p>
    <w:p w14:paraId="2B52E579">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2.4.1</w:t>
      </w:r>
      <w:r>
        <w:rPr>
          <w:rFonts w:hint="eastAsia" w:ascii="Times New Roman" w:hAnsi="Times New Roman" w:eastAsia="宋体" w:cs="Times New Roman"/>
          <w:color w:val="auto"/>
          <w:kern w:val="2"/>
          <w:sz w:val="24"/>
          <w:szCs w:val="22"/>
          <w:lang w:val="en-US" w:eastAsia="zh-CN" w:bidi="ar-SA"/>
        </w:rPr>
        <w:t>除</w:t>
      </w:r>
      <w:r>
        <w:rPr>
          <w:rFonts w:hint="eastAsia" w:ascii="Times New Roman" w:hAnsi="Times New Roman" w:eastAsia="宋体" w:cs="Times New Roman"/>
          <w:b/>
          <w:color w:val="auto"/>
          <w:kern w:val="2"/>
          <w:sz w:val="24"/>
          <w:szCs w:val="22"/>
          <w:lang w:val="en-US" w:eastAsia="zh-CN" w:bidi="ar-SA"/>
        </w:rPr>
        <w:t>合同专用条款</w:t>
      </w:r>
      <w:r>
        <w:rPr>
          <w:rFonts w:hint="eastAsia" w:ascii="Times New Roman" w:hAnsi="Times New Roman" w:eastAsia="宋体" w:cs="Times New Roman"/>
          <w:color w:val="auto"/>
          <w:kern w:val="2"/>
          <w:sz w:val="24"/>
          <w:szCs w:val="22"/>
          <w:lang w:val="en-US" w:eastAsia="zh-CN" w:bidi="ar-SA"/>
        </w:rPr>
        <w:t>另有约定外，乙方交付的全部货物，均应采用本行业通</w:t>
      </w:r>
      <w:r>
        <w:rPr>
          <w:rFonts w:ascii="Times New Roman" w:hAnsi="Times New Roman" w:eastAsia="宋体" w:cs="Times New Roman"/>
          <w:color w:val="auto"/>
          <w:kern w:val="2"/>
          <w:sz w:val="24"/>
          <w:szCs w:val="22"/>
          <w:lang w:val="en-US" w:eastAsia="zh-CN" w:bidi="ar-SA"/>
        </w:rPr>
        <w:t xml:space="preserve"> </w:t>
      </w:r>
      <w:r>
        <w:rPr>
          <w:rFonts w:hint="eastAsia" w:ascii="Times New Roman" w:hAnsi="Times New Roman" w:eastAsia="宋体" w:cs="Times New Roman"/>
          <w:color w:val="auto"/>
          <w:kern w:val="2"/>
          <w:sz w:val="24"/>
          <w:szCs w:val="22"/>
          <w:lang w:val="en-US" w:eastAsia="zh-CN" w:bidi="ar-SA"/>
        </w:rPr>
        <w:t>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2D9DC50A">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2.4.2</w:t>
      </w:r>
      <w:r>
        <w:rPr>
          <w:rFonts w:hint="eastAsia" w:ascii="Times New Roman" w:hAnsi="Times New Roman" w:eastAsia="宋体" w:cs="Times New Roman"/>
          <w:color w:val="auto"/>
          <w:kern w:val="2"/>
          <w:sz w:val="24"/>
          <w:szCs w:val="22"/>
          <w:lang w:val="en-US" w:eastAsia="zh-CN" w:bidi="ar-SA"/>
        </w:rPr>
        <w:t>装运货物的要求和通知，详见</w:t>
      </w:r>
      <w:r>
        <w:rPr>
          <w:rFonts w:hint="eastAsia" w:ascii="Times New Roman" w:hAnsi="Times New Roman" w:eastAsia="宋体" w:cs="Times New Roman"/>
          <w:b/>
          <w:color w:val="auto"/>
          <w:kern w:val="2"/>
          <w:sz w:val="24"/>
          <w:szCs w:val="22"/>
          <w:lang w:val="en-US" w:eastAsia="zh-CN" w:bidi="ar-SA"/>
        </w:rPr>
        <w:t>合同专用条款</w:t>
      </w:r>
      <w:r>
        <w:rPr>
          <w:rFonts w:hint="eastAsia" w:ascii="Times New Roman" w:hAnsi="Times New Roman" w:eastAsia="宋体" w:cs="Times New Roman"/>
          <w:color w:val="auto"/>
          <w:kern w:val="2"/>
          <w:sz w:val="24"/>
          <w:szCs w:val="22"/>
          <w:lang w:val="en-US" w:eastAsia="zh-CN" w:bidi="ar-SA"/>
        </w:rPr>
        <w:t>。</w:t>
      </w:r>
    </w:p>
    <w:p w14:paraId="2D8B1394">
      <w:pPr>
        <w:widowControl w:val="0"/>
        <w:adjustRightInd w:val="0"/>
        <w:snapToGrid w:val="0"/>
        <w:spacing w:before="156" w:beforeLines="50" w:line="44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2.5</w:t>
      </w:r>
      <w:r>
        <w:rPr>
          <w:rFonts w:hint="eastAsia" w:ascii="Times New Roman" w:hAnsi="Times New Roman" w:eastAsia="宋体" w:cs="Times New Roman"/>
          <w:b/>
          <w:bCs/>
          <w:color w:val="auto"/>
          <w:kern w:val="2"/>
          <w:sz w:val="24"/>
          <w:szCs w:val="22"/>
          <w:lang w:val="en-US" w:eastAsia="zh-CN" w:bidi="ar-SA"/>
        </w:rPr>
        <w:t>履约检查和问题反馈</w:t>
      </w:r>
    </w:p>
    <w:p w14:paraId="66A73F11">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2.5.1</w:t>
      </w:r>
      <w:r>
        <w:rPr>
          <w:rFonts w:hint="eastAsia" w:ascii="Times New Roman" w:hAnsi="Times New Roman" w:eastAsia="宋体" w:cs="Times New Roman"/>
          <w:color w:val="auto"/>
          <w:kern w:val="2"/>
          <w:sz w:val="24"/>
          <w:szCs w:val="22"/>
          <w:lang w:val="en-US" w:eastAsia="zh-CN" w:bidi="ar-SA"/>
        </w:rPr>
        <w:t>甲方有权在其认为必要时，对乙方是否能够按照合同约定交付货物进行履约检查，以确保乙方所交付的货物能够依约满足甲方项目需求，但不得因履约检查妨碍乙方的正常工作，乙方应予积极配合；</w:t>
      </w:r>
    </w:p>
    <w:p w14:paraId="7279D6C3">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2.5.2</w:t>
      </w:r>
      <w:r>
        <w:rPr>
          <w:rFonts w:hint="eastAsia" w:ascii="Times New Roman" w:hAnsi="Times New Roman" w:eastAsia="宋体" w:cs="Times New Roman"/>
          <w:color w:val="auto"/>
          <w:kern w:val="2"/>
          <w:sz w:val="24"/>
          <w:szCs w:val="22"/>
          <w:lang w:val="en-US" w:eastAsia="zh-CN" w:bidi="ar-SA"/>
        </w:rPr>
        <w:t>合同履行期间，甲方有权将履行过程中出现的问题反馈给乙方，双方当事人应以书面形式约定需要完善和改进的内容。</w:t>
      </w:r>
    </w:p>
    <w:p w14:paraId="0B0ADA18">
      <w:pPr>
        <w:widowControl w:val="0"/>
        <w:adjustRightInd w:val="0"/>
        <w:snapToGrid w:val="0"/>
        <w:spacing w:before="156" w:beforeLines="50" w:line="440" w:lineRule="exact"/>
        <w:ind w:firstLine="482" w:firstLineChars="200"/>
        <w:jc w:val="both"/>
        <w:rPr>
          <w:rFonts w:hint="eastAsia"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2.6</w:t>
      </w:r>
      <w:r>
        <w:rPr>
          <w:rFonts w:hint="eastAsia" w:ascii="Times New Roman" w:hAnsi="Times New Roman" w:eastAsia="宋体" w:cs="Times New Roman"/>
          <w:b/>
          <w:bCs/>
          <w:color w:val="auto"/>
          <w:kern w:val="2"/>
          <w:sz w:val="24"/>
          <w:szCs w:val="22"/>
          <w:lang w:val="en-US" w:eastAsia="zh-CN" w:bidi="ar-SA"/>
        </w:rPr>
        <w:t>结算方式和付款条件详见合同专用条款。</w:t>
      </w:r>
    </w:p>
    <w:p w14:paraId="5B1A0CFD">
      <w:pPr>
        <w:widowControl w:val="0"/>
        <w:autoSpaceDE w:val="0"/>
        <w:autoSpaceDN w:val="0"/>
        <w:adjustRightInd w:val="0"/>
        <w:rPr>
          <w:rFonts w:hint="default" w:ascii="黑体" w:hAnsi="Times New Roman" w:eastAsia="黑体" w:cs="Times New Roman"/>
          <w:color w:val="auto"/>
          <w:lang w:val="en-US" w:eastAsia="zh-CN" w:bidi="ar-SA"/>
        </w:rPr>
      </w:pPr>
      <w:r>
        <w:rPr>
          <w:rFonts w:hint="eastAsia" w:ascii="Times New Roman" w:hAnsi="Times New Roman" w:eastAsia="宋体" w:cs="Times New Roman"/>
          <w:b/>
          <w:bCs/>
          <w:color w:val="auto"/>
          <w:kern w:val="2"/>
          <w:sz w:val="24"/>
          <w:szCs w:val="22"/>
          <w:lang w:val="en-US" w:eastAsia="zh-CN" w:bidi="ar-SA"/>
        </w:rPr>
        <w:t xml:space="preserve">     乙方应在甲方付款前，向甲方开具相应金额的发票，若乙方未按约定开具合规发票，甲方有权顺延付款，顺延期间不计付逾期付款违约金。</w:t>
      </w:r>
    </w:p>
    <w:p w14:paraId="08396EB5">
      <w:pPr>
        <w:widowControl w:val="0"/>
        <w:adjustRightInd w:val="0"/>
        <w:snapToGrid w:val="0"/>
        <w:spacing w:before="156" w:beforeLines="50" w:line="44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2.7</w:t>
      </w:r>
      <w:r>
        <w:rPr>
          <w:rFonts w:hint="eastAsia" w:ascii="Times New Roman" w:hAnsi="Times New Roman" w:eastAsia="宋体" w:cs="Times New Roman"/>
          <w:b/>
          <w:bCs/>
          <w:color w:val="auto"/>
          <w:kern w:val="2"/>
          <w:sz w:val="24"/>
          <w:szCs w:val="22"/>
          <w:lang w:val="en-US" w:eastAsia="zh-CN" w:bidi="ar-SA"/>
        </w:rPr>
        <w:t>技术资料和保密义务</w:t>
      </w:r>
    </w:p>
    <w:p w14:paraId="7D5F0E22">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2.7.1</w:t>
      </w:r>
      <w:r>
        <w:rPr>
          <w:rFonts w:hint="eastAsia" w:ascii="Times New Roman" w:hAnsi="Times New Roman" w:eastAsia="宋体" w:cs="Times New Roman"/>
          <w:color w:val="auto"/>
          <w:kern w:val="2"/>
          <w:sz w:val="24"/>
          <w:szCs w:val="22"/>
          <w:lang w:val="en-US" w:eastAsia="zh-CN" w:bidi="ar-SA"/>
        </w:rPr>
        <w:t>乙方有权依据合同约定和项目需要，向甲方了解有关情况，调阅有关资料等，甲方应予积极配合；</w:t>
      </w:r>
    </w:p>
    <w:p w14:paraId="74B8CAA0">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2.7.2</w:t>
      </w:r>
      <w:r>
        <w:rPr>
          <w:rFonts w:hint="eastAsia" w:ascii="Times New Roman" w:hAnsi="Times New Roman" w:eastAsia="宋体" w:cs="Times New Roman"/>
          <w:color w:val="auto"/>
          <w:kern w:val="2"/>
          <w:sz w:val="24"/>
          <w:szCs w:val="22"/>
          <w:lang w:val="en-US" w:eastAsia="zh-CN" w:bidi="ar-SA"/>
        </w:rPr>
        <w:t>乙方有义务妥善保管和保护由甲方提供的前款信息和资料等；</w:t>
      </w:r>
    </w:p>
    <w:p w14:paraId="31FFBBA4">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2.7.3</w:t>
      </w:r>
      <w:r>
        <w:rPr>
          <w:rFonts w:hint="eastAsia" w:ascii="Times New Roman" w:hAnsi="Times New Roman" w:eastAsia="宋体" w:cs="Times New Roman"/>
          <w:color w:val="auto"/>
          <w:kern w:val="2"/>
          <w:sz w:val="24"/>
          <w:szCs w:val="22"/>
          <w:lang w:val="en-US" w:eastAsia="zh-CN" w:bidi="ar-SA"/>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B319478">
      <w:pPr>
        <w:widowControl w:val="0"/>
        <w:adjustRightInd w:val="0"/>
        <w:snapToGrid w:val="0"/>
        <w:spacing w:before="156" w:beforeLines="50" w:line="44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2.8</w:t>
      </w:r>
      <w:r>
        <w:rPr>
          <w:rFonts w:hint="eastAsia" w:ascii="Times New Roman" w:hAnsi="Times New Roman" w:eastAsia="宋体" w:cs="Times New Roman"/>
          <w:b/>
          <w:bCs/>
          <w:color w:val="auto"/>
          <w:kern w:val="2"/>
          <w:sz w:val="24"/>
          <w:szCs w:val="22"/>
          <w:lang w:val="en-US" w:eastAsia="zh-CN" w:bidi="ar-SA"/>
        </w:rPr>
        <w:t>质量保证</w:t>
      </w:r>
    </w:p>
    <w:p w14:paraId="53AEC61D">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2.8.1</w:t>
      </w:r>
      <w:r>
        <w:rPr>
          <w:rFonts w:hint="eastAsia" w:ascii="Times New Roman" w:hAnsi="Times New Roman" w:eastAsia="宋体" w:cs="Times New Roman"/>
          <w:color w:val="auto"/>
          <w:kern w:val="2"/>
          <w:sz w:val="24"/>
          <w:szCs w:val="22"/>
          <w:lang w:val="en-US" w:eastAsia="zh-CN" w:bidi="ar-SA"/>
        </w:rPr>
        <w:t>乙方应建立和完善履行合同的内部质量保证体系，并提供相关内部规章制度给甲方，以便甲方进行监督检查；</w:t>
      </w:r>
    </w:p>
    <w:p w14:paraId="09BFFF9E">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2.8.2</w:t>
      </w:r>
      <w:r>
        <w:rPr>
          <w:rFonts w:hint="eastAsia" w:ascii="Times New Roman" w:hAnsi="Times New Roman" w:eastAsia="宋体" w:cs="Times New Roman"/>
          <w:color w:val="auto"/>
          <w:kern w:val="2"/>
          <w:sz w:val="24"/>
          <w:szCs w:val="22"/>
          <w:lang w:val="en-US" w:eastAsia="zh-CN" w:bidi="ar-SA"/>
        </w:rPr>
        <w:t>乙方应保证履行合同的人员数量和素质、软件和硬件设备的配置、场地、环境和设施等满足全面履行合同的要求，并应接受甲方的监督检查。</w:t>
      </w:r>
    </w:p>
    <w:p w14:paraId="0A2EBB02">
      <w:pPr>
        <w:widowControl w:val="0"/>
        <w:adjustRightInd w:val="0"/>
        <w:snapToGrid w:val="0"/>
        <w:spacing w:before="156" w:beforeLines="50" w:line="44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2.9</w:t>
      </w:r>
      <w:r>
        <w:rPr>
          <w:rFonts w:hint="eastAsia" w:ascii="Times New Roman" w:hAnsi="Times New Roman" w:eastAsia="宋体" w:cs="Times New Roman"/>
          <w:b/>
          <w:bCs/>
          <w:color w:val="auto"/>
          <w:kern w:val="2"/>
          <w:sz w:val="24"/>
          <w:szCs w:val="22"/>
          <w:lang w:val="en-US" w:eastAsia="zh-CN" w:bidi="ar-SA"/>
        </w:rPr>
        <w:t>货物的风险负担</w:t>
      </w:r>
    </w:p>
    <w:p w14:paraId="63CD2FFE">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货物或者在途货物或者交付给第一承运人后的货物毁损、灭失的风险负担详见</w:t>
      </w:r>
      <w:r>
        <w:rPr>
          <w:rFonts w:hint="eastAsia" w:ascii="Times New Roman" w:hAnsi="Times New Roman" w:eastAsia="宋体" w:cs="Times New Roman"/>
          <w:b/>
          <w:color w:val="auto"/>
          <w:kern w:val="2"/>
          <w:sz w:val="24"/>
          <w:szCs w:val="22"/>
          <w:lang w:val="en-US" w:eastAsia="zh-CN" w:bidi="ar-SA"/>
        </w:rPr>
        <w:t>合同专用条款</w:t>
      </w:r>
      <w:r>
        <w:rPr>
          <w:rFonts w:hint="eastAsia" w:ascii="Times New Roman" w:hAnsi="Times New Roman" w:eastAsia="宋体" w:cs="Times New Roman"/>
          <w:color w:val="auto"/>
          <w:kern w:val="2"/>
          <w:sz w:val="24"/>
          <w:szCs w:val="22"/>
          <w:lang w:val="en-US" w:eastAsia="zh-CN" w:bidi="ar-SA"/>
        </w:rPr>
        <w:t>。</w:t>
      </w:r>
    </w:p>
    <w:p w14:paraId="1585BCF6">
      <w:pPr>
        <w:widowControl w:val="0"/>
        <w:adjustRightInd w:val="0"/>
        <w:snapToGrid w:val="0"/>
        <w:spacing w:before="156" w:beforeLines="50" w:line="44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2.10</w:t>
      </w:r>
      <w:r>
        <w:rPr>
          <w:rFonts w:hint="eastAsia" w:ascii="Times New Roman" w:hAnsi="Times New Roman" w:eastAsia="宋体" w:cs="Times New Roman"/>
          <w:b/>
          <w:bCs/>
          <w:color w:val="auto"/>
          <w:kern w:val="2"/>
          <w:sz w:val="24"/>
          <w:szCs w:val="22"/>
          <w:lang w:val="en-US" w:eastAsia="zh-CN" w:bidi="ar-SA"/>
        </w:rPr>
        <w:t>延迟交货</w:t>
      </w:r>
    </w:p>
    <w:p w14:paraId="64F26958">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在合同履行过程中，如果乙方遇到不能按时交付货物的情况，应及时以书面形式将不能按时交付货物的理由、预期延误时间通知甲方；甲方收到乙方通知后，</w:t>
      </w:r>
      <w:r>
        <w:rPr>
          <w:rFonts w:ascii="Times New Roman" w:hAnsi="Times New Roman" w:eastAsia="宋体" w:cs="Times New Roman"/>
          <w:color w:val="auto"/>
          <w:kern w:val="2"/>
          <w:sz w:val="24"/>
          <w:szCs w:val="22"/>
          <w:lang w:val="en-US" w:eastAsia="zh-CN" w:bidi="ar-SA"/>
        </w:rPr>
        <w:t xml:space="preserve"> </w:t>
      </w:r>
      <w:r>
        <w:rPr>
          <w:rFonts w:hint="eastAsia" w:ascii="Times New Roman" w:hAnsi="Times New Roman" w:eastAsia="宋体" w:cs="Times New Roman"/>
          <w:color w:val="auto"/>
          <w:kern w:val="2"/>
          <w:sz w:val="24"/>
          <w:szCs w:val="22"/>
          <w:lang w:val="en-US" w:eastAsia="zh-CN" w:bidi="ar-SA"/>
        </w:rPr>
        <w:t>认为其理由正当的，可以书面形式酌情同意乙方可以延长交货的具体时间。</w:t>
      </w:r>
    </w:p>
    <w:p w14:paraId="46B41F47">
      <w:pPr>
        <w:widowControl w:val="0"/>
        <w:adjustRightInd w:val="0"/>
        <w:snapToGrid w:val="0"/>
        <w:spacing w:before="156" w:beforeLines="50" w:line="44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2.11</w:t>
      </w:r>
      <w:r>
        <w:rPr>
          <w:rFonts w:hint="eastAsia" w:ascii="Times New Roman" w:hAnsi="Times New Roman" w:eastAsia="宋体" w:cs="Times New Roman"/>
          <w:b/>
          <w:bCs/>
          <w:color w:val="auto"/>
          <w:kern w:val="2"/>
          <w:sz w:val="24"/>
          <w:szCs w:val="22"/>
          <w:lang w:val="en-US" w:eastAsia="zh-CN" w:bidi="ar-SA"/>
        </w:rPr>
        <w:t>合同变更</w:t>
      </w:r>
    </w:p>
    <w:p w14:paraId="4C2B559A">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2.11.1</w:t>
      </w:r>
      <w:r>
        <w:rPr>
          <w:rFonts w:hint="eastAsia" w:ascii="Times New Roman" w:hAnsi="Times New Roman" w:eastAsia="宋体" w:cs="Times New Roman"/>
          <w:color w:val="auto"/>
          <w:kern w:val="2"/>
          <w:sz w:val="24"/>
          <w:szCs w:val="22"/>
          <w:lang w:val="en-US" w:eastAsia="zh-CN" w:bidi="ar-SA"/>
        </w:rPr>
        <w:t>双方当事人协商一致，可以签订书面补充合同的形式变更合同，但不得违背采购文件确定的事项；</w:t>
      </w:r>
    </w:p>
    <w:p w14:paraId="505C4E7C">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2.11.2</w:t>
      </w:r>
      <w:r>
        <w:rPr>
          <w:rFonts w:hint="eastAsia" w:ascii="Times New Roman" w:hAnsi="Times New Roman" w:eastAsia="宋体" w:cs="Times New Roman"/>
          <w:color w:val="auto"/>
          <w:kern w:val="2"/>
          <w:sz w:val="24"/>
          <w:szCs w:val="22"/>
          <w:lang w:val="en-US" w:eastAsia="zh-CN" w:bidi="ar-SA"/>
        </w:rPr>
        <w:t>合同继续履行将损害国家利益和社会公共利益的，双方当事人应当以书面形式变更合同。有过错的一方应当承担赔偿责任，双方当事人都有过错的，各自承担相应的责任。</w:t>
      </w:r>
    </w:p>
    <w:p w14:paraId="55485663">
      <w:pPr>
        <w:widowControl w:val="0"/>
        <w:adjustRightInd w:val="0"/>
        <w:snapToGrid w:val="0"/>
        <w:spacing w:before="156" w:beforeLines="50" w:line="44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2.12</w:t>
      </w:r>
      <w:r>
        <w:rPr>
          <w:rFonts w:hint="eastAsia" w:ascii="Times New Roman" w:hAnsi="Times New Roman" w:eastAsia="宋体" w:cs="Times New Roman"/>
          <w:b/>
          <w:bCs/>
          <w:color w:val="auto"/>
          <w:kern w:val="2"/>
          <w:sz w:val="24"/>
          <w:szCs w:val="22"/>
          <w:lang w:val="en-US" w:eastAsia="zh-CN" w:bidi="ar-SA"/>
        </w:rPr>
        <w:t>合同转让和分包</w:t>
      </w:r>
    </w:p>
    <w:p w14:paraId="7D014DEA">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F697978">
      <w:pPr>
        <w:widowControl w:val="0"/>
        <w:adjustRightInd w:val="0"/>
        <w:snapToGrid w:val="0"/>
        <w:spacing w:before="156" w:beforeLines="50" w:line="44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2.13</w:t>
      </w:r>
      <w:r>
        <w:rPr>
          <w:rFonts w:hint="eastAsia" w:ascii="Times New Roman" w:hAnsi="Times New Roman" w:eastAsia="宋体" w:cs="Times New Roman"/>
          <w:b/>
          <w:bCs/>
          <w:color w:val="auto"/>
          <w:kern w:val="2"/>
          <w:sz w:val="24"/>
          <w:szCs w:val="22"/>
          <w:lang w:val="en-US" w:eastAsia="zh-CN" w:bidi="ar-SA"/>
        </w:rPr>
        <w:t>不可抗力</w:t>
      </w:r>
    </w:p>
    <w:p w14:paraId="6FE827D2">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2.13.1</w:t>
      </w:r>
      <w:r>
        <w:rPr>
          <w:rFonts w:hint="eastAsia" w:ascii="Times New Roman" w:hAnsi="Times New Roman" w:eastAsia="宋体" w:cs="Times New Roman"/>
          <w:color w:val="auto"/>
          <w:kern w:val="2"/>
          <w:sz w:val="24"/>
          <w:szCs w:val="22"/>
          <w:lang w:val="en-US" w:eastAsia="zh-CN" w:bidi="ar-SA"/>
        </w:rPr>
        <w:t>如果任何一方遭遇法律规定的不可抗力，致使合同履行受阻时，履行合同的期限应予延长，延长的期限应相当于不可抗力所影响的时间；</w:t>
      </w:r>
    </w:p>
    <w:p w14:paraId="335A157A">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2.13.2</w:t>
      </w:r>
      <w:r>
        <w:rPr>
          <w:rFonts w:hint="eastAsia" w:ascii="Times New Roman" w:hAnsi="Times New Roman" w:eastAsia="宋体" w:cs="Times New Roman"/>
          <w:color w:val="auto"/>
          <w:kern w:val="2"/>
          <w:sz w:val="24"/>
          <w:szCs w:val="22"/>
          <w:lang w:val="en-US" w:eastAsia="zh-CN" w:bidi="ar-SA"/>
        </w:rPr>
        <w:t>因不可抗力致使不能实现合同目的的，当事人可以解除合同；</w:t>
      </w:r>
    </w:p>
    <w:p w14:paraId="3BCC277E">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2.13.3</w:t>
      </w:r>
      <w:r>
        <w:rPr>
          <w:rFonts w:hint="eastAsia" w:ascii="Times New Roman" w:hAnsi="Times New Roman" w:eastAsia="宋体" w:cs="Times New Roman"/>
          <w:color w:val="auto"/>
          <w:kern w:val="2"/>
          <w:sz w:val="24"/>
          <w:szCs w:val="22"/>
          <w:lang w:val="en-US" w:eastAsia="zh-CN" w:bidi="ar-SA"/>
        </w:rPr>
        <w:t>因不可抗力致使合同有变更必要的，双方当事人应在</w:t>
      </w:r>
      <w:r>
        <w:rPr>
          <w:rFonts w:hint="eastAsia" w:ascii="Times New Roman" w:hAnsi="Times New Roman" w:eastAsia="宋体" w:cs="Times New Roman"/>
          <w:b/>
          <w:color w:val="auto"/>
          <w:kern w:val="2"/>
          <w:sz w:val="24"/>
          <w:szCs w:val="22"/>
          <w:lang w:val="en-US" w:eastAsia="zh-CN" w:bidi="ar-SA"/>
        </w:rPr>
        <w:t>合同专用条款</w:t>
      </w:r>
      <w:r>
        <w:rPr>
          <w:rFonts w:hint="eastAsia" w:ascii="Times New Roman" w:hAnsi="Times New Roman" w:eastAsia="宋体" w:cs="Times New Roman"/>
          <w:color w:val="auto"/>
          <w:kern w:val="2"/>
          <w:sz w:val="24"/>
          <w:szCs w:val="22"/>
          <w:lang w:val="en-US" w:eastAsia="zh-CN" w:bidi="ar-SA"/>
        </w:rPr>
        <w:t>约</w:t>
      </w:r>
      <w:r>
        <w:rPr>
          <w:rFonts w:ascii="Times New Roman" w:hAnsi="Times New Roman" w:eastAsia="宋体" w:cs="Times New Roman"/>
          <w:color w:val="auto"/>
          <w:kern w:val="2"/>
          <w:sz w:val="24"/>
          <w:szCs w:val="22"/>
          <w:lang w:val="en-US" w:eastAsia="zh-CN" w:bidi="ar-SA"/>
        </w:rPr>
        <w:t xml:space="preserve"> </w:t>
      </w:r>
      <w:r>
        <w:rPr>
          <w:rFonts w:hint="eastAsia" w:ascii="Times New Roman" w:hAnsi="Times New Roman" w:eastAsia="宋体" w:cs="Times New Roman"/>
          <w:color w:val="auto"/>
          <w:kern w:val="2"/>
          <w:sz w:val="24"/>
          <w:szCs w:val="22"/>
          <w:lang w:val="en-US" w:eastAsia="zh-CN" w:bidi="ar-SA"/>
        </w:rPr>
        <w:t>定时间内以书面形式变更合同；</w:t>
      </w:r>
    </w:p>
    <w:p w14:paraId="7456A4DD">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2.13.4</w:t>
      </w:r>
      <w:r>
        <w:rPr>
          <w:rFonts w:hint="eastAsia" w:ascii="Times New Roman" w:hAnsi="Times New Roman" w:eastAsia="宋体" w:cs="Times New Roman"/>
          <w:color w:val="auto"/>
          <w:kern w:val="2"/>
          <w:sz w:val="24"/>
          <w:szCs w:val="22"/>
          <w:lang w:val="en-US" w:eastAsia="zh-CN" w:bidi="ar-SA"/>
        </w:rPr>
        <w:t>受不可抗力影响的一方在不可抗力发生后，应在</w:t>
      </w:r>
      <w:r>
        <w:rPr>
          <w:rFonts w:hint="eastAsia" w:ascii="Times New Roman" w:hAnsi="Times New Roman" w:eastAsia="宋体" w:cs="Times New Roman"/>
          <w:b/>
          <w:color w:val="auto"/>
          <w:kern w:val="2"/>
          <w:sz w:val="24"/>
          <w:szCs w:val="22"/>
          <w:lang w:val="en-US" w:eastAsia="zh-CN" w:bidi="ar-SA"/>
        </w:rPr>
        <w:t>合同专用条款</w:t>
      </w:r>
      <w:r>
        <w:rPr>
          <w:rFonts w:hint="eastAsia" w:ascii="Times New Roman" w:hAnsi="Times New Roman" w:eastAsia="宋体" w:cs="Times New Roman"/>
          <w:color w:val="auto"/>
          <w:kern w:val="2"/>
          <w:sz w:val="24"/>
          <w:szCs w:val="22"/>
          <w:lang w:val="en-US" w:eastAsia="zh-CN" w:bidi="ar-SA"/>
        </w:rPr>
        <w:t>约定时</w:t>
      </w:r>
      <w:r>
        <w:rPr>
          <w:rFonts w:ascii="Times New Roman" w:hAnsi="Times New Roman" w:eastAsia="宋体" w:cs="Times New Roman"/>
          <w:color w:val="auto"/>
          <w:kern w:val="2"/>
          <w:sz w:val="24"/>
          <w:szCs w:val="22"/>
          <w:lang w:val="en-US" w:eastAsia="zh-CN" w:bidi="ar-SA"/>
        </w:rPr>
        <w:t xml:space="preserve"> </w:t>
      </w:r>
      <w:r>
        <w:rPr>
          <w:rFonts w:hint="eastAsia" w:ascii="Times New Roman" w:hAnsi="Times New Roman" w:eastAsia="宋体" w:cs="Times New Roman"/>
          <w:color w:val="auto"/>
          <w:kern w:val="2"/>
          <w:sz w:val="24"/>
          <w:szCs w:val="22"/>
          <w:lang w:val="en-US" w:eastAsia="zh-CN" w:bidi="ar-SA"/>
        </w:rPr>
        <w:t>间内以书面形式通知对方当事人，并在</w:t>
      </w:r>
      <w:r>
        <w:rPr>
          <w:rFonts w:hint="eastAsia" w:ascii="Times New Roman" w:hAnsi="Times New Roman" w:eastAsia="宋体" w:cs="Times New Roman"/>
          <w:b/>
          <w:color w:val="auto"/>
          <w:kern w:val="2"/>
          <w:sz w:val="24"/>
          <w:szCs w:val="22"/>
          <w:lang w:val="en-US" w:eastAsia="zh-CN" w:bidi="ar-SA"/>
        </w:rPr>
        <w:t>合同专用条款</w:t>
      </w:r>
      <w:r>
        <w:rPr>
          <w:rFonts w:hint="eastAsia" w:ascii="Times New Roman" w:hAnsi="Times New Roman" w:eastAsia="宋体" w:cs="Times New Roman"/>
          <w:color w:val="auto"/>
          <w:kern w:val="2"/>
          <w:sz w:val="24"/>
          <w:szCs w:val="22"/>
          <w:lang w:val="en-US" w:eastAsia="zh-CN" w:bidi="ar-SA"/>
        </w:rPr>
        <w:t>约定时间内，将有关部门出具的证明文件送达对方当事人。</w:t>
      </w:r>
    </w:p>
    <w:p w14:paraId="78FCD4CC">
      <w:pPr>
        <w:widowControl w:val="0"/>
        <w:adjustRightInd w:val="0"/>
        <w:snapToGrid w:val="0"/>
        <w:spacing w:before="156" w:beforeLines="50" w:line="44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2.14</w:t>
      </w:r>
      <w:r>
        <w:rPr>
          <w:rFonts w:hint="eastAsia" w:ascii="Times New Roman" w:hAnsi="Times New Roman" w:eastAsia="宋体" w:cs="Times New Roman"/>
          <w:b/>
          <w:bCs/>
          <w:color w:val="auto"/>
          <w:kern w:val="2"/>
          <w:sz w:val="24"/>
          <w:szCs w:val="22"/>
          <w:lang w:val="en-US" w:eastAsia="zh-CN" w:bidi="ar-SA"/>
        </w:rPr>
        <w:t>税费</w:t>
      </w:r>
    </w:p>
    <w:p w14:paraId="56623E05">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与合同有关的一切税费，均按照中华人民共和国法律的相关规定缴纳。</w:t>
      </w:r>
    </w:p>
    <w:p w14:paraId="35B4D999">
      <w:pPr>
        <w:widowControl w:val="0"/>
        <w:adjustRightInd w:val="0"/>
        <w:snapToGrid w:val="0"/>
        <w:spacing w:before="156" w:beforeLines="50" w:line="44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2.15</w:t>
      </w:r>
      <w:r>
        <w:rPr>
          <w:rFonts w:hint="eastAsia" w:ascii="Times New Roman" w:hAnsi="Times New Roman" w:eastAsia="宋体" w:cs="Times New Roman"/>
          <w:b/>
          <w:bCs/>
          <w:color w:val="auto"/>
          <w:kern w:val="2"/>
          <w:sz w:val="24"/>
          <w:szCs w:val="22"/>
          <w:lang w:val="en-US" w:eastAsia="zh-CN" w:bidi="ar-SA"/>
        </w:rPr>
        <w:t>乙方破产</w:t>
      </w:r>
    </w:p>
    <w:p w14:paraId="2E490FD9">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BF4D651">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2.16</w:t>
      </w:r>
      <w:r>
        <w:rPr>
          <w:rFonts w:hint="eastAsia" w:ascii="Times New Roman" w:hAnsi="Times New Roman" w:eastAsia="宋体" w:cs="Times New Roman"/>
          <w:color w:val="auto"/>
          <w:kern w:val="2"/>
          <w:sz w:val="24"/>
          <w:szCs w:val="22"/>
          <w:lang w:val="en-US" w:eastAsia="zh-CN" w:bidi="ar-SA"/>
        </w:rPr>
        <w:t>合同中止、终止</w:t>
      </w:r>
    </w:p>
    <w:p w14:paraId="2A8038F8">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2.16.1</w:t>
      </w:r>
      <w:r>
        <w:rPr>
          <w:rFonts w:hint="eastAsia" w:ascii="Times New Roman" w:hAnsi="Times New Roman" w:eastAsia="宋体" w:cs="Times New Roman"/>
          <w:color w:val="auto"/>
          <w:kern w:val="2"/>
          <w:sz w:val="24"/>
          <w:szCs w:val="22"/>
          <w:lang w:val="en-US" w:eastAsia="zh-CN" w:bidi="ar-SA"/>
        </w:rPr>
        <w:t>双方当事人不得擅自中止或者终止合同；</w:t>
      </w:r>
    </w:p>
    <w:p w14:paraId="0F529FD7">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2.16.2</w:t>
      </w:r>
      <w:r>
        <w:rPr>
          <w:rFonts w:hint="eastAsia" w:ascii="Times New Roman" w:hAnsi="Times New Roman" w:eastAsia="宋体" w:cs="Times New Roman"/>
          <w:color w:val="auto"/>
          <w:kern w:val="2"/>
          <w:sz w:val="24"/>
          <w:szCs w:val="22"/>
          <w:lang w:val="en-US" w:eastAsia="zh-CN" w:bidi="ar-SA"/>
        </w:rPr>
        <w:t>合同继续履行将损害国家利益和社会公共利益的，双方当事人应当中止或者终止合同。有过错的一方应当承担赔偿责任，双方当事人都有过错的，各自承担相应的责任。</w:t>
      </w:r>
    </w:p>
    <w:p w14:paraId="1AB0D78D">
      <w:pPr>
        <w:widowControl w:val="0"/>
        <w:adjustRightInd w:val="0"/>
        <w:snapToGrid w:val="0"/>
        <w:spacing w:before="156" w:beforeLines="50" w:line="44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2.17</w:t>
      </w:r>
      <w:r>
        <w:rPr>
          <w:rFonts w:hint="eastAsia" w:ascii="Times New Roman" w:hAnsi="Times New Roman" w:eastAsia="宋体" w:cs="Times New Roman"/>
          <w:b/>
          <w:bCs/>
          <w:color w:val="auto"/>
          <w:kern w:val="2"/>
          <w:sz w:val="24"/>
          <w:szCs w:val="22"/>
          <w:lang w:val="en-US" w:eastAsia="zh-CN" w:bidi="ar-SA"/>
        </w:rPr>
        <w:t>检验和验收</w:t>
      </w:r>
    </w:p>
    <w:p w14:paraId="37EE71C7">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2.17.1</w:t>
      </w:r>
      <w:r>
        <w:rPr>
          <w:rFonts w:hint="eastAsia" w:ascii="Times New Roman" w:hAnsi="Times New Roman" w:eastAsia="宋体" w:cs="Times New Roman"/>
          <w:color w:val="auto"/>
          <w:kern w:val="2"/>
          <w:sz w:val="24"/>
          <w:szCs w:val="22"/>
          <w:lang w:val="en-US" w:eastAsia="zh-CN" w:bidi="ar-SA"/>
        </w:rPr>
        <w:t>货物交付前，乙方应对货物的质量、数量等方面进行详细、全面的检验，并向甲方出具证明货物符合合同约定的文件；货物交付时，乙方在</w:t>
      </w:r>
      <w:r>
        <w:rPr>
          <w:rFonts w:hint="eastAsia" w:ascii="Times New Roman" w:hAnsi="Times New Roman" w:eastAsia="宋体" w:cs="Times New Roman"/>
          <w:b/>
          <w:color w:val="auto"/>
          <w:kern w:val="2"/>
          <w:sz w:val="24"/>
          <w:szCs w:val="22"/>
          <w:lang w:val="en-US" w:eastAsia="zh-CN" w:bidi="ar-SA"/>
        </w:rPr>
        <w:t>合同专用条款</w:t>
      </w:r>
      <w:r>
        <w:rPr>
          <w:rFonts w:hint="eastAsia" w:ascii="Times New Roman" w:hAnsi="Times New Roman" w:eastAsia="宋体" w:cs="Times New Roman"/>
          <w:color w:val="auto"/>
          <w:kern w:val="2"/>
          <w:sz w:val="24"/>
          <w:szCs w:val="22"/>
          <w:lang w:val="en-US" w:eastAsia="zh-CN" w:bidi="ar-SA"/>
        </w:rPr>
        <w:t>约定时间内组织验收，并可依法邀请相关方参加，验收应出具验收书。</w:t>
      </w:r>
    </w:p>
    <w:p w14:paraId="0CD48219">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2.17.2</w:t>
      </w:r>
      <w:r>
        <w:rPr>
          <w:rFonts w:hint="eastAsia" w:ascii="Times New Roman" w:hAnsi="Times New Roman" w:eastAsia="宋体" w:cs="Times New Roman"/>
          <w:color w:val="auto"/>
          <w:kern w:val="2"/>
          <w:sz w:val="24"/>
          <w:szCs w:val="22"/>
          <w:lang w:val="en-US" w:eastAsia="zh-CN" w:bidi="ar-SA"/>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00F8B5D">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2.17.3</w:t>
      </w:r>
      <w:r>
        <w:rPr>
          <w:rFonts w:hint="eastAsia" w:ascii="Times New Roman" w:hAnsi="Times New Roman" w:eastAsia="宋体" w:cs="Times New Roman"/>
          <w:color w:val="auto"/>
          <w:kern w:val="2"/>
          <w:sz w:val="24"/>
          <w:szCs w:val="22"/>
          <w:lang w:val="en-US" w:eastAsia="zh-CN" w:bidi="ar-SA"/>
        </w:rPr>
        <w:t>检验和验收标准、程序等具体内容以及前述验收书的效力详见</w:t>
      </w:r>
      <w:r>
        <w:rPr>
          <w:rFonts w:hint="eastAsia" w:ascii="Times New Roman" w:hAnsi="Times New Roman" w:eastAsia="宋体" w:cs="Times New Roman"/>
          <w:b/>
          <w:color w:val="auto"/>
          <w:kern w:val="2"/>
          <w:sz w:val="24"/>
          <w:szCs w:val="22"/>
          <w:lang w:val="en-US" w:eastAsia="zh-CN" w:bidi="ar-SA"/>
        </w:rPr>
        <w:t>合同专用条款</w:t>
      </w:r>
      <w:r>
        <w:rPr>
          <w:rFonts w:hint="eastAsia" w:ascii="Times New Roman" w:hAnsi="Times New Roman" w:eastAsia="宋体" w:cs="Times New Roman"/>
          <w:color w:val="auto"/>
          <w:kern w:val="2"/>
          <w:sz w:val="24"/>
          <w:szCs w:val="22"/>
          <w:lang w:val="en-US" w:eastAsia="zh-CN" w:bidi="ar-SA"/>
        </w:rPr>
        <w:t>。</w:t>
      </w:r>
    </w:p>
    <w:p w14:paraId="4B001133">
      <w:pPr>
        <w:widowControl w:val="0"/>
        <w:adjustRightInd w:val="0"/>
        <w:snapToGrid w:val="0"/>
        <w:spacing w:before="156" w:beforeLines="50" w:line="44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2.18</w:t>
      </w:r>
      <w:r>
        <w:rPr>
          <w:rFonts w:hint="eastAsia" w:ascii="Times New Roman" w:hAnsi="Times New Roman" w:eastAsia="宋体" w:cs="Times New Roman"/>
          <w:b/>
          <w:bCs/>
          <w:color w:val="auto"/>
          <w:kern w:val="2"/>
          <w:sz w:val="24"/>
          <w:szCs w:val="22"/>
          <w:lang w:val="en-US" w:eastAsia="zh-CN" w:bidi="ar-SA"/>
        </w:rPr>
        <w:t>计量单位</w:t>
      </w:r>
    </w:p>
    <w:p w14:paraId="4BF2C59C">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除技术规范中另有规定外，合同的计量单位均使用国家法定计量单位。</w:t>
      </w:r>
    </w:p>
    <w:p w14:paraId="59B3D812">
      <w:pPr>
        <w:widowControl w:val="0"/>
        <w:adjustRightInd w:val="0"/>
        <w:snapToGrid w:val="0"/>
        <w:spacing w:before="156" w:beforeLines="50" w:line="44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2.19</w:t>
      </w:r>
      <w:r>
        <w:rPr>
          <w:rFonts w:hint="eastAsia" w:ascii="Times New Roman" w:hAnsi="Times New Roman" w:eastAsia="宋体" w:cs="Times New Roman"/>
          <w:b/>
          <w:bCs/>
          <w:color w:val="auto"/>
          <w:kern w:val="2"/>
          <w:sz w:val="24"/>
          <w:szCs w:val="22"/>
          <w:lang w:val="en-US" w:eastAsia="zh-CN" w:bidi="ar-SA"/>
        </w:rPr>
        <w:t>合同使用的文字和适用的法律</w:t>
      </w:r>
    </w:p>
    <w:p w14:paraId="043BC764">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2.19.1</w:t>
      </w:r>
      <w:r>
        <w:rPr>
          <w:rFonts w:hint="eastAsia" w:ascii="Times New Roman" w:hAnsi="Times New Roman" w:eastAsia="宋体" w:cs="Times New Roman"/>
          <w:color w:val="auto"/>
          <w:kern w:val="2"/>
          <w:sz w:val="24"/>
          <w:szCs w:val="22"/>
          <w:lang w:val="en-US" w:eastAsia="zh-CN" w:bidi="ar-SA"/>
        </w:rPr>
        <w:t>合同使用汉语书就、变更和解释；</w:t>
      </w:r>
    </w:p>
    <w:p w14:paraId="006F31E8">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2.19.2</w:t>
      </w:r>
      <w:r>
        <w:rPr>
          <w:rFonts w:hint="eastAsia" w:ascii="Times New Roman" w:hAnsi="Times New Roman" w:eastAsia="宋体" w:cs="Times New Roman"/>
          <w:color w:val="auto"/>
          <w:kern w:val="2"/>
          <w:sz w:val="24"/>
          <w:szCs w:val="22"/>
          <w:lang w:val="en-US" w:eastAsia="zh-CN" w:bidi="ar-SA"/>
        </w:rPr>
        <w:t>合同适用中华人民共和国法律。</w:t>
      </w:r>
    </w:p>
    <w:p w14:paraId="3C1E7EDA">
      <w:pPr>
        <w:widowControl w:val="0"/>
        <w:adjustRightInd w:val="0"/>
        <w:snapToGrid w:val="0"/>
        <w:spacing w:before="156" w:beforeLines="50" w:line="440" w:lineRule="exact"/>
        <w:ind w:firstLine="482" w:firstLineChars="200"/>
        <w:jc w:val="both"/>
        <w:rPr>
          <w:rFonts w:ascii="Times New Roman" w:hAnsi="Times New Roman" w:eastAsia="宋体" w:cs="Times New Roman"/>
          <w:b/>
          <w:bCs/>
          <w:color w:val="auto"/>
          <w:kern w:val="2"/>
          <w:sz w:val="24"/>
          <w:szCs w:val="22"/>
          <w:lang w:val="en-US" w:eastAsia="zh-CN" w:bidi="ar-SA"/>
        </w:rPr>
      </w:pPr>
      <w:r>
        <w:rPr>
          <w:rFonts w:ascii="Times New Roman" w:hAnsi="Times New Roman" w:eastAsia="宋体" w:cs="Times New Roman"/>
          <w:b/>
          <w:bCs/>
          <w:color w:val="auto"/>
          <w:kern w:val="2"/>
          <w:sz w:val="24"/>
          <w:szCs w:val="22"/>
          <w:lang w:val="en-US" w:eastAsia="zh-CN" w:bidi="ar-SA"/>
        </w:rPr>
        <w:t>2.20</w:t>
      </w:r>
      <w:r>
        <w:rPr>
          <w:rFonts w:hint="eastAsia" w:ascii="Times New Roman" w:hAnsi="Times New Roman" w:eastAsia="宋体" w:cs="Times New Roman"/>
          <w:b/>
          <w:bCs/>
          <w:color w:val="auto"/>
          <w:kern w:val="2"/>
          <w:sz w:val="24"/>
          <w:szCs w:val="22"/>
          <w:lang w:val="en-US" w:eastAsia="zh-CN" w:bidi="ar-SA"/>
        </w:rPr>
        <w:t>履约保证金</w:t>
      </w:r>
    </w:p>
    <w:p w14:paraId="37B388DE">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2.20.1</w:t>
      </w:r>
      <w:r>
        <w:rPr>
          <w:rFonts w:hint="eastAsia" w:ascii="Times New Roman" w:hAnsi="Times New Roman" w:eastAsia="宋体" w:cs="Times New Roman"/>
          <w:color w:val="auto"/>
          <w:kern w:val="2"/>
          <w:sz w:val="24"/>
          <w:szCs w:val="22"/>
          <w:lang w:val="en-US" w:eastAsia="zh-CN" w:bidi="ar-SA"/>
        </w:rPr>
        <w:t>采购文件要求乙方提交履约保证金的，乙方应按</w:t>
      </w:r>
      <w:r>
        <w:rPr>
          <w:rFonts w:hint="eastAsia" w:ascii="Times New Roman" w:hAnsi="Times New Roman" w:eastAsia="宋体" w:cs="Times New Roman"/>
          <w:b/>
          <w:color w:val="auto"/>
          <w:kern w:val="2"/>
          <w:sz w:val="24"/>
          <w:szCs w:val="22"/>
          <w:lang w:val="en-US" w:eastAsia="zh-CN" w:bidi="ar-SA"/>
        </w:rPr>
        <w:t>合同专用条款</w:t>
      </w:r>
      <w:r>
        <w:rPr>
          <w:rFonts w:hint="eastAsia" w:ascii="Times New Roman" w:hAnsi="Times New Roman" w:eastAsia="宋体" w:cs="Times New Roman"/>
          <w:color w:val="auto"/>
          <w:kern w:val="2"/>
          <w:sz w:val="24"/>
          <w:szCs w:val="22"/>
          <w:lang w:val="en-US" w:eastAsia="zh-CN" w:bidi="ar-SA"/>
        </w:rPr>
        <w:t>约定的方式，以支票、汇票、本票或者金融机构、担保机构出具的保函等非现金形式，提交不超过合同价</w:t>
      </w:r>
      <w:r>
        <w:rPr>
          <w:rFonts w:ascii="Times New Roman" w:hAnsi="Times New Roman" w:eastAsia="宋体" w:cs="Times New Roman"/>
          <w:color w:val="auto"/>
          <w:kern w:val="2"/>
          <w:sz w:val="24"/>
          <w:szCs w:val="22"/>
          <w:lang w:val="en-US" w:eastAsia="zh-CN" w:bidi="ar-SA"/>
        </w:rPr>
        <w:t>10%</w:t>
      </w:r>
      <w:r>
        <w:rPr>
          <w:rFonts w:hint="eastAsia" w:ascii="Times New Roman" w:hAnsi="Times New Roman" w:eastAsia="宋体" w:cs="Times New Roman"/>
          <w:color w:val="auto"/>
          <w:kern w:val="2"/>
          <w:sz w:val="24"/>
          <w:szCs w:val="22"/>
          <w:lang w:val="en-US" w:eastAsia="zh-CN" w:bidi="ar-SA"/>
        </w:rPr>
        <w:t>的履约保证金；</w:t>
      </w:r>
    </w:p>
    <w:p w14:paraId="6B1B820C">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2.20.2</w:t>
      </w:r>
      <w:r>
        <w:rPr>
          <w:rFonts w:hint="eastAsia" w:ascii="Times New Roman" w:hAnsi="Times New Roman" w:eastAsia="宋体" w:cs="Times New Roman"/>
          <w:color w:val="auto"/>
          <w:kern w:val="2"/>
          <w:sz w:val="24"/>
          <w:szCs w:val="22"/>
          <w:lang w:val="en-US" w:eastAsia="zh-CN" w:bidi="ar-SA"/>
        </w:rPr>
        <w:t>履约保证金在</w:t>
      </w:r>
      <w:r>
        <w:rPr>
          <w:rFonts w:hint="eastAsia" w:ascii="Times New Roman" w:hAnsi="Times New Roman" w:eastAsia="宋体" w:cs="Times New Roman"/>
          <w:b/>
          <w:color w:val="auto"/>
          <w:kern w:val="2"/>
          <w:sz w:val="24"/>
          <w:szCs w:val="22"/>
          <w:lang w:val="en-US" w:eastAsia="zh-CN" w:bidi="ar-SA"/>
        </w:rPr>
        <w:t>合同专用条款</w:t>
      </w:r>
      <w:r>
        <w:rPr>
          <w:rFonts w:hint="eastAsia" w:ascii="Times New Roman" w:hAnsi="Times New Roman" w:eastAsia="宋体" w:cs="Times New Roman"/>
          <w:color w:val="auto"/>
          <w:kern w:val="2"/>
          <w:sz w:val="24"/>
          <w:szCs w:val="22"/>
          <w:lang w:val="en-US" w:eastAsia="zh-CN" w:bidi="ar-SA"/>
        </w:rPr>
        <w:t>约定期间内或者货物质量保证期内不予退还或者应完全有效，前述约定期间届满或者货物质量保证期届满之日起</w:t>
      </w:r>
      <w:r>
        <w:rPr>
          <w:rFonts w:ascii="Times New Roman" w:hAnsi="Times New Roman" w:eastAsia="宋体" w:cs="Times New Roman"/>
          <w:color w:val="auto"/>
          <w:kern w:val="2"/>
          <w:sz w:val="24"/>
          <w:szCs w:val="22"/>
          <w:u w:val="single"/>
          <w:lang w:val="en-US" w:eastAsia="zh-CN" w:bidi="ar-SA"/>
        </w:rPr>
        <w:t xml:space="preserve"> / </w:t>
      </w:r>
      <w:r>
        <w:rPr>
          <w:rFonts w:hint="eastAsia" w:ascii="Times New Roman" w:hAnsi="Times New Roman" w:eastAsia="宋体" w:cs="Times New Roman"/>
          <w:color w:val="auto"/>
          <w:kern w:val="2"/>
          <w:sz w:val="24"/>
          <w:szCs w:val="22"/>
          <w:lang w:val="en-US" w:eastAsia="zh-CN" w:bidi="ar-SA"/>
        </w:rPr>
        <w:t>个工作日内，甲方应将履约保证金退还乙方；</w:t>
      </w:r>
    </w:p>
    <w:p w14:paraId="0D4553F9">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2.20.3</w:t>
      </w:r>
      <w:r>
        <w:rPr>
          <w:rFonts w:hint="eastAsia" w:ascii="Times New Roman" w:hAnsi="Times New Roman" w:eastAsia="宋体" w:cs="Times New Roman"/>
          <w:color w:val="auto"/>
          <w:kern w:val="2"/>
          <w:sz w:val="24"/>
          <w:szCs w:val="22"/>
          <w:lang w:val="en-US" w:eastAsia="zh-CN" w:bidi="ar-SA"/>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83C4C09">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ascii="Times New Roman" w:hAnsi="Times New Roman" w:eastAsia="宋体" w:cs="Times New Roman"/>
          <w:color w:val="auto"/>
          <w:kern w:val="2"/>
          <w:sz w:val="24"/>
          <w:szCs w:val="22"/>
          <w:lang w:val="en-US" w:eastAsia="zh-CN" w:bidi="ar-SA"/>
        </w:rPr>
        <w:t>2.21</w:t>
      </w:r>
      <w:r>
        <w:rPr>
          <w:rFonts w:hint="eastAsia" w:ascii="Times New Roman" w:hAnsi="Times New Roman" w:eastAsia="宋体" w:cs="Times New Roman"/>
          <w:color w:val="auto"/>
          <w:kern w:val="2"/>
          <w:sz w:val="24"/>
          <w:szCs w:val="22"/>
          <w:lang w:val="en-US" w:eastAsia="zh-CN" w:bidi="ar-SA"/>
        </w:rPr>
        <w:t>合同份数</w:t>
      </w:r>
    </w:p>
    <w:p w14:paraId="4B0D0D7A">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合同份数按</w:t>
      </w:r>
      <w:r>
        <w:rPr>
          <w:rFonts w:hint="eastAsia" w:ascii="Times New Roman" w:hAnsi="Times New Roman" w:eastAsia="宋体" w:cs="Times New Roman"/>
          <w:b/>
          <w:color w:val="auto"/>
          <w:kern w:val="2"/>
          <w:sz w:val="24"/>
          <w:szCs w:val="22"/>
          <w:lang w:val="en-US" w:eastAsia="zh-CN" w:bidi="ar-SA"/>
        </w:rPr>
        <w:t>合同专用条款</w:t>
      </w:r>
      <w:r>
        <w:rPr>
          <w:rFonts w:hint="eastAsia" w:ascii="Times New Roman" w:hAnsi="Times New Roman" w:eastAsia="宋体" w:cs="Times New Roman"/>
          <w:color w:val="auto"/>
          <w:kern w:val="2"/>
          <w:sz w:val="24"/>
          <w:szCs w:val="22"/>
          <w:lang w:val="en-US" w:eastAsia="zh-CN" w:bidi="ar-SA"/>
        </w:rPr>
        <w:t>规定，每份均具有同等法律效力。</w:t>
      </w:r>
    </w:p>
    <w:p w14:paraId="1784B1AB">
      <w:pPr>
        <w:spacing w:line="440" w:lineRule="exact"/>
        <w:rPr>
          <w:rFonts w:ascii="Calibri" w:hAnsi="Calibri" w:eastAsia="宋体"/>
          <w:color w:val="auto"/>
          <w:sz w:val="24"/>
          <w:szCs w:val="24"/>
        </w:rPr>
      </w:pPr>
      <w:r>
        <w:rPr>
          <w:rFonts w:hint="eastAsia" w:ascii="Calibri" w:hAnsi="Calibri" w:eastAsia="宋体"/>
          <w:color w:val="auto"/>
          <w:sz w:val="24"/>
          <w:szCs w:val="24"/>
        </w:rPr>
        <w:br w:type="page"/>
      </w:r>
    </w:p>
    <w:p w14:paraId="3F2519D3">
      <w:pPr>
        <w:keepNext/>
        <w:keepLines/>
        <w:widowControl w:val="0"/>
        <w:tabs>
          <w:tab w:val="left" w:pos="0"/>
        </w:tabs>
        <w:spacing w:before="50" w:beforeLines="50" w:after="10" w:line="560" w:lineRule="exact"/>
        <w:jc w:val="center"/>
        <w:outlineLvl w:val="1"/>
        <w:rPr>
          <w:rFonts w:hint="eastAsia" w:ascii="Arial" w:hAnsi="Arial" w:eastAsia="黑体" w:cs="Times New Roman"/>
          <w:color w:val="auto"/>
          <w:kern w:val="2"/>
          <w:sz w:val="30"/>
          <w:szCs w:val="24"/>
          <w:lang w:val="en-US" w:eastAsia="zh-CN" w:bidi="ar-SA"/>
        </w:rPr>
      </w:pPr>
      <w:r>
        <w:rPr>
          <w:rFonts w:hint="eastAsia" w:ascii="Arial" w:hAnsi="Arial" w:eastAsia="黑体" w:cs="Times New Roman"/>
          <w:color w:val="auto"/>
          <w:kern w:val="2"/>
          <w:sz w:val="30"/>
          <w:szCs w:val="24"/>
          <w:lang w:val="en-US" w:eastAsia="zh-CN" w:bidi="ar-SA"/>
        </w:rPr>
        <w:t>第三部分</w:t>
      </w:r>
      <w:r>
        <w:rPr>
          <w:rFonts w:ascii="Arial" w:hAnsi="Arial" w:eastAsia="黑体" w:cs="Times New Roman"/>
          <w:color w:val="auto"/>
          <w:kern w:val="2"/>
          <w:sz w:val="30"/>
          <w:szCs w:val="24"/>
          <w:lang w:val="en-US" w:eastAsia="zh-CN" w:bidi="ar-SA"/>
        </w:rPr>
        <w:t xml:space="preserve"> </w:t>
      </w:r>
      <w:r>
        <w:rPr>
          <w:rFonts w:hint="eastAsia" w:ascii="Arial" w:hAnsi="Arial" w:eastAsia="黑体" w:cs="Times New Roman"/>
          <w:color w:val="auto"/>
          <w:kern w:val="2"/>
          <w:sz w:val="30"/>
          <w:szCs w:val="24"/>
          <w:lang w:val="en-US" w:eastAsia="zh-CN" w:bidi="ar-SA"/>
        </w:rPr>
        <w:t>政府采购合同专用条款</w:t>
      </w:r>
    </w:p>
    <w:p w14:paraId="27EEB284">
      <w:pPr>
        <w:widowControl w:val="0"/>
        <w:adjustRightInd w:val="0"/>
        <w:snapToGrid w:val="0"/>
        <w:spacing w:before="156" w:beforeLines="50" w:line="440" w:lineRule="exact"/>
        <w:ind w:firstLine="480" w:firstLineChars="200"/>
        <w:jc w:val="both"/>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35"/>
        <w:tblW w:w="0" w:type="auto"/>
        <w:tblInd w:w="0" w:type="dxa"/>
        <w:tblLayout w:type="autofit"/>
        <w:tblCellMar>
          <w:top w:w="0" w:type="dxa"/>
          <w:left w:w="108" w:type="dxa"/>
          <w:bottom w:w="0" w:type="dxa"/>
          <w:right w:w="108" w:type="dxa"/>
        </w:tblCellMar>
      </w:tblPr>
      <w:tblGrid>
        <w:gridCol w:w="1434"/>
        <w:gridCol w:w="2231"/>
        <w:gridCol w:w="6451"/>
      </w:tblGrid>
      <w:tr w14:paraId="56BFBCD9">
        <w:tblPrEx>
          <w:tblCellMar>
            <w:top w:w="0" w:type="dxa"/>
            <w:left w:w="108" w:type="dxa"/>
            <w:bottom w:w="0" w:type="dxa"/>
            <w:right w:w="108" w:type="dxa"/>
          </w:tblCellMar>
        </w:tblPrEx>
        <w:trPr>
          <w:trHeight w:val="587" w:hRule="atLeast"/>
        </w:trPr>
        <w:tc>
          <w:tcPr>
            <w:tcW w:w="1454" w:type="dxa"/>
            <w:tcBorders>
              <w:top w:val="double" w:color="auto" w:sz="4" w:space="0"/>
              <w:left w:val="double" w:color="auto" w:sz="4" w:space="0"/>
              <w:bottom w:val="single" w:color="auto" w:sz="4" w:space="0"/>
              <w:right w:val="single" w:color="auto" w:sz="4" w:space="0"/>
            </w:tcBorders>
            <w:noWrap w:val="0"/>
            <w:vAlign w:val="center"/>
          </w:tcPr>
          <w:p w14:paraId="17610C85">
            <w:pPr>
              <w:widowControl w:val="0"/>
              <w:tabs>
                <w:tab w:val="left" w:pos="0"/>
              </w:tabs>
              <w:spacing w:line="300" w:lineRule="exact"/>
              <w:jc w:val="center"/>
              <w:rPr>
                <w:rFonts w:ascii="Times New Roman" w:hAnsi="Times New Roman" w:eastAsia="微软雅黑" w:cs="Times New Roman"/>
                <w:b/>
                <w:color w:val="auto"/>
                <w:kern w:val="2"/>
                <w:sz w:val="22"/>
                <w:szCs w:val="20"/>
                <w:lang w:val="en-US" w:eastAsia="zh-CN" w:bidi="ar-SA"/>
              </w:rPr>
            </w:pPr>
            <w:r>
              <w:rPr>
                <w:rFonts w:hint="eastAsia" w:ascii="Times New Roman" w:hAnsi="Times New Roman" w:eastAsia="微软雅黑" w:cs="Times New Roman"/>
                <w:b/>
                <w:color w:val="auto"/>
                <w:kern w:val="2"/>
                <w:sz w:val="22"/>
                <w:szCs w:val="20"/>
                <w:lang w:val="en-US" w:eastAsia="zh-CN" w:bidi="ar-SA"/>
              </w:rPr>
              <w:t>条款号</w:t>
            </w:r>
          </w:p>
        </w:tc>
        <w:tc>
          <w:tcPr>
            <w:tcW w:w="2269" w:type="dxa"/>
            <w:tcBorders>
              <w:top w:val="double" w:color="auto" w:sz="4" w:space="0"/>
              <w:left w:val="single" w:color="auto" w:sz="4" w:space="0"/>
              <w:bottom w:val="single" w:color="auto" w:sz="4" w:space="0"/>
              <w:right w:val="single" w:color="000000" w:sz="4" w:space="0"/>
            </w:tcBorders>
            <w:noWrap w:val="0"/>
            <w:vAlign w:val="center"/>
          </w:tcPr>
          <w:p w14:paraId="39BF8781">
            <w:pPr>
              <w:widowControl w:val="0"/>
              <w:tabs>
                <w:tab w:val="left" w:pos="0"/>
              </w:tabs>
              <w:spacing w:line="300" w:lineRule="exact"/>
              <w:jc w:val="center"/>
              <w:rPr>
                <w:rFonts w:ascii="Times New Roman" w:hAnsi="Times New Roman" w:eastAsia="微软雅黑" w:cs="Times New Roman"/>
                <w:b/>
                <w:color w:val="auto"/>
                <w:kern w:val="2"/>
                <w:sz w:val="22"/>
                <w:szCs w:val="20"/>
                <w:lang w:val="en-US" w:eastAsia="zh-CN" w:bidi="ar-SA"/>
              </w:rPr>
            </w:pPr>
            <w:r>
              <w:rPr>
                <w:rFonts w:hint="eastAsia" w:ascii="Times New Roman" w:hAnsi="Times New Roman" w:eastAsia="微软雅黑" w:cs="Times New Roman"/>
                <w:b/>
                <w:color w:val="auto"/>
                <w:kern w:val="2"/>
                <w:sz w:val="22"/>
                <w:szCs w:val="20"/>
                <w:lang w:val="en-US" w:eastAsia="zh-CN" w:bidi="ar-SA"/>
              </w:rPr>
              <w:t>条款名称</w:t>
            </w:r>
          </w:p>
        </w:tc>
        <w:tc>
          <w:tcPr>
            <w:tcW w:w="6585" w:type="dxa"/>
            <w:tcBorders>
              <w:top w:val="double" w:color="auto" w:sz="4" w:space="0"/>
              <w:left w:val="single" w:color="000000" w:sz="4" w:space="0"/>
              <w:bottom w:val="single" w:color="auto" w:sz="4" w:space="0"/>
              <w:right w:val="double" w:color="auto" w:sz="4" w:space="0"/>
            </w:tcBorders>
            <w:noWrap w:val="0"/>
            <w:vAlign w:val="center"/>
          </w:tcPr>
          <w:p w14:paraId="63458162">
            <w:pPr>
              <w:widowControl w:val="0"/>
              <w:tabs>
                <w:tab w:val="left" w:pos="0"/>
              </w:tabs>
              <w:spacing w:line="300" w:lineRule="exact"/>
              <w:jc w:val="center"/>
              <w:rPr>
                <w:rFonts w:ascii="Times New Roman" w:hAnsi="Times New Roman" w:eastAsia="微软雅黑" w:cs="Times New Roman"/>
                <w:b/>
                <w:color w:val="auto"/>
                <w:kern w:val="2"/>
                <w:sz w:val="22"/>
                <w:szCs w:val="20"/>
                <w:lang w:val="en-US" w:eastAsia="zh-CN" w:bidi="ar-SA"/>
              </w:rPr>
            </w:pPr>
            <w:r>
              <w:rPr>
                <w:rFonts w:hint="eastAsia" w:ascii="Times New Roman" w:hAnsi="Times New Roman" w:eastAsia="微软雅黑" w:cs="Times New Roman"/>
                <w:b/>
                <w:color w:val="auto"/>
                <w:kern w:val="2"/>
                <w:sz w:val="22"/>
                <w:szCs w:val="20"/>
                <w:lang w:val="en-US" w:eastAsia="zh-CN" w:bidi="ar-SA"/>
              </w:rPr>
              <w:t>约定内容</w:t>
            </w:r>
          </w:p>
        </w:tc>
      </w:tr>
      <w:tr w14:paraId="42BE4234">
        <w:tblPrEx>
          <w:tblCellMar>
            <w:top w:w="0" w:type="dxa"/>
            <w:left w:w="108" w:type="dxa"/>
            <w:bottom w:w="0" w:type="dxa"/>
            <w:right w:w="108" w:type="dxa"/>
          </w:tblCellMar>
        </w:tblPrEx>
        <w:trPr>
          <w:trHeight w:val="680" w:hRule="atLeast"/>
        </w:trPr>
        <w:tc>
          <w:tcPr>
            <w:tcW w:w="1454" w:type="dxa"/>
            <w:tcBorders>
              <w:top w:val="single" w:color="auto" w:sz="4" w:space="0"/>
              <w:left w:val="double" w:color="auto" w:sz="4" w:space="0"/>
              <w:bottom w:val="single" w:color="auto" w:sz="4" w:space="0"/>
              <w:right w:val="single" w:color="auto" w:sz="4" w:space="0"/>
            </w:tcBorders>
            <w:noWrap w:val="0"/>
            <w:vAlign w:val="center"/>
          </w:tcPr>
          <w:p w14:paraId="0AE29A02">
            <w:pPr>
              <w:widowControl w:val="0"/>
              <w:spacing w:line="300" w:lineRule="exact"/>
              <w:jc w:val="center"/>
              <w:rPr>
                <w:rFonts w:ascii="Times New Roman" w:hAnsi="Times New Roman" w:eastAsia="微软雅黑" w:cs="Times New Roman"/>
                <w:b/>
                <w:color w:val="auto"/>
                <w:kern w:val="2"/>
                <w:sz w:val="22"/>
                <w:szCs w:val="24"/>
                <w:lang w:val="en-US" w:eastAsia="zh-CN" w:bidi="ar-SA"/>
              </w:rPr>
            </w:pPr>
            <w:r>
              <w:rPr>
                <w:rFonts w:ascii="Times New Roman" w:hAnsi="Times New Roman" w:eastAsia="微软雅黑" w:cs="Times New Roman"/>
                <w:b/>
                <w:color w:val="auto"/>
                <w:kern w:val="2"/>
                <w:sz w:val="22"/>
                <w:szCs w:val="24"/>
                <w:lang w:val="en-US" w:eastAsia="en-US" w:bidi="ar-SA"/>
              </w:rPr>
              <w:t>2. 3</w:t>
            </w:r>
          </w:p>
        </w:tc>
        <w:tc>
          <w:tcPr>
            <w:tcW w:w="2269" w:type="dxa"/>
            <w:tcBorders>
              <w:top w:val="single" w:color="auto" w:sz="4" w:space="0"/>
              <w:left w:val="single" w:color="auto" w:sz="4" w:space="0"/>
              <w:bottom w:val="single" w:color="auto" w:sz="4" w:space="0"/>
              <w:right w:val="single" w:color="000000" w:sz="4" w:space="0"/>
            </w:tcBorders>
            <w:noWrap w:val="0"/>
            <w:vAlign w:val="center"/>
          </w:tcPr>
          <w:p w14:paraId="3BB52745">
            <w:pPr>
              <w:widowControl w:val="0"/>
              <w:spacing w:line="300" w:lineRule="exact"/>
              <w:jc w:val="center"/>
              <w:rPr>
                <w:rFonts w:ascii="Times New Roman" w:hAnsi="Times New Roman" w:eastAsia="微软雅黑" w:cs="Times New Roman"/>
                <w:b/>
                <w:color w:val="auto"/>
                <w:kern w:val="2"/>
                <w:sz w:val="22"/>
                <w:szCs w:val="24"/>
                <w:lang w:val="en-US" w:eastAsia="zh-CN" w:bidi="ar-SA"/>
              </w:rPr>
            </w:pPr>
            <w:r>
              <w:rPr>
                <w:rFonts w:hint="eastAsia" w:ascii="Times New Roman" w:hAnsi="Times New Roman" w:eastAsia="微软雅黑" w:cs="Times New Roman"/>
                <w:b/>
                <w:color w:val="auto"/>
                <w:kern w:val="2"/>
                <w:sz w:val="22"/>
                <w:szCs w:val="24"/>
                <w:lang w:val="en-US" w:eastAsia="zh-CN" w:bidi="ar-SA"/>
              </w:rPr>
              <w:t>知识产权</w:t>
            </w:r>
          </w:p>
        </w:tc>
        <w:tc>
          <w:tcPr>
            <w:tcW w:w="6585" w:type="dxa"/>
            <w:tcBorders>
              <w:top w:val="single" w:color="auto" w:sz="4" w:space="0"/>
              <w:left w:val="single" w:color="000000" w:sz="4" w:space="0"/>
              <w:bottom w:val="single" w:color="auto" w:sz="4" w:space="0"/>
              <w:right w:val="double" w:color="auto" w:sz="4" w:space="0"/>
            </w:tcBorders>
            <w:noWrap w:val="0"/>
            <w:vAlign w:val="center"/>
          </w:tcPr>
          <w:p w14:paraId="61F1566A">
            <w:pPr>
              <w:widowControl w:val="0"/>
              <w:bidi w:val="0"/>
              <w:spacing w:before="10" w:beforeLines="10" w:line="240" w:lineRule="exact"/>
              <w:ind w:firstLine="440" w:firstLineChars="200"/>
              <w:jc w:val="left"/>
              <w:rPr>
                <w:rFonts w:hint="eastAsia" w:ascii="微软雅黑" w:hAnsi="微软雅黑" w:eastAsia="微软雅黑" w:cs="微软雅黑"/>
                <w:b w:val="0"/>
                <w:bCs/>
                <w:color w:val="auto"/>
                <w:kern w:val="2"/>
                <w:sz w:val="22"/>
                <w:szCs w:val="24"/>
                <w:lang w:val="en-US" w:eastAsia="zh-CN" w:bidi="ar-SA"/>
              </w:rPr>
            </w:pPr>
            <w:r>
              <w:rPr>
                <w:rFonts w:hint="eastAsia" w:ascii="微软雅黑" w:hAnsi="微软雅黑" w:eastAsia="微软雅黑" w:cs="微软雅黑"/>
                <w:b w:val="0"/>
                <w:bCs/>
                <w:color w:val="auto"/>
                <w:kern w:val="2"/>
                <w:sz w:val="22"/>
                <w:szCs w:val="24"/>
                <w:lang w:val="en-US" w:eastAsia="zh-CN" w:bidi="ar-SA"/>
              </w:rPr>
              <w:t>中标人必须保证，采购人在中华人民共和国境内使用投标货物、资料、技术、服务或其任何一部分时，享有不受限制的无偿使用权，如有第三方向采购人提出侵犯其专利权、商标权或其他知识产权的主张，该责任应由供应商承担。</w:t>
            </w:r>
          </w:p>
          <w:p w14:paraId="6B2674F7">
            <w:pPr>
              <w:widowControl w:val="0"/>
              <w:bidi w:val="0"/>
              <w:spacing w:before="10" w:beforeLines="10" w:line="240" w:lineRule="exact"/>
              <w:ind w:firstLine="440" w:firstLineChars="200"/>
              <w:jc w:val="left"/>
              <w:rPr>
                <w:rFonts w:hint="eastAsia" w:ascii="微软雅黑" w:hAnsi="微软雅黑" w:eastAsia="微软雅黑" w:cs="微软雅黑"/>
                <w:b w:val="0"/>
                <w:bCs/>
                <w:color w:val="auto"/>
                <w:kern w:val="2"/>
                <w:sz w:val="22"/>
                <w:szCs w:val="24"/>
                <w:lang w:val="en-US" w:eastAsia="zh-CN" w:bidi="ar-SA"/>
              </w:rPr>
            </w:pPr>
            <w:r>
              <w:rPr>
                <w:rFonts w:hint="eastAsia" w:ascii="微软雅黑" w:hAnsi="微软雅黑" w:eastAsia="微软雅黑" w:cs="微软雅黑"/>
                <w:b w:val="0"/>
                <w:bCs/>
                <w:color w:val="auto"/>
                <w:kern w:val="2"/>
                <w:sz w:val="22"/>
                <w:szCs w:val="24"/>
                <w:lang w:val="en-US" w:eastAsia="zh-CN" w:bidi="ar-SA"/>
              </w:rPr>
              <w:t>投标报价应包含所有应向所有权人支付的专利权、商标权或其他知识产权的一切相关费用。</w:t>
            </w:r>
          </w:p>
          <w:p w14:paraId="05209B24">
            <w:pPr>
              <w:widowControl w:val="0"/>
              <w:bidi w:val="0"/>
              <w:spacing w:before="10" w:beforeLines="10" w:line="240" w:lineRule="exact"/>
              <w:ind w:firstLine="440" w:firstLineChars="200"/>
              <w:jc w:val="left"/>
              <w:rPr>
                <w:rFonts w:hint="eastAsia" w:ascii="微软雅黑" w:hAnsi="微软雅黑" w:eastAsia="微软雅黑" w:cs="微软雅黑"/>
                <w:b w:val="0"/>
                <w:bCs/>
                <w:color w:val="auto"/>
                <w:kern w:val="2"/>
                <w:sz w:val="22"/>
                <w:szCs w:val="24"/>
                <w:lang w:val="en-US" w:eastAsia="zh-CN" w:bidi="ar-SA"/>
              </w:rPr>
            </w:pPr>
            <w:r>
              <w:rPr>
                <w:rFonts w:hint="eastAsia" w:ascii="微软雅黑" w:hAnsi="微软雅黑" w:eastAsia="微软雅黑" w:cs="微软雅黑"/>
                <w:b w:val="0"/>
                <w:bCs/>
                <w:color w:val="auto"/>
                <w:kern w:val="2"/>
                <w:sz w:val="22"/>
                <w:szCs w:val="24"/>
                <w:lang w:val="en-US" w:eastAsia="zh-CN" w:bidi="ar-SA"/>
              </w:rPr>
              <w:t>系统软件、通用软件必须是具有在中国境内的合法使用权或版权的正版软件，涉及到第三方提出侵权或知识产权的起诉及支付版税等费用由供应商承担所有责任及费用。</w:t>
            </w:r>
          </w:p>
          <w:p w14:paraId="112C9468">
            <w:pPr>
              <w:widowControl w:val="0"/>
              <w:bidi w:val="0"/>
              <w:spacing w:before="10" w:beforeLines="10" w:line="240" w:lineRule="exact"/>
              <w:ind w:firstLine="440" w:firstLineChars="200"/>
              <w:jc w:val="left"/>
              <w:rPr>
                <w:rFonts w:hint="eastAsia" w:ascii="微软雅黑" w:hAnsi="微软雅黑" w:eastAsia="微软雅黑" w:cs="微软雅黑"/>
                <w:b w:val="0"/>
                <w:bCs/>
                <w:color w:val="auto"/>
                <w:kern w:val="2"/>
                <w:sz w:val="22"/>
                <w:szCs w:val="24"/>
                <w:lang w:val="en-US" w:eastAsia="zh-CN" w:bidi="ar-SA"/>
              </w:rPr>
            </w:pPr>
            <w:r>
              <w:rPr>
                <w:rFonts w:hint="eastAsia" w:ascii="微软雅黑" w:hAnsi="微软雅黑" w:eastAsia="微软雅黑" w:cs="微软雅黑"/>
                <w:b w:val="0"/>
                <w:bCs/>
                <w:color w:val="auto"/>
                <w:kern w:val="2"/>
                <w:sz w:val="22"/>
                <w:szCs w:val="24"/>
                <w:lang w:val="en-US" w:eastAsia="zh-CN" w:bidi="ar-SA"/>
              </w:rPr>
              <w:t>中标人需对所有成果、产品的知识产权负有瑕疵担保责任，因使用未被授权使用的技术、组件、系统软件、通用软件等知识产权问题引起的纠纷所产生的所有责任及费用由中标人自行承担。</w:t>
            </w:r>
          </w:p>
          <w:p w14:paraId="5D6D07F6">
            <w:pPr>
              <w:widowControl w:val="0"/>
              <w:bidi w:val="0"/>
              <w:spacing w:before="10" w:beforeLines="10" w:line="240" w:lineRule="exact"/>
              <w:ind w:firstLine="440" w:firstLineChars="200"/>
              <w:jc w:val="left"/>
              <w:rPr>
                <w:rFonts w:hint="eastAsia" w:ascii="微软雅黑" w:hAnsi="微软雅黑" w:eastAsia="微软雅黑" w:cs="微软雅黑"/>
                <w:b w:val="0"/>
                <w:bCs/>
                <w:color w:val="auto"/>
                <w:kern w:val="2"/>
                <w:sz w:val="22"/>
                <w:szCs w:val="24"/>
                <w:lang w:val="en-US" w:eastAsia="zh-CN" w:bidi="ar-SA"/>
              </w:rPr>
            </w:pPr>
            <w:r>
              <w:rPr>
                <w:rFonts w:hint="eastAsia" w:ascii="微软雅黑" w:hAnsi="微软雅黑" w:eastAsia="微软雅黑" w:cs="微软雅黑"/>
                <w:b w:val="0"/>
                <w:bCs/>
                <w:color w:val="auto"/>
                <w:kern w:val="2"/>
                <w:sz w:val="22"/>
                <w:szCs w:val="24"/>
                <w:lang w:val="en-US" w:eastAsia="zh-CN" w:bidi="ar-SA"/>
              </w:rPr>
              <w:t xml:space="preserve">本项目研究成果及其技术文档等所有权由采购人享有，技术文档资料包括完备的系统设计文档、功能模块说明、程序源代码、执行代码、使用手册等，采购人对本项目的所有成果具有所有权。项目所交付的应用系统软件环境包括生产环境（正式环境）、测试环境、开发环境，所有环境均要求能正常使用，未经采购人许可，中标人不得将相关采购人资料提供给第三方。 </w:t>
            </w:r>
          </w:p>
        </w:tc>
      </w:tr>
      <w:tr w14:paraId="716D9B5A">
        <w:tblPrEx>
          <w:tblCellMar>
            <w:top w:w="0" w:type="dxa"/>
            <w:left w:w="108" w:type="dxa"/>
            <w:bottom w:w="0" w:type="dxa"/>
            <w:right w:w="108" w:type="dxa"/>
          </w:tblCellMar>
        </w:tblPrEx>
        <w:tc>
          <w:tcPr>
            <w:tcW w:w="1454" w:type="dxa"/>
            <w:tcBorders>
              <w:top w:val="single" w:color="auto" w:sz="4" w:space="0"/>
              <w:left w:val="double" w:color="auto" w:sz="4" w:space="0"/>
              <w:bottom w:val="single" w:color="auto" w:sz="4" w:space="0"/>
              <w:right w:val="single" w:color="auto" w:sz="4" w:space="0"/>
            </w:tcBorders>
            <w:noWrap w:val="0"/>
            <w:vAlign w:val="center"/>
          </w:tcPr>
          <w:p w14:paraId="5153A591">
            <w:pPr>
              <w:widowControl w:val="0"/>
              <w:spacing w:line="300" w:lineRule="exact"/>
              <w:jc w:val="center"/>
              <w:rPr>
                <w:rFonts w:hint="eastAsia" w:ascii="Times New Roman" w:hAnsi="Times New Roman" w:eastAsia="微软雅黑" w:cs="Times New Roman"/>
                <w:b/>
                <w:color w:val="auto"/>
                <w:kern w:val="2"/>
                <w:sz w:val="22"/>
                <w:szCs w:val="24"/>
                <w:lang w:val="en-US" w:eastAsia="zh-CN" w:bidi="ar-SA"/>
              </w:rPr>
            </w:pPr>
            <w:r>
              <w:rPr>
                <w:rFonts w:ascii="Times New Roman" w:hAnsi="Times New Roman" w:eastAsia="微软雅黑" w:cs="Times New Roman"/>
                <w:b/>
                <w:color w:val="auto"/>
                <w:kern w:val="2"/>
                <w:sz w:val="22"/>
                <w:szCs w:val="24"/>
                <w:lang w:val="en-US" w:eastAsia="en-US" w:bidi="ar-SA"/>
              </w:rPr>
              <w:t>2.</w:t>
            </w:r>
            <w:r>
              <w:rPr>
                <w:rFonts w:hint="eastAsia" w:ascii="Times New Roman" w:hAnsi="Times New Roman" w:eastAsia="微软雅黑" w:cs="Times New Roman"/>
                <w:b/>
                <w:color w:val="auto"/>
                <w:kern w:val="2"/>
                <w:sz w:val="22"/>
                <w:szCs w:val="24"/>
                <w:lang w:val="en-US" w:eastAsia="zh-CN" w:bidi="ar-SA"/>
              </w:rPr>
              <w:t>6</w:t>
            </w:r>
          </w:p>
        </w:tc>
        <w:tc>
          <w:tcPr>
            <w:tcW w:w="2269" w:type="dxa"/>
            <w:tcBorders>
              <w:top w:val="single" w:color="auto" w:sz="4" w:space="0"/>
              <w:left w:val="single" w:color="auto" w:sz="4" w:space="0"/>
              <w:bottom w:val="single" w:color="auto" w:sz="4" w:space="0"/>
              <w:right w:val="single" w:color="000000" w:sz="4" w:space="0"/>
            </w:tcBorders>
            <w:noWrap w:val="0"/>
            <w:vAlign w:val="center"/>
          </w:tcPr>
          <w:p w14:paraId="32B7DF01">
            <w:pPr>
              <w:widowControl w:val="0"/>
              <w:spacing w:line="300" w:lineRule="exact"/>
              <w:jc w:val="center"/>
              <w:rPr>
                <w:rFonts w:ascii="Times New Roman" w:hAnsi="Times New Roman" w:eastAsia="微软雅黑" w:cs="Times New Roman"/>
                <w:b/>
                <w:color w:val="auto"/>
                <w:kern w:val="2"/>
                <w:sz w:val="22"/>
                <w:szCs w:val="24"/>
                <w:lang w:val="en-US" w:eastAsia="zh-CN" w:bidi="ar-SA"/>
              </w:rPr>
            </w:pPr>
            <w:r>
              <w:rPr>
                <w:rFonts w:hint="eastAsia" w:ascii="Times New Roman" w:hAnsi="Times New Roman" w:eastAsia="微软雅黑" w:cs="Times New Roman"/>
                <w:b/>
                <w:color w:val="auto"/>
                <w:kern w:val="2"/>
                <w:sz w:val="22"/>
                <w:szCs w:val="24"/>
                <w:lang w:val="en-US" w:eastAsia="zh-CN" w:bidi="ar-SA"/>
              </w:rPr>
              <w:t>结算方式和付款条件</w:t>
            </w:r>
          </w:p>
        </w:tc>
        <w:tc>
          <w:tcPr>
            <w:tcW w:w="6585" w:type="dxa"/>
            <w:tcBorders>
              <w:top w:val="single" w:color="auto" w:sz="4" w:space="0"/>
              <w:left w:val="single" w:color="000000" w:sz="4" w:space="0"/>
              <w:bottom w:val="single" w:color="auto" w:sz="4" w:space="0"/>
              <w:right w:val="double" w:color="auto" w:sz="4" w:space="0"/>
            </w:tcBorders>
            <w:noWrap w:val="0"/>
            <w:vAlign w:val="center"/>
          </w:tcPr>
          <w:p w14:paraId="791E27E4">
            <w:pPr>
              <w:widowControl w:val="0"/>
              <w:bidi w:val="0"/>
              <w:spacing w:before="10" w:beforeLines="10" w:line="240" w:lineRule="exact"/>
              <w:ind w:left="0" w:leftChars="0" w:firstLine="0" w:firstLineChars="0"/>
              <w:jc w:val="left"/>
              <w:rPr>
                <w:rFonts w:hint="default" w:ascii="微软雅黑" w:hAnsi="微软雅黑" w:eastAsia="微软雅黑" w:cs="微软雅黑"/>
                <w:b w:val="0"/>
                <w:bCs/>
                <w:color w:val="auto"/>
                <w:kern w:val="2"/>
                <w:sz w:val="22"/>
                <w:szCs w:val="24"/>
                <w:lang w:val="en-US" w:eastAsia="zh-CN" w:bidi="ar-SA"/>
              </w:rPr>
            </w:pPr>
            <w:r>
              <w:rPr>
                <w:rFonts w:hint="eastAsia" w:ascii="Calibri" w:hAnsi="Calibri" w:eastAsia="微软雅黑" w:cs="宋体"/>
                <w:color w:val="auto"/>
                <w:kern w:val="2"/>
                <w:sz w:val="20"/>
                <w:szCs w:val="24"/>
                <w:u w:val="none"/>
                <w:lang w:val="en-US" w:eastAsia="zh-CN" w:bidi="ar-SA"/>
              </w:rPr>
              <w:t>合同签订时约定</w:t>
            </w:r>
          </w:p>
        </w:tc>
      </w:tr>
      <w:tr w14:paraId="05AB3EAA">
        <w:tblPrEx>
          <w:tblCellMar>
            <w:top w:w="0" w:type="dxa"/>
            <w:left w:w="108" w:type="dxa"/>
            <w:bottom w:w="0" w:type="dxa"/>
            <w:right w:w="108" w:type="dxa"/>
          </w:tblCellMar>
        </w:tblPrEx>
        <w:trPr>
          <w:trHeight w:val="650" w:hRule="atLeast"/>
        </w:trPr>
        <w:tc>
          <w:tcPr>
            <w:tcW w:w="1454" w:type="dxa"/>
            <w:tcBorders>
              <w:top w:val="single" w:color="auto" w:sz="4" w:space="0"/>
              <w:left w:val="double" w:color="auto" w:sz="4" w:space="0"/>
              <w:bottom w:val="single" w:color="auto" w:sz="4" w:space="0"/>
              <w:right w:val="single" w:color="auto" w:sz="4" w:space="0"/>
            </w:tcBorders>
            <w:noWrap w:val="0"/>
            <w:vAlign w:val="center"/>
          </w:tcPr>
          <w:p w14:paraId="2022984B">
            <w:pPr>
              <w:widowControl w:val="0"/>
              <w:spacing w:line="300" w:lineRule="exact"/>
              <w:jc w:val="center"/>
              <w:rPr>
                <w:rFonts w:hint="eastAsia" w:ascii="Times New Roman" w:hAnsi="Times New Roman" w:eastAsia="微软雅黑" w:cs="Times New Roman"/>
                <w:b/>
                <w:color w:val="auto"/>
                <w:kern w:val="2"/>
                <w:sz w:val="22"/>
                <w:szCs w:val="24"/>
                <w:lang w:val="en-US" w:eastAsia="zh-CN" w:bidi="ar-SA"/>
              </w:rPr>
            </w:pPr>
            <w:r>
              <w:rPr>
                <w:rFonts w:ascii="Times New Roman" w:hAnsi="Times New Roman" w:eastAsia="微软雅黑" w:cs="Times New Roman"/>
                <w:b/>
                <w:color w:val="auto"/>
                <w:kern w:val="2"/>
                <w:sz w:val="22"/>
                <w:szCs w:val="24"/>
                <w:lang w:val="en-US" w:eastAsia="en-US" w:bidi="ar-SA"/>
              </w:rPr>
              <w:t>2.</w:t>
            </w:r>
            <w:r>
              <w:rPr>
                <w:rFonts w:hint="eastAsia" w:ascii="Times New Roman" w:hAnsi="Times New Roman" w:eastAsia="微软雅黑" w:cs="Times New Roman"/>
                <w:b/>
                <w:color w:val="auto"/>
                <w:kern w:val="2"/>
                <w:sz w:val="22"/>
                <w:szCs w:val="24"/>
                <w:lang w:val="en-US" w:eastAsia="zh-CN" w:bidi="ar-SA"/>
              </w:rPr>
              <w:t>7</w:t>
            </w:r>
          </w:p>
        </w:tc>
        <w:tc>
          <w:tcPr>
            <w:tcW w:w="2269" w:type="dxa"/>
            <w:tcBorders>
              <w:top w:val="single" w:color="auto" w:sz="4" w:space="0"/>
              <w:left w:val="single" w:color="auto" w:sz="4" w:space="0"/>
              <w:bottom w:val="single" w:color="auto" w:sz="4" w:space="0"/>
              <w:right w:val="single" w:color="000000" w:sz="4" w:space="0"/>
            </w:tcBorders>
            <w:noWrap w:val="0"/>
            <w:vAlign w:val="center"/>
          </w:tcPr>
          <w:p w14:paraId="2C291C59">
            <w:pPr>
              <w:widowControl w:val="0"/>
              <w:spacing w:line="300" w:lineRule="exact"/>
              <w:jc w:val="center"/>
              <w:rPr>
                <w:rFonts w:ascii="Times New Roman" w:hAnsi="Times New Roman" w:eastAsia="微软雅黑" w:cs="Times New Roman"/>
                <w:b/>
                <w:color w:val="auto"/>
                <w:kern w:val="2"/>
                <w:sz w:val="21"/>
                <w:szCs w:val="24"/>
                <w:lang w:val="en-US" w:eastAsia="zh-CN" w:bidi="ar-SA"/>
              </w:rPr>
            </w:pPr>
            <w:r>
              <w:rPr>
                <w:rFonts w:hint="eastAsia" w:ascii="Times New Roman" w:hAnsi="Times New Roman" w:eastAsia="微软雅黑" w:cs="Times New Roman"/>
                <w:b/>
                <w:color w:val="auto"/>
                <w:kern w:val="2"/>
                <w:sz w:val="22"/>
                <w:szCs w:val="24"/>
                <w:lang w:val="en-US" w:eastAsia="zh-CN" w:bidi="ar-SA"/>
              </w:rPr>
              <w:t>技术资料和保密义务</w:t>
            </w:r>
          </w:p>
        </w:tc>
        <w:tc>
          <w:tcPr>
            <w:tcW w:w="6585" w:type="dxa"/>
            <w:tcBorders>
              <w:top w:val="single" w:color="auto" w:sz="4" w:space="0"/>
              <w:left w:val="single" w:color="000000" w:sz="4" w:space="0"/>
              <w:bottom w:val="single" w:color="auto" w:sz="4" w:space="0"/>
              <w:right w:val="double" w:color="auto" w:sz="4" w:space="0"/>
            </w:tcBorders>
            <w:noWrap w:val="0"/>
            <w:vAlign w:val="center"/>
          </w:tcPr>
          <w:p w14:paraId="317CB2C3">
            <w:pPr>
              <w:widowControl w:val="0"/>
              <w:spacing w:line="300" w:lineRule="exact"/>
              <w:ind w:firstLine="440" w:firstLineChars="200"/>
              <w:jc w:val="left"/>
              <w:rPr>
                <w:rFonts w:hint="eastAsia" w:ascii="微软雅黑" w:hAnsi="微软雅黑" w:eastAsia="微软雅黑" w:cs="微软雅黑"/>
                <w:b w:val="0"/>
                <w:bCs/>
                <w:color w:val="auto"/>
                <w:kern w:val="2"/>
                <w:sz w:val="22"/>
                <w:szCs w:val="24"/>
                <w:lang w:val="en-US" w:eastAsia="zh-CN" w:bidi="ar-SA"/>
              </w:rPr>
            </w:pPr>
            <w:r>
              <w:rPr>
                <w:rFonts w:hint="eastAsia" w:ascii="微软雅黑" w:hAnsi="微软雅黑" w:eastAsia="微软雅黑" w:cs="微软雅黑"/>
                <w:b w:val="0"/>
                <w:bCs/>
                <w:color w:val="auto"/>
                <w:kern w:val="2"/>
                <w:sz w:val="22"/>
                <w:szCs w:val="24"/>
                <w:lang w:val="en-US" w:eastAsia="zh-CN" w:bidi="ar-SA"/>
              </w:rPr>
              <w:t>中标人（含项目组所有成员）必须对项目技术文件以及由采购人提供的所有内部资料、技术文档、数据和信息予以保密。中标人必须与采购人签订保密协议并严格遵守，中标人应承诺未经中标人书面许可，不得以任何形式向第三方透露本项目标书以及本项目的任何内容。</w:t>
            </w:r>
          </w:p>
          <w:p w14:paraId="3100F5BF">
            <w:pPr>
              <w:widowControl w:val="0"/>
              <w:spacing w:line="300" w:lineRule="exact"/>
              <w:ind w:firstLine="440" w:firstLineChars="200"/>
              <w:jc w:val="left"/>
              <w:rPr>
                <w:rFonts w:hint="eastAsia" w:ascii="微软雅黑" w:hAnsi="微软雅黑" w:eastAsia="微软雅黑" w:cs="微软雅黑"/>
                <w:b/>
                <w:color w:val="auto"/>
                <w:kern w:val="2"/>
                <w:sz w:val="21"/>
                <w:szCs w:val="24"/>
                <w:lang w:val="en-US" w:eastAsia="zh-CN" w:bidi="ar-SA"/>
              </w:rPr>
            </w:pPr>
            <w:r>
              <w:rPr>
                <w:rFonts w:hint="eastAsia" w:ascii="微软雅黑" w:hAnsi="微软雅黑" w:eastAsia="微软雅黑" w:cs="微软雅黑"/>
                <w:b w:val="0"/>
                <w:bCs/>
                <w:color w:val="auto"/>
                <w:kern w:val="2"/>
                <w:sz w:val="22"/>
                <w:szCs w:val="24"/>
                <w:lang w:val="en-US" w:eastAsia="zh-CN" w:bidi="ar-SA"/>
              </w:rPr>
              <w:t>中标人在数据采集过程中所接触到的有关的信息均为保密内容。中标人须建立规范的保密制度，采取一切必要的技术手段和措施，确保保密内容安全。由于中标人及其工作人员泄露、冒用、误用或违法使用数据而造成的相关责任和损失，均由中标人承担。</w:t>
            </w:r>
          </w:p>
        </w:tc>
      </w:tr>
      <w:tr w14:paraId="2DF53158">
        <w:tblPrEx>
          <w:tblCellMar>
            <w:top w:w="0" w:type="dxa"/>
            <w:left w:w="108" w:type="dxa"/>
            <w:bottom w:w="0" w:type="dxa"/>
            <w:right w:w="108" w:type="dxa"/>
          </w:tblCellMar>
        </w:tblPrEx>
        <w:trPr>
          <w:trHeight w:val="575" w:hRule="atLeast"/>
        </w:trPr>
        <w:tc>
          <w:tcPr>
            <w:tcW w:w="1454" w:type="dxa"/>
            <w:tcBorders>
              <w:top w:val="single" w:color="auto" w:sz="4" w:space="0"/>
              <w:left w:val="double" w:color="auto" w:sz="4" w:space="0"/>
              <w:bottom w:val="single" w:color="auto" w:sz="4" w:space="0"/>
              <w:right w:val="single" w:color="auto" w:sz="4" w:space="0"/>
            </w:tcBorders>
            <w:noWrap w:val="0"/>
            <w:vAlign w:val="center"/>
          </w:tcPr>
          <w:p w14:paraId="32E10488">
            <w:pPr>
              <w:widowControl w:val="0"/>
              <w:spacing w:line="300" w:lineRule="exact"/>
              <w:jc w:val="center"/>
              <w:rPr>
                <w:rFonts w:ascii="Times New Roman" w:hAnsi="Times New Roman" w:eastAsia="微软雅黑" w:cs="Times New Roman"/>
                <w:b/>
                <w:color w:val="auto"/>
                <w:kern w:val="2"/>
                <w:sz w:val="22"/>
                <w:szCs w:val="24"/>
                <w:lang w:val="en-US" w:eastAsia="zh-CN" w:bidi="ar-SA"/>
              </w:rPr>
            </w:pPr>
            <w:r>
              <w:rPr>
                <w:rFonts w:ascii="Times New Roman" w:hAnsi="Times New Roman" w:eastAsia="微软雅黑" w:cs="Times New Roman"/>
                <w:b/>
                <w:color w:val="auto"/>
                <w:kern w:val="2"/>
                <w:sz w:val="22"/>
                <w:szCs w:val="24"/>
                <w:lang w:val="en-US" w:eastAsia="en-US" w:bidi="ar-SA"/>
              </w:rPr>
              <w:t xml:space="preserve">2. </w:t>
            </w:r>
            <w:r>
              <w:rPr>
                <w:rFonts w:ascii="Times New Roman" w:hAnsi="Times New Roman" w:eastAsia="微软雅黑" w:cs="Times New Roman"/>
                <w:b/>
                <w:color w:val="auto"/>
                <w:kern w:val="2"/>
                <w:sz w:val="22"/>
                <w:szCs w:val="24"/>
                <w:lang w:val="en-US" w:eastAsia="zh-CN" w:bidi="ar-SA"/>
              </w:rPr>
              <w:t>13</w:t>
            </w:r>
          </w:p>
        </w:tc>
        <w:tc>
          <w:tcPr>
            <w:tcW w:w="2269" w:type="dxa"/>
            <w:tcBorders>
              <w:top w:val="single" w:color="auto" w:sz="4" w:space="0"/>
              <w:left w:val="single" w:color="auto" w:sz="4" w:space="0"/>
              <w:bottom w:val="single" w:color="auto" w:sz="4" w:space="0"/>
              <w:right w:val="single" w:color="000000" w:sz="4" w:space="0"/>
            </w:tcBorders>
            <w:noWrap w:val="0"/>
            <w:vAlign w:val="center"/>
          </w:tcPr>
          <w:p w14:paraId="648CDD07">
            <w:pPr>
              <w:widowControl w:val="0"/>
              <w:spacing w:line="300" w:lineRule="exact"/>
              <w:jc w:val="center"/>
              <w:rPr>
                <w:rFonts w:ascii="Times New Roman" w:hAnsi="Times New Roman" w:eastAsia="微软雅黑" w:cs="Times New Roman"/>
                <w:b/>
                <w:color w:val="auto"/>
                <w:kern w:val="2"/>
                <w:sz w:val="22"/>
                <w:szCs w:val="24"/>
                <w:lang w:val="en-US" w:eastAsia="zh-CN" w:bidi="ar-SA"/>
              </w:rPr>
            </w:pPr>
            <w:r>
              <w:rPr>
                <w:rFonts w:hint="eastAsia" w:ascii="Times New Roman" w:hAnsi="Times New Roman" w:eastAsia="微软雅黑" w:cs="Times New Roman"/>
                <w:b/>
                <w:color w:val="auto"/>
                <w:kern w:val="2"/>
                <w:sz w:val="22"/>
                <w:szCs w:val="24"/>
                <w:lang w:val="en-US" w:eastAsia="zh-CN" w:bidi="ar-SA"/>
              </w:rPr>
              <w:t>不可抗力</w:t>
            </w:r>
          </w:p>
        </w:tc>
        <w:tc>
          <w:tcPr>
            <w:tcW w:w="6585" w:type="dxa"/>
            <w:tcBorders>
              <w:top w:val="single" w:color="auto" w:sz="4" w:space="0"/>
              <w:left w:val="single" w:color="000000" w:sz="4" w:space="0"/>
              <w:bottom w:val="single" w:color="auto" w:sz="4" w:space="0"/>
              <w:right w:val="double" w:color="auto" w:sz="4" w:space="0"/>
            </w:tcBorders>
            <w:noWrap w:val="0"/>
            <w:vAlign w:val="center"/>
          </w:tcPr>
          <w:p w14:paraId="2DC465AF">
            <w:pPr>
              <w:widowControl w:val="0"/>
              <w:bidi w:val="0"/>
              <w:spacing w:before="10" w:beforeLines="10" w:line="240" w:lineRule="exact"/>
              <w:ind w:firstLine="440" w:firstLineChars="200"/>
              <w:jc w:val="left"/>
              <w:rPr>
                <w:rFonts w:hint="eastAsia" w:ascii="微软雅黑" w:hAnsi="微软雅黑" w:eastAsia="微软雅黑" w:cs="微软雅黑"/>
                <w:b w:val="0"/>
                <w:bCs/>
                <w:color w:val="auto"/>
                <w:kern w:val="2"/>
                <w:sz w:val="22"/>
                <w:szCs w:val="24"/>
                <w:lang w:val="en-US" w:eastAsia="zh-CN" w:bidi="ar-SA"/>
              </w:rPr>
            </w:pPr>
            <w:r>
              <w:rPr>
                <w:rFonts w:hint="eastAsia" w:ascii="微软雅黑" w:hAnsi="微软雅黑" w:eastAsia="微软雅黑" w:cs="微软雅黑"/>
                <w:b w:val="0"/>
                <w:bCs/>
                <w:color w:val="auto"/>
                <w:kern w:val="2"/>
                <w:sz w:val="22"/>
                <w:szCs w:val="24"/>
                <w:lang w:val="en-US" w:eastAsia="zh-CN" w:bidi="ar-SA"/>
              </w:rPr>
              <w:t>甲乙双方协商解决。</w:t>
            </w:r>
          </w:p>
        </w:tc>
      </w:tr>
      <w:tr w14:paraId="0D3B0AA7">
        <w:tblPrEx>
          <w:tblCellMar>
            <w:top w:w="0" w:type="dxa"/>
            <w:left w:w="108" w:type="dxa"/>
            <w:bottom w:w="0" w:type="dxa"/>
            <w:right w:w="108" w:type="dxa"/>
          </w:tblCellMar>
        </w:tblPrEx>
        <w:trPr>
          <w:trHeight w:val="635" w:hRule="atLeast"/>
        </w:trPr>
        <w:tc>
          <w:tcPr>
            <w:tcW w:w="1454" w:type="dxa"/>
            <w:tcBorders>
              <w:top w:val="single" w:color="auto" w:sz="4" w:space="0"/>
              <w:left w:val="double" w:color="auto" w:sz="4" w:space="0"/>
              <w:bottom w:val="single" w:color="auto" w:sz="4" w:space="0"/>
              <w:right w:val="single" w:color="auto" w:sz="4" w:space="0"/>
            </w:tcBorders>
            <w:noWrap w:val="0"/>
            <w:vAlign w:val="center"/>
          </w:tcPr>
          <w:p w14:paraId="02911280">
            <w:pPr>
              <w:widowControl w:val="0"/>
              <w:spacing w:line="300" w:lineRule="exact"/>
              <w:jc w:val="center"/>
              <w:rPr>
                <w:rFonts w:ascii="Times New Roman" w:hAnsi="Times New Roman" w:eastAsia="微软雅黑" w:cs="Times New Roman"/>
                <w:b/>
                <w:color w:val="auto"/>
                <w:kern w:val="2"/>
                <w:sz w:val="22"/>
                <w:szCs w:val="24"/>
                <w:lang w:val="en-US" w:eastAsia="zh-CN" w:bidi="ar-SA"/>
              </w:rPr>
            </w:pPr>
            <w:r>
              <w:rPr>
                <w:rFonts w:ascii="Times New Roman" w:hAnsi="Times New Roman" w:eastAsia="微软雅黑" w:cs="Times New Roman"/>
                <w:b/>
                <w:color w:val="auto"/>
                <w:kern w:val="2"/>
                <w:sz w:val="22"/>
                <w:szCs w:val="24"/>
                <w:lang w:val="en-US" w:eastAsia="en-US" w:bidi="ar-SA"/>
              </w:rPr>
              <w:t>2. 17.3</w:t>
            </w:r>
          </w:p>
        </w:tc>
        <w:tc>
          <w:tcPr>
            <w:tcW w:w="2269" w:type="dxa"/>
            <w:tcBorders>
              <w:top w:val="single" w:color="auto" w:sz="4" w:space="0"/>
              <w:left w:val="single" w:color="auto" w:sz="4" w:space="0"/>
              <w:bottom w:val="single" w:color="auto" w:sz="4" w:space="0"/>
              <w:right w:val="single" w:color="000000" w:sz="4" w:space="0"/>
            </w:tcBorders>
            <w:noWrap w:val="0"/>
            <w:vAlign w:val="center"/>
          </w:tcPr>
          <w:p w14:paraId="15DE4D9B">
            <w:pPr>
              <w:widowControl w:val="0"/>
              <w:spacing w:line="300" w:lineRule="exact"/>
              <w:jc w:val="center"/>
              <w:rPr>
                <w:rFonts w:ascii="Times New Roman" w:hAnsi="Times New Roman" w:eastAsia="微软雅黑" w:cs="Times New Roman"/>
                <w:b/>
                <w:color w:val="auto"/>
                <w:kern w:val="2"/>
                <w:sz w:val="22"/>
                <w:szCs w:val="24"/>
                <w:lang w:val="en-US" w:eastAsia="zh-CN" w:bidi="ar-SA"/>
              </w:rPr>
            </w:pPr>
            <w:r>
              <w:rPr>
                <w:rFonts w:hint="eastAsia" w:ascii="Times New Roman" w:hAnsi="Times New Roman" w:eastAsia="微软雅黑" w:cs="Times New Roman"/>
                <w:b/>
                <w:color w:val="auto"/>
                <w:kern w:val="2"/>
                <w:sz w:val="22"/>
                <w:szCs w:val="24"/>
                <w:lang w:val="en-US" w:eastAsia="zh-CN" w:bidi="ar-SA"/>
              </w:rPr>
              <w:t>检验和验收标准、程序</w:t>
            </w:r>
          </w:p>
        </w:tc>
        <w:tc>
          <w:tcPr>
            <w:tcW w:w="6585" w:type="dxa"/>
            <w:tcBorders>
              <w:top w:val="single" w:color="auto" w:sz="4" w:space="0"/>
              <w:left w:val="single" w:color="000000" w:sz="4" w:space="0"/>
              <w:bottom w:val="single" w:color="auto" w:sz="4" w:space="0"/>
              <w:right w:val="double" w:color="auto" w:sz="4" w:space="0"/>
            </w:tcBorders>
            <w:noWrap w:val="0"/>
            <w:vAlign w:val="center"/>
          </w:tcPr>
          <w:p w14:paraId="2DB78678">
            <w:pPr>
              <w:widowControl w:val="0"/>
              <w:bidi w:val="0"/>
              <w:spacing w:before="10" w:beforeLines="10" w:line="240" w:lineRule="exact"/>
              <w:ind w:firstLine="440" w:firstLineChars="200"/>
              <w:jc w:val="left"/>
              <w:rPr>
                <w:rFonts w:hint="eastAsia" w:ascii="微软雅黑" w:hAnsi="微软雅黑" w:eastAsia="微软雅黑" w:cs="微软雅黑"/>
                <w:b w:val="0"/>
                <w:bCs/>
                <w:color w:val="auto"/>
                <w:kern w:val="2"/>
                <w:sz w:val="22"/>
                <w:szCs w:val="24"/>
                <w:lang w:val="en-US" w:eastAsia="zh-CN" w:bidi="ar-SA"/>
              </w:rPr>
            </w:pPr>
            <w:r>
              <w:rPr>
                <w:rFonts w:hint="eastAsia" w:ascii="微软雅黑" w:hAnsi="微软雅黑" w:eastAsia="微软雅黑" w:cs="微软雅黑"/>
                <w:b w:val="0"/>
                <w:bCs/>
                <w:color w:val="auto"/>
                <w:kern w:val="2"/>
                <w:sz w:val="22"/>
                <w:szCs w:val="24"/>
                <w:lang w:val="en-US" w:eastAsia="zh-CN" w:bidi="ar-SA"/>
              </w:rPr>
              <w:t>1.质量技术标准:乙方必须保证提供的货物是全新的，并符合国家质量监督检验检疫总局及相关部门核定的该产品技术标准。</w:t>
            </w:r>
          </w:p>
          <w:p w14:paraId="6F92BCD3">
            <w:pPr>
              <w:widowControl w:val="0"/>
              <w:bidi w:val="0"/>
              <w:spacing w:before="10" w:beforeLines="10" w:line="240" w:lineRule="exact"/>
              <w:ind w:firstLine="440" w:firstLineChars="200"/>
              <w:jc w:val="left"/>
              <w:rPr>
                <w:rFonts w:hint="eastAsia" w:ascii="微软雅黑" w:hAnsi="微软雅黑" w:eastAsia="微软雅黑" w:cs="微软雅黑"/>
                <w:b w:val="0"/>
                <w:bCs/>
                <w:color w:val="auto"/>
                <w:kern w:val="2"/>
                <w:sz w:val="22"/>
                <w:szCs w:val="24"/>
                <w:lang w:val="en-US" w:eastAsia="zh-CN" w:bidi="ar-SA"/>
              </w:rPr>
            </w:pPr>
            <w:r>
              <w:rPr>
                <w:rFonts w:hint="eastAsia" w:ascii="微软雅黑" w:hAnsi="微软雅黑" w:eastAsia="微软雅黑" w:cs="微软雅黑"/>
                <w:b w:val="0"/>
                <w:bCs/>
                <w:color w:val="auto"/>
                <w:kern w:val="2"/>
                <w:sz w:val="22"/>
                <w:szCs w:val="24"/>
                <w:lang w:val="en-US" w:eastAsia="zh-CN" w:bidi="ar-SA"/>
              </w:rPr>
              <w:t>2.资质证件:乙方必须提供产品的有效证件资料和国家质量监督检验检疫总局的相关证件，凡因证件不齐，失效、失真等引起的纠纷由乙方承担一切责任。3.权利保证:乙方应保证甲方在使用该套设备或其任何一部分时不受第三方提出侵犯其专利权、版权、商标权或其他权利的起诉。一旦出现侵权，乙方应承担全部责任。4.货物的验收按谈判文件要求及国家的有关标准进行验收。货物运抵甲方指定地点后，由甲方、乙方共同对到货设备的数量、重量、外观质量、备件、技术资料等进行检查，确认后开始验收。对未达到技术要求的不合格产品，一律拒收，终止合同执行，且乙方必须向买方赔偿工作延误费。</w:t>
            </w:r>
          </w:p>
        </w:tc>
      </w:tr>
      <w:tr w14:paraId="3AB26659">
        <w:tblPrEx>
          <w:tblCellMar>
            <w:top w:w="0" w:type="dxa"/>
            <w:left w:w="108" w:type="dxa"/>
            <w:bottom w:w="0" w:type="dxa"/>
            <w:right w:w="108" w:type="dxa"/>
          </w:tblCellMar>
        </w:tblPrEx>
        <w:tc>
          <w:tcPr>
            <w:tcW w:w="1454" w:type="dxa"/>
            <w:tcBorders>
              <w:top w:val="single" w:color="auto" w:sz="4" w:space="0"/>
              <w:left w:val="double" w:color="auto" w:sz="4" w:space="0"/>
              <w:bottom w:val="double" w:color="auto" w:sz="4" w:space="0"/>
              <w:right w:val="single" w:color="auto" w:sz="4" w:space="0"/>
            </w:tcBorders>
            <w:noWrap w:val="0"/>
            <w:vAlign w:val="center"/>
          </w:tcPr>
          <w:p w14:paraId="0CBBB05D">
            <w:pPr>
              <w:widowControl w:val="0"/>
              <w:spacing w:line="300" w:lineRule="exact"/>
              <w:jc w:val="center"/>
              <w:rPr>
                <w:rFonts w:ascii="Times New Roman" w:hAnsi="Times New Roman" w:eastAsia="微软雅黑" w:cs="Times New Roman"/>
                <w:b/>
                <w:color w:val="auto"/>
                <w:kern w:val="2"/>
                <w:sz w:val="22"/>
                <w:szCs w:val="24"/>
                <w:lang w:val="en-US" w:eastAsia="zh-CN" w:bidi="ar-SA"/>
              </w:rPr>
            </w:pPr>
            <w:r>
              <w:rPr>
                <w:rFonts w:ascii="Times New Roman" w:hAnsi="Times New Roman" w:eastAsia="微软雅黑" w:cs="Times New Roman"/>
                <w:b/>
                <w:color w:val="auto"/>
                <w:kern w:val="2"/>
                <w:sz w:val="22"/>
                <w:szCs w:val="24"/>
                <w:lang w:val="en-US" w:eastAsia="en-US" w:bidi="ar-SA"/>
              </w:rPr>
              <w:t>2.21</w:t>
            </w:r>
          </w:p>
        </w:tc>
        <w:tc>
          <w:tcPr>
            <w:tcW w:w="2269" w:type="dxa"/>
            <w:tcBorders>
              <w:top w:val="single" w:color="auto" w:sz="4" w:space="0"/>
              <w:left w:val="single" w:color="auto" w:sz="4" w:space="0"/>
              <w:bottom w:val="double" w:color="auto" w:sz="4" w:space="0"/>
              <w:right w:val="single" w:color="000000" w:sz="4" w:space="0"/>
            </w:tcBorders>
            <w:noWrap w:val="0"/>
            <w:vAlign w:val="center"/>
          </w:tcPr>
          <w:p w14:paraId="56E46728">
            <w:pPr>
              <w:widowControl w:val="0"/>
              <w:spacing w:line="300" w:lineRule="exact"/>
              <w:jc w:val="center"/>
              <w:rPr>
                <w:rFonts w:ascii="Times New Roman" w:hAnsi="Times New Roman" w:eastAsia="微软雅黑" w:cs="Times New Roman"/>
                <w:b/>
                <w:color w:val="auto"/>
                <w:kern w:val="2"/>
                <w:sz w:val="22"/>
                <w:szCs w:val="24"/>
                <w:lang w:val="en-US" w:eastAsia="zh-CN" w:bidi="ar-SA"/>
              </w:rPr>
            </w:pPr>
            <w:r>
              <w:rPr>
                <w:rFonts w:hint="eastAsia" w:ascii="Times New Roman" w:hAnsi="Times New Roman" w:eastAsia="微软雅黑" w:cs="Times New Roman"/>
                <w:b/>
                <w:color w:val="auto"/>
                <w:kern w:val="2"/>
                <w:sz w:val="22"/>
                <w:szCs w:val="24"/>
                <w:lang w:val="en-US" w:eastAsia="zh-CN" w:bidi="ar-SA"/>
              </w:rPr>
              <w:t>合同份数</w:t>
            </w:r>
          </w:p>
        </w:tc>
        <w:tc>
          <w:tcPr>
            <w:tcW w:w="6585" w:type="dxa"/>
            <w:tcBorders>
              <w:top w:val="single" w:color="auto" w:sz="4" w:space="0"/>
              <w:left w:val="single" w:color="000000" w:sz="4" w:space="0"/>
              <w:bottom w:val="double" w:color="auto" w:sz="4" w:space="0"/>
              <w:right w:val="double" w:color="auto" w:sz="4" w:space="0"/>
            </w:tcBorders>
            <w:noWrap w:val="0"/>
            <w:vAlign w:val="top"/>
          </w:tcPr>
          <w:p w14:paraId="21713345">
            <w:pPr>
              <w:widowControl w:val="0"/>
              <w:spacing w:line="300" w:lineRule="exact"/>
              <w:jc w:val="left"/>
              <w:rPr>
                <w:rFonts w:ascii="Times New Roman" w:hAnsi="Times New Roman" w:eastAsia="微软雅黑" w:cs="Times New Roman"/>
                <w:b/>
                <w:color w:val="auto"/>
                <w:kern w:val="2"/>
                <w:sz w:val="22"/>
                <w:szCs w:val="24"/>
                <w:lang w:val="en-US" w:eastAsia="zh-CN" w:bidi="ar-SA"/>
              </w:rPr>
            </w:pPr>
            <w:r>
              <w:rPr>
                <w:rFonts w:hint="eastAsia" w:ascii="Times New Roman" w:hAnsi="Times New Roman" w:eastAsia="微软雅黑" w:cs="Times New Roman"/>
                <w:b/>
                <w:color w:val="auto"/>
                <w:kern w:val="2"/>
                <w:sz w:val="22"/>
                <w:szCs w:val="24"/>
                <w:lang w:val="en-US" w:eastAsia="zh-CN" w:bidi="ar-SA"/>
              </w:rPr>
              <w:t>本合同一式六份，甲方三份，乙方执两份，张家界市政府釆购中心执</w:t>
            </w:r>
            <w:r>
              <w:rPr>
                <w:rFonts w:hint="eastAsia" w:ascii="Times New Roman" w:hAnsi="Times New Roman" w:eastAsia="微软雅黑" w:cs="Times New Roman"/>
                <w:b/>
                <w:color w:val="auto"/>
                <w:kern w:val="2"/>
                <w:sz w:val="22"/>
                <w:szCs w:val="24"/>
                <w:lang w:val="zh-CN" w:eastAsia="zh-CN" w:bidi="ar-SA"/>
              </w:rPr>
              <w:t>一份</w:t>
            </w:r>
          </w:p>
        </w:tc>
      </w:tr>
    </w:tbl>
    <w:tbl>
      <w:tblPr>
        <w:tblStyle w:val="36"/>
        <w:tblpPr w:leftFromText="180" w:rightFromText="180" w:vertAnchor="text" w:horzAnchor="page" w:tblpX="992" w:tblpY="1073"/>
        <w:tblOverlap w:val="never"/>
        <w:tblW w:w="10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4"/>
        <w:gridCol w:w="2587"/>
        <w:gridCol w:w="2155"/>
        <w:gridCol w:w="3262"/>
      </w:tblGrid>
      <w:tr w14:paraId="2B512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2394" w:type="dxa"/>
            <w:tcBorders>
              <w:top w:val="nil"/>
              <w:left w:val="nil"/>
              <w:bottom w:val="nil"/>
              <w:right w:val="nil"/>
            </w:tcBorders>
            <w:vAlign w:val="center"/>
          </w:tcPr>
          <w:p w14:paraId="7D77283A">
            <w:pPr>
              <w:widowControl w:val="0"/>
              <w:adjustRightInd w:val="0"/>
              <w:snapToGrid w:val="0"/>
              <w:spacing w:before="156" w:beforeLines="50" w:line="540" w:lineRule="exact"/>
              <w:ind w:firstLine="0" w:firstLineChars="0"/>
              <w:jc w:val="distribute"/>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甲方（单位盖章）：</w:t>
            </w:r>
          </w:p>
        </w:tc>
        <w:tc>
          <w:tcPr>
            <w:tcW w:w="2587" w:type="dxa"/>
            <w:tcBorders>
              <w:top w:val="nil"/>
              <w:left w:val="nil"/>
              <w:bottom w:val="nil"/>
              <w:right w:val="nil"/>
            </w:tcBorders>
            <w:vAlign w:val="center"/>
          </w:tcPr>
          <w:p w14:paraId="0D732402">
            <w:pPr>
              <w:widowControl w:val="0"/>
              <w:adjustRightInd w:val="0"/>
              <w:snapToGrid w:val="0"/>
              <w:spacing w:before="156" w:beforeLines="50" w:line="540" w:lineRule="exact"/>
              <w:ind w:firstLine="480" w:firstLineChars="200"/>
              <w:jc w:val="center"/>
              <w:rPr>
                <w:rFonts w:ascii="Times New Roman" w:hAnsi="Times New Roman" w:eastAsia="宋体" w:cs="Times New Roman"/>
                <w:color w:val="auto"/>
                <w:kern w:val="2"/>
                <w:sz w:val="24"/>
                <w:szCs w:val="22"/>
                <w:lang w:val="en-US" w:eastAsia="zh-CN" w:bidi="ar-SA"/>
              </w:rPr>
            </w:pPr>
          </w:p>
        </w:tc>
        <w:tc>
          <w:tcPr>
            <w:tcW w:w="2155" w:type="dxa"/>
            <w:tcBorders>
              <w:top w:val="nil"/>
              <w:left w:val="nil"/>
              <w:bottom w:val="nil"/>
              <w:right w:val="nil"/>
            </w:tcBorders>
            <w:vAlign w:val="center"/>
          </w:tcPr>
          <w:p w14:paraId="68B2D99E">
            <w:pPr>
              <w:widowControl w:val="0"/>
              <w:adjustRightInd w:val="0"/>
              <w:snapToGrid w:val="0"/>
              <w:spacing w:before="156" w:beforeLines="50" w:line="540" w:lineRule="exact"/>
              <w:ind w:firstLine="0" w:firstLineChars="0"/>
              <w:jc w:val="distribute"/>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乙方（单位盖章）：</w:t>
            </w:r>
          </w:p>
        </w:tc>
        <w:tc>
          <w:tcPr>
            <w:tcW w:w="3262" w:type="dxa"/>
            <w:tcBorders>
              <w:top w:val="nil"/>
              <w:left w:val="nil"/>
              <w:bottom w:val="nil"/>
              <w:right w:val="nil"/>
            </w:tcBorders>
            <w:vAlign w:val="center"/>
          </w:tcPr>
          <w:p w14:paraId="590E3805">
            <w:pPr>
              <w:widowControl w:val="0"/>
              <w:adjustRightInd w:val="0"/>
              <w:snapToGrid w:val="0"/>
              <w:spacing w:before="156" w:beforeLines="50" w:line="540" w:lineRule="exact"/>
              <w:ind w:firstLine="480" w:firstLineChars="200"/>
              <w:jc w:val="center"/>
              <w:rPr>
                <w:rFonts w:ascii="Times New Roman" w:hAnsi="Times New Roman" w:eastAsia="宋体" w:cs="Times New Roman"/>
                <w:color w:val="auto"/>
                <w:kern w:val="2"/>
                <w:sz w:val="24"/>
                <w:szCs w:val="22"/>
                <w:lang w:val="en-US" w:eastAsia="zh-CN" w:bidi="ar-SA"/>
              </w:rPr>
            </w:pPr>
          </w:p>
        </w:tc>
      </w:tr>
      <w:tr w14:paraId="1A25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2394" w:type="dxa"/>
            <w:tcBorders>
              <w:top w:val="nil"/>
              <w:left w:val="nil"/>
              <w:bottom w:val="nil"/>
              <w:right w:val="nil"/>
            </w:tcBorders>
            <w:vAlign w:val="center"/>
          </w:tcPr>
          <w:p w14:paraId="2BB677CD">
            <w:pPr>
              <w:widowControl w:val="0"/>
              <w:adjustRightInd w:val="0"/>
              <w:snapToGrid w:val="0"/>
              <w:spacing w:before="156" w:beforeLines="50" w:line="540" w:lineRule="exact"/>
              <w:ind w:firstLine="0" w:firstLineChars="0"/>
              <w:jc w:val="both"/>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法定代表人</w:t>
            </w:r>
          </w:p>
        </w:tc>
        <w:tc>
          <w:tcPr>
            <w:tcW w:w="2587" w:type="dxa"/>
            <w:tcBorders>
              <w:top w:val="nil"/>
              <w:left w:val="nil"/>
              <w:bottom w:val="nil"/>
              <w:right w:val="nil"/>
            </w:tcBorders>
            <w:vAlign w:val="center"/>
          </w:tcPr>
          <w:p w14:paraId="30E426C9">
            <w:pPr>
              <w:widowControl w:val="0"/>
              <w:adjustRightInd w:val="0"/>
              <w:snapToGrid w:val="0"/>
              <w:spacing w:before="156" w:beforeLines="50" w:line="540" w:lineRule="exact"/>
              <w:ind w:firstLine="480" w:firstLineChars="200"/>
              <w:jc w:val="center"/>
              <w:rPr>
                <w:rFonts w:ascii="Times New Roman" w:hAnsi="Times New Roman" w:eastAsia="宋体" w:cs="Times New Roman"/>
                <w:color w:val="auto"/>
                <w:kern w:val="2"/>
                <w:sz w:val="24"/>
                <w:szCs w:val="22"/>
                <w:lang w:val="en-US" w:eastAsia="zh-CN" w:bidi="ar-SA"/>
              </w:rPr>
            </w:pPr>
          </w:p>
        </w:tc>
        <w:tc>
          <w:tcPr>
            <w:tcW w:w="2155" w:type="dxa"/>
            <w:tcBorders>
              <w:top w:val="nil"/>
              <w:left w:val="nil"/>
              <w:bottom w:val="nil"/>
              <w:right w:val="nil"/>
            </w:tcBorders>
            <w:vAlign w:val="center"/>
          </w:tcPr>
          <w:p w14:paraId="7B2C44F1">
            <w:pPr>
              <w:widowControl w:val="0"/>
              <w:adjustRightInd w:val="0"/>
              <w:snapToGrid w:val="0"/>
              <w:spacing w:before="156" w:beforeLines="50" w:line="540" w:lineRule="exact"/>
              <w:ind w:firstLine="0" w:firstLineChars="0"/>
              <w:jc w:val="both"/>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法定代表人</w:t>
            </w:r>
          </w:p>
        </w:tc>
        <w:tc>
          <w:tcPr>
            <w:tcW w:w="3262" w:type="dxa"/>
            <w:tcBorders>
              <w:top w:val="nil"/>
              <w:left w:val="nil"/>
              <w:bottom w:val="nil"/>
              <w:right w:val="nil"/>
            </w:tcBorders>
            <w:vAlign w:val="center"/>
          </w:tcPr>
          <w:p w14:paraId="20CFD595">
            <w:pPr>
              <w:widowControl w:val="0"/>
              <w:adjustRightInd w:val="0"/>
              <w:snapToGrid w:val="0"/>
              <w:spacing w:before="156" w:beforeLines="50" w:line="540" w:lineRule="exact"/>
              <w:ind w:firstLine="480" w:firstLineChars="200"/>
              <w:jc w:val="center"/>
              <w:rPr>
                <w:rFonts w:ascii="Times New Roman" w:hAnsi="Times New Roman" w:eastAsia="宋体" w:cs="Times New Roman"/>
                <w:color w:val="auto"/>
                <w:kern w:val="2"/>
                <w:sz w:val="24"/>
                <w:szCs w:val="22"/>
                <w:lang w:val="en-US" w:eastAsia="zh-CN" w:bidi="ar-SA"/>
              </w:rPr>
            </w:pPr>
          </w:p>
        </w:tc>
      </w:tr>
      <w:tr w14:paraId="621BE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2394" w:type="dxa"/>
            <w:tcBorders>
              <w:top w:val="nil"/>
              <w:left w:val="nil"/>
              <w:bottom w:val="nil"/>
              <w:right w:val="nil"/>
            </w:tcBorders>
            <w:vAlign w:val="center"/>
          </w:tcPr>
          <w:p w14:paraId="5060333C">
            <w:pPr>
              <w:widowControl w:val="0"/>
              <w:adjustRightInd w:val="0"/>
              <w:snapToGrid w:val="0"/>
              <w:spacing w:before="156" w:beforeLines="50" w:line="240" w:lineRule="auto"/>
              <w:ind w:firstLine="0" w:firstLineChars="0"/>
              <w:jc w:val="distribute"/>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或授权代表</w:t>
            </w:r>
          </w:p>
          <w:p w14:paraId="2CF0AFB4">
            <w:pPr>
              <w:widowControl w:val="0"/>
              <w:adjustRightInd w:val="0"/>
              <w:snapToGrid w:val="0"/>
              <w:spacing w:before="156" w:beforeLines="50" w:line="240" w:lineRule="auto"/>
              <w:ind w:firstLine="0" w:firstLineChars="0"/>
              <w:jc w:val="distribute"/>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（签字或盖章）：</w:t>
            </w:r>
          </w:p>
        </w:tc>
        <w:tc>
          <w:tcPr>
            <w:tcW w:w="2587" w:type="dxa"/>
            <w:tcBorders>
              <w:top w:val="nil"/>
              <w:left w:val="nil"/>
              <w:bottom w:val="nil"/>
              <w:right w:val="nil"/>
            </w:tcBorders>
            <w:vAlign w:val="center"/>
          </w:tcPr>
          <w:p w14:paraId="10A2474C">
            <w:pPr>
              <w:widowControl w:val="0"/>
              <w:adjustRightInd w:val="0"/>
              <w:snapToGrid w:val="0"/>
              <w:spacing w:before="156" w:beforeLines="50" w:line="240" w:lineRule="auto"/>
              <w:ind w:firstLine="480" w:firstLineChars="200"/>
              <w:jc w:val="center"/>
              <w:rPr>
                <w:rFonts w:ascii="Times New Roman" w:hAnsi="Times New Roman" w:eastAsia="宋体" w:cs="Times New Roman"/>
                <w:color w:val="auto"/>
                <w:kern w:val="2"/>
                <w:sz w:val="24"/>
                <w:szCs w:val="22"/>
                <w:lang w:val="en-US" w:eastAsia="zh-CN" w:bidi="ar-SA"/>
              </w:rPr>
            </w:pPr>
          </w:p>
        </w:tc>
        <w:tc>
          <w:tcPr>
            <w:tcW w:w="2155" w:type="dxa"/>
            <w:tcBorders>
              <w:top w:val="nil"/>
              <w:left w:val="nil"/>
              <w:bottom w:val="nil"/>
              <w:right w:val="nil"/>
            </w:tcBorders>
            <w:vAlign w:val="center"/>
          </w:tcPr>
          <w:p w14:paraId="472BCBE0">
            <w:pPr>
              <w:widowControl w:val="0"/>
              <w:adjustRightInd w:val="0"/>
              <w:snapToGrid w:val="0"/>
              <w:spacing w:before="156" w:beforeLines="50" w:line="240" w:lineRule="auto"/>
              <w:ind w:firstLine="0" w:firstLineChars="0"/>
              <w:jc w:val="distribute"/>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或授权代表</w:t>
            </w:r>
          </w:p>
          <w:p w14:paraId="5382EB98">
            <w:pPr>
              <w:widowControl w:val="0"/>
              <w:adjustRightInd w:val="0"/>
              <w:snapToGrid w:val="0"/>
              <w:spacing w:before="156" w:beforeLines="50" w:line="240" w:lineRule="auto"/>
              <w:ind w:firstLine="0" w:firstLineChars="0"/>
              <w:jc w:val="distribute"/>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（签字或盖章）：</w:t>
            </w:r>
          </w:p>
        </w:tc>
        <w:tc>
          <w:tcPr>
            <w:tcW w:w="3262" w:type="dxa"/>
            <w:tcBorders>
              <w:top w:val="nil"/>
              <w:left w:val="nil"/>
              <w:bottom w:val="nil"/>
              <w:right w:val="nil"/>
            </w:tcBorders>
            <w:vAlign w:val="center"/>
          </w:tcPr>
          <w:p w14:paraId="75BD56B4">
            <w:pPr>
              <w:widowControl w:val="0"/>
              <w:adjustRightInd w:val="0"/>
              <w:snapToGrid w:val="0"/>
              <w:spacing w:before="156" w:beforeLines="50" w:line="540" w:lineRule="exact"/>
              <w:ind w:firstLine="480" w:firstLineChars="200"/>
              <w:jc w:val="center"/>
              <w:rPr>
                <w:rFonts w:ascii="Times New Roman" w:hAnsi="Times New Roman" w:eastAsia="宋体" w:cs="Times New Roman"/>
                <w:color w:val="auto"/>
                <w:kern w:val="2"/>
                <w:sz w:val="24"/>
                <w:szCs w:val="22"/>
                <w:lang w:val="en-US" w:eastAsia="zh-CN" w:bidi="ar-SA"/>
              </w:rPr>
            </w:pPr>
          </w:p>
        </w:tc>
      </w:tr>
      <w:tr w14:paraId="3BB6E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2394" w:type="dxa"/>
            <w:tcBorders>
              <w:top w:val="nil"/>
              <w:left w:val="nil"/>
              <w:bottom w:val="nil"/>
              <w:right w:val="nil"/>
            </w:tcBorders>
            <w:vAlign w:val="center"/>
          </w:tcPr>
          <w:p w14:paraId="03BEEEFF">
            <w:pPr>
              <w:widowControl w:val="0"/>
              <w:adjustRightInd w:val="0"/>
              <w:snapToGrid w:val="0"/>
              <w:spacing w:before="156" w:beforeLines="50" w:line="540" w:lineRule="exact"/>
              <w:ind w:firstLine="0" w:firstLineChars="0"/>
              <w:jc w:val="both"/>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时      间：</w:t>
            </w:r>
          </w:p>
        </w:tc>
        <w:tc>
          <w:tcPr>
            <w:tcW w:w="2587" w:type="dxa"/>
            <w:tcBorders>
              <w:top w:val="nil"/>
              <w:left w:val="nil"/>
              <w:bottom w:val="nil"/>
              <w:right w:val="nil"/>
            </w:tcBorders>
            <w:vAlign w:val="center"/>
          </w:tcPr>
          <w:p w14:paraId="4E701119">
            <w:pPr>
              <w:widowControl w:val="0"/>
              <w:adjustRightInd w:val="0"/>
              <w:snapToGrid w:val="0"/>
              <w:spacing w:before="156" w:beforeLines="50" w:line="540" w:lineRule="exact"/>
              <w:ind w:firstLine="0" w:firstLineChars="0"/>
              <w:jc w:val="center"/>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 xml:space="preserve">      年   月   日</w:t>
            </w:r>
          </w:p>
        </w:tc>
        <w:tc>
          <w:tcPr>
            <w:tcW w:w="2155" w:type="dxa"/>
            <w:tcBorders>
              <w:top w:val="nil"/>
              <w:left w:val="nil"/>
              <w:bottom w:val="nil"/>
              <w:right w:val="nil"/>
            </w:tcBorders>
            <w:vAlign w:val="center"/>
          </w:tcPr>
          <w:p w14:paraId="5545727B">
            <w:pPr>
              <w:widowControl w:val="0"/>
              <w:adjustRightInd w:val="0"/>
              <w:snapToGrid w:val="0"/>
              <w:spacing w:before="156" w:beforeLines="50" w:line="540" w:lineRule="exact"/>
              <w:ind w:firstLine="0" w:firstLineChars="0"/>
              <w:jc w:val="both"/>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时      间：</w:t>
            </w:r>
          </w:p>
        </w:tc>
        <w:tc>
          <w:tcPr>
            <w:tcW w:w="3262" w:type="dxa"/>
            <w:tcBorders>
              <w:top w:val="nil"/>
              <w:left w:val="nil"/>
              <w:bottom w:val="nil"/>
              <w:right w:val="nil"/>
            </w:tcBorders>
            <w:vAlign w:val="center"/>
          </w:tcPr>
          <w:p w14:paraId="5A88DCF9">
            <w:pPr>
              <w:widowControl w:val="0"/>
              <w:adjustRightInd w:val="0"/>
              <w:snapToGrid w:val="0"/>
              <w:spacing w:before="156" w:beforeLines="50" w:line="540" w:lineRule="exact"/>
              <w:ind w:firstLine="480" w:firstLineChars="200"/>
              <w:jc w:val="center"/>
              <w:rPr>
                <w:rFonts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 xml:space="preserve">         年   月   日</w:t>
            </w:r>
          </w:p>
        </w:tc>
      </w:tr>
    </w:tbl>
    <w:p w14:paraId="441A4F61">
      <w:pPr>
        <w:spacing w:line="440" w:lineRule="exact"/>
        <w:rPr>
          <w:rFonts w:ascii="Calibri" w:hAnsi="Calibri" w:eastAsia="宋体"/>
          <w:color w:val="auto"/>
          <w:sz w:val="24"/>
          <w:szCs w:val="24"/>
        </w:rPr>
      </w:pPr>
    </w:p>
    <w:p w14:paraId="63F8C126">
      <w:pPr>
        <w:keepNext/>
        <w:keepLines/>
        <w:widowControl w:val="0"/>
        <w:numPr>
          <w:ilvl w:val="0"/>
          <w:numId w:val="0"/>
        </w:numPr>
        <w:bidi w:val="0"/>
        <w:spacing w:before="200" w:after="220" w:line="240" w:lineRule="auto"/>
        <w:ind w:left="420" w:leftChars="0"/>
        <w:jc w:val="both"/>
        <w:outlineLvl w:val="1"/>
        <w:rPr>
          <w:rFonts w:hint="default" w:ascii="Times New Roman" w:hAnsi="Times New Roman" w:eastAsia="黑体" w:cs="Times New Roman"/>
          <w:color w:val="auto"/>
          <w:kern w:val="2"/>
          <w:sz w:val="24"/>
          <w:szCs w:val="24"/>
          <w:lang w:val="en-US" w:eastAsia="zh-CN" w:bidi="ar-SA"/>
        </w:rPr>
      </w:pPr>
    </w:p>
    <w:p w14:paraId="2C37A646">
      <w:pPr>
        <w:spacing w:line="540" w:lineRule="exact"/>
        <w:rPr>
          <w:rFonts w:ascii="黑体" w:hAnsi="黑体" w:eastAsia="黑体" w:cs="黑体"/>
          <w:color w:val="auto"/>
          <w:sz w:val="30"/>
          <w:szCs w:val="30"/>
        </w:rPr>
      </w:pPr>
      <w:r>
        <w:rPr>
          <w:rFonts w:hint="eastAsia" w:ascii="黑体" w:hAnsi="黑体" w:eastAsia="黑体" w:cs="黑体"/>
          <w:color w:val="auto"/>
          <w:sz w:val="30"/>
          <w:szCs w:val="30"/>
        </w:rPr>
        <w:br w:type="page"/>
      </w:r>
    </w:p>
    <w:p w14:paraId="079E8227">
      <w:pPr>
        <w:pStyle w:val="3"/>
        <w:spacing w:before="156" w:after="156"/>
        <w:rPr>
          <w:rFonts w:hint="default"/>
          <w:color w:val="auto"/>
          <w:highlight w:val="none"/>
        </w:rPr>
      </w:pPr>
      <w:r>
        <w:rPr>
          <w:color w:val="auto"/>
          <w:highlight w:val="none"/>
        </w:rPr>
        <w:t>第六章 响应文件组成</w:t>
      </w:r>
      <w:bookmarkEnd w:id="67"/>
      <w:bookmarkEnd w:id="68"/>
      <w:bookmarkEnd w:id="72"/>
    </w:p>
    <w:p w14:paraId="74C66F04">
      <w:pPr>
        <w:pStyle w:val="45"/>
        <w:spacing w:before="156"/>
        <w:ind w:firstLine="482"/>
        <w:rPr>
          <w:b/>
          <w:bCs/>
          <w:color w:val="auto"/>
          <w:highlight w:val="none"/>
        </w:rPr>
      </w:pPr>
      <w:bookmarkStart w:id="73" w:name="_Toc11034"/>
      <w:bookmarkStart w:id="74" w:name="_Toc29211"/>
      <w:bookmarkStart w:id="75" w:name="_Toc31111"/>
      <w:bookmarkStart w:id="76" w:name="_Toc4620"/>
      <w:r>
        <w:rPr>
          <w:rFonts w:hint="eastAsia"/>
          <w:b/>
          <w:bCs/>
          <w:color w:val="auto"/>
          <w:highlight w:val="none"/>
          <w:lang w:eastAsia="zh-CN"/>
        </w:rPr>
        <w:t>供应商</w:t>
      </w:r>
      <w:r>
        <w:rPr>
          <w:rFonts w:hint="eastAsia"/>
          <w:b/>
          <w:bCs/>
          <w:color w:val="auto"/>
          <w:highlight w:val="none"/>
        </w:rPr>
        <w:t>的响应文件应包含以下部分：</w:t>
      </w:r>
    </w:p>
    <w:tbl>
      <w:tblPr>
        <w:tblStyle w:val="36"/>
        <w:tblW w:w="9870"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431"/>
        <w:gridCol w:w="2549"/>
      </w:tblGrid>
      <w:tr w14:paraId="59C80BA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0" w:type="dxa"/>
            <w:tcBorders>
              <w:tl2br w:val="nil"/>
              <w:tr2bl w:val="nil"/>
            </w:tcBorders>
            <w:shd w:val="pct10" w:color="ADB9CA" w:fill="D6DCE5"/>
            <w:vAlign w:val="center"/>
          </w:tcPr>
          <w:p w14:paraId="563A29FC">
            <w:pPr>
              <w:pStyle w:val="44"/>
              <w:rPr>
                <w:color w:val="auto"/>
                <w:highlight w:val="none"/>
              </w:rPr>
            </w:pPr>
            <w:r>
              <w:rPr>
                <w:rFonts w:hint="eastAsia"/>
                <w:color w:val="auto"/>
                <w:highlight w:val="none"/>
              </w:rPr>
              <w:t>序 号</w:t>
            </w:r>
          </w:p>
        </w:tc>
        <w:tc>
          <w:tcPr>
            <w:tcW w:w="6431" w:type="dxa"/>
            <w:tcBorders>
              <w:tl2br w:val="nil"/>
              <w:tr2bl w:val="nil"/>
            </w:tcBorders>
            <w:shd w:val="pct10" w:color="ADB9CA" w:fill="D6DCE5"/>
            <w:vAlign w:val="center"/>
          </w:tcPr>
          <w:p w14:paraId="546E55FE">
            <w:pPr>
              <w:pStyle w:val="44"/>
              <w:rPr>
                <w:color w:val="auto"/>
                <w:highlight w:val="none"/>
              </w:rPr>
            </w:pPr>
            <w:r>
              <w:rPr>
                <w:rFonts w:hint="eastAsia"/>
                <w:color w:val="auto"/>
                <w:highlight w:val="none"/>
              </w:rPr>
              <w:t>内    容</w:t>
            </w:r>
          </w:p>
        </w:tc>
        <w:tc>
          <w:tcPr>
            <w:tcW w:w="2549" w:type="dxa"/>
            <w:tcBorders>
              <w:tl2br w:val="nil"/>
              <w:tr2bl w:val="nil"/>
            </w:tcBorders>
            <w:shd w:val="pct10" w:color="ADB9CA" w:fill="D6DCE5"/>
            <w:vAlign w:val="center"/>
          </w:tcPr>
          <w:p w14:paraId="422A862A">
            <w:pPr>
              <w:pStyle w:val="44"/>
              <w:rPr>
                <w:color w:val="auto"/>
                <w:highlight w:val="none"/>
              </w:rPr>
            </w:pPr>
            <w:r>
              <w:rPr>
                <w:rFonts w:hint="eastAsia"/>
                <w:color w:val="auto"/>
                <w:highlight w:val="none"/>
              </w:rPr>
              <w:t>备   注</w:t>
            </w:r>
          </w:p>
        </w:tc>
      </w:tr>
      <w:tr w14:paraId="79DD5B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0" w:type="dxa"/>
            <w:tcBorders>
              <w:tl2br w:val="nil"/>
              <w:tr2bl w:val="nil"/>
            </w:tcBorders>
            <w:vAlign w:val="center"/>
          </w:tcPr>
          <w:p w14:paraId="635ACC44">
            <w:pPr>
              <w:pStyle w:val="48"/>
              <w:numPr>
                <w:ilvl w:val="0"/>
                <w:numId w:val="49"/>
              </w:numPr>
              <w:rPr>
                <w:rFonts w:ascii="微软雅黑" w:hAnsi="微软雅黑" w:cs="微软雅黑"/>
                <w:b w:val="0"/>
                <w:bCs/>
                <w:color w:val="auto"/>
                <w:szCs w:val="28"/>
                <w:highlight w:val="none"/>
              </w:rPr>
            </w:pPr>
          </w:p>
        </w:tc>
        <w:tc>
          <w:tcPr>
            <w:tcW w:w="6431" w:type="dxa"/>
            <w:tcBorders>
              <w:tl2br w:val="nil"/>
              <w:tr2bl w:val="nil"/>
            </w:tcBorders>
            <w:vAlign w:val="center"/>
          </w:tcPr>
          <w:p w14:paraId="4C270EC6">
            <w:pPr>
              <w:pStyle w:val="48"/>
              <w:ind w:firstLine="440" w:firstLineChars="200"/>
              <w:jc w:val="left"/>
              <w:rPr>
                <w:b w:val="0"/>
                <w:bCs/>
                <w:color w:val="auto"/>
                <w:szCs w:val="28"/>
                <w:highlight w:val="none"/>
              </w:rPr>
            </w:pPr>
            <w:r>
              <w:rPr>
                <w:rFonts w:hint="eastAsia"/>
                <w:b w:val="0"/>
                <w:bCs/>
                <w:color w:val="auto"/>
                <w:szCs w:val="28"/>
                <w:highlight w:val="none"/>
                <w:lang w:val="en-US" w:eastAsia="zh-CN"/>
              </w:rPr>
              <w:t>谈判</w:t>
            </w:r>
            <w:r>
              <w:rPr>
                <w:rFonts w:hint="eastAsia"/>
                <w:b w:val="0"/>
                <w:bCs/>
                <w:color w:val="auto"/>
                <w:szCs w:val="28"/>
                <w:highlight w:val="none"/>
              </w:rPr>
              <w:t>响应声明（格式）</w:t>
            </w:r>
          </w:p>
        </w:tc>
        <w:tc>
          <w:tcPr>
            <w:tcW w:w="2549" w:type="dxa"/>
            <w:tcBorders>
              <w:tl2br w:val="nil"/>
              <w:tr2bl w:val="nil"/>
            </w:tcBorders>
            <w:vAlign w:val="center"/>
          </w:tcPr>
          <w:p w14:paraId="71C96C6C">
            <w:pPr>
              <w:pStyle w:val="48"/>
              <w:rPr>
                <w:color w:val="auto"/>
                <w:szCs w:val="28"/>
                <w:highlight w:val="none"/>
              </w:rPr>
            </w:pPr>
          </w:p>
        </w:tc>
      </w:tr>
      <w:tr w14:paraId="705396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0" w:type="dxa"/>
            <w:tcBorders>
              <w:tl2br w:val="nil"/>
              <w:tr2bl w:val="nil"/>
            </w:tcBorders>
            <w:vAlign w:val="center"/>
          </w:tcPr>
          <w:p w14:paraId="7C74CF03">
            <w:pPr>
              <w:pStyle w:val="48"/>
              <w:numPr>
                <w:ilvl w:val="0"/>
                <w:numId w:val="49"/>
              </w:numPr>
              <w:rPr>
                <w:rFonts w:ascii="微软雅黑" w:hAnsi="微软雅黑" w:cs="微软雅黑"/>
                <w:b w:val="0"/>
                <w:bCs/>
                <w:color w:val="auto"/>
                <w:szCs w:val="28"/>
                <w:highlight w:val="none"/>
              </w:rPr>
            </w:pPr>
          </w:p>
        </w:tc>
        <w:tc>
          <w:tcPr>
            <w:tcW w:w="6431" w:type="dxa"/>
            <w:tcBorders>
              <w:tl2br w:val="nil"/>
              <w:tr2bl w:val="nil"/>
            </w:tcBorders>
            <w:vAlign w:val="center"/>
          </w:tcPr>
          <w:p w14:paraId="1A3DDC9D">
            <w:pPr>
              <w:pStyle w:val="48"/>
              <w:ind w:firstLine="440" w:firstLineChars="200"/>
              <w:jc w:val="left"/>
              <w:rPr>
                <w:b w:val="0"/>
                <w:bCs/>
                <w:color w:val="auto"/>
                <w:szCs w:val="28"/>
                <w:highlight w:val="none"/>
              </w:rPr>
            </w:pPr>
            <w:r>
              <w:rPr>
                <w:rFonts w:hint="eastAsia"/>
                <w:b w:val="0"/>
                <w:bCs/>
                <w:color w:val="auto"/>
                <w:szCs w:val="28"/>
                <w:highlight w:val="none"/>
              </w:rPr>
              <w:t>授权委托书（格式）</w:t>
            </w:r>
          </w:p>
        </w:tc>
        <w:tc>
          <w:tcPr>
            <w:tcW w:w="2549" w:type="dxa"/>
            <w:tcBorders>
              <w:tl2br w:val="nil"/>
              <w:tr2bl w:val="nil"/>
            </w:tcBorders>
            <w:vAlign w:val="center"/>
          </w:tcPr>
          <w:p w14:paraId="664CD5BD">
            <w:pPr>
              <w:pStyle w:val="48"/>
              <w:rPr>
                <w:color w:val="auto"/>
                <w:szCs w:val="28"/>
                <w:highlight w:val="none"/>
              </w:rPr>
            </w:pPr>
          </w:p>
        </w:tc>
      </w:tr>
      <w:tr w14:paraId="6D3113F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0" w:type="dxa"/>
            <w:tcBorders>
              <w:tl2br w:val="nil"/>
              <w:tr2bl w:val="nil"/>
            </w:tcBorders>
            <w:vAlign w:val="center"/>
          </w:tcPr>
          <w:p w14:paraId="196BEFC0">
            <w:pPr>
              <w:pStyle w:val="48"/>
              <w:numPr>
                <w:ilvl w:val="0"/>
                <w:numId w:val="49"/>
              </w:numPr>
              <w:rPr>
                <w:rFonts w:ascii="微软雅黑" w:hAnsi="微软雅黑" w:cs="微软雅黑"/>
                <w:b w:val="0"/>
                <w:bCs/>
                <w:color w:val="auto"/>
                <w:szCs w:val="28"/>
                <w:highlight w:val="none"/>
              </w:rPr>
            </w:pPr>
          </w:p>
        </w:tc>
        <w:tc>
          <w:tcPr>
            <w:tcW w:w="6431" w:type="dxa"/>
            <w:tcBorders>
              <w:tl2br w:val="nil"/>
              <w:tr2bl w:val="nil"/>
            </w:tcBorders>
            <w:vAlign w:val="center"/>
          </w:tcPr>
          <w:p w14:paraId="4C93009D">
            <w:pPr>
              <w:pStyle w:val="48"/>
              <w:ind w:firstLine="440" w:firstLineChars="200"/>
              <w:jc w:val="left"/>
              <w:rPr>
                <w:b w:val="0"/>
                <w:bCs/>
                <w:color w:val="auto"/>
                <w:szCs w:val="28"/>
                <w:highlight w:val="none"/>
              </w:rPr>
            </w:pPr>
            <w:r>
              <w:rPr>
                <w:rFonts w:hint="eastAsia"/>
                <w:b w:val="0"/>
                <w:bCs/>
                <w:color w:val="auto"/>
                <w:szCs w:val="28"/>
                <w:highlight w:val="none"/>
                <w:lang w:eastAsia="zh-CN"/>
              </w:rPr>
              <w:t>供应商</w:t>
            </w:r>
            <w:r>
              <w:rPr>
                <w:rFonts w:hint="eastAsia"/>
                <w:b w:val="0"/>
                <w:bCs/>
                <w:color w:val="auto"/>
                <w:szCs w:val="28"/>
                <w:highlight w:val="none"/>
              </w:rPr>
              <w:t>的资格证明资料</w:t>
            </w:r>
          </w:p>
        </w:tc>
        <w:tc>
          <w:tcPr>
            <w:tcW w:w="2549" w:type="dxa"/>
            <w:tcBorders>
              <w:tl2br w:val="nil"/>
              <w:tr2bl w:val="nil"/>
            </w:tcBorders>
            <w:vAlign w:val="center"/>
          </w:tcPr>
          <w:p w14:paraId="7F8AA6DD">
            <w:pPr>
              <w:pStyle w:val="48"/>
              <w:rPr>
                <w:color w:val="auto"/>
                <w:szCs w:val="28"/>
                <w:highlight w:val="none"/>
              </w:rPr>
            </w:pPr>
          </w:p>
        </w:tc>
      </w:tr>
      <w:tr w14:paraId="2E71955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0" w:type="dxa"/>
            <w:tcBorders>
              <w:tl2br w:val="nil"/>
              <w:tr2bl w:val="nil"/>
            </w:tcBorders>
            <w:vAlign w:val="center"/>
          </w:tcPr>
          <w:p w14:paraId="2EB067B0">
            <w:pPr>
              <w:pStyle w:val="48"/>
              <w:numPr>
                <w:ilvl w:val="0"/>
                <w:numId w:val="49"/>
              </w:numPr>
              <w:rPr>
                <w:rFonts w:ascii="微软雅黑" w:hAnsi="微软雅黑" w:cs="微软雅黑"/>
                <w:b w:val="0"/>
                <w:bCs/>
                <w:color w:val="auto"/>
                <w:szCs w:val="28"/>
                <w:highlight w:val="none"/>
              </w:rPr>
            </w:pPr>
          </w:p>
        </w:tc>
        <w:tc>
          <w:tcPr>
            <w:tcW w:w="6431" w:type="dxa"/>
            <w:tcBorders>
              <w:tl2br w:val="nil"/>
              <w:tr2bl w:val="nil"/>
            </w:tcBorders>
            <w:vAlign w:val="center"/>
          </w:tcPr>
          <w:p w14:paraId="6AF51CCE">
            <w:pPr>
              <w:pStyle w:val="48"/>
              <w:ind w:firstLine="440" w:firstLineChars="200"/>
              <w:jc w:val="left"/>
              <w:rPr>
                <w:rFonts w:hint="eastAsia" w:eastAsia="微软雅黑"/>
                <w:b w:val="0"/>
                <w:bCs/>
                <w:color w:val="auto"/>
                <w:szCs w:val="28"/>
                <w:highlight w:val="none"/>
                <w:lang w:val="en-US" w:eastAsia="zh-CN"/>
              </w:rPr>
            </w:pPr>
            <w:r>
              <w:rPr>
                <w:rFonts w:hint="eastAsia"/>
                <w:b w:val="0"/>
                <w:bCs/>
                <w:color w:val="auto"/>
                <w:szCs w:val="28"/>
                <w:highlight w:val="none"/>
                <w:lang w:val="en-US" w:eastAsia="zh-CN"/>
              </w:rPr>
              <w:t>谈判</w:t>
            </w:r>
            <w:r>
              <w:rPr>
                <w:rFonts w:hint="eastAsia"/>
                <w:b w:val="0"/>
                <w:bCs/>
                <w:color w:val="auto"/>
                <w:szCs w:val="28"/>
                <w:highlight w:val="none"/>
              </w:rPr>
              <w:t>响应</w:t>
            </w:r>
            <w:r>
              <w:rPr>
                <w:rFonts w:hint="eastAsia"/>
                <w:b w:val="0"/>
                <w:bCs/>
                <w:color w:val="auto"/>
                <w:szCs w:val="28"/>
                <w:highlight w:val="none"/>
                <w:lang w:val="en-US" w:eastAsia="zh-CN"/>
              </w:rPr>
              <w:t>表</w:t>
            </w:r>
          </w:p>
        </w:tc>
        <w:tc>
          <w:tcPr>
            <w:tcW w:w="2549" w:type="dxa"/>
            <w:tcBorders>
              <w:tl2br w:val="nil"/>
              <w:tr2bl w:val="nil"/>
            </w:tcBorders>
            <w:vAlign w:val="center"/>
          </w:tcPr>
          <w:p w14:paraId="64FC4E1E">
            <w:pPr>
              <w:pStyle w:val="48"/>
              <w:rPr>
                <w:color w:val="auto"/>
                <w:szCs w:val="28"/>
                <w:highlight w:val="none"/>
              </w:rPr>
            </w:pPr>
          </w:p>
        </w:tc>
      </w:tr>
      <w:tr w14:paraId="66315D4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0" w:type="dxa"/>
            <w:tcBorders>
              <w:tl2br w:val="nil"/>
              <w:tr2bl w:val="nil"/>
            </w:tcBorders>
            <w:vAlign w:val="center"/>
          </w:tcPr>
          <w:p w14:paraId="2D7F3518">
            <w:pPr>
              <w:pStyle w:val="48"/>
              <w:numPr>
                <w:ilvl w:val="0"/>
                <w:numId w:val="49"/>
              </w:numPr>
              <w:rPr>
                <w:rFonts w:ascii="微软雅黑" w:hAnsi="微软雅黑" w:cs="微软雅黑"/>
                <w:b w:val="0"/>
                <w:bCs/>
                <w:color w:val="auto"/>
                <w:szCs w:val="28"/>
                <w:highlight w:val="none"/>
              </w:rPr>
            </w:pPr>
          </w:p>
        </w:tc>
        <w:tc>
          <w:tcPr>
            <w:tcW w:w="6431" w:type="dxa"/>
            <w:tcBorders>
              <w:tl2br w:val="nil"/>
              <w:tr2bl w:val="nil"/>
            </w:tcBorders>
            <w:vAlign w:val="center"/>
          </w:tcPr>
          <w:p w14:paraId="7E0A8DE7">
            <w:pPr>
              <w:pStyle w:val="48"/>
              <w:ind w:firstLine="440" w:firstLineChars="200"/>
              <w:jc w:val="left"/>
              <w:rPr>
                <w:b w:val="0"/>
                <w:bCs/>
                <w:color w:val="auto"/>
                <w:szCs w:val="28"/>
                <w:highlight w:val="none"/>
              </w:rPr>
            </w:pPr>
            <w:r>
              <w:rPr>
                <w:rFonts w:hint="eastAsia"/>
                <w:b w:val="0"/>
                <w:bCs/>
                <w:color w:val="auto"/>
                <w:szCs w:val="28"/>
                <w:highlight w:val="none"/>
                <w:lang w:val="en-US" w:eastAsia="zh-CN"/>
              </w:rPr>
              <w:t>人员配置和管理方案</w:t>
            </w:r>
          </w:p>
        </w:tc>
        <w:tc>
          <w:tcPr>
            <w:tcW w:w="2549" w:type="dxa"/>
            <w:tcBorders>
              <w:tl2br w:val="nil"/>
              <w:tr2bl w:val="nil"/>
            </w:tcBorders>
            <w:vAlign w:val="center"/>
          </w:tcPr>
          <w:p w14:paraId="6B7CF8F5">
            <w:pPr>
              <w:pStyle w:val="48"/>
              <w:rPr>
                <w:color w:val="auto"/>
                <w:szCs w:val="28"/>
                <w:highlight w:val="none"/>
              </w:rPr>
            </w:pPr>
          </w:p>
        </w:tc>
      </w:tr>
      <w:tr w14:paraId="26D3D3E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0" w:type="dxa"/>
            <w:tcBorders>
              <w:tl2br w:val="nil"/>
              <w:tr2bl w:val="nil"/>
            </w:tcBorders>
            <w:vAlign w:val="center"/>
          </w:tcPr>
          <w:p w14:paraId="55A77AF0">
            <w:pPr>
              <w:pStyle w:val="48"/>
              <w:numPr>
                <w:ilvl w:val="0"/>
                <w:numId w:val="49"/>
              </w:numPr>
              <w:rPr>
                <w:rFonts w:ascii="微软雅黑" w:hAnsi="微软雅黑" w:cs="微软雅黑"/>
                <w:b w:val="0"/>
                <w:bCs/>
                <w:color w:val="auto"/>
                <w:szCs w:val="28"/>
                <w:highlight w:val="none"/>
              </w:rPr>
            </w:pPr>
          </w:p>
        </w:tc>
        <w:tc>
          <w:tcPr>
            <w:tcW w:w="6431" w:type="dxa"/>
            <w:tcBorders>
              <w:tl2br w:val="nil"/>
              <w:tr2bl w:val="nil"/>
            </w:tcBorders>
            <w:vAlign w:val="center"/>
          </w:tcPr>
          <w:p w14:paraId="61EC4DBF">
            <w:pPr>
              <w:pStyle w:val="48"/>
              <w:ind w:firstLine="440" w:firstLineChars="200"/>
              <w:jc w:val="left"/>
              <w:rPr>
                <w:rFonts w:hint="eastAsia"/>
                <w:b w:val="0"/>
                <w:bCs/>
                <w:color w:val="auto"/>
                <w:szCs w:val="28"/>
                <w:highlight w:val="none"/>
                <w:lang w:val="en-US" w:eastAsia="zh-CN"/>
              </w:rPr>
            </w:pPr>
            <w:r>
              <w:rPr>
                <w:rFonts w:hint="eastAsia"/>
                <w:b w:val="0"/>
                <w:bCs/>
                <w:color w:val="auto"/>
                <w:szCs w:val="28"/>
                <w:highlight w:val="none"/>
                <w:lang w:val="en-US" w:eastAsia="zh-CN"/>
              </w:rPr>
              <w:t>服务承诺及落实措施</w:t>
            </w:r>
          </w:p>
        </w:tc>
        <w:tc>
          <w:tcPr>
            <w:tcW w:w="2549" w:type="dxa"/>
            <w:tcBorders>
              <w:tl2br w:val="nil"/>
              <w:tr2bl w:val="nil"/>
            </w:tcBorders>
            <w:vAlign w:val="center"/>
          </w:tcPr>
          <w:p w14:paraId="1D05D80A">
            <w:pPr>
              <w:pStyle w:val="48"/>
              <w:rPr>
                <w:color w:val="auto"/>
                <w:szCs w:val="28"/>
                <w:highlight w:val="none"/>
              </w:rPr>
            </w:pPr>
          </w:p>
        </w:tc>
      </w:tr>
      <w:tr w14:paraId="10384AF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0" w:type="dxa"/>
            <w:tcBorders>
              <w:tl2br w:val="nil"/>
              <w:tr2bl w:val="nil"/>
            </w:tcBorders>
            <w:vAlign w:val="center"/>
          </w:tcPr>
          <w:p w14:paraId="3ADFE5F4">
            <w:pPr>
              <w:pStyle w:val="48"/>
              <w:numPr>
                <w:ilvl w:val="0"/>
                <w:numId w:val="49"/>
              </w:numPr>
              <w:rPr>
                <w:rFonts w:ascii="微软雅黑" w:hAnsi="微软雅黑" w:cs="微软雅黑"/>
                <w:b w:val="0"/>
                <w:bCs/>
                <w:color w:val="auto"/>
                <w:szCs w:val="28"/>
                <w:highlight w:val="none"/>
              </w:rPr>
            </w:pPr>
          </w:p>
        </w:tc>
        <w:tc>
          <w:tcPr>
            <w:tcW w:w="6431" w:type="dxa"/>
            <w:tcBorders>
              <w:tl2br w:val="nil"/>
              <w:tr2bl w:val="nil"/>
            </w:tcBorders>
            <w:vAlign w:val="center"/>
          </w:tcPr>
          <w:p w14:paraId="1D250E2C">
            <w:pPr>
              <w:pStyle w:val="48"/>
              <w:ind w:firstLine="440" w:firstLineChars="200"/>
              <w:jc w:val="left"/>
              <w:rPr>
                <w:rFonts w:hint="eastAsia" w:eastAsia="微软雅黑"/>
                <w:b w:val="0"/>
                <w:bCs/>
                <w:color w:val="auto"/>
                <w:szCs w:val="28"/>
                <w:highlight w:val="none"/>
                <w:lang w:eastAsia="zh-CN"/>
              </w:rPr>
            </w:pPr>
            <w:r>
              <w:rPr>
                <w:rFonts w:hint="eastAsia"/>
                <w:b w:val="0"/>
                <w:bCs/>
                <w:color w:val="auto"/>
                <w:szCs w:val="28"/>
                <w:highlight w:val="none"/>
                <w:lang w:val="en-US" w:eastAsia="zh-CN"/>
              </w:rPr>
              <w:t>谈判</w:t>
            </w:r>
            <w:r>
              <w:rPr>
                <w:rFonts w:hint="eastAsia"/>
                <w:b w:val="0"/>
                <w:bCs/>
                <w:color w:val="auto"/>
                <w:szCs w:val="28"/>
                <w:highlight w:val="none"/>
              </w:rPr>
              <w:t>承诺</w:t>
            </w:r>
            <w:r>
              <w:rPr>
                <w:rFonts w:hint="eastAsia"/>
                <w:b w:val="0"/>
                <w:bCs/>
                <w:color w:val="auto"/>
                <w:szCs w:val="28"/>
                <w:highlight w:val="none"/>
                <w:lang w:val="en-US" w:eastAsia="zh-CN"/>
              </w:rPr>
              <w:t>书</w:t>
            </w:r>
          </w:p>
        </w:tc>
        <w:tc>
          <w:tcPr>
            <w:tcW w:w="2549" w:type="dxa"/>
            <w:tcBorders>
              <w:tl2br w:val="nil"/>
              <w:tr2bl w:val="nil"/>
            </w:tcBorders>
            <w:vAlign w:val="center"/>
          </w:tcPr>
          <w:p w14:paraId="2C433A3A">
            <w:pPr>
              <w:pStyle w:val="48"/>
              <w:rPr>
                <w:color w:val="auto"/>
                <w:szCs w:val="28"/>
                <w:highlight w:val="none"/>
              </w:rPr>
            </w:pPr>
          </w:p>
        </w:tc>
      </w:tr>
      <w:tr w14:paraId="745D1DA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0" w:type="dxa"/>
            <w:tcBorders>
              <w:tl2br w:val="nil"/>
              <w:tr2bl w:val="nil"/>
            </w:tcBorders>
            <w:vAlign w:val="center"/>
          </w:tcPr>
          <w:p w14:paraId="617824EF">
            <w:pPr>
              <w:pStyle w:val="48"/>
              <w:numPr>
                <w:ilvl w:val="0"/>
                <w:numId w:val="49"/>
              </w:numPr>
              <w:rPr>
                <w:rFonts w:ascii="微软雅黑" w:hAnsi="微软雅黑" w:cs="微软雅黑"/>
                <w:b w:val="0"/>
                <w:bCs/>
                <w:color w:val="auto"/>
                <w:szCs w:val="28"/>
                <w:highlight w:val="none"/>
              </w:rPr>
            </w:pPr>
          </w:p>
        </w:tc>
        <w:tc>
          <w:tcPr>
            <w:tcW w:w="6431" w:type="dxa"/>
            <w:tcBorders>
              <w:tl2br w:val="nil"/>
              <w:tr2bl w:val="nil"/>
            </w:tcBorders>
            <w:vAlign w:val="center"/>
          </w:tcPr>
          <w:p w14:paraId="7B9FC49B">
            <w:pPr>
              <w:pStyle w:val="48"/>
              <w:ind w:firstLine="440" w:firstLineChars="200"/>
              <w:jc w:val="left"/>
              <w:rPr>
                <w:rFonts w:hint="default"/>
                <w:b w:val="0"/>
                <w:bCs/>
                <w:color w:val="auto"/>
                <w:szCs w:val="28"/>
                <w:highlight w:val="none"/>
                <w:lang w:val="en-US" w:eastAsia="zh-CN"/>
              </w:rPr>
            </w:pPr>
            <w:r>
              <w:rPr>
                <w:rFonts w:hint="eastAsia"/>
                <w:b w:val="0"/>
                <w:bCs/>
                <w:color w:val="auto"/>
                <w:szCs w:val="28"/>
                <w:highlight w:val="none"/>
                <w:lang w:val="en-US" w:eastAsia="zh-CN"/>
              </w:rPr>
              <w:t>投标保证金</w:t>
            </w:r>
          </w:p>
        </w:tc>
        <w:tc>
          <w:tcPr>
            <w:tcW w:w="2549" w:type="dxa"/>
            <w:tcBorders>
              <w:tl2br w:val="nil"/>
              <w:tr2bl w:val="nil"/>
            </w:tcBorders>
            <w:vAlign w:val="center"/>
          </w:tcPr>
          <w:p w14:paraId="52C42839">
            <w:pPr>
              <w:pStyle w:val="48"/>
              <w:rPr>
                <w:color w:val="auto"/>
                <w:szCs w:val="28"/>
                <w:highlight w:val="none"/>
              </w:rPr>
            </w:pPr>
          </w:p>
        </w:tc>
      </w:tr>
      <w:tr w14:paraId="1359A7C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0" w:type="dxa"/>
            <w:tcBorders>
              <w:tl2br w:val="nil"/>
              <w:tr2bl w:val="nil"/>
            </w:tcBorders>
            <w:vAlign w:val="center"/>
          </w:tcPr>
          <w:p w14:paraId="3C0E2A61">
            <w:pPr>
              <w:pStyle w:val="48"/>
              <w:numPr>
                <w:ilvl w:val="0"/>
                <w:numId w:val="49"/>
              </w:numPr>
              <w:rPr>
                <w:rFonts w:ascii="微软雅黑" w:hAnsi="微软雅黑" w:cs="微软雅黑"/>
                <w:b w:val="0"/>
                <w:bCs/>
                <w:color w:val="auto"/>
                <w:szCs w:val="28"/>
                <w:highlight w:val="none"/>
              </w:rPr>
            </w:pPr>
          </w:p>
        </w:tc>
        <w:tc>
          <w:tcPr>
            <w:tcW w:w="6431" w:type="dxa"/>
            <w:tcBorders>
              <w:tl2br w:val="nil"/>
              <w:tr2bl w:val="nil"/>
            </w:tcBorders>
            <w:vAlign w:val="center"/>
          </w:tcPr>
          <w:p w14:paraId="4FDED864">
            <w:pPr>
              <w:pStyle w:val="48"/>
              <w:ind w:firstLine="440" w:firstLineChars="200"/>
              <w:jc w:val="left"/>
              <w:rPr>
                <w:rFonts w:hint="eastAsia"/>
                <w:b w:val="0"/>
                <w:bCs/>
                <w:color w:val="auto"/>
                <w:szCs w:val="28"/>
                <w:highlight w:val="none"/>
                <w:lang w:eastAsia="zh-CN"/>
              </w:rPr>
            </w:pPr>
            <w:r>
              <w:rPr>
                <w:rFonts w:hint="eastAsia"/>
                <w:b w:val="0"/>
                <w:bCs/>
                <w:color w:val="auto"/>
                <w:szCs w:val="28"/>
                <w:highlight w:val="none"/>
              </w:rPr>
              <w:t>响应标的符合</w:t>
            </w:r>
            <w:r>
              <w:rPr>
                <w:rFonts w:hint="eastAsia"/>
                <w:b w:val="0"/>
                <w:bCs/>
                <w:color w:val="auto"/>
                <w:szCs w:val="28"/>
                <w:highlight w:val="none"/>
                <w:lang w:val="en-US" w:eastAsia="zh-CN"/>
              </w:rPr>
              <w:t>谈判</w:t>
            </w:r>
            <w:r>
              <w:rPr>
                <w:rFonts w:hint="eastAsia"/>
                <w:b w:val="0"/>
                <w:bCs/>
                <w:color w:val="auto"/>
                <w:szCs w:val="28"/>
                <w:highlight w:val="none"/>
              </w:rPr>
              <w:t>文件规定的证明文件</w:t>
            </w:r>
          </w:p>
        </w:tc>
        <w:tc>
          <w:tcPr>
            <w:tcW w:w="2549" w:type="dxa"/>
            <w:tcBorders>
              <w:tl2br w:val="nil"/>
              <w:tr2bl w:val="nil"/>
            </w:tcBorders>
            <w:vAlign w:val="center"/>
          </w:tcPr>
          <w:p w14:paraId="2FE67D8B">
            <w:pPr>
              <w:pStyle w:val="48"/>
              <w:rPr>
                <w:color w:val="auto"/>
                <w:szCs w:val="28"/>
                <w:highlight w:val="none"/>
              </w:rPr>
            </w:pPr>
          </w:p>
        </w:tc>
      </w:tr>
      <w:tr w14:paraId="09C73B7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0" w:type="dxa"/>
            <w:tcBorders>
              <w:tl2br w:val="nil"/>
              <w:tr2bl w:val="nil"/>
            </w:tcBorders>
            <w:vAlign w:val="center"/>
          </w:tcPr>
          <w:p w14:paraId="73CC06AC">
            <w:pPr>
              <w:pStyle w:val="48"/>
              <w:numPr>
                <w:ilvl w:val="0"/>
                <w:numId w:val="49"/>
              </w:numPr>
              <w:rPr>
                <w:rFonts w:ascii="微软雅黑" w:hAnsi="微软雅黑" w:cs="微软雅黑"/>
                <w:b w:val="0"/>
                <w:bCs/>
                <w:color w:val="auto"/>
                <w:szCs w:val="28"/>
                <w:highlight w:val="none"/>
              </w:rPr>
            </w:pPr>
          </w:p>
        </w:tc>
        <w:tc>
          <w:tcPr>
            <w:tcW w:w="6431" w:type="dxa"/>
            <w:tcBorders>
              <w:tl2br w:val="nil"/>
              <w:tr2bl w:val="nil"/>
            </w:tcBorders>
            <w:vAlign w:val="center"/>
          </w:tcPr>
          <w:p w14:paraId="3E117B45">
            <w:pPr>
              <w:pStyle w:val="48"/>
              <w:ind w:firstLine="440" w:firstLineChars="200"/>
              <w:jc w:val="left"/>
              <w:rPr>
                <w:rFonts w:hint="eastAsia"/>
                <w:b w:val="0"/>
                <w:bCs/>
                <w:color w:val="auto"/>
                <w:szCs w:val="28"/>
                <w:highlight w:val="none"/>
                <w:lang w:eastAsia="zh-CN"/>
              </w:rPr>
            </w:pPr>
            <w:r>
              <w:rPr>
                <w:rFonts w:hint="eastAsia"/>
                <w:b w:val="0"/>
                <w:bCs/>
                <w:color w:val="auto"/>
                <w:szCs w:val="28"/>
                <w:highlight w:val="none"/>
                <w:lang w:eastAsia="zh-CN"/>
              </w:rPr>
              <w:t>供应商</w:t>
            </w:r>
            <w:r>
              <w:rPr>
                <w:rFonts w:hint="eastAsia"/>
                <w:b w:val="0"/>
                <w:bCs/>
                <w:color w:val="auto"/>
                <w:szCs w:val="28"/>
                <w:highlight w:val="none"/>
              </w:rPr>
              <w:t>认为需提供的其他资料</w:t>
            </w:r>
          </w:p>
        </w:tc>
        <w:tc>
          <w:tcPr>
            <w:tcW w:w="2549" w:type="dxa"/>
            <w:tcBorders>
              <w:tl2br w:val="nil"/>
              <w:tr2bl w:val="nil"/>
            </w:tcBorders>
            <w:vAlign w:val="center"/>
          </w:tcPr>
          <w:p w14:paraId="3BA20D25">
            <w:pPr>
              <w:pStyle w:val="48"/>
              <w:rPr>
                <w:color w:val="auto"/>
                <w:szCs w:val="28"/>
                <w:highlight w:val="none"/>
              </w:rPr>
            </w:pPr>
          </w:p>
        </w:tc>
      </w:tr>
      <w:tr w14:paraId="386D0C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0" w:type="dxa"/>
            <w:tcBorders>
              <w:tl2br w:val="nil"/>
              <w:tr2bl w:val="nil"/>
            </w:tcBorders>
            <w:vAlign w:val="center"/>
          </w:tcPr>
          <w:p w14:paraId="415E2C6A">
            <w:pPr>
              <w:pStyle w:val="48"/>
              <w:numPr>
                <w:ilvl w:val="0"/>
                <w:numId w:val="49"/>
              </w:numPr>
              <w:rPr>
                <w:rFonts w:ascii="微软雅黑" w:hAnsi="微软雅黑" w:cs="微软雅黑"/>
                <w:b w:val="0"/>
                <w:bCs/>
                <w:color w:val="auto"/>
                <w:szCs w:val="28"/>
                <w:highlight w:val="none"/>
              </w:rPr>
            </w:pPr>
          </w:p>
        </w:tc>
        <w:tc>
          <w:tcPr>
            <w:tcW w:w="6431" w:type="dxa"/>
            <w:tcBorders>
              <w:tl2br w:val="nil"/>
              <w:tr2bl w:val="nil"/>
            </w:tcBorders>
            <w:vAlign w:val="center"/>
          </w:tcPr>
          <w:p w14:paraId="79500F4D">
            <w:pPr>
              <w:pStyle w:val="48"/>
              <w:ind w:firstLine="440" w:firstLineChars="200"/>
              <w:jc w:val="left"/>
              <w:rPr>
                <w:rFonts w:hint="eastAsia"/>
                <w:b w:val="0"/>
                <w:bCs/>
                <w:color w:val="auto"/>
                <w:szCs w:val="28"/>
                <w:highlight w:val="none"/>
                <w:lang w:eastAsia="zh-CN"/>
              </w:rPr>
            </w:pPr>
            <w:r>
              <w:rPr>
                <w:rFonts w:hint="eastAsia"/>
                <w:b w:val="0"/>
                <w:bCs/>
                <w:color w:val="auto"/>
                <w:szCs w:val="28"/>
                <w:highlight w:val="none"/>
                <w:lang w:val="en-US" w:eastAsia="zh-CN"/>
              </w:rPr>
              <w:t>送达方式确认函</w:t>
            </w:r>
          </w:p>
        </w:tc>
        <w:tc>
          <w:tcPr>
            <w:tcW w:w="2549" w:type="dxa"/>
            <w:tcBorders>
              <w:tl2br w:val="nil"/>
              <w:tr2bl w:val="nil"/>
            </w:tcBorders>
            <w:vAlign w:val="center"/>
          </w:tcPr>
          <w:p w14:paraId="5CBEABED">
            <w:pPr>
              <w:pStyle w:val="48"/>
              <w:rPr>
                <w:color w:val="auto"/>
                <w:szCs w:val="28"/>
                <w:highlight w:val="none"/>
              </w:rPr>
            </w:pPr>
          </w:p>
        </w:tc>
      </w:tr>
      <w:tr w14:paraId="1DFF61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0" w:type="dxa"/>
            <w:tcBorders>
              <w:tl2br w:val="nil"/>
              <w:tr2bl w:val="nil"/>
            </w:tcBorders>
            <w:vAlign w:val="center"/>
          </w:tcPr>
          <w:p w14:paraId="0BE1505B">
            <w:pPr>
              <w:pStyle w:val="48"/>
              <w:numPr>
                <w:ilvl w:val="0"/>
                <w:numId w:val="49"/>
              </w:numPr>
              <w:rPr>
                <w:rFonts w:ascii="微软雅黑" w:hAnsi="微软雅黑" w:cs="微软雅黑"/>
                <w:b w:val="0"/>
                <w:bCs/>
                <w:color w:val="auto"/>
                <w:szCs w:val="28"/>
                <w:highlight w:val="none"/>
              </w:rPr>
            </w:pPr>
          </w:p>
        </w:tc>
        <w:tc>
          <w:tcPr>
            <w:tcW w:w="6431" w:type="dxa"/>
            <w:tcBorders>
              <w:tl2br w:val="nil"/>
              <w:tr2bl w:val="nil"/>
            </w:tcBorders>
            <w:vAlign w:val="center"/>
          </w:tcPr>
          <w:p w14:paraId="43AE21B5">
            <w:pPr>
              <w:pStyle w:val="48"/>
              <w:ind w:firstLine="440" w:firstLineChars="200"/>
              <w:jc w:val="left"/>
              <w:rPr>
                <w:rFonts w:hint="eastAsia"/>
                <w:b w:val="0"/>
                <w:bCs/>
                <w:color w:val="auto"/>
                <w:szCs w:val="28"/>
                <w:highlight w:val="none"/>
                <w:lang w:eastAsia="zh-CN"/>
              </w:rPr>
            </w:pPr>
            <w:r>
              <w:rPr>
                <w:rFonts w:hint="eastAsia"/>
                <w:b w:val="0"/>
                <w:bCs/>
                <w:color w:val="auto"/>
                <w:szCs w:val="28"/>
                <w:highlight w:val="none"/>
                <w:lang w:val="en-US" w:eastAsia="zh-CN"/>
              </w:rPr>
              <w:t>中小企业声明函</w:t>
            </w:r>
          </w:p>
        </w:tc>
        <w:tc>
          <w:tcPr>
            <w:tcW w:w="2549" w:type="dxa"/>
            <w:tcBorders>
              <w:tl2br w:val="nil"/>
              <w:tr2bl w:val="nil"/>
            </w:tcBorders>
            <w:vAlign w:val="center"/>
          </w:tcPr>
          <w:p w14:paraId="3898BE46">
            <w:pPr>
              <w:pStyle w:val="48"/>
              <w:rPr>
                <w:color w:val="auto"/>
                <w:szCs w:val="28"/>
                <w:highlight w:val="none"/>
              </w:rPr>
            </w:pPr>
          </w:p>
        </w:tc>
      </w:tr>
    </w:tbl>
    <w:p w14:paraId="2143890D">
      <w:pPr>
        <w:rPr>
          <w:rFonts w:ascii="仿宋_GB2312" w:eastAsia="仿宋_GB2312" w:cs="Times New Roman"/>
          <w:color w:val="auto"/>
          <w:sz w:val="44"/>
          <w:szCs w:val="28"/>
          <w:highlight w:val="none"/>
        </w:rPr>
      </w:pPr>
      <w:r>
        <w:rPr>
          <w:rFonts w:ascii="仿宋_GB2312" w:eastAsia="仿宋_GB2312" w:cs="Times New Roman"/>
          <w:color w:val="auto"/>
          <w:sz w:val="44"/>
          <w:szCs w:val="28"/>
          <w:highlight w:val="none"/>
        </w:rPr>
        <w:br w:type="page"/>
      </w:r>
    </w:p>
    <w:p w14:paraId="79464D82">
      <w:pPr>
        <w:rPr>
          <w:color w:val="auto"/>
          <w:highlight w:val="none"/>
        </w:rPr>
      </w:pPr>
    </w:p>
    <w:p w14:paraId="2BE1B562">
      <w:pPr>
        <w:pStyle w:val="2"/>
        <w:rPr>
          <w:color w:val="auto"/>
          <w:highlight w:val="none"/>
        </w:rPr>
      </w:pPr>
    </w:p>
    <w:tbl>
      <w:tblPr>
        <w:tblStyle w:val="35"/>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2626"/>
        <w:gridCol w:w="285"/>
        <w:gridCol w:w="5384"/>
        <w:gridCol w:w="414"/>
      </w:tblGrid>
      <w:tr w14:paraId="52F7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8" w:hRule="atLeast"/>
          <w:jc w:val="center"/>
        </w:trPr>
        <w:tc>
          <w:tcPr>
            <w:tcW w:w="9139" w:type="dxa"/>
            <w:gridSpan w:val="5"/>
            <w:tcBorders>
              <w:top w:val="nil"/>
              <w:left w:val="nil"/>
              <w:bottom w:val="nil"/>
              <w:right w:val="nil"/>
            </w:tcBorders>
            <w:vAlign w:val="bottom"/>
          </w:tcPr>
          <w:p w14:paraId="78843A81">
            <w:pPr>
              <w:pStyle w:val="14"/>
              <w:ind w:left="480"/>
              <w:jc w:val="center"/>
              <w:rPr>
                <w:color w:val="auto"/>
                <w:highlight w:val="none"/>
              </w:rPr>
            </w:pPr>
          </w:p>
          <w:p w14:paraId="6682BEDC">
            <w:pPr>
              <w:spacing w:line="480" w:lineRule="auto"/>
              <w:jc w:val="center"/>
              <w:rPr>
                <w:rFonts w:ascii="仿宋_GB2312" w:eastAsia="仿宋_GB2312" w:cs="Times New Roman"/>
                <w:color w:val="auto"/>
                <w:sz w:val="44"/>
                <w:szCs w:val="28"/>
                <w:highlight w:val="none"/>
              </w:rPr>
            </w:pPr>
          </w:p>
        </w:tc>
      </w:tr>
      <w:tr w14:paraId="3D9F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9139" w:type="dxa"/>
            <w:gridSpan w:val="5"/>
            <w:tcBorders>
              <w:top w:val="nil"/>
              <w:left w:val="nil"/>
              <w:bottom w:val="nil"/>
              <w:right w:val="nil"/>
            </w:tcBorders>
          </w:tcPr>
          <w:p w14:paraId="6E578AE2">
            <w:pPr>
              <w:spacing w:line="480" w:lineRule="auto"/>
              <w:jc w:val="center"/>
              <w:rPr>
                <w:rFonts w:ascii="Times New Roman" w:hAnsi="Times New Roman" w:cs="Times New Roman"/>
                <w:b/>
                <w:color w:val="auto"/>
                <w:sz w:val="20"/>
                <w:szCs w:val="21"/>
                <w:highlight w:val="none"/>
              </w:rPr>
            </w:pPr>
            <w:r>
              <w:rPr>
                <w:rFonts w:hint="eastAsia" w:ascii="方正小标宋_GBK" w:eastAsia="方正小标宋_GBK" w:cs="方正小标宋_GBK"/>
                <w:color w:val="auto"/>
                <w:sz w:val="72"/>
                <w:szCs w:val="72"/>
                <w:highlight w:val="none"/>
              </w:rPr>
              <w:t>政</w:t>
            </w:r>
            <w:r>
              <w:rPr>
                <w:rFonts w:hint="eastAsia" w:ascii="方正小标宋_GBK" w:eastAsia="方正小标宋_GBK" w:cs="方正小标宋_GBK"/>
                <w:color w:val="auto"/>
                <w:sz w:val="72"/>
                <w:szCs w:val="72"/>
                <w:highlight w:val="none"/>
                <w:lang w:val="en-US" w:eastAsia="zh-CN"/>
              </w:rPr>
              <w:t>府</w:t>
            </w:r>
            <w:r>
              <w:rPr>
                <w:rFonts w:hint="eastAsia" w:ascii="方正小标宋_GBK" w:eastAsia="方正小标宋_GBK" w:cs="方正小标宋_GBK"/>
                <w:color w:val="auto"/>
                <w:sz w:val="72"/>
                <w:szCs w:val="72"/>
                <w:highlight w:val="none"/>
              </w:rPr>
              <w:t>采购</w:t>
            </w:r>
          </w:p>
        </w:tc>
      </w:tr>
      <w:tr w14:paraId="0B3C5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2" w:hRule="atLeast"/>
          <w:jc w:val="center"/>
        </w:trPr>
        <w:tc>
          <w:tcPr>
            <w:tcW w:w="9139" w:type="dxa"/>
            <w:gridSpan w:val="5"/>
            <w:tcBorders>
              <w:top w:val="nil"/>
              <w:left w:val="nil"/>
              <w:bottom w:val="nil"/>
              <w:right w:val="nil"/>
            </w:tcBorders>
          </w:tcPr>
          <w:p w14:paraId="41BB9202">
            <w:pPr>
              <w:spacing w:line="480" w:lineRule="auto"/>
              <w:jc w:val="center"/>
              <w:rPr>
                <w:rFonts w:ascii="Times New Roman" w:hAnsi="Times New Roman" w:cs="Times New Roman"/>
                <w:color w:val="auto"/>
                <w:sz w:val="40"/>
                <w:szCs w:val="21"/>
                <w:highlight w:val="none"/>
              </w:rPr>
            </w:pPr>
            <w:r>
              <w:rPr>
                <w:rFonts w:hint="eastAsia" w:ascii="方正小标宋_GBK" w:eastAsia="方正小标宋_GBK" w:cs="方正小标宋_GBK"/>
                <w:color w:val="auto"/>
                <w:sz w:val="72"/>
                <w:szCs w:val="72"/>
                <w:highlight w:val="none"/>
              </w:rPr>
              <w:t>响 应 文 件</w:t>
            </w:r>
          </w:p>
        </w:tc>
      </w:tr>
      <w:tr w14:paraId="1517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9139" w:type="dxa"/>
            <w:gridSpan w:val="5"/>
            <w:tcBorders>
              <w:top w:val="nil"/>
              <w:left w:val="nil"/>
              <w:bottom w:val="nil"/>
              <w:right w:val="nil"/>
            </w:tcBorders>
          </w:tcPr>
          <w:p w14:paraId="68D3492F">
            <w:pPr>
              <w:rPr>
                <w:rFonts w:ascii="Times New Roman" w:hAnsi="Times New Roman" w:eastAsia="楷体_GB2312" w:cs="Times New Roman"/>
                <w:b/>
                <w:color w:val="auto"/>
                <w:kern w:val="36"/>
                <w:sz w:val="52"/>
                <w:szCs w:val="52"/>
                <w:highlight w:val="none"/>
              </w:rPr>
            </w:pPr>
          </w:p>
        </w:tc>
      </w:tr>
      <w:tr w14:paraId="5815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30" w:type="dxa"/>
            <w:vMerge w:val="restart"/>
            <w:tcBorders>
              <w:top w:val="nil"/>
              <w:left w:val="nil"/>
              <w:bottom w:val="nil"/>
              <w:right w:val="nil"/>
            </w:tcBorders>
            <w:vAlign w:val="center"/>
          </w:tcPr>
          <w:p w14:paraId="117D740B">
            <w:pPr>
              <w:adjustRightInd w:val="0"/>
              <w:snapToGrid w:val="0"/>
              <w:rPr>
                <w:rFonts w:ascii="Times New Roman" w:hAnsi="Times New Roman" w:eastAsia="楷体_GB2312" w:cs="Times New Roman"/>
                <w:color w:val="auto"/>
                <w:sz w:val="52"/>
                <w:highlight w:val="none"/>
              </w:rPr>
            </w:pPr>
          </w:p>
        </w:tc>
        <w:tc>
          <w:tcPr>
            <w:tcW w:w="2626" w:type="dxa"/>
            <w:tcBorders>
              <w:top w:val="nil"/>
              <w:left w:val="nil"/>
              <w:bottom w:val="nil"/>
              <w:right w:val="nil"/>
            </w:tcBorders>
            <w:vAlign w:val="center"/>
          </w:tcPr>
          <w:p w14:paraId="0C3AD188">
            <w:pPr>
              <w:adjustRightInd w:val="0"/>
              <w:snapToGrid w:val="0"/>
              <w:jc w:val="distribute"/>
              <w:rPr>
                <w:rFonts w:ascii="Times New Roman" w:hAnsi="Times New Roman" w:cs="Times New Roman"/>
                <w:color w:val="auto"/>
                <w:highlight w:val="none"/>
              </w:rPr>
            </w:pPr>
            <w:r>
              <w:rPr>
                <w:rFonts w:hint="eastAsia" w:ascii="黑体" w:eastAsia="黑体" w:cs="黑体"/>
                <w:color w:val="auto"/>
                <w:sz w:val="32"/>
                <w:szCs w:val="32"/>
                <w:highlight w:val="none"/>
              </w:rPr>
              <w:t>项目名称：</w:t>
            </w:r>
          </w:p>
        </w:tc>
        <w:tc>
          <w:tcPr>
            <w:tcW w:w="285" w:type="dxa"/>
            <w:tcBorders>
              <w:top w:val="nil"/>
              <w:left w:val="nil"/>
              <w:bottom w:val="nil"/>
              <w:right w:val="nil"/>
            </w:tcBorders>
            <w:vAlign w:val="bottom"/>
          </w:tcPr>
          <w:p w14:paraId="2F7567C3">
            <w:pPr>
              <w:ind w:firstLine="1960" w:firstLineChars="700"/>
              <w:jc w:val="center"/>
              <w:rPr>
                <w:rFonts w:ascii="Times New Roman" w:hAnsi="Times New Roman" w:cs="Times New Roman"/>
                <w:color w:val="auto"/>
                <w:sz w:val="28"/>
                <w:szCs w:val="28"/>
                <w:highlight w:val="none"/>
              </w:rPr>
            </w:pPr>
            <w:r>
              <w:rPr>
                <w:rFonts w:hint="eastAsia" w:ascii="Times New Roman" w:hAnsi="Times New Roman" w:cs="Times New Roman"/>
                <w:color w:val="auto"/>
                <w:sz w:val="28"/>
                <w:szCs w:val="28"/>
                <w:highlight w:val="none"/>
              </w:rPr>
              <w:t>：</w:t>
            </w:r>
          </w:p>
        </w:tc>
        <w:tc>
          <w:tcPr>
            <w:tcW w:w="5384" w:type="dxa"/>
            <w:tcBorders>
              <w:top w:val="nil"/>
              <w:left w:val="nil"/>
              <w:bottom w:val="nil"/>
              <w:right w:val="nil"/>
            </w:tcBorders>
            <w:vAlign w:val="bottom"/>
          </w:tcPr>
          <w:p w14:paraId="5A6AACA1">
            <w:pPr>
              <w:rPr>
                <w:rFonts w:ascii="Times New Roman" w:hAnsi="Times New Roman" w:cs="Times New Roman"/>
                <w:color w:val="auto"/>
                <w:spacing w:val="20"/>
                <w:sz w:val="28"/>
                <w:szCs w:val="28"/>
                <w:highlight w:val="none"/>
              </w:rPr>
            </w:pPr>
          </w:p>
        </w:tc>
        <w:tc>
          <w:tcPr>
            <w:tcW w:w="414" w:type="dxa"/>
            <w:vMerge w:val="restart"/>
            <w:tcBorders>
              <w:top w:val="nil"/>
              <w:left w:val="nil"/>
              <w:bottom w:val="nil"/>
              <w:right w:val="nil"/>
            </w:tcBorders>
            <w:vAlign w:val="center"/>
          </w:tcPr>
          <w:p w14:paraId="0664CA69">
            <w:pPr>
              <w:adjustRightInd w:val="0"/>
              <w:snapToGrid w:val="0"/>
              <w:rPr>
                <w:rFonts w:ascii="Times New Roman" w:hAnsi="Times New Roman" w:eastAsia="楷体_GB2312" w:cs="Times New Roman"/>
                <w:color w:val="auto"/>
                <w:sz w:val="52"/>
                <w:highlight w:val="none"/>
              </w:rPr>
            </w:pPr>
          </w:p>
        </w:tc>
      </w:tr>
      <w:tr w14:paraId="62E1B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30" w:type="dxa"/>
            <w:vMerge w:val="continue"/>
            <w:tcBorders>
              <w:top w:val="nil"/>
              <w:left w:val="nil"/>
              <w:bottom w:val="nil"/>
              <w:right w:val="nil"/>
            </w:tcBorders>
            <w:vAlign w:val="center"/>
          </w:tcPr>
          <w:p w14:paraId="31BAD439">
            <w:pPr>
              <w:rPr>
                <w:color w:val="auto"/>
                <w:highlight w:val="none"/>
              </w:rPr>
            </w:pPr>
          </w:p>
        </w:tc>
        <w:tc>
          <w:tcPr>
            <w:tcW w:w="2626" w:type="dxa"/>
            <w:tcBorders>
              <w:top w:val="nil"/>
              <w:left w:val="nil"/>
              <w:bottom w:val="nil"/>
              <w:right w:val="nil"/>
            </w:tcBorders>
            <w:vAlign w:val="center"/>
          </w:tcPr>
          <w:p w14:paraId="34AC52DB">
            <w:pPr>
              <w:adjustRightInd w:val="0"/>
              <w:snapToGrid w:val="0"/>
              <w:jc w:val="distribute"/>
              <w:rPr>
                <w:rFonts w:ascii="Times New Roman" w:hAnsi="Times New Roman" w:cs="Times New Roman"/>
                <w:color w:val="auto"/>
                <w:highlight w:val="none"/>
              </w:rPr>
            </w:pPr>
            <w:r>
              <w:rPr>
                <w:rFonts w:hint="eastAsia" w:ascii="黑体" w:eastAsia="黑体" w:cs="黑体"/>
                <w:color w:val="auto"/>
                <w:sz w:val="32"/>
                <w:szCs w:val="32"/>
                <w:highlight w:val="none"/>
                <w:lang w:eastAsia="zh-CN"/>
              </w:rPr>
              <w:t>采购人</w:t>
            </w:r>
            <w:r>
              <w:rPr>
                <w:rFonts w:hint="eastAsia" w:ascii="黑体" w:eastAsia="黑体" w:cs="黑体"/>
                <w:color w:val="auto"/>
                <w:sz w:val="32"/>
                <w:szCs w:val="32"/>
                <w:highlight w:val="none"/>
              </w:rPr>
              <w:t>：</w:t>
            </w:r>
          </w:p>
        </w:tc>
        <w:tc>
          <w:tcPr>
            <w:tcW w:w="285" w:type="dxa"/>
            <w:tcBorders>
              <w:top w:val="nil"/>
              <w:left w:val="nil"/>
              <w:bottom w:val="nil"/>
              <w:right w:val="nil"/>
            </w:tcBorders>
            <w:vAlign w:val="bottom"/>
          </w:tcPr>
          <w:p w14:paraId="6724B0AB">
            <w:pPr>
              <w:ind w:firstLine="1960" w:firstLineChars="700"/>
              <w:jc w:val="center"/>
              <w:rPr>
                <w:rFonts w:ascii="Times New Roman" w:hAnsi="Times New Roman" w:cs="Times New Roman"/>
                <w:color w:val="auto"/>
                <w:sz w:val="28"/>
                <w:szCs w:val="28"/>
                <w:highlight w:val="none"/>
              </w:rPr>
            </w:pPr>
          </w:p>
        </w:tc>
        <w:tc>
          <w:tcPr>
            <w:tcW w:w="5384" w:type="dxa"/>
            <w:tcBorders>
              <w:top w:val="nil"/>
              <w:left w:val="nil"/>
              <w:bottom w:val="nil"/>
              <w:right w:val="nil"/>
            </w:tcBorders>
            <w:vAlign w:val="bottom"/>
          </w:tcPr>
          <w:p w14:paraId="14FF1CB1">
            <w:pPr>
              <w:rPr>
                <w:rFonts w:ascii="Times New Roman" w:hAnsi="Times New Roman" w:cs="Times New Roman"/>
                <w:color w:val="auto"/>
                <w:sz w:val="28"/>
                <w:szCs w:val="28"/>
                <w:highlight w:val="none"/>
              </w:rPr>
            </w:pPr>
          </w:p>
        </w:tc>
        <w:tc>
          <w:tcPr>
            <w:tcW w:w="414" w:type="dxa"/>
            <w:vMerge w:val="continue"/>
            <w:tcBorders>
              <w:top w:val="nil"/>
              <w:left w:val="nil"/>
              <w:bottom w:val="nil"/>
              <w:right w:val="nil"/>
            </w:tcBorders>
            <w:vAlign w:val="center"/>
          </w:tcPr>
          <w:p w14:paraId="752ABB83">
            <w:pPr>
              <w:rPr>
                <w:color w:val="auto"/>
                <w:highlight w:val="none"/>
              </w:rPr>
            </w:pPr>
          </w:p>
        </w:tc>
      </w:tr>
      <w:tr w14:paraId="7BE0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30" w:type="dxa"/>
            <w:vMerge w:val="continue"/>
            <w:tcBorders>
              <w:top w:val="nil"/>
              <w:left w:val="nil"/>
              <w:bottom w:val="nil"/>
              <w:right w:val="nil"/>
            </w:tcBorders>
            <w:vAlign w:val="center"/>
          </w:tcPr>
          <w:p w14:paraId="111E5EE6">
            <w:pPr>
              <w:rPr>
                <w:color w:val="auto"/>
                <w:highlight w:val="none"/>
              </w:rPr>
            </w:pPr>
          </w:p>
        </w:tc>
        <w:tc>
          <w:tcPr>
            <w:tcW w:w="2626" w:type="dxa"/>
            <w:tcBorders>
              <w:top w:val="nil"/>
              <w:left w:val="nil"/>
              <w:bottom w:val="nil"/>
              <w:right w:val="nil"/>
            </w:tcBorders>
            <w:vAlign w:val="center"/>
          </w:tcPr>
          <w:p w14:paraId="4973E8C7">
            <w:pPr>
              <w:adjustRightInd w:val="0"/>
              <w:snapToGrid w:val="0"/>
              <w:jc w:val="distribute"/>
              <w:rPr>
                <w:rFonts w:ascii="Times New Roman" w:hAnsi="Times New Roman" w:cs="Times New Roman"/>
                <w:color w:val="auto"/>
                <w:highlight w:val="none"/>
              </w:rPr>
            </w:pPr>
            <w:r>
              <w:rPr>
                <w:rFonts w:hint="eastAsia" w:ascii="黑体" w:eastAsia="黑体" w:cs="黑体"/>
                <w:color w:val="auto"/>
                <w:sz w:val="32"/>
                <w:szCs w:val="32"/>
                <w:highlight w:val="none"/>
                <w:lang w:eastAsia="zh-CN"/>
              </w:rPr>
              <w:t>采购计划编号</w:t>
            </w:r>
            <w:r>
              <w:rPr>
                <w:rFonts w:hint="eastAsia" w:ascii="黑体" w:eastAsia="黑体" w:cs="黑体"/>
                <w:color w:val="auto"/>
                <w:sz w:val="32"/>
                <w:szCs w:val="32"/>
                <w:highlight w:val="none"/>
              </w:rPr>
              <w:t>：</w:t>
            </w:r>
          </w:p>
        </w:tc>
        <w:tc>
          <w:tcPr>
            <w:tcW w:w="285" w:type="dxa"/>
            <w:tcBorders>
              <w:top w:val="nil"/>
              <w:left w:val="nil"/>
              <w:bottom w:val="nil"/>
              <w:right w:val="nil"/>
            </w:tcBorders>
            <w:vAlign w:val="bottom"/>
          </w:tcPr>
          <w:p w14:paraId="0FC848C8">
            <w:pPr>
              <w:ind w:firstLine="1960" w:firstLineChars="700"/>
              <w:jc w:val="center"/>
              <w:rPr>
                <w:rFonts w:ascii="Times New Roman" w:hAnsi="Times New Roman" w:cs="Times New Roman"/>
                <w:color w:val="auto"/>
                <w:sz w:val="28"/>
                <w:szCs w:val="28"/>
                <w:highlight w:val="none"/>
              </w:rPr>
            </w:pPr>
          </w:p>
        </w:tc>
        <w:tc>
          <w:tcPr>
            <w:tcW w:w="5384" w:type="dxa"/>
            <w:tcBorders>
              <w:top w:val="nil"/>
              <w:left w:val="nil"/>
              <w:bottom w:val="nil"/>
              <w:right w:val="nil"/>
            </w:tcBorders>
            <w:vAlign w:val="bottom"/>
          </w:tcPr>
          <w:p w14:paraId="1846430B">
            <w:pPr>
              <w:rPr>
                <w:rFonts w:ascii="Times New Roman" w:hAnsi="Times New Roman" w:cs="Times New Roman"/>
                <w:color w:val="auto"/>
                <w:sz w:val="28"/>
                <w:szCs w:val="28"/>
                <w:highlight w:val="none"/>
              </w:rPr>
            </w:pPr>
          </w:p>
        </w:tc>
        <w:tc>
          <w:tcPr>
            <w:tcW w:w="414" w:type="dxa"/>
            <w:vMerge w:val="continue"/>
            <w:tcBorders>
              <w:top w:val="nil"/>
              <w:left w:val="nil"/>
              <w:bottom w:val="nil"/>
              <w:right w:val="nil"/>
            </w:tcBorders>
            <w:vAlign w:val="center"/>
          </w:tcPr>
          <w:p w14:paraId="2D57C784">
            <w:pPr>
              <w:rPr>
                <w:color w:val="auto"/>
                <w:highlight w:val="none"/>
              </w:rPr>
            </w:pPr>
          </w:p>
        </w:tc>
      </w:tr>
      <w:tr w14:paraId="41B76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30" w:type="dxa"/>
            <w:vMerge w:val="continue"/>
            <w:tcBorders>
              <w:top w:val="nil"/>
              <w:left w:val="nil"/>
              <w:bottom w:val="nil"/>
              <w:right w:val="nil"/>
            </w:tcBorders>
            <w:vAlign w:val="center"/>
          </w:tcPr>
          <w:p w14:paraId="531B2C4C">
            <w:pPr>
              <w:rPr>
                <w:color w:val="auto"/>
                <w:highlight w:val="none"/>
              </w:rPr>
            </w:pPr>
          </w:p>
        </w:tc>
        <w:tc>
          <w:tcPr>
            <w:tcW w:w="2626" w:type="dxa"/>
            <w:tcBorders>
              <w:top w:val="nil"/>
              <w:left w:val="nil"/>
              <w:bottom w:val="nil"/>
              <w:right w:val="nil"/>
            </w:tcBorders>
            <w:vAlign w:val="center"/>
          </w:tcPr>
          <w:p w14:paraId="167EA088">
            <w:pPr>
              <w:adjustRightInd w:val="0"/>
              <w:snapToGrid w:val="0"/>
              <w:jc w:val="distribute"/>
              <w:rPr>
                <w:rFonts w:ascii="Times New Roman" w:hAnsi="Times New Roman" w:cs="Times New Roman"/>
                <w:color w:val="auto"/>
                <w:highlight w:val="none"/>
              </w:rPr>
            </w:pPr>
            <w:r>
              <w:rPr>
                <w:rFonts w:hint="eastAsia" w:ascii="黑体" w:eastAsia="黑体" w:cs="黑体"/>
                <w:color w:val="auto"/>
                <w:sz w:val="32"/>
                <w:szCs w:val="32"/>
                <w:highlight w:val="none"/>
                <w:lang w:eastAsia="zh-CN"/>
              </w:rPr>
              <w:t>采购代理机构</w:t>
            </w:r>
            <w:r>
              <w:rPr>
                <w:rFonts w:hint="eastAsia" w:ascii="黑体" w:eastAsia="黑体" w:cs="黑体"/>
                <w:color w:val="auto"/>
                <w:sz w:val="32"/>
                <w:szCs w:val="32"/>
                <w:highlight w:val="none"/>
              </w:rPr>
              <w:t>：</w:t>
            </w:r>
          </w:p>
        </w:tc>
        <w:tc>
          <w:tcPr>
            <w:tcW w:w="285" w:type="dxa"/>
            <w:tcBorders>
              <w:top w:val="nil"/>
              <w:left w:val="nil"/>
              <w:bottom w:val="nil"/>
              <w:right w:val="nil"/>
            </w:tcBorders>
            <w:vAlign w:val="bottom"/>
          </w:tcPr>
          <w:p w14:paraId="16DB8FDF">
            <w:pPr>
              <w:ind w:firstLine="1960" w:firstLineChars="700"/>
              <w:jc w:val="center"/>
              <w:rPr>
                <w:rFonts w:ascii="Times New Roman" w:hAnsi="Times New Roman" w:cs="Times New Roman"/>
                <w:color w:val="auto"/>
                <w:sz w:val="28"/>
                <w:szCs w:val="28"/>
                <w:highlight w:val="none"/>
              </w:rPr>
            </w:pPr>
          </w:p>
        </w:tc>
        <w:tc>
          <w:tcPr>
            <w:tcW w:w="5384" w:type="dxa"/>
            <w:tcBorders>
              <w:top w:val="nil"/>
              <w:left w:val="nil"/>
              <w:bottom w:val="nil"/>
              <w:right w:val="nil"/>
            </w:tcBorders>
            <w:vAlign w:val="bottom"/>
          </w:tcPr>
          <w:p w14:paraId="29C78D81">
            <w:pPr>
              <w:rPr>
                <w:rFonts w:ascii="Times New Roman" w:hAnsi="Times New Roman" w:cs="Times New Roman"/>
                <w:color w:val="auto"/>
                <w:sz w:val="28"/>
                <w:szCs w:val="28"/>
                <w:highlight w:val="none"/>
                <w:u w:val="single"/>
              </w:rPr>
            </w:pPr>
          </w:p>
        </w:tc>
        <w:tc>
          <w:tcPr>
            <w:tcW w:w="414" w:type="dxa"/>
            <w:vMerge w:val="continue"/>
            <w:tcBorders>
              <w:top w:val="nil"/>
              <w:left w:val="nil"/>
              <w:bottom w:val="nil"/>
              <w:right w:val="nil"/>
            </w:tcBorders>
            <w:vAlign w:val="center"/>
          </w:tcPr>
          <w:p w14:paraId="541B0D4B">
            <w:pPr>
              <w:rPr>
                <w:color w:val="auto"/>
                <w:highlight w:val="none"/>
              </w:rPr>
            </w:pPr>
          </w:p>
        </w:tc>
      </w:tr>
      <w:tr w14:paraId="3B9E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430" w:type="dxa"/>
            <w:tcBorders>
              <w:top w:val="nil"/>
              <w:left w:val="nil"/>
              <w:bottom w:val="nil"/>
              <w:right w:val="nil"/>
            </w:tcBorders>
            <w:vAlign w:val="bottom"/>
          </w:tcPr>
          <w:p w14:paraId="3E114874">
            <w:pPr>
              <w:rPr>
                <w:rFonts w:ascii="黑体" w:eastAsia="黑体" w:cs="Times New Roman"/>
                <w:color w:val="auto"/>
                <w:sz w:val="32"/>
                <w:szCs w:val="32"/>
                <w:highlight w:val="none"/>
              </w:rPr>
            </w:pPr>
          </w:p>
          <w:p w14:paraId="4AB85849">
            <w:pPr>
              <w:rPr>
                <w:rFonts w:ascii="黑体" w:eastAsia="黑体" w:cs="Times New Roman"/>
                <w:color w:val="auto"/>
                <w:sz w:val="32"/>
                <w:szCs w:val="32"/>
                <w:highlight w:val="none"/>
              </w:rPr>
            </w:pPr>
          </w:p>
          <w:p w14:paraId="7F5DC6F8">
            <w:pPr>
              <w:pStyle w:val="45"/>
              <w:spacing w:before="156"/>
              <w:ind w:firstLine="1600" w:firstLineChars="500"/>
              <w:rPr>
                <w:rFonts w:ascii="黑体" w:eastAsia="黑体"/>
                <w:color w:val="auto"/>
                <w:sz w:val="32"/>
                <w:szCs w:val="32"/>
                <w:highlight w:val="none"/>
              </w:rPr>
            </w:pPr>
          </w:p>
        </w:tc>
        <w:tc>
          <w:tcPr>
            <w:tcW w:w="2626" w:type="dxa"/>
            <w:tcBorders>
              <w:top w:val="nil"/>
              <w:left w:val="nil"/>
              <w:bottom w:val="nil"/>
              <w:right w:val="nil"/>
            </w:tcBorders>
            <w:vAlign w:val="bottom"/>
          </w:tcPr>
          <w:p w14:paraId="6E91F2CC">
            <w:pPr>
              <w:pStyle w:val="45"/>
              <w:spacing w:before="156"/>
              <w:ind w:firstLine="0" w:firstLineChars="0"/>
              <w:jc w:val="distribute"/>
              <w:rPr>
                <w:rFonts w:ascii="黑体" w:eastAsia="黑体"/>
                <w:color w:val="auto"/>
                <w:sz w:val="32"/>
                <w:szCs w:val="32"/>
                <w:highlight w:val="none"/>
              </w:rPr>
            </w:pPr>
            <w:r>
              <w:rPr>
                <w:rFonts w:hint="eastAsia" w:ascii="黑体" w:eastAsia="黑体"/>
                <w:color w:val="auto"/>
                <w:sz w:val="32"/>
                <w:szCs w:val="32"/>
                <w:highlight w:val="none"/>
                <w:lang w:eastAsia="zh-CN"/>
              </w:rPr>
              <w:t>供应商</w:t>
            </w:r>
            <w:r>
              <w:rPr>
                <w:rFonts w:hint="eastAsia" w:ascii="黑体" w:eastAsia="黑体"/>
                <w:color w:val="auto"/>
                <w:sz w:val="32"/>
                <w:szCs w:val="32"/>
                <w:highlight w:val="none"/>
              </w:rPr>
              <w:t>：</w:t>
            </w:r>
          </w:p>
        </w:tc>
        <w:tc>
          <w:tcPr>
            <w:tcW w:w="285" w:type="dxa"/>
            <w:tcBorders>
              <w:top w:val="nil"/>
              <w:left w:val="nil"/>
              <w:bottom w:val="nil"/>
              <w:right w:val="nil"/>
            </w:tcBorders>
            <w:vAlign w:val="bottom"/>
          </w:tcPr>
          <w:p w14:paraId="5C2B1D0C">
            <w:pPr>
              <w:pStyle w:val="45"/>
              <w:spacing w:before="156"/>
              <w:ind w:firstLine="1600" w:firstLineChars="500"/>
              <w:jc w:val="center"/>
              <w:rPr>
                <w:rFonts w:ascii="黑体" w:eastAsia="黑体" w:cs="黑体"/>
                <w:color w:val="auto"/>
                <w:sz w:val="32"/>
                <w:szCs w:val="28"/>
                <w:highlight w:val="none"/>
              </w:rPr>
            </w:pPr>
          </w:p>
        </w:tc>
        <w:tc>
          <w:tcPr>
            <w:tcW w:w="5384" w:type="dxa"/>
            <w:tcBorders>
              <w:top w:val="nil"/>
              <w:left w:val="nil"/>
              <w:bottom w:val="nil"/>
              <w:right w:val="nil"/>
            </w:tcBorders>
            <w:vAlign w:val="bottom"/>
          </w:tcPr>
          <w:p w14:paraId="27D4092F">
            <w:pPr>
              <w:pStyle w:val="45"/>
              <w:spacing w:before="156"/>
              <w:ind w:firstLine="1600" w:firstLineChars="500"/>
              <w:rPr>
                <w:rFonts w:ascii="黑体" w:eastAsia="黑体" w:cs="黑体"/>
                <w:color w:val="auto"/>
                <w:sz w:val="32"/>
                <w:szCs w:val="28"/>
                <w:highlight w:val="none"/>
              </w:rPr>
            </w:pPr>
          </w:p>
        </w:tc>
        <w:tc>
          <w:tcPr>
            <w:tcW w:w="414" w:type="dxa"/>
            <w:tcBorders>
              <w:top w:val="nil"/>
              <w:left w:val="nil"/>
              <w:bottom w:val="nil"/>
              <w:right w:val="nil"/>
            </w:tcBorders>
            <w:vAlign w:val="bottom"/>
          </w:tcPr>
          <w:p w14:paraId="6C88166F">
            <w:pPr>
              <w:pStyle w:val="45"/>
              <w:spacing w:before="156"/>
              <w:ind w:firstLine="1600" w:firstLineChars="500"/>
              <w:rPr>
                <w:rFonts w:ascii="黑体" w:eastAsia="黑体" w:cs="黑体"/>
                <w:color w:val="auto"/>
                <w:sz w:val="32"/>
                <w:szCs w:val="28"/>
                <w:highlight w:val="none"/>
              </w:rPr>
            </w:pPr>
          </w:p>
        </w:tc>
      </w:tr>
      <w:tr w14:paraId="71B09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jc w:val="center"/>
        </w:trPr>
        <w:tc>
          <w:tcPr>
            <w:tcW w:w="9139" w:type="dxa"/>
            <w:gridSpan w:val="5"/>
            <w:tcBorders>
              <w:top w:val="nil"/>
              <w:left w:val="nil"/>
              <w:bottom w:val="nil"/>
              <w:right w:val="nil"/>
            </w:tcBorders>
            <w:vAlign w:val="bottom"/>
          </w:tcPr>
          <w:p w14:paraId="6112523B">
            <w:pPr>
              <w:jc w:val="center"/>
              <w:rPr>
                <w:rFonts w:ascii="黑体" w:eastAsia="黑体" w:cs="Times New Roman"/>
                <w:color w:val="auto"/>
                <w:sz w:val="32"/>
                <w:szCs w:val="32"/>
                <w:highlight w:val="none"/>
              </w:rPr>
            </w:pPr>
            <w:r>
              <w:rPr>
                <w:rFonts w:hint="eastAsia" w:ascii="黑体" w:eastAsia="黑体" w:cs="Times New Roman"/>
                <w:color w:val="auto"/>
                <w:sz w:val="32"/>
                <w:szCs w:val="32"/>
                <w:highlight w:val="none"/>
              </w:rPr>
              <w:t>二〇XX年 月</w:t>
            </w:r>
          </w:p>
        </w:tc>
      </w:tr>
    </w:tbl>
    <w:p w14:paraId="74161346">
      <w:pPr>
        <w:pStyle w:val="4"/>
        <w:numPr>
          <w:ilvl w:val="0"/>
          <w:numId w:val="0"/>
        </w:numPr>
        <w:spacing w:before="156"/>
        <w:ind w:left="0" w:leftChars="0" w:firstLine="420" w:firstLineChars="0"/>
        <w:jc w:val="center"/>
        <w:rPr>
          <w:color w:val="auto"/>
          <w:highlight w:val="none"/>
        </w:rPr>
      </w:pPr>
      <w:bookmarkStart w:id="77" w:name="_Toc22147"/>
      <w:bookmarkStart w:id="78" w:name="_Toc14306"/>
      <w:bookmarkStart w:id="79" w:name="_Toc19862"/>
      <w:bookmarkStart w:id="80" w:name="_Toc11864"/>
      <w:bookmarkStart w:id="81" w:name="_Toc7343"/>
      <w:r>
        <w:rPr>
          <w:rFonts w:hint="eastAsia" w:ascii="Arial" w:hAnsi="Arial" w:eastAsia="黑体" w:cs="Times New Roman"/>
          <w:color w:val="auto"/>
          <w:kern w:val="2"/>
          <w:sz w:val="30"/>
          <w:szCs w:val="24"/>
          <w:highlight w:val="none"/>
          <w:lang w:val="en-US" w:eastAsia="zh-CN" w:bidi="ar-SA"/>
        </w:rPr>
        <w:t>一、</w:t>
      </w:r>
      <w:r>
        <w:rPr>
          <w:rFonts w:hint="eastAsia"/>
          <w:color w:val="auto"/>
          <w:highlight w:val="none"/>
          <w:lang w:val="en-US" w:eastAsia="zh-CN"/>
        </w:rPr>
        <w:t>谈判</w:t>
      </w:r>
      <w:r>
        <w:rPr>
          <w:rFonts w:hint="eastAsia"/>
          <w:color w:val="auto"/>
          <w:highlight w:val="none"/>
        </w:rPr>
        <w:t>响应声明（格式）</w:t>
      </w:r>
      <w:bookmarkEnd w:id="77"/>
      <w:bookmarkEnd w:id="78"/>
      <w:bookmarkEnd w:id="79"/>
      <w:bookmarkEnd w:id="80"/>
      <w:bookmarkEnd w:id="81"/>
    </w:p>
    <w:p w14:paraId="03CBAF1C">
      <w:pPr>
        <w:pStyle w:val="45"/>
        <w:spacing w:before="156"/>
        <w:ind w:firstLine="0" w:firstLineChars="0"/>
        <w:rPr>
          <w:color w:val="auto"/>
          <w:highlight w:val="none"/>
        </w:rPr>
      </w:pPr>
      <w:r>
        <w:rPr>
          <w:rFonts w:hint="eastAsia"/>
          <w:color w:val="auto"/>
          <w:highlight w:val="none"/>
        </w:rPr>
        <w:t>致</w:t>
      </w:r>
      <w:r>
        <w:rPr>
          <w:rFonts w:hint="eastAsia"/>
          <w:color w:val="auto"/>
          <w:highlight w:val="none"/>
          <w:u w:val="single"/>
        </w:rPr>
        <w:t xml:space="preserve">                     </w:t>
      </w:r>
      <w:r>
        <w:rPr>
          <w:rFonts w:hint="eastAsia"/>
          <w:color w:val="auto"/>
          <w:highlight w:val="none"/>
        </w:rPr>
        <w:t>（</w:t>
      </w:r>
      <w:r>
        <w:rPr>
          <w:rFonts w:hint="eastAsia"/>
          <w:color w:val="auto"/>
          <w:highlight w:val="none"/>
          <w:lang w:eastAsia="zh-CN"/>
        </w:rPr>
        <w:t>采购人</w:t>
      </w:r>
      <w:r>
        <w:rPr>
          <w:rFonts w:hint="eastAsia"/>
          <w:color w:val="auto"/>
          <w:highlight w:val="none"/>
        </w:rPr>
        <w:t>、</w:t>
      </w:r>
      <w:r>
        <w:rPr>
          <w:rFonts w:hint="eastAsia"/>
          <w:color w:val="auto"/>
          <w:highlight w:val="none"/>
          <w:lang w:eastAsia="zh-CN"/>
        </w:rPr>
        <w:t>采购代理机构</w:t>
      </w:r>
      <w:r>
        <w:rPr>
          <w:rFonts w:hint="eastAsia"/>
          <w:color w:val="auto"/>
          <w:highlight w:val="none"/>
        </w:rPr>
        <w:t>）：</w:t>
      </w:r>
    </w:p>
    <w:p w14:paraId="2745BFCB">
      <w:pPr>
        <w:pStyle w:val="45"/>
        <w:spacing w:before="240"/>
        <w:ind w:firstLine="480"/>
        <w:rPr>
          <w:color w:val="auto"/>
          <w:highlight w:val="none"/>
        </w:rPr>
      </w:pPr>
      <w:r>
        <w:rPr>
          <w:rFonts w:hint="eastAsia"/>
          <w:color w:val="auto"/>
          <w:highlight w:val="none"/>
        </w:rPr>
        <w:t>根据贵方为</w:t>
      </w:r>
      <w:r>
        <w:rPr>
          <w:rFonts w:hint="eastAsia"/>
          <w:color w:val="auto"/>
          <w:highlight w:val="none"/>
          <w:u w:val="single"/>
          <w:lang w:val="en-US" w:eastAsia="zh-CN"/>
        </w:rPr>
        <w:t xml:space="preserve">                     </w:t>
      </w:r>
      <w:r>
        <w:rPr>
          <w:rFonts w:hint="eastAsia"/>
          <w:color w:val="auto"/>
          <w:highlight w:val="none"/>
        </w:rPr>
        <w:t>（项目名称）的谈判邀请（</w:t>
      </w:r>
      <w:r>
        <w:rPr>
          <w:rFonts w:hint="eastAsia"/>
          <w:color w:val="auto"/>
          <w:highlight w:val="none"/>
          <w:lang w:val="en-US" w:eastAsia="zh-CN"/>
        </w:rPr>
        <w:t>采购计划</w:t>
      </w:r>
      <w:r>
        <w:rPr>
          <w:rFonts w:hint="eastAsia"/>
          <w:color w:val="auto"/>
          <w:highlight w:val="none"/>
        </w:rPr>
        <w:t>编号：</w:t>
      </w:r>
      <w:r>
        <w:rPr>
          <w:rFonts w:hint="eastAsia"/>
          <w:color w:val="auto"/>
          <w:highlight w:val="none"/>
          <w:u w:val="single"/>
          <w:lang w:val="en-US" w:eastAsia="zh-CN"/>
        </w:rPr>
        <w:t xml:space="preserve">        </w:t>
      </w:r>
      <w:r>
        <w:rPr>
          <w:rFonts w:hint="eastAsia"/>
          <w:color w:val="auto"/>
          <w:highlight w:val="none"/>
        </w:rPr>
        <w:t>），签字代表</w:t>
      </w:r>
      <w:r>
        <w:rPr>
          <w:rFonts w:hint="eastAsia"/>
          <w:color w:val="auto"/>
          <w:highlight w:val="none"/>
          <w:u w:val="single"/>
        </w:rPr>
        <w:t xml:space="preserve">         </w:t>
      </w:r>
      <w:r>
        <w:rPr>
          <w:rFonts w:hint="eastAsia"/>
          <w:color w:val="auto"/>
          <w:highlight w:val="none"/>
        </w:rPr>
        <w:t>（姓名、职务）经正式授权并代表供应商</w:t>
      </w:r>
      <w:r>
        <w:rPr>
          <w:rFonts w:hint="eastAsia"/>
          <w:color w:val="auto"/>
          <w:highlight w:val="none"/>
          <w:u w:val="single"/>
        </w:rPr>
        <w:t xml:space="preserve">           </w:t>
      </w:r>
      <w:r>
        <w:rPr>
          <w:rFonts w:hint="eastAsia"/>
          <w:color w:val="auto"/>
          <w:highlight w:val="none"/>
        </w:rPr>
        <w:t>（供应商名称）提交响应文件电子文档：一份，参加采购项目第</w:t>
      </w:r>
      <w:r>
        <w:rPr>
          <w:rFonts w:hint="eastAsia"/>
          <w:color w:val="auto"/>
          <w:highlight w:val="none"/>
          <w:u w:val="single"/>
        </w:rPr>
        <w:t xml:space="preserve">   </w:t>
      </w:r>
      <w:r>
        <w:rPr>
          <w:rFonts w:hint="eastAsia"/>
          <w:color w:val="auto"/>
          <w:highlight w:val="none"/>
        </w:rPr>
        <w:t>包谈判，并在此声明，所递交的响应文件内容完整、真实。</w:t>
      </w:r>
    </w:p>
    <w:p w14:paraId="74E15BA9">
      <w:pPr>
        <w:pStyle w:val="45"/>
        <w:spacing w:before="240"/>
        <w:ind w:firstLine="480"/>
        <w:rPr>
          <w:color w:val="auto"/>
          <w:highlight w:val="none"/>
        </w:rPr>
      </w:pPr>
      <w:r>
        <w:rPr>
          <w:rFonts w:hint="eastAsia"/>
          <w:color w:val="auto"/>
          <w:highlight w:val="none"/>
        </w:rPr>
        <w:t>一、我方已详细审查谈判文件。我们完全理解并同意放弃对这方面有不明及误解的权力。</w:t>
      </w:r>
    </w:p>
    <w:p w14:paraId="096C4929">
      <w:pPr>
        <w:pStyle w:val="45"/>
        <w:spacing w:before="240"/>
        <w:ind w:firstLine="480"/>
        <w:rPr>
          <w:color w:val="auto"/>
          <w:highlight w:val="none"/>
        </w:rPr>
      </w:pPr>
      <w:r>
        <w:rPr>
          <w:rFonts w:hint="eastAsia"/>
          <w:color w:val="auto"/>
          <w:highlight w:val="none"/>
        </w:rPr>
        <w:t>二、我方愿意向贵方提供任何与本项采购有关的数据、情况和技术资料。若贵方需要，我方愿意提供我方作出的一切承诺的证明材料。</w:t>
      </w:r>
    </w:p>
    <w:p w14:paraId="4BD916AA">
      <w:pPr>
        <w:pStyle w:val="45"/>
        <w:spacing w:before="240"/>
        <w:ind w:firstLine="480"/>
        <w:outlineLvl w:val="9"/>
        <w:rPr>
          <w:color w:val="auto"/>
          <w:highlight w:val="none"/>
        </w:rPr>
      </w:pPr>
      <w:r>
        <w:rPr>
          <w:rFonts w:hint="eastAsia"/>
          <w:color w:val="auto"/>
          <w:highlight w:val="none"/>
        </w:rPr>
        <w:t>三、我方愿意按谈判文件规定和谈判小组要求重新提交响应文件。</w:t>
      </w:r>
    </w:p>
    <w:p w14:paraId="20748953">
      <w:pPr>
        <w:pStyle w:val="45"/>
        <w:spacing w:before="240"/>
        <w:ind w:firstLine="480"/>
        <w:rPr>
          <w:color w:val="auto"/>
          <w:highlight w:val="none"/>
        </w:rPr>
      </w:pPr>
      <w:r>
        <w:rPr>
          <w:rFonts w:hint="eastAsia"/>
          <w:color w:val="auto"/>
          <w:highlight w:val="none"/>
        </w:rPr>
        <w:t>四、我方同意在谈判文件中规定的提交首次响应文件截止时间起</w:t>
      </w:r>
      <w:r>
        <w:rPr>
          <w:rFonts w:hint="eastAsia"/>
          <w:color w:val="auto"/>
          <w:highlight w:val="none"/>
          <w:u w:val="single"/>
        </w:rPr>
        <w:t xml:space="preserve">    </w:t>
      </w:r>
      <w:r>
        <w:rPr>
          <w:rFonts w:hint="eastAsia"/>
          <w:color w:val="auto"/>
          <w:highlight w:val="none"/>
        </w:rPr>
        <w:t>日内（响应文件有效期）遵守本响应文件中的承诺且在此期限期满之前均具有法律约束力。</w:t>
      </w:r>
    </w:p>
    <w:p w14:paraId="175BA393">
      <w:pPr>
        <w:pStyle w:val="45"/>
        <w:spacing w:before="240"/>
        <w:ind w:firstLine="480"/>
        <w:rPr>
          <w:color w:val="auto"/>
          <w:highlight w:val="none"/>
        </w:rPr>
      </w:pPr>
      <w:r>
        <w:rPr>
          <w:rFonts w:hint="eastAsia"/>
          <w:color w:val="auto"/>
          <w:highlight w:val="none"/>
        </w:rPr>
        <w:t>五、我方承诺遵守《政府采购法》及实施条例、《政府采购竞争性谈判采购方式管理暂行办法》（财库</w:t>
      </w:r>
      <w:r>
        <w:rPr>
          <w:rFonts w:hint="eastAsia"/>
          <w:color w:val="auto"/>
          <w:highlight w:val="none"/>
          <w:lang w:eastAsia="zh-CN"/>
        </w:rPr>
        <w:t>〔2014〕214号</w:t>
      </w:r>
      <w:r>
        <w:rPr>
          <w:rFonts w:hint="eastAsia"/>
          <w:color w:val="auto"/>
          <w:highlight w:val="none"/>
        </w:rPr>
        <w:t>）</w:t>
      </w:r>
      <w:r>
        <w:rPr>
          <w:rFonts w:hint="eastAsia"/>
          <w:color w:val="auto"/>
          <w:highlight w:val="none"/>
          <w:lang w:eastAsia="zh-CN"/>
        </w:rPr>
        <w:t>、《张家界市人民政府办公室关于进一步加强政府采购管理工作的通知》（张政办发〔2024〕21号）</w:t>
      </w:r>
      <w:r>
        <w:rPr>
          <w:rFonts w:hint="eastAsia"/>
          <w:color w:val="auto"/>
          <w:highlight w:val="none"/>
        </w:rPr>
        <w:t>的有关规定，保证在获得成交资格后，按照谈判文件确定的事项签订政府采购合同，履行双方所签订的合同，并承担合同规定的责任和义务。</w:t>
      </w:r>
    </w:p>
    <w:p w14:paraId="2B3346F2">
      <w:pPr>
        <w:pStyle w:val="45"/>
        <w:numPr>
          <w:ilvl w:val="0"/>
          <w:numId w:val="0"/>
        </w:numPr>
        <w:spacing w:before="156" w:line="400" w:lineRule="exact"/>
        <w:ind w:firstLine="480" w:firstLineChars="200"/>
        <w:rPr>
          <w:color w:val="auto"/>
          <w:highlight w:val="none"/>
        </w:rPr>
      </w:pPr>
      <w:r>
        <w:rPr>
          <w:rFonts w:hint="eastAsia"/>
          <w:color w:val="auto"/>
          <w:highlight w:val="none"/>
        </w:rPr>
        <w:t>六、我方承诺在参与竞争性谈判过程中，若出现《政府采购法》第七十七条、《政府采购法实施条例》第七十二条规定之情形，我方同意接受条款规定作出的处罚。</w:t>
      </w:r>
    </w:p>
    <w:p w14:paraId="4C4DCEE7">
      <w:pPr>
        <w:pStyle w:val="45"/>
        <w:numPr>
          <w:ilvl w:val="0"/>
          <w:numId w:val="0"/>
        </w:numPr>
        <w:spacing w:before="156" w:line="400" w:lineRule="exact"/>
        <w:ind w:left="420" w:leftChars="0"/>
        <w:rPr>
          <w:color w:val="auto"/>
          <w:highlight w:val="none"/>
        </w:rPr>
      </w:pPr>
      <w:r>
        <w:rPr>
          <w:rFonts w:hint="eastAsia"/>
          <w:color w:val="auto"/>
          <w:highlight w:val="none"/>
        </w:rPr>
        <w:t>我方的联系方式：</w:t>
      </w:r>
    </w:p>
    <w:p w14:paraId="396E6050">
      <w:pPr>
        <w:pStyle w:val="45"/>
        <w:spacing w:before="156" w:line="400" w:lineRule="exact"/>
        <w:ind w:firstLine="480"/>
        <w:rPr>
          <w:color w:val="auto"/>
          <w:highlight w:val="none"/>
        </w:rPr>
      </w:pPr>
      <w:r>
        <w:rPr>
          <w:rFonts w:hint="eastAsia"/>
          <w:color w:val="auto"/>
          <w:highlight w:val="none"/>
        </w:rPr>
        <w:t xml:space="preserve">地址：        邮编：        电话：        电子邮箱：         </w:t>
      </w:r>
    </w:p>
    <w:tbl>
      <w:tblPr>
        <w:tblStyle w:val="36"/>
        <w:tblpPr w:leftFromText="180" w:rightFromText="180" w:vertAnchor="text" w:horzAnchor="page" w:tblpX="1249" w:tblpY="195"/>
        <w:tblOverlap w:val="never"/>
        <w:tblW w:w="9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3"/>
        <w:gridCol w:w="1730"/>
        <w:gridCol w:w="1345"/>
        <w:gridCol w:w="2851"/>
      </w:tblGrid>
      <w:tr w14:paraId="0564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3833" w:type="dxa"/>
            <w:tcBorders>
              <w:top w:val="nil"/>
              <w:left w:val="nil"/>
              <w:bottom w:val="nil"/>
              <w:right w:val="nil"/>
            </w:tcBorders>
            <w:vAlign w:val="center"/>
          </w:tcPr>
          <w:p w14:paraId="60E436BF">
            <w:pPr>
              <w:pStyle w:val="45"/>
              <w:spacing w:before="156" w:line="240" w:lineRule="auto"/>
              <w:ind w:firstLine="0" w:firstLineChars="0"/>
              <w:jc w:val="distribute"/>
              <w:rPr>
                <w:color w:val="auto"/>
                <w:highlight w:val="none"/>
              </w:rPr>
            </w:pPr>
            <w:r>
              <w:rPr>
                <w:rFonts w:hint="eastAsia"/>
                <w:bCs/>
                <w:color w:val="auto"/>
                <w:highlight w:val="none"/>
                <w:lang w:eastAsia="zh-CN"/>
              </w:rPr>
              <w:t>供应商</w:t>
            </w:r>
            <w:r>
              <w:rPr>
                <w:rFonts w:hint="eastAsia"/>
                <w:bCs/>
                <w:color w:val="auto"/>
                <w:highlight w:val="none"/>
              </w:rPr>
              <w:t>名称（加盖公章）：</w:t>
            </w:r>
          </w:p>
        </w:tc>
        <w:tc>
          <w:tcPr>
            <w:tcW w:w="5926" w:type="dxa"/>
            <w:gridSpan w:val="3"/>
            <w:tcBorders>
              <w:top w:val="nil"/>
              <w:left w:val="nil"/>
              <w:bottom w:val="nil"/>
              <w:right w:val="nil"/>
            </w:tcBorders>
            <w:vAlign w:val="center"/>
          </w:tcPr>
          <w:p w14:paraId="5C405CEB">
            <w:pPr>
              <w:pStyle w:val="45"/>
              <w:spacing w:before="156" w:line="540" w:lineRule="exact"/>
              <w:ind w:firstLine="480"/>
              <w:jc w:val="center"/>
              <w:rPr>
                <w:color w:val="auto"/>
                <w:highlight w:val="none"/>
              </w:rPr>
            </w:pPr>
          </w:p>
        </w:tc>
      </w:tr>
      <w:tr w14:paraId="1768E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3833" w:type="dxa"/>
            <w:tcBorders>
              <w:top w:val="nil"/>
              <w:left w:val="nil"/>
              <w:bottom w:val="nil"/>
              <w:right w:val="nil"/>
            </w:tcBorders>
            <w:vAlign w:val="center"/>
          </w:tcPr>
          <w:p w14:paraId="4FE1C0AC">
            <w:pPr>
              <w:pStyle w:val="45"/>
              <w:spacing w:before="156" w:line="240" w:lineRule="auto"/>
              <w:ind w:firstLine="0" w:firstLineChars="0"/>
              <w:jc w:val="distribute"/>
              <w:rPr>
                <w:color w:val="auto"/>
                <w:highlight w:val="none"/>
              </w:rPr>
            </w:pPr>
            <w:r>
              <w:rPr>
                <w:rFonts w:hint="eastAsia"/>
                <w:color w:val="auto"/>
                <w:highlight w:val="none"/>
              </w:rPr>
              <w:t>法定代表人（单位负责人）</w:t>
            </w:r>
          </w:p>
        </w:tc>
        <w:tc>
          <w:tcPr>
            <w:tcW w:w="5926" w:type="dxa"/>
            <w:gridSpan w:val="3"/>
            <w:tcBorders>
              <w:top w:val="nil"/>
              <w:left w:val="nil"/>
              <w:bottom w:val="nil"/>
              <w:right w:val="nil"/>
            </w:tcBorders>
            <w:vAlign w:val="center"/>
          </w:tcPr>
          <w:p w14:paraId="736879D8">
            <w:pPr>
              <w:pStyle w:val="45"/>
              <w:spacing w:before="156" w:line="540" w:lineRule="exact"/>
              <w:ind w:firstLine="480"/>
              <w:jc w:val="center"/>
              <w:rPr>
                <w:color w:val="auto"/>
                <w:highlight w:val="none"/>
              </w:rPr>
            </w:pPr>
          </w:p>
        </w:tc>
      </w:tr>
      <w:tr w14:paraId="7508C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3833" w:type="dxa"/>
            <w:tcBorders>
              <w:top w:val="nil"/>
              <w:left w:val="nil"/>
              <w:bottom w:val="nil"/>
              <w:right w:val="nil"/>
            </w:tcBorders>
            <w:vAlign w:val="center"/>
          </w:tcPr>
          <w:p w14:paraId="60A9E4FA">
            <w:pPr>
              <w:pStyle w:val="45"/>
              <w:spacing w:before="156" w:line="240" w:lineRule="auto"/>
              <w:ind w:firstLine="0" w:firstLineChars="0"/>
              <w:jc w:val="distribute"/>
              <w:rPr>
                <w:color w:val="auto"/>
                <w:highlight w:val="none"/>
              </w:rPr>
            </w:pPr>
            <w:r>
              <w:rPr>
                <w:rFonts w:hint="eastAsia"/>
                <w:color w:val="auto"/>
                <w:highlight w:val="none"/>
              </w:rPr>
              <w:t>或其授权的代理人（签字）：</w:t>
            </w:r>
          </w:p>
        </w:tc>
        <w:tc>
          <w:tcPr>
            <w:tcW w:w="5926" w:type="dxa"/>
            <w:gridSpan w:val="3"/>
            <w:tcBorders>
              <w:top w:val="nil"/>
              <w:left w:val="nil"/>
              <w:bottom w:val="nil"/>
              <w:right w:val="nil"/>
            </w:tcBorders>
            <w:vAlign w:val="center"/>
          </w:tcPr>
          <w:p w14:paraId="1D754384">
            <w:pPr>
              <w:pStyle w:val="45"/>
              <w:spacing w:before="156" w:line="540" w:lineRule="exact"/>
              <w:ind w:firstLine="480"/>
              <w:jc w:val="center"/>
              <w:rPr>
                <w:color w:val="auto"/>
                <w:highlight w:val="none"/>
              </w:rPr>
            </w:pPr>
          </w:p>
        </w:tc>
      </w:tr>
      <w:tr w14:paraId="6ACB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3833" w:type="dxa"/>
            <w:tcBorders>
              <w:top w:val="nil"/>
              <w:left w:val="nil"/>
              <w:bottom w:val="nil"/>
              <w:right w:val="nil"/>
            </w:tcBorders>
            <w:vAlign w:val="center"/>
          </w:tcPr>
          <w:p w14:paraId="67D1993F">
            <w:pPr>
              <w:pStyle w:val="45"/>
              <w:spacing w:before="156" w:line="540" w:lineRule="exact"/>
              <w:ind w:firstLine="0" w:firstLineChars="0"/>
              <w:rPr>
                <w:color w:val="auto"/>
                <w:highlight w:val="none"/>
              </w:rPr>
            </w:pPr>
          </w:p>
        </w:tc>
        <w:tc>
          <w:tcPr>
            <w:tcW w:w="1730" w:type="dxa"/>
            <w:tcBorders>
              <w:top w:val="nil"/>
              <w:left w:val="nil"/>
              <w:bottom w:val="nil"/>
              <w:right w:val="nil"/>
            </w:tcBorders>
            <w:vAlign w:val="center"/>
          </w:tcPr>
          <w:p w14:paraId="0DC6470D">
            <w:pPr>
              <w:pStyle w:val="45"/>
              <w:spacing w:before="156" w:line="540" w:lineRule="exact"/>
              <w:ind w:firstLine="0" w:firstLineChars="0"/>
              <w:jc w:val="center"/>
              <w:rPr>
                <w:color w:val="auto"/>
                <w:highlight w:val="none"/>
              </w:rPr>
            </w:pPr>
          </w:p>
        </w:tc>
        <w:tc>
          <w:tcPr>
            <w:tcW w:w="1345" w:type="dxa"/>
            <w:tcBorders>
              <w:top w:val="nil"/>
              <w:left w:val="nil"/>
              <w:bottom w:val="nil"/>
              <w:right w:val="nil"/>
            </w:tcBorders>
            <w:vAlign w:val="center"/>
          </w:tcPr>
          <w:p w14:paraId="3B357640">
            <w:pPr>
              <w:pStyle w:val="45"/>
              <w:spacing w:before="156" w:line="240" w:lineRule="auto"/>
              <w:ind w:firstLine="0" w:firstLineChars="0"/>
              <w:jc w:val="distribute"/>
              <w:rPr>
                <w:color w:val="auto"/>
                <w:highlight w:val="none"/>
              </w:rPr>
            </w:pPr>
            <w:r>
              <w:rPr>
                <w:rFonts w:hint="eastAsia"/>
                <w:color w:val="auto"/>
                <w:highlight w:val="none"/>
              </w:rPr>
              <w:t>日   期：</w:t>
            </w:r>
          </w:p>
        </w:tc>
        <w:tc>
          <w:tcPr>
            <w:tcW w:w="2851" w:type="dxa"/>
            <w:tcBorders>
              <w:top w:val="nil"/>
              <w:left w:val="nil"/>
              <w:bottom w:val="nil"/>
              <w:right w:val="nil"/>
            </w:tcBorders>
            <w:vAlign w:val="center"/>
          </w:tcPr>
          <w:p w14:paraId="09F4103E">
            <w:pPr>
              <w:pStyle w:val="45"/>
              <w:spacing w:before="156" w:line="240" w:lineRule="auto"/>
              <w:ind w:firstLine="0" w:firstLineChars="0"/>
              <w:jc w:val="right"/>
              <w:rPr>
                <w:color w:val="auto"/>
                <w:highlight w:val="none"/>
              </w:rPr>
            </w:pPr>
            <w:r>
              <w:rPr>
                <w:rFonts w:hint="eastAsia"/>
                <w:color w:val="auto"/>
                <w:highlight w:val="none"/>
              </w:rPr>
              <w:t>年   月   日</w:t>
            </w:r>
          </w:p>
        </w:tc>
      </w:tr>
    </w:tbl>
    <w:p w14:paraId="1C116BC9">
      <w:pPr>
        <w:rPr>
          <w:color w:val="auto"/>
          <w:highlight w:val="none"/>
        </w:rPr>
      </w:pPr>
      <w:r>
        <w:rPr>
          <w:color w:val="auto"/>
          <w:highlight w:val="none"/>
        </w:rPr>
        <w:br w:type="page"/>
      </w:r>
    </w:p>
    <w:p w14:paraId="298DD423">
      <w:pPr>
        <w:pStyle w:val="4"/>
        <w:numPr>
          <w:ilvl w:val="0"/>
          <w:numId w:val="0"/>
        </w:numPr>
        <w:spacing w:before="156"/>
        <w:ind w:left="0" w:leftChars="0" w:firstLine="420" w:firstLineChars="0"/>
        <w:jc w:val="center"/>
        <w:rPr>
          <w:color w:val="auto"/>
          <w:highlight w:val="none"/>
        </w:rPr>
      </w:pPr>
      <w:bookmarkStart w:id="82" w:name="_Toc18644"/>
      <w:bookmarkStart w:id="83" w:name="_Toc1553"/>
      <w:bookmarkStart w:id="84" w:name="_Toc6881"/>
      <w:bookmarkStart w:id="85" w:name="_Toc10697"/>
      <w:bookmarkStart w:id="86" w:name="_Toc20918"/>
      <w:r>
        <w:rPr>
          <w:rFonts w:hint="eastAsia" w:ascii="Arial" w:hAnsi="Arial" w:eastAsia="黑体" w:cs="Times New Roman"/>
          <w:color w:val="auto"/>
          <w:kern w:val="2"/>
          <w:sz w:val="30"/>
          <w:szCs w:val="24"/>
          <w:highlight w:val="none"/>
          <w:lang w:val="en-US" w:eastAsia="zh-CN" w:bidi="ar-SA"/>
        </w:rPr>
        <w:t>二、</w:t>
      </w:r>
      <w:r>
        <w:rPr>
          <w:rFonts w:hint="eastAsia"/>
          <w:color w:val="auto"/>
          <w:highlight w:val="none"/>
        </w:rPr>
        <w:t>授权委托书（格式）</w:t>
      </w:r>
      <w:bookmarkEnd w:id="82"/>
      <w:bookmarkEnd w:id="83"/>
      <w:bookmarkEnd w:id="84"/>
      <w:bookmarkEnd w:id="85"/>
      <w:bookmarkEnd w:id="86"/>
    </w:p>
    <w:p w14:paraId="3F8E39EF">
      <w:pPr>
        <w:pStyle w:val="45"/>
        <w:spacing w:before="240"/>
        <w:ind w:firstLine="720" w:firstLineChars="300"/>
        <w:rPr>
          <w:color w:val="auto"/>
          <w:highlight w:val="none"/>
        </w:rPr>
      </w:pPr>
      <w:r>
        <w:rPr>
          <w:rFonts w:hint="eastAsia"/>
          <w:bCs/>
          <w:color w:val="auto"/>
          <w:highlight w:val="none"/>
        </w:rPr>
        <w:t xml:space="preserve">本人 </w:t>
      </w:r>
      <w:r>
        <w:rPr>
          <w:rFonts w:hint="eastAsia"/>
          <w:bCs/>
          <w:color w:val="auto"/>
          <w:highlight w:val="none"/>
          <w:u w:val="single"/>
        </w:rPr>
        <w:t xml:space="preserve">         </w:t>
      </w:r>
      <w:r>
        <w:rPr>
          <w:rFonts w:hint="eastAsia"/>
          <w:bCs/>
          <w:color w:val="auto"/>
          <w:highlight w:val="none"/>
        </w:rPr>
        <w:t xml:space="preserve">（姓名、职务）系 </w:t>
      </w:r>
      <w:r>
        <w:rPr>
          <w:rFonts w:hint="eastAsia"/>
          <w:bCs/>
          <w:color w:val="auto"/>
          <w:highlight w:val="none"/>
          <w:u w:val="single"/>
        </w:rPr>
        <w:t xml:space="preserve">                        </w:t>
      </w:r>
      <w:r>
        <w:rPr>
          <w:rFonts w:hint="eastAsia"/>
          <w:bCs/>
          <w:color w:val="auto"/>
          <w:highlight w:val="none"/>
        </w:rPr>
        <w:t>（</w:t>
      </w:r>
      <w:r>
        <w:rPr>
          <w:rFonts w:hint="eastAsia"/>
          <w:color w:val="auto"/>
          <w:highlight w:val="none"/>
        </w:rPr>
        <w:t>供应商名称）的法定代表人（单位负责人），现授权</w:t>
      </w:r>
      <w:r>
        <w:rPr>
          <w:rFonts w:hint="eastAsia"/>
          <w:color w:val="auto"/>
          <w:highlight w:val="none"/>
          <w:u w:val="single"/>
        </w:rPr>
        <w:t xml:space="preserve">          </w:t>
      </w:r>
      <w:r>
        <w:rPr>
          <w:rFonts w:hint="eastAsia"/>
          <w:color w:val="auto"/>
          <w:highlight w:val="none"/>
        </w:rPr>
        <w:t>（姓名、职务）为我方代理人。代理人根据授权，以我方名义：（1）签署、澄清、补正、修改、撤回、提交</w:t>
      </w:r>
      <w:r>
        <w:rPr>
          <w:rFonts w:hint="eastAsia"/>
          <w:color w:val="auto"/>
          <w:highlight w:val="none"/>
          <w:u w:val="single"/>
          <w:lang w:val="en-US" w:eastAsia="zh-CN"/>
        </w:rPr>
        <w:t xml:space="preserve">              </w:t>
      </w:r>
      <w:r>
        <w:rPr>
          <w:rFonts w:hint="eastAsia"/>
          <w:color w:val="auto"/>
          <w:highlight w:val="none"/>
        </w:rPr>
        <w:t>（</w:t>
      </w:r>
      <w:r>
        <w:rPr>
          <w:rFonts w:hint="eastAsia"/>
          <w:color w:val="auto"/>
          <w:highlight w:val="none"/>
          <w:lang w:val="en-US" w:eastAsia="zh-CN"/>
        </w:rPr>
        <w:t>项目名称、采购计划编号、</w:t>
      </w:r>
      <w:r>
        <w:rPr>
          <w:rFonts w:hint="eastAsia"/>
          <w:color w:val="auto"/>
          <w:highlight w:val="none"/>
        </w:rPr>
        <w:t>委托代理编号）响应文件；（2）签署并重新提交响应文件</w:t>
      </w:r>
      <w:r>
        <w:rPr>
          <w:rFonts w:hint="eastAsia"/>
          <w:color w:val="auto"/>
          <w:highlight w:val="none"/>
          <w:lang w:val="en-US" w:eastAsia="zh-CN"/>
        </w:rPr>
        <w:t>及公开报价</w:t>
      </w:r>
      <w:r>
        <w:rPr>
          <w:rFonts w:hint="eastAsia"/>
          <w:color w:val="auto"/>
          <w:highlight w:val="none"/>
        </w:rPr>
        <w:t>；（3）退出谈判（如可能）；（4）签订合同和处理有关事宜，其法律后果由我方承担。</w:t>
      </w:r>
    </w:p>
    <w:p w14:paraId="3E864403">
      <w:pPr>
        <w:pStyle w:val="45"/>
        <w:spacing w:before="240"/>
        <w:ind w:firstLine="720" w:firstLineChars="300"/>
        <w:rPr>
          <w:color w:val="auto"/>
          <w:highlight w:val="none"/>
        </w:rPr>
      </w:pPr>
      <w:r>
        <w:rPr>
          <w:rFonts w:hint="eastAsia"/>
          <w:color w:val="auto"/>
          <w:highlight w:val="none"/>
        </w:rPr>
        <w:t>委托期限：</w:t>
      </w:r>
      <w:r>
        <w:rPr>
          <w:rFonts w:hint="eastAsia"/>
          <w:color w:val="auto"/>
          <w:highlight w:val="none"/>
          <w:u w:val="single"/>
        </w:rPr>
        <w:t xml:space="preserve">                                      </w:t>
      </w:r>
      <w:r>
        <w:rPr>
          <w:rFonts w:hint="eastAsia"/>
          <w:color w:val="auto"/>
          <w:highlight w:val="none"/>
        </w:rPr>
        <w:t>。</w:t>
      </w:r>
    </w:p>
    <w:p w14:paraId="21EBCFA3">
      <w:pPr>
        <w:pStyle w:val="45"/>
        <w:spacing w:before="240"/>
        <w:ind w:firstLine="720" w:firstLineChars="300"/>
        <w:rPr>
          <w:color w:val="auto"/>
          <w:highlight w:val="none"/>
        </w:rPr>
      </w:pPr>
      <w:r>
        <w:rPr>
          <w:rFonts w:hint="eastAsia"/>
          <w:color w:val="auto"/>
          <w:highlight w:val="none"/>
        </w:rPr>
        <w:t>代理人无转委托权。</w:t>
      </w:r>
    </w:p>
    <w:p w14:paraId="32E1DE71">
      <w:pPr>
        <w:pStyle w:val="45"/>
        <w:spacing w:before="156"/>
        <w:ind w:firstLine="480"/>
        <w:rPr>
          <w:color w:val="auto"/>
          <w:highlight w:val="none"/>
        </w:rPr>
      </w:pPr>
      <w:r>
        <w:rPr>
          <w:rFonts w:hint="eastAsia"/>
          <w:color w:val="auto"/>
          <w:highlight w:val="none"/>
        </w:rPr>
        <w:t>本授权书于</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日签字生效，特此声明。</w:t>
      </w:r>
    </w:p>
    <w:tbl>
      <w:tblPr>
        <w:tblStyle w:val="35"/>
        <w:tblW w:w="9838" w:type="dxa"/>
        <w:tblInd w:w="1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9"/>
        <w:gridCol w:w="4919"/>
      </w:tblGrid>
      <w:tr w14:paraId="16D6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4" w:hRule="atLeast"/>
        </w:trPr>
        <w:tc>
          <w:tcPr>
            <w:tcW w:w="4919" w:type="dxa"/>
            <w:tcBorders>
              <w:top w:val="single" w:color="auto" w:sz="4" w:space="0"/>
              <w:left w:val="single" w:color="auto" w:sz="4" w:space="0"/>
              <w:bottom w:val="single" w:color="auto" w:sz="4" w:space="0"/>
              <w:right w:val="single" w:color="auto" w:sz="4" w:space="0"/>
            </w:tcBorders>
            <w:shd w:val="clear" w:color="auto" w:fill="auto"/>
            <w:vAlign w:val="center"/>
          </w:tcPr>
          <w:p w14:paraId="6DA2841D">
            <w:pPr>
              <w:adjustRightInd w:val="0"/>
              <w:snapToGrid w:val="0"/>
              <w:spacing w:before="156" w:beforeLines="50" w:line="360" w:lineRule="auto"/>
              <w:jc w:val="center"/>
              <w:rPr>
                <w:rFonts w:ascii="宋体" w:cs="Times New Roman"/>
                <w:color w:val="auto"/>
                <w:szCs w:val="21"/>
                <w:highlight w:val="none"/>
              </w:rPr>
            </w:pPr>
            <w:r>
              <w:rPr>
                <w:rFonts w:hint="eastAsia" w:ascii="宋体" w:cs="Times New Roman"/>
                <w:color w:val="auto"/>
                <w:szCs w:val="21"/>
                <w:highlight w:val="none"/>
              </w:rPr>
              <w:t>身份证（正面）</w:t>
            </w:r>
            <w:r>
              <w:rPr>
                <w:rFonts w:hint="eastAsia" w:ascii="宋体" w:cs="微软雅黑"/>
                <w:color w:val="auto"/>
                <w:spacing w:val="-2"/>
                <w:kern w:val="0"/>
                <w:szCs w:val="21"/>
                <w:highlight w:val="none"/>
              </w:rPr>
              <w:t>复</w:t>
            </w:r>
            <w:r>
              <w:rPr>
                <w:rFonts w:hint="eastAsia" w:ascii="宋体" w:cs="微软雅黑"/>
                <w:color w:val="auto"/>
                <w:kern w:val="0"/>
                <w:szCs w:val="21"/>
                <w:highlight w:val="none"/>
              </w:rPr>
              <w:t>印</w:t>
            </w:r>
            <w:r>
              <w:rPr>
                <w:rFonts w:hint="eastAsia" w:ascii="宋体" w:cs="微软雅黑"/>
                <w:color w:val="auto"/>
                <w:spacing w:val="-2"/>
                <w:kern w:val="0"/>
                <w:szCs w:val="21"/>
                <w:highlight w:val="none"/>
              </w:rPr>
              <w:t>件</w:t>
            </w:r>
          </w:p>
        </w:tc>
        <w:tc>
          <w:tcPr>
            <w:tcW w:w="4919" w:type="dxa"/>
            <w:tcBorders>
              <w:top w:val="single" w:color="auto" w:sz="4" w:space="0"/>
              <w:left w:val="single" w:color="auto" w:sz="4" w:space="0"/>
              <w:bottom w:val="single" w:color="auto" w:sz="4" w:space="0"/>
              <w:right w:val="single" w:color="auto" w:sz="4" w:space="0"/>
            </w:tcBorders>
            <w:shd w:val="clear" w:color="auto" w:fill="auto"/>
            <w:vAlign w:val="center"/>
          </w:tcPr>
          <w:p w14:paraId="61DFEB04">
            <w:pPr>
              <w:adjustRightInd w:val="0"/>
              <w:snapToGrid w:val="0"/>
              <w:spacing w:before="156" w:beforeLines="50" w:line="360" w:lineRule="auto"/>
              <w:jc w:val="center"/>
              <w:rPr>
                <w:rFonts w:ascii="宋体" w:cs="Times New Roman"/>
                <w:color w:val="auto"/>
                <w:szCs w:val="21"/>
                <w:highlight w:val="none"/>
              </w:rPr>
            </w:pPr>
            <w:r>
              <w:rPr>
                <w:rFonts w:hint="eastAsia" w:ascii="宋体" w:cs="Times New Roman"/>
                <w:color w:val="auto"/>
                <w:szCs w:val="21"/>
                <w:highlight w:val="none"/>
              </w:rPr>
              <w:t>身份证（反面）</w:t>
            </w:r>
            <w:r>
              <w:rPr>
                <w:rFonts w:hint="eastAsia" w:ascii="宋体" w:cs="微软雅黑"/>
                <w:color w:val="auto"/>
                <w:spacing w:val="-2"/>
                <w:kern w:val="0"/>
                <w:szCs w:val="21"/>
                <w:highlight w:val="none"/>
              </w:rPr>
              <w:t>复</w:t>
            </w:r>
            <w:r>
              <w:rPr>
                <w:rFonts w:hint="eastAsia" w:ascii="宋体" w:cs="微软雅黑"/>
                <w:color w:val="auto"/>
                <w:kern w:val="0"/>
                <w:szCs w:val="21"/>
                <w:highlight w:val="none"/>
              </w:rPr>
              <w:t>印</w:t>
            </w:r>
            <w:r>
              <w:rPr>
                <w:rFonts w:hint="eastAsia" w:ascii="宋体" w:cs="微软雅黑"/>
                <w:color w:val="auto"/>
                <w:spacing w:val="-2"/>
                <w:kern w:val="0"/>
                <w:szCs w:val="21"/>
                <w:highlight w:val="none"/>
              </w:rPr>
              <w:t>件</w:t>
            </w:r>
          </w:p>
        </w:tc>
      </w:tr>
    </w:tbl>
    <w:p w14:paraId="2E06FA8C">
      <w:pPr>
        <w:adjustRightInd w:val="0"/>
        <w:snapToGrid w:val="0"/>
        <w:spacing w:before="156" w:beforeLines="50" w:line="360" w:lineRule="auto"/>
        <w:rPr>
          <w:rFonts w:ascii="宋体" w:cs="Times New Roman"/>
          <w:color w:val="auto"/>
          <w:szCs w:val="21"/>
          <w:highlight w:val="none"/>
        </w:rPr>
      </w:pPr>
      <w:r>
        <w:rPr>
          <w:rFonts w:hint="eastAsia" w:ascii="宋体" w:cs="Times New Roman"/>
          <w:color w:val="auto"/>
          <w:szCs w:val="21"/>
          <w:highlight w:val="none"/>
        </w:rPr>
        <w:t>注：</w:t>
      </w:r>
      <w:r>
        <w:rPr>
          <w:rFonts w:hint="eastAsia" w:ascii="宋体" w:cs="Times New Roman"/>
          <w:color w:val="auto"/>
          <w:szCs w:val="21"/>
          <w:highlight w:val="none"/>
          <w:lang w:eastAsia="zh-CN"/>
        </w:rPr>
        <w:t>供应商</w:t>
      </w:r>
      <w:r>
        <w:rPr>
          <w:rFonts w:hint="eastAsia" w:ascii="宋体" w:cs="Times New Roman"/>
          <w:color w:val="auto"/>
          <w:szCs w:val="21"/>
          <w:highlight w:val="none"/>
        </w:rPr>
        <w:t>代表不是</w:t>
      </w:r>
      <w:r>
        <w:rPr>
          <w:rFonts w:hint="eastAsia" w:ascii="宋体" w:cs="Times New Roman"/>
          <w:color w:val="auto"/>
          <w:szCs w:val="21"/>
          <w:highlight w:val="none"/>
          <w:lang w:eastAsia="zh-CN"/>
        </w:rPr>
        <w:t>供应商</w:t>
      </w:r>
      <w:r>
        <w:rPr>
          <w:rFonts w:hint="eastAsia" w:ascii="宋体" w:cs="Times New Roman"/>
          <w:color w:val="auto"/>
          <w:szCs w:val="21"/>
          <w:highlight w:val="none"/>
        </w:rPr>
        <w:t>的法定代表人（单位负责人）的提供。</w:t>
      </w:r>
      <w:r>
        <w:rPr>
          <w:rFonts w:hint="eastAsia" w:ascii="宋体" w:cs="Times New Roman"/>
          <w:color w:val="auto"/>
          <w:szCs w:val="21"/>
          <w:highlight w:val="none"/>
          <w:lang w:eastAsia="zh-CN"/>
        </w:rPr>
        <w:t>供应商</w:t>
      </w:r>
      <w:r>
        <w:rPr>
          <w:rFonts w:hint="eastAsia" w:ascii="宋体" w:cs="Times New Roman"/>
          <w:color w:val="auto"/>
          <w:szCs w:val="21"/>
          <w:highlight w:val="none"/>
        </w:rPr>
        <w:t>为自然人的无需提供。</w:t>
      </w:r>
    </w:p>
    <w:tbl>
      <w:tblPr>
        <w:tblStyle w:val="36"/>
        <w:tblpPr w:leftFromText="180" w:rightFromText="180" w:vertAnchor="text" w:horzAnchor="page" w:tblpX="1472" w:tblpY="373"/>
        <w:tblOverlap w:val="never"/>
        <w:tblW w:w="9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6"/>
        <w:gridCol w:w="1681"/>
        <w:gridCol w:w="1185"/>
        <w:gridCol w:w="2602"/>
      </w:tblGrid>
      <w:tr w14:paraId="2CF15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trPr>
        <w:tc>
          <w:tcPr>
            <w:tcW w:w="4056" w:type="dxa"/>
            <w:tcBorders>
              <w:top w:val="nil"/>
              <w:left w:val="nil"/>
              <w:bottom w:val="nil"/>
              <w:right w:val="nil"/>
            </w:tcBorders>
            <w:vAlign w:val="center"/>
          </w:tcPr>
          <w:p w14:paraId="3366E971">
            <w:pPr>
              <w:pStyle w:val="45"/>
              <w:spacing w:before="156" w:line="240" w:lineRule="auto"/>
              <w:ind w:firstLine="0" w:firstLineChars="0"/>
              <w:jc w:val="distribute"/>
              <w:rPr>
                <w:color w:val="auto"/>
                <w:highlight w:val="none"/>
              </w:rPr>
            </w:pPr>
            <w:r>
              <w:rPr>
                <w:rFonts w:hint="eastAsia"/>
                <w:color w:val="auto"/>
                <w:highlight w:val="none"/>
                <w:lang w:eastAsia="zh-CN"/>
              </w:rPr>
              <w:t>供应商</w:t>
            </w:r>
            <w:r>
              <w:rPr>
                <w:rFonts w:hint="eastAsia"/>
                <w:color w:val="auto"/>
                <w:highlight w:val="none"/>
              </w:rPr>
              <w:t>名称（加盖公章）：</w:t>
            </w:r>
          </w:p>
        </w:tc>
        <w:tc>
          <w:tcPr>
            <w:tcW w:w="5468" w:type="dxa"/>
            <w:gridSpan w:val="3"/>
            <w:tcBorders>
              <w:top w:val="nil"/>
              <w:left w:val="nil"/>
              <w:bottom w:val="nil"/>
              <w:right w:val="nil"/>
            </w:tcBorders>
            <w:vAlign w:val="center"/>
          </w:tcPr>
          <w:p w14:paraId="5F4CAAD8">
            <w:pPr>
              <w:pStyle w:val="45"/>
              <w:spacing w:before="156" w:line="540" w:lineRule="exact"/>
              <w:ind w:firstLine="480"/>
              <w:jc w:val="center"/>
              <w:rPr>
                <w:color w:val="auto"/>
                <w:highlight w:val="none"/>
              </w:rPr>
            </w:pPr>
          </w:p>
        </w:tc>
      </w:tr>
      <w:tr w14:paraId="3307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6" w:type="dxa"/>
            <w:tcBorders>
              <w:top w:val="nil"/>
              <w:left w:val="nil"/>
              <w:bottom w:val="nil"/>
              <w:right w:val="nil"/>
            </w:tcBorders>
            <w:vAlign w:val="center"/>
          </w:tcPr>
          <w:p w14:paraId="5F364F3F">
            <w:pPr>
              <w:pStyle w:val="45"/>
              <w:spacing w:before="156" w:line="240" w:lineRule="auto"/>
              <w:ind w:firstLine="0" w:firstLineChars="0"/>
              <w:jc w:val="distribute"/>
              <w:rPr>
                <w:color w:val="auto"/>
                <w:highlight w:val="none"/>
              </w:rPr>
            </w:pPr>
            <w:r>
              <w:rPr>
                <w:rFonts w:hint="eastAsia"/>
                <w:color w:val="auto"/>
                <w:highlight w:val="none"/>
              </w:rPr>
              <w:t>法定代表人（单位负责人）（签字）：</w:t>
            </w:r>
          </w:p>
        </w:tc>
        <w:tc>
          <w:tcPr>
            <w:tcW w:w="5468" w:type="dxa"/>
            <w:gridSpan w:val="3"/>
            <w:tcBorders>
              <w:top w:val="nil"/>
              <w:left w:val="nil"/>
              <w:bottom w:val="nil"/>
              <w:right w:val="nil"/>
            </w:tcBorders>
            <w:vAlign w:val="center"/>
          </w:tcPr>
          <w:p w14:paraId="5280EF93">
            <w:pPr>
              <w:pStyle w:val="45"/>
              <w:spacing w:before="156" w:line="540" w:lineRule="exact"/>
              <w:ind w:firstLine="480"/>
              <w:jc w:val="center"/>
              <w:rPr>
                <w:color w:val="auto"/>
                <w:highlight w:val="none"/>
              </w:rPr>
            </w:pPr>
          </w:p>
        </w:tc>
      </w:tr>
      <w:tr w14:paraId="2233E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6" w:type="dxa"/>
            <w:tcBorders>
              <w:top w:val="nil"/>
              <w:left w:val="nil"/>
              <w:bottom w:val="nil"/>
              <w:right w:val="nil"/>
            </w:tcBorders>
            <w:vAlign w:val="center"/>
          </w:tcPr>
          <w:p w14:paraId="664B6F85">
            <w:pPr>
              <w:pStyle w:val="45"/>
              <w:spacing w:before="156" w:line="240" w:lineRule="auto"/>
              <w:ind w:firstLine="0" w:firstLineChars="0"/>
              <w:jc w:val="distribute"/>
              <w:rPr>
                <w:color w:val="auto"/>
                <w:highlight w:val="none"/>
              </w:rPr>
            </w:pPr>
          </w:p>
        </w:tc>
        <w:tc>
          <w:tcPr>
            <w:tcW w:w="5468" w:type="dxa"/>
            <w:gridSpan w:val="3"/>
            <w:tcBorders>
              <w:top w:val="nil"/>
              <w:left w:val="nil"/>
              <w:bottom w:val="nil"/>
              <w:right w:val="nil"/>
            </w:tcBorders>
            <w:vAlign w:val="center"/>
          </w:tcPr>
          <w:p w14:paraId="752F735D">
            <w:pPr>
              <w:pStyle w:val="45"/>
              <w:spacing w:before="156" w:line="540" w:lineRule="exact"/>
              <w:ind w:firstLine="480"/>
              <w:jc w:val="center"/>
              <w:rPr>
                <w:color w:val="auto"/>
                <w:highlight w:val="none"/>
              </w:rPr>
            </w:pPr>
          </w:p>
        </w:tc>
      </w:tr>
      <w:tr w14:paraId="69574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6" w:type="dxa"/>
            <w:tcBorders>
              <w:top w:val="nil"/>
              <w:left w:val="nil"/>
              <w:bottom w:val="nil"/>
              <w:right w:val="nil"/>
            </w:tcBorders>
            <w:vAlign w:val="center"/>
          </w:tcPr>
          <w:p w14:paraId="3B53D512">
            <w:pPr>
              <w:pStyle w:val="45"/>
              <w:spacing w:before="156" w:line="540" w:lineRule="exact"/>
              <w:ind w:firstLine="0" w:firstLineChars="0"/>
              <w:rPr>
                <w:color w:val="auto"/>
                <w:highlight w:val="none"/>
              </w:rPr>
            </w:pPr>
          </w:p>
        </w:tc>
        <w:tc>
          <w:tcPr>
            <w:tcW w:w="1681" w:type="dxa"/>
            <w:tcBorders>
              <w:top w:val="nil"/>
              <w:left w:val="nil"/>
              <w:bottom w:val="nil"/>
              <w:right w:val="nil"/>
            </w:tcBorders>
            <w:vAlign w:val="center"/>
          </w:tcPr>
          <w:p w14:paraId="48DC2C0F">
            <w:pPr>
              <w:pStyle w:val="45"/>
              <w:spacing w:before="156" w:line="540" w:lineRule="exact"/>
              <w:ind w:firstLine="0" w:firstLineChars="0"/>
              <w:jc w:val="center"/>
              <w:rPr>
                <w:color w:val="auto"/>
                <w:highlight w:val="none"/>
              </w:rPr>
            </w:pPr>
          </w:p>
        </w:tc>
        <w:tc>
          <w:tcPr>
            <w:tcW w:w="1185" w:type="dxa"/>
            <w:tcBorders>
              <w:top w:val="nil"/>
              <w:left w:val="nil"/>
              <w:bottom w:val="nil"/>
              <w:right w:val="nil"/>
            </w:tcBorders>
            <w:vAlign w:val="center"/>
          </w:tcPr>
          <w:p w14:paraId="0D937B7B">
            <w:pPr>
              <w:pStyle w:val="45"/>
              <w:spacing w:before="156" w:line="240" w:lineRule="auto"/>
              <w:ind w:firstLine="0" w:firstLineChars="0"/>
              <w:jc w:val="distribute"/>
              <w:rPr>
                <w:color w:val="auto"/>
                <w:highlight w:val="none"/>
              </w:rPr>
            </w:pPr>
            <w:r>
              <w:rPr>
                <w:rFonts w:hint="eastAsia"/>
                <w:color w:val="auto"/>
                <w:highlight w:val="none"/>
              </w:rPr>
              <w:t>日   期：</w:t>
            </w:r>
          </w:p>
        </w:tc>
        <w:tc>
          <w:tcPr>
            <w:tcW w:w="2602" w:type="dxa"/>
            <w:tcBorders>
              <w:top w:val="nil"/>
              <w:left w:val="nil"/>
              <w:bottom w:val="nil"/>
              <w:right w:val="nil"/>
            </w:tcBorders>
            <w:vAlign w:val="center"/>
          </w:tcPr>
          <w:p w14:paraId="61D387F9">
            <w:pPr>
              <w:pStyle w:val="45"/>
              <w:spacing w:before="156" w:line="240" w:lineRule="auto"/>
              <w:ind w:firstLine="0" w:firstLineChars="0"/>
              <w:jc w:val="right"/>
              <w:rPr>
                <w:color w:val="auto"/>
                <w:highlight w:val="none"/>
              </w:rPr>
            </w:pPr>
            <w:r>
              <w:rPr>
                <w:rFonts w:hint="eastAsia"/>
                <w:color w:val="auto"/>
                <w:highlight w:val="none"/>
              </w:rPr>
              <w:t>年   月   日</w:t>
            </w:r>
          </w:p>
        </w:tc>
      </w:tr>
    </w:tbl>
    <w:p w14:paraId="3097B658">
      <w:pPr>
        <w:pStyle w:val="6"/>
        <w:tabs>
          <w:tab w:val="left" w:pos="0"/>
        </w:tabs>
        <w:spacing w:before="156" w:after="156"/>
        <w:ind w:firstLine="480"/>
        <w:outlineLvl w:val="9"/>
        <w:rPr>
          <w:color w:val="auto"/>
          <w:highlight w:val="none"/>
        </w:rPr>
        <w:sectPr>
          <w:pgSz w:w="11906" w:h="16838"/>
          <w:pgMar w:top="1230" w:right="1003" w:bottom="1174" w:left="1003" w:header="850" w:footer="992" w:gutter="0"/>
          <w:pgBorders>
            <w:top w:val="none" w:sz="0" w:space="0"/>
            <w:left w:val="none" w:sz="0" w:space="0"/>
            <w:bottom w:val="none" w:sz="0" w:space="0"/>
            <w:right w:val="none" w:sz="0" w:space="0"/>
          </w:pgBorders>
          <w:pgNumType w:fmt="decimal"/>
          <w:cols w:space="0" w:num="1"/>
          <w:docGrid w:type="lines" w:linePitch="312" w:charSpace="0"/>
        </w:sectPr>
      </w:pPr>
    </w:p>
    <w:p w14:paraId="6A92144B">
      <w:pPr>
        <w:pStyle w:val="6"/>
        <w:tabs>
          <w:tab w:val="left" w:pos="0"/>
        </w:tabs>
        <w:spacing w:before="156" w:after="156"/>
        <w:ind w:firstLine="0" w:firstLineChars="0"/>
        <w:outlineLvl w:val="2"/>
        <w:rPr>
          <w:color w:val="auto"/>
          <w:highlight w:val="none"/>
        </w:rPr>
      </w:pPr>
      <w:r>
        <w:rPr>
          <w:rFonts w:hint="eastAsia"/>
          <w:color w:val="auto"/>
          <w:highlight w:val="none"/>
        </w:rPr>
        <w:t>附件2-1法定代表人（单位负责人）身份证明（格式）</w:t>
      </w:r>
    </w:p>
    <w:p w14:paraId="64F42BD3">
      <w:pPr>
        <w:pStyle w:val="45"/>
        <w:spacing w:before="156"/>
        <w:ind w:firstLine="640"/>
        <w:jc w:val="center"/>
        <w:rPr>
          <w:rFonts w:ascii="方正小标宋_GBK" w:eastAsia="方正小标宋_GBK" w:cs="方正小标宋_GBK"/>
          <w:color w:val="auto"/>
          <w:sz w:val="32"/>
          <w:szCs w:val="28"/>
          <w:highlight w:val="none"/>
        </w:rPr>
      </w:pPr>
      <w:r>
        <w:rPr>
          <w:rFonts w:hint="eastAsia" w:ascii="方正小标宋_GBK" w:eastAsia="方正小标宋_GBK" w:cs="方正小标宋_GBK"/>
          <w:color w:val="auto"/>
          <w:sz w:val="32"/>
          <w:szCs w:val="28"/>
          <w:highlight w:val="none"/>
        </w:rPr>
        <w:t>法定代表人（单位负责人）身份证明（格式）</w:t>
      </w:r>
    </w:p>
    <w:p w14:paraId="18F39043">
      <w:pPr>
        <w:pStyle w:val="45"/>
        <w:spacing w:before="156"/>
        <w:ind w:firstLine="480"/>
        <w:rPr>
          <w:color w:val="auto"/>
          <w:highlight w:val="none"/>
          <w:u w:val="single"/>
        </w:rPr>
      </w:pPr>
      <w:r>
        <w:rPr>
          <w:rFonts w:hint="eastAsia"/>
          <w:color w:val="auto"/>
          <w:highlight w:val="none"/>
          <w:lang w:eastAsia="zh-CN"/>
        </w:rPr>
        <w:t>供应商</w:t>
      </w:r>
      <w:r>
        <w:rPr>
          <w:rFonts w:hint="eastAsia"/>
          <w:color w:val="auto"/>
          <w:highlight w:val="none"/>
        </w:rPr>
        <w:t>名称：</w:t>
      </w:r>
    </w:p>
    <w:p w14:paraId="21AE64C6">
      <w:pPr>
        <w:pStyle w:val="45"/>
        <w:spacing w:before="156"/>
        <w:ind w:firstLine="480"/>
        <w:rPr>
          <w:color w:val="auto"/>
          <w:highlight w:val="none"/>
          <w:u w:val="single"/>
        </w:rPr>
      </w:pPr>
      <w:r>
        <w:rPr>
          <w:rFonts w:hint="eastAsia"/>
          <w:color w:val="auto"/>
          <w:highlight w:val="none"/>
        </w:rPr>
        <w:t>统一社会信用代码：</w:t>
      </w:r>
    </w:p>
    <w:p w14:paraId="0E84C6BE">
      <w:pPr>
        <w:pStyle w:val="45"/>
        <w:spacing w:before="156"/>
        <w:ind w:firstLine="480"/>
        <w:rPr>
          <w:color w:val="auto"/>
          <w:highlight w:val="none"/>
          <w:u w:val="single"/>
        </w:rPr>
      </w:pPr>
      <w:r>
        <w:rPr>
          <w:rFonts w:hint="eastAsia"/>
          <w:color w:val="auto"/>
          <w:highlight w:val="none"/>
        </w:rPr>
        <w:t>注册地址：</w:t>
      </w:r>
    </w:p>
    <w:p w14:paraId="5CDEBC73">
      <w:pPr>
        <w:pStyle w:val="45"/>
        <w:spacing w:before="156"/>
        <w:ind w:firstLine="480"/>
        <w:rPr>
          <w:color w:val="auto"/>
          <w:highlight w:val="none"/>
        </w:rPr>
      </w:pPr>
      <w:r>
        <w:rPr>
          <w:rFonts w:hint="eastAsia"/>
          <w:color w:val="auto"/>
          <w:highlight w:val="none"/>
        </w:rPr>
        <w:t>姓名：性别：年龄</w:t>
      </w:r>
      <w:r>
        <w:rPr>
          <w:rFonts w:hint="eastAsia"/>
          <w:color w:val="auto"/>
          <w:highlight w:val="none"/>
          <w:u w:val="single"/>
        </w:rPr>
        <w:t xml:space="preserve">：         </w:t>
      </w:r>
      <w:r>
        <w:rPr>
          <w:rFonts w:hint="eastAsia"/>
          <w:color w:val="auto"/>
          <w:highlight w:val="none"/>
        </w:rPr>
        <w:t>职务： 系 （</w:t>
      </w:r>
      <w:r>
        <w:rPr>
          <w:rFonts w:hint="eastAsia"/>
          <w:color w:val="auto"/>
          <w:highlight w:val="none"/>
          <w:lang w:eastAsia="zh-CN"/>
        </w:rPr>
        <w:t>供应商</w:t>
      </w:r>
      <w:r>
        <w:rPr>
          <w:rFonts w:hint="eastAsia"/>
          <w:color w:val="auto"/>
          <w:highlight w:val="none"/>
        </w:rPr>
        <w:t>名称）的法定代表人（单位负责人）。</w:t>
      </w:r>
    </w:p>
    <w:p w14:paraId="787680FB">
      <w:pPr>
        <w:pStyle w:val="45"/>
        <w:spacing w:before="156"/>
        <w:ind w:firstLine="480"/>
        <w:rPr>
          <w:color w:val="auto"/>
          <w:highlight w:val="none"/>
        </w:rPr>
      </w:pPr>
      <w:r>
        <w:rPr>
          <w:rFonts w:hint="eastAsia"/>
          <w:color w:val="auto"/>
          <w:highlight w:val="none"/>
        </w:rPr>
        <w:t>特此证明。</w:t>
      </w:r>
    </w:p>
    <w:p w14:paraId="28CAED1E">
      <w:pPr>
        <w:pStyle w:val="45"/>
        <w:spacing w:before="156"/>
        <w:ind w:firstLine="480"/>
        <w:rPr>
          <w:color w:val="auto"/>
          <w:highlight w:val="none"/>
        </w:rPr>
      </w:pPr>
      <w:r>
        <w:rPr>
          <w:rFonts w:hint="eastAsia"/>
          <w:color w:val="auto"/>
          <w:highlight w:val="none"/>
        </w:rPr>
        <w:t>附：法定代表人（单位负责人）身份证复印件。</w:t>
      </w:r>
    </w:p>
    <w:tbl>
      <w:tblPr>
        <w:tblStyle w:val="35"/>
        <w:tblW w:w="9825"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2"/>
        <w:gridCol w:w="4913"/>
      </w:tblGrid>
      <w:tr w14:paraId="483B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3" w:hRule="atLeast"/>
        </w:trPr>
        <w:tc>
          <w:tcPr>
            <w:tcW w:w="4912" w:type="dxa"/>
            <w:tcBorders>
              <w:top w:val="single" w:color="auto" w:sz="4" w:space="0"/>
              <w:left w:val="single" w:color="auto" w:sz="4" w:space="0"/>
              <w:bottom w:val="single" w:color="auto" w:sz="4" w:space="0"/>
              <w:right w:val="single" w:color="auto" w:sz="4" w:space="0"/>
            </w:tcBorders>
            <w:shd w:val="clear" w:color="auto" w:fill="auto"/>
            <w:vAlign w:val="center"/>
          </w:tcPr>
          <w:p w14:paraId="06FFF2F0">
            <w:pPr>
              <w:adjustRightInd w:val="0"/>
              <w:snapToGrid w:val="0"/>
              <w:spacing w:before="156" w:beforeLines="50" w:line="360" w:lineRule="auto"/>
              <w:jc w:val="center"/>
              <w:rPr>
                <w:rFonts w:ascii="宋体" w:cs="Times New Roman"/>
                <w:color w:val="auto"/>
                <w:szCs w:val="21"/>
                <w:highlight w:val="none"/>
              </w:rPr>
            </w:pPr>
            <w:r>
              <w:rPr>
                <w:rFonts w:hint="eastAsia" w:ascii="宋体" w:cs="Times New Roman"/>
                <w:color w:val="auto"/>
                <w:szCs w:val="21"/>
                <w:highlight w:val="none"/>
              </w:rPr>
              <w:t>身份证（正面）</w:t>
            </w:r>
            <w:r>
              <w:rPr>
                <w:rFonts w:hint="eastAsia" w:ascii="宋体" w:cs="微软雅黑"/>
                <w:color w:val="auto"/>
                <w:spacing w:val="-2"/>
                <w:kern w:val="0"/>
                <w:szCs w:val="21"/>
                <w:highlight w:val="none"/>
              </w:rPr>
              <w:t>复</w:t>
            </w:r>
            <w:r>
              <w:rPr>
                <w:rFonts w:hint="eastAsia" w:ascii="宋体" w:cs="微软雅黑"/>
                <w:color w:val="auto"/>
                <w:kern w:val="0"/>
                <w:szCs w:val="21"/>
                <w:highlight w:val="none"/>
              </w:rPr>
              <w:t>印</w:t>
            </w:r>
            <w:r>
              <w:rPr>
                <w:rFonts w:hint="eastAsia" w:ascii="宋体" w:cs="微软雅黑"/>
                <w:color w:val="auto"/>
                <w:spacing w:val="-2"/>
                <w:kern w:val="0"/>
                <w:szCs w:val="21"/>
                <w:highlight w:val="none"/>
              </w:rPr>
              <w:t>件</w:t>
            </w:r>
          </w:p>
        </w:tc>
        <w:tc>
          <w:tcPr>
            <w:tcW w:w="4913" w:type="dxa"/>
            <w:tcBorders>
              <w:top w:val="single" w:color="auto" w:sz="4" w:space="0"/>
              <w:left w:val="single" w:color="auto" w:sz="4" w:space="0"/>
              <w:bottom w:val="single" w:color="auto" w:sz="4" w:space="0"/>
              <w:right w:val="single" w:color="auto" w:sz="4" w:space="0"/>
            </w:tcBorders>
            <w:shd w:val="clear" w:color="auto" w:fill="auto"/>
            <w:vAlign w:val="center"/>
          </w:tcPr>
          <w:p w14:paraId="70790D67">
            <w:pPr>
              <w:adjustRightInd w:val="0"/>
              <w:snapToGrid w:val="0"/>
              <w:spacing w:before="156" w:beforeLines="50" w:line="360" w:lineRule="auto"/>
              <w:jc w:val="center"/>
              <w:rPr>
                <w:rFonts w:ascii="宋体" w:cs="Times New Roman"/>
                <w:color w:val="auto"/>
                <w:szCs w:val="21"/>
                <w:highlight w:val="none"/>
              </w:rPr>
            </w:pPr>
            <w:r>
              <w:rPr>
                <w:rFonts w:hint="eastAsia" w:ascii="宋体" w:cs="Times New Roman"/>
                <w:color w:val="auto"/>
                <w:szCs w:val="21"/>
                <w:highlight w:val="none"/>
              </w:rPr>
              <w:t>身份证（反面）</w:t>
            </w:r>
            <w:r>
              <w:rPr>
                <w:rFonts w:hint="eastAsia" w:ascii="宋体" w:cs="微软雅黑"/>
                <w:color w:val="auto"/>
                <w:spacing w:val="-2"/>
                <w:kern w:val="0"/>
                <w:szCs w:val="21"/>
                <w:highlight w:val="none"/>
              </w:rPr>
              <w:t>复</w:t>
            </w:r>
            <w:r>
              <w:rPr>
                <w:rFonts w:hint="eastAsia" w:ascii="宋体" w:cs="微软雅黑"/>
                <w:color w:val="auto"/>
                <w:kern w:val="0"/>
                <w:szCs w:val="21"/>
                <w:highlight w:val="none"/>
              </w:rPr>
              <w:t>印</w:t>
            </w:r>
            <w:r>
              <w:rPr>
                <w:rFonts w:hint="eastAsia" w:ascii="宋体" w:cs="微软雅黑"/>
                <w:color w:val="auto"/>
                <w:spacing w:val="-2"/>
                <w:kern w:val="0"/>
                <w:szCs w:val="21"/>
                <w:highlight w:val="none"/>
              </w:rPr>
              <w:t>件</w:t>
            </w:r>
          </w:p>
        </w:tc>
      </w:tr>
    </w:tbl>
    <w:p w14:paraId="032BDE55">
      <w:pPr>
        <w:adjustRightInd w:val="0"/>
        <w:snapToGrid w:val="0"/>
        <w:spacing w:before="156" w:beforeLines="50" w:line="360" w:lineRule="auto"/>
        <w:rPr>
          <w:rFonts w:ascii="宋体" w:cs="Times New Roman"/>
          <w:color w:val="auto"/>
          <w:szCs w:val="21"/>
          <w:highlight w:val="none"/>
        </w:rPr>
      </w:pPr>
    </w:p>
    <w:p w14:paraId="23CA7B6D">
      <w:pPr>
        <w:adjustRightInd w:val="0"/>
        <w:snapToGrid w:val="0"/>
        <w:spacing w:before="156" w:beforeLines="50" w:line="360" w:lineRule="auto"/>
        <w:rPr>
          <w:rFonts w:ascii="宋体" w:cs="Times New Roman"/>
          <w:color w:val="auto"/>
          <w:szCs w:val="21"/>
          <w:highlight w:val="none"/>
        </w:rPr>
      </w:pPr>
      <w:r>
        <w:rPr>
          <w:rFonts w:hint="eastAsia" w:ascii="宋体" w:cs="Times New Roman"/>
          <w:color w:val="auto"/>
          <w:szCs w:val="21"/>
          <w:highlight w:val="none"/>
        </w:rPr>
        <w:t>注：</w:t>
      </w:r>
      <w:r>
        <w:rPr>
          <w:rFonts w:hint="eastAsia" w:ascii="宋体" w:cs="Times New Roman"/>
          <w:color w:val="auto"/>
          <w:szCs w:val="21"/>
          <w:highlight w:val="none"/>
          <w:lang w:eastAsia="zh-CN"/>
        </w:rPr>
        <w:t>供应商</w:t>
      </w:r>
      <w:r>
        <w:rPr>
          <w:rFonts w:hint="eastAsia" w:ascii="宋体" w:cs="Times New Roman"/>
          <w:color w:val="auto"/>
          <w:szCs w:val="21"/>
          <w:highlight w:val="none"/>
        </w:rPr>
        <w:t>代表为法定代表人（单位负责人）的提供。</w:t>
      </w:r>
      <w:r>
        <w:rPr>
          <w:rFonts w:hint="eastAsia" w:ascii="宋体" w:cs="Times New Roman"/>
          <w:color w:val="auto"/>
          <w:szCs w:val="21"/>
          <w:highlight w:val="none"/>
          <w:lang w:eastAsia="zh-CN"/>
        </w:rPr>
        <w:t>供应商</w:t>
      </w:r>
      <w:r>
        <w:rPr>
          <w:rFonts w:hint="eastAsia" w:ascii="宋体" w:cs="Times New Roman"/>
          <w:color w:val="auto"/>
          <w:szCs w:val="21"/>
          <w:highlight w:val="none"/>
        </w:rPr>
        <w:t>为自然人的无需提供。</w:t>
      </w:r>
    </w:p>
    <w:tbl>
      <w:tblPr>
        <w:tblStyle w:val="36"/>
        <w:tblpPr w:leftFromText="180" w:rightFromText="180" w:vertAnchor="text" w:horzAnchor="page" w:tblpX="1217" w:tblpY="499"/>
        <w:tblOverlap w:val="never"/>
        <w:tblW w:w="9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8"/>
        <w:gridCol w:w="2039"/>
        <w:gridCol w:w="1185"/>
        <w:gridCol w:w="2602"/>
      </w:tblGrid>
      <w:tr w14:paraId="441E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trPr>
        <w:tc>
          <w:tcPr>
            <w:tcW w:w="3698" w:type="dxa"/>
            <w:tcBorders>
              <w:top w:val="nil"/>
              <w:left w:val="nil"/>
              <w:bottom w:val="nil"/>
              <w:right w:val="nil"/>
            </w:tcBorders>
            <w:vAlign w:val="center"/>
          </w:tcPr>
          <w:p w14:paraId="45C1145D">
            <w:pPr>
              <w:pStyle w:val="45"/>
              <w:spacing w:before="156" w:line="240" w:lineRule="auto"/>
              <w:ind w:firstLine="0" w:firstLineChars="0"/>
              <w:jc w:val="distribute"/>
              <w:rPr>
                <w:color w:val="auto"/>
                <w:highlight w:val="none"/>
              </w:rPr>
            </w:pPr>
            <w:r>
              <w:rPr>
                <w:rFonts w:hint="eastAsia"/>
                <w:color w:val="auto"/>
                <w:highlight w:val="none"/>
                <w:lang w:eastAsia="zh-CN"/>
              </w:rPr>
              <w:t>供应商</w:t>
            </w:r>
            <w:r>
              <w:rPr>
                <w:rFonts w:hint="eastAsia"/>
                <w:color w:val="auto"/>
                <w:highlight w:val="none"/>
              </w:rPr>
              <w:t>名称（加盖公章）：</w:t>
            </w:r>
          </w:p>
        </w:tc>
        <w:tc>
          <w:tcPr>
            <w:tcW w:w="5826" w:type="dxa"/>
            <w:gridSpan w:val="3"/>
            <w:tcBorders>
              <w:top w:val="nil"/>
              <w:left w:val="nil"/>
              <w:bottom w:val="nil"/>
              <w:right w:val="nil"/>
            </w:tcBorders>
            <w:vAlign w:val="center"/>
          </w:tcPr>
          <w:p w14:paraId="7EE7AAEE">
            <w:pPr>
              <w:pStyle w:val="45"/>
              <w:spacing w:before="156" w:line="540" w:lineRule="exact"/>
              <w:ind w:firstLine="480"/>
              <w:jc w:val="center"/>
              <w:rPr>
                <w:color w:val="auto"/>
                <w:highlight w:val="none"/>
              </w:rPr>
            </w:pPr>
          </w:p>
        </w:tc>
      </w:tr>
      <w:tr w14:paraId="1432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8" w:type="dxa"/>
            <w:tcBorders>
              <w:top w:val="nil"/>
              <w:left w:val="nil"/>
              <w:bottom w:val="nil"/>
              <w:right w:val="nil"/>
            </w:tcBorders>
            <w:vAlign w:val="center"/>
          </w:tcPr>
          <w:p w14:paraId="641C9387">
            <w:pPr>
              <w:pStyle w:val="45"/>
              <w:spacing w:before="156" w:line="540" w:lineRule="exact"/>
              <w:ind w:firstLine="0" w:firstLineChars="0"/>
              <w:rPr>
                <w:color w:val="auto"/>
                <w:highlight w:val="none"/>
              </w:rPr>
            </w:pPr>
          </w:p>
        </w:tc>
        <w:tc>
          <w:tcPr>
            <w:tcW w:w="2039" w:type="dxa"/>
            <w:tcBorders>
              <w:top w:val="nil"/>
              <w:left w:val="nil"/>
              <w:bottom w:val="nil"/>
              <w:right w:val="nil"/>
            </w:tcBorders>
            <w:vAlign w:val="center"/>
          </w:tcPr>
          <w:p w14:paraId="546B8C75">
            <w:pPr>
              <w:pStyle w:val="45"/>
              <w:spacing w:before="156" w:line="540" w:lineRule="exact"/>
              <w:ind w:firstLine="0" w:firstLineChars="0"/>
              <w:jc w:val="center"/>
              <w:rPr>
                <w:color w:val="auto"/>
                <w:highlight w:val="none"/>
              </w:rPr>
            </w:pPr>
          </w:p>
        </w:tc>
        <w:tc>
          <w:tcPr>
            <w:tcW w:w="1185" w:type="dxa"/>
            <w:tcBorders>
              <w:top w:val="nil"/>
              <w:left w:val="nil"/>
              <w:bottom w:val="nil"/>
              <w:right w:val="nil"/>
            </w:tcBorders>
            <w:vAlign w:val="center"/>
          </w:tcPr>
          <w:p w14:paraId="7C8A82AF">
            <w:pPr>
              <w:pStyle w:val="45"/>
              <w:spacing w:before="156" w:line="240" w:lineRule="auto"/>
              <w:ind w:firstLine="0" w:firstLineChars="0"/>
              <w:jc w:val="distribute"/>
              <w:rPr>
                <w:color w:val="auto"/>
                <w:highlight w:val="none"/>
              </w:rPr>
            </w:pPr>
            <w:r>
              <w:rPr>
                <w:rFonts w:hint="eastAsia"/>
                <w:color w:val="auto"/>
                <w:highlight w:val="none"/>
              </w:rPr>
              <w:t>日   期：</w:t>
            </w:r>
          </w:p>
        </w:tc>
        <w:tc>
          <w:tcPr>
            <w:tcW w:w="2602" w:type="dxa"/>
            <w:tcBorders>
              <w:top w:val="nil"/>
              <w:left w:val="nil"/>
              <w:bottom w:val="nil"/>
              <w:right w:val="nil"/>
            </w:tcBorders>
            <w:vAlign w:val="center"/>
          </w:tcPr>
          <w:p w14:paraId="4AFF20C2">
            <w:pPr>
              <w:pStyle w:val="45"/>
              <w:spacing w:before="156" w:line="240" w:lineRule="auto"/>
              <w:ind w:firstLine="0" w:firstLineChars="0"/>
              <w:jc w:val="right"/>
              <w:rPr>
                <w:color w:val="auto"/>
                <w:highlight w:val="none"/>
              </w:rPr>
            </w:pPr>
            <w:r>
              <w:rPr>
                <w:rFonts w:hint="eastAsia"/>
                <w:color w:val="auto"/>
                <w:highlight w:val="none"/>
              </w:rPr>
              <w:t>年   月   日</w:t>
            </w:r>
          </w:p>
        </w:tc>
      </w:tr>
    </w:tbl>
    <w:p w14:paraId="7FB93EE9">
      <w:pPr>
        <w:rPr>
          <w:color w:val="auto"/>
          <w:highlight w:val="none"/>
        </w:rPr>
      </w:pPr>
      <w:r>
        <w:rPr>
          <w:rFonts w:hint="eastAsia"/>
          <w:color w:val="auto"/>
          <w:highlight w:val="none"/>
        </w:rPr>
        <w:br w:type="page"/>
      </w:r>
    </w:p>
    <w:p w14:paraId="4C1D1F14">
      <w:pPr>
        <w:pStyle w:val="4"/>
        <w:numPr>
          <w:ilvl w:val="0"/>
          <w:numId w:val="0"/>
        </w:numPr>
        <w:spacing w:before="156"/>
        <w:ind w:left="0" w:leftChars="0" w:firstLine="420" w:firstLineChars="0"/>
        <w:jc w:val="center"/>
        <w:rPr>
          <w:color w:val="auto"/>
          <w:highlight w:val="none"/>
        </w:rPr>
      </w:pPr>
      <w:bookmarkStart w:id="87" w:name="_Toc5852"/>
      <w:bookmarkStart w:id="88" w:name="_Toc15164"/>
      <w:bookmarkStart w:id="89" w:name="_Toc22863"/>
      <w:bookmarkStart w:id="90" w:name="_Toc30932"/>
      <w:bookmarkStart w:id="91" w:name="_Toc7744"/>
      <w:r>
        <w:rPr>
          <w:rFonts w:hint="eastAsia" w:ascii="Arial" w:hAnsi="Arial" w:eastAsia="黑体" w:cs="Times New Roman"/>
          <w:color w:val="auto"/>
          <w:kern w:val="2"/>
          <w:sz w:val="30"/>
          <w:szCs w:val="24"/>
          <w:highlight w:val="none"/>
          <w:lang w:val="en-US" w:eastAsia="zh-CN" w:bidi="ar-SA"/>
        </w:rPr>
        <w:t>三、</w:t>
      </w:r>
      <w:r>
        <w:rPr>
          <w:rFonts w:hint="eastAsia"/>
          <w:color w:val="auto"/>
          <w:highlight w:val="none"/>
          <w:lang w:eastAsia="zh-CN"/>
        </w:rPr>
        <w:t>供应商</w:t>
      </w:r>
      <w:r>
        <w:rPr>
          <w:rFonts w:hint="eastAsia"/>
          <w:color w:val="auto"/>
          <w:highlight w:val="none"/>
        </w:rPr>
        <w:t>的资格证明资料</w:t>
      </w:r>
      <w:bookmarkEnd w:id="87"/>
      <w:bookmarkEnd w:id="88"/>
      <w:bookmarkEnd w:id="89"/>
      <w:bookmarkEnd w:id="90"/>
      <w:bookmarkEnd w:id="91"/>
    </w:p>
    <w:p w14:paraId="5D4193FE">
      <w:pPr>
        <w:pStyle w:val="7"/>
        <w:numPr>
          <w:ilvl w:val="4"/>
          <w:numId w:val="0"/>
        </w:numPr>
        <w:outlineLvl w:val="2"/>
        <w:rPr>
          <w:color w:val="auto"/>
          <w:highlight w:val="none"/>
        </w:rPr>
      </w:pPr>
      <w:r>
        <w:rPr>
          <w:rFonts w:hint="eastAsia"/>
          <w:color w:val="auto"/>
          <w:highlight w:val="none"/>
        </w:rPr>
        <w:t>附件3-1</w:t>
      </w:r>
      <w:r>
        <w:rPr>
          <w:rFonts w:hint="eastAsia"/>
          <w:color w:val="auto"/>
          <w:highlight w:val="none"/>
          <w:lang w:eastAsia="zh-CN"/>
        </w:rPr>
        <w:t>供应商</w:t>
      </w:r>
      <w:r>
        <w:rPr>
          <w:rFonts w:hint="eastAsia"/>
          <w:color w:val="auto"/>
          <w:highlight w:val="none"/>
        </w:rPr>
        <w:t>基本情况表</w:t>
      </w:r>
    </w:p>
    <w:p w14:paraId="1AA1F68D">
      <w:pPr>
        <w:pStyle w:val="45"/>
        <w:spacing w:before="156"/>
        <w:ind w:firstLine="0" w:firstLineChars="0"/>
        <w:jc w:val="center"/>
        <w:rPr>
          <w:rFonts w:ascii="方正小标宋_GBK" w:eastAsia="方正小标宋_GBK" w:cs="方正小标宋_GBK"/>
          <w:color w:val="auto"/>
          <w:sz w:val="32"/>
          <w:szCs w:val="28"/>
          <w:highlight w:val="none"/>
        </w:rPr>
      </w:pPr>
      <w:r>
        <w:rPr>
          <w:rFonts w:hint="eastAsia" w:ascii="方正小标宋_GBK" w:eastAsia="方正小标宋_GBK" w:cs="方正小标宋_GBK"/>
          <w:color w:val="auto"/>
          <w:sz w:val="32"/>
          <w:szCs w:val="28"/>
          <w:highlight w:val="none"/>
          <w:lang w:eastAsia="zh-CN"/>
        </w:rPr>
        <w:t>供应商</w:t>
      </w:r>
      <w:r>
        <w:rPr>
          <w:rFonts w:hint="eastAsia" w:ascii="方正小标宋_GBK" w:eastAsia="方正小标宋_GBK" w:cs="方正小标宋_GBK"/>
          <w:color w:val="auto"/>
          <w:sz w:val="32"/>
          <w:szCs w:val="28"/>
          <w:highlight w:val="none"/>
        </w:rPr>
        <w:t>基本情况表</w:t>
      </w:r>
    </w:p>
    <w:p w14:paraId="16EBEF81">
      <w:pPr>
        <w:adjustRightInd w:val="0"/>
        <w:snapToGrid w:val="0"/>
        <w:rPr>
          <w:rFonts w:ascii="宋体" w:cs="Times New Roman"/>
          <w:color w:val="auto"/>
          <w:highlight w:val="none"/>
        </w:rPr>
      </w:pPr>
      <w:r>
        <w:rPr>
          <w:rFonts w:hint="eastAsia" w:ascii="宋体" w:cs="Times New Roman"/>
          <w:color w:val="auto"/>
          <w:highlight w:val="none"/>
        </w:rPr>
        <w:t>盖</w:t>
      </w:r>
      <w:r>
        <w:rPr>
          <w:rFonts w:hint="eastAsia" w:ascii="宋体" w:cs="Times New Roman"/>
          <w:color w:val="auto"/>
          <w:highlight w:val="none"/>
          <w:lang w:eastAsia="zh-CN"/>
        </w:rPr>
        <w:t>供应商</w:t>
      </w:r>
      <w:r>
        <w:rPr>
          <w:rFonts w:hint="eastAsia" w:ascii="宋体" w:cs="Times New Roman"/>
          <w:color w:val="auto"/>
          <w:highlight w:val="none"/>
        </w:rPr>
        <w:t>单位章</w:t>
      </w:r>
    </w:p>
    <w:tbl>
      <w:tblPr>
        <w:tblStyle w:val="35"/>
        <w:tblW w:w="1032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20"/>
        <w:gridCol w:w="292"/>
        <w:gridCol w:w="1673"/>
        <w:gridCol w:w="1313"/>
        <w:gridCol w:w="894"/>
        <w:gridCol w:w="38"/>
        <w:gridCol w:w="886"/>
        <w:gridCol w:w="413"/>
        <w:gridCol w:w="113"/>
        <w:gridCol w:w="3486"/>
      </w:tblGrid>
      <w:tr w14:paraId="251FA4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3" w:hRule="atLeast"/>
        </w:trPr>
        <w:tc>
          <w:tcPr>
            <w:tcW w:w="1512" w:type="dxa"/>
            <w:gridSpan w:val="2"/>
            <w:tcBorders>
              <w:top w:val="double" w:color="auto" w:sz="4" w:space="0"/>
              <w:left w:val="double" w:color="auto" w:sz="4" w:space="0"/>
              <w:bottom w:val="single" w:color="auto" w:sz="6" w:space="0"/>
              <w:right w:val="single" w:color="auto" w:sz="6" w:space="0"/>
            </w:tcBorders>
            <w:vAlign w:val="center"/>
          </w:tcPr>
          <w:p w14:paraId="7B710EAC">
            <w:pPr>
              <w:topLinePunct/>
              <w:jc w:val="center"/>
              <w:rPr>
                <w:rFonts w:ascii="宋体" w:cs="Times New Roman"/>
                <w:color w:val="auto"/>
                <w:highlight w:val="none"/>
              </w:rPr>
            </w:pPr>
            <w:r>
              <w:rPr>
                <w:rFonts w:hint="eastAsia" w:ascii="宋体" w:cs="Times New Roman"/>
                <w:color w:val="auto"/>
                <w:highlight w:val="none"/>
                <w:lang w:eastAsia="zh-CN"/>
              </w:rPr>
              <w:t>供应商</w:t>
            </w:r>
            <w:r>
              <w:rPr>
                <w:rFonts w:ascii="宋体" w:cs="Times New Roman"/>
                <w:color w:val="auto"/>
                <w:highlight w:val="none"/>
              </w:rPr>
              <w:t>名称</w:t>
            </w:r>
          </w:p>
        </w:tc>
        <w:tc>
          <w:tcPr>
            <w:tcW w:w="3918" w:type="dxa"/>
            <w:gridSpan w:val="4"/>
            <w:tcBorders>
              <w:top w:val="double" w:color="auto" w:sz="4" w:space="0"/>
              <w:left w:val="single" w:color="auto" w:sz="6" w:space="0"/>
              <w:bottom w:val="single" w:color="auto" w:sz="6" w:space="0"/>
              <w:right w:val="single" w:color="auto" w:sz="6" w:space="0"/>
            </w:tcBorders>
            <w:vAlign w:val="center"/>
          </w:tcPr>
          <w:p w14:paraId="41377189">
            <w:pPr>
              <w:topLinePunct/>
              <w:jc w:val="center"/>
              <w:rPr>
                <w:rFonts w:ascii="宋体" w:cs="Times New Roman"/>
                <w:color w:val="auto"/>
                <w:highlight w:val="none"/>
              </w:rPr>
            </w:pPr>
          </w:p>
        </w:tc>
        <w:tc>
          <w:tcPr>
            <w:tcW w:w="1299" w:type="dxa"/>
            <w:gridSpan w:val="2"/>
            <w:tcBorders>
              <w:top w:val="double" w:color="auto" w:sz="4" w:space="0"/>
              <w:left w:val="single" w:color="auto" w:sz="6" w:space="0"/>
              <w:bottom w:val="single" w:color="auto" w:sz="6" w:space="0"/>
              <w:right w:val="single" w:color="auto" w:sz="6" w:space="0"/>
            </w:tcBorders>
            <w:vAlign w:val="center"/>
          </w:tcPr>
          <w:p w14:paraId="6AA81998">
            <w:pPr>
              <w:topLinePunct/>
              <w:jc w:val="center"/>
              <w:rPr>
                <w:rFonts w:ascii="宋体" w:cs="Times New Roman"/>
                <w:color w:val="auto"/>
                <w:highlight w:val="none"/>
              </w:rPr>
            </w:pPr>
            <w:r>
              <w:rPr>
                <w:rFonts w:ascii="宋体" w:cs="Times New Roman"/>
                <w:color w:val="auto"/>
                <w:highlight w:val="none"/>
              </w:rPr>
              <w:t>邮政编码</w:t>
            </w:r>
          </w:p>
        </w:tc>
        <w:tc>
          <w:tcPr>
            <w:tcW w:w="3599" w:type="dxa"/>
            <w:gridSpan w:val="2"/>
            <w:tcBorders>
              <w:top w:val="double" w:color="auto" w:sz="4" w:space="0"/>
              <w:left w:val="single" w:color="auto" w:sz="6" w:space="0"/>
              <w:bottom w:val="single" w:color="auto" w:sz="6" w:space="0"/>
              <w:right w:val="double" w:color="auto" w:sz="4" w:space="0"/>
            </w:tcBorders>
            <w:vAlign w:val="center"/>
          </w:tcPr>
          <w:p w14:paraId="74B01F7E">
            <w:pPr>
              <w:topLinePunct/>
              <w:jc w:val="center"/>
              <w:rPr>
                <w:rFonts w:ascii="宋体" w:cs="Times New Roman"/>
                <w:color w:val="auto"/>
                <w:highlight w:val="none"/>
              </w:rPr>
            </w:pPr>
          </w:p>
        </w:tc>
      </w:tr>
      <w:tr w14:paraId="65EF97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512" w:type="dxa"/>
            <w:gridSpan w:val="2"/>
            <w:vMerge w:val="restart"/>
            <w:tcBorders>
              <w:top w:val="single" w:color="auto" w:sz="6" w:space="0"/>
              <w:left w:val="double" w:color="auto" w:sz="4" w:space="0"/>
              <w:bottom w:val="single" w:color="auto" w:sz="6" w:space="0"/>
              <w:right w:val="single" w:color="auto" w:sz="6" w:space="0"/>
            </w:tcBorders>
            <w:vAlign w:val="center"/>
          </w:tcPr>
          <w:p w14:paraId="28F0DE75">
            <w:pPr>
              <w:topLinePunct/>
              <w:jc w:val="center"/>
              <w:rPr>
                <w:rFonts w:ascii="宋体" w:cs="Times New Roman"/>
                <w:color w:val="auto"/>
                <w:highlight w:val="none"/>
              </w:rPr>
            </w:pPr>
            <w:r>
              <w:rPr>
                <w:rFonts w:hint="eastAsia" w:ascii="宋体" w:cs="Times New Roman"/>
                <w:color w:val="auto"/>
                <w:highlight w:val="none"/>
              </w:rPr>
              <w:t>联系方式</w:t>
            </w:r>
          </w:p>
        </w:tc>
        <w:tc>
          <w:tcPr>
            <w:tcW w:w="1673" w:type="dxa"/>
            <w:tcBorders>
              <w:top w:val="single" w:color="auto" w:sz="6" w:space="0"/>
              <w:left w:val="single" w:color="auto" w:sz="6" w:space="0"/>
              <w:bottom w:val="single" w:color="auto" w:sz="6" w:space="0"/>
              <w:right w:val="single" w:color="auto" w:sz="6" w:space="0"/>
            </w:tcBorders>
            <w:vAlign w:val="center"/>
          </w:tcPr>
          <w:p w14:paraId="14F9D7B3">
            <w:pPr>
              <w:topLinePunct/>
              <w:jc w:val="center"/>
              <w:rPr>
                <w:rFonts w:ascii="宋体" w:cs="Times New Roman"/>
                <w:color w:val="auto"/>
                <w:highlight w:val="none"/>
              </w:rPr>
            </w:pPr>
            <w:r>
              <w:rPr>
                <w:rFonts w:hint="eastAsia" w:ascii="宋体" w:cs="Times New Roman"/>
                <w:color w:val="auto"/>
                <w:highlight w:val="none"/>
              </w:rPr>
              <w:t>联系人</w:t>
            </w:r>
          </w:p>
        </w:tc>
        <w:tc>
          <w:tcPr>
            <w:tcW w:w="2245" w:type="dxa"/>
            <w:gridSpan w:val="3"/>
            <w:tcBorders>
              <w:top w:val="single" w:color="auto" w:sz="6" w:space="0"/>
              <w:left w:val="single" w:color="auto" w:sz="6" w:space="0"/>
              <w:bottom w:val="single" w:color="auto" w:sz="6" w:space="0"/>
              <w:right w:val="single" w:color="auto" w:sz="6" w:space="0"/>
            </w:tcBorders>
            <w:vAlign w:val="center"/>
          </w:tcPr>
          <w:p w14:paraId="52EBAB47">
            <w:pPr>
              <w:topLinePunct/>
              <w:jc w:val="center"/>
              <w:rPr>
                <w:rFonts w:ascii="宋体" w:cs="Times New Roman"/>
                <w:color w:val="auto"/>
                <w:highlight w:val="none"/>
              </w:rPr>
            </w:pPr>
          </w:p>
        </w:tc>
        <w:tc>
          <w:tcPr>
            <w:tcW w:w="1299" w:type="dxa"/>
            <w:gridSpan w:val="2"/>
            <w:tcBorders>
              <w:top w:val="single" w:color="auto" w:sz="6" w:space="0"/>
              <w:left w:val="single" w:color="auto" w:sz="6" w:space="0"/>
              <w:bottom w:val="single" w:color="auto" w:sz="6" w:space="0"/>
              <w:right w:val="single" w:color="auto" w:sz="6" w:space="0"/>
            </w:tcBorders>
            <w:vAlign w:val="center"/>
          </w:tcPr>
          <w:p w14:paraId="47B681E9">
            <w:pPr>
              <w:topLinePunct/>
              <w:jc w:val="center"/>
              <w:rPr>
                <w:rFonts w:ascii="宋体" w:cs="Times New Roman"/>
                <w:color w:val="auto"/>
                <w:highlight w:val="none"/>
              </w:rPr>
            </w:pPr>
            <w:r>
              <w:rPr>
                <w:rFonts w:hint="eastAsia" w:ascii="宋体" w:cs="Times New Roman"/>
                <w:color w:val="auto"/>
                <w:highlight w:val="none"/>
              </w:rPr>
              <w:t>电    话</w:t>
            </w:r>
          </w:p>
        </w:tc>
        <w:tc>
          <w:tcPr>
            <w:tcW w:w="3599" w:type="dxa"/>
            <w:gridSpan w:val="2"/>
            <w:tcBorders>
              <w:top w:val="single" w:color="auto" w:sz="6" w:space="0"/>
              <w:left w:val="single" w:color="auto" w:sz="6" w:space="0"/>
              <w:bottom w:val="single" w:color="auto" w:sz="6" w:space="0"/>
              <w:right w:val="double" w:color="auto" w:sz="4" w:space="0"/>
            </w:tcBorders>
            <w:vAlign w:val="center"/>
          </w:tcPr>
          <w:p w14:paraId="38264A15">
            <w:pPr>
              <w:topLinePunct/>
              <w:jc w:val="center"/>
              <w:rPr>
                <w:rFonts w:ascii="宋体" w:cs="Times New Roman"/>
                <w:color w:val="auto"/>
                <w:highlight w:val="none"/>
              </w:rPr>
            </w:pPr>
          </w:p>
        </w:tc>
      </w:tr>
      <w:tr w14:paraId="23D39F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512" w:type="dxa"/>
            <w:gridSpan w:val="2"/>
            <w:vMerge w:val="continue"/>
            <w:tcBorders>
              <w:top w:val="single" w:color="auto" w:sz="6" w:space="0"/>
              <w:left w:val="double" w:color="auto" w:sz="4" w:space="0"/>
              <w:bottom w:val="single" w:color="auto" w:sz="6" w:space="0"/>
              <w:right w:val="single" w:color="auto" w:sz="6" w:space="0"/>
            </w:tcBorders>
            <w:vAlign w:val="center"/>
          </w:tcPr>
          <w:p w14:paraId="57F86FAA">
            <w:pPr>
              <w:rPr>
                <w:color w:val="auto"/>
                <w:highlight w:val="none"/>
              </w:rPr>
            </w:pPr>
          </w:p>
        </w:tc>
        <w:tc>
          <w:tcPr>
            <w:tcW w:w="1673" w:type="dxa"/>
            <w:tcBorders>
              <w:top w:val="single" w:color="auto" w:sz="6" w:space="0"/>
              <w:left w:val="single" w:color="auto" w:sz="6" w:space="0"/>
              <w:bottom w:val="single" w:color="auto" w:sz="6" w:space="0"/>
              <w:right w:val="single" w:color="auto" w:sz="6" w:space="0"/>
            </w:tcBorders>
            <w:vAlign w:val="center"/>
          </w:tcPr>
          <w:p w14:paraId="7D989A2D">
            <w:pPr>
              <w:topLinePunct/>
              <w:jc w:val="center"/>
              <w:rPr>
                <w:rFonts w:ascii="宋体" w:cs="Times New Roman"/>
                <w:color w:val="auto"/>
                <w:highlight w:val="none"/>
              </w:rPr>
            </w:pPr>
            <w:r>
              <w:rPr>
                <w:rFonts w:hint="eastAsia" w:ascii="宋体" w:cs="Times New Roman"/>
                <w:color w:val="auto"/>
                <w:highlight w:val="none"/>
              </w:rPr>
              <w:t>传  真</w:t>
            </w:r>
          </w:p>
        </w:tc>
        <w:tc>
          <w:tcPr>
            <w:tcW w:w="2245" w:type="dxa"/>
            <w:gridSpan w:val="3"/>
            <w:tcBorders>
              <w:top w:val="single" w:color="auto" w:sz="6" w:space="0"/>
              <w:left w:val="single" w:color="auto" w:sz="6" w:space="0"/>
              <w:bottom w:val="single" w:color="auto" w:sz="6" w:space="0"/>
              <w:right w:val="single" w:color="auto" w:sz="6" w:space="0"/>
            </w:tcBorders>
            <w:vAlign w:val="center"/>
          </w:tcPr>
          <w:p w14:paraId="25BADAC4">
            <w:pPr>
              <w:topLinePunct/>
              <w:jc w:val="center"/>
              <w:rPr>
                <w:rFonts w:ascii="宋体" w:cs="Times New Roman"/>
                <w:color w:val="auto"/>
                <w:highlight w:val="none"/>
              </w:rPr>
            </w:pPr>
          </w:p>
        </w:tc>
        <w:tc>
          <w:tcPr>
            <w:tcW w:w="1299" w:type="dxa"/>
            <w:gridSpan w:val="2"/>
            <w:tcBorders>
              <w:top w:val="single" w:color="auto" w:sz="6" w:space="0"/>
              <w:left w:val="single" w:color="auto" w:sz="6" w:space="0"/>
              <w:bottom w:val="single" w:color="auto" w:sz="6" w:space="0"/>
              <w:right w:val="single" w:color="auto" w:sz="6" w:space="0"/>
            </w:tcBorders>
            <w:vAlign w:val="center"/>
          </w:tcPr>
          <w:p w14:paraId="1AFDDC64">
            <w:pPr>
              <w:topLinePunct/>
              <w:jc w:val="center"/>
              <w:rPr>
                <w:rFonts w:ascii="宋体" w:cs="Times New Roman"/>
                <w:color w:val="auto"/>
                <w:highlight w:val="none"/>
              </w:rPr>
            </w:pPr>
            <w:r>
              <w:rPr>
                <w:rFonts w:hint="eastAsia" w:ascii="宋体" w:cs="Times New Roman"/>
                <w:color w:val="auto"/>
                <w:highlight w:val="none"/>
              </w:rPr>
              <w:t>电子邮箱</w:t>
            </w:r>
          </w:p>
        </w:tc>
        <w:tc>
          <w:tcPr>
            <w:tcW w:w="3599" w:type="dxa"/>
            <w:gridSpan w:val="2"/>
            <w:tcBorders>
              <w:top w:val="single" w:color="auto" w:sz="6" w:space="0"/>
              <w:left w:val="single" w:color="auto" w:sz="6" w:space="0"/>
              <w:bottom w:val="single" w:color="auto" w:sz="6" w:space="0"/>
              <w:right w:val="double" w:color="auto" w:sz="4" w:space="0"/>
            </w:tcBorders>
            <w:vAlign w:val="center"/>
          </w:tcPr>
          <w:p w14:paraId="6D4129C3">
            <w:pPr>
              <w:topLinePunct/>
              <w:jc w:val="center"/>
              <w:rPr>
                <w:rFonts w:ascii="宋体" w:cs="Times New Roman"/>
                <w:color w:val="auto"/>
                <w:highlight w:val="none"/>
              </w:rPr>
            </w:pPr>
          </w:p>
        </w:tc>
      </w:tr>
      <w:tr w14:paraId="4BD0E4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512" w:type="dxa"/>
            <w:gridSpan w:val="2"/>
            <w:vMerge w:val="restart"/>
            <w:tcBorders>
              <w:top w:val="single" w:color="auto" w:sz="6" w:space="0"/>
              <w:left w:val="double" w:color="auto" w:sz="4" w:space="0"/>
              <w:bottom w:val="single" w:color="auto" w:sz="6" w:space="0"/>
              <w:right w:val="single" w:color="auto" w:sz="6" w:space="0"/>
            </w:tcBorders>
            <w:vAlign w:val="center"/>
          </w:tcPr>
          <w:p w14:paraId="3F095362">
            <w:pPr>
              <w:topLinePunct/>
              <w:jc w:val="center"/>
              <w:rPr>
                <w:rFonts w:ascii="宋体" w:cs="Times New Roman"/>
                <w:color w:val="auto"/>
                <w:highlight w:val="none"/>
              </w:rPr>
            </w:pPr>
            <w:r>
              <w:rPr>
                <w:rFonts w:hint="eastAsia" w:ascii="宋体" w:cs="Times New Roman"/>
                <w:color w:val="auto"/>
                <w:highlight w:val="none"/>
              </w:rPr>
              <w:t>营业执照</w:t>
            </w:r>
          </w:p>
        </w:tc>
        <w:tc>
          <w:tcPr>
            <w:tcW w:w="3918" w:type="dxa"/>
            <w:gridSpan w:val="4"/>
            <w:tcBorders>
              <w:top w:val="single" w:color="auto" w:sz="6" w:space="0"/>
              <w:left w:val="single" w:color="auto" w:sz="6" w:space="0"/>
              <w:bottom w:val="single" w:color="auto" w:sz="6" w:space="0"/>
              <w:right w:val="single" w:color="auto" w:sz="6" w:space="0"/>
            </w:tcBorders>
            <w:vAlign w:val="center"/>
          </w:tcPr>
          <w:p w14:paraId="70A830D6">
            <w:pPr>
              <w:topLinePunct/>
              <w:ind w:firstLine="120" w:firstLineChars="50"/>
              <w:jc w:val="center"/>
              <w:rPr>
                <w:rFonts w:ascii="宋体" w:cs="Times New Roman"/>
                <w:color w:val="auto"/>
                <w:highlight w:val="none"/>
              </w:rPr>
            </w:pPr>
            <w:r>
              <w:rPr>
                <w:rFonts w:hint="eastAsia" w:ascii="宋体" w:cs="Times New Roman"/>
                <w:color w:val="auto"/>
                <w:highlight w:val="none"/>
              </w:rPr>
              <w:t>统一社会信用代码或注册号</w:t>
            </w:r>
          </w:p>
        </w:tc>
        <w:tc>
          <w:tcPr>
            <w:tcW w:w="4898" w:type="dxa"/>
            <w:gridSpan w:val="4"/>
            <w:tcBorders>
              <w:top w:val="single" w:color="auto" w:sz="6" w:space="0"/>
              <w:left w:val="single" w:color="auto" w:sz="6" w:space="0"/>
              <w:bottom w:val="single" w:color="auto" w:sz="6" w:space="0"/>
              <w:right w:val="double" w:color="auto" w:sz="4" w:space="0"/>
            </w:tcBorders>
            <w:vAlign w:val="center"/>
          </w:tcPr>
          <w:p w14:paraId="1864D321">
            <w:pPr>
              <w:topLinePunct/>
              <w:ind w:firstLine="120" w:firstLineChars="50"/>
              <w:jc w:val="center"/>
              <w:rPr>
                <w:rFonts w:ascii="宋体" w:cs="Times New Roman"/>
                <w:color w:val="auto"/>
                <w:highlight w:val="none"/>
              </w:rPr>
            </w:pPr>
          </w:p>
        </w:tc>
      </w:tr>
      <w:tr w14:paraId="34F528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512" w:type="dxa"/>
            <w:gridSpan w:val="2"/>
            <w:vMerge w:val="continue"/>
            <w:tcBorders>
              <w:top w:val="single" w:color="auto" w:sz="6" w:space="0"/>
              <w:left w:val="double" w:color="auto" w:sz="4" w:space="0"/>
              <w:bottom w:val="single" w:color="auto" w:sz="6" w:space="0"/>
              <w:right w:val="single" w:color="auto" w:sz="6" w:space="0"/>
            </w:tcBorders>
            <w:vAlign w:val="center"/>
          </w:tcPr>
          <w:p w14:paraId="08823AB2">
            <w:pPr>
              <w:rPr>
                <w:color w:val="auto"/>
                <w:highlight w:val="none"/>
              </w:rPr>
            </w:pPr>
          </w:p>
        </w:tc>
        <w:tc>
          <w:tcPr>
            <w:tcW w:w="1673" w:type="dxa"/>
            <w:tcBorders>
              <w:top w:val="single" w:color="auto" w:sz="6" w:space="0"/>
              <w:left w:val="single" w:color="auto" w:sz="6" w:space="0"/>
              <w:bottom w:val="single" w:color="auto" w:sz="6" w:space="0"/>
              <w:right w:val="single" w:color="auto" w:sz="6" w:space="0"/>
            </w:tcBorders>
            <w:vAlign w:val="center"/>
          </w:tcPr>
          <w:p w14:paraId="6CEFA296">
            <w:pPr>
              <w:topLinePunct/>
              <w:jc w:val="center"/>
              <w:rPr>
                <w:rFonts w:ascii="宋体" w:cs="Times New Roman"/>
                <w:color w:val="auto"/>
                <w:highlight w:val="none"/>
              </w:rPr>
            </w:pPr>
            <w:r>
              <w:rPr>
                <w:rFonts w:hint="eastAsia" w:ascii="宋体" w:cs="Times New Roman"/>
                <w:color w:val="auto"/>
                <w:highlight w:val="none"/>
              </w:rPr>
              <w:t>住所</w:t>
            </w:r>
          </w:p>
        </w:tc>
        <w:tc>
          <w:tcPr>
            <w:tcW w:w="7143" w:type="dxa"/>
            <w:gridSpan w:val="7"/>
            <w:tcBorders>
              <w:top w:val="single" w:color="auto" w:sz="6" w:space="0"/>
              <w:left w:val="single" w:color="auto" w:sz="6" w:space="0"/>
              <w:bottom w:val="single" w:color="auto" w:sz="6" w:space="0"/>
              <w:right w:val="double" w:color="auto" w:sz="4" w:space="0"/>
            </w:tcBorders>
            <w:vAlign w:val="center"/>
          </w:tcPr>
          <w:p w14:paraId="4A449E90">
            <w:pPr>
              <w:topLinePunct/>
              <w:ind w:firstLine="120" w:firstLineChars="50"/>
              <w:jc w:val="center"/>
              <w:rPr>
                <w:rFonts w:ascii="宋体" w:cs="Times New Roman"/>
                <w:color w:val="auto"/>
                <w:highlight w:val="none"/>
              </w:rPr>
            </w:pPr>
          </w:p>
        </w:tc>
      </w:tr>
      <w:tr w14:paraId="704FF1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512" w:type="dxa"/>
            <w:gridSpan w:val="2"/>
            <w:vMerge w:val="continue"/>
            <w:tcBorders>
              <w:top w:val="single" w:color="auto" w:sz="6" w:space="0"/>
              <w:left w:val="double" w:color="auto" w:sz="4" w:space="0"/>
              <w:bottom w:val="single" w:color="auto" w:sz="6" w:space="0"/>
              <w:right w:val="single" w:color="auto" w:sz="6" w:space="0"/>
            </w:tcBorders>
            <w:vAlign w:val="center"/>
          </w:tcPr>
          <w:p w14:paraId="0BD9B4A9">
            <w:pPr>
              <w:rPr>
                <w:color w:val="auto"/>
                <w:highlight w:val="none"/>
              </w:rPr>
            </w:pPr>
          </w:p>
        </w:tc>
        <w:tc>
          <w:tcPr>
            <w:tcW w:w="1673" w:type="dxa"/>
            <w:tcBorders>
              <w:top w:val="single" w:color="auto" w:sz="6" w:space="0"/>
              <w:left w:val="single" w:color="auto" w:sz="6" w:space="0"/>
              <w:bottom w:val="single" w:color="auto" w:sz="6" w:space="0"/>
              <w:right w:val="single" w:color="auto" w:sz="6" w:space="0"/>
            </w:tcBorders>
            <w:vAlign w:val="center"/>
          </w:tcPr>
          <w:p w14:paraId="3CCE8224">
            <w:pPr>
              <w:topLinePunct/>
              <w:jc w:val="center"/>
              <w:rPr>
                <w:rFonts w:ascii="宋体" w:cs="Times New Roman"/>
                <w:color w:val="auto"/>
                <w:highlight w:val="none"/>
              </w:rPr>
            </w:pPr>
            <w:r>
              <w:rPr>
                <w:rFonts w:ascii="宋体" w:cs="Times New Roman"/>
                <w:color w:val="auto"/>
                <w:highlight w:val="none"/>
              </w:rPr>
              <w:t>法定代表人</w:t>
            </w:r>
          </w:p>
        </w:tc>
        <w:tc>
          <w:tcPr>
            <w:tcW w:w="2245" w:type="dxa"/>
            <w:gridSpan w:val="3"/>
            <w:tcBorders>
              <w:top w:val="single" w:color="auto" w:sz="6" w:space="0"/>
              <w:left w:val="single" w:color="auto" w:sz="6" w:space="0"/>
              <w:bottom w:val="single" w:color="auto" w:sz="6" w:space="0"/>
              <w:right w:val="single" w:color="auto" w:sz="6" w:space="0"/>
            </w:tcBorders>
            <w:vAlign w:val="center"/>
          </w:tcPr>
          <w:p w14:paraId="1899E456">
            <w:pPr>
              <w:topLinePunct/>
              <w:ind w:firstLine="120" w:firstLineChars="50"/>
              <w:jc w:val="center"/>
              <w:rPr>
                <w:rFonts w:ascii="宋体" w:cs="Times New Roman"/>
                <w:color w:val="auto"/>
                <w:highlight w:val="none"/>
              </w:rPr>
            </w:pPr>
          </w:p>
        </w:tc>
        <w:tc>
          <w:tcPr>
            <w:tcW w:w="1299" w:type="dxa"/>
            <w:gridSpan w:val="2"/>
            <w:tcBorders>
              <w:top w:val="single" w:color="auto" w:sz="6" w:space="0"/>
              <w:left w:val="single" w:color="auto" w:sz="6" w:space="0"/>
              <w:bottom w:val="single" w:color="auto" w:sz="6" w:space="0"/>
              <w:right w:val="single" w:color="auto" w:sz="6" w:space="0"/>
            </w:tcBorders>
            <w:vAlign w:val="center"/>
          </w:tcPr>
          <w:p w14:paraId="7EBBB5ED">
            <w:pPr>
              <w:topLinePunct/>
              <w:ind w:firstLine="120" w:firstLineChars="50"/>
              <w:jc w:val="center"/>
              <w:rPr>
                <w:rFonts w:ascii="宋体" w:cs="Times New Roman"/>
                <w:color w:val="auto"/>
                <w:highlight w:val="none"/>
              </w:rPr>
            </w:pPr>
            <w:r>
              <w:rPr>
                <w:rFonts w:hint="eastAsia" w:ascii="宋体" w:cs="Times New Roman"/>
                <w:color w:val="auto"/>
                <w:highlight w:val="none"/>
              </w:rPr>
              <w:t>注册资本</w:t>
            </w:r>
          </w:p>
        </w:tc>
        <w:tc>
          <w:tcPr>
            <w:tcW w:w="3599" w:type="dxa"/>
            <w:gridSpan w:val="2"/>
            <w:tcBorders>
              <w:top w:val="single" w:color="auto" w:sz="6" w:space="0"/>
              <w:left w:val="single" w:color="auto" w:sz="6" w:space="0"/>
              <w:bottom w:val="single" w:color="auto" w:sz="6" w:space="0"/>
              <w:right w:val="double" w:color="auto" w:sz="4" w:space="0"/>
            </w:tcBorders>
            <w:vAlign w:val="center"/>
          </w:tcPr>
          <w:p w14:paraId="48E6FADB">
            <w:pPr>
              <w:topLinePunct/>
              <w:ind w:firstLine="120" w:firstLineChars="50"/>
              <w:jc w:val="center"/>
              <w:rPr>
                <w:rFonts w:ascii="宋体" w:cs="Times New Roman"/>
                <w:color w:val="auto"/>
                <w:highlight w:val="none"/>
              </w:rPr>
            </w:pPr>
          </w:p>
        </w:tc>
      </w:tr>
      <w:tr w14:paraId="17AEEF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512" w:type="dxa"/>
            <w:gridSpan w:val="2"/>
            <w:vMerge w:val="continue"/>
            <w:tcBorders>
              <w:top w:val="single" w:color="auto" w:sz="6" w:space="0"/>
              <w:left w:val="double" w:color="auto" w:sz="4" w:space="0"/>
              <w:bottom w:val="single" w:color="auto" w:sz="6" w:space="0"/>
              <w:right w:val="single" w:color="auto" w:sz="6" w:space="0"/>
            </w:tcBorders>
            <w:vAlign w:val="center"/>
          </w:tcPr>
          <w:p w14:paraId="44079540">
            <w:pPr>
              <w:rPr>
                <w:color w:val="auto"/>
                <w:highlight w:val="none"/>
              </w:rPr>
            </w:pPr>
          </w:p>
        </w:tc>
        <w:tc>
          <w:tcPr>
            <w:tcW w:w="1673" w:type="dxa"/>
            <w:tcBorders>
              <w:top w:val="single" w:color="auto" w:sz="6" w:space="0"/>
              <w:left w:val="single" w:color="auto" w:sz="6" w:space="0"/>
              <w:bottom w:val="single" w:color="auto" w:sz="6" w:space="0"/>
              <w:right w:val="single" w:color="auto" w:sz="6" w:space="0"/>
            </w:tcBorders>
            <w:vAlign w:val="center"/>
          </w:tcPr>
          <w:p w14:paraId="05697765">
            <w:pPr>
              <w:topLinePunct/>
              <w:jc w:val="center"/>
              <w:rPr>
                <w:rFonts w:ascii="宋体" w:cs="Times New Roman"/>
                <w:color w:val="auto"/>
                <w:highlight w:val="none"/>
              </w:rPr>
            </w:pPr>
            <w:r>
              <w:rPr>
                <w:rFonts w:hint="eastAsia" w:ascii="宋体" w:cs="Times New Roman"/>
                <w:color w:val="auto"/>
                <w:highlight w:val="none"/>
              </w:rPr>
              <w:t>发证机关</w:t>
            </w:r>
          </w:p>
        </w:tc>
        <w:tc>
          <w:tcPr>
            <w:tcW w:w="2245" w:type="dxa"/>
            <w:gridSpan w:val="3"/>
            <w:tcBorders>
              <w:top w:val="single" w:color="auto" w:sz="6" w:space="0"/>
              <w:left w:val="single" w:color="auto" w:sz="6" w:space="0"/>
              <w:bottom w:val="single" w:color="auto" w:sz="6" w:space="0"/>
              <w:right w:val="single" w:color="auto" w:sz="6" w:space="0"/>
            </w:tcBorders>
            <w:vAlign w:val="center"/>
          </w:tcPr>
          <w:p w14:paraId="0D29E957">
            <w:pPr>
              <w:topLinePunct/>
              <w:ind w:firstLine="120" w:firstLineChars="50"/>
              <w:jc w:val="center"/>
              <w:rPr>
                <w:rFonts w:ascii="宋体" w:cs="Times New Roman"/>
                <w:color w:val="auto"/>
                <w:highlight w:val="none"/>
              </w:rPr>
            </w:pPr>
          </w:p>
        </w:tc>
        <w:tc>
          <w:tcPr>
            <w:tcW w:w="1299" w:type="dxa"/>
            <w:gridSpan w:val="2"/>
            <w:tcBorders>
              <w:top w:val="single" w:color="auto" w:sz="6" w:space="0"/>
              <w:left w:val="single" w:color="auto" w:sz="6" w:space="0"/>
              <w:bottom w:val="single" w:color="auto" w:sz="6" w:space="0"/>
              <w:right w:val="single" w:color="auto" w:sz="6" w:space="0"/>
            </w:tcBorders>
            <w:vAlign w:val="center"/>
          </w:tcPr>
          <w:p w14:paraId="451976CD">
            <w:pPr>
              <w:topLinePunct/>
              <w:ind w:firstLine="120" w:firstLineChars="50"/>
              <w:jc w:val="center"/>
              <w:rPr>
                <w:rFonts w:ascii="宋体" w:cs="Times New Roman"/>
                <w:color w:val="auto"/>
                <w:highlight w:val="none"/>
              </w:rPr>
            </w:pPr>
            <w:r>
              <w:rPr>
                <w:rFonts w:hint="eastAsia" w:ascii="宋体" w:cs="Times New Roman"/>
                <w:color w:val="auto"/>
                <w:highlight w:val="none"/>
              </w:rPr>
              <w:t>成立时间</w:t>
            </w:r>
          </w:p>
        </w:tc>
        <w:tc>
          <w:tcPr>
            <w:tcW w:w="3599" w:type="dxa"/>
            <w:gridSpan w:val="2"/>
            <w:tcBorders>
              <w:top w:val="single" w:color="auto" w:sz="6" w:space="0"/>
              <w:left w:val="single" w:color="auto" w:sz="6" w:space="0"/>
              <w:bottom w:val="single" w:color="auto" w:sz="6" w:space="0"/>
              <w:right w:val="double" w:color="auto" w:sz="4" w:space="0"/>
            </w:tcBorders>
            <w:vAlign w:val="center"/>
          </w:tcPr>
          <w:p w14:paraId="50DE6D20">
            <w:pPr>
              <w:topLinePunct/>
              <w:ind w:firstLine="120" w:firstLineChars="50"/>
              <w:jc w:val="center"/>
              <w:rPr>
                <w:rFonts w:ascii="宋体" w:cs="Times New Roman"/>
                <w:color w:val="auto"/>
                <w:highlight w:val="none"/>
              </w:rPr>
            </w:pPr>
          </w:p>
        </w:tc>
      </w:tr>
      <w:tr w14:paraId="32320D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512" w:type="dxa"/>
            <w:gridSpan w:val="2"/>
            <w:vMerge w:val="continue"/>
            <w:tcBorders>
              <w:top w:val="single" w:color="auto" w:sz="6" w:space="0"/>
              <w:left w:val="double" w:color="auto" w:sz="4" w:space="0"/>
              <w:bottom w:val="single" w:color="auto" w:sz="6" w:space="0"/>
              <w:right w:val="single" w:color="auto" w:sz="6" w:space="0"/>
            </w:tcBorders>
            <w:vAlign w:val="center"/>
          </w:tcPr>
          <w:p w14:paraId="592EB49A">
            <w:pPr>
              <w:rPr>
                <w:color w:val="auto"/>
                <w:highlight w:val="none"/>
              </w:rPr>
            </w:pPr>
          </w:p>
        </w:tc>
        <w:tc>
          <w:tcPr>
            <w:tcW w:w="1673" w:type="dxa"/>
            <w:tcBorders>
              <w:top w:val="single" w:color="auto" w:sz="6" w:space="0"/>
              <w:left w:val="single" w:color="auto" w:sz="6" w:space="0"/>
              <w:bottom w:val="single" w:color="auto" w:sz="6" w:space="0"/>
              <w:right w:val="single" w:color="auto" w:sz="6" w:space="0"/>
            </w:tcBorders>
            <w:vAlign w:val="center"/>
          </w:tcPr>
          <w:p w14:paraId="62BAEE7A">
            <w:pPr>
              <w:topLinePunct/>
              <w:jc w:val="center"/>
              <w:rPr>
                <w:rFonts w:ascii="宋体" w:cs="Times New Roman"/>
                <w:color w:val="auto"/>
                <w:highlight w:val="none"/>
              </w:rPr>
            </w:pPr>
            <w:r>
              <w:rPr>
                <w:rFonts w:hint="eastAsia" w:ascii="宋体" w:cs="Times New Roman"/>
                <w:color w:val="auto"/>
                <w:highlight w:val="none"/>
              </w:rPr>
              <w:t>营业范围</w:t>
            </w:r>
          </w:p>
        </w:tc>
        <w:tc>
          <w:tcPr>
            <w:tcW w:w="7143" w:type="dxa"/>
            <w:gridSpan w:val="7"/>
            <w:tcBorders>
              <w:top w:val="single" w:color="auto" w:sz="6" w:space="0"/>
              <w:left w:val="single" w:color="auto" w:sz="6" w:space="0"/>
              <w:bottom w:val="single" w:color="auto" w:sz="6" w:space="0"/>
              <w:right w:val="double" w:color="auto" w:sz="4" w:space="0"/>
            </w:tcBorders>
            <w:vAlign w:val="center"/>
          </w:tcPr>
          <w:p w14:paraId="66A1766E">
            <w:pPr>
              <w:topLinePunct/>
              <w:ind w:firstLine="120" w:firstLineChars="50"/>
              <w:jc w:val="center"/>
              <w:rPr>
                <w:rFonts w:ascii="宋体" w:cs="Times New Roman"/>
                <w:color w:val="auto"/>
                <w:highlight w:val="none"/>
              </w:rPr>
            </w:pPr>
          </w:p>
        </w:tc>
      </w:tr>
      <w:tr w14:paraId="629EE2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5" w:hRule="atLeast"/>
        </w:trPr>
        <w:tc>
          <w:tcPr>
            <w:tcW w:w="3185" w:type="dxa"/>
            <w:gridSpan w:val="3"/>
            <w:tcBorders>
              <w:top w:val="single" w:color="auto" w:sz="6" w:space="0"/>
              <w:left w:val="double" w:color="auto" w:sz="4" w:space="0"/>
              <w:bottom w:val="single" w:color="auto" w:sz="6" w:space="0"/>
              <w:right w:val="single" w:color="auto" w:sz="6" w:space="0"/>
            </w:tcBorders>
            <w:vAlign w:val="center"/>
          </w:tcPr>
          <w:p w14:paraId="4056B3CD">
            <w:pPr>
              <w:topLinePunct/>
              <w:jc w:val="center"/>
              <w:rPr>
                <w:rFonts w:ascii="宋体" w:cs="Times New Roman"/>
                <w:color w:val="auto"/>
                <w:highlight w:val="none"/>
              </w:rPr>
            </w:pPr>
            <w:r>
              <w:rPr>
                <w:rFonts w:hint="eastAsia" w:ascii="宋体" w:cs="Times New Roman"/>
                <w:color w:val="auto"/>
                <w:highlight w:val="none"/>
              </w:rPr>
              <w:t>基本账户开户行</w:t>
            </w:r>
          </w:p>
        </w:tc>
        <w:tc>
          <w:tcPr>
            <w:tcW w:w="2207" w:type="dxa"/>
            <w:gridSpan w:val="2"/>
            <w:tcBorders>
              <w:top w:val="single" w:color="auto" w:sz="6" w:space="0"/>
              <w:left w:val="single" w:color="auto" w:sz="6" w:space="0"/>
              <w:bottom w:val="single" w:color="auto" w:sz="6" w:space="0"/>
              <w:right w:val="single" w:color="auto" w:sz="6" w:space="0"/>
            </w:tcBorders>
            <w:vAlign w:val="center"/>
          </w:tcPr>
          <w:p w14:paraId="41E2440A">
            <w:pPr>
              <w:topLinePunct/>
              <w:jc w:val="center"/>
              <w:rPr>
                <w:rFonts w:ascii="宋体" w:cs="Times New Roman"/>
                <w:color w:val="auto"/>
                <w:highlight w:val="none"/>
              </w:rPr>
            </w:pPr>
          </w:p>
        </w:tc>
        <w:tc>
          <w:tcPr>
            <w:tcW w:w="1450" w:type="dxa"/>
            <w:gridSpan w:val="4"/>
            <w:tcBorders>
              <w:top w:val="single" w:color="auto" w:sz="6" w:space="0"/>
              <w:left w:val="single" w:color="auto" w:sz="6" w:space="0"/>
              <w:bottom w:val="single" w:color="auto" w:sz="6" w:space="0"/>
              <w:right w:val="single" w:color="auto" w:sz="6" w:space="0"/>
            </w:tcBorders>
            <w:vAlign w:val="center"/>
          </w:tcPr>
          <w:p w14:paraId="0E149156">
            <w:pPr>
              <w:topLinePunct/>
              <w:jc w:val="center"/>
              <w:rPr>
                <w:rFonts w:ascii="宋体" w:cs="Times New Roman"/>
                <w:color w:val="auto"/>
                <w:highlight w:val="none"/>
              </w:rPr>
            </w:pPr>
            <w:r>
              <w:rPr>
                <w:rFonts w:hint="eastAsia" w:ascii="宋体" w:cs="Times New Roman"/>
                <w:color w:val="auto"/>
                <w:highlight w:val="none"/>
              </w:rPr>
              <w:t>账号</w:t>
            </w:r>
          </w:p>
        </w:tc>
        <w:tc>
          <w:tcPr>
            <w:tcW w:w="3486" w:type="dxa"/>
            <w:tcBorders>
              <w:top w:val="single" w:color="auto" w:sz="6" w:space="0"/>
              <w:left w:val="single" w:color="auto" w:sz="6" w:space="0"/>
              <w:bottom w:val="single" w:color="auto" w:sz="6" w:space="0"/>
              <w:right w:val="double" w:color="auto" w:sz="4" w:space="0"/>
            </w:tcBorders>
            <w:vAlign w:val="center"/>
          </w:tcPr>
          <w:p w14:paraId="74D84E42">
            <w:pPr>
              <w:topLinePunct/>
              <w:jc w:val="center"/>
              <w:rPr>
                <w:rFonts w:ascii="宋体" w:cs="Times New Roman"/>
                <w:color w:val="auto"/>
                <w:highlight w:val="none"/>
              </w:rPr>
            </w:pPr>
          </w:p>
        </w:tc>
      </w:tr>
      <w:tr w14:paraId="788D3C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5" w:hRule="atLeast"/>
        </w:trPr>
        <w:tc>
          <w:tcPr>
            <w:tcW w:w="3185" w:type="dxa"/>
            <w:gridSpan w:val="3"/>
            <w:tcBorders>
              <w:top w:val="single" w:color="auto" w:sz="6" w:space="0"/>
              <w:left w:val="double" w:color="auto" w:sz="4" w:space="0"/>
              <w:bottom w:val="single" w:color="auto" w:sz="6" w:space="0"/>
              <w:right w:val="single" w:color="auto" w:sz="6" w:space="0"/>
            </w:tcBorders>
            <w:vAlign w:val="center"/>
          </w:tcPr>
          <w:p w14:paraId="2ACDADDD">
            <w:pPr>
              <w:topLinePunct/>
              <w:jc w:val="center"/>
              <w:rPr>
                <w:rFonts w:ascii="宋体" w:cs="Times New Roman"/>
                <w:color w:val="auto"/>
                <w:highlight w:val="none"/>
              </w:rPr>
            </w:pPr>
            <w:r>
              <w:rPr>
                <w:rFonts w:hint="eastAsia" w:ascii="宋体" w:cs="Times New Roman"/>
                <w:color w:val="auto"/>
                <w:highlight w:val="none"/>
              </w:rPr>
              <w:t>税务登记机关</w:t>
            </w:r>
          </w:p>
        </w:tc>
        <w:tc>
          <w:tcPr>
            <w:tcW w:w="7143" w:type="dxa"/>
            <w:gridSpan w:val="7"/>
            <w:tcBorders>
              <w:top w:val="single" w:color="auto" w:sz="6" w:space="0"/>
              <w:left w:val="single" w:color="auto" w:sz="6" w:space="0"/>
              <w:bottom w:val="single" w:color="auto" w:sz="6" w:space="0"/>
              <w:right w:val="double" w:color="auto" w:sz="4" w:space="0"/>
            </w:tcBorders>
            <w:vAlign w:val="center"/>
          </w:tcPr>
          <w:p w14:paraId="78790485">
            <w:pPr>
              <w:topLinePunct/>
              <w:jc w:val="center"/>
              <w:rPr>
                <w:rFonts w:ascii="宋体" w:cs="Times New Roman"/>
                <w:color w:val="auto"/>
                <w:highlight w:val="none"/>
              </w:rPr>
            </w:pPr>
          </w:p>
        </w:tc>
      </w:tr>
      <w:tr w14:paraId="0C1B19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5" w:hRule="atLeast"/>
        </w:trPr>
        <w:tc>
          <w:tcPr>
            <w:tcW w:w="3185" w:type="dxa"/>
            <w:gridSpan w:val="3"/>
            <w:tcBorders>
              <w:top w:val="single" w:color="auto" w:sz="6" w:space="0"/>
              <w:left w:val="double" w:color="auto" w:sz="4" w:space="0"/>
              <w:bottom w:val="single" w:color="auto" w:sz="4" w:space="0"/>
              <w:right w:val="single" w:color="auto" w:sz="6" w:space="0"/>
            </w:tcBorders>
            <w:vAlign w:val="center"/>
          </w:tcPr>
          <w:p w14:paraId="62B40FD5">
            <w:pPr>
              <w:topLinePunct/>
              <w:jc w:val="center"/>
              <w:rPr>
                <w:rFonts w:ascii="宋体" w:cs="Times New Roman"/>
                <w:color w:val="auto"/>
                <w:highlight w:val="none"/>
              </w:rPr>
            </w:pPr>
            <w:r>
              <w:rPr>
                <w:rFonts w:ascii="宋体" w:cs="Times New Roman"/>
                <w:color w:val="auto"/>
                <w:highlight w:val="none"/>
              </w:rPr>
              <w:t>资质</w:t>
            </w:r>
            <w:r>
              <w:rPr>
                <w:rFonts w:hint="eastAsia" w:ascii="宋体" w:cs="Times New Roman"/>
                <w:color w:val="auto"/>
                <w:highlight w:val="none"/>
              </w:rPr>
              <w:t>名称</w:t>
            </w:r>
          </w:p>
        </w:tc>
        <w:tc>
          <w:tcPr>
            <w:tcW w:w="1313" w:type="dxa"/>
            <w:tcBorders>
              <w:top w:val="single" w:color="auto" w:sz="6" w:space="0"/>
              <w:left w:val="single" w:color="auto" w:sz="6" w:space="0"/>
              <w:bottom w:val="single" w:color="auto" w:sz="4" w:space="0"/>
              <w:right w:val="single" w:color="auto" w:sz="4" w:space="0"/>
            </w:tcBorders>
            <w:vAlign w:val="center"/>
          </w:tcPr>
          <w:p w14:paraId="7CF9A05E">
            <w:pPr>
              <w:topLinePunct/>
              <w:jc w:val="center"/>
              <w:rPr>
                <w:rFonts w:ascii="宋体" w:cs="Times New Roman"/>
                <w:color w:val="auto"/>
                <w:highlight w:val="none"/>
              </w:rPr>
            </w:pPr>
            <w:r>
              <w:rPr>
                <w:rFonts w:hint="eastAsia" w:ascii="宋体" w:cs="Times New Roman"/>
                <w:color w:val="auto"/>
                <w:highlight w:val="none"/>
              </w:rPr>
              <w:t>等级</w:t>
            </w:r>
          </w:p>
        </w:tc>
        <w:tc>
          <w:tcPr>
            <w:tcW w:w="1818" w:type="dxa"/>
            <w:gridSpan w:val="3"/>
            <w:tcBorders>
              <w:top w:val="single" w:color="auto" w:sz="6" w:space="0"/>
              <w:left w:val="single" w:color="auto" w:sz="4" w:space="0"/>
              <w:bottom w:val="single" w:color="auto" w:sz="6" w:space="0"/>
              <w:right w:val="single" w:color="auto" w:sz="4" w:space="0"/>
            </w:tcBorders>
            <w:vAlign w:val="center"/>
          </w:tcPr>
          <w:p w14:paraId="1B5D6E3F">
            <w:pPr>
              <w:topLinePunct/>
              <w:ind w:left="340"/>
              <w:jc w:val="center"/>
              <w:rPr>
                <w:rFonts w:ascii="宋体" w:cs="Times New Roman"/>
                <w:color w:val="auto"/>
                <w:highlight w:val="none"/>
              </w:rPr>
            </w:pPr>
            <w:r>
              <w:rPr>
                <w:rFonts w:hint="eastAsia" w:ascii="宋体" w:cs="Times New Roman"/>
                <w:color w:val="auto"/>
                <w:highlight w:val="none"/>
              </w:rPr>
              <w:t>证书号</w:t>
            </w:r>
          </w:p>
        </w:tc>
        <w:tc>
          <w:tcPr>
            <w:tcW w:w="4012" w:type="dxa"/>
            <w:gridSpan w:val="3"/>
            <w:tcBorders>
              <w:top w:val="single" w:color="auto" w:sz="6" w:space="0"/>
              <w:left w:val="single" w:color="auto" w:sz="4" w:space="0"/>
              <w:bottom w:val="single" w:color="auto" w:sz="6" w:space="0"/>
              <w:right w:val="double" w:color="auto" w:sz="4" w:space="0"/>
            </w:tcBorders>
            <w:vAlign w:val="center"/>
          </w:tcPr>
          <w:p w14:paraId="271FD758">
            <w:pPr>
              <w:topLinePunct/>
              <w:ind w:left="395"/>
              <w:jc w:val="center"/>
              <w:rPr>
                <w:rFonts w:ascii="宋体" w:cs="Times New Roman"/>
                <w:color w:val="auto"/>
                <w:highlight w:val="none"/>
              </w:rPr>
            </w:pPr>
            <w:r>
              <w:rPr>
                <w:rFonts w:hint="eastAsia" w:ascii="宋体" w:cs="Times New Roman"/>
                <w:color w:val="auto"/>
                <w:highlight w:val="none"/>
              </w:rPr>
              <w:t>发证机关</w:t>
            </w:r>
          </w:p>
        </w:tc>
      </w:tr>
      <w:tr w14:paraId="748C01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5" w:hRule="atLeast"/>
        </w:trPr>
        <w:tc>
          <w:tcPr>
            <w:tcW w:w="3185" w:type="dxa"/>
            <w:gridSpan w:val="3"/>
            <w:tcBorders>
              <w:top w:val="single" w:color="auto" w:sz="4" w:space="0"/>
              <w:left w:val="double" w:color="auto" w:sz="4" w:space="0"/>
              <w:bottom w:val="single" w:color="auto" w:sz="4" w:space="0"/>
              <w:right w:val="single" w:color="auto" w:sz="6" w:space="0"/>
            </w:tcBorders>
            <w:vAlign w:val="center"/>
          </w:tcPr>
          <w:p w14:paraId="471B0AF5">
            <w:pPr>
              <w:topLinePunct/>
              <w:jc w:val="center"/>
              <w:rPr>
                <w:rFonts w:ascii="宋体" w:cs="Times New Roman"/>
                <w:color w:val="auto"/>
                <w:highlight w:val="none"/>
              </w:rPr>
            </w:pPr>
          </w:p>
        </w:tc>
        <w:tc>
          <w:tcPr>
            <w:tcW w:w="1313" w:type="dxa"/>
            <w:tcBorders>
              <w:top w:val="single" w:color="auto" w:sz="4" w:space="0"/>
              <w:left w:val="single" w:color="auto" w:sz="6" w:space="0"/>
              <w:bottom w:val="single" w:color="auto" w:sz="4" w:space="0"/>
              <w:right w:val="single" w:color="auto" w:sz="4" w:space="0"/>
            </w:tcBorders>
            <w:vAlign w:val="center"/>
          </w:tcPr>
          <w:p w14:paraId="621F3CDE">
            <w:pPr>
              <w:topLinePunct/>
              <w:jc w:val="center"/>
              <w:rPr>
                <w:rFonts w:ascii="宋体" w:cs="Times New Roman"/>
                <w:color w:val="auto"/>
                <w:highlight w:val="none"/>
              </w:rPr>
            </w:pPr>
          </w:p>
        </w:tc>
        <w:tc>
          <w:tcPr>
            <w:tcW w:w="1818" w:type="dxa"/>
            <w:gridSpan w:val="3"/>
            <w:tcBorders>
              <w:top w:val="single" w:color="auto" w:sz="6" w:space="0"/>
              <w:left w:val="single" w:color="auto" w:sz="4" w:space="0"/>
              <w:bottom w:val="single" w:color="auto" w:sz="6" w:space="0"/>
              <w:right w:val="single" w:color="auto" w:sz="4" w:space="0"/>
            </w:tcBorders>
            <w:vAlign w:val="center"/>
          </w:tcPr>
          <w:p w14:paraId="6F8F14A7">
            <w:pPr>
              <w:topLinePunct/>
              <w:jc w:val="center"/>
              <w:rPr>
                <w:rFonts w:ascii="宋体" w:cs="Times New Roman"/>
                <w:color w:val="auto"/>
                <w:highlight w:val="none"/>
              </w:rPr>
            </w:pPr>
          </w:p>
        </w:tc>
        <w:tc>
          <w:tcPr>
            <w:tcW w:w="4012" w:type="dxa"/>
            <w:gridSpan w:val="3"/>
            <w:tcBorders>
              <w:top w:val="single" w:color="auto" w:sz="6" w:space="0"/>
              <w:left w:val="single" w:color="auto" w:sz="4" w:space="0"/>
              <w:bottom w:val="single" w:color="auto" w:sz="6" w:space="0"/>
              <w:right w:val="double" w:color="auto" w:sz="4" w:space="0"/>
            </w:tcBorders>
            <w:vAlign w:val="center"/>
          </w:tcPr>
          <w:p w14:paraId="1F8003CE">
            <w:pPr>
              <w:topLinePunct/>
              <w:jc w:val="center"/>
              <w:rPr>
                <w:rFonts w:ascii="宋体" w:cs="Times New Roman"/>
                <w:color w:val="auto"/>
                <w:highlight w:val="none"/>
              </w:rPr>
            </w:pPr>
          </w:p>
        </w:tc>
      </w:tr>
      <w:tr w14:paraId="6D7BB1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5" w:hRule="atLeast"/>
        </w:trPr>
        <w:tc>
          <w:tcPr>
            <w:tcW w:w="3185" w:type="dxa"/>
            <w:gridSpan w:val="3"/>
            <w:tcBorders>
              <w:top w:val="single" w:color="auto" w:sz="4" w:space="0"/>
              <w:left w:val="double" w:color="auto" w:sz="4" w:space="0"/>
              <w:bottom w:val="single" w:color="auto" w:sz="6" w:space="0"/>
              <w:right w:val="single" w:color="auto" w:sz="6" w:space="0"/>
            </w:tcBorders>
            <w:vAlign w:val="center"/>
          </w:tcPr>
          <w:p w14:paraId="6315DE74">
            <w:pPr>
              <w:topLinePunct/>
              <w:jc w:val="center"/>
              <w:rPr>
                <w:rFonts w:ascii="宋体" w:cs="Times New Roman"/>
                <w:color w:val="auto"/>
                <w:highlight w:val="none"/>
              </w:rPr>
            </w:pPr>
          </w:p>
        </w:tc>
        <w:tc>
          <w:tcPr>
            <w:tcW w:w="1313" w:type="dxa"/>
            <w:tcBorders>
              <w:top w:val="single" w:color="auto" w:sz="4" w:space="0"/>
              <w:left w:val="single" w:color="auto" w:sz="6" w:space="0"/>
              <w:bottom w:val="single" w:color="auto" w:sz="6" w:space="0"/>
              <w:right w:val="single" w:color="auto" w:sz="4" w:space="0"/>
            </w:tcBorders>
            <w:vAlign w:val="center"/>
          </w:tcPr>
          <w:p w14:paraId="12D0D854">
            <w:pPr>
              <w:topLinePunct/>
              <w:jc w:val="center"/>
              <w:rPr>
                <w:rFonts w:ascii="宋体" w:cs="Times New Roman"/>
                <w:color w:val="auto"/>
                <w:highlight w:val="none"/>
              </w:rPr>
            </w:pPr>
          </w:p>
        </w:tc>
        <w:tc>
          <w:tcPr>
            <w:tcW w:w="1818" w:type="dxa"/>
            <w:gridSpan w:val="3"/>
            <w:tcBorders>
              <w:top w:val="single" w:color="auto" w:sz="6" w:space="0"/>
              <w:left w:val="single" w:color="auto" w:sz="4" w:space="0"/>
              <w:bottom w:val="single" w:color="auto" w:sz="6" w:space="0"/>
              <w:right w:val="single" w:color="auto" w:sz="4" w:space="0"/>
            </w:tcBorders>
            <w:vAlign w:val="center"/>
          </w:tcPr>
          <w:p w14:paraId="11A155CE">
            <w:pPr>
              <w:topLinePunct/>
              <w:jc w:val="center"/>
              <w:rPr>
                <w:rFonts w:ascii="宋体" w:cs="Times New Roman"/>
                <w:color w:val="auto"/>
                <w:highlight w:val="none"/>
              </w:rPr>
            </w:pPr>
          </w:p>
        </w:tc>
        <w:tc>
          <w:tcPr>
            <w:tcW w:w="4012" w:type="dxa"/>
            <w:gridSpan w:val="3"/>
            <w:tcBorders>
              <w:top w:val="single" w:color="auto" w:sz="6" w:space="0"/>
              <w:left w:val="single" w:color="auto" w:sz="4" w:space="0"/>
              <w:bottom w:val="single" w:color="auto" w:sz="6" w:space="0"/>
              <w:right w:val="double" w:color="auto" w:sz="4" w:space="0"/>
            </w:tcBorders>
            <w:vAlign w:val="center"/>
          </w:tcPr>
          <w:p w14:paraId="70580C50">
            <w:pPr>
              <w:topLinePunct/>
              <w:jc w:val="center"/>
              <w:rPr>
                <w:rFonts w:ascii="宋体" w:cs="Times New Roman"/>
                <w:color w:val="auto"/>
                <w:highlight w:val="none"/>
              </w:rPr>
            </w:pPr>
          </w:p>
        </w:tc>
      </w:tr>
      <w:tr w14:paraId="6B7093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5" w:hRule="atLeast"/>
        </w:trPr>
        <w:tc>
          <w:tcPr>
            <w:tcW w:w="3185" w:type="dxa"/>
            <w:gridSpan w:val="3"/>
            <w:tcBorders>
              <w:top w:val="single" w:color="auto" w:sz="6" w:space="0"/>
              <w:left w:val="double" w:color="auto" w:sz="4" w:space="0"/>
              <w:bottom w:val="single" w:color="auto" w:sz="6" w:space="0"/>
              <w:right w:val="single" w:color="auto" w:sz="6" w:space="0"/>
            </w:tcBorders>
            <w:vAlign w:val="center"/>
          </w:tcPr>
          <w:p w14:paraId="72C11044">
            <w:pPr>
              <w:topLinePunct/>
              <w:jc w:val="center"/>
              <w:rPr>
                <w:rFonts w:ascii="宋体" w:cs="Times New Roman"/>
                <w:color w:val="auto"/>
                <w:highlight w:val="none"/>
              </w:rPr>
            </w:pPr>
          </w:p>
        </w:tc>
        <w:tc>
          <w:tcPr>
            <w:tcW w:w="1313" w:type="dxa"/>
            <w:tcBorders>
              <w:top w:val="single" w:color="auto" w:sz="6" w:space="0"/>
              <w:left w:val="single" w:color="auto" w:sz="6" w:space="0"/>
              <w:bottom w:val="nil"/>
              <w:right w:val="single" w:color="auto" w:sz="4" w:space="0"/>
            </w:tcBorders>
            <w:vAlign w:val="center"/>
          </w:tcPr>
          <w:p w14:paraId="3BABBAE4">
            <w:pPr>
              <w:topLinePunct/>
              <w:jc w:val="center"/>
              <w:rPr>
                <w:rFonts w:ascii="宋体" w:cs="Times New Roman"/>
                <w:color w:val="auto"/>
                <w:highlight w:val="none"/>
              </w:rPr>
            </w:pPr>
          </w:p>
        </w:tc>
        <w:tc>
          <w:tcPr>
            <w:tcW w:w="1818" w:type="dxa"/>
            <w:gridSpan w:val="3"/>
            <w:tcBorders>
              <w:top w:val="single" w:color="auto" w:sz="6" w:space="0"/>
              <w:left w:val="single" w:color="auto" w:sz="4" w:space="0"/>
              <w:bottom w:val="nil"/>
              <w:right w:val="single" w:color="auto" w:sz="4" w:space="0"/>
            </w:tcBorders>
            <w:vAlign w:val="center"/>
          </w:tcPr>
          <w:p w14:paraId="173DD21C">
            <w:pPr>
              <w:topLinePunct/>
              <w:jc w:val="center"/>
              <w:rPr>
                <w:rFonts w:ascii="宋体" w:cs="Times New Roman"/>
                <w:color w:val="auto"/>
                <w:highlight w:val="none"/>
              </w:rPr>
            </w:pPr>
          </w:p>
        </w:tc>
        <w:tc>
          <w:tcPr>
            <w:tcW w:w="4012" w:type="dxa"/>
            <w:gridSpan w:val="3"/>
            <w:tcBorders>
              <w:top w:val="single" w:color="auto" w:sz="6" w:space="0"/>
              <w:left w:val="single" w:color="auto" w:sz="4" w:space="0"/>
              <w:bottom w:val="nil"/>
              <w:right w:val="double" w:color="auto" w:sz="4" w:space="0"/>
            </w:tcBorders>
            <w:vAlign w:val="center"/>
          </w:tcPr>
          <w:p w14:paraId="24226F7F">
            <w:pPr>
              <w:topLinePunct/>
              <w:jc w:val="center"/>
              <w:rPr>
                <w:rFonts w:ascii="宋体" w:cs="Times New Roman"/>
                <w:color w:val="auto"/>
                <w:highlight w:val="none"/>
              </w:rPr>
            </w:pPr>
          </w:p>
        </w:tc>
      </w:tr>
      <w:tr w14:paraId="1A062C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5" w:hRule="atLeast"/>
        </w:trPr>
        <w:tc>
          <w:tcPr>
            <w:tcW w:w="3185" w:type="dxa"/>
            <w:gridSpan w:val="3"/>
            <w:tcBorders>
              <w:top w:val="single" w:color="auto" w:sz="6" w:space="0"/>
              <w:left w:val="double" w:color="auto" w:sz="4" w:space="0"/>
              <w:bottom w:val="single" w:color="auto" w:sz="6" w:space="0"/>
              <w:right w:val="single" w:color="auto" w:sz="6" w:space="0"/>
            </w:tcBorders>
            <w:vAlign w:val="center"/>
          </w:tcPr>
          <w:p w14:paraId="587C004C">
            <w:pPr>
              <w:topLinePunct/>
              <w:jc w:val="center"/>
              <w:rPr>
                <w:rFonts w:ascii="宋体" w:cs="Times New Roman"/>
                <w:color w:val="auto"/>
                <w:highlight w:val="none"/>
              </w:rPr>
            </w:pPr>
          </w:p>
        </w:tc>
        <w:tc>
          <w:tcPr>
            <w:tcW w:w="1313" w:type="dxa"/>
            <w:tcBorders>
              <w:top w:val="single" w:color="auto" w:sz="6" w:space="0"/>
              <w:left w:val="single" w:color="auto" w:sz="6" w:space="0"/>
              <w:bottom w:val="nil"/>
              <w:right w:val="single" w:color="auto" w:sz="4" w:space="0"/>
            </w:tcBorders>
            <w:vAlign w:val="center"/>
          </w:tcPr>
          <w:p w14:paraId="4CB50D4C">
            <w:pPr>
              <w:topLinePunct/>
              <w:jc w:val="center"/>
              <w:rPr>
                <w:rFonts w:ascii="宋体" w:cs="Times New Roman"/>
                <w:color w:val="auto"/>
                <w:highlight w:val="none"/>
              </w:rPr>
            </w:pPr>
          </w:p>
        </w:tc>
        <w:tc>
          <w:tcPr>
            <w:tcW w:w="1818" w:type="dxa"/>
            <w:gridSpan w:val="3"/>
            <w:tcBorders>
              <w:top w:val="single" w:color="auto" w:sz="6" w:space="0"/>
              <w:left w:val="single" w:color="auto" w:sz="4" w:space="0"/>
              <w:bottom w:val="nil"/>
              <w:right w:val="single" w:color="auto" w:sz="4" w:space="0"/>
            </w:tcBorders>
            <w:vAlign w:val="center"/>
          </w:tcPr>
          <w:p w14:paraId="4AF5AB49">
            <w:pPr>
              <w:topLinePunct/>
              <w:jc w:val="center"/>
              <w:rPr>
                <w:rFonts w:ascii="宋体" w:cs="Times New Roman"/>
                <w:color w:val="auto"/>
                <w:highlight w:val="none"/>
              </w:rPr>
            </w:pPr>
          </w:p>
        </w:tc>
        <w:tc>
          <w:tcPr>
            <w:tcW w:w="4012" w:type="dxa"/>
            <w:gridSpan w:val="3"/>
            <w:tcBorders>
              <w:top w:val="single" w:color="auto" w:sz="6" w:space="0"/>
              <w:left w:val="single" w:color="auto" w:sz="4" w:space="0"/>
              <w:bottom w:val="nil"/>
              <w:right w:val="double" w:color="auto" w:sz="4" w:space="0"/>
            </w:tcBorders>
            <w:vAlign w:val="center"/>
          </w:tcPr>
          <w:p w14:paraId="17EBFB1A">
            <w:pPr>
              <w:topLinePunct/>
              <w:jc w:val="center"/>
              <w:rPr>
                <w:rFonts w:ascii="宋体" w:cs="Times New Roman"/>
                <w:color w:val="auto"/>
                <w:highlight w:val="none"/>
              </w:rPr>
            </w:pPr>
          </w:p>
        </w:tc>
      </w:tr>
      <w:tr w14:paraId="34A540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02" w:hRule="atLeast"/>
        </w:trPr>
        <w:tc>
          <w:tcPr>
            <w:tcW w:w="1220" w:type="dxa"/>
            <w:tcBorders>
              <w:top w:val="single" w:color="auto" w:sz="6" w:space="0"/>
              <w:left w:val="double" w:color="auto" w:sz="4" w:space="0"/>
              <w:bottom w:val="double" w:color="auto" w:sz="4" w:space="0"/>
              <w:right w:val="single" w:color="auto" w:sz="6" w:space="0"/>
            </w:tcBorders>
            <w:vAlign w:val="center"/>
          </w:tcPr>
          <w:p w14:paraId="709044D1">
            <w:pPr>
              <w:topLinePunct/>
              <w:ind w:firstLine="360" w:firstLineChars="150"/>
              <w:rPr>
                <w:rFonts w:ascii="宋体" w:cs="Times New Roman"/>
                <w:color w:val="auto"/>
                <w:highlight w:val="none"/>
              </w:rPr>
            </w:pPr>
            <w:r>
              <w:rPr>
                <w:rFonts w:ascii="宋体" w:cs="Times New Roman"/>
                <w:color w:val="auto"/>
                <w:highlight w:val="none"/>
              </w:rPr>
              <w:t>备注</w:t>
            </w:r>
          </w:p>
        </w:tc>
        <w:tc>
          <w:tcPr>
            <w:tcW w:w="9108" w:type="dxa"/>
            <w:gridSpan w:val="9"/>
            <w:tcBorders>
              <w:top w:val="single" w:color="auto" w:sz="6" w:space="0"/>
              <w:left w:val="single" w:color="auto" w:sz="6" w:space="0"/>
              <w:bottom w:val="double" w:color="auto" w:sz="4" w:space="0"/>
              <w:right w:val="double" w:color="auto" w:sz="4" w:space="0"/>
            </w:tcBorders>
            <w:vAlign w:val="center"/>
          </w:tcPr>
          <w:p w14:paraId="46807EA4">
            <w:pPr>
              <w:topLinePunct/>
              <w:adjustRightInd w:val="0"/>
              <w:snapToGrid w:val="0"/>
              <w:rPr>
                <w:rFonts w:ascii="宋体" w:cs="Times New Roman"/>
                <w:color w:val="auto"/>
                <w:highlight w:val="none"/>
              </w:rPr>
            </w:pPr>
          </w:p>
        </w:tc>
      </w:tr>
    </w:tbl>
    <w:p w14:paraId="1D858426">
      <w:pPr>
        <w:rPr>
          <w:rFonts w:ascii="Times New Roman" w:hAnsi="Times New Roman" w:cs="Times New Roman"/>
          <w:b/>
          <w:color w:val="auto"/>
          <w:sz w:val="28"/>
          <w:highlight w:val="none"/>
        </w:rPr>
      </w:pPr>
      <w:r>
        <w:rPr>
          <w:rFonts w:hint="eastAsia" w:ascii="Times New Roman" w:hAnsi="Times New Roman" w:cs="Times New Roman"/>
          <w:b/>
          <w:color w:val="auto"/>
          <w:sz w:val="28"/>
          <w:highlight w:val="none"/>
        </w:rPr>
        <w:br w:type="page"/>
      </w:r>
    </w:p>
    <w:p w14:paraId="1747A1DE">
      <w:pPr>
        <w:pStyle w:val="7"/>
        <w:numPr>
          <w:ilvl w:val="4"/>
          <w:numId w:val="0"/>
        </w:numPr>
        <w:rPr>
          <w:color w:val="auto"/>
        </w:rPr>
      </w:pPr>
      <w:r>
        <w:rPr>
          <w:rFonts w:hint="eastAsia"/>
          <w:color w:val="auto"/>
        </w:rPr>
        <w:t>附件3-2</w:t>
      </w:r>
      <w:r>
        <w:rPr>
          <w:rFonts w:hint="eastAsia"/>
          <w:color w:val="auto"/>
          <w:lang w:val="en-US" w:eastAsia="zh-CN"/>
        </w:rPr>
        <w:t>谈判</w:t>
      </w:r>
      <w:r>
        <w:rPr>
          <w:rFonts w:hint="eastAsia"/>
          <w:color w:val="auto"/>
        </w:rPr>
        <w:t xml:space="preserve">文件规定的基本资格条件证明资料     </w:t>
      </w:r>
    </w:p>
    <w:p w14:paraId="59DFD10B">
      <w:pPr>
        <w:pStyle w:val="45"/>
        <w:spacing w:before="156"/>
        <w:ind w:firstLine="640"/>
        <w:jc w:val="center"/>
        <w:rPr>
          <w:rFonts w:ascii="方正小标宋_GBK" w:eastAsia="方正小标宋_GBK" w:cs="方正小标宋_GBK"/>
          <w:color w:val="auto"/>
          <w:sz w:val="32"/>
          <w:szCs w:val="28"/>
        </w:rPr>
      </w:pPr>
      <w:r>
        <w:rPr>
          <w:rFonts w:hint="eastAsia" w:ascii="方正小标宋_GBK" w:eastAsia="方正小标宋_GBK" w:cs="方正小标宋_GBK"/>
          <w:color w:val="auto"/>
          <w:sz w:val="32"/>
          <w:szCs w:val="28"/>
          <w:lang w:val="en-US" w:eastAsia="zh-CN"/>
        </w:rPr>
        <w:t>谈判</w:t>
      </w:r>
      <w:r>
        <w:rPr>
          <w:rFonts w:hint="eastAsia" w:ascii="方正小标宋_GBK" w:eastAsia="方正小标宋_GBK" w:cs="方正小标宋_GBK"/>
          <w:color w:val="auto"/>
          <w:sz w:val="32"/>
          <w:szCs w:val="28"/>
        </w:rPr>
        <w:t>文件规定的基本资格条件证明资料</w:t>
      </w:r>
    </w:p>
    <w:p w14:paraId="49DDA496">
      <w:pPr>
        <w:pStyle w:val="45"/>
        <w:spacing w:before="156"/>
        <w:ind w:firstLine="480"/>
        <w:rPr>
          <w:color w:val="auto"/>
        </w:rPr>
      </w:pPr>
      <w:r>
        <w:rPr>
          <w:rFonts w:hint="eastAsia"/>
          <w:color w:val="auto"/>
        </w:rPr>
        <w:t>备注：</w:t>
      </w:r>
    </w:p>
    <w:p w14:paraId="74E6B497">
      <w:pPr>
        <w:pStyle w:val="45"/>
        <w:spacing w:before="156"/>
        <w:ind w:firstLine="480"/>
        <w:rPr>
          <w:color w:val="auto"/>
        </w:rPr>
      </w:pPr>
      <w:r>
        <w:rPr>
          <w:rFonts w:hint="eastAsia"/>
          <w:color w:val="auto"/>
        </w:rPr>
        <w:t>1.提供</w:t>
      </w:r>
      <w:r>
        <w:rPr>
          <w:rFonts w:hint="eastAsia"/>
          <w:color w:val="auto"/>
          <w:lang w:eastAsia="zh-CN"/>
        </w:rPr>
        <w:t>供应商</w:t>
      </w:r>
      <w:r>
        <w:rPr>
          <w:rFonts w:hint="eastAsia"/>
          <w:color w:val="auto"/>
        </w:rPr>
        <w:t xml:space="preserve">主体资格证明文件复印件（法人提交营业执照副本或者法人登记证书）； </w:t>
      </w:r>
    </w:p>
    <w:p w14:paraId="7ED03837">
      <w:pPr>
        <w:rPr>
          <w:color w:val="auto"/>
        </w:rPr>
      </w:pPr>
      <w:r>
        <w:rPr>
          <w:rFonts w:hint="eastAsia"/>
          <w:color w:val="auto"/>
        </w:rPr>
        <w:br w:type="page"/>
      </w:r>
    </w:p>
    <w:p w14:paraId="4A5816B8">
      <w:pPr>
        <w:pStyle w:val="7"/>
        <w:numPr>
          <w:ilvl w:val="4"/>
          <w:numId w:val="0"/>
        </w:numPr>
        <w:rPr>
          <w:color w:val="auto"/>
        </w:rPr>
      </w:pPr>
      <w:r>
        <w:rPr>
          <w:rFonts w:hint="eastAsia"/>
          <w:color w:val="auto"/>
        </w:rPr>
        <w:t>附件3-3</w:t>
      </w:r>
      <w:r>
        <w:rPr>
          <w:rFonts w:hint="eastAsia"/>
          <w:color w:val="auto"/>
          <w:lang w:eastAsia="zh-CN"/>
        </w:rPr>
        <w:t>供应商</w:t>
      </w:r>
      <w:r>
        <w:rPr>
          <w:rFonts w:hint="eastAsia"/>
          <w:color w:val="auto"/>
        </w:rPr>
        <w:t>资格声明</w:t>
      </w:r>
    </w:p>
    <w:p w14:paraId="2BB84111">
      <w:pPr>
        <w:pStyle w:val="45"/>
        <w:spacing w:before="156"/>
        <w:ind w:firstLine="640"/>
        <w:jc w:val="center"/>
        <w:rPr>
          <w:rFonts w:ascii="方正小标宋_GBK" w:eastAsia="方正小标宋_GBK" w:cs="方正小标宋_GBK"/>
          <w:color w:val="auto"/>
          <w:sz w:val="32"/>
          <w:szCs w:val="28"/>
        </w:rPr>
      </w:pPr>
      <w:r>
        <w:rPr>
          <w:rFonts w:hint="eastAsia" w:ascii="方正小标宋_GBK" w:eastAsia="方正小标宋_GBK" w:cs="方正小标宋_GBK"/>
          <w:color w:val="auto"/>
          <w:sz w:val="32"/>
          <w:szCs w:val="28"/>
          <w:lang w:eastAsia="zh-CN"/>
        </w:rPr>
        <w:t>供应商</w:t>
      </w:r>
      <w:r>
        <w:rPr>
          <w:rFonts w:hint="eastAsia" w:ascii="方正小标宋_GBK" w:eastAsia="方正小标宋_GBK" w:cs="方正小标宋_GBK"/>
          <w:color w:val="auto"/>
          <w:sz w:val="32"/>
          <w:szCs w:val="28"/>
        </w:rPr>
        <w:t>资格声明</w:t>
      </w:r>
    </w:p>
    <w:p w14:paraId="43E87FF2">
      <w:pPr>
        <w:pStyle w:val="45"/>
        <w:spacing w:before="240"/>
        <w:ind w:firstLine="0" w:firstLineChars="0"/>
      </w:pPr>
      <w:r>
        <w:rPr>
          <w:rFonts w:hint="eastAsia"/>
        </w:rPr>
        <w:t>致</w:t>
      </w:r>
      <w:r>
        <w:rPr>
          <w:rFonts w:hint="eastAsia"/>
          <w:u w:val="single"/>
        </w:rPr>
        <w:t xml:space="preserve">                          </w:t>
      </w:r>
      <w:r>
        <w:rPr>
          <w:rFonts w:hint="eastAsia"/>
        </w:rPr>
        <w:t xml:space="preserve"> </w:t>
      </w:r>
      <w:r>
        <w:rPr>
          <w:rFonts w:hint="eastAsia"/>
          <w:lang w:eastAsia="zh-CN"/>
        </w:rPr>
        <w:t>（</w:t>
      </w:r>
      <w:r>
        <w:rPr>
          <w:rFonts w:hint="eastAsia"/>
        </w:rPr>
        <w:t>采购人、采购代理机构）：</w:t>
      </w:r>
    </w:p>
    <w:p w14:paraId="10BD8B46">
      <w:pPr>
        <w:pStyle w:val="45"/>
        <w:spacing w:before="240"/>
        <w:ind w:firstLine="480"/>
      </w:pPr>
      <w:r>
        <w:rPr>
          <w:rFonts w:hint="eastAsia"/>
        </w:rPr>
        <w:t>按照《中华人民共和国政府采购法》及实施条例和</w:t>
      </w:r>
      <w:r>
        <w:rPr>
          <w:rFonts w:hint="eastAsia"/>
          <w:u w:val="single"/>
          <w:lang w:val="en-US" w:eastAsia="zh-CN"/>
        </w:rPr>
        <w:t xml:space="preserve">                       </w:t>
      </w:r>
      <w:r>
        <w:rPr>
          <w:rFonts w:hint="eastAsia"/>
        </w:rPr>
        <w:t xml:space="preserve"> </w:t>
      </w:r>
      <w:r>
        <w:rPr>
          <w:rFonts w:hint="eastAsia"/>
          <w:lang w:eastAsia="zh-CN"/>
        </w:rPr>
        <w:t>（</w:t>
      </w:r>
      <w:r>
        <w:rPr>
          <w:rFonts w:hint="eastAsia"/>
        </w:rPr>
        <w:t xml:space="preserve">项目名称）邀请公告的规定，我单位郑重声明如下： </w:t>
      </w:r>
    </w:p>
    <w:p w14:paraId="2114C9B4">
      <w:pPr>
        <w:pStyle w:val="45"/>
        <w:spacing w:before="240"/>
        <w:ind w:firstLine="480"/>
      </w:pPr>
      <w:r>
        <w:rPr>
          <w:rFonts w:hint="eastAsia"/>
        </w:rPr>
        <w:t>一、我单位是按照中华人民共和国法律规定登记注册的，注册地点为</w:t>
      </w:r>
      <w:r>
        <w:rPr>
          <w:rFonts w:hint="eastAsia"/>
          <w:u w:val="single"/>
        </w:rPr>
        <w:t xml:space="preserve">               </w:t>
      </w:r>
      <w:r>
        <w:rPr>
          <w:rFonts w:hint="eastAsia"/>
        </w:rPr>
        <w:t>，全称为</w:t>
      </w:r>
      <w:r>
        <w:rPr>
          <w:rFonts w:hint="eastAsia"/>
          <w:u w:val="single"/>
        </w:rPr>
        <w:t xml:space="preserve">                </w:t>
      </w:r>
      <w:r>
        <w:rPr>
          <w:rFonts w:hint="eastAsia"/>
        </w:rPr>
        <w:t>，统一社会信用代码为</w:t>
      </w:r>
      <w:r>
        <w:rPr>
          <w:rFonts w:hint="eastAsia"/>
          <w:u w:val="single"/>
        </w:rPr>
        <w:t xml:space="preserve">                         </w:t>
      </w:r>
      <w:r>
        <w:rPr>
          <w:rFonts w:hint="eastAsia"/>
        </w:rPr>
        <w:t xml:space="preserve">，法定代表人（单位负责人）为 </w:t>
      </w:r>
      <w:r>
        <w:rPr>
          <w:rFonts w:hint="eastAsia"/>
          <w:u w:val="single"/>
        </w:rPr>
        <w:t xml:space="preserve">                 </w:t>
      </w:r>
      <w:r>
        <w:rPr>
          <w:rFonts w:hint="eastAsia"/>
        </w:rPr>
        <w:t>，具有独立承担民事责任的能力。</w:t>
      </w:r>
    </w:p>
    <w:p w14:paraId="47B396E0">
      <w:pPr>
        <w:pStyle w:val="45"/>
        <w:spacing w:before="240"/>
        <w:ind w:firstLine="480"/>
      </w:pPr>
      <w:r>
        <w:rPr>
          <w:rFonts w:hint="eastAsia"/>
        </w:rPr>
        <w:t>二、我单位具有良好的商业信誉和健全的财务会计制度。</w:t>
      </w:r>
    </w:p>
    <w:p w14:paraId="7828CF04">
      <w:pPr>
        <w:pStyle w:val="45"/>
        <w:spacing w:before="240"/>
        <w:ind w:firstLine="480"/>
      </w:pPr>
      <w:r>
        <w:rPr>
          <w:rFonts w:hint="eastAsia"/>
        </w:rPr>
        <w:t>三、我单位依法进行纳税和社会保险申报并实际履行了义务。</w:t>
      </w:r>
    </w:p>
    <w:p w14:paraId="2E21B29A">
      <w:pPr>
        <w:pStyle w:val="45"/>
        <w:spacing w:before="240"/>
        <w:ind w:firstLine="480"/>
      </w:pPr>
      <w:r>
        <w:rPr>
          <w:rFonts w:hint="eastAsia"/>
        </w:rPr>
        <w:t>四、我单位具有履行本项目采购合同所必需的设备和专业技术能力，并具有履行合同的良好记录。</w:t>
      </w:r>
    </w:p>
    <w:p w14:paraId="778BE307">
      <w:pPr>
        <w:pStyle w:val="45"/>
        <w:spacing w:before="240"/>
        <w:ind w:firstLine="480"/>
      </w:pPr>
      <w:r>
        <w:rPr>
          <w:rFonts w:hint="eastAsia"/>
        </w:rPr>
        <w:t>五、我单位在参加采购项目政府采购活动前三年内，在经营活动中，未因违法经营受到刑事处罚或者责令停产停业、吊销许可证或者执照、较大数额罚款等行政处罚。其中较大数额罚款是指：达到处罚的行政处罚听证范围中“较大数额罚款”金额标准的；法律、法规、规章、国务院有关行政主管部门对“较大数额罚款”金额标准另有规定的，从其规定。</w:t>
      </w:r>
    </w:p>
    <w:p w14:paraId="1FC9DC87">
      <w:pPr>
        <w:pStyle w:val="45"/>
        <w:spacing w:before="240"/>
        <w:ind w:firstLine="480"/>
      </w:pPr>
      <w:r>
        <w:rPr>
          <w:rFonts w:hint="eastAsia"/>
        </w:rPr>
        <w:t>供应商在参加政府采购活动前3年内因违法经营被禁止在一定期限内参加政府采购活动，期限届满的，可以参加政府采购活动。</w:t>
      </w:r>
    </w:p>
    <w:p w14:paraId="5EB83A7C">
      <w:pPr>
        <w:pStyle w:val="45"/>
        <w:spacing w:before="240"/>
        <w:ind w:firstLine="480"/>
        <w:outlineLvl w:val="9"/>
      </w:pPr>
      <w:r>
        <w:rPr>
          <w:rFonts w:hint="eastAsia"/>
        </w:rPr>
        <w:t>六、我单位具备法律、行政法规规定的其他条件。</w:t>
      </w:r>
    </w:p>
    <w:p w14:paraId="2917DA62">
      <w:pPr>
        <w:pStyle w:val="45"/>
        <w:spacing w:before="240"/>
        <w:ind w:firstLine="480"/>
      </w:pPr>
      <w:r>
        <w:rPr>
          <w:rFonts w:hint="eastAsia"/>
        </w:rPr>
        <w:t>七、与我单位存在“单位负责人为同一人或者存在直接控股、管理关系”的其他单位信息如下（如无，填写“无”）：</w:t>
      </w:r>
    </w:p>
    <w:p w14:paraId="336DE49C">
      <w:pPr>
        <w:pStyle w:val="45"/>
        <w:spacing w:before="240"/>
        <w:ind w:firstLine="480"/>
      </w:pPr>
      <w:r>
        <w:rPr>
          <w:rFonts w:hint="eastAsia"/>
        </w:rPr>
        <w:t xml:space="preserve">1、与我单位的法定代表人（单位负责人）为同一人的其他单位如下：               </w:t>
      </w:r>
    </w:p>
    <w:p w14:paraId="453F572B">
      <w:pPr>
        <w:pStyle w:val="45"/>
        <w:spacing w:before="240"/>
        <w:ind w:firstLine="480"/>
      </w:pPr>
      <w:r>
        <w:rPr>
          <w:rFonts w:hint="eastAsia"/>
        </w:rPr>
        <w:t xml:space="preserve">2、我单位直接控股的其他单位如下：               </w:t>
      </w:r>
    </w:p>
    <w:p w14:paraId="6C4F471C">
      <w:pPr>
        <w:pStyle w:val="45"/>
        <w:spacing w:before="240"/>
        <w:ind w:firstLine="480"/>
      </w:pPr>
      <w:r>
        <w:rPr>
          <w:rFonts w:hint="eastAsia"/>
        </w:rPr>
        <w:t xml:space="preserve">3、与我单位存在管理关系的其他单位如下：               </w:t>
      </w:r>
    </w:p>
    <w:p w14:paraId="7538B0FA">
      <w:pPr>
        <w:pStyle w:val="45"/>
        <w:spacing w:before="240"/>
        <w:ind w:firstLine="480"/>
      </w:pPr>
      <w:r>
        <w:rPr>
          <w:rFonts w:hint="eastAsia"/>
        </w:rPr>
        <w:t>八、我单位不属于为本项目提供整体设计、规范编制或者项目管理、监理、检测等服务的供应商。</w:t>
      </w:r>
    </w:p>
    <w:p w14:paraId="2B28A4B8">
      <w:pPr>
        <w:pStyle w:val="45"/>
        <w:spacing w:before="240"/>
        <w:ind w:firstLine="480"/>
        <w:outlineLvl w:val="9"/>
      </w:pPr>
      <w:r>
        <w:rPr>
          <w:rFonts w:hint="eastAsia"/>
        </w:rPr>
        <w:t>九、我单位无以下不良信用记录情形：</w:t>
      </w:r>
    </w:p>
    <w:p w14:paraId="01F50DB6">
      <w:pPr>
        <w:pStyle w:val="45"/>
        <w:spacing w:before="240"/>
        <w:ind w:firstLine="480"/>
      </w:pPr>
      <w:r>
        <w:rPr>
          <w:rFonts w:hint="eastAsia"/>
        </w:rPr>
        <w:t>1、在“信用中国”网站被列入失信被执行人和重大税收违法案件当事人名单；</w:t>
      </w:r>
    </w:p>
    <w:p w14:paraId="2D37E058">
      <w:pPr>
        <w:pStyle w:val="45"/>
        <w:spacing w:before="240"/>
        <w:ind w:firstLine="480"/>
      </w:pPr>
      <w:r>
        <w:rPr>
          <w:rFonts w:hint="eastAsia"/>
        </w:rPr>
        <w:t>2、在“中国政府采购网”网站被列入政府采购严重违法失信行为记录名单；</w:t>
      </w:r>
    </w:p>
    <w:p w14:paraId="0A038A8F">
      <w:pPr>
        <w:pStyle w:val="45"/>
        <w:spacing w:before="240"/>
        <w:ind w:firstLine="480"/>
        <w:outlineLvl w:val="9"/>
      </w:pPr>
      <w:r>
        <w:rPr>
          <w:rFonts w:hint="eastAsia"/>
        </w:rPr>
        <w:t>3、不符合《政府采购法》第二十二条规定的条件。</w:t>
      </w:r>
    </w:p>
    <w:p w14:paraId="104664A3">
      <w:pPr>
        <w:pStyle w:val="45"/>
        <w:spacing w:before="240"/>
        <w:ind w:firstLine="480"/>
      </w:pPr>
      <w:r>
        <w:rPr>
          <w:rFonts w:hint="eastAsia"/>
        </w:rPr>
        <w:t>我单位保证上述声明的事项都是真实的，如有虚假，我单位愿意承担相应的法律责任，并承担因此所造成的一切损失。</w:t>
      </w:r>
    </w:p>
    <w:p w14:paraId="719A6996">
      <w:pPr>
        <w:pStyle w:val="45"/>
        <w:spacing w:before="156"/>
        <w:ind w:firstLine="480"/>
        <w:rPr>
          <w:color w:val="auto"/>
        </w:rPr>
      </w:pPr>
      <w:r>
        <w:rPr>
          <w:rFonts w:hint="eastAsia"/>
        </w:rPr>
        <w:t>注：第三条“良好的商业信誉”是指供应商经营状况良好，无本承诺函第九条情形</w:t>
      </w:r>
      <w:r>
        <w:rPr>
          <w:rFonts w:hint="eastAsia"/>
          <w:color w:val="auto"/>
        </w:rPr>
        <w:t>。</w:t>
      </w:r>
    </w:p>
    <w:tbl>
      <w:tblPr>
        <w:tblStyle w:val="36"/>
        <w:tblpPr w:leftFromText="180" w:rightFromText="180" w:vertAnchor="text" w:horzAnchor="page" w:tblpX="1397" w:tblpY="1398"/>
        <w:tblOverlap w:val="never"/>
        <w:tblW w:w="9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8"/>
        <w:gridCol w:w="2039"/>
        <w:gridCol w:w="1185"/>
        <w:gridCol w:w="2602"/>
      </w:tblGrid>
      <w:tr w14:paraId="1F6E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trPr>
        <w:tc>
          <w:tcPr>
            <w:tcW w:w="3698" w:type="dxa"/>
            <w:tcBorders>
              <w:top w:val="nil"/>
              <w:left w:val="nil"/>
              <w:bottom w:val="nil"/>
              <w:right w:val="nil"/>
            </w:tcBorders>
            <w:vAlign w:val="center"/>
          </w:tcPr>
          <w:p w14:paraId="773A806C">
            <w:pPr>
              <w:pStyle w:val="45"/>
              <w:spacing w:before="156" w:line="240" w:lineRule="auto"/>
              <w:ind w:firstLine="0" w:firstLineChars="0"/>
              <w:jc w:val="distribute"/>
              <w:rPr>
                <w:color w:val="auto"/>
              </w:rPr>
            </w:pPr>
            <w:r>
              <w:rPr>
                <w:rFonts w:hint="eastAsia"/>
                <w:color w:val="auto"/>
                <w:lang w:eastAsia="zh-CN"/>
              </w:rPr>
              <w:t>供应商</w:t>
            </w:r>
            <w:r>
              <w:rPr>
                <w:rFonts w:hint="eastAsia"/>
                <w:color w:val="auto"/>
              </w:rPr>
              <w:t>名称（加盖公章）：</w:t>
            </w:r>
          </w:p>
        </w:tc>
        <w:tc>
          <w:tcPr>
            <w:tcW w:w="5826" w:type="dxa"/>
            <w:gridSpan w:val="3"/>
            <w:tcBorders>
              <w:top w:val="nil"/>
              <w:left w:val="nil"/>
              <w:bottom w:val="nil"/>
              <w:right w:val="nil"/>
            </w:tcBorders>
            <w:vAlign w:val="center"/>
          </w:tcPr>
          <w:p w14:paraId="405A1D05">
            <w:pPr>
              <w:pStyle w:val="45"/>
              <w:spacing w:before="156" w:line="540" w:lineRule="exact"/>
              <w:ind w:firstLine="480"/>
              <w:jc w:val="center"/>
              <w:rPr>
                <w:color w:val="auto"/>
              </w:rPr>
            </w:pPr>
          </w:p>
        </w:tc>
      </w:tr>
      <w:tr w14:paraId="41D97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8" w:type="dxa"/>
            <w:tcBorders>
              <w:top w:val="nil"/>
              <w:left w:val="nil"/>
              <w:bottom w:val="nil"/>
              <w:right w:val="nil"/>
            </w:tcBorders>
            <w:vAlign w:val="center"/>
          </w:tcPr>
          <w:p w14:paraId="3957A3C1">
            <w:pPr>
              <w:pStyle w:val="45"/>
              <w:spacing w:before="156" w:line="540" w:lineRule="exact"/>
              <w:ind w:firstLine="0" w:firstLineChars="0"/>
              <w:rPr>
                <w:color w:val="auto"/>
              </w:rPr>
            </w:pPr>
          </w:p>
        </w:tc>
        <w:tc>
          <w:tcPr>
            <w:tcW w:w="2039" w:type="dxa"/>
            <w:tcBorders>
              <w:top w:val="nil"/>
              <w:left w:val="nil"/>
              <w:bottom w:val="nil"/>
              <w:right w:val="nil"/>
            </w:tcBorders>
            <w:vAlign w:val="center"/>
          </w:tcPr>
          <w:p w14:paraId="2FB792BD">
            <w:pPr>
              <w:pStyle w:val="45"/>
              <w:spacing w:before="156" w:line="540" w:lineRule="exact"/>
              <w:ind w:firstLine="0" w:firstLineChars="0"/>
              <w:jc w:val="center"/>
              <w:rPr>
                <w:color w:val="auto"/>
              </w:rPr>
            </w:pPr>
          </w:p>
        </w:tc>
        <w:tc>
          <w:tcPr>
            <w:tcW w:w="1185" w:type="dxa"/>
            <w:tcBorders>
              <w:top w:val="nil"/>
              <w:left w:val="nil"/>
              <w:bottom w:val="nil"/>
              <w:right w:val="nil"/>
            </w:tcBorders>
            <w:vAlign w:val="center"/>
          </w:tcPr>
          <w:p w14:paraId="2442B1E0">
            <w:pPr>
              <w:pStyle w:val="45"/>
              <w:spacing w:before="156" w:line="240" w:lineRule="auto"/>
              <w:ind w:firstLine="0" w:firstLineChars="0"/>
              <w:jc w:val="distribute"/>
              <w:rPr>
                <w:color w:val="auto"/>
              </w:rPr>
            </w:pPr>
            <w:r>
              <w:rPr>
                <w:rFonts w:hint="eastAsia"/>
                <w:color w:val="auto"/>
              </w:rPr>
              <w:t>日   期：</w:t>
            </w:r>
          </w:p>
        </w:tc>
        <w:tc>
          <w:tcPr>
            <w:tcW w:w="2602" w:type="dxa"/>
            <w:tcBorders>
              <w:top w:val="nil"/>
              <w:left w:val="nil"/>
              <w:bottom w:val="nil"/>
              <w:right w:val="nil"/>
            </w:tcBorders>
            <w:vAlign w:val="center"/>
          </w:tcPr>
          <w:p w14:paraId="193906AF">
            <w:pPr>
              <w:pStyle w:val="45"/>
              <w:spacing w:before="156" w:line="240" w:lineRule="auto"/>
              <w:ind w:firstLine="0" w:firstLineChars="0"/>
              <w:jc w:val="right"/>
              <w:rPr>
                <w:color w:val="auto"/>
              </w:rPr>
            </w:pPr>
            <w:r>
              <w:rPr>
                <w:rFonts w:hint="eastAsia"/>
                <w:color w:val="auto"/>
              </w:rPr>
              <w:t>年   月   日</w:t>
            </w:r>
          </w:p>
        </w:tc>
      </w:tr>
    </w:tbl>
    <w:p w14:paraId="00B86FD0">
      <w:pPr>
        <w:pStyle w:val="45"/>
        <w:spacing w:before="156"/>
        <w:ind w:firstLine="0" w:firstLineChars="0"/>
        <w:rPr>
          <w:color w:val="auto"/>
        </w:rPr>
      </w:pPr>
    </w:p>
    <w:p w14:paraId="0C0B479B">
      <w:pPr>
        <w:pStyle w:val="45"/>
        <w:spacing w:before="156"/>
        <w:ind w:firstLine="480"/>
        <w:rPr>
          <w:color w:val="auto"/>
        </w:rPr>
      </w:pPr>
    </w:p>
    <w:p w14:paraId="4526C674">
      <w:pPr>
        <w:rPr>
          <w:rFonts w:ascii="方正小标宋_GBK" w:eastAsia="方正小标宋_GBK" w:cs="方正小标宋_GBK"/>
          <w:color w:val="auto"/>
          <w:sz w:val="32"/>
          <w:szCs w:val="28"/>
        </w:rPr>
      </w:pPr>
      <w:r>
        <w:rPr>
          <w:rFonts w:hint="eastAsia" w:ascii="方正小标宋_GBK" w:eastAsia="方正小标宋_GBK" w:cs="方正小标宋_GBK"/>
          <w:color w:val="auto"/>
          <w:sz w:val="32"/>
          <w:szCs w:val="28"/>
        </w:rPr>
        <w:br w:type="page"/>
      </w:r>
    </w:p>
    <w:p w14:paraId="21C8A087">
      <w:pPr>
        <w:pStyle w:val="7"/>
        <w:numPr>
          <w:ilvl w:val="4"/>
          <w:numId w:val="0"/>
        </w:numPr>
        <w:outlineLvl w:val="3"/>
        <w:rPr>
          <w:color w:val="auto"/>
        </w:rPr>
      </w:pPr>
      <w:r>
        <w:rPr>
          <w:rFonts w:hint="eastAsia"/>
          <w:color w:val="auto"/>
        </w:rPr>
        <w:t>附件3-4无重大违法记录声明函、无不良信用记录声明函</w:t>
      </w:r>
    </w:p>
    <w:p w14:paraId="534D47D2">
      <w:pPr>
        <w:pStyle w:val="45"/>
        <w:spacing w:before="156"/>
        <w:ind w:firstLine="640"/>
        <w:jc w:val="center"/>
        <w:rPr>
          <w:rFonts w:ascii="方正小标宋_GBK" w:eastAsia="方正小标宋_GBK" w:cs="方正小标宋_GBK"/>
          <w:color w:val="auto"/>
          <w:sz w:val="32"/>
          <w:szCs w:val="28"/>
        </w:rPr>
      </w:pPr>
      <w:r>
        <w:rPr>
          <w:rFonts w:hint="eastAsia" w:ascii="方正小标宋_GBK" w:eastAsia="方正小标宋_GBK" w:cs="方正小标宋_GBK"/>
          <w:color w:val="auto"/>
          <w:sz w:val="32"/>
          <w:szCs w:val="28"/>
        </w:rPr>
        <w:t>无重大违法记录声明函、无不良信用记录声明函</w:t>
      </w:r>
    </w:p>
    <w:p w14:paraId="1EA19376">
      <w:pPr>
        <w:pStyle w:val="45"/>
        <w:spacing w:before="156"/>
        <w:ind w:firstLine="0" w:firstLineChars="0"/>
        <w:jc w:val="center"/>
        <w:rPr>
          <w:rFonts w:ascii="方正小标宋_GBK" w:eastAsia="方正小标宋_GBK" w:cs="方正小标宋_GBK"/>
          <w:color w:val="auto"/>
          <w:szCs w:val="28"/>
        </w:rPr>
      </w:pPr>
      <w:r>
        <w:rPr>
          <w:rFonts w:hint="eastAsia"/>
          <w:i/>
          <w:iCs/>
          <w:color w:val="auto"/>
          <w:lang w:eastAsia="zh-CN"/>
        </w:rPr>
        <w:t>（</w:t>
      </w:r>
      <w:r>
        <w:rPr>
          <w:rFonts w:hint="eastAsia"/>
          <w:i/>
          <w:iCs/>
          <w:color w:val="auto"/>
        </w:rPr>
        <w:t>联合体参加</w:t>
      </w:r>
      <w:r>
        <w:rPr>
          <w:rFonts w:hint="eastAsia"/>
          <w:i/>
          <w:iCs/>
          <w:color w:val="auto"/>
          <w:lang w:val="en-US" w:eastAsia="zh-CN"/>
        </w:rPr>
        <w:t>谈判</w:t>
      </w:r>
      <w:r>
        <w:rPr>
          <w:rFonts w:hint="eastAsia"/>
          <w:i/>
          <w:iCs/>
          <w:color w:val="auto"/>
        </w:rPr>
        <w:t>的，联合体双方均须提供）</w:t>
      </w:r>
    </w:p>
    <w:p w14:paraId="0F5ADE3D">
      <w:pPr>
        <w:pStyle w:val="45"/>
        <w:spacing w:before="240"/>
        <w:ind w:left="480" w:leftChars="200" w:firstLine="480"/>
      </w:pPr>
      <w:r>
        <w:rPr>
          <w:rFonts w:hint="eastAsia"/>
        </w:rPr>
        <w:t>1.</w:t>
      </w:r>
      <w:r>
        <w:t>本单位郑重声明，根据《中华人民共和国政府采购法》及《中华人民共和国政府采购法实施条例》的规定，参加政府采购活动前三年内，本单位在经营活动中没有重大违法记录，没有因违法经营受到刑事处罚或者责令停产停业、吊销许可证或者执照、较大数额罚款等行政处罚，且未在被禁止参加政府采购活动的处罚期限内。</w:t>
      </w:r>
    </w:p>
    <w:p w14:paraId="2644376A">
      <w:pPr>
        <w:pStyle w:val="45"/>
        <w:spacing w:before="240"/>
        <w:ind w:left="480" w:leftChars="200" w:firstLine="480"/>
        <w:outlineLvl w:val="9"/>
      </w:pPr>
      <w:r>
        <w:rPr>
          <w:rFonts w:hint="eastAsia"/>
        </w:rPr>
        <w:t>2.</w:t>
      </w:r>
      <w:r>
        <w:t>本单位郑重声明，我单位无以下不良信用记录情形：</w:t>
      </w:r>
    </w:p>
    <w:p w14:paraId="2FAF9DCB">
      <w:pPr>
        <w:pStyle w:val="45"/>
        <w:spacing w:before="240"/>
        <w:ind w:left="480" w:leftChars="200" w:firstLine="480"/>
        <w:outlineLvl w:val="9"/>
      </w:pPr>
      <w:r>
        <w:rPr>
          <w:rFonts w:hint="eastAsia"/>
        </w:rPr>
        <w:t>（1）</w:t>
      </w:r>
      <w:r>
        <w:t>被人民法院列入失信被执行人；</w:t>
      </w:r>
    </w:p>
    <w:p w14:paraId="2E9E3F0D">
      <w:pPr>
        <w:pStyle w:val="45"/>
        <w:spacing w:before="240"/>
        <w:ind w:left="480" w:leftChars="200" w:firstLine="480"/>
      </w:pPr>
      <w:r>
        <w:rPr>
          <w:rFonts w:hint="eastAsia"/>
        </w:rPr>
        <w:t>（2）</w:t>
      </w:r>
      <w:r>
        <w:t>单位、法定代表人或拟派项目经理（项目负责人）被人民检察院列入行贿犯罪档案；</w:t>
      </w:r>
    </w:p>
    <w:p w14:paraId="42CEC59B">
      <w:pPr>
        <w:pStyle w:val="45"/>
        <w:spacing w:before="240"/>
        <w:ind w:left="480" w:leftChars="200" w:firstLine="480"/>
      </w:pPr>
      <w:r>
        <w:rPr>
          <w:rFonts w:hint="eastAsia"/>
        </w:rPr>
        <w:t>（3）</w:t>
      </w:r>
      <w:r>
        <w:t>被工商行政管理部门列入企业经营异常名录；</w:t>
      </w:r>
    </w:p>
    <w:p w14:paraId="1BC4372C">
      <w:pPr>
        <w:pStyle w:val="45"/>
        <w:spacing w:before="240"/>
        <w:ind w:left="480" w:leftChars="200" w:firstLine="480"/>
      </w:pPr>
      <w:r>
        <w:rPr>
          <w:rFonts w:hint="eastAsia"/>
        </w:rPr>
        <w:t>（4）</w:t>
      </w:r>
      <w:r>
        <w:t>被税务部门列入重大税收违法案件当事人名单；</w:t>
      </w:r>
    </w:p>
    <w:p w14:paraId="7A85A05A">
      <w:pPr>
        <w:pStyle w:val="45"/>
        <w:spacing w:before="240"/>
        <w:ind w:left="480" w:leftChars="200" w:firstLine="480"/>
      </w:pPr>
      <w:r>
        <w:rPr>
          <w:rFonts w:hint="eastAsia"/>
        </w:rPr>
        <w:t>（5）</w:t>
      </w:r>
      <w:r>
        <w:t>被政府采购监管部门列入政府采购严重违法失信行为记录名单。</w:t>
      </w:r>
    </w:p>
    <w:p w14:paraId="7238A2CC">
      <w:pPr>
        <w:pStyle w:val="45"/>
        <w:spacing w:before="240"/>
        <w:ind w:left="480" w:leftChars="200" w:firstLine="480"/>
      </w:pPr>
      <w:r>
        <w:rPr>
          <w:rFonts w:hint="eastAsia"/>
        </w:rPr>
        <w:t>3.</w:t>
      </w:r>
      <w:r>
        <w:rPr>
          <w:rFonts w:hint="eastAsia"/>
          <w:u w:val="single"/>
        </w:rPr>
        <w:t xml:space="preserve">                               </w:t>
      </w:r>
      <w:r>
        <w:rPr>
          <w:rFonts w:hint="eastAsia"/>
          <w:u w:val="single"/>
          <w:lang w:eastAsia="zh-CN"/>
        </w:rPr>
        <w:t>.</w:t>
      </w:r>
    </w:p>
    <w:p w14:paraId="6E766CBF">
      <w:pPr>
        <w:pStyle w:val="45"/>
        <w:spacing w:before="156"/>
        <w:ind w:firstLine="480"/>
        <w:rPr>
          <w:color w:val="auto"/>
        </w:rPr>
      </w:pPr>
      <w:r>
        <w:t>本单位对上述声明的真实性负责。如有虚假，将依法承担相应责任</w:t>
      </w:r>
      <w:r>
        <w:rPr>
          <w:rFonts w:hint="eastAsia"/>
          <w:color w:val="auto"/>
        </w:rPr>
        <w:t>。</w:t>
      </w:r>
    </w:p>
    <w:tbl>
      <w:tblPr>
        <w:tblStyle w:val="36"/>
        <w:tblpPr w:leftFromText="180" w:rightFromText="180" w:vertAnchor="text" w:horzAnchor="page" w:tblpX="1397" w:tblpY="1398"/>
        <w:tblOverlap w:val="never"/>
        <w:tblW w:w="9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2"/>
        <w:gridCol w:w="1795"/>
        <w:gridCol w:w="1185"/>
        <w:gridCol w:w="2602"/>
      </w:tblGrid>
      <w:tr w14:paraId="36E10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trPr>
        <w:tc>
          <w:tcPr>
            <w:tcW w:w="3942" w:type="dxa"/>
            <w:tcBorders>
              <w:top w:val="nil"/>
              <w:left w:val="nil"/>
              <w:bottom w:val="nil"/>
              <w:right w:val="nil"/>
            </w:tcBorders>
            <w:vAlign w:val="center"/>
          </w:tcPr>
          <w:p w14:paraId="7BF61D4C">
            <w:pPr>
              <w:pStyle w:val="45"/>
              <w:spacing w:before="156" w:line="240" w:lineRule="auto"/>
              <w:ind w:firstLine="0" w:firstLineChars="0"/>
              <w:jc w:val="distribute"/>
              <w:rPr>
                <w:color w:val="auto"/>
              </w:rPr>
            </w:pPr>
            <w:r>
              <w:rPr>
                <w:rFonts w:hint="eastAsia"/>
                <w:color w:val="auto"/>
                <w:lang w:eastAsia="zh-CN"/>
              </w:rPr>
              <w:t>供应商</w:t>
            </w:r>
            <w:r>
              <w:rPr>
                <w:rFonts w:hint="eastAsia"/>
                <w:color w:val="auto"/>
              </w:rPr>
              <w:t>名称（加盖公章）：</w:t>
            </w:r>
          </w:p>
        </w:tc>
        <w:tc>
          <w:tcPr>
            <w:tcW w:w="5582" w:type="dxa"/>
            <w:gridSpan w:val="3"/>
            <w:tcBorders>
              <w:top w:val="nil"/>
              <w:left w:val="nil"/>
              <w:bottom w:val="nil"/>
              <w:right w:val="nil"/>
            </w:tcBorders>
            <w:vAlign w:val="center"/>
          </w:tcPr>
          <w:p w14:paraId="5210D4AA">
            <w:pPr>
              <w:pStyle w:val="45"/>
              <w:spacing w:before="156" w:line="540" w:lineRule="exact"/>
              <w:ind w:firstLine="480"/>
              <w:jc w:val="center"/>
              <w:rPr>
                <w:color w:val="auto"/>
              </w:rPr>
            </w:pPr>
          </w:p>
        </w:tc>
      </w:tr>
      <w:tr w14:paraId="21352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2" w:type="dxa"/>
            <w:tcBorders>
              <w:top w:val="nil"/>
              <w:left w:val="nil"/>
              <w:bottom w:val="nil"/>
              <w:right w:val="nil"/>
            </w:tcBorders>
            <w:vAlign w:val="center"/>
          </w:tcPr>
          <w:p w14:paraId="11BEBF77">
            <w:pPr>
              <w:pStyle w:val="45"/>
              <w:spacing w:before="156" w:line="540" w:lineRule="exact"/>
              <w:ind w:firstLine="0" w:firstLineChars="0"/>
              <w:rPr>
                <w:color w:val="auto"/>
              </w:rPr>
            </w:pPr>
          </w:p>
        </w:tc>
        <w:tc>
          <w:tcPr>
            <w:tcW w:w="1795" w:type="dxa"/>
            <w:tcBorders>
              <w:top w:val="nil"/>
              <w:left w:val="nil"/>
              <w:bottom w:val="nil"/>
              <w:right w:val="nil"/>
            </w:tcBorders>
            <w:vAlign w:val="center"/>
          </w:tcPr>
          <w:p w14:paraId="01ADB4C9">
            <w:pPr>
              <w:pStyle w:val="45"/>
              <w:spacing w:before="156" w:line="540" w:lineRule="exact"/>
              <w:ind w:firstLine="0" w:firstLineChars="0"/>
              <w:jc w:val="center"/>
              <w:rPr>
                <w:color w:val="auto"/>
              </w:rPr>
            </w:pPr>
          </w:p>
        </w:tc>
        <w:tc>
          <w:tcPr>
            <w:tcW w:w="1185" w:type="dxa"/>
            <w:tcBorders>
              <w:top w:val="nil"/>
              <w:left w:val="nil"/>
              <w:bottom w:val="nil"/>
              <w:right w:val="nil"/>
            </w:tcBorders>
            <w:vAlign w:val="center"/>
          </w:tcPr>
          <w:p w14:paraId="2C1BC344">
            <w:pPr>
              <w:pStyle w:val="45"/>
              <w:spacing w:before="156" w:line="240" w:lineRule="auto"/>
              <w:ind w:firstLine="0" w:firstLineChars="0"/>
              <w:jc w:val="distribute"/>
              <w:rPr>
                <w:color w:val="auto"/>
              </w:rPr>
            </w:pPr>
            <w:r>
              <w:rPr>
                <w:rFonts w:hint="eastAsia"/>
                <w:color w:val="auto"/>
              </w:rPr>
              <w:t>日   期：</w:t>
            </w:r>
          </w:p>
        </w:tc>
        <w:tc>
          <w:tcPr>
            <w:tcW w:w="2602" w:type="dxa"/>
            <w:tcBorders>
              <w:top w:val="nil"/>
              <w:left w:val="nil"/>
              <w:bottom w:val="nil"/>
              <w:right w:val="nil"/>
            </w:tcBorders>
            <w:vAlign w:val="center"/>
          </w:tcPr>
          <w:p w14:paraId="4E252098">
            <w:pPr>
              <w:pStyle w:val="45"/>
              <w:spacing w:before="156" w:line="240" w:lineRule="auto"/>
              <w:ind w:firstLine="0" w:firstLineChars="0"/>
              <w:jc w:val="right"/>
              <w:rPr>
                <w:color w:val="auto"/>
              </w:rPr>
            </w:pPr>
            <w:r>
              <w:rPr>
                <w:rFonts w:hint="eastAsia"/>
                <w:color w:val="auto"/>
              </w:rPr>
              <w:t>年   月   日</w:t>
            </w:r>
          </w:p>
        </w:tc>
      </w:tr>
    </w:tbl>
    <w:p w14:paraId="632D0557">
      <w:pPr>
        <w:pStyle w:val="45"/>
        <w:spacing w:before="156"/>
        <w:ind w:firstLine="480"/>
        <w:rPr>
          <w:color w:val="auto"/>
        </w:rPr>
      </w:pPr>
    </w:p>
    <w:p w14:paraId="5003470E">
      <w:pPr>
        <w:rPr>
          <w:rFonts w:ascii="宋体" w:cs="Times New Roman"/>
          <w:color w:val="auto"/>
        </w:rPr>
      </w:pPr>
      <w:r>
        <w:rPr>
          <w:rFonts w:ascii="宋体" w:cs="Times New Roman"/>
          <w:color w:val="auto"/>
        </w:rPr>
        <w:br w:type="page"/>
      </w:r>
    </w:p>
    <w:p w14:paraId="58F15F77">
      <w:pPr>
        <w:pStyle w:val="7"/>
        <w:numPr>
          <w:ilvl w:val="4"/>
          <w:numId w:val="0"/>
        </w:numPr>
        <w:outlineLvl w:val="1"/>
        <w:rPr>
          <w:color w:val="auto"/>
        </w:rPr>
      </w:pPr>
      <w:r>
        <w:rPr>
          <w:rFonts w:hint="eastAsia"/>
          <w:color w:val="auto"/>
        </w:rPr>
        <w:t>附件3-5存在关联关系的</w:t>
      </w:r>
      <w:r>
        <w:rPr>
          <w:rFonts w:hint="eastAsia"/>
          <w:color w:val="auto"/>
          <w:lang w:eastAsia="zh-CN"/>
        </w:rPr>
        <w:t>供应商</w:t>
      </w:r>
      <w:r>
        <w:rPr>
          <w:rFonts w:hint="eastAsia"/>
          <w:color w:val="auto"/>
        </w:rPr>
        <w:t>不参与</w:t>
      </w:r>
      <w:r>
        <w:rPr>
          <w:rFonts w:hint="eastAsia"/>
          <w:color w:val="auto"/>
          <w:lang w:val="en-US" w:eastAsia="zh-CN"/>
        </w:rPr>
        <w:t>谈判</w:t>
      </w:r>
      <w:r>
        <w:rPr>
          <w:rFonts w:hint="eastAsia"/>
          <w:color w:val="auto"/>
        </w:rPr>
        <w:t>项目竞争的承诺书</w:t>
      </w:r>
    </w:p>
    <w:p w14:paraId="1C5E2EF5">
      <w:pPr>
        <w:pStyle w:val="45"/>
        <w:spacing w:before="156"/>
        <w:ind w:firstLine="0" w:firstLineChars="0"/>
        <w:jc w:val="center"/>
        <w:rPr>
          <w:rFonts w:ascii="方正小标宋_GBK" w:hAnsi="方正小标宋_GBK" w:eastAsia="方正小标宋_GBK" w:cs="方正小标宋_GBK"/>
          <w:color w:val="auto"/>
          <w:sz w:val="32"/>
          <w:szCs w:val="28"/>
        </w:rPr>
      </w:pPr>
    </w:p>
    <w:p w14:paraId="38C37E0E">
      <w:pPr>
        <w:pStyle w:val="45"/>
        <w:spacing w:before="156"/>
        <w:ind w:firstLine="0" w:firstLineChars="0"/>
        <w:jc w:val="center"/>
        <w:rPr>
          <w:color w:val="auto"/>
        </w:rPr>
      </w:pPr>
      <w:r>
        <w:rPr>
          <w:rFonts w:hint="eastAsia" w:ascii="方正小标宋_GBK" w:hAnsi="方正小标宋_GBK" w:eastAsia="方正小标宋_GBK" w:cs="方正小标宋_GBK"/>
          <w:color w:val="auto"/>
          <w:sz w:val="32"/>
          <w:szCs w:val="28"/>
        </w:rPr>
        <w:t>存在关联关系的</w:t>
      </w:r>
      <w:r>
        <w:rPr>
          <w:rFonts w:hint="eastAsia" w:ascii="方正小标宋_GBK" w:hAnsi="方正小标宋_GBK" w:eastAsia="方正小标宋_GBK" w:cs="方正小标宋_GBK"/>
          <w:color w:val="auto"/>
          <w:sz w:val="32"/>
          <w:szCs w:val="28"/>
          <w:lang w:eastAsia="zh-CN"/>
        </w:rPr>
        <w:t>供应商</w:t>
      </w:r>
      <w:r>
        <w:rPr>
          <w:rFonts w:hint="eastAsia" w:ascii="方正小标宋_GBK" w:hAnsi="方正小标宋_GBK" w:eastAsia="方正小标宋_GBK" w:cs="方正小标宋_GBK"/>
          <w:color w:val="auto"/>
          <w:sz w:val="32"/>
          <w:szCs w:val="28"/>
        </w:rPr>
        <w:t>不参与</w:t>
      </w:r>
      <w:r>
        <w:rPr>
          <w:rFonts w:hint="eastAsia" w:ascii="方正小标宋_GBK" w:hAnsi="方正小标宋_GBK" w:eastAsia="方正小标宋_GBK" w:cs="方正小标宋_GBK"/>
          <w:color w:val="auto"/>
          <w:sz w:val="32"/>
          <w:szCs w:val="28"/>
          <w:lang w:val="en-US" w:eastAsia="zh-CN"/>
        </w:rPr>
        <w:t>谈判</w:t>
      </w:r>
      <w:r>
        <w:rPr>
          <w:rFonts w:hint="eastAsia" w:ascii="方正小标宋_GBK" w:hAnsi="方正小标宋_GBK" w:eastAsia="方正小标宋_GBK" w:cs="方正小标宋_GBK"/>
          <w:color w:val="auto"/>
          <w:sz w:val="32"/>
          <w:szCs w:val="28"/>
        </w:rPr>
        <w:t>项目竞争的承诺书</w:t>
      </w:r>
    </w:p>
    <w:p w14:paraId="63BBAD67">
      <w:pPr>
        <w:pStyle w:val="45"/>
        <w:spacing w:before="156"/>
        <w:ind w:firstLine="0" w:firstLineChars="0"/>
        <w:rPr>
          <w:color w:val="auto"/>
        </w:rPr>
      </w:pPr>
    </w:p>
    <w:p w14:paraId="3A8DAA66">
      <w:pPr>
        <w:pStyle w:val="45"/>
        <w:spacing w:before="240"/>
        <w:ind w:firstLine="480"/>
      </w:pPr>
      <w:r>
        <w:rPr>
          <w:rFonts w:hint="eastAsia"/>
        </w:rPr>
        <w:t>根据《政府采购法实施条例》第十八条的规定，本公司郑重承诺：</w:t>
      </w:r>
    </w:p>
    <w:p w14:paraId="3A045705">
      <w:pPr>
        <w:pStyle w:val="45"/>
        <w:spacing w:before="240"/>
        <w:ind w:firstLine="480"/>
      </w:pPr>
      <w:r>
        <w:rPr>
          <w:rFonts w:hint="eastAsia"/>
        </w:rPr>
        <w:t>1、本公司与参与该项目的其他供应商不存在单位负责人为同一人或者存在直接控股、管理关系。</w:t>
      </w:r>
    </w:p>
    <w:p w14:paraId="2E2108D6">
      <w:pPr>
        <w:pStyle w:val="45"/>
        <w:spacing w:before="240"/>
        <w:ind w:firstLine="480"/>
      </w:pPr>
      <w:r>
        <w:rPr>
          <w:rFonts w:hint="eastAsia"/>
        </w:rPr>
        <w:t>2、为本项目提供整体设计、规范编制或者项目管理、监理、检测等服务的供应商，不参加该采购项目的其他采购活动。</w:t>
      </w:r>
    </w:p>
    <w:p w14:paraId="4AC303EC">
      <w:pPr>
        <w:pStyle w:val="45"/>
        <w:spacing w:before="156"/>
        <w:ind w:firstLine="480"/>
        <w:rPr>
          <w:color w:val="auto"/>
        </w:rPr>
      </w:pPr>
      <w:r>
        <w:rPr>
          <w:rFonts w:hint="eastAsia"/>
        </w:rPr>
        <w:t>本公司对上述承诺的真实性负责。如有虚假，依法承担相应的法律责任</w:t>
      </w:r>
      <w:r>
        <w:rPr>
          <w:rFonts w:hint="eastAsia"/>
          <w:color w:val="auto"/>
        </w:rPr>
        <w:t>。</w:t>
      </w:r>
    </w:p>
    <w:tbl>
      <w:tblPr>
        <w:tblStyle w:val="36"/>
        <w:tblpPr w:leftFromText="180" w:rightFromText="180" w:vertAnchor="text" w:horzAnchor="page" w:tblpX="1307" w:tblpY="298"/>
        <w:tblOverlap w:val="never"/>
        <w:tblW w:w="9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8"/>
        <w:gridCol w:w="1719"/>
        <w:gridCol w:w="1185"/>
        <w:gridCol w:w="2602"/>
      </w:tblGrid>
      <w:tr w14:paraId="026E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trPr>
        <w:tc>
          <w:tcPr>
            <w:tcW w:w="4018" w:type="dxa"/>
            <w:tcBorders>
              <w:top w:val="nil"/>
              <w:left w:val="nil"/>
              <w:bottom w:val="nil"/>
              <w:right w:val="nil"/>
            </w:tcBorders>
            <w:vAlign w:val="center"/>
          </w:tcPr>
          <w:p w14:paraId="020413D3">
            <w:pPr>
              <w:pStyle w:val="45"/>
              <w:spacing w:before="156" w:line="240" w:lineRule="auto"/>
              <w:ind w:firstLine="0" w:firstLineChars="0"/>
              <w:jc w:val="distribute"/>
              <w:rPr>
                <w:color w:val="auto"/>
              </w:rPr>
            </w:pPr>
            <w:r>
              <w:rPr>
                <w:rFonts w:hint="eastAsia"/>
                <w:bCs/>
                <w:color w:val="auto"/>
                <w:lang w:eastAsia="zh-CN"/>
              </w:rPr>
              <w:t>供应商</w:t>
            </w:r>
            <w:r>
              <w:rPr>
                <w:rFonts w:hint="eastAsia"/>
                <w:bCs/>
                <w:color w:val="auto"/>
              </w:rPr>
              <w:t>名称（加盖公章）</w:t>
            </w:r>
            <w:r>
              <w:rPr>
                <w:rFonts w:hint="eastAsia"/>
                <w:color w:val="auto"/>
              </w:rPr>
              <w:t>：</w:t>
            </w:r>
          </w:p>
        </w:tc>
        <w:tc>
          <w:tcPr>
            <w:tcW w:w="5506" w:type="dxa"/>
            <w:gridSpan w:val="3"/>
            <w:tcBorders>
              <w:top w:val="nil"/>
              <w:left w:val="nil"/>
              <w:bottom w:val="nil"/>
              <w:right w:val="nil"/>
            </w:tcBorders>
            <w:vAlign w:val="center"/>
          </w:tcPr>
          <w:p w14:paraId="0AAE9DE7">
            <w:pPr>
              <w:pStyle w:val="45"/>
              <w:spacing w:before="156" w:line="540" w:lineRule="exact"/>
              <w:ind w:firstLine="480"/>
              <w:jc w:val="center"/>
              <w:rPr>
                <w:color w:val="auto"/>
              </w:rPr>
            </w:pPr>
          </w:p>
        </w:tc>
      </w:tr>
      <w:tr w14:paraId="75A7E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8" w:type="dxa"/>
            <w:tcBorders>
              <w:top w:val="nil"/>
              <w:left w:val="nil"/>
              <w:bottom w:val="nil"/>
              <w:right w:val="nil"/>
            </w:tcBorders>
            <w:vAlign w:val="center"/>
          </w:tcPr>
          <w:p w14:paraId="0BE2AC5D">
            <w:pPr>
              <w:pStyle w:val="45"/>
              <w:spacing w:before="156" w:line="540" w:lineRule="exact"/>
              <w:ind w:firstLine="0" w:firstLineChars="0"/>
              <w:rPr>
                <w:color w:val="auto"/>
              </w:rPr>
            </w:pPr>
          </w:p>
        </w:tc>
        <w:tc>
          <w:tcPr>
            <w:tcW w:w="1719" w:type="dxa"/>
            <w:tcBorders>
              <w:top w:val="nil"/>
              <w:left w:val="nil"/>
              <w:bottom w:val="nil"/>
              <w:right w:val="nil"/>
            </w:tcBorders>
            <w:vAlign w:val="center"/>
          </w:tcPr>
          <w:p w14:paraId="4BFBD7B4">
            <w:pPr>
              <w:pStyle w:val="45"/>
              <w:spacing w:before="156" w:line="540" w:lineRule="exact"/>
              <w:ind w:firstLine="0" w:firstLineChars="0"/>
              <w:jc w:val="center"/>
              <w:rPr>
                <w:color w:val="auto"/>
              </w:rPr>
            </w:pPr>
          </w:p>
        </w:tc>
        <w:tc>
          <w:tcPr>
            <w:tcW w:w="1185" w:type="dxa"/>
            <w:tcBorders>
              <w:top w:val="nil"/>
              <w:left w:val="nil"/>
              <w:bottom w:val="nil"/>
              <w:right w:val="nil"/>
            </w:tcBorders>
            <w:vAlign w:val="center"/>
          </w:tcPr>
          <w:p w14:paraId="1DF760B2">
            <w:pPr>
              <w:pStyle w:val="45"/>
              <w:spacing w:before="156" w:line="240" w:lineRule="auto"/>
              <w:ind w:firstLine="0" w:firstLineChars="0"/>
              <w:jc w:val="distribute"/>
              <w:rPr>
                <w:color w:val="auto"/>
              </w:rPr>
            </w:pPr>
            <w:r>
              <w:rPr>
                <w:rFonts w:hint="eastAsia"/>
                <w:color w:val="auto"/>
              </w:rPr>
              <w:t>日   期：</w:t>
            </w:r>
          </w:p>
        </w:tc>
        <w:tc>
          <w:tcPr>
            <w:tcW w:w="2602" w:type="dxa"/>
            <w:tcBorders>
              <w:top w:val="nil"/>
              <w:left w:val="nil"/>
              <w:bottom w:val="nil"/>
              <w:right w:val="nil"/>
            </w:tcBorders>
            <w:vAlign w:val="center"/>
          </w:tcPr>
          <w:p w14:paraId="4EB5E910">
            <w:pPr>
              <w:pStyle w:val="45"/>
              <w:spacing w:before="156" w:line="240" w:lineRule="auto"/>
              <w:ind w:firstLine="0" w:firstLineChars="0"/>
              <w:jc w:val="right"/>
              <w:rPr>
                <w:color w:val="auto"/>
              </w:rPr>
            </w:pPr>
            <w:r>
              <w:rPr>
                <w:rFonts w:hint="eastAsia"/>
                <w:color w:val="auto"/>
              </w:rPr>
              <w:t>年   月   日</w:t>
            </w:r>
          </w:p>
        </w:tc>
      </w:tr>
    </w:tbl>
    <w:p w14:paraId="10B7CB55">
      <w:pPr>
        <w:rPr>
          <w:color w:val="auto"/>
        </w:rPr>
      </w:pPr>
      <w:r>
        <w:rPr>
          <w:rFonts w:hint="eastAsia"/>
          <w:color w:val="auto"/>
        </w:rPr>
        <w:br w:type="page"/>
      </w:r>
    </w:p>
    <w:p w14:paraId="792AB6EB">
      <w:pPr>
        <w:pStyle w:val="7"/>
        <w:numPr>
          <w:ilvl w:val="4"/>
          <w:numId w:val="0"/>
        </w:numPr>
        <w:rPr>
          <w:color w:val="auto"/>
        </w:rPr>
      </w:pPr>
      <w:r>
        <w:rPr>
          <w:rStyle w:val="47"/>
          <w:rFonts w:hint="eastAsia"/>
          <w:color w:val="auto"/>
        </w:rPr>
        <w:t>附件3-6</w:t>
      </w:r>
      <w:r>
        <w:rPr>
          <w:rFonts w:hint="eastAsia" w:ascii="Times New Roman" w:hAnsi="Times New Roman" w:eastAsia="黑体" w:cs="Times New Roman"/>
          <w:bCs w:val="0"/>
          <w:kern w:val="2"/>
          <w:sz w:val="24"/>
          <w:szCs w:val="24"/>
          <w:lang w:val="en-US" w:eastAsia="zh-CN" w:bidi="ar-SA"/>
        </w:rPr>
        <w:t>湖南省政府采购供应商资格承诺函</w:t>
      </w:r>
    </w:p>
    <w:p w14:paraId="26602056">
      <w:pPr>
        <w:pStyle w:val="45"/>
        <w:spacing w:before="240"/>
        <w:ind w:firstLine="640"/>
        <w:jc w:val="center"/>
        <w:rPr>
          <w:rFonts w:hint="eastAsia" w:ascii="方正小标宋_GBK" w:hAnsi="方正小标宋_GBK" w:eastAsia="方正小标宋_GBK" w:cs="方正小标宋_GBK"/>
          <w:sz w:val="32"/>
          <w:szCs w:val="28"/>
        </w:rPr>
      </w:pPr>
      <w:r>
        <w:rPr>
          <w:rFonts w:hint="eastAsia" w:ascii="方正小标宋_GBK" w:hAnsi="方正小标宋_GBK" w:eastAsia="方正小标宋_GBK" w:cs="方正小标宋_GBK"/>
          <w:sz w:val="32"/>
          <w:szCs w:val="28"/>
        </w:rPr>
        <w:t>湖南省政府采购供应商资格承诺函</w:t>
      </w:r>
    </w:p>
    <w:p w14:paraId="23E512A5">
      <w:pPr>
        <w:pStyle w:val="45"/>
        <w:bidi w:val="0"/>
        <w:rPr>
          <w:rFonts w:hint="eastAsia" w:ascii="宋体" w:hAnsi="宋体" w:eastAsia="宋体" w:cs="宋体"/>
          <w:sz w:val="24"/>
          <w:szCs w:val="24"/>
        </w:rPr>
      </w:pPr>
      <w:r>
        <w:rPr>
          <w:rFonts w:hint="eastAsia" w:ascii="宋体" w:hAnsi="宋体" w:eastAsia="宋体" w:cs="宋体"/>
          <w:sz w:val="24"/>
          <w:szCs w:val="24"/>
        </w:rPr>
        <w:t xml:space="preserve"> 本公司独立承担民事责任、具有良好的商业信誉和健全的财务会计制度、依法缴纳税收和社会保障资金，在前三年的经营活动中无重大违法记录，未列入严重失信行为名单，符合政府采购供应商的基本资格要求。</w:t>
      </w:r>
    </w:p>
    <w:p w14:paraId="4C9A1AE4">
      <w:pPr>
        <w:pStyle w:val="45"/>
        <w:bidi w:val="0"/>
        <w:rPr>
          <w:rFonts w:hint="eastAsia" w:ascii="宋体" w:hAnsi="宋体" w:eastAsia="宋体" w:cs="宋体"/>
          <w:sz w:val="24"/>
          <w:szCs w:val="24"/>
        </w:rPr>
      </w:pPr>
      <w:r>
        <w:rPr>
          <w:rFonts w:hint="eastAsia" w:ascii="宋体" w:hAnsi="宋体" w:eastAsia="宋体" w:cs="宋体"/>
          <w:sz w:val="24"/>
          <w:szCs w:val="24"/>
        </w:rPr>
        <w:t>按照《 政府采购促进中小企业发展管理办法 》（ 财库〔2020〕46 号），本公司企业规模为：大型</w:t>
      </w:r>
      <w:r>
        <w:rPr>
          <w:rFonts w:hint="eastAsia" w:ascii="宋体" w:hAnsi="宋体" w:eastAsia="宋体" w:cs="宋体"/>
          <w:sz w:val="24"/>
          <w:szCs w:val="24"/>
        </w:rPr>
        <w:sym w:font="Wingdings 2" w:char="00A3"/>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中型</w:t>
      </w:r>
      <w:r>
        <w:rPr>
          <w:rFonts w:hint="eastAsia" w:ascii="宋体" w:hAnsi="宋体" w:eastAsia="宋体" w:cs="宋体"/>
          <w:sz w:val="24"/>
          <w:szCs w:val="24"/>
        </w:rPr>
        <w:sym w:font="Wingdings 2" w:char="00A3"/>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小型</w:t>
      </w:r>
      <w:r>
        <w:rPr>
          <w:rFonts w:hint="eastAsia" w:ascii="宋体" w:hAnsi="宋体" w:eastAsia="宋体" w:cs="宋体"/>
          <w:sz w:val="24"/>
          <w:szCs w:val="24"/>
        </w:rPr>
        <w:sym w:font="Wingdings 2" w:char="00A3"/>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微型</w:t>
      </w:r>
      <w:r>
        <w:rPr>
          <w:rFonts w:hint="eastAsia" w:ascii="宋体" w:hAnsi="宋体" w:eastAsia="宋体" w:cs="宋体"/>
          <w:sz w:val="24"/>
          <w:szCs w:val="24"/>
        </w:rPr>
        <w:sym w:font="Wingdings 2" w:char="00A3"/>
      </w:r>
    </w:p>
    <w:p w14:paraId="26AFC592">
      <w:pPr>
        <w:pStyle w:val="45"/>
        <w:bidi w:val="0"/>
        <w:rPr>
          <w:rFonts w:hint="eastAsia" w:ascii="宋体" w:hAnsi="宋体" w:eastAsia="宋体" w:cs="宋体"/>
          <w:sz w:val="24"/>
          <w:szCs w:val="24"/>
        </w:rPr>
      </w:pPr>
      <w:r>
        <w:rPr>
          <w:rFonts w:hint="eastAsia" w:ascii="宋体" w:hAnsi="宋体" w:eastAsia="宋体" w:cs="宋体"/>
          <w:sz w:val="24"/>
          <w:szCs w:val="24"/>
        </w:rPr>
        <w:sym w:font="Wingdings 2" w:char="00A3"/>
      </w:r>
      <w:r>
        <w:rPr>
          <w:rFonts w:hint="eastAsia" w:ascii="宋体" w:hAnsi="宋体" w:eastAsia="宋体" w:cs="宋体"/>
          <w:sz w:val="24"/>
          <w:szCs w:val="24"/>
        </w:rPr>
        <w:t>本公司自愿入驻湖南省政府采购电子卖场，遵守《湖南省政府采购电子卖场管理办法》（湘财购〔2019〕27 号），如违反承诺，同意金融机构将增信保证划缴国库（非电子卖场采购活动项目不需勾选）。</w:t>
      </w:r>
    </w:p>
    <w:p w14:paraId="3089CB2B">
      <w:pPr>
        <w:pStyle w:val="45"/>
        <w:bidi w:val="0"/>
        <w:ind w:firstLine="6000" w:firstLineChars="2500"/>
        <w:rPr>
          <w:rFonts w:hint="eastAsia" w:ascii="宋体" w:hAnsi="宋体" w:eastAsia="宋体" w:cs="宋体"/>
          <w:sz w:val="24"/>
          <w:szCs w:val="24"/>
        </w:rPr>
      </w:pPr>
      <w:r>
        <w:rPr>
          <w:rFonts w:hint="eastAsia" w:ascii="宋体" w:hAnsi="宋体" w:eastAsia="宋体" w:cs="宋体"/>
          <w:sz w:val="24"/>
          <w:szCs w:val="24"/>
        </w:rPr>
        <w:t>公司（单位）名称（盖章）</w:t>
      </w:r>
    </w:p>
    <w:p w14:paraId="2EB98B19">
      <w:pPr>
        <w:pStyle w:val="45"/>
        <w:bidi w:val="0"/>
        <w:ind w:left="0" w:leftChars="0" w:firstLine="6000" w:firstLineChars="2500"/>
        <w:rPr>
          <w:rFonts w:hint="eastAsia" w:ascii="宋体" w:hAnsi="宋体" w:eastAsia="宋体" w:cs="宋体"/>
          <w:color w:val="auto"/>
          <w:sz w:val="24"/>
          <w:szCs w:val="24"/>
        </w:rPr>
      </w:pP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月</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日</w:t>
      </w:r>
    </w:p>
    <w:p w14:paraId="3A07D8EB">
      <w:pPr>
        <w:pStyle w:val="45"/>
        <w:bidi w:val="0"/>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机构代码</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 xml:space="preserve">     </w:t>
      </w:r>
      <w:r>
        <w:rPr>
          <w:rFonts w:hint="eastAsia" w:ascii="宋体" w:hAnsi="宋体" w:eastAsia="宋体" w:cs="宋体"/>
          <w:color w:val="auto"/>
          <w:sz w:val="24"/>
          <w:szCs w:val="24"/>
        </w:rPr>
        <w:t>注册登记机构</w:t>
      </w:r>
      <w:r>
        <w:rPr>
          <w:rFonts w:hint="eastAsia" w:ascii="宋体" w:hAnsi="宋体" w:eastAsia="宋体" w:cs="宋体"/>
          <w:color w:val="auto"/>
          <w:sz w:val="24"/>
          <w:szCs w:val="24"/>
          <w:u w:val="single"/>
          <w:lang w:val="en-US" w:eastAsia="zh-CN"/>
        </w:rPr>
        <w:t xml:space="preserve">                         </w:t>
      </w:r>
    </w:p>
    <w:p w14:paraId="15CAD3B8">
      <w:pPr>
        <w:pStyle w:val="45"/>
        <w:bidi w:val="0"/>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日</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期</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 xml:space="preserve">     </w:t>
      </w:r>
      <w:r>
        <w:rPr>
          <w:rFonts w:hint="eastAsia" w:ascii="宋体" w:hAnsi="宋体" w:eastAsia="宋体" w:cs="宋体"/>
          <w:color w:val="auto"/>
          <w:sz w:val="24"/>
          <w:szCs w:val="24"/>
        </w:rPr>
        <w:t>有效期</w:t>
      </w:r>
      <w:r>
        <w:rPr>
          <w:rFonts w:hint="eastAsia" w:ascii="宋体" w:hAnsi="宋体" w:eastAsia="宋体" w:cs="宋体"/>
          <w:color w:val="auto"/>
          <w:sz w:val="24"/>
          <w:szCs w:val="24"/>
          <w:u w:val="single"/>
          <w:lang w:val="en-US" w:eastAsia="zh-CN"/>
        </w:rPr>
        <w:t xml:space="preserve">                               </w:t>
      </w:r>
    </w:p>
    <w:p w14:paraId="7CD113E1">
      <w:pPr>
        <w:pStyle w:val="45"/>
        <w:bidi w:val="0"/>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注册资本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 xml:space="preserve">     </w:t>
      </w:r>
      <w:r>
        <w:rPr>
          <w:rFonts w:hint="eastAsia" w:ascii="宋体" w:hAnsi="宋体" w:eastAsia="宋体" w:cs="宋体"/>
          <w:color w:val="auto"/>
          <w:sz w:val="24"/>
          <w:szCs w:val="24"/>
        </w:rPr>
        <w:t>地</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址</w:t>
      </w:r>
      <w:r>
        <w:rPr>
          <w:rFonts w:hint="eastAsia" w:ascii="宋体" w:hAnsi="宋体" w:eastAsia="宋体" w:cs="宋体"/>
          <w:color w:val="auto"/>
          <w:sz w:val="24"/>
          <w:szCs w:val="24"/>
          <w:u w:val="single"/>
          <w:lang w:val="en-US" w:eastAsia="zh-CN"/>
        </w:rPr>
        <w:t xml:space="preserve">                               </w:t>
      </w:r>
    </w:p>
    <w:p w14:paraId="2082587D">
      <w:pPr>
        <w:pStyle w:val="45"/>
        <w:bidi w:val="0"/>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经济行业</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 xml:space="preserve">     </w:t>
      </w:r>
      <w:r>
        <w:rPr>
          <w:rFonts w:hint="eastAsia" w:ascii="宋体" w:hAnsi="宋体" w:eastAsia="宋体" w:cs="宋体"/>
          <w:color w:val="auto"/>
          <w:sz w:val="24"/>
          <w:szCs w:val="24"/>
        </w:rPr>
        <w:t>经济性质</w:t>
      </w:r>
      <w:r>
        <w:rPr>
          <w:rFonts w:hint="eastAsia" w:ascii="宋体" w:hAnsi="宋体" w:eastAsia="宋体" w:cs="宋体"/>
          <w:color w:val="auto"/>
          <w:sz w:val="24"/>
          <w:szCs w:val="24"/>
          <w:u w:val="single"/>
          <w:lang w:val="en-US" w:eastAsia="zh-CN"/>
        </w:rPr>
        <w:t xml:space="preserve">                             </w:t>
      </w:r>
    </w:p>
    <w:p w14:paraId="62410F6D">
      <w:pPr>
        <w:pStyle w:val="45"/>
        <w:bidi w:val="0"/>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法定代表人（负责人）姓名（签字）</w:t>
      </w:r>
      <w:r>
        <w:rPr>
          <w:rFonts w:hint="eastAsia" w:ascii="宋体" w:hAnsi="宋体" w:eastAsia="宋体" w:cs="宋体"/>
          <w:color w:val="auto"/>
          <w:sz w:val="24"/>
          <w:szCs w:val="24"/>
          <w:lang w:eastAsia="zh-CN"/>
        </w:rPr>
        <w:t>：</w:t>
      </w:r>
    </w:p>
    <w:p w14:paraId="722633CD">
      <w:pPr>
        <w:pStyle w:val="45"/>
        <w:bidi w:val="0"/>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身份证号</w:t>
      </w:r>
      <w:r>
        <w:rPr>
          <w:rFonts w:hint="eastAsia" w:ascii="宋体" w:hAnsi="宋体" w:eastAsia="宋体" w:cs="宋体"/>
          <w:color w:val="auto"/>
          <w:sz w:val="24"/>
          <w:szCs w:val="24"/>
          <w:lang w:eastAsia="zh-CN"/>
        </w:rPr>
        <w:t>：</w:t>
      </w:r>
    </w:p>
    <w:p w14:paraId="0361D7B6">
      <w:pPr>
        <w:pStyle w:val="45"/>
        <w:bidi w:val="0"/>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手机号：</w:t>
      </w:r>
    </w:p>
    <w:p w14:paraId="1E1EF1B4">
      <w:pPr>
        <w:pStyle w:val="45"/>
        <w:bidi w:val="0"/>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授权代表人姓名（签字）</w:t>
      </w:r>
      <w:r>
        <w:rPr>
          <w:rFonts w:hint="eastAsia" w:ascii="宋体" w:hAnsi="宋体" w:eastAsia="宋体" w:cs="宋体"/>
          <w:color w:val="auto"/>
          <w:sz w:val="24"/>
          <w:szCs w:val="24"/>
          <w:lang w:eastAsia="zh-CN"/>
        </w:rPr>
        <w:t>：</w:t>
      </w:r>
    </w:p>
    <w:p w14:paraId="2473C4A8">
      <w:pPr>
        <w:pStyle w:val="45"/>
        <w:bidi w:val="0"/>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身份证号</w:t>
      </w:r>
      <w:r>
        <w:rPr>
          <w:rFonts w:hint="eastAsia" w:ascii="宋体" w:hAnsi="宋体" w:eastAsia="宋体" w:cs="宋体"/>
          <w:color w:val="auto"/>
          <w:sz w:val="24"/>
          <w:szCs w:val="24"/>
          <w:lang w:eastAsia="zh-CN"/>
        </w:rPr>
        <w:t>：</w:t>
      </w:r>
    </w:p>
    <w:p w14:paraId="5498AF10">
      <w:pPr>
        <w:pStyle w:val="45"/>
        <w:bidi w:val="0"/>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手机号：</w:t>
      </w:r>
    </w:p>
    <w:p w14:paraId="2EAE0E8F">
      <w:pPr>
        <w:pStyle w:val="16"/>
        <w:bidi w:val="0"/>
        <w:ind w:firstLine="400" w:firstLineChars="200"/>
        <w:rPr>
          <w:rFonts w:hint="eastAsia"/>
        </w:rPr>
      </w:pPr>
    </w:p>
    <w:p w14:paraId="2D5A796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cs="Times New Roman"/>
          <w:color w:val="auto"/>
          <w:sz w:val="21"/>
          <w:szCs w:val="21"/>
        </w:rPr>
      </w:pPr>
      <w:r>
        <w:rPr>
          <w:rFonts w:hint="eastAsia"/>
          <w:sz w:val="21"/>
          <w:szCs w:val="21"/>
        </w:rPr>
        <w:t>为方便广大中小企业识别企业规模类型，工业和信息化部组织开发了中小企业规模类型自测小程序，在国务院客户端和工业和信息化部网站上（http://202.106.120.146/baosong/appweb/orgScale.html）均有链接，</w:t>
      </w:r>
      <w:r>
        <w:rPr>
          <w:rFonts w:hint="eastAsia"/>
          <w:sz w:val="21"/>
          <w:szCs w:val="21"/>
          <w:lang w:val="en-US" w:eastAsia="zh-CN"/>
        </w:rPr>
        <w:t>供应商</w:t>
      </w:r>
      <w:r>
        <w:rPr>
          <w:rFonts w:hint="eastAsia"/>
          <w:sz w:val="21"/>
          <w:szCs w:val="21"/>
        </w:rPr>
        <w:t>填写所属的行业和指标数据可自动生成企业规模类型测试结果。</w:t>
      </w:r>
    </w:p>
    <w:p w14:paraId="184C32AD">
      <w:pPr>
        <w:rPr>
          <w:rFonts w:hint="eastAsia" w:ascii="宋体" w:cs="Times New Roman"/>
          <w:color w:val="auto"/>
        </w:rPr>
      </w:pPr>
      <w:r>
        <w:rPr>
          <w:rFonts w:hint="eastAsia" w:ascii="宋体" w:cs="Times New Roman"/>
          <w:color w:val="auto"/>
        </w:rPr>
        <w:br w:type="page"/>
      </w:r>
    </w:p>
    <w:p w14:paraId="1C474BE5">
      <w:pPr>
        <w:pStyle w:val="7"/>
        <w:numPr>
          <w:ilvl w:val="4"/>
          <w:numId w:val="0"/>
        </w:numPr>
        <w:rPr>
          <w:color w:val="auto"/>
        </w:rPr>
      </w:pPr>
      <w:r>
        <w:rPr>
          <w:rStyle w:val="47"/>
          <w:rFonts w:hint="eastAsia"/>
          <w:color w:val="auto"/>
        </w:rPr>
        <w:t>附件3-</w:t>
      </w:r>
      <w:r>
        <w:rPr>
          <w:rStyle w:val="47"/>
          <w:rFonts w:hint="eastAsia"/>
          <w:color w:val="auto"/>
          <w:lang w:val="en-US" w:eastAsia="zh-CN"/>
        </w:rPr>
        <w:t>7谈判</w:t>
      </w:r>
      <w:r>
        <w:rPr>
          <w:rStyle w:val="47"/>
          <w:rFonts w:hint="eastAsia"/>
          <w:color w:val="auto"/>
        </w:rPr>
        <w:t>文件规定的特定资格条件证明资料</w:t>
      </w:r>
    </w:p>
    <w:p w14:paraId="76DC9C11">
      <w:pPr>
        <w:pStyle w:val="45"/>
        <w:spacing w:before="156"/>
        <w:ind w:firstLine="640"/>
        <w:jc w:val="center"/>
        <w:rPr>
          <w:color w:val="auto"/>
        </w:rPr>
      </w:pPr>
      <w:r>
        <w:rPr>
          <w:rFonts w:hint="eastAsia" w:ascii="方正小标宋_GBK" w:eastAsia="方正小标宋_GBK" w:cs="方正小标宋_GBK"/>
          <w:color w:val="auto"/>
          <w:sz w:val="32"/>
          <w:szCs w:val="28"/>
          <w:lang w:val="en-US" w:eastAsia="zh-CN"/>
        </w:rPr>
        <w:t>谈判</w:t>
      </w:r>
      <w:r>
        <w:rPr>
          <w:rFonts w:hint="eastAsia" w:ascii="方正小标宋_GBK" w:eastAsia="方正小标宋_GBK" w:cs="方正小标宋_GBK"/>
          <w:color w:val="auto"/>
          <w:sz w:val="32"/>
          <w:szCs w:val="28"/>
        </w:rPr>
        <w:t>文件规定的特定资格条件证明资料</w:t>
      </w:r>
    </w:p>
    <w:p w14:paraId="4845CA4B">
      <w:pPr>
        <w:spacing w:line="480" w:lineRule="exact"/>
        <w:rPr>
          <w:rFonts w:ascii="宋体" w:cs="Times New Roman"/>
          <w:color w:val="auto"/>
        </w:rPr>
      </w:pPr>
      <w:r>
        <w:rPr>
          <w:rFonts w:hint="eastAsia" w:ascii="宋体" w:cs="Times New Roman"/>
          <w:color w:val="auto"/>
        </w:rPr>
        <w:t xml:space="preserve">备注：提供第一章 </w:t>
      </w:r>
      <w:r>
        <w:rPr>
          <w:rFonts w:hint="eastAsia" w:ascii="宋体" w:cs="Times New Roman"/>
          <w:b/>
          <w:bCs/>
          <w:color w:val="auto"/>
          <w:lang w:val="en-US" w:eastAsia="zh-CN"/>
        </w:rPr>
        <w:t>竞争性谈判</w:t>
      </w:r>
      <w:r>
        <w:rPr>
          <w:rFonts w:hint="eastAsia" w:ascii="宋体" w:cs="Times New Roman"/>
          <w:b/>
          <w:color w:val="auto"/>
        </w:rPr>
        <w:t>公告</w:t>
      </w:r>
      <w:r>
        <w:rPr>
          <w:rFonts w:hint="eastAsia" w:ascii="宋体" w:cs="Times New Roman"/>
          <w:color w:val="auto"/>
        </w:rPr>
        <w:t>第</w:t>
      </w:r>
      <w:r>
        <w:rPr>
          <w:rFonts w:hint="eastAsia" w:ascii="宋体" w:cs="Times New Roman"/>
          <w:color w:val="auto"/>
          <w:lang w:val="en-US" w:eastAsia="zh-CN"/>
        </w:rPr>
        <w:t>五</w:t>
      </w:r>
      <w:r>
        <w:rPr>
          <w:rFonts w:hint="eastAsia" w:ascii="宋体" w:cs="Times New Roman"/>
          <w:color w:val="auto"/>
        </w:rPr>
        <w:t>条</w:t>
      </w:r>
      <w:r>
        <w:rPr>
          <w:rFonts w:hint="eastAsia" w:ascii="宋体" w:cs="Times New Roman"/>
          <w:color w:val="auto"/>
          <w:lang w:eastAsia="zh-CN"/>
        </w:rPr>
        <w:t>供应商</w:t>
      </w:r>
      <w:r>
        <w:rPr>
          <w:rFonts w:hint="eastAsia" w:ascii="宋体" w:cs="Times New Roman"/>
          <w:color w:val="auto"/>
        </w:rPr>
        <w:t>特定资格条件证明资料的复印件。</w:t>
      </w:r>
    </w:p>
    <w:p w14:paraId="0F364316">
      <w:pPr>
        <w:rPr>
          <w:rFonts w:ascii="宋体" w:cs="Times New Roman"/>
          <w:color w:val="auto"/>
        </w:rPr>
      </w:pPr>
      <w:r>
        <w:rPr>
          <w:rFonts w:hint="eastAsia" w:ascii="宋体" w:cs="Times New Roman"/>
          <w:color w:val="auto"/>
        </w:rPr>
        <w:br w:type="page"/>
      </w:r>
    </w:p>
    <w:p w14:paraId="5E886818">
      <w:pPr>
        <w:pStyle w:val="4"/>
        <w:numPr>
          <w:ilvl w:val="0"/>
          <w:numId w:val="0"/>
        </w:numPr>
        <w:spacing w:before="156"/>
        <w:ind w:left="0" w:leftChars="0" w:firstLine="420" w:firstLineChars="0"/>
        <w:jc w:val="center"/>
        <w:rPr>
          <w:rFonts w:hint="eastAsia" w:eastAsia="黑体"/>
          <w:color w:val="auto"/>
          <w:lang w:val="en-US" w:eastAsia="zh-CN"/>
        </w:rPr>
      </w:pPr>
      <w:bookmarkStart w:id="92" w:name="_Toc1372"/>
      <w:bookmarkStart w:id="93" w:name="_Toc10106"/>
      <w:bookmarkStart w:id="94" w:name="_Toc9889"/>
      <w:bookmarkStart w:id="95" w:name="_Toc12190"/>
      <w:bookmarkStart w:id="96" w:name="_Toc15899"/>
      <w:r>
        <w:rPr>
          <w:rFonts w:hint="eastAsia" w:ascii="Arial" w:hAnsi="Arial" w:eastAsia="黑体" w:cs="Times New Roman"/>
          <w:color w:val="auto"/>
          <w:kern w:val="2"/>
          <w:sz w:val="30"/>
          <w:szCs w:val="24"/>
          <w:lang w:val="en-US" w:eastAsia="zh-CN" w:bidi="ar-SA"/>
        </w:rPr>
        <w:t>四、</w:t>
      </w:r>
      <w:r>
        <w:rPr>
          <w:rFonts w:hint="eastAsia"/>
          <w:color w:val="auto"/>
          <w:lang w:val="en-US" w:eastAsia="zh-CN"/>
        </w:rPr>
        <w:t>谈判</w:t>
      </w:r>
      <w:r>
        <w:rPr>
          <w:rFonts w:hint="eastAsia"/>
          <w:color w:val="auto"/>
        </w:rPr>
        <w:t>响应</w:t>
      </w:r>
      <w:bookmarkEnd w:id="92"/>
      <w:bookmarkEnd w:id="93"/>
      <w:bookmarkEnd w:id="94"/>
      <w:bookmarkEnd w:id="95"/>
      <w:bookmarkEnd w:id="96"/>
      <w:r>
        <w:rPr>
          <w:rFonts w:hint="eastAsia"/>
          <w:color w:val="auto"/>
          <w:lang w:val="en-US" w:eastAsia="zh-CN"/>
        </w:rPr>
        <w:t>表</w:t>
      </w:r>
    </w:p>
    <w:p w14:paraId="6A61351A">
      <w:pPr>
        <w:pStyle w:val="7"/>
        <w:numPr>
          <w:ilvl w:val="4"/>
          <w:numId w:val="0"/>
        </w:numPr>
        <w:outlineLvl w:val="2"/>
        <w:rPr>
          <w:color w:val="auto"/>
        </w:rPr>
      </w:pPr>
      <w:r>
        <w:rPr>
          <w:rFonts w:hint="eastAsia"/>
          <w:color w:val="auto"/>
        </w:rPr>
        <w:t>附件4-1商务响应表</w:t>
      </w:r>
    </w:p>
    <w:p w14:paraId="6E4B173E">
      <w:pPr>
        <w:pStyle w:val="45"/>
        <w:spacing w:before="156"/>
        <w:ind w:firstLine="0" w:firstLineChars="0"/>
        <w:jc w:val="center"/>
        <w:rPr>
          <w:rFonts w:ascii="方正小标宋_GBK" w:hAnsi="方正小标宋_GBK" w:eastAsia="方正小标宋_GBK" w:cs="方正小标宋_GBK"/>
          <w:color w:val="auto"/>
          <w:sz w:val="32"/>
          <w:szCs w:val="32"/>
        </w:rPr>
      </w:pPr>
      <w:r>
        <w:rPr>
          <w:rFonts w:hint="eastAsia" w:ascii="方正小标宋_GBK" w:hAnsi="方正小标宋_GBK" w:eastAsia="方正小标宋_GBK" w:cs="方正小标宋_GBK"/>
          <w:color w:val="auto"/>
          <w:sz w:val="32"/>
          <w:szCs w:val="32"/>
        </w:rPr>
        <w:t>商务响应表</w:t>
      </w:r>
    </w:p>
    <w:p w14:paraId="58944D22">
      <w:pPr>
        <w:pStyle w:val="45"/>
        <w:spacing w:before="156"/>
        <w:ind w:firstLine="640"/>
        <w:jc w:val="center"/>
        <w:rPr>
          <w:rFonts w:ascii="方正小标宋_GBK" w:hAnsi="方正小标宋_GBK" w:eastAsia="方正小标宋_GBK" w:cs="方正小标宋_GBK"/>
          <w:color w:val="auto"/>
          <w:sz w:val="32"/>
          <w:szCs w:val="32"/>
        </w:rPr>
      </w:pPr>
    </w:p>
    <w:tbl>
      <w:tblPr>
        <w:tblStyle w:val="35"/>
        <w:tblW w:w="9993" w:type="dxa"/>
        <w:tblInd w:w="117"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5"/>
        <w:gridCol w:w="1916"/>
        <w:gridCol w:w="3302"/>
        <w:gridCol w:w="2807"/>
        <w:gridCol w:w="1243"/>
      </w:tblGrid>
      <w:tr w14:paraId="6163EF0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5" w:type="dxa"/>
            <w:tcBorders>
              <w:tl2br w:val="nil"/>
              <w:tr2bl w:val="nil"/>
            </w:tcBorders>
            <w:vAlign w:val="center"/>
          </w:tcPr>
          <w:p w14:paraId="76B37DD2">
            <w:pPr>
              <w:pStyle w:val="44"/>
              <w:rPr>
                <w:rFonts w:ascii="黑体" w:hAnsi="黑体" w:eastAsia="黑体" w:cs="黑体"/>
                <w:bCs/>
                <w:color w:val="auto"/>
                <w:sz w:val="21"/>
                <w:szCs w:val="21"/>
              </w:rPr>
            </w:pPr>
            <w:r>
              <w:rPr>
                <w:rFonts w:hint="eastAsia" w:ascii="黑体" w:hAnsi="黑体" w:eastAsia="黑体" w:cs="黑体"/>
                <w:bCs/>
                <w:color w:val="auto"/>
                <w:sz w:val="21"/>
                <w:szCs w:val="21"/>
              </w:rPr>
              <w:t>序号</w:t>
            </w:r>
          </w:p>
        </w:tc>
        <w:tc>
          <w:tcPr>
            <w:tcW w:w="1916" w:type="dxa"/>
            <w:tcBorders>
              <w:tl2br w:val="nil"/>
              <w:tr2bl w:val="nil"/>
            </w:tcBorders>
            <w:vAlign w:val="center"/>
          </w:tcPr>
          <w:p w14:paraId="63E12F78">
            <w:pPr>
              <w:pStyle w:val="44"/>
              <w:rPr>
                <w:rFonts w:ascii="黑体" w:hAnsi="黑体" w:eastAsia="黑体" w:cs="黑体"/>
                <w:bCs/>
                <w:color w:val="auto"/>
                <w:sz w:val="21"/>
                <w:szCs w:val="21"/>
              </w:rPr>
            </w:pPr>
            <w:r>
              <w:rPr>
                <w:rFonts w:hint="eastAsia" w:ascii="黑体" w:hAnsi="黑体" w:eastAsia="黑体" w:cs="黑体"/>
                <w:bCs/>
                <w:color w:val="auto"/>
                <w:sz w:val="21"/>
                <w:szCs w:val="21"/>
              </w:rPr>
              <w:t>商务条款</w:t>
            </w:r>
          </w:p>
        </w:tc>
        <w:tc>
          <w:tcPr>
            <w:tcW w:w="3302" w:type="dxa"/>
            <w:tcBorders>
              <w:tl2br w:val="nil"/>
              <w:tr2bl w:val="nil"/>
            </w:tcBorders>
            <w:vAlign w:val="center"/>
          </w:tcPr>
          <w:p w14:paraId="26338943">
            <w:pPr>
              <w:pStyle w:val="44"/>
              <w:rPr>
                <w:rFonts w:ascii="黑体" w:hAnsi="黑体" w:eastAsia="黑体" w:cs="黑体"/>
                <w:bCs/>
                <w:color w:val="auto"/>
                <w:sz w:val="21"/>
                <w:szCs w:val="21"/>
              </w:rPr>
            </w:pPr>
            <w:r>
              <w:rPr>
                <w:rFonts w:hint="eastAsia" w:ascii="黑体" w:hAnsi="黑体" w:eastAsia="黑体" w:cs="黑体"/>
                <w:bCs/>
                <w:color w:val="auto"/>
                <w:sz w:val="21"/>
                <w:szCs w:val="21"/>
                <w:lang w:val="en-US" w:eastAsia="zh-CN"/>
              </w:rPr>
              <w:t>谈判</w:t>
            </w:r>
            <w:r>
              <w:rPr>
                <w:rFonts w:hint="eastAsia" w:ascii="黑体" w:hAnsi="黑体" w:eastAsia="黑体" w:cs="黑体"/>
                <w:bCs/>
                <w:color w:val="auto"/>
                <w:sz w:val="21"/>
                <w:szCs w:val="21"/>
              </w:rPr>
              <w:t>文件要求</w:t>
            </w:r>
          </w:p>
        </w:tc>
        <w:tc>
          <w:tcPr>
            <w:tcW w:w="2807" w:type="dxa"/>
            <w:tcBorders>
              <w:tl2br w:val="nil"/>
              <w:tr2bl w:val="nil"/>
            </w:tcBorders>
            <w:vAlign w:val="center"/>
          </w:tcPr>
          <w:p w14:paraId="5607C42C">
            <w:pPr>
              <w:pStyle w:val="44"/>
              <w:rPr>
                <w:rFonts w:ascii="黑体" w:hAnsi="黑体" w:eastAsia="黑体" w:cs="黑体"/>
                <w:bCs/>
                <w:color w:val="auto"/>
                <w:sz w:val="21"/>
                <w:szCs w:val="21"/>
              </w:rPr>
            </w:pPr>
            <w:r>
              <w:rPr>
                <w:rFonts w:hint="eastAsia" w:ascii="黑体" w:hAnsi="黑体" w:eastAsia="黑体" w:cs="黑体"/>
                <w:bCs/>
                <w:color w:val="auto"/>
                <w:sz w:val="21"/>
                <w:szCs w:val="21"/>
                <w:lang w:eastAsia="zh-CN"/>
              </w:rPr>
              <w:t>供应商</w:t>
            </w:r>
            <w:r>
              <w:rPr>
                <w:rFonts w:hint="eastAsia" w:ascii="黑体" w:hAnsi="黑体" w:eastAsia="黑体" w:cs="黑体"/>
                <w:bCs/>
                <w:color w:val="auto"/>
                <w:sz w:val="21"/>
                <w:szCs w:val="21"/>
              </w:rPr>
              <w:t>承诺</w:t>
            </w:r>
          </w:p>
        </w:tc>
        <w:tc>
          <w:tcPr>
            <w:tcW w:w="1243" w:type="dxa"/>
            <w:tcBorders>
              <w:tl2br w:val="nil"/>
              <w:tr2bl w:val="nil"/>
            </w:tcBorders>
            <w:vAlign w:val="center"/>
          </w:tcPr>
          <w:p w14:paraId="165E1F76">
            <w:pPr>
              <w:pStyle w:val="44"/>
              <w:rPr>
                <w:rFonts w:ascii="黑体" w:hAnsi="黑体" w:eastAsia="黑体" w:cs="黑体"/>
                <w:bCs/>
                <w:color w:val="auto"/>
                <w:sz w:val="21"/>
                <w:szCs w:val="21"/>
              </w:rPr>
            </w:pPr>
            <w:r>
              <w:rPr>
                <w:rFonts w:hint="eastAsia" w:ascii="黑体" w:hAnsi="黑体" w:eastAsia="黑体" w:cs="黑体"/>
                <w:bCs/>
                <w:color w:val="auto"/>
                <w:sz w:val="21"/>
                <w:szCs w:val="21"/>
              </w:rPr>
              <w:t>响应/偏离</w:t>
            </w:r>
          </w:p>
          <w:p w14:paraId="694A9036">
            <w:pPr>
              <w:pStyle w:val="44"/>
              <w:rPr>
                <w:rFonts w:ascii="黑体" w:hAnsi="黑体" w:eastAsia="黑体" w:cs="黑体"/>
                <w:bCs/>
                <w:color w:val="auto"/>
                <w:sz w:val="21"/>
                <w:szCs w:val="21"/>
              </w:rPr>
            </w:pPr>
            <w:r>
              <w:rPr>
                <w:rFonts w:hint="eastAsia" w:ascii="黑体" w:hAnsi="黑体" w:eastAsia="黑体" w:cs="黑体"/>
                <w:bCs/>
                <w:color w:val="auto"/>
                <w:sz w:val="21"/>
                <w:szCs w:val="21"/>
              </w:rPr>
              <w:t>说明</w:t>
            </w:r>
          </w:p>
        </w:tc>
      </w:tr>
      <w:tr w14:paraId="038B77E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25" w:type="dxa"/>
            <w:tcBorders>
              <w:tl2br w:val="nil"/>
              <w:tr2bl w:val="nil"/>
            </w:tcBorders>
            <w:vAlign w:val="center"/>
          </w:tcPr>
          <w:p w14:paraId="0D37D303">
            <w:pPr>
              <w:pStyle w:val="48"/>
              <w:rPr>
                <w:color w:val="auto"/>
              </w:rPr>
            </w:pPr>
            <w:r>
              <w:rPr>
                <w:color w:val="auto"/>
              </w:rPr>
              <w:t>1</w:t>
            </w:r>
          </w:p>
        </w:tc>
        <w:tc>
          <w:tcPr>
            <w:tcW w:w="1916" w:type="dxa"/>
            <w:tcBorders>
              <w:tl2br w:val="nil"/>
              <w:tr2bl w:val="nil"/>
            </w:tcBorders>
            <w:vAlign w:val="center"/>
          </w:tcPr>
          <w:p w14:paraId="269BCE15">
            <w:pPr>
              <w:pStyle w:val="48"/>
              <w:rPr>
                <w:color w:val="auto"/>
              </w:rPr>
            </w:pPr>
          </w:p>
        </w:tc>
        <w:tc>
          <w:tcPr>
            <w:tcW w:w="3302" w:type="dxa"/>
            <w:tcBorders>
              <w:tl2br w:val="nil"/>
              <w:tr2bl w:val="nil"/>
            </w:tcBorders>
            <w:vAlign w:val="center"/>
          </w:tcPr>
          <w:p w14:paraId="21C810A4">
            <w:pPr>
              <w:pStyle w:val="48"/>
              <w:rPr>
                <w:color w:val="auto"/>
              </w:rPr>
            </w:pPr>
          </w:p>
        </w:tc>
        <w:tc>
          <w:tcPr>
            <w:tcW w:w="2807" w:type="dxa"/>
            <w:tcBorders>
              <w:tl2br w:val="nil"/>
              <w:tr2bl w:val="nil"/>
            </w:tcBorders>
            <w:vAlign w:val="center"/>
          </w:tcPr>
          <w:p w14:paraId="45FA04A5">
            <w:pPr>
              <w:pStyle w:val="48"/>
              <w:rPr>
                <w:color w:val="auto"/>
              </w:rPr>
            </w:pPr>
          </w:p>
        </w:tc>
        <w:tc>
          <w:tcPr>
            <w:tcW w:w="1243" w:type="dxa"/>
            <w:tcBorders>
              <w:tl2br w:val="nil"/>
              <w:tr2bl w:val="nil"/>
            </w:tcBorders>
            <w:vAlign w:val="center"/>
          </w:tcPr>
          <w:p w14:paraId="53FC4324">
            <w:pPr>
              <w:pStyle w:val="48"/>
              <w:rPr>
                <w:color w:val="auto"/>
              </w:rPr>
            </w:pPr>
          </w:p>
        </w:tc>
      </w:tr>
      <w:tr w14:paraId="4808456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725" w:type="dxa"/>
            <w:tcBorders>
              <w:tl2br w:val="nil"/>
              <w:tr2bl w:val="nil"/>
            </w:tcBorders>
            <w:vAlign w:val="center"/>
          </w:tcPr>
          <w:p w14:paraId="456CC3E5">
            <w:pPr>
              <w:pStyle w:val="48"/>
              <w:rPr>
                <w:color w:val="auto"/>
              </w:rPr>
            </w:pPr>
            <w:r>
              <w:rPr>
                <w:color w:val="auto"/>
              </w:rPr>
              <w:t>2</w:t>
            </w:r>
          </w:p>
        </w:tc>
        <w:tc>
          <w:tcPr>
            <w:tcW w:w="1916" w:type="dxa"/>
            <w:tcBorders>
              <w:tl2br w:val="nil"/>
              <w:tr2bl w:val="nil"/>
            </w:tcBorders>
            <w:vAlign w:val="center"/>
          </w:tcPr>
          <w:p w14:paraId="4B18DC8E">
            <w:pPr>
              <w:pStyle w:val="48"/>
              <w:rPr>
                <w:color w:val="auto"/>
              </w:rPr>
            </w:pPr>
          </w:p>
        </w:tc>
        <w:tc>
          <w:tcPr>
            <w:tcW w:w="3302" w:type="dxa"/>
            <w:tcBorders>
              <w:tl2br w:val="nil"/>
              <w:tr2bl w:val="nil"/>
            </w:tcBorders>
            <w:vAlign w:val="center"/>
          </w:tcPr>
          <w:p w14:paraId="4C827D2B">
            <w:pPr>
              <w:pStyle w:val="48"/>
              <w:rPr>
                <w:color w:val="auto"/>
              </w:rPr>
            </w:pPr>
          </w:p>
        </w:tc>
        <w:tc>
          <w:tcPr>
            <w:tcW w:w="2807" w:type="dxa"/>
            <w:tcBorders>
              <w:tl2br w:val="nil"/>
              <w:tr2bl w:val="nil"/>
            </w:tcBorders>
            <w:vAlign w:val="center"/>
          </w:tcPr>
          <w:p w14:paraId="01004400">
            <w:pPr>
              <w:pStyle w:val="48"/>
              <w:rPr>
                <w:color w:val="auto"/>
              </w:rPr>
            </w:pPr>
          </w:p>
        </w:tc>
        <w:tc>
          <w:tcPr>
            <w:tcW w:w="1243" w:type="dxa"/>
            <w:tcBorders>
              <w:tl2br w:val="nil"/>
              <w:tr2bl w:val="nil"/>
            </w:tcBorders>
            <w:vAlign w:val="center"/>
          </w:tcPr>
          <w:p w14:paraId="727DE869">
            <w:pPr>
              <w:pStyle w:val="48"/>
              <w:rPr>
                <w:color w:val="auto"/>
              </w:rPr>
            </w:pPr>
          </w:p>
        </w:tc>
      </w:tr>
      <w:tr w14:paraId="14D7BF3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25" w:type="dxa"/>
            <w:tcBorders>
              <w:tl2br w:val="nil"/>
              <w:tr2bl w:val="nil"/>
            </w:tcBorders>
            <w:vAlign w:val="center"/>
          </w:tcPr>
          <w:p w14:paraId="02241665">
            <w:pPr>
              <w:pStyle w:val="48"/>
              <w:rPr>
                <w:color w:val="auto"/>
              </w:rPr>
            </w:pPr>
            <w:r>
              <w:rPr>
                <w:rFonts w:hint="eastAsia"/>
                <w:color w:val="auto"/>
              </w:rPr>
              <w:t>3</w:t>
            </w:r>
          </w:p>
        </w:tc>
        <w:tc>
          <w:tcPr>
            <w:tcW w:w="1916" w:type="dxa"/>
            <w:tcBorders>
              <w:tl2br w:val="nil"/>
              <w:tr2bl w:val="nil"/>
            </w:tcBorders>
            <w:vAlign w:val="center"/>
          </w:tcPr>
          <w:p w14:paraId="0B167354">
            <w:pPr>
              <w:pStyle w:val="48"/>
              <w:rPr>
                <w:color w:val="auto"/>
              </w:rPr>
            </w:pPr>
          </w:p>
        </w:tc>
        <w:tc>
          <w:tcPr>
            <w:tcW w:w="3302" w:type="dxa"/>
            <w:tcBorders>
              <w:tl2br w:val="nil"/>
              <w:tr2bl w:val="nil"/>
            </w:tcBorders>
            <w:vAlign w:val="center"/>
          </w:tcPr>
          <w:p w14:paraId="0A7835C7">
            <w:pPr>
              <w:pStyle w:val="48"/>
              <w:rPr>
                <w:color w:val="auto"/>
              </w:rPr>
            </w:pPr>
          </w:p>
        </w:tc>
        <w:tc>
          <w:tcPr>
            <w:tcW w:w="2807" w:type="dxa"/>
            <w:tcBorders>
              <w:tl2br w:val="nil"/>
              <w:tr2bl w:val="nil"/>
            </w:tcBorders>
            <w:vAlign w:val="center"/>
          </w:tcPr>
          <w:p w14:paraId="5582C27F">
            <w:pPr>
              <w:pStyle w:val="48"/>
              <w:rPr>
                <w:color w:val="auto"/>
              </w:rPr>
            </w:pPr>
          </w:p>
        </w:tc>
        <w:tc>
          <w:tcPr>
            <w:tcW w:w="1243" w:type="dxa"/>
            <w:tcBorders>
              <w:tl2br w:val="nil"/>
              <w:tr2bl w:val="nil"/>
            </w:tcBorders>
            <w:vAlign w:val="center"/>
          </w:tcPr>
          <w:p w14:paraId="01F16E3B">
            <w:pPr>
              <w:pStyle w:val="48"/>
              <w:rPr>
                <w:color w:val="auto"/>
              </w:rPr>
            </w:pPr>
          </w:p>
        </w:tc>
      </w:tr>
      <w:tr w14:paraId="259E87F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725" w:type="dxa"/>
            <w:tcBorders>
              <w:tl2br w:val="nil"/>
              <w:tr2bl w:val="nil"/>
            </w:tcBorders>
            <w:vAlign w:val="center"/>
          </w:tcPr>
          <w:p w14:paraId="040D8B62">
            <w:pPr>
              <w:pStyle w:val="48"/>
              <w:rPr>
                <w:color w:val="auto"/>
              </w:rPr>
            </w:pPr>
            <w:r>
              <w:rPr>
                <w:rFonts w:hint="eastAsia"/>
                <w:color w:val="auto"/>
              </w:rPr>
              <w:t>4</w:t>
            </w:r>
          </w:p>
        </w:tc>
        <w:tc>
          <w:tcPr>
            <w:tcW w:w="1916" w:type="dxa"/>
            <w:tcBorders>
              <w:tl2br w:val="nil"/>
              <w:tr2bl w:val="nil"/>
            </w:tcBorders>
            <w:vAlign w:val="center"/>
          </w:tcPr>
          <w:p w14:paraId="7C777A5D">
            <w:pPr>
              <w:pStyle w:val="48"/>
              <w:rPr>
                <w:color w:val="auto"/>
              </w:rPr>
            </w:pPr>
          </w:p>
        </w:tc>
        <w:tc>
          <w:tcPr>
            <w:tcW w:w="3302" w:type="dxa"/>
            <w:tcBorders>
              <w:tl2br w:val="nil"/>
              <w:tr2bl w:val="nil"/>
            </w:tcBorders>
            <w:vAlign w:val="center"/>
          </w:tcPr>
          <w:p w14:paraId="09BCBC7D">
            <w:pPr>
              <w:pStyle w:val="48"/>
              <w:rPr>
                <w:color w:val="auto"/>
              </w:rPr>
            </w:pPr>
          </w:p>
        </w:tc>
        <w:tc>
          <w:tcPr>
            <w:tcW w:w="2807" w:type="dxa"/>
            <w:tcBorders>
              <w:tl2br w:val="nil"/>
              <w:tr2bl w:val="nil"/>
            </w:tcBorders>
            <w:vAlign w:val="center"/>
          </w:tcPr>
          <w:p w14:paraId="75846566">
            <w:pPr>
              <w:pStyle w:val="48"/>
              <w:rPr>
                <w:color w:val="auto"/>
              </w:rPr>
            </w:pPr>
          </w:p>
        </w:tc>
        <w:tc>
          <w:tcPr>
            <w:tcW w:w="1243" w:type="dxa"/>
            <w:tcBorders>
              <w:tl2br w:val="nil"/>
              <w:tr2bl w:val="nil"/>
            </w:tcBorders>
            <w:vAlign w:val="center"/>
          </w:tcPr>
          <w:p w14:paraId="3069BFD6">
            <w:pPr>
              <w:pStyle w:val="48"/>
              <w:rPr>
                <w:color w:val="auto"/>
              </w:rPr>
            </w:pPr>
          </w:p>
        </w:tc>
      </w:tr>
    </w:tbl>
    <w:p w14:paraId="58C2263A">
      <w:pPr>
        <w:pStyle w:val="45"/>
        <w:spacing w:before="156"/>
        <w:ind w:firstLine="480"/>
        <w:rPr>
          <w:color w:val="auto"/>
        </w:rPr>
      </w:pPr>
      <w:r>
        <w:rPr>
          <w:rFonts w:hint="eastAsia"/>
          <w:color w:val="auto"/>
        </w:rPr>
        <w:t>注：</w:t>
      </w:r>
    </w:p>
    <w:p w14:paraId="0F3415B1">
      <w:pPr>
        <w:pStyle w:val="45"/>
        <w:numPr>
          <w:ilvl w:val="0"/>
          <w:numId w:val="50"/>
        </w:numPr>
        <w:spacing w:before="156"/>
        <w:ind w:firstLine="480"/>
        <w:rPr>
          <w:color w:val="auto"/>
        </w:rPr>
      </w:pPr>
      <w:r>
        <w:rPr>
          <w:rFonts w:hint="eastAsia"/>
          <w:color w:val="auto"/>
          <w:lang w:eastAsia="zh-CN"/>
        </w:rPr>
        <w:t>供应商</w:t>
      </w:r>
      <w:r>
        <w:rPr>
          <w:rFonts w:hint="eastAsia"/>
          <w:color w:val="auto"/>
        </w:rPr>
        <w:t>应把</w:t>
      </w:r>
      <w:r>
        <w:rPr>
          <w:rFonts w:hint="eastAsia"/>
          <w:color w:val="auto"/>
          <w:lang w:val="en-US" w:eastAsia="zh-CN"/>
        </w:rPr>
        <w:t>谈判</w:t>
      </w:r>
      <w:r>
        <w:rPr>
          <w:rFonts w:hint="eastAsia"/>
          <w:color w:val="auto"/>
        </w:rPr>
        <w:t>文件第三章项目需求中商务要求列入此表，按顺序逐项对照填写。</w:t>
      </w:r>
    </w:p>
    <w:p w14:paraId="71F1110D">
      <w:pPr>
        <w:pStyle w:val="45"/>
        <w:numPr>
          <w:ilvl w:val="0"/>
          <w:numId w:val="50"/>
        </w:numPr>
        <w:spacing w:before="156"/>
        <w:ind w:firstLine="480"/>
        <w:rPr>
          <w:color w:val="auto"/>
        </w:rPr>
      </w:pPr>
      <w:r>
        <w:rPr>
          <w:rFonts w:hint="eastAsia"/>
          <w:color w:val="auto"/>
          <w:lang w:eastAsia="zh-CN"/>
        </w:rPr>
        <w:t>供应商</w:t>
      </w:r>
      <w:r>
        <w:rPr>
          <w:rFonts w:hint="eastAsia"/>
          <w:color w:val="auto"/>
        </w:rPr>
        <w:t>必须据实填写，不得虚假填写，否则将取消其报价或成交资格。</w:t>
      </w:r>
    </w:p>
    <w:p w14:paraId="28FC21FC">
      <w:pPr>
        <w:pStyle w:val="45"/>
        <w:spacing w:before="156"/>
        <w:ind w:firstLine="482"/>
        <w:rPr>
          <w:b/>
          <w:bCs/>
          <w:color w:val="auto"/>
        </w:rPr>
      </w:pPr>
    </w:p>
    <w:tbl>
      <w:tblPr>
        <w:tblStyle w:val="36"/>
        <w:tblpPr w:leftFromText="180" w:rightFromText="180" w:vertAnchor="text" w:horzAnchor="page" w:tblpX="1429" w:tblpY="58"/>
        <w:tblOverlap w:val="never"/>
        <w:tblW w:w="91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7"/>
        <w:gridCol w:w="1672"/>
        <w:gridCol w:w="1157"/>
        <w:gridCol w:w="2480"/>
      </w:tblGrid>
      <w:tr w14:paraId="5725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trPr>
        <w:tc>
          <w:tcPr>
            <w:tcW w:w="3797" w:type="dxa"/>
            <w:tcBorders>
              <w:top w:val="nil"/>
              <w:left w:val="nil"/>
              <w:bottom w:val="nil"/>
              <w:right w:val="nil"/>
            </w:tcBorders>
            <w:vAlign w:val="center"/>
          </w:tcPr>
          <w:p w14:paraId="12F43C0B">
            <w:pPr>
              <w:pStyle w:val="45"/>
              <w:spacing w:before="156" w:line="240" w:lineRule="auto"/>
              <w:ind w:firstLine="0" w:firstLineChars="0"/>
              <w:jc w:val="distribute"/>
              <w:rPr>
                <w:bCs/>
                <w:color w:val="auto"/>
              </w:rPr>
            </w:pPr>
            <w:r>
              <w:rPr>
                <w:rFonts w:hint="eastAsia"/>
                <w:bCs/>
                <w:color w:val="auto"/>
                <w:lang w:eastAsia="zh-CN"/>
              </w:rPr>
              <w:t>供应商</w:t>
            </w:r>
            <w:r>
              <w:rPr>
                <w:rFonts w:hint="eastAsia"/>
                <w:bCs/>
                <w:color w:val="auto"/>
              </w:rPr>
              <w:t>名称（加盖公章）：</w:t>
            </w:r>
          </w:p>
        </w:tc>
        <w:tc>
          <w:tcPr>
            <w:tcW w:w="5309" w:type="dxa"/>
            <w:gridSpan w:val="3"/>
            <w:tcBorders>
              <w:top w:val="nil"/>
              <w:left w:val="nil"/>
              <w:bottom w:val="nil"/>
              <w:right w:val="nil"/>
            </w:tcBorders>
            <w:vAlign w:val="center"/>
          </w:tcPr>
          <w:p w14:paraId="0760F4ED">
            <w:pPr>
              <w:pStyle w:val="45"/>
              <w:spacing w:before="156" w:line="540" w:lineRule="exact"/>
              <w:ind w:firstLine="480"/>
              <w:jc w:val="center"/>
              <w:rPr>
                <w:color w:val="auto"/>
              </w:rPr>
            </w:pPr>
          </w:p>
        </w:tc>
      </w:tr>
      <w:tr w14:paraId="79D0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7" w:type="dxa"/>
            <w:tcBorders>
              <w:top w:val="nil"/>
              <w:left w:val="nil"/>
              <w:bottom w:val="nil"/>
              <w:right w:val="nil"/>
            </w:tcBorders>
            <w:vAlign w:val="center"/>
          </w:tcPr>
          <w:p w14:paraId="355D9F24">
            <w:pPr>
              <w:pStyle w:val="45"/>
              <w:spacing w:before="156" w:line="540" w:lineRule="exact"/>
              <w:ind w:firstLine="0" w:firstLineChars="0"/>
              <w:rPr>
                <w:color w:val="auto"/>
              </w:rPr>
            </w:pPr>
          </w:p>
        </w:tc>
        <w:tc>
          <w:tcPr>
            <w:tcW w:w="1672" w:type="dxa"/>
            <w:tcBorders>
              <w:top w:val="nil"/>
              <w:left w:val="nil"/>
              <w:bottom w:val="nil"/>
              <w:right w:val="nil"/>
            </w:tcBorders>
            <w:vAlign w:val="center"/>
          </w:tcPr>
          <w:p w14:paraId="02B658D0">
            <w:pPr>
              <w:pStyle w:val="45"/>
              <w:spacing w:before="156" w:line="540" w:lineRule="exact"/>
              <w:ind w:firstLine="0" w:firstLineChars="0"/>
              <w:jc w:val="center"/>
              <w:rPr>
                <w:color w:val="auto"/>
              </w:rPr>
            </w:pPr>
          </w:p>
        </w:tc>
        <w:tc>
          <w:tcPr>
            <w:tcW w:w="1157" w:type="dxa"/>
            <w:tcBorders>
              <w:top w:val="nil"/>
              <w:left w:val="nil"/>
              <w:bottom w:val="nil"/>
              <w:right w:val="nil"/>
            </w:tcBorders>
            <w:vAlign w:val="center"/>
          </w:tcPr>
          <w:p w14:paraId="17C2E1CF">
            <w:pPr>
              <w:pStyle w:val="45"/>
              <w:spacing w:before="156" w:line="240" w:lineRule="auto"/>
              <w:ind w:firstLine="0" w:firstLineChars="0"/>
              <w:jc w:val="distribute"/>
              <w:rPr>
                <w:color w:val="auto"/>
              </w:rPr>
            </w:pPr>
            <w:r>
              <w:rPr>
                <w:rFonts w:hint="eastAsia"/>
                <w:color w:val="auto"/>
              </w:rPr>
              <w:t>日  期：</w:t>
            </w:r>
          </w:p>
        </w:tc>
        <w:tc>
          <w:tcPr>
            <w:tcW w:w="2480" w:type="dxa"/>
            <w:tcBorders>
              <w:top w:val="nil"/>
              <w:left w:val="nil"/>
              <w:bottom w:val="nil"/>
              <w:right w:val="nil"/>
            </w:tcBorders>
            <w:vAlign w:val="center"/>
          </w:tcPr>
          <w:p w14:paraId="75E7EA14">
            <w:pPr>
              <w:pStyle w:val="45"/>
              <w:spacing w:before="156" w:line="240" w:lineRule="auto"/>
              <w:ind w:firstLine="0" w:firstLineChars="0"/>
              <w:jc w:val="right"/>
              <w:rPr>
                <w:color w:val="auto"/>
              </w:rPr>
            </w:pPr>
            <w:r>
              <w:rPr>
                <w:rFonts w:hint="eastAsia"/>
                <w:color w:val="auto"/>
              </w:rPr>
              <w:t>年   月   日</w:t>
            </w:r>
          </w:p>
        </w:tc>
      </w:tr>
    </w:tbl>
    <w:p w14:paraId="5B833413">
      <w:pPr>
        <w:pStyle w:val="22"/>
        <w:tabs>
          <w:tab w:val="left" w:pos="6208"/>
        </w:tabs>
        <w:adjustRightInd w:val="0"/>
        <w:snapToGrid w:val="0"/>
        <w:spacing w:line="360" w:lineRule="auto"/>
        <w:ind w:left="-101" w:leftChars="-42"/>
        <w:rPr>
          <w:rFonts w:ascii="宋体" w:hAnsi="宋体"/>
          <w:bCs/>
          <w:color w:val="auto"/>
          <w:sz w:val="21"/>
          <w:szCs w:val="21"/>
        </w:rPr>
      </w:pPr>
    </w:p>
    <w:p w14:paraId="25533B4B">
      <w:pPr>
        <w:adjustRightInd w:val="0"/>
        <w:snapToGrid w:val="0"/>
        <w:spacing w:line="360" w:lineRule="auto"/>
        <w:rPr>
          <w:rFonts w:ascii="宋体" w:hAnsi="宋体" w:cs="Times New Roman"/>
          <w:color w:val="auto"/>
          <w:szCs w:val="21"/>
        </w:rPr>
      </w:pPr>
    </w:p>
    <w:p w14:paraId="02057CBC">
      <w:pPr>
        <w:rPr>
          <w:rFonts w:ascii="方正小标宋_GBK" w:hAnsi="方正小标宋_GBK" w:eastAsia="方正小标宋_GBK" w:cs="方正小标宋_GBK"/>
          <w:color w:val="auto"/>
          <w:sz w:val="32"/>
          <w:szCs w:val="28"/>
        </w:rPr>
      </w:pPr>
    </w:p>
    <w:p w14:paraId="5852780F">
      <w:pPr>
        <w:rPr>
          <w:rFonts w:ascii="Times New Roman" w:hAnsi="Times New Roman" w:cs="Times New Roman"/>
          <w:color w:val="auto"/>
        </w:rPr>
      </w:pPr>
      <w:r>
        <w:rPr>
          <w:rFonts w:ascii="Times New Roman" w:hAnsi="Times New Roman" w:cs="Times New Roman"/>
          <w:color w:val="auto"/>
        </w:rPr>
        <w:br w:type="page"/>
      </w:r>
    </w:p>
    <w:p w14:paraId="00018765">
      <w:pPr>
        <w:pStyle w:val="7"/>
        <w:numPr>
          <w:ilvl w:val="4"/>
          <w:numId w:val="0"/>
        </w:numPr>
        <w:rPr>
          <w:color w:val="auto"/>
        </w:rPr>
      </w:pPr>
      <w:r>
        <w:rPr>
          <w:rFonts w:hint="eastAsia"/>
          <w:color w:val="auto"/>
        </w:rPr>
        <w:t>附件4-2 技术响应表</w:t>
      </w:r>
    </w:p>
    <w:p w14:paraId="140430EA">
      <w:pPr>
        <w:pStyle w:val="45"/>
        <w:spacing w:before="156"/>
        <w:ind w:firstLine="0" w:firstLineChars="0"/>
        <w:jc w:val="center"/>
        <w:rPr>
          <w:rFonts w:ascii="方正小标宋_GBK" w:hAnsi="方正小标宋_GBK" w:eastAsia="方正小标宋_GBK" w:cs="方正小标宋_GBK"/>
          <w:color w:val="auto"/>
          <w:sz w:val="32"/>
          <w:szCs w:val="32"/>
        </w:rPr>
      </w:pPr>
      <w:r>
        <w:rPr>
          <w:rFonts w:hint="eastAsia" w:ascii="方正小标宋_GBK" w:hAnsi="方正小标宋_GBK" w:eastAsia="方正小标宋_GBK" w:cs="方正小标宋_GBK"/>
          <w:color w:val="auto"/>
          <w:sz w:val="32"/>
          <w:szCs w:val="32"/>
        </w:rPr>
        <w:t>技术响应表</w:t>
      </w:r>
    </w:p>
    <w:p w14:paraId="2B91D9EF">
      <w:pPr>
        <w:pStyle w:val="45"/>
        <w:spacing w:before="156"/>
        <w:ind w:firstLine="640"/>
        <w:jc w:val="center"/>
        <w:rPr>
          <w:rFonts w:ascii="方正小标宋_GBK" w:hAnsi="方正小标宋_GBK" w:eastAsia="方正小标宋_GBK" w:cs="方正小标宋_GBK"/>
          <w:color w:val="auto"/>
          <w:sz w:val="32"/>
          <w:szCs w:val="32"/>
        </w:rPr>
      </w:pPr>
    </w:p>
    <w:tbl>
      <w:tblPr>
        <w:tblStyle w:val="35"/>
        <w:tblW w:w="9993" w:type="dxa"/>
        <w:tblInd w:w="117"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5"/>
        <w:gridCol w:w="1916"/>
        <w:gridCol w:w="3302"/>
        <w:gridCol w:w="2807"/>
        <w:gridCol w:w="1243"/>
      </w:tblGrid>
      <w:tr w14:paraId="6A24EA4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5" w:type="dxa"/>
            <w:tcBorders>
              <w:tl2br w:val="nil"/>
              <w:tr2bl w:val="nil"/>
            </w:tcBorders>
            <w:vAlign w:val="center"/>
          </w:tcPr>
          <w:p w14:paraId="4908039F">
            <w:pPr>
              <w:pStyle w:val="44"/>
              <w:rPr>
                <w:rFonts w:ascii="黑体" w:hAnsi="黑体" w:eastAsia="黑体" w:cs="黑体"/>
                <w:bCs/>
                <w:color w:val="auto"/>
                <w:sz w:val="21"/>
                <w:szCs w:val="21"/>
              </w:rPr>
            </w:pPr>
            <w:r>
              <w:rPr>
                <w:rFonts w:hint="eastAsia" w:ascii="黑体" w:hAnsi="黑体" w:eastAsia="黑体" w:cs="黑体"/>
                <w:bCs/>
                <w:color w:val="auto"/>
                <w:sz w:val="21"/>
                <w:szCs w:val="21"/>
              </w:rPr>
              <w:t>序号</w:t>
            </w:r>
          </w:p>
        </w:tc>
        <w:tc>
          <w:tcPr>
            <w:tcW w:w="1916" w:type="dxa"/>
            <w:tcBorders>
              <w:tl2br w:val="nil"/>
              <w:tr2bl w:val="nil"/>
            </w:tcBorders>
            <w:vAlign w:val="center"/>
          </w:tcPr>
          <w:p w14:paraId="50BA3A47">
            <w:pPr>
              <w:pStyle w:val="44"/>
              <w:rPr>
                <w:rFonts w:hint="default" w:ascii="黑体" w:hAnsi="黑体" w:eastAsia="黑体" w:cs="黑体"/>
                <w:bCs/>
                <w:color w:val="auto"/>
                <w:sz w:val="21"/>
                <w:szCs w:val="21"/>
                <w:lang w:val="en-US" w:eastAsia="zh-CN"/>
              </w:rPr>
            </w:pPr>
            <w:r>
              <w:rPr>
                <w:rFonts w:hint="eastAsia" w:ascii="黑体" w:hAnsi="黑体" w:eastAsia="黑体" w:cs="黑体"/>
                <w:bCs/>
                <w:color w:val="auto"/>
                <w:sz w:val="21"/>
                <w:szCs w:val="21"/>
                <w:lang w:val="en-US" w:eastAsia="zh-CN"/>
              </w:rPr>
              <w:t>技术条款</w:t>
            </w:r>
          </w:p>
        </w:tc>
        <w:tc>
          <w:tcPr>
            <w:tcW w:w="3302" w:type="dxa"/>
            <w:tcBorders>
              <w:tl2br w:val="nil"/>
              <w:tr2bl w:val="nil"/>
            </w:tcBorders>
            <w:vAlign w:val="center"/>
          </w:tcPr>
          <w:p w14:paraId="1B08AF49">
            <w:pPr>
              <w:pStyle w:val="44"/>
              <w:rPr>
                <w:rFonts w:ascii="黑体" w:hAnsi="黑体" w:eastAsia="黑体" w:cs="黑体"/>
                <w:bCs/>
                <w:color w:val="auto"/>
                <w:sz w:val="21"/>
                <w:szCs w:val="21"/>
              </w:rPr>
            </w:pPr>
            <w:r>
              <w:rPr>
                <w:rFonts w:hint="eastAsia" w:ascii="黑体" w:hAnsi="黑体" w:eastAsia="黑体" w:cs="黑体"/>
                <w:bCs/>
                <w:color w:val="auto"/>
                <w:sz w:val="21"/>
                <w:szCs w:val="21"/>
                <w:lang w:val="en-US" w:eastAsia="zh-CN"/>
              </w:rPr>
              <w:t>谈判</w:t>
            </w:r>
            <w:r>
              <w:rPr>
                <w:rFonts w:hint="eastAsia" w:ascii="黑体" w:hAnsi="黑体" w:eastAsia="黑体" w:cs="黑体"/>
                <w:bCs/>
                <w:color w:val="auto"/>
                <w:sz w:val="21"/>
                <w:szCs w:val="21"/>
              </w:rPr>
              <w:t>文件要求</w:t>
            </w:r>
          </w:p>
        </w:tc>
        <w:tc>
          <w:tcPr>
            <w:tcW w:w="2807" w:type="dxa"/>
            <w:tcBorders>
              <w:tl2br w:val="nil"/>
              <w:tr2bl w:val="nil"/>
            </w:tcBorders>
            <w:vAlign w:val="center"/>
          </w:tcPr>
          <w:p w14:paraId="4FE92A38">
            <w:pPr>
              <w:pStyle w:val="44"/>
              <w:rPr>
                <w:rFonts w:ascii="黑体" w:hAnsi="黑体" w:eastAsia="黑体" w:cs="黑体"/>
                <w:bCs/>
                <w:color w:val="auto"/>
                <w:sz w:val="21"/>
                <w:szCs w:val="21"/>
              </w:rPr>
            </w:pPr>
            <w:r>
              <w:rPr>
                <w:rFonts w:hint="eastAsia" w:ascii="黑体" w:hAnsi="黑体" w:eastAsia="黑体" w:cs="黑体"/>
                <w:bCs/>
                <w:color w:val="auto"/>
                <w:sz w:val="21"/>
                <w:szCs w:val="21"/>
                <w:lang w:eastAsia="zh-CN"/>
              </w:rPr>
              <w:t>供应商</w:t>
            </w:r>
            <w:r>
              <w:rPr>
                <w:rFonts w:hint="eastAsia" w:ascii="黑体" w:hAnsi="黑体" w:eastAsia="黑体" w:cs="黑体"/>
                <w:bCs/>
                <w:color w:val="auto"/>
                <w:sz w:val="21"/>
                <w:szCs w:val="21"/>
              </w:rPr>
              <w:t>承诺</w:t>
            </w:r>
          </w:p>
        </w:tc>
        <w:tc>
          <w:tcPr>
            <w:tcW w:w="1243" w:type="dxa"/>
            <w:tcBorders>
              <w:tl2br w:val="nil"/>
              <w:tr2bl w:val="nil"/>
            </w:tcBorders>
            <w:vAlign w:val="center"/>
          </w:tcPr>
          <w:p w14:paraId="095CC4DC">
            <w:pPr>
              <w:pStyle w:val="44"/>
              <w:rPr>
                <w:rFonts w:ascii="黑体" w:hAnsi="黑体" w:eastAsia="黑体" w:cs="黑体"/>
                <w:bCs/>
                <w:color w:val="auto"/>
                <w:sz w:val="21"/>
                <w:szCs w:val="21"/>
              </w:rPr>
            </w:pPr>
            <w:r>
              <w:rPr>
                <w:rFonts w:hint="eastAsia" w:ascii="黑体" w:hAnsi="黑体" w:eastAsia="黑体" w:cs="黑体"/>
                <w:bCs/>
                <w:color w:val="auto"/>
                <w:sz w:val="21"/>
                <w:szCs w:val="21"/>
              </w:rPr>
              <w:t>响应/偏离</w:t>
            </w:r>
          </w:p>
          <w:p w14:paraId="04E66A76">
            <w:pPr>
              <w:pStyle w:val="44"/>
              <w:rPr>
                <w:rFonts w:ascii="黑体" w:hAnsi="黑体" w:eastAsia="黑体" w:cs="黑体"/>
                <w:bCs/>
                <w:color w:val="auto"/>
                <w:sz w:val="21"/>
                <w:szCs w:val="21"/>
              </w:rPr>
            </w:pPr>
            <w:r>
              <w:rPr>
                <w:rFonts w:hint="eastAsia" w:ascii="黑体" w:hAnsi="黑体" w:eastAsia="黑体" w:cs="黑体"/>
                <w:bCs/>
                <w:color w:val="auto"/>
                <w:sz w:val="21"/>
                <w:szCs w:val="21"/>
              </w:rPr>
              <w:t>说明</w:t>
            </w:r>
          </w:p>
        </w:tc>
      </w:tr>
      <w:tr w14:paraId="02D0D0E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25" w:type="dxa"/>
            <w:tcBorders>
              <w:tl2br w:val="nil"/>
              <w:tr2bl w:val="nil"/>
            </w:tcBorders>
            <w:vAlign w:val="center"/>
          </w:tcPr>
          <w:p w14:paraId="093BF7D7">
            <w:pPr>
              <w:pStyle w:val="48"/>
              <w:rPr>
                <w:color w:val="auto"/>
              </w:rPr>
            </w:pPr>
            <w:r>
              <w:rPr>
                <w:color w:val="auto"/>
              </w:rPr>
              <w:t>1</w:t>
            </w:r>
          </w:p>
        </w:tc>
        <w:tc>
          <w:tcPr>
            <w:tcW w:w="1916" w:type="dxa"/>
            <w:tcBorders>
              <w:tl2br w:val="nil"/>
              <w:tr2bl w:val="nil"/>
            </w:tcBorders>
            <w:vAlign w:val="center"/>
          </w:tcPr>
          <w:p w14:paraId="3CCEC896">
            <w:pPr>
              <w:pStyle w:val="48"/>
              <w:rPr>
                <w:color w:val="auto"/>
              </w:rPr>
            </w:pPr>
          </w:p>
        </w:tc>
        <w:tc>
          <w:tcPr>
            <w:tcW w:w="3302" w:type="dxa"/>
            <w:tcBorders>
              <w:tl2br w:val="nil"/>
              <w:tr2bl w:val="nil"/>
            </w:tcBorders>
            <w:vAlign w:val="center"/>
          </w:tcPr>
          <w:p w14:paraId="35CFED17">
            <w:pPr>
              <w:pStyle w:val="48"/>
              <w:rPr>
                <w:color w:val="auto"/>
              </w:rPr>
            </w:pPr>
          </w:p>
        </w:tc>
        <w:tc>
          <w:tcPr>
            <w:tcW w:w="2807" w:type="dxa"/>
            <w:tcBorders>
              <w:tl2br w:val="nil"/>
              <w:tr2bl w:val="nil"/>
            </w:tcBorders>
            <w:vAlign w:val="center"/>
          </w:tcPr>
          <w:p w14:paraId="3028EFA2">
            <w:pPr>
              <w:pStyle w:val="48"/>
              <w:rPr>
                <w:color w:val="auto"/>
              </w:rPr>
            </w:pPr>
          </w:p>
        </w:tc>
        <w:tc>
          <w:tcPr>
            <w:tcW w:w="1243" w:type="dxa"/>
            <w:tcBorders>
              <w:tl2br w:val="nil"/>
              <w:tr2bl w:val="nil"/>
            </w:tcBorders>
            <w:vAlign w:val="center"/>
          </w:tcPr>
          <w:p w14:paraId="3778D658">
            <w:pPr>
              <w:pStyle w:val="48"/>
              <w:rPr>
                <w:color w:val="auto"/>
              </w:rPr>
            </w:pPr>
          </w:p>
        </w:tc>
      </w:tr>
      <w:tr w14:paraId="3C35ECD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725" w:type="dxa"/>
            <w:tcBorders>
              <w:tl2br w:val="nil"/>
              <w:tr2bl w:val="nil"/>
            </w:tcBorders>
            <w:vAlign w:val="center"/>
          </w:tcPr>
          <w:p w14:paraId="47856D48">
            <w:pPr>
              <w:pStyle w:val="48"/>
              <w:rPr>
                <w:color w:val="auto"/>
              </w:rPr>
            </w:pPr>
            <w:r>
              <w:rPr>
                <w:color w:val="auto"/>
              </w:rPr>
              <w:t>2</w:t>
            </w:r>
          </w:p>
        </w:tc>
        <w:tc>
          <w:tcPr>
            <w:tcW w:w="1916" w:type="dxa"/>
            <w:tcBorders>
              <w:tl2br w:val="nil"/>
              <w:tr2bl w:val="nil"/>
            </w:tcBorders>
            <w:vAlign w:val="center"/>
          </w:tcPr>
          <w:p w14:paraId="314E8E23">
            <w:pPr>
              <w:pStyle w:val="48"/>
              <w:rPr>
                <w:color w:val="auto"/>
              </w:rPr>
            </w:pPr>
          </w:p>
        </w:tc>
        <w:tc>
          <w:tcPr>
            <w:tcW w:w="3302" w:type="dxa"/>
            <w:tcBorders>
              <w:tl2br w:val="nil"/>
              <w:tr2bl w:val="nil"/>
            </w:tcBorders>
            <w:vAlign w:val="center"/>
          </w:tcPr>
          <w:p w14:paraId="73F53069">
            <w:pPr>
              <w:pStyle w:val="48"/>
              <w:rPr>
                <w:color w:val="auto"/>
              </w:rPr>
            </w:pPr>
          </w:p>
        </w:tc>
        <w:tc>
          <w:tcPr>
            <w:tcW w:w="2807" w:type="dxa"/>
            <w:tcBorders>
              <w:tl2br w:val="nil"/>
              <w:tr2bl w:val="nil"/>
            </w:tcBorders>
            <w:vAlign w:val="center"/>
          </w:tcPr>
          <w:p w14:paraId="60BB1629">
            <w:pPr>
              <w:pStyle w:val="48"/>
              <w:rPr>
                <w:color w:val="auto"/>
              </w:rPr>
            </w:pPr>
          </w:p>
        </w:tc>
        <w:tc>
          <w:tcPr>
            <w:tcW w:w="1243" w:type="dxa"/>
            <w:tcBorders>
              <w:tl2br w:val="nil"/>
              <w:tr2bl w:val="nil"/>
            </w:tcBorders>
            <w:vAlign w:val="center"/>
          </w:tcPr>
          <w:p w14:paraId="48DD5DEC">
            <w:pPr>
              <w:pStyle w:val="48"/>
              <w:rPr>
                <w:color w:val="auto"/>
              </w:rPr>
            </w:pPr>
          </w:p>
        </w:tc>
      </w:tr>
      <w:tr w14:paraId="3B90608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25" w:type="dxa"/>
            <w:tcBorders>
              <w:tl2br w:val="nil"/>
              <w:tr2bl w:val="nil"/>
            </w:tcBorders>
            <w:vAlign w:val="center"/>
          </w:tcPr>
          <w:p w14:paraId="3B170AC1">
            <w:pPr>
              <w:pStyle w:val="48"/>
              <w:rPr>
                <w:color w:val="auto"/>
              </w:rPr>
            </w:pPr>
            <w:r>
              <w:rPr>
                <w:rFonts w:hint="eastAsia"/>
                <w:color w:val="auto"/>
              </w:rPr>
              <w:t>3</w:t>
            </w:r>
          </w:p>
        </w:tc>
        <w:tc>
          <w:tcPr>
            <w:tcW w:w="1916" w:type="dxa"/>
            <w:tcBorders>
              <w:tl2br w:val="nil"/>
              <w:tr2bl w:val="nil"/>
            </w:tcBorders>
            <w:vAlign w:val="center"/>
          </w:tcPr>
          <w:p w14:paraId="4A0D6D3B">
            <w:pPr>
              <w:pStyle w:val="48"/>
              <w:rPr>
                <w:color w:val="auto"/>
              </w:rPr>
            </w:pPr>
          </w:p>
        </w:tc>
        <w:tc>
          <w:tcPr>
            <w:tcW w:w="3302" w:type="dxa"/>
            <w:tcBorders>
              <w:tl2br w:val="nil"/>
              <w:tr2bl w:val="nil"/>
            </w:tcBorders>
            <w:vAlign w:val="center"/>
          </w:tcPr>
          <w:p w14:paraId="7C2CD006">
            <w:pPr>
              <w:pStyle w:val="48"/>
              <w:rPr>
                <w:color w:val="auto"/>
              </w:rPr>
            </w:pPr>
          </w:p>
        </w:tc>
        <w:tc>
          <w:tcPr>
            <w:tcW w:w="2807" w:type="dxa"/>
            <w:tcBorders>
              <w:tl2br w:val="nil"/>
              <w:tr2bl w:val="nil"/>
            </w:tcBorders>
            <w:vAlign w:val="center"/>
          </w:tcPr>
          <w:p w14:paraId="6C5DE9BE">
            <w:pPr>
              <w:pStyle w:val="48"/>
              <w:rPr>
                <w:color w:val="auto"/>
              </w:rPr>
            </w:pPr>
          </w:p>
        </w:tc>
        <w:tc>
          <w:tcPr>
            <w:tcW w:w="1243" w:type="dxa"/>
            <w:tcBorders>
              <w:tl2br w:val="nil"/>
              <w:tr2bl w:val="nil"/>
            </w:tcBorders>
            <w:vAlign w:val="center"/>
          </w:tcPr>
          <w:p w14:paraId="7BB22E60">
            <w:pPr>
              <w:pStyle w:val="48"/>
              <w:rPr>
                <w:color w:val="auto"/>
              </w:rPr>
            </w:pPr>
          </w:p>
        </w:tc>
      </w:tr>
      <w:tr w14:paraId="0C58B6B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725" w:type="dxa"/>
            <w:tcBorders>
              <w:tl2br w:val="nil"/>
              <w:tr2bl w:val="nil"/>
            </w:tcBorders>
            <w:vAlign w:val="center"/>
          </w:tcPr>
          <w:p w14:paraId="72915EB5">
            <w:pPr>
              <w:pStyle w:val="48"/>
              <w:rPr>
                <w:color w:val="auto"/>
              </w:rPr>
            </w:pPr>
            <w:r>
              <w:rPr>
                <w:rFonts w:hint="eastAsia"/>
                <w:color w:val="auto"/>
              </w:rPr>
              <w:t>4</w:t>
            </w:r>
          </w:p>
        </w:tc>
        <w:tc>
          <w:tcPr>
            <w:tcW w:w="1916" w:type="dxa"/>
            <w:tcBorders>
              <w:tl2br w:val="nil"/>
              <w:tr2bl w:val="nil"/>
            </w:tcBorders>
            <w:vAlign w:val="center"/>
          </w:tcPr>
          <w:p w14:paraId="6FC9414E">
            <w:pPr>
              <w:pStyle w:val="48"/>
              <w:rPr>
                <w:color w:val="auto"/>
              </w:rPr>
            </w:pPr>
          </w:p>
        </w:tc>
        <w:tc>
          <w:tcPr>
            <w:tcW w:w="3302" w:type="dxa"/>
            <w:tcBorders>
              <w:tl2br w:val="nil"/>
              <w:tr2bl w:val="nil"/>
            </w:tcBorders>
            <w:vAlign w:val="center"/>
          </w:tcPr>
          <w:p w14:paraId="6E1D7000">
            <w:pPr>
              <w:pStyle w:val="48"/>
              <w:rPr>
                <w:color w:val="auto"/>
              </w:rPr>
            </w:pPr>
          </w:p>
        </w:tc>
        <w:tc>
          <w:tcPr>
            <w:tcW w:w="2807" w:type="dxa"/>
            <w:tcBorders>
              <w:tl2br w:val="nil"/>
              <w:tr2bl w:val="nil"/>
            </w:tcBorders>
            <w:vAlign w:val="center"/>
          </w:tcPr>
          <w:p w14:paraId="239699C4">
            <w:pPr>
              <w:pStyle w:val="48"/>
              <w:rPr>
                <w:color w:val="auto"/>
              </w:rPr>
            </w:pPr>
          </w:p>
        </w:tc>
        <w:tc>
          <w:tcPr>
            <w:tcW w:w="1243" w:type="dxa"/>
            <w:tcBorders>
              <w:tl2br w:val="nil"/>
              <w:tr2bl w:val="nil"/>
            </w:tcBorders>
            <w:vAlign w:val="center"/>
          </w:tcPr>
          <w:p w14:paraId="67314D96">
            <w:pPr>
              <w:pStyle w:val="48"/>
              <w:rPr>
                <w:color w:val="auto"/>
              </w:rPr>
            </w:pPr>
          </w:p>
        </w:tc>
      </w:tr>
    </w:tbl>
    <w:p w14:paraId="6137F3E9">
      <w:pPr>
        <w:pStyle w:val="45"/>
        <w:spacing w:before="156"/>
        <w:ind w:firstLine="480"/>
        <w:rPr>
          <w:color w:val="auto"/>
        </w:rPr>
      </w:pPr>
      <w:r>
        <w:rPr>
          <w:rFonts w:hint="eastAsia"/>
          <w:color w:val="auto"/>
        </w:rPr>
        <w:t>注：</w:t>
      </w:r>
    </w:p>
    <w:p w14:paraId="652D5D9D">
      <w:pPr>
        <w:pStyle w:val="45"/>
        <w:spacing w:before="156"/>
        <w:ind w:firstLine="480"/>
        <w:rPr>
          <w:color w:val="auto"/>
        </w:rPr>
      </w:pPr>
      <w:r>
        <w:rPr>
          <w:color w:val="auto"/>
        </w:rPr>
        <w:t>1．</w:t>
      </w:r>
      <w:r>
        <w:rPr>
          <w:rFonts w:hint="eastAsia"/>
          <w:color w:val="auto"/>
          <w:lang w:eastAsia="zh-CN"/>
        </w:rPr>
        <w:t>供应商</w:t>
      </w:r>
      <w:r>
        <w:rPr>
          <w:rFonts w:hint="eastAsia"/>
          <w:color w:val="auto"/>
        </w:rPr>
        <w:t>应把</w:t>
      </w:r>
      <w:r>
        <w:rPr>
          <w:rFonts w:hint="eastAsia"/>
          <w:color w:val="auto"/>
          <w:lang w:val="en-US" w:eastAsia="zh-CN"/>
        </w:rPr>
        <w:t>谈判</w:t>
      </w:r>
      <w:r>
        <w:rPr>
          <w:rFonts w:hint="eastAsia"/>
          <w:color w:val="auto"/>
        </w:rPr>
        <w:t>文件第三章项目需求中技术要求列入此表，按顺序逐项对照填写。</w:t>
      </w:r>
    </w:p>
    <w:p w14:paraId="5797FA99">
      <w:pPr>
        <w:pStyle w:val="45"/>
        <w:spacing w:before="156"/>
        <w:ind w:firstLine="480"/>
        <w:rPr>
          <w:color w:val="auto"/>
        </w:rPr>
      </w:pPr>
      <w:r>
        <w:rPr>
          <w:color w:val="auto"/>
        </w:rPr>
        <w:t>2．</w:t>
      </w:r>
      <w:r>
        <w:rPr>
          <w:rFonts w:hint="eastAsia"/>
          <w:color w:val="auto"/>
          <w:lang w:eastAsia="zh-CN"/>
        </w:rPr>
        <w:t>供应商</w:t>
      </w:r>
      <w:r>
        <w:rPr>
          <w:rFonts w:hint="eastAsia"/>
          <w:color w:val="auto"/>
        </w:rPr>
        <w:t>必须据实填写，不得虚假填写，否则将取消其报价或成交资格。</w:t>
      </w:r>
    </w:p>
    <w:p w14:paraId="358A90A1">
      <w:pPr>
        <w:pStyle w:val="45"/>
        <w:spacing w:before="156"/>
        <w:ind w:firstLine="482"/>
        <w:rPr>
          <w:b/>
          <w:bCs/>
          <w:color w:val="auto"/>
        </w:rPr>
      </w:pPr>
    </w:p>
    <w:tbl>
      <w:tblPr>
        <w:tblStyle w:val="36"/>
        <w:tblpPr w:leftFromText="180" w:rightFromText="180" w:vertAnchor="text" w:horzAnchor="page" w:tblpX="1429" w:tblpY="58"/>
        <w:tblOverlap w:val="never"/>
        <w:tblW w:w="91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7"/>
        <w:gridCol w:w="1672"/>
        <w:gridCol w:w="1157"/>
        <w:gridCol w:w="2480"/>
      </w:tblGrid>
      <w:tr w14:paraId="60C4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trPr>
        <w:tc>
          <w:tcPr>
            <w:tcW w:w="3797" w:type="dxa"/>
            <w:tcBorders>
              <w:top w:val="nil"/>
              <w:left w:val="nil"/>
              <w:bottom w:val="nil"/>
              <w:right w:val="nil"/>
            </w:tcBorders>
            <w:vAlign w:val="center"/>
          </w:tcPr>
          <w:p w14:paraId="47CA25C8">
            <w:pPr>
              <w:pStyle w:val="45"/>
              <w:spacing w:before="156" w:line="240" w:lineRule="auto"/>
              <w:ind w:firstLine="0" w:firstLineChars="0"/>
              <w:jc w:val="distribute"/>
              <w:rPr>
                <w:bCs/>
                <w:color w:val="auto"/>
              </w:rPr>
            </w:pPr>
            <w:r>
              <w:rPr>
                <w:rFonts w:hint="eastAsia"/>
                <w:bCs/>
                <w:color w:val="auto"/>
                <w:lang w:eastAsia="zh-CN"/>
              </w:rPr>
              <w:t>供应商</w:t>
            </w:r>
            <w:r>
              <w:rPr>
                <w:rFonts w:hint="eastAsia"/>
                <w:bCs/>
                <w:color w:val="auto"/>
              </w:rPr>
              <w:t>名称（加盖公章）：</w:t>
            </w:r>
          </w:p>
        </w:tc>
        <w:tc>
          <w:tcPr>
            <w:tcW w:w="5309" w:type="dxa"/>
            <w:gridSpan w:val="3"/>
            <w:tcBorders>
              <w:top w:val="nil"/>
              <w:left w:val="nil"/>
              <w:bottom w:val="nil"/>
              <w:right w:val="nil"/>
            </w:tcBorders>
            <w:vAlign w:val="center"/>
          </w:tcPr>
          <w:p w14:paraId="5AC9762C">
            <w:pPr>
              <w:pStyle w:val="45"/>
              <w:spacing w:before="156" w:line="540" w:lineRule="exact"/>
              <w:ind w:firstLine="480"/>
              <w:jc w:val="center"/>
              <w:rPr>
                <w:color w:val="auto"/>
              </w:rPr>
            </w:pPr>
          </w:p>
        </w:tc>
      </w:tr>
      <w:tr w14:paraId="6CC2D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7" w:type="dxa"/>
            <w:tcBorders>
              <w:top w:val="nil"/>
              <w:left w:val="nil"/>
              <w:bottom w:val="nil"/>
              <w:right w:val="nil"/>
            </w:tcBorders>
            <w:vAlign w:val="center"/>
          </w:tcPr>
          <w:p w14:paraId="328F20C8">
            <w:pPr>
              <w:pStyle w:val="45"/>
              <w:spacing w:before="156" w:line="540" w:lineRule="exact"/>
              <w:ind w:firstLine="0" w:firstLineChars="0"/>
              <w:rPr>
                <w:color w:val="auto"/>
              </w:rPr>
            </w:pPr>
          </w:p>
        </w:tc>
        <w:tc>
          <w:tcPr>
            <w:tcW w:w="1672" w:type="dxa"/>
            <w:tcBorders>
              <w:top w:val="nil"/>
              <w:left w:val="nil"/>
              <w:bottom w:val="nil"/>
              <w:right w:val="nil"/>
            </w:tcBorders>
            <w:vAlign w:val="center"/>
          </w:tcPr>
          <w:p w14:paraId="54095ADD">
            <w:pPr>
              <w:pStyle w:val="45"/>
              <w:spacing w:before="156" w:line="540" w:lineRule="exact"/>
              <w:ind w:firstLine="0" w:firstLineChars="0"/>
              <w:jc w:val="center"/>
              <w:rPr>
                <w:color w:val="auto"/>
              </w:rPr>
            </w:pPr>
          </w:p>
        </w:tc>
        <w:tc>
          <w:tcPr>
            <w:tcW w:w="1157" w:type="dxa"/>
            <w:tcBorders>
              <w:top w:val="nil"/>
              <w:left w:val="nil"/>
              <w:bottom w:val="nil"/>
              <w:right w:val="nil"/>
            </w:tcBorders>
            <w:vAlign w:val="center"/>
          </w:tcPr>
          <w:p w14:paraId="6198448A">
            <w:pPr>
              <w:pStyle w:val="45"/>
              <w:spacing w:before="156" w:line="240" w:lineRule="auto"/>
              <w:ind w:firstLine="0" w:firstLineChars="0"/>
              <w:jc w:val="distribute"/>
              <w:rPr>
                <w:color w:val="auto"/>
              </w:rPr>
            </w:pPr>
            <w:r>
              <w:rPr>
                <w:rFonts w:hint="eastAsia"/>
                <w:color w:val="auto"/>
              </w:rPr>
              <w:t>日  期：</w:t>
            </w:r>
          </w:p>
        </w:tc>
        <w:tc>
          <w:tcPr>
            <w:tcW w:w="2480" w:type="dxa"/>
            <w:tcBorders>
              <w:top w:val="nil"/>
              <w:left w:val="nil"/>
              <w:bottom w:val="nil"/>
              <w:right w:val="nil"/>
            </w:tcBorders>
            <w:vAlign w:val="center"/>
          </w:tcPr>
          <w:p w14:paraId="69E821EF">
            <w:pPr>
              <w:pStyle w:val="45"/>
              <w:spacing w:before="156" w:line="240" w:lineRule="auto"/>
              <w:ind w:firstLine="0" w:firstLineChars="0"/>
              <w:jc w:val="right"/>
              <w:rPr>
                <w:color w:val="auto"/>
              </w:rPr>
            </w:pPr>
            <w:r>
              <w:rPr>
                <w:rFonts w:hint="eastAsia"/>
                <w:color w:val="auto"/>
              </w:rPr>
              <w:t>年   月   日</w:t>
            </w:r>
          </w:p>
        </w:tc>
      </w:tr>
    </w:tbl>
    <w:p w14:paraId="00866767">
      <w:pPr>
        <w:adjustRightInd w:val="0"/>
        <w:snapToGrid w:val="0"/>
        <w:spacing w:line="360" w:lineRule="auto"/>
        <w:rPr>
          <w:rFonts w:ascii="宋体" w:cs="Times New Roman"/>
          <w:color w:val="auto"/>
          <w:szCs w:val="21"/>
        </w:rPr>
      </w:pPr>
    </w:p>
    <w:p w14:paraId="7BFF48D0">
      <w:pPr>
        <w:spacing w:after="120"/>
        <w:rPr>
          <w:rFonts w:ascii="宋体" w:cs="Times New Roman"/>
          <w:color w:val="auto"/>
          <w:kern w:val="0"/>
          <w:sz w:val="20"/>
          <w:szCs w:val="21"/>
        </w:rPr>
      </w:pPr>
    </w:p>
    <w:p w14:paraId="56002730">
      <w:pPr>
        <w:rPr>
          <w:color w:val="auto"/>
        </w:rPr>
      </w:pPr>
      <w:r>
        <w:rPr>
          <w:rFonts w:hint="eastAsia"/>
          <w:color w:val="auto"/>
        </w:rPr>
        <w:br w:type="page"/>
      </w:r>
    </w:p>
    <w:p w14:paraId="013206BE">
      <w:pPr>
        <w:numPr>
          <w:ilvl w:val="0"/>
          <w:numId w:val="0"/>
        </w:numPr>
        <w:ind w:left="0" w:leftChars="0" w:firstLine="420" w:firstLineChars="0"/>
        <w:jc w:val="center"/>
        <w:outlineLvl w:val="1"/>
      </w:pPr>
      <w:bookmarkStart w:id="97" w:name="_Toc8117"/>
      <w:r>
        <w:rPr>
          <w:rFonts w:hint="eastAsia" w:ascii="Arial" w:hAnsi="Arial" w:eastAsia="黑体" w:cs="Times New Roman"/>
          <w:b w:val="0"/>
          <w:color w:val="auto"/>
          <w:kern w:val="2"/>
          <w:sz w:val="30"/>
          <w:szCs w:val="24"/>
          <w:lang w:val="en-US" w:eastAsia="zh-CN" w:bidi="ar-SA"/>
        </w:rPr>
        <w:t>五、人员配置和管理方案</w:t>
      </w:r>
    </w:p>
    <w:p w14:paraId="164DBF8D">
      <w:pPr>
        <w:pStyle w:val="45"/>
        <w:spacing w:before="156"/>
        <w:ind w:firstLine="480"/>
        <w:jc w:val="center"/>
        <w:rPr>
          <w:color w:val="auto"/>
        </w:rPr>
      </w:pPr>
      <w:r>
        <w:rPr>
          <w:rFonts w:hint="eastAsia"/>
          <w:color w:val="auto"/>
        </w:rPr>
        <w:t>（</w:t>
      </w:r>
      <w:r>
        <w:rPr>
          <w:rFonts w:hint="eastAsia"/>
          <w:color w:val="auto"/>
          <w:lang w:eastAsia="zh-CN"/>
        </w:rPr>
        <w:t>供应商</w:t>
      </w:r>
      <w:r>
        <w:rPr>
          <w:rFonts w:hint="eastAsia"/>
          <w:color w:val="auto"/>
        </w:rPr>
        <w:t>可自行制作格式）</w:t>
      </w:r>
    </w:p>
    <w:p w14:paraId="3E0A8D2A">
      <w:pPr>
        <w:pStyle w:val="45"/>
        <w:spacing w:before="156"/>
        <w:ind w:left="0" w:leftChars="0" w:firstLine="0" w:firstLineChars="0"/>
        <w:jc w:val="both"/>
        <w:rPr>
          <w:color w:val="auto"/>
        </w:rPr>
      </w:pPr>
    </w:p>
    <w:p w14:paraId="5248B8AD">
      <w:pPr>
        <w:rPr>
          <w:color w:val="auto"/>
        </w:rPr>
      </w:pPr>
      <w:r>
        <w:rPr>
          <w:rFonts w:hint="eastAsia"/>
          <w:color w:val="auto"/>
        </w:rPr>
        <w:br w:type="page"/>
      </w:r>
    </w:p>
    <w:p w14:paraId="6182ADF2">
      <w:pPr>
        <w:numPr>
          <w:ilvl w:val="0"/>
          <w:numId w:val="0"/>
        </w:numPr>
        <w:jc w:val="center"/>
        <w:outlineLvl w:val="1"/>
        <w:rPr>
          <w:rFonts w:hint="eastAsia" w:ascii="Arial" w:hAnsi="Arial" w:eastAsia="黑体" w:cs="Times New Roman"/>
          <w:b w:val="0"/>
          <w:color w:val="auto"/>
          <w:kern w:val="2"/>
          <w:sz w:val="30"/>
          <w:szCs w:val="24"/>
          <w:lang w:val="zh-CN" w:eastAsia="zh-CN" w:bidi="ar-SA"/>
        </w:rPr>
      </w:pPr>
      <w:bookmarkStart w:id="98" w:name="_Toc23576"/>
      <w:r>
        <w:rPr>
          <w:rFonts w:hint="eastAsia" w:ascii="Arial" w:hAnsi="Arial" w:eastAsia="黑体" w:cs="Times New Roman"/>
          <w:b w:val="0"/>
          <w:color w:val="auto"/>
          <w:kern w:val="2"/>
          <w:sz w:val="30"/>
          <w:szCs w:val="24"/>
          <w:lang w:val="en-US" w:eastAsia="zh-CN" w:bidi="ar-SA"/>
        </w:rPr>
        <w:t>六、</w:t>
      </w:r>
      <w:r>
        <w:rPr>
          <w:rFonts w:hint="eastAsia" w:ascii="Arial" w:hAnsi="Arial" w:eastAsia="黑体" w:cs="Times New Roman"/>
          <w:b w:val="0"/>
          <w:color w:val="auto"/>
          <w:kern w:val="2"/>
          <w:sz w:val="30"/>
          <w:szCs w:val="24"/>
          <w:lang w:val="zh-CN" w:eastAsia="zh-CN" w:bidi="ar-SA"/>
        </w:rPr>
        <w:t>服务承诺及落实措施</w:t>
      </w:r>
    </w:p>
    <w:p w14:paraId="5771782F">
      <w:pPr>
        <w:numPr>
          <w:ilvl w:val="0"/>
          <w:numId w:val="0"/>
        </w:numPr>
        <w:jc w:val="center"/>
        <w:rPr>
          <w:rFonts w:hint="eastAsia" w:cs="Times New Roman"/>
          <w:color w:val="auto"/>
          <w:kern w:val="2"/>
          <w:sz w:val="30"/>
          <w:szCs w:val="24"/>
          <w:lang w:val="en-US" w:eastAsia="zh-CN" w:bidi="ar-SA"/>
        </w:rPr>
      </w:pPr>
      <w:r>
        <w:rPr>
          <w:rFonts w:hint="eastAsia"/>
          <w:color w:val="auto"/>
        </w:rPr>
        <w:t>（</w:t>
      </w:r>
      <w:r>
        <w:rPr>
          <w:rFonts w:hint="eastAsia"/>
          <w:color w:val="auto"/>
          <w:lang w:eastAsia="zh-CN"/>
        </w:rPr>
        <w:t>供应商</w:t>
      </w:r>
      <w:r>
        <w:rPr>
          <w:rFonts w:hint="eastAsia"/>
          <w:color w:val="auto"/>
        </w:rPr>
        <w:t>可自行制作格式）</w:t>
      </w:r>
    </w:p>
    <w:p w14:paraId="4F30AD95">
      <w:pPr>
        <w:pStyle w:val="42"/>
        <w:numPr>
          <w:ilvl w:val="0"/>
          <w:numId w:val="0"/>
        </w:numPr>
        <w:jc w:val="both"/>
        <w:outlineLvl w:val="9"/>
        <w:rPr>
          <w:rFonts w:hint="eastAsia"/>
          <w:lang w:val="en-US" w:eastAsia="zh-CN"/>
        </w:rPr>
      </w:pPr>
    </w:p>
    <w:p w14:paraId="12560DCF">
      <w:pPr>
        <w:rPr>
          <w:rFonts w:hint="eastAsia" w:cs="Times New Roman"/>
          <w:color w:val="auto"/>
          <w:kern w:val="2"/>
          <w:sz w:val="30"/>
          <w:szCs w:val="24"/>
          <w:lang w:val="en-US" w:eastAsia="zh-CN" w:bidi="ar-SA"/>
        </w:rPr>
      </w:pPr>
      <w:bookmarkStart w:id="99" w:name="_Toc4266"/>
      <w:r>
        <w:rPr>
          <w:rFonts w:hint="eastAsia" w:cs="Times New Roman"/>
          <w:color w:val="auto"/>
          <w:kern w:val="2"/>
          <w:sz w:val="30"/>
          <w:szCs w:val="24"/>
          <w:lang w:val="en-US" w:eastAsia="zh-CN" w:bidi="ar-SA"/>
        </w:rPr>
        <w:br w:type="page"/>
      </w:r>
    </w:p>
    <w:p w14:paraId="55E3B96F">
      <w:pPr>
        <w:pStyle w:val="4"/>
        <w:numPr>
          <w:ilvl w:val="0"/>
          <w:numId w:val="0"/>
        </w:numPr>
        <w:spacing w:before="156"/>
        <w:ind w:left="0" w:leftChars="0" w:firstLine="420" w:firstLineChars="0"/>
        <w:jc w:val="center"/>
        <w:rPr>
          <w:color w:val="auto"/>
        </w:rPr>
      </w:pPr>
      <w:r>
        <w:rPr>
          <w:rFonts w:hint="eastAsia" w:cs="Times New Roman"/>
          <w:color w:val="auto"/>
          <w:kern w:val="2"/>
          <w:sz w:val="30"/>
          <w:szCs w:val="24"/>
          <w:lang w:val="en-US" w:eastAsia="zh-CN" w:bidi="ar-SA"/>
        </w:rPr>
        <w:t>七、</w:t>
      </w:r>
      <w:r>
        <w:rPr>
          <w:rFonts w:hint="eastAsia"/>
          <w:color w:val="auto"/>
          <w:lang w:val="en-US" w:eastAsia="zh-CN"/>
        </w:rPr>
        <w:t>谈判</w:t>
      </w:r>
      <w:r>
        <w:rPr>
          <w:rFonts w:hint="eastAsia"/>
          <w:color w:val="auto"/>
        </w:rPr>
        <w:t>承诺书</w:t>
      </w:r>
      <w:bookmarkEnd w:id="98"/>
      <w:bookmarkEnd w:id="99"/>
    </w:p>
    <w:p w14:paraId="1F3E187E">
      <w:pPr>
        <w:pStyle w:val="45"/>
        <w:spacing w:before="156" w:line="400" w:lineRule="exact"/>
        <w:ind w:firstLine="480"/>
        <w:rPr>
          <w:color w:val="auto"/>
        </w:rPr>
      </w:pPr>
      <w:r>
        <w:rPr>
          <w:rFonts w:hint="eastAsia" w:eastAsia="宋体"/>
          <w:color w:val="auto"/>
          <w:lang w:val="en-US" w:eastAsia="zh-CN"/>
        </w:rPr>
        <w:t>张家界市公安局</w:t>
      </w:r>
      <w:r>
        <w:rPr>
          <w:rFonts w:hint="eastAsia"/>
          <w:color w:val="auto"/>
        </w:rPr>
        <w:t>：</w:t>
      </w:r>
    </w:p>
    <w:p w14:paraId="6222EC03">
      <w:pPr>
        <w:pStyle w:val="45"/>
        <w:spacing w:before="156" w:line="400" w:lineRule="exact"/>
        <w:ind w:firstLine="480"/>
        <w:rPr>
          <w:color w:val="auto"/>
        </w:rPr>
      </w:pPr>
      <w:r>
        <w:rPr>
          <w:rFonts w:hint="eastAsia"/>
          <w:color w:val="auto"/>
        </w:rPr>
        <w:t>本单位已详细阅读贵单位</w:t>
      </w:r>
      <w:r>
        <w:rPr>
          <w:rFonts w:hint="eastAsia"/>
          <w:color w:val="auto"/>
          <w:u w:val="single"/>
        </w:rPr>
        <w:t xml:space="preserve">                  </w:t>
      </w:r>
      <w:r>
        <w:rPr>
          <w:rFonts w:hint="eastAsia"/>
          <w:color w:val="auto"/>
        </w:rPr>
        <w:t>的</w:t>
      </w:r>
      <w:r>
        <w:rPr>
          <w:rFonts w:hint="eastAsia"/>
          <w:color w:val="auto"/>
          <w:lang w:val="en-US" w:eastAsia="zh-CN"/>
        </w:rPr>
        <w:t>谈判</w:t>
      </w:r>
      <w:r>
        <w:rPr>
          <w:rFonts w:hint="eastAsia"/>
          <w:color w:val="auto"/>
        </w:rPr>
        <w:t>文件，现就参加本项目</w:t>
      </w:r>
      <w:r>
        <w:rPr>
          <w:rFonts w:hint="eastAsia"/>
          <w:color w:val="auto"/>
          <w:lang w:val="en-US" w:eastAsia="zh-CN"/>
        </w:rPr>
        <w:t>谈判</w:t>
      </w:r>
      <w:r>
        <w:rPr>
          <w:rFonts w:hint="eastAsia"/>
          <w:color w:val="auto"/>
        </w:rPr>
        <w:t>有关事项郑重承诺如下：</w:t>
      </w:r>
    </w:p>
    <w:p w14:paraId="69BB7567">
      <w:pPr>
        <w:pStyle w:val="45"/>
        <w:spacing w:before="156" w:line="380" w:lineRule="exact"/>
        <w:ind w:firstLine="480"/>
        <w:outlineLvl w:val="9"/>
        <w:rPr>
          <w:color w:val="auto"/>
        </w:rPr>
      </w:pPr>
      <w:r>
        <w:rPr>
          <w:rFonts w:hint="eastAsia"/>
          <w:color w:val="auto"/>
        </w:rPr>
        <w:t>一、参与本项目</w:t>
      </w:r>
      <w:r>
        <w:rPr>
          <w:rFonts w:hint="eastAsia"/>
          <w:color w:val="auto"/>
          <w:lang w:val="en-US" w:eastAsia="zh-CN"/>
        </w:rPr>
        <w:t>谈判</w:t>
      </w:r>
      <w:r>
        <w:rPr>
          <w:rFonts w:hint="eastAsia"/>
          <w:color w:val="auto"/>
        </w:rPr>
        <w:t>活动系本公司自愿行为。</w:t>
      </w:r>
    </w:p>
    <w:p w14:paraId="2527B622">
      <w:pPr>
        <w:pStyle w:val="45"/>
        <w:spacing w:before="156" w:line="380" w:lineRule="exact"/>
        <w:ind w:firstLine="480"/>
        <w:rPr>
          <w:color w:val="auto"/>
        </w:rPr>
      </w:pPr>
      <w:r>
        <w:rPr>
          <w:rFonts w:hint="eastAsia"/>
          <w:color w:val="auto"/>
        </w:rPr>
        <w:t>二、遵守国家、省、市有关公共资源交易的法律、规章及规范性文件。</w:t>
      </w:r>
    </w:p>
    <w:p w14:paraId="75D12196">
      <w:pPr>
        <w:pStyle w:val="45"/>
        <w:spacing w:before="156" w:line="380" w:lineRule="exact"/>
        <w:ind w:firstLine="480"/>
        <w:rPr>
          <w:color w:val="auto"/>
        </w:rPr>
      </w:pPr>
      <w:r>
        <w:rPr>
          <w:rFonts w:hint="eastAsia"/>
          <w:color w:val="auto"/>
        </w:rPr>
        <w:t>三、遵守张家界市公共资源交易中心各项交易管理制度和交易现场纪律，服从现场工作人员管理，自觉维护张家界市公共资源交易平台秩序。</w:t>
      </w:r>
    </w:p>
    <w:p w14:paraId="6F596336">
      <w:pPr>
        <w:pStyle w:val="45"/>
        <w:spacing w:before="156" w:line="380" w:lineRule="exact"/>
        <w:ind w:firstLine="480"/>
        <w:rPr>
          <w:color w:val="auto"/>
        </w:rPr>
      </w:pPr>
      <w:r>
        <w:rPr>
          <w:rFonts w:hint="eastAsia"/>
          <w:color w:val="auto"/>
        </w:rPr>
        <w:t>四、响应文件内容及资料无弄虚作假。</w:t>
      </w:r>
    </w:p>
    <w:p w14:paraId="4E7FB43C">
      <w:pPr>
        <w:pStyle w:val="45"/>
        <w:spacing w:before="156" w:line="380" w:lineRule="exact"/>
        <w:ind w:firstLine="480"/>
        <w:rPr>
          <w:color w:val="auto"/>
        </w:rPr>
      </w:pPr>
      <w:r>
        <w:rPr>
          <w:rFonts w:hint="eastAsia"/>
          <w:color w:val="auto"/>
        </w:rPr>
        <w:t>五、保证没有组织、参与围标、串标行为。</w:t>
      </w:r>
    </w:p>
    <w:p w14:paraId="66D6F47F">
      <w:pPr>
        <w:pStyle w:val="45"/>
        <w:spacing w:before="156" w:line="380" w:lineRule="exact"/>
        <w:ind w:firstLine="480"/>
        <w:rPr>
          <w:color w:val="auto"/>
        </w:rPr>
      </w:pPr>
      <w:r>
        <w:rPr>
          <w:rFonts w:hint="eastAsia"/>
          <w:color w:val="auto"/>
        </w:rPr>
        <w:t>六、不与</w:t>
      </w:r>
      <w:r>
        <w:rPr>
          <w:rFonts w:hint="eastAsia"/>
          <w:color w:val="auto"/>
          <w:lang w:eastAsia="zh-CN"/>
        </w:rPr>
        <w:t>采购人</w:t>
      </w:r>
      <w:r>
        <w:rPr>
          <w:rFonts w:hint="eastAsia"/>
          <w:color w:val="auto"/>
        </w:rPr>
        <w:t>或者评标委员会成员私下联络和串通以牟取成交；不以他人名义</w:t>
      </w:r>
      <w:r>
        <w:rPr>
          <w:rFonts w:hint="eastAsia"/>
          <w:color w:val="auto"/>
          <w:lang w:val="en-US" w:eastAsia="zh-CN"/>
        </w:rPr>
        <w:t>谈判</w:t>
      </w:r>
      <w:r>
        <w:rPr>
          <w:rFonts w:hint="eastAsia"/>
          <w:color w:val="auto"/>
        </w:rPr>
        <w:t>或者以其他方式弄虚作假骗取成交；不在</w:t>
      </w:r>
      <w:r>
        <w:rPr>
          <w:rFonts w:hint="eastAsia"/>
          <w:color w:val="auto"/>
          <w:lang w:val="en-US" w:eastAsia="zh-CN"/>
        </w:rPr>
        <w:t>谈判</w:t>
      </w:r>
      <w:r>
        <w:rPr>
          <w:rFonts w:hint="eastAsia"/>
          <w:color w:val="auto"/>
        </w:rPr>
        <w:t>后进行虚假、恶意质疑和投诉。</w:t>
      </w:r>
    </w:p>
    <w:p w14:paraId="2D6A8A9D">
      <w:pPr>
        <w:pStyle w:val="45"/>
        <w:spacing w:before="156" w:line="380" w:lineRule="exact"/>
        <w:ind w:firstLine="480"/>
        <w:rPr>
          <w:color w:val="auto"/>
        </w:rPr>
      </w:pPr>
      <w:r>
        <w:rPr>
          <w:rFonts w:hint="eastAsia"/>
          <w:color w:val="auto"/>
        </w:rPr>
        <w:t>七、自觉接受监督，承诺所投</w:t>
      </w:r>
      <w:r>
        <w:rPr>
          <w:rFonts w:hint="eastAsia"/>
          <w:color w:val="auto"/>
          <w:lang w:val="en-US" w:eastAsia="zh-CN"/>
        </w:rPr>
        <w:t>货物或服务</w:t>
      </w:r>
      <w:r>
        <w:rPr>
          <w:rFonts w:hint="eastAsia"/>
          <w:color w:val="auto"/>
        </w:rPr>
        <w:t>是真实响应，满足</w:t>
      </w:r>
      <w:r>
        <w:rPr>
          <w:rFonts w:hint="eastAsia"/>
          <w:color w:val="auto"/>
          <w:lang w:val="en-US" w:eastAsia="zh-CN"/>
        </w:rPr>
        <w:t>谈判</w:t>
      </w:r>
      <w:r>
        <w:rPr>
          <w:rFonts w:hint="eastAsia"/>
          <w:color w:val="auto"/>
        </w:rPr>
        <w:t>文件中对产品技术参数功能要求，不存在“以次充好、虚假应标”等违规行为，如有不诚信的行为，做无效响应处理。</w:t>
      </w:r>
      <w:r>
        <w:rPr>
          <w:rFonts w:hint="eastAsia"/>
          <w:color w:val="auto"/>
          <w:lang w:eastAsia="zh-CN"/>
        </w:rPr>
        <w:t>采购人</w:t>
      </w:r>
      <w:r>
        <w:rPr>
          <w:rFonts w:hint="eastAsia"/>
          <w:color w:val="auto"/>
        </w:rPr>
        <w:t>会将</w:t>
      </w:r>
      <w:r>
        <w:rPr>
          <w:rFonts w:hint="eastAsia"/>
          <w:color w:val="auto"/>
          <w:lang w:eastAsia="zh-CN"/>
        </w:rPr>
        <w:t>供应商</w:t>
      </w:r>
      <w:r>
        <w:rPr>
          <w:rFonts w:hint="eastAsia"/>
          <w:color w:val="auto"/>
        </w:rPr>
        <w:t>的虚假响应行为报相关职能部门依法依规处理。</w:t>
      </w:r>
    </w:p>
    <w:p w14:paraId="61F1FEF1">
      <w:pPr>
        <w:pStyle w:val="45"/>
        <w:spacing w:before="156" w:line="380" w:lineRule="exact"/>
        <w:ind w:firstLine="480"/>
        <w:rPr>
          <w:color w:val="auto"/>
        </w:rPr>
      </w:pPr>
      <w:r>
        <w:rPr>
          <w:rFonts w:hint="eastAsia"/>
          <w:color w:val="auto"/>
        </w:rPr>
        <w:t>八、理性</w:t>
      </w:r>
      <w:r>
        <w:rPr>
          <w:rFonts w:hint="eastAsia"/>
          <w:color w:val="auto"/>
          <w:lang w:val="en-US" w:eastAsia="zh-CN"/>
        </w:rPr>
        <w:t>报价</w:t>
      </w:r>
      <w:r>
        <w:rPr>
          <w:rFonts w:hint="eastAsia"/>
          <w:color w:val="auto"/>
        </w:rPr>
        <w:t>，保证最终报价不低于成本价。若成交，将按照</w:t>
      </w:r>
      <w:r>
        <w:rPr>
          <w:rFonts w:hint="eastAsia"/>
          <w:color w:val="auto"/>
          <w:lang w:val="en-US" w:eastAsia="zh-CN"/>
        </w:rPr>
        <w:t>谈判</w:t>
      </w:r>
      <w:r>
        <w:rPr>
          <w:rFonts w:hint="eastAsia"/>
          <w:color w:val="auto"/>
        </w:rPr>
        <w:t>文件规定及时向</w:t>
      </w:r>
      <w:r>
        <w:rPr>
          <w:rFonts w:hint="eastAsia"/>
          <w:color w:val="auto"/>
          <w:lang w:eastAsia="zh-CN"/>
        </w:rPr>
        <w:t>采购人</w:t>
      </w:r>
      <w:r>
        <w:rPr>
          <w:rFonts w:hint="eastAsia"/>
          <w:color w:val="auto"/>
        </w:rPr>
        <w:t>提交</w:t>
      </w:r>
      <w:r>
        <w:rPr>
          <w:rFonts w:hint="eastAsia"/>
          <w:color w:val="auto"/>
          <w:lang w:eastAsia="zh-CN"/>
        </w:rPr>
        <w:t>履约保证金</w:t>
      </w:r>
      <w:r>
        <w:rPr>
          <w:rFonts w:hint="eastAsia"/>
          <w:color w:val="auto"/>
        </w:rPr>
        <w:t>并与</w:t>
      </w:r>
      <w:r>
        <w:rPr>
          <w:rFonts w:hint="eastAsia"/>
          <w:color w:val="auto"/>
          <w:lang w:eastAsia="zh-CN"/>
        </w:rPr>
        <w:t>采购人</w:t>
      </w:r>
      <w:r>
        <w:rPr>
          <w:rFonts w:hint="eastAsia"/>
          <w:color w:val="auto"/>
        </w:rPr>
        <w:t>签订合同；若在规定的时间内不提交</w:t>
      </w:r>
      <w:r>
        <w:rPr>
          <w:rFonts w:hint="eastAsia"/>
          <w:color w:val="auto"/>
          <w:lang w:eastAsia="zh-CN"/>
        </w:rPr>
        <w:t>履约保证金</w:t>
      </w:r>
      <w:r>
        <w:rPr>
          <w:rFonts w:hint="eastAsia"/>
          <w:color w:val="auto"/>
        </w:rPr>
        <w:t>或不签订合同的，</w:t>
      </w:r>
      <w:r>
        <w:rPr>
          <w:rFonts w:hint="eastAsia"/>
          <w:color w:val="auto"/>
          <w:lang w:eastAsia="zh-CN"/>
        </w:rPr>
        <w:t>采购人</w:t>
      </w:r>
      <w:r>
        <w:rPr>
          <w:rFonts w:hint="eastAsia"/>
          <w:color w:val="auto"/>
        </w:rPr>
        <w:t>可没收我方的</w:t>
      </w:r>
      <w:r>
        <w:rPr>
          <w:rFonts w:hint="eastAsia"/>
          <w:color w:val="auto"/>
          <w:lang w:val="en-US" w:eastAsia="zh-CN"/>
        </w:rPr>
        <w:t>投标</w:t>
      </w:r>
      <w:r>
        <w:rPr>
          <w:rFonts w:hint="eastAsia"/>
          <w:color w:val="auto"/>
        </w:rPr>
        <w:t>保证金和</w:t>
      </w:r>
      <w:r>
        <w:rPr>
          <w:rFonts w:hint="eastAsia"/>
          <w:color w:val="auto"/>
          <w:lang w:eastAsia="zh-CN"/>
        </w:rPr>
        <w:t>履约保证金</w:t>
      </w:r>
      <w:r>
        <w:rPr>
          <w:rFonts w:hint="eastAsia"/>
          <w:color w:val="auto"/>
        </w:rPr>
        <w:t>，并可重新确定其他符合规定的</w:t>
      </w:r>
      <w:r>
        <w:rPr>
          <w:rFonts w:hint="eastAsia"/>
          <w:color w:val="auto"/>
          <w:lang w:eastAsia="zh-CN"/>
        </w:rPr>
        <w:t>供应商</w:t>
      </w:r>
      <w:r>
        <w:rPr>
          <w:rFonts w:hint="eastAsia"/>
          <w:color w:val="auto"/>
        </w:rPr>
        <w:t>或重新组织</w:t>
      </w:r>
      <w:r>
        <w:rPr>
          <w:rFonts w:hint="eastAsia"/>
          <w:color w:val="auto"/>
          <w:lang w:val="en-US" w:eastAsia="zh-CN"/>
        </w:rPr>
        <w:t>谈判</w:t>
      </w:r>
      <w:r>
        <w:rPr>
          <w:rFonts w:hint="eastAsia"/>
          <w:color w:val="auto"/>
        </w:rPr>
        <w:t>活动；双方签订合同后，我方严格履行合同条款内容，按时保质保量完成项目建设，不向</w:t>
      </w:r>
      <w:r>
        <w:rPr>
          <w:rFonts w:hint="eastAsia"/>
          <w:color w:val="auto"/>
          <w:lang w:eastAsia="zh-CN"/>
        </w:rPr>
        <w:t>采购人</w:t>
      </w:r>
      <w:r>
        <w:rPr>
          <w:rFonts w:hint="eastAsia"/>
          <w:color w:val="auto"/>
        </w:rPr>
        <w:t>提出加价或降低建设标准、减少建设项目数量等无理和违约要求。</w:t>
      </w:r>
    </w:p>
    <w:p w14:paraId="549240DE">
      <w:pPr>
        <w:pStyle w:val="45"/>
        <w:spacing w:before="156" w:line="380" w:lineRule="exact"/>
        <w:ind w:firstLine="480"/>
        <w:rPr>
          <w:color w:val="auto"/>
        </w:rPr>
      </w:pPr>
      <w:r>
        <w:rPr>
          <w:rFonts w:hint="eastAsia"/>
          <w:color w:val="auto"/>
        </w:rPr>
        <w:t>九、如有违反本承诺书内容的行为，愿意承担由此产生的法律责任及后果。</w:t>
      </w:r>
    </w:p>
    <w:p w14:paraId="4A4E7F94">
      <w:pPr>
        <w:pStyle w:val="45"/>
        <w:spacing w:before="156" w:line="400" w:lineRule="exact"/>
        <w:ind w:firstLine="480"/>
        <w:rPr>
          <w:color w:val="auto"/>
        </w:rPr>
      </w:pPr>
      <w:r>
        <w:rPr>
          <w:rFonts w:hint="eastAsia"/>
          <w:color w:val="auto"/>
          <w:lang w:eastAsia="zh-CN"/>
        </w:rPr>
        <w:t>供应商</w:t>
      </w:r>
      <w:r>
        <w:rPr>
          <w:rFonts w:hint="eastAsia"/>
          <w:color w:val="auto"/>
        </w:rPr>
        <w:t xml:space="preserve">名称：（公章）               </w:t>
      </w:r>
    </w:p>
    <w:p w14:paraId="33533F71">
      <w:pPr>
        <w:pStyle w:val="45"/>
        <w:spacing w:before="156" w:line="400" w:lineRule="exact"/>
        <w:ind w:firstLine="480"/>
        <w:rPr>
          <w:color w:val="auto"/>
        </w:rPr>
      </w:pPr>
      <w:r>
        <w:rPr>
          <w:rFonts w:hint="eastAsia"/>
          <w:color w:val="auto"/>
        </w:rPr>
        <w:t>法定代表人或其委托代理人：（签字必须为亲笔签名或盖印鉴）</w:t>
      </w:r>
    </w:p>
    <w:p w14:paraId="2A0535F6">
      <w:pPr>
        <w:pStyle w:val="45"/>
        <w:spacing w:before="156"/>
        <w:ind w:firstLine="480"/>
        <w:rPr>
          <w:color w:val="auto"/>
        </w:rPr>
      </w:pPr>
      <w:r>
        <w:rPr>
          <w:rFonts w:hint="eastAsia"/>
          <w:color w:val="auto"/>
        </w:rPr>
        <w:t>联系地址：　　　　　　　　　　　</w:t>
      </w:r>
    </w:p>
    <w:p w14:paraId="3AE89D7D">
      <w:pPr>
        <w:pStyle w:val="45"/>
        <w:spacing w:before="156"/>
        <w:ind w:firstLine="480"/>
        <w:rPr>
          <w:color w:val="auto"/>
        </w:rPr>
      </w:pPr>
      <w:r>
        <w:rPr>
          <w:rFonts w:hint="eastAsia"/>
          <w:color w:val="auto"/>
        </w:rPr>
        <w:t>联系人：　　　　　　　　　　　　电话：</w:t>
      </w:r>
    </w:p>
    <w:p w14:paraId="6E3C188E">
      <w:pPr>
        <w:pStyle w:val="45"/>
        <w:spacing w:before="156"/>
        <w:ind w:firstLine="480"/>
        <w:rPr>
          <w:color w:val="auto"/>
        </w:rPr>
      </w:pPr>
      <w:r>
        <w:rPr>
          <w:rFonts w:hint="eastAsia"/>
          <w:color w:val="auto"/>
        </w:rPr>
        <w:t>　　　　　　　　　　　　　　　                                年　  月　 日</w:t>
      </w:r>
    </w:p>
    <w:p w14:paraId="5A56E939">
      <w:pPr>
        <w:pStyle w:val="16"/>
        <w:rPr>
          <w:color w:val="auto"/>
        </w:rPr>
        <w:sectPr>
          <w:pgSz w:w="11906" w:h="16838"/>
          <w:pgMar w:top="1230" w:right="1003" w:bottom="1174" w:left="1003" w:header="850" w:footer="992" w:gutter="0"/>
          <w:pgBorders>
            <w:top w:val="none" w:sz="0" w:space="0"/>
            <w:left w:val="none" w:sz="0" w:space="0"/>
            <w:bottom w:val="none" w:sz="0" w:space="0"/>
            <w:right w:val="none" w:sz="0" w:space="0"/>
          </w:pgBorders>
          <w:pgNumType w:fmt="decimal"/>
          <w:cols w:space="0" w:num="1"/>
          <w:docGrid w:type="lines" w:linePitch="312" w:charSpace="0"/>
        </w:sectPr>
      </w:pPr>
      <w:r>
        <w:rPr>
          <w:rFonts w:hint="eastAsia"/>
          <w:color w:val="auto"/>
        </w:rPr>
        <w:t>注：此《</w:t>
      </w:r>
      <w:r>
        <w:rPr>
          <w:rFonts w:hint="eastAsia"/>
          <w:color w:val="auto"/>
          <w:lang w:val="en-US" w:eastAsia="zh-CN"/>
        </w:rPr>
        <w:t>谈判</w:t>
      </w:r>
      <w:r>
        <w:rPr>
          <w:rFonts w:hint="eastAsia"/>
          <w:color w:val="auto"/>
        </w:rPr>
        <w:t>承诺书》由</w:t>
      </w:r>
      <w:r>
        <w:rPr>
          <w:rFonts w:hint="eastAsia"/>
          <w:color w:val="auto"/>
          <w:lang w:eastAsia="zh-CN"/>
        </w:rPr>
        <w:t>供应商</w:t>
      </w:r>
      <w:r>
        <w:rPr>
          <w:rFonts w:hint="eastAsia"/>
          <w:color w:val="auto"/>
        </w:rPr>
        <w:t>的法定代表人亲笔签署或盖印鉴，并加盖单位公章，编入响应文件中，否则，视为无效响应。</w:t>
      </w:r>
    </w:p>
    <w:bookmarkEnd w:id="97"/>
    <w:p w14:paraId="155AC936">
      <w:pPr>
        <w:pStyle w:val="4"/>
        <w:numPr>
          <w:ilvl w:val="0"/>
          <w:numId w:val="0"/>
        </w:numPr>
        <w:spacing w:before="156"/>
        <w:ind w:left="0" w:leftChars="0" w:firstLine="0" w:firstLineChars="0"/>
        <w:jc w:val="center"/>
        <w:rPr>
          <w:rFonts w:hint="eastAsia" w:cs="Times New Roman"/>
          <w:color w:val="auto"/>
          <w:kern w:val="2"/>
          <w:sz w:val="30"/>
          <w:szCs w:val="24"/>
          <w:lang w:val="en-US" w:eastAsia="zh-CN" w:bidi="ar-SA"/>
        </w:rPr>
      </w:pPr>
      <w:bookmarkStart w:id="100" w:name="_Toc30037"/>
      <w:bookmarkStart w:id="101" w:name="_Toc22541"/>
      <w:bookmarkStart w:id="102" w:name="_Toc18235"/>
      <w:bookmarkStart w:id="103" w:name="_Toc21747"/>
      <w:bookmarkStart w:id="104" w:name="_Toc20977"/>
      <w:r>
        <w:rPr>
          <w:rFonts w:hint="eastAsia" w:cs="Times New Roman"/>
          <w:color w:val="auto"/>
          <w:kern w:val="2"/>
          <w:sz w:val="30"/>
          <w:szCs w:val="24"/>
          <w:lang w:val="en-US" w:eastAsia="zh-CN" w:bidi="ar-SA"/>
        </w:rPr>
        <w:t>八</w:t>
      </w:r>
      <w:r>
        <w:rPr>
          <w:rFonts w:hint="eastAsia" w:ascii="Arial" w:hAnsi="Arial" w:eastAsia="黑体" w:cs="Times New Roman"/>
          <w:color w:val="auto"/>
          <w:kern w:val="2"/>
          <w:sz w:val="30"/>
          <w:szCs w:val="24"/>
          <w:lang w:val="en-US" w:eastAsia="zh-CN" w:bidi="ar-SA"/>
        </w:rPr>
        <w:t>、</w:t>
      </w:r>
      <w:r>
        <w:rPr>
          <w:rFonts w:hint="eastAsia" w:cs="Times New Roman"/>
          <w:color w:val="auto"/>
          <w:kern w:val="2"/>
          <w:sz w:val="30"/>
          <w:szCs w:val="24"/>
          <w:lang w:val="en-US" w:eastAsia="zh-CN" w:bidi="ar-SA"/>
        </w:rPr>
        <w:t>投标保证金</w:t>
      </w:r>
      <w:bookmarkEnd w:id="100"/>
    </w:p>
    <w:p w14:paraId="55775E33">
      <w:pPr>
        <w:pStyle w:val="4"/>
        <w:numPr>
          <w:ilvl w:val="0"/>
          <w:numId w:val="0"/>
        </w:numPr>
        <w:spacing w:before="156"/>
        <w:ind w:left="0" w:leftChars="0" w:firstLine="0" w:firstLineChars="0"/>
        <w:jc w:val="center"/>
        <w:outlineLvl w:val="2"/>
        <w:rPr>
          <w:rFonts w:hint="eastAsia" w:cs="Times New Roman"/>
          <w:color w:val="auto"/>
          <w:kern w:val="2"/>
          <w:sz w:val="30"/>
          <w:szCs w:val="24"/>
          <w:lang w:val="en-US" w:eastAsia="zh-CN" w:bidi="ar-SA"/>
        </w:rPr>
      </w:pPr>
      <w:bookmarkStart w:id="105" w:name="_Toc4946"/>
      <w:r>
        <w:rPr>
          <w:rFonts w:hint="eastAsia" w:cs="Times New Roman"/>
          <w:color w:val="auto"/>
          <w:kern w:val="2"/>
          <w:sz w:val="30"/>
          <w:szCs w:val="24"/>
          <w:lang w:val="en-US" w:eastAsia="zh-CN" w:bidi="ar-SA"/>
        </w:rPr>
        <w:t>（如有）</w:t>
      </w:r>
      <w:bookmarkEnd w:id="105"/>
    </w:p>
    <w:p w14:paraId="225B6EFF">
      <w:pPr>
        <w:rPr>
          <w:rFonts w:hint="eastAsia" w:cs="Times New Roman"/>
          <w:color w:val="auto"/>
          <w:kern w:val="2"/>
          <w:sz w:val="30"/>
          <w:szCs w:val="24"/>
          <w:lang w:val="en-US" w:eastAsia="zh-CN" w:bidi="ar-SA"/>
        </w:rPr>
      </w:pPr>
      <w:r>
        <w:rPr>
          <w:rFonts w:hint="eastAsia" w:cs="Times New Roman"/>
          <w:color w:val="auto"/>
          <w:kern w:val="2"/>
          <w:sz w:val="30"/>
          <w:szCs w:val="24"/>
          <w:lang w:val="en-US" w:eastAsia="zh-CN" w:bidi="ar-SA"/>
        </w:rPr>
        <w:br w:type="page"/>
      </w:r>
    </w:p>
    <w:p w14:paraId="415A6543">
      <w:pPr>
        <w:pStyle w:val="4"/>
        <w:numPr>
          <w:ilvl w:val="0"/>
          <w:numId w:val="0"/>
        </w:numPr>
        <w:spacing w:before="156"/>
        <w:ind w:left="0" w:leftChars="0" w:firstLine="0" w:firstLineChars="0"/>
        <w:jc w:val="center"/>
        <w:rPr>
          <w:color w:val="auto"/>
        </w:rPr>
      </w:pPr>
      <w:bookmarkStart w:id="106" w:name="_Toc5774"/>
      <w:r>
        <w:rPr>
          <w:rFonts w:hint="eastAsia" w:cs="Times New Roman"/>
          <w:color w:val="auto"/>
          <w:kern w:val="2"/>
          <w:sz w:val="30"/>
          <w:szCs w:val="24"/>
          <w:lang w:val="en-US" w:eastAsia="zh-CN" w:bidi="ar-SA"/>
        </w:rPr>
        <w:t>九、</w:t>
      </w:r>
      <w:r>
        <w:rPr>
          <w:rFonts w:hint="eastAsia"/>
          <w:color w:val="auto"/>
        </w:rPr>
        <w:t>响应标的符合</w:t>
      </w:r>
      <w:r>
        <w:rPr>
          <w:rFonts w:hint="eastAsia"/>
          <w:color w:val="auto"/>
          <w:lang w:val="en-US" w:eastAsia="zh-CN"/>
        </w:rPr>
        <w:t>谈判</w:t>
      </w:r>
      <w:r>
        <w:rPr>
          <w:rFonts w:hint="eastAsia"/>
          <w:color w:val="auto"/>
        </w:rPr>
        <w:t>文件规定的证明文件</w:t>
      </w:r>
      <w:bookmarkEnd w:id="101"/>
      <w:bookmarkEnd w:id="102"/>
      <w:bookmarkEnd w:id="103"/>
      <w:bookmarkEnd w:id="104"/>
      <w:bookmarkEnd w:id="106"/>
    </w:p>
    <w:p w14:paraId="738A1055">
      <w:pPr>
        <w:adjustRightInd w:val="0"/>
        <w:snapToGrid w:val="0"/>
        <w:spacing w:line="360" w:lineRule="auto"/>
        <w:rPr>
          <w:rFonts w:ascii="宋体" w:cs="Times New Roman"/>
          <w:color w:val="auto"/>
          <w:szCs w:val="21"/>
        </w:rPr>
      </w:pPr>
    </w:p>
    <w:p w14:paraId="35E5C64E">
      <w:pPr>
        <w:adjustRightInd w:val="0"/>
        <w:snapToGrid w:val="0"/>
        <w:spacing w:line="360" w:lineRule="auto"/>
        <w:jc w:val="center"/>
        <w:rPr>
          <w:rFonts w:ascii="宋体" w:cs="Times New Roman"/>
          <w:color w:val="auto"/>
          <w:szCs w:val="21"/>
        </w:rPr>
      </w:pPr>
      <w:r>
        <w:rPr>
          <w:rFonts w:hint="eastAsia" w:ascii="宋体" w:cs="Times New Roman"/>
          <w:color w:val="auto"/>
          <w:szCs w:val="21"/>
        </w:rPr>
        <w:t>备注：提供第三章规定的证明材料复印件。</w:t>
      </w:r>
    </w:p>
    <w:p w14:paraId="67ACB269">
      <w:pPr>
        <w:adjustRightInd w:val="0"/>
        <w:snapToGrid w:val="0"/>
        <w:spacing w:line="360" w:lineRule="auto"/>
        <w:rPr>
          <w:rFonts w:ascii="宋体" w:cs="Times New Roman"/>
          <w:color w:val="auto"/>
          <w:szCs w:val="21"/>
        </w:rPr>
      </w:pPr>
      <w:r>
        <w:rPr>
          <w:rFonts w:hint="eastAsia" w:ascii="宋体" w:cs="Times New Roman"/>
          <w:color w:val="auto"/>
          <w:szCs w:val="21"/>
        </w:rPr>
        <w:br w:type="page"/>
      </w:r>
    </w:p>
    <w:p w14:paraId="53164666">
      <w:pPr>
        <w:pStyle w:val="4"/>
        <w:numPr>
          <w:ilvl w:val="0"/>
          <w:numId w:val="0"/>
        </w:numPr>
        <w:spacing w:before="156"/>
        <w:ind w:left="0" w:leftChars="0" w:firstLine="420" w:firstLineChars="0"/>
        <w:jc w:val="center"/>
        <w:rPr>
          <w:color w:val="auto"/>
        </w:rPr>
      </w:pPr>
      <w:bookmarkStart w:id="107" w:name="_Toc12328"/>
      <w:bookmarkStart w:id="108" w:name="_Toc5374"/>
      <w:bookmarkStart w:id="109" w:name="_Toc407"/>
      <w:bookmarkStart w:id="110" w:name="_Toc21324"/>
      <w:bookmarkStart w:id="111" w:name="_Toc29103"/>
      <w:r>
        <w:rPr>
          <w:rFonts w:hint="eastAsia" w:cs="Times New Roman"/>
          <w:color w:val="auto"/>
          <w:kern w:val="2"/>
          <w:sz w:val="30"/>
          <w:szCs w:val="24"/>
          <w:lang w:val="en-US" w:eastAsia="zh-CN" w:bidi="ar-SA"/>
        </w:rPr>
        <w:t>十</w:t>
      </w:r>
      <w:r>
        <w:rPr>
          <w:rFonts w:hint="eastAsia" w:ascii="Arial" w:hAnsi="Arial" w:eastAsia="黑体" w:cs="Times New Roman"/>
          <w:color w:val="auto"/>
          <w:kern w:val="2"/>
          <w:sz w:val="30"/>
          <w:szCs w:val="24"/>
          <w:lang w:val="en-US" w:eastAsia="zh-CN" w:bidi="ar-SA"/>
        </w:rPr>
        <w:t>、</w:t>
      </w:r>
      <w:r>
        <w:rPr>
          <w:rFonts w:hint="eastAsia"/>
          <w:color w:val="auto"/>
          <w:lang w:eastAsia="zh-CN"/>
        </w:rPr>
        <w:t>供应商</w:t>
      </w:r>
      <w:r>
        <w:rPr>
          <w:rFonts w:hint="eastAsia"/>
          <w:color w:val="auto"/>
        </w:rPr>
        <w:t>认为需提供的其他资料</w:t>
      </w:r>
      <w:bookmarkEnd w:id="107"/>
      <w:bookmarkEnd w:id="108"/>
      <w:bookmarkEnd w:id="109"/>
      <w:bookmarkEnd w:id="110"/>
      <w:bookmarkEnd w:id="111"/>
    </w:p>
    <w:p w14:paraId="27EB4E3A">
      <w:pPr>
        <w:adjustRightInd w:val="0"/>
        <w:snapToGrid w:val="0"/>
        <w:spacing w:before="156" w:beforeLines="50" w:line="360" w:lineRule="auto"/>
        <w:rPr>
          <w:rFonts w:ascii="宋体" w:cs="Times New Roman"/>
          <w:color w:val="auto"/>
        </w:rPr>
      </w:pPr>
    </w:p>
    <w:p w14:paraId="505ABC36">
      <w:pPr>
        <w:adjustRightInd w:val="0"/>
        <w:snapToGrid w:val="0"/>
        <w:spacing w:before="156" w:beforeLines="50" w:line="360" w:lineRule="auto"/>
        <w:ind w:firstLine="480" w:firstLineChars="200"/>
        <w:jc w:val="center"/>
        <w:rPr>
          <w:rFonts w:ascii="宋体" w:cs="Times New Roman"/>
          <w:color w:val="auto"/>
        </w:rPr>
      </w:pPr>
    </w:p>
    <w:p w14:paraId="79F11B0F">
      <w:pPr>
        <w:adjustRightInd w:val="0"/>
        <w:snapToGrid w:val="0"/>
        <w:spacing w:beforeLines="50"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备注：</w:t>
      </w:r>
      <w:r>
        <w:rPr>
          <w:rFonts w:hint="eastAsia" w:ascii="宋体" w:hAnsi="宋体" w:cs="宋体"/>
          <w:color w:val="000000" w:themeColor="text1"/>
          <w:sz w:val="24"/>
          <w:szCs w:val="24"/>
          <w:highlight w:val="none"/>
          <w:lang w:eastAsia="zh-CN"/>
          <w14:textFill>
            <w14:solidFill>
              <w14:schemeClr w14:val="tx1"/>
            </w14:solidFill>
          </w14:textFill>
        </w:rPr>
        <w:t>供应商</w:t>
      </w:r>
      <w:r>
        <w:rPr>
          <w:rFonts w:hint="eastAsia" w:ascii="宋体" w:hAnsi="宋体" w:eastAsia="宋体" w:cs="宋体"/>
          <w:color w:val="000000" w:themeColor="text1"/>
          <w:sz w:val="24"/>
          <w:szCs w:val="24"/>
          <w:highlight w:val="none"/>
          <w14:textFill>
            <w14:solidFill>
              <w14:schemeClr w14:val="tx1"/>
            </w14:solidFill>
          </w14:textFill>
        </w:rPr>
        <w:t>认为需提供的其他资料包括：</w:t>
      </w:r>
    </w:p>
    <w:p w14:paraId="6B7F2699">
      <w:pPr>
        <w:adjustRightInd w:val="0"/>
        <w:snapToGrid w:val="0"/>
        <w:spacing w:beforeLines="50" w:line="360" w:lineRule="auto"/>
        <w:ind w:firstLine="480" w:firstLineChars="200"/>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lang w:eastAsia="zh-CN"/>
          <w14:textFill>
            <w14:solidFill>
              <w14:schemeClr w14:val="tx1"/>
            </w14:solidFill>
          </w14:textFill>
        </w:rPr>
        <w:t>谈判文件</w:t>
      </w:r>
      <w:r>
        <w:rPr>
          <w:rFonts w:hint="eastAsia" w:ascii="宋体" w:hAnsi="宋体" w:eastAsia="宋体" w:cs="宋体"/>
          <w:color w:val="000000" w:themeColor="text1"/>
          <w:sz w:val="24"/>
          <w:szCs w:val="24"/>
          <w:highlight w:val="none"/>
          <w14:textFill>
            <w14:solidFill>
              <w14:schemeClr w14:val="tx1"/>
            </w14:solidFill>
          </w14:textFill>
        </w:rPr>
        <w:t>第</w:t>
      </w:r>
      <w:r>
        <w:rPr>
          <w:rFonts w:hint="eastAsia" w:ascii="宋体" w:hAnsi="宋体" w:eastAsia="宋体" w:cs="宋体"/>
          <w:color w:val="000000" w:themeColor="text1"/>
          <w:sz w:val="24"/>
          <w:szCs w:val="24"/>
          <w:highlight w:val="none"/>
          <w:lang w:eastAsia="zh-CN"/>
          <w14:textFill>
            <w14:solidFill>
              <w14:schemeClr w14:val="tx1"/>
            </w14:solidFill>
          </w14:textFill>
        </w:rPr>
        <w:t>三</w:t>
      </w:r>
      <w:r>
        <w:rPr>
          <w:rFonts w:hint="eastAsia" w:ascii="宋体" w:hAnsi="宋体" w:eastAsia="宋体" w:cs="宋体"/>
          <w:color w:val="000000" w:themeColor="text1"/>
          <w:sz w:val="24"/>
          <w:szCs w:val="24"/>
          <w:highlight w:val="none"/>
          <w14:textFill>
            <w14:solidFill>
              <w14:schemeClr w14:val="tx1"/>
            </w14:solidFill>
          </w14:textFill>
        </w:rPr>
        <w:t>章采购需求要求的其他资料</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4AE5E636">
      <w:pPr>
        <w:bidi w:val="0"/>
        <w:rPr>
          <w:rFonts w:ascii="Calibri" w:hAnsi="Calibri" w:eastAsia="宋体" w:cs="宋体"/>
          <w:kern w:val="2"/>
          <w:sz w:val="24"/>
          <w:szCs w:val="24"/>
          <w:lang w:val="en-US" w:eastAsia="zh-CN" w:bidi="ar-SA"/>
        </w:rPr>
      </w:pPr>
    </w:p>
    <w:p w14:paraId="7C3C5F1A">
      <w:pPr>
        <w:bidi w:val="0"/>
        <w:rPr>
          <w:lang w:val="en-US" w:eastAsia="zh-CN"/>
        </w:rPr>
      </w:pPr>
    </w:p>
    <w:p w14:paraId="3E665259">
      <w:pPr>
        <w:bidi w:val="0"/>
        <w:rPr>
          <w:lang w:val="en-US" w:eastAsia="zh-CN"/>
        </w:rPr>
      </w:pPr>
    </w:p>
    <w:p w14:paraId="4AA6EF9E">
      <w:pPr>
        <w:bidi w:val="0"/>
        <w:rPr>
          <w:lang w:val="en-US" w:eastAsia="zh-CN"/>
        </w:rPr>
      </w:pPr>
    </w:p>
    <w:p w14:paraId="5008386F">
      <w:pPr>
        <w:bidi w:val="0"/>
        <w:rPr>
          <w:lang w:val="en-US" w:eastAsia="zh-CN"/>
        </w:rPr>
      </w:pPr>
    </w:p>
    <w:p w14:paraId="45E9BA3B">
      <w:pPr>
        <w:bidi w:val="0"/>
        <w:rPr>
          <w:lang w:val="en-US" w:eastAsia="zh-CN"/>
        </w:rPr>
      </w:pPr>
    </w:p>
    <w:p w14:paraId="33D7148E">
      <w:pPr>
        <w:bidi w:val="0"/>
        <w:rPr>
          <w:lang w:val="en-US" w:eastAsia="zh-CN"/>
        </w:rPr>
      </w:pPr>
    </w:p>
    <w:p w14:paraId="309E4AD2">
      <w:pPr>
        <w:bidi w:val="0"/>
        <w:rPr>
          <w:lang w:val="en-US" w:eastAsia="zh-CN"/>
        </w:rPr>
      </w:pPr>
    </w:p>
    <w:p w14:paraId="20695559">
      <w:pPr>
        <w:bidi w:val="0"/>
        <w:rPr>
          <w:lang w:val="en-US" w:eastAsia="zh-CN"/>
        </w:rPr>
      </w:pPr>
    </w:p>
    <w:p w14:paraId="5F5582F2">
      <w:pPr>
        <w:bidi w:val="0"/>
        <w:rPr>
          <w:lang w:val="en-US" w:eastAsia="zh-CN"/>
        </w:rPr>
      </w:pPr>
    </w:p>
    <w:p w14:paraId="595F941E">
      <w:pPr>
        <w:bidi w:val="0"/>
        <w:rPr>
          <w:lang w:val="en-US" w:eastAsia="zh-CN"/>
        </w:rPr>
      </w:pPr>
    </w:p>
    <w:p w14:paraId="65C80720">
      <w:pPr>
        <w:bidi w:val="0"/>
        <w:rPr>
          <w:lang w:val="en-US" w:eastAsia="zh-CN"/>
        </w:rPr>
      </w:pPr>
    </w:p>
    <w:p w14:paraId="7E41A318">
      <w:pPr>
        <w:bidi w:val="0"/>
        <w:rPr>
          <w:lang w:val="en-US" w:eastAsia="zh-CN"/>
        </w:rPr>
      </w:pPr>
    </w:p>
    <w:p w14:paraId="46659936">
      <w:pPr>
        <w:bidi w:val="0"/>
        <w:rPr>
          <w:lang w:val="en-US" w:eastAsia="zh-CN"/>
        </w:rPr>
      </w:pPr>
    </w:p>
    <w:p w14:paraId="0017838A">
      <w:pPr>
        <w:bidi w:val="0"/>
        <w:rPr>
          <w:lang w:val="en-US" w:eastAsia="zh-CN"/>
        </w:rPr>
      </w:pPr>
    </w:p>
    <w:p w14:paraId="1064BA93">
      <w:pPr>
        <w:bidi w:val="0"/>
        <w:rPr>
          <w:lang w:val="en-US" w:eastAsia="zh-CN"/>
        </w:rPr>
      </w:pPr>
    </w:p>
    <w:p w14:paraId="297F8675">
      <w:pPr>
        <w:bidi w:val="0"/>
        <w:rPr>
          <w:lang w:val="en-US" w:eastAsia="zh-CN"/>
        </w:rPr>
      </w:pPr>
    </w:p>
    <w:p w14:paraId="59EF4BC5">
      <w:pPr>
        <w:bidi w:val="0"/>
        <w:rPr>
          <w:lang w:val="en-US" w:eastAsia="zh-CN"/>
        </w:rPr>
      </w:pPr>
    </w:p>
    <w:p w14:paraId="42D8026D">
      <w:pPr>
        <w:bidi w:val="0"/>
        <w:rPr>
          <w:lang w:val="en-US" w:eastAsia="zh-CN"/>
        </w:rPr>
      </w:pPr>
    </w:p>
    <w:p w14:paraId="644674B5">
      <w:pPr>
        <w:bidi w:val="0"/>
        <w:rPr>
          <w:lang w:val="en-US" w:eastAsia="zh-CN"/>
        </w:rPr>
      </w:pPr>
    </w:p>
    <w:p w14:paraId="49D9D955">
      <w:pPr>
        <w:bidi w:val="0"/>
        <w:rPr>
          <w:lang w:val="en-US" w:eastAsia="zh-CN"/>
        </w:rPr>
      </w:pPr>
    </w:p>
    <w:p w14:paraId="7DCB68EF">
      <w:pPr>
        <w:bidi w:val="0"/>
        <w:rPr>
          <w:lang w:val="en-US" w:eastAsia="zh-CN"/>
        </w:rPr>
      </w:pPr>
    </w:p>
    <w:p w14:paraId="30F3AD74">
      <w:pPr>
        <w:bidi w:val="0"/>
        <w:rPr>
          <w:lang w:val="en-US" w:eastAsia="zh-CN"/>
        </w:rPr>
      </w:pPr>
    </w:p>
    <w:p w14:paraId="10E276B7">
      <w:pPr>
        <w:bidi w:val="0"/>
        <w:rPr>
          <w:lang w:val="en-US" w:eastAsia="zh-CN"/>
        </w:rPr>
      </w:pPr>
    </w:p>
    <w:p w14:paraId="298919D1">
      <w:pPr>
        <w:pStyle w:val="4"/>
        <w:numPr>
          <w:ilvl w:val="0"/>
          <w:numId w:val="0"/>
        </w:numPr>
        <w:spacing w:before="156"/>
        <w:ind w:left="0" w:leftChars="0" w:firstLine="420" w:firstLineChars="0"/>
        <w:jc w:val="center"/>
        <w:rPr>
          <w:rFonts w:hint="eastAsia"/>
          <w:color w:val="auto"/>
          <w:lang w:val="en-US" w:eastAsia="zh-CN"/>
        </w:rPr>
      </w:pPr>
      <w:r>
        <w:rPr>
          <w:rFonts w:hint="eastAsia"/>
          <w:lang w:val="en-US" w:eastAsia="zh-CN"/>
        </w:rPr>
        <w:tab/>
      </w:r>
      <w:bookmarkStart w:id="112" w:name="_Toc31875"/>
      <w:r>
        <w:rPr>
          <w:rFonts w:hint="eastAsia" w:cs="Times New Roman"/>
          <w:color w:val="auto"/>
          <w:kern w:val="2"/>
          <w:sz w:val="30"/>
          <w:szCs w:val="24"/>
          <w:lang w:val="en-US" w:eastAsia="zh-CN" w:bidi="ar-SA"/>
        </w:rPr>
        <w:t>十一</w:t>
      </w:r>
      <w:r>
        <w:rPr>
          <w:rFonts w:hint="eastAsia" w:ascii="Arial" w:hAnsi="Arial" w:eastAsia="黑体" w:cs="Times New Roman"/>
          <w:color w:val="auto"/>
          <w:kern w:val="2"/>
          <w:sz w:val="30"/>
          <w:szCs w:val="24"/>
          <w:lang w:val="en-US" w:eastAsia="zh-CN" w:bidi="ar-SA"/>
        </w:rPr>
        <w:t>、</w:t>
      </w:r>
      <w:r>
        <w:rPr>
          <w:rFonts w:hint="eastAsia"/>
          <w:color w:val="auto"/>
          <w:lang w:val="en-US" w:eastAsia="zh-CN"/>
        </w:rPr>
        <w:t>送达方式确认函</w:t>
      </w:r>
      <w:bookmarkEnd w:id="112"/>
    </w:p>
    <w:p w14:paraId="76E09C55">
      <w:pPr>
        <w:pStyle w:val="45"/>
        <w:spacing w:before="156" w:line="380" w:lineRule="exact"/>
        <w:ind w:firstLine="480"/>
        <w:rPr>
          <w:rFonts w:hint="eastAsia" w:eastAsia="宋体"/>
          <w:color w:val="auto"/>
          <w:lang w:val="en-US" w:eastAsia="zh-CN"/>
        </w:rPr>
      </w:pPr>
      <w:r>
        <w:rPr>
          <w:rFonts w:hint="eastAsia" w:eastAsia="宋体"/>
          <w:color w:val="auto"/>
          <w:lang w:val="en-US" w:eastAsia="zh-CN"/>
        </w:rPr>
        <w:t>______________________（</w:t>
      </w:r>
      <w:r>
        <w:rPr>
          <w:rFonts w:hint="eastAsia"/>
          <w:color w:val="auto"/>
          <w:lang w:val="en-US" w:eastAsia="zh-CN"/>
        </w:rPr>
        <w:t>采购</w:t>
      </w:r>
      <w:r>
        <w:rPr>
          <w:rFonts w:hint="eastAsia" w:eastAsia="宋体"/>
          <w:color w:val="auto"/>
          <w:lang w:val="en-US" w:eastAsia="zh-CN"/>
        </w:rPr>
        <w:t xml:space="preserve">人名称）： </w:t>
      </w:r>
    </w:p>
    <w:p w14:paraId="163D24A1">
      <w:pPr>
        <w:pStyle w:val="45"/>
        <w:spacing w:before="156" w:line="380" w:lineRule="exact"/>
        <w:ind w:firstLine="480"/>
        <w:rPr>
          <w:rFonts w:hint="eastAsia" w:eastAsia="宋体"/>
          <w:color w:val="auto"/>
          <w:lang w:val="en-US" w:eastAsia="zh-CN"/>
        </w:rPr>
      </w:pPr>
      <w:r>
        <w:rPr>
          <w:rFonts w:hint="eastAsia" w:eastAsia="宋体"/>
          <w:color w:val="auto"/>
          <w:lang w:val="en-US" w:eastAsia="zh-CN"/>
        </w:rPr>
        <w:t>关于贵单位于202</w:t>
      </w:r>
      <w:r>
        <w:rPr>
          <w:rFonts w:hint="eastAsia"/>
          <w:color w:val="auto"/>
          <w:lang w:val="en-US" w:eastAsia="zh-CN"/>
        </w:rPr>
        <w:t>6</w:t>
      </w:r>
      <w:r>
        <w:rPr>
          <w:rFonts w:hint="eastAsia" w:eastAsia="宋体"/>
          <w:color w:val="auto"/>
          <w:lang w:val="en-US" w:eastAsia="zh-CN"/>
        </w:rPr>
        <w:t>年  月  日发布的</w:t>
      </w:r>
      <w:r>
        <w:rPr>
          <w:rFonts w:hint="eastAsia"/>
          <w:color w:val="auto"/>
          <w:lang w:val="en-US" w:eastAsia="zh-CN"/>
        </w:rPr>
        <w:t xml:space="preserve">  </w:t>
      </w:r>
      <w:r>
        <w:rPr>
          <w:rFonts w:hint="eastAsia" w:eastAsia="宋体"/>
          <w:color w:val="auto"/>
          <w:lang w:val="en-US" w:eastAsia="zh-CN"/>
        </w:rPr>
        <w:t>（项目名称），本公司愿意参加该项⽬的投标。若我公司中标后，中标通知书送达方式为 电话通知、现场领取、短信或微信、邮寄、电子邮箱方式，我公司均认可。</w:t>
      </w:r>
    </w:p>
    <w:p w14:paraId="6926F9DF">
      <w:pPr>
        <w:pStyle w:val="45"/>
        <w:spacing w:before="156" w:line="380" w:lineRule="exact"/>
        <w:ind w:firstLine="480"/>
        <w:rPr>
          <w:rFonts w:hint="eastAsia" w:eastAsia="宋体"/>
          <w:color w:val="auto"/>
          <w:lang w:val="en-US" w:eastAsia="zh-CN"/>
        </w:rPr>
      </w:pPr>
      <w:r>
        <w:rPr>
          <w:rFonts w:hint="eastAsia" w:eastAsia="宋体"/>
          <w:color w:val="auto"/>
          <w:lang w:val="en-US" w:eastAsia="zh-CN"/>
        </w:rPr>
        <w:t>单位名称：__________________</w:t>
      </w:r>
    </w:p>
    <w:p w14:paraId="5BA8AB60">
      <w:pPr>
        <w:pStyle w:val="45"/>
        <w:spacing w:before="156" w:line="380" w:lineRule="exact"/>
        <w:ind w:firstLine="480"/>
        <w:rPr>
          <w:rFonts w:hint="eastAsia" w:eastAsia="宋体"/>
          <w:color w:val="auto"/>
          <w:lang w:val="en-US" w:eastAsia="zh-CN"/>
        </w:rPr>
      </w:pPr>
      <w:r>
        <w:rPr>
          <w:rFonts w:hint="eastAsia" w:eastAsia="宋体"/>
          <w:color w:val="auto"/>
          <w:lang w:val="en-US" w:eastAsia="zh-CN"/>
        </w:rPr>
        <w:t>法⼈代表（签字或签章）：___________</w:t>
      </w:r>
    </w:p>
    <w:p w14:paraId="321DF0CA">
      <w:pPr>
        <w:pStyle w:val="45"/>
        <w:spacing w:before="156" w:line="380" w:lineRule="exact"/>
        <w:ind w:firstLine="480"/>
        <w:rPr>
          <w:rFonts w:hint="eastAsia" w:eastAsia="宋体"/>
          <w:color w:val="auto"/>
          <w:lang w:val="en-US" w:eastAsia="zh-CN"/>
        </w:rPr>
      </w:pPr>
      <w:r>
        <w:rPr>
          <w:rFonts w:hint="eastAsia" w:eastAsia="宋体"/>
          <w:color w:val="auto"/>
          <w:lang w:val="en-US" w:eastAsia="zh-CN"/>
        </w:rPr>
        <w:t xml:space="preserve">代表⼈（签字或签章）___________ </w:t>
      </w:r>
    </w:p>
    <w:p w14:paraId="2BBDCE7A">
      <w:pPr>
        <w:pStyle w:val="45"/>
        <w:spacing w:before="156" w:line="380" w:lineRule="exact"/>
        <w:ind w:firstLine="480"/>
        <w:rPr>
          <w:rFonts w:hint="eastAsia" w:eastAsia="宋体"/>
          <w:color w:val="auto"/>
          <w:lang w:val="en-US" w:eastAsia="zh-CN"/>
        </w:rPr>
      </w:pPr>
      <w:r>
        <w:rPr>
          <w:rFonts w:hint="eastAsia" w:eastAsia="宋体"/>
          <w:color w:val="auto"/>
          <w:lang w:val="en-US" w:eastAsia="zh-CN"/>
        </w:rPr>
        <w:t>单位地址：______________</w:t>
      </w:r>
    </w:p>
    <w:p w14:paraId="58DF0FE0">
      <w:pPr>
        <w:pStyle w:val="45"/>
        <w:spacing w:before="156" w:line="380" w:lineRule="exact"/>
        <w:ind w:firstLine="480"/>
        <w:rPr>
          <w:rFonts w:hint="eastAsia" w:eastAsia="宋体"/>
          <w:color w:val="auto"/>
          <w:lang w:val="en-US" w:eastAsia="zh-CN"/>
        </w:rPr>
      </w:pPr>
      <w:r>
        <w:rPr>
          <w:rFonts w:hint="eastAsia" w:eastAsia="宋体"/>
          <w:color w:val="auto"/>
          <w:lang w:val="en-US" w:eastAsia="zh-CN"/>
        </w:rPr>
        <w:t>电话：___________</w:t>
      </w:r>
    </w:p>
    <w:p w14:paraId="092E8BEA">
      <w:pPr>
        <w:pStyle w:val="45"/>
        <w:spacing w:before="156" w:line="380" w:lineRule="exact"/>
        <w:ind w:firstLine="480"/>
        <w:rPr>
          <w:rFonts w:hint="eastAsia" w:eastAsia="宋体"/>
          <w:color w:val="auto"/>
          <w:lang w:val="en-US" w:eastAsia="zh-CN"/>
        </w:rPr>
      </w:pPr>
      <w:r>
        <w:rPr>
          <w:rFonts w:hint="eastAsia" w:eastAsia="宋体"/>
          <w:color w:val="auto"/>
          <w:lang w:val="en-US" w:eastAsia="zh-CN"/>
        </w:rPr>
        <w:t xml:space="preserve">邮箱：___________ </w:t>
      </w:r>
    </w:p>
    <w:p w14:paraId="0034A9C3">
      <w:pPr>
        <w:pStyle w:val="45"/>
        <w:spacing w:before="156" w:line="380" w:lineRule="exact"/>
        <w:ind w:firstLine="480"/>
        <w:rPr>
          <w:rFonts w:hint="eastAsia" w:eastAsia="宋体"/>
          <w:color w:val="auto"/>
          <w:lang w:val="en-US" w:eastAsia="zh-CN"/>
        </w:rPr>
      </w:pPr>
      <w:r>
        <w:rPr>
          <w:rFonts w:hint="eastAsia" w:eastAsia="宋体"/>
          <w:color w:val="auto"/>
          <w:lang w:val="en-US" w:eastAsia="zh-CN"/>
        </w:rPr>
        <w:t xml:space="preserve">邮编：___________ </w:t>
      </w:r>
    </w:p>
    <w:p w14:paraId="184E3603">
      <w:pPr>
        <w:pStyle w:val="45"/>
        <w:spacing w:before="156" w:line="380" w:lineRule="exact"/>
        <w:ind w:firstLine="480"/>
        <w:rPr>
          <w:rFonts w:hint="eastAsia" w:eastAsia="宋体"/>
          <w:color w:val="auto"/>
          <w:lang w:val="en-US" w:eastAsia="zh-CN"/>
        </w:rPr>
      </w:pPr>
      <w:r>
        <w:rPr>
          <w:rFonts w:hint="eastAsia" w:eastAsia="宋体"/>
          <w:color w:val="auto"/>
          <w:lang w:val="en-US" w:eastAsia="zh-CN"/>
        </w:rPr>
        <w:t xml:space="preserve">⽇期：___________ </w:t>
      </w:r>
    </w:p>
    <w:p w14:paraId="1975DFFA">
      <w:pPr>
        <w:pStyle w:val="45"/>
        <w:spacing w:before="156" w:line="380" w:lineRule="exact"/>
        <w:ind w:firstLine="480"/>
        <w:rPr>
          <w:rFonts w:hint="eastAsia" w:eastAsia="宋体"/>
          <w:color w:val="auto"/>
          <w:lang w:val="en-US" w:eastAsia="zh-CN"/>
        </w:rPr>
      </w:pPr>
      <w:r>
        <w:rPr>
          <w:rFonts w:hint="eastAsia" w:eastAsia="宋体"/>
          <w:color w:val="auto"/>
          <w:lang w:val="en-US" w:eastAsia="zh-CN"/>
        </w:rPr>
        <w:t>注：此送达方式确认函放入</w:t>
      </w:r>
      <w:r>
        <w:rPr>
          <w:rFonts w:hint="eastAsia"/>
          <w:color w:val="auto"/>
          <w:lang w:val="en-US" w:eastAsia="zh-CN"/>
        </w:rPr>
        <w:t>响应文件</w:t>
      </w:r>
      <w:r>
        <w:rPr>
          <w:rFonts w:hint="eastAsia" w:eastAsia="宋体"/>
          <w:color w:val="auto"/>
          <w:lang w:val="en-US" w:eastAsia="zh-CN"/>
        </w:rPr>
        <w:t>中。</w:t>
      </w:r>
    </w:p>
    <w:p w14:paraId="723F8EBD">
      <w:pPr>
        <w:pStyle w:val="45"/>
        <w:spacing w:before="156" w:line="380" w:lineRule="exact"/>
        <w:ind w:firstLine="480"/>
        <w:rPr>
          <w:rFonts w:hint="eastAsia" w:eastAsia="宋体"/>
          <w:color w:val="auto"/>
          <w:lang w:val="en-US" w:eastAsia="zh-CN"/>
        </w:rPr>
      </w:pPr>
    </w:p>
    <w:p w14:paraId="32BD5412">
      <w:pPr>
        <w:pStyle w:val="45"/>
        <w:spacing w:before="156" w:line="380" w:lineRule="exact"/>
        <w:ind w:firstLine="480"/>
        <w:rPr>
          <w:rFonts w:hint="eastAsia" w:eastAsia="宋体"/>
          <w:color w:val="auto"/>
          <w:lang w:val="en-US" w:eastAsia="zh-CN"/>
        </w:rPr>
      </w:pPr>
    </w:p>
    <w:p w14:paraId="48F8558B">
      <w:pPr>
        <w:rPr>
          <w:rFonts w:hint="eastAsia" w:eastAsia="宋体"/>
          <w:color w:val="auto"/>
          <w:lang w:val="en-US" w:eastAsia="zh-CN"/>
        </w:rPr>
      </w:pPr>
      <w:r>
        <w:rPr>
          <w:rFonts w:hint="eastAsia" w:eastAsia="宋体"/>
          <w:color w:val="auto"/>
          <w:lang w:val="en-US" w:eastAsia="zh-CN"/>
        </w:rPr>
        <w:br w:type="page"/>
      </w:r>
    </w:p>
    <w:p w14:paraId="3CB23996">
      <w:pPr>
        <w:pStyle w:val="45"/>
        <w:spacing w:before="240"/>
        <w:ind w:firstLine="0" w:firstLineChars="0"/>
        <w:jc w:val="center"/>
        <w:outlineLvl w:val="1"/>
        <w:rPr>
          <w:rFonts w:hint="eastAsia" w:ascii="Arial" w:hAnsi="Arial" w:eastAsia="黑体" w:cs="Times New Roman"/>
          <w:color w:val="auto"/>
          <w:kern w:val="2"/>
          <w:sz w:val="30"/>
          <w:szCs w:val="24"/>
          <w:lang w:val="en-US" w:eastAsia="zh-CN" w:bidi="ar-SA"/>
        </w:rPr>
      </w:pPr>
      <w:r>
        <w:rPr>
          <w:rFonts w:hint="eastAsia" w:ascii="Arial" w:hAnsi="Arial" w:eastAsia="黑体" w:cs="Times New Roman"/>
          <w:color w:val="auto"/>
          <w:kern w:val="2"/>
          <w:sz w:val="30"/>
          <w:szCs w:val="24"/>
          <w:lang w:val="en-US" w:eastAsia="zh-CN" w:bidi="ar-SA"/>
        </w:rPr>
        <w:t>十二、中小企业声明函</w:t>
      </w:r>
    </w:p>
    <w:p w14:paraId="0A9903E0">
      <w:pPr>
        <w:pStyle w:val="45"/>
        <w:spacing w:before="240"/>
        <w:ind w:firstLine="480"/>
      </w:pPr>
    </w:p>
    <w:p w14:paraId="2D9ECB5B">
      <w:pPr>
        <w:pStyle w:val="45"/>
        <w:spacing w:before="240"/>
        <w:ind w:firstLine="480"/>
      </w:pPr>
      <w:r>
        <w:rPr>
          <w:rFonts w:hint="eastAsia"/>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550D26E6">
      <w:pPr>
        <w:pStyle w:val="45"/>
        <w:spacing w:before="240"/>
        <w:ind w:firstLine="480"/>
      </w:pPr>
      <w:r>
        <w:rPr>
          <w:rFonts w:hint="eastAsia"/>
        </w:rPr>
        <w:t xml:space="preserve">1. </w:t>
      </w:r>
      <w:r>
        <w:rPr>
          <w:rFonts w:hint="eastAsia"/>
          <w:u w:val="single"/>
        </w:rPr>
        <w:t>（标的名称）</w:t>
      </w:r>
      <w:r>
        <w:rPr>
          <w:rFonts w:hint="eastAsia"/>
        </w:rPr>
        <w:t>，属于</w:t>
      </w:r>
      <w:r>
        <w:rPr>
          <w:rFonts w:hint="eastAsia"/>
          <w:u w:val="single"/>
        </w:rPr>
        <w:t>（</w:t>
      </w:r>
      <w:r>
        <w:rPr>
          <w:rFonts w:hint="eastAsia"/>
          <w:u w:val="single"/>
          <w:lang w:val="en-US" w:eastAsia="zh-CN"/>
        </w:rPr>
        <w:t xml:space="preserve">  </w:t>
      </w:r>
      <w:r>
        <w:rPr>
          <w:rFonts w:hint="eastAsia"/>
          <w:u w:val="single"/>
        </w:rPr>
        <w:t>）</w:t>
      </w:r>
      <w:r>
        <w:rPr>
          <w:rFonts w:hint="eastAsia"/>
        </w:rPr>
        <w:t>行业；制造商为</w:t>
      </w:r>
      <w:r>
        <w:rPr>
          <w:rFonts w:hint="eastAsia"/>
          <w:u w:val="single"/>
        </w:rPr>
        <w:t xml:space="preserve">（ 企业名称） </w:t>
      </w:r>
      <w:r>
        <w:rPr>
          <w:rFonts w:hint="eastAsia"/>
        </w:rPr>
        <w:t>，从业人员</w:t>
      </w:r>
      <w:r>
        <w:rPr>
          <w:rFonts w:hint="eastAsia"/>
          <w:u w:val="single"/>
        </w:rPr>
        <w:t xml:space="preserve"> </w:t>
      </w:r>
      <w:r>
        <w:rPr>
          <w:rFonts w:hint="eastAsia"/>
          <w:u w:val="single"/>
        </w:rPr>
        <w:tab/>
      </w:r>
      <w:r>
        <w:rPr>
          <w:rFonts w:hint="eastAsia"/>
        </w:rPr>
        <w:t>人，营业收入为</w:t>
      </w:r>
      <w:r>
        <w:rPr>
          <w:rFonts w:hint="eastAsia"/>
          <w:u w:val="single"/>
        </w:rPr>
        <w:t xml:space="preserve"> </w:t>
      </w:r>
      <w:r>
        <w:rPr>
          <w:rFonts w:hint="eastAsia"/>
          <w:u w:val="single"/>
        </w:rPr>
        <w:tab/>
      </w:r>
      <w:r>
        <w:rPr>
          <w:rFonts w:hint="eastAsia"/>
        </w:rPr>
        <w:t>万元，资产总额为</w:t>
      </w:r>
      <w:r>
        <w:rPr>
          <w:rFonts w:hint="eastAsia"/>
          <w:u w:val="single"/>
        </w:rPr>
        <w:t xml:space="preserve">     </w:t>
      </w:r>
      <w:r>
        <w:rPr>
          <w:rFonts w:hint="eastAsia"/>
          <w:u w:val="single"/>
        </w:rPr>
        <w:tab/>
      </w:r>
      <w:r>
        <w:rPr>
          <w:rFonts w:hint="eastAsia"/>
        </w:rPr>
        <w:t>万元，属于（中型企业、小型企业、微型企业）；</w:t>
      </w:r>
    </w:p>
    <w:p w14:paraId="78F11372">
      <w:pPr>
        <w:pStyle w:val="45"/>
        <w:spacing w:before="240"/>
        <w:ind w:firstLine="480"/>
      </w:pPr>
      <w:r>
        <w:rPr>
          <w:rFonts w:hint="eastAsia"/>
        </w:rPr>
        <w:t xml:space="preserve">2. </w:t>
      </w:r>
      <w:r>
        <w:rPr>
          <w:rFonts w:hint="eastAsia"/>
          <w:u w:val="single"/>
        </w:rPr>
        <w:t>（标的名称）</w:t>
      </w:r>
      <w:r>
        <w:rPr>
          <w:rFonts w:hint="eastAsia"/>
        </w:rPr>
        <w:t>，属于</w:t>
      </w:r>
      <w:r>
        <w:rPr>
          <w:rFonts w:hint="eastAsia"/>
          <w:u w:val="single"/>
        </w:rPr>
        <w:t>（</w:t>
      </w:r>
      <w:r>
        <w:rPr>
          <w:rFonts w:hint="eastAsia"/>
          <w:u w:val="single"/>
          <w:lang w:val="en-US" w:eastAsia="zh-CN"/>
        </w:rPr>
        <w:t xml:space="preserve">  </w:t>
      </w:r>
      <w:r>
        <w:rPr>
          <w:rFonts w:hint="eastAsia"/>
          <w:u w:val="single"/>
        </w:rPr>
        <w:t>）</w:t>
      </w:r>
      <w:r>
        <w:rPr>
          <w:rFonts w:hint="eastAsia"/>
        </w:rPr>
        <w:t>行业；制造商为</w:t>
      </w:r>
      <w:r>
        <w:rPr>
          <w:rFonts w:hint="eastAsia"/>
          <w:u w:val="single"/>
        </w:rPr>
        <w:t xml:space="preserve">  企业名称 </w:t>
      </w:r>
      <w:r>
        <w:rPr>
          <w:rFonts w:hint="eastAsia"/>
        </w:rPr>
        <w:t>，从业人员</w:t>
      </w:r>
      <w:r>
        <w:rPr>
          <w:rFonts w:hint="eastAsia"/>
          <w:u w:val="single"/>
        </w:rPr>
        <w:t xml:space="preserve"> </w:t>
      </w:r>
      <w:r>
        <w:rPr>
          <w:rFonts w:hint="eastAsia"/>
          <w:u w:val="single"/>
        </w:rPr>
        <w:tab/>
      </w:r>
      <w:r>
        <w:rPr>
          <w:rFonts w:hint="eastAsia"/>
        </w:rPr>
        <w:t>人，营业收入为</w:t>
      </w:r>
      <w:r>
        <w:rPr>
          <w:rFonts w:hint="eastAsia"/>
          <w:u w:val="single"/>
        </w:rPr>
        <w:t xml:space="preserve"> </w:t>
      </w:r>
      <w:r>
        <w:rPr>
          <w:rFonts w:hint="eastAsia"/>
          <w:u w:val="single"/>
        </w:rPr>
        <w:tab/>
      </w:r>
      <w:r>
        <w:rPr>
          <w:rFonts w:hint="eastAsia"/>
        </w:rPr>
        <w:t>万元，资产总额为</w:t>
      </w:r>
      <w:r>
        <w:rPr>
          <w:rFonts w:hint="eastAsia"/>
          <w:u w:val="single"/>
        </w:rPr>
        <w:t xml:space="preserve">     </w:t>
      </w:r>
      <w:r>
        <w:rPr>
          <w:rFonts w:hint="eastAsia"/>
          <w:u w:val="single"/>
        </w:rPr>
        <w:tab/>
      </w:r>
      <w:r>
        <w:rPr>
          <w:rFonts w:hint="eastAsia"/>
        </w:rPr>
        <w:t>万元，属于（中型企业、小型企业、微型企业）；</w:t>
      </w:r>
    </w:p>
    <w:p w14:paraId="01EED28D">
      <w:pPr>
        <w:pStyle w:val="45"/>
        <w:spacing w:before="240"/>
        <w:ind w:firstLine="480"/>
      </w:pPr>
      <w:r>
        <w:rPr>
          <w:rFonts w:hint="eastAsia"/>
        </w:rPr>
        <w:t>……</w:t>
      </w:r>
    </w:p>
    <w:p w14:paraId="5FFB6435">
      <w:pPr>
        <w:pStyle w:val="45"/>
        <w:spacing w:before="240"/>
        <w:ind w:firstLine="480"/>
      </w:pPr>
      <w:r>
        <w:rPr>
          <w:rFonts w:hint="eastAsia"/>
        </w:rPr>
        <w:t>以上企业，不属于大企业的分支机构，不存在控股股东为大企业的情形，也不存在与大企业的负责人为同一人的情形。</w:t>
      </w:r>
    </w:p>
    <w:p w14:paraId="2158CB77">
      <w:pPr>
        <w:pStyle w:val="45"/>
        <w:spacing w:before="240"/>
        <w:ind w:firstLine="480"/>
      </w:pPr>
      <w:r>
        <w:rPr>
          <w:rFonts w:hint="eastAsia"/>
        </w:rPr>
        <w:t>本企业对上述声明内容的真实性负责。如有虚假，将依法承担相应责任。</w:t>
      </w:r>
    </w:p>
    <w:p w14:paraId="2CEB03A6">
      <w:pPr>
        <w:pStyle w:val="45"/>
        <w:spacing w:before="240"/>
        <w:ind w:firstLine="480"/>
      </w:pPr>
    </w:p>
    <w:p w14:paraId="25BFC898">
      <w:pPr>
        <w:pStyle w:val="45"/>
        <w:spacing w:before="240"/>
        <w:ind w:firstLine="480"/>
      </w:pPr>
      <w:r>
        <w:rPr>
          <w:rFonts w:hint="eastAsia"/>
        </w:rPr>
        <w:t xml:space="preserve">企业名称（盖章）：                    </w:t>
      </w:r>
    </w:p>
    <w:p w14:paraId="01D9812E">
      <w:pPr>
        <w:pStyle w:val="45"/>
        <w:spacing w:before="240"/>
        <w:ind w:firstLine="480"/>
        <w:jc w:val="right"/>
      </w:pPr>
      <w:r>
        <w:rPr>
          <w:rFonts w:hint="eastAsia"/>
        </w:rPr>
        <w:t>日     期：      年   月   日</w:t>
      </w:r>
    </w:p>
    <w:p w14:paraId="267F98E1">
      <w:pPr>
        <w:pStyle w:val="45"/>
        <w:spacing w:before="240"/>
        <w:ind w:firstLine="0" w:firstLineChars="0"/>
        <w:rPr>
          <w:b/>
          <w:bCs/>
        </w:rPr>
      </w:pPr>
      <w:r>
        <w:rPr>
          <w:rFonts w:hint="eastAsia"/>
          <w:b/>
          <w:bCs/>
        </w:rPr>
        <w:t>（备注：从业人员、营业收入、资产总额填报上一年度数据，无上一年度数据的新成立企业可不填报。）</w:t>
      </w:r>
    </w:p>
    <w:p w14:paraId="370DEE9B">
      <w:pPr>
        <w:pStyle w:val="45"/>
        <w:spacing w:before="240"/>
        <w:ind w:firstLine="0" w:firstLineChars="0"/>
        <w:rPr>
          <w:b/>
          <w:bCs/>
        </w:rPr>
      </w:pPr>
    </w:p>
    <w:p w14:paraId="2E2A9DB1">
      <w:pPr>
        <w:adjustRightInd w:val="0"/>
        <w:snapToGrid w:val="0"/>
        <w:spacing w:line="360" w:lineRule="auto"/>
        <w:jc w:val="center"/>
        <w:rPr>
          <w:rFonts w:ascii="宋体" w:hAnsi="宋体"/>
          <w:b/>
          <w:sz w:val="28"/>
          <w:szCs w:val="28"/>
        </w:rPr>
      </w:pPr>
    </w:p>
    <w:p w14:paraId="3E9ECC30"/>
    <w:p w14:paraId="2DBC8353"/>
    <w:p w14:paraId="0D95D2B2">
      <w:pPr>
        <w:rPr>
          <w:color w:val="auto"/>
          <w:highlight w:val="none"/>
        </w:rPr>
      </w:pPr>
      <w:bookmarkStart w:id="113" w:name="_Toc26447"/>
      <w:r>
        <w:rPr>
          <w:color w:val="auto"/>
          <w:highlight w:val="none"/>
        </w:rPr>
        <w:br w:type="page"/>
      </w:r>
    </w:p>
    <w:p w14:paraId="71FF315C">
      <w:pPr>
        <w:pStyle w:val="3"/>
        <w:spacing w:before="156" w:after="156"/>
        <w:rPr>
          <w:rFonts w:hint="default"/>
          <w:color w:val="auto"/>
          <w:highlight w:val="none"/>
        </w:rPr>
      </w:pPr>
      <w:r>
        <w:rPr>
          <w:color w:val="auto"/>
          <w:highlight w:val="none"/>
        </w:rPr>
        <w:t xml:space="preserve">第七章 </w:t>
      </w:r>
      <w:r>
        <w:rPr>
          <w:rFonts w:hint="eastAsia"/>
          <w:color w:val="auto"/>
          <w:highlight w:val="none"/>
          <w:lang w:val="en-US" w:eastAsia="zh-CN"/>
        </w:rPr>
        <w:t>政府采购</w:t>
      </w:r>
      <w:r>
        <w:rPr>
          <w:rFonts w:hint="eastAsia"/>
          <w:color w:val="auto"/>
          <w:highlight w:val="none"/>
          <w:lang w:eastAsia="zh-CN"/>
        </w:rPr>
        <w:t>供应商</w:t>
      </w:r>
      <w:r>
        <w:rPr>
          <w:color w:val="auto"/>
          <w:highlight w:val="none"/>
        </w:rPr>
        <w:t>质疑函范本</w:t>
      </w:r>
      <w:bookmarkEnd w:id="73"/>
      <w:bookmarkEnd w:id="74"/>
      <w:bookmarkEnd w:id="75"/>
      <w:bookmarkEnd w:id="76"/>
      <w:bookmarkEnd w:id="113"/>
    </w:p>
    <w:p w14:paraId="04294451">
      <w:pPr>
        <w:jc w:val="center"/>
        <w:rPr>
          <w:rFonts w:ascii="仿宋" w:hAnsi="仿宋" w:eastAsia="仿宋" w:cs="仿宋"/>
          <w:b/>
          <w:bCs/>
          <w:sz w:val="44"/>
          <w:szCs w:val="44"/>
        </w:rPr>
      </w:pPr>
      <w:r>
        <w:rPr>
          <w:rFonts w:hint="eastAsia" w:ascii="方正小标宋_GBK" w:hAnsi="方正小标宋_GBK" w:eastAsia="方正小标宋_GBK" w:cs="方正小标宋_GBK"/>
          <w:sz w:val="32"/>
          <w:szCs w:val="32"/>
        </w:rPr>
        <w:t>质疑函范本</w:t>
      </w:r>
    </w:p>
    <w:p w14:paraId="3699CA5C">
      <w:pPr>
        <w:pStyle w:val="45"/>
        <w:spacing w:before="312"/>
        <w:ind w:firstLine="0" w:firstLineChars="0"/>
        <w:outlineLvl w:val="1"/>
        <w:rPr>
          <w:rFonts w:ascii="黑体" w:hAnsi="黑体" w:eastAsia="黑体" w:cs="黑体"/>
        </w:rPr>
      </w:pPr>
      <w:r>
        <w:rPr>
          <w:rFonts w:hint="eastAsia" w:ascii="黑体" w:hAnsi="黑体" w:eastAsia="黑体" w:cs="黑体"/>
        </w:rPr>
        <w:t>一、质疑供应商基本信息</w:t>
      </w:r>
    </w:p>
    <w:p w14:paraId="188B5CFC">
      <w:pPr>
        <w:pStyle w:val="45"/>
        <w:spacing w:before="312"/>
        <w:ind w:firstLine="480"/>
        <w:rPr>
          <w:u w:val="single"/>
        </w:rPr>
      </w:pPr>
      <w:r>
        <w:rPr>
          <w:rFonts w:hint="eastAsia"/>
        </w:rPr>
        <w:t>质疑供应商：</w:t>
      </w:r>
      <w:r>
        <w:rPr>
          <w:rFonts w:hint="eastAsia"/>
          <w:u w:val="single"/>
        </w:rPr>
        <w:t xml:space="preserve">                                                </w:t>
      </w:r>
    </w:p>
    <w:p w14:paraId="56373B45">
      <w:pPr>
        <w:pStyle w:val="45"/>
        <w:spacing w:before="312"/>
        <w:ind w:firstLine="480"/>
      </w:pPr>
      <w:r>
        <w:rPr>
          <w:rFonts w:hint="eastAsia"/>
        </w:rPr>
        <w:t>地址：</w:t>
      </w:r>
      <w:r>
        <w:rPr>
          <w:rFonts w:hint="eastAsia"/>
          <w:u w:val="single"/>
        </w:rPr>
        <w:t xml:space="preserve">                         </w:t>
      </w:r>
      <w:r>
        <w:rPr>
          <w:rFonts w:hint="eastAsia"/>
        </w:rPr>
        <w:t xml:space="preserve"> 邮编：</w:t>
      </w:r>
      <w:r>
        <w:rPr>
          <w:rFonts w:hint="eastAsia"/>
          <w:u w:val="single"/>
        </w:rPr>
        <w:t xml:space="preserve">                      </w:t>
      </w:r>
      <w:r>
        <w:rPr>
          <w:rFonts w:hint="eastAsia"/>
        </w:rPr>
        <w:t xml:space="preserve">                             </w:t>
      </w:r>
    </w:p>
    <w:p w14:paraId="414E2D92">
      <w:pPr>
        <w:pStyle w:val="45"/>
        <w:spacing w:before="312"/>
        <w:ind w:firstLine="480"/>
      </w:pPr>
      <w:r>
        <w:rPr>
          <w:rFonts w:hint="eastAsia"/>
        </w:rPr>
        <w:t>联系人：</w:t>
      </w:r>
      <w:r>
        <w:rPr>
          <w:rFonts w:hint="eastAsia"/>
          <w:u w:val="single"/>
        </w:rPr>
        <w:t xml:space="preserve">                     </w:t>
      </w:r>
      <w:r>
        <w:rPr>
          <w:rFonts w:hint="eastAsia"/>
        </w:rPr>
        <w:t xml:space="preserve"> 联系电话：</w:t>
      </w:r>
      <w:r>
        <w:rPr>
          <w:rFonts w:hint="eastAsia"/>
          <w:u w:val="single"/>
        </w:rPr>
        <w:t xml:space="preserve">                    </w:t>
      </w:r>
      <w:r>
        <w:rPr>
          <w:rFonts w:hint="eastAsia"/>
        </w:rPr>
        <w:t xml:space="preserve">          </w:t>
      </w:r>
    </w:p>
    <w:p w14:paraId="64E115C2">
      <w:pPr>
        <w:pStyle w:val="45"/>
        <w:spacing w:before="312"/>
        <w:ind w:firstLine="480"/>
        <w:rPr>
          <w:u w:val="single"/>
        </w:rPr>
      </w:pPr>
      <w:r>
        <w:rPr>
          <w:rFonts w:hint="eastAsia"/>
        </w:rPr>
        <w:t>授权代表：</w:t>
      </w:r>
      <w:r>
        <w:rPr>
          <w:rFonts w:hint="eastAsia"/>
          <w:u w:val="single"/>
        </w:rPr>
        <w:t xml:space="preserve">                                                  </w:t>
      </w:r>
    </w:p>
    <w:p w14:paraId="7FADAFB0">
      <w:pPr>
        <w:pStyle w:val="45"/>
        <w:spacing w:before="312"/>
        <w:ind w:firstLine="480"/>
        <w:rPr>
          <w:u w:val="single"/>
        </w:rPr>
      </w:pPr>
      <w:r>
        <w:rPr>
          <w:rFonts w:hint="eastAsia"/>
        </w:rPr>
        <w:t>联系电话：</w:t>
      </w:r>
      <w:r>
        <w:rPr>
          <w:rFonts w:hint="eastAsia"/>
          <w:u w:val="single"/>
        </w:rPr>
        <w:t xml:space="preserve">                                                 </w:t>
      </w:r>
      <w:r>
        <w:rPr>
          <w:u w:val="single"/>
        </w:rPr>
        <w:t xml:space="preserve"> </w:t>
      </w:r>
    </w:p>
    <w:p w14:paraId="1B2C3D60">
      <w:pPr>
        <w:pStyle w:val="45"/>
        <w:spacing w:before="312"/>
        <w:ind w:firstLine="480"/>
      </w:pPr>
      <w:r>
        <w:rPr>
          <w:rFonts w:hint="eastAsia"/>
        </w:rPr>
        <w:t>地址：</w:t>
      </w:r>
      <w:r>
        <w:rPr>
          <w:u w:val="single"/>
        </w:rPr>
        <w:t xml:space="preserve"> </w:t>
      </w:r>
      <w:r>
        <w:rPr>
          <w:rFonts w:hint="eastAsia"/>
          <w:u w:val="single"/>
        </w:rPr>
        <w:t xml:space="preserve">                       </w:t>
      </w:r>
      <w:r>
        <w:rPr>
          <w:rFonts w:hint="eastAsia"/>
        </w:rPr>
        <w:t xml:space="preserve"> 邮编：</w:t>
      </w:r>
      <w:r>
        <w:rPr>
          <w:rFonts w:hint="eastAsia"/>
          <w:u w:val="single"/>
        </w:rPr>
        <w:t xml:space="preserve">                       </w:t>
      </w:r>
      <w:r>
        <w:rPr>
          <w:rFonts w:hint="eastAsia"/>
        </w:rPr>
        <w:t xml:space="preserve">                         </w:t>
      </w:r>
    </w:p>
    <w:p w14:paraId="03D18A0A">
      <w:pPr>
        <w:pStyle w:val="45"/>
        <w:spacing w:before="312"/>
        <w:ind w:firstLine="0" w:firstLineChars="0"/>
        <w:outlineLvl w:val="1"/>
        <w:rPr>
          <w:rFonts w:ascii="黑体" w:hAnsi="黑体" w:eastAsia="黑体" w:cs="黑体"/>
        </w:rPr>
      </w:pPr>
      <w:r>
        <w:rPr>
          <w:rFonts w:hint="eastAsia" w:ascii="黑体" w:hAnsi="黑体" w:eastAsia="黑体" w:cs="黑体"/>
        </w:rPr>
        <w:t>二、质疑项目基本情况</w:t>
      </w:r>
    </w:p>
    <w:p w14:paraId="0FA81D91">
      <w:pPr>
        <w:pStyle w:val="45"/>
        <w:spacing w:before="312"/>
        <w:ind w:firstLine="480"/>
        <w:rPr>
          <w:u w:val="single"/>
        </w:rPr>
      </w:pPr>
      <w:r>
        <w:rPr>
          <w:rFonts w:hint="eastAsia"/>
        </w:rPr>
        <w:t>质疑项目的名称：</w:t>
      </w:r>
      <w:r>
        <w:rPr>
          <w:rFonts w:hint="eastAsia"/>
          <w:u w:val="single"/>
        </w:rPr>
        <w:t xml:space="preserve">                                            </w:t>
      </w:r>
    </w:p>
    <w:p w14:paraId="7666ADA3">
      <w:pPr>
        <w:pStyle w:val="45"/>
        <w:spacing w:before="312"/>
        <w:ind w:firstLine="480"/>
        <w:rPr>
          <w:u w:val="single"/>
        </w:rPr>
      </w:pPr>
      <w:r>
        <w:rPr>
          <w:rFonts w:hint="eastAsia"/>
        </w:rPr>
        <w:t>质疑项目的编号：</w:t>
      </w:r>
      <w:r>
        <w:rPr>
          <w:rFonts w:hint="eastAsia"/>
          <w:u w:val="single"/>
        </w:rPr>
        <w:t xml:space="preserve">              </w:t>
      </w:r>
      <w:r>
        <w:rPr>
          <w:rFonts w:hint="eastAsia"/>
        </w:rPr>
        <w:t xml:space="preserve"> 包号：</w:t>
      </w:r>
      <w:r>
        <w:rPr>
          <w:rFonts w:hint="eastAsia"/>
          <w:u w:val="single"/>
        </w:rPr>
        <w:t xml:space="preserve">                       </w:t>
      </w:r>
    </w:p>
    <w:p w14:paraId="4756C6CE">
      <w:pPr>
        <w:pStyle w:val="45"/>
        <w:spacing w:before="312"/>
        <w:ind w:firstLine="480"/>
        <w:rPr>
          <w:u w:val="single"/>
        </w:rPr>
      </w:pPr>
      <w:r>
        <w:rPr>
          <w:rFonts w:hint="eastAsia"/>
        </w:rPr>
        <w:t>采购人名称：</w:t>
      </w:r>
      <w:r>
        <w:rPr>
          <w:rFonts w:hint="eastAsia"/>
          <w:u w:val="single"/>
        </w:rPr>
        <w:t xml:space="preserve">                                                </w:t>
      </w:r>
    </w:p>
    <w:p w14:paraId="34C6100E">
      <w:pPr>
        <w:pStyle w:val="45"/>
        <w:spacing w:before="312"/>
        <w:ind w:firstLine="480"/>
      </w:pPr>
      <w:r>
        <w:rPr>
          <w:rFonts w:hint="eastAsia"/>
        </w:rPr>
        <w:t>采购文件获取日期：</w:t>
      </w:r>
      <w:r>
        <w:rPr>
          <w:rFonts w:hint="eastAsia"/>
          <w:u w:val="single"/>
        </w:rPr>
        <w:t xml:space="preserve">                                          </w:t>
      </w:r>
      <w:r>
        <w:rPr>
          <w:rFonts w:hint="eastAsia"/>
        </w:rPr>
        <w:t xml:space="preserve"> </w:t>
      </w:r>
    </w:p>
    <w:p w14:paraId="2E63E12B">
      <w:pPr>
        <w:pStyle w:val="45"/>
        <w:spacing w:before="312"/>
        <w:ind w:firstLine="0" w:firstLineChars="0"/>
        <w:outlineLvl w:val="1"/>
        <w:rPr>
          <w:rFonts w:ascii="黑体" w:hAnsi="黑体" w:eastAsia="黑体" w:cs="黑体"/>
        </w:rPr>
      </w:pPr>
      <w:r>
        <w:rPr>
          <w:rFonts w:hint="eastAsia" w:ascii="黑体" w:hAnsi="黑体" w:eastAsia="黑体" w:cs="黑体"/>
        </w:rPr>
        <w:t>三、质疑事项具体内容</w:t>
      </w:r>
    </w:p>
    <w:p w14:paraId="484AE46D">
      <w:pPr>
        <w:pStyle w:val="45"/>
        <w:spacing w:before="312"/>
        <w:ind w:firstLine="480"/>
      </w:pPr>
      <w:r>
        <w:rPr>
          <w:rFonts w:hint="eastAsia"/>
        </w:rPr>
        <w:t xml:space="preserve">质疑事项1：                                         </w:t>
      </w:r>
    </w:p>
    <w:p w14:paraId="1C6C874A">
      <w:pPr>
        <w:pStyle w:val="45"/>
        <w:spacing w:before="312"/>
        <w:ind w:firstLine="480"/>
      </w:pPr>
      <w:r>
        <w:rPr>
          <w:rFonts w:hint="eastAsia"/>
        </w:rPr>
        <w:t xml:space="preserve">事实依据：                                          </w:t>
      </w:r>
    </w:p>
    <w:p w14:paraId="580A6F2C">
      <w:pPr>
        <w:pStyle w:val="45"/>
        <w:spacing w:before="312"/>
        <w:ind w:firstLine="480"/>
      </w:pPr>
      <w:r>
        <w:rPr>
          <w:rFonts w:hint="eastAsia"/>
        </w:rPr>
        <w:t xml:space="preserve">                                                       </w:t>
      </w:r>
    </w:p>
    <w:p w14:paraId="08B90CCA">
      <w:pPr>
        <w:pStyle w:val="45"/>
        <w:spacing w:before="312"/>
        <w:ind w:firstLine="480"/>
      </w:pPr>
      <w:r>
        <w:rPr>
          <w:rFonts w:hint="eastAsia"/>
        </w:rPr>
        <w:t xml:space="preserve">法律依据：                                          </w:t>
      </w:r>
    </w:p>
    <w:p w14:paraId="0E2BFA41">
      <w:pPr>
        <w:pStyle w:val="45"/>
        <w:spacing w:before="312"/>
        <w:ind w:firstLine="480"/>
      </w:pPr>
      <w:r>
        <w:rPr>
          <w:rFonts w:hint="eastAsia"/>
        </w:rPr>
        <w:t xml:space="preserve">                                                     </w:t>
      </w:r>
    </w:p>
    <w:p w14:paraId="1ACC4EF7">
      <w:pPr>
        <w:pStyle w:val="45"/>
        <w:spacing w:before="312"/>
        <w:ind w:firstLine="480"/>
      </w:pPr>
      <w:r>
        <w:rPr>
          <w:rFonts w:hint="eastAsia"/>
        </w:rPr>
        <w:t>质疑事项2：</w:t>
      </w:r>
    </w:p>
    <w:p w14:paraId="63659C33">
      <w:pPr>
        <w:pStyle w:val="45"/>
        <w:spacing w:before="312"/>
        <w:ind w:firstLine="480"/>
      </w:pPr>
      <w:r>
        <w:rPr>
          <w:rFonts w:hint="eastAsia"/>
        </w:rPr>
        <w:t>……</w:t>
      </w:r>
    </w:p>
    <w:p w14:paraId="06CC9C52">
      <w:pPr>
        <w:pStyle w:val="45"/>
        <w:spacing w:before="312"/>
        <w:ind w:firstLine="0" w:firstLineChars="0"/>
        <w:outlineLvl w:val="1"/>
        <w:rPr>
          <w:rFonts w:ascii="黑体" w:hAnsi="黑体" w:eastAsia="黑体" w:cs="黑体"/>
        </w:rPr>
      </w:pPr>
      <w:r>
        <w:rPr>
          <w:rFonts w:hint="eastAsia" w:ascii="黑体" w:hAnsi="黑体" w:eastAsia="黑体" w:cs="黑体"/>
        </w:rPr>
        <w:t>四、与质疑事项相关的质疑请求</w:t>
      </w:r>
    </w:p>
    <w:p w14:paraId="318DE741">
      <w:pPr>
        <w:pStyle w:val="45"/>
        <w:spacing w:before="312"/>
        <w:ind w:firstLine="480"/>
      </w:pPr>
      <w:r>
        <w:rPr>
          <w:rFonts w:hint="eastAsia"/>
        </w:rPr>
        <w:t xml:space="preserve">请求：                                               </w:t>
      </w:r>
    </w:p>
    <w:p w14:paraId="0A1A7DD0">
      <w:pPr>
        <w:pStyle w:val="45"/>
        <w:spacing w:before="312"/>
        <w:ind w:firstLine="480"/>
      </w:pPr>
    </w:p>
    <w:p w14:paraId="28CBE3D5">
      <w:pPr>
        <w:pStyle w:val="45"/>
        <w:spacing w:before="312"/>
        <w:ind w:firstLine="480"/>
        <w:jc w:val="center"/>
      </w:pPr>
      <w:r>
        <w:rPr>
          <w:rFonts w:hint="eastAsia"/>
        </w:rPr>
        <w:t xml:space="preserve">                                   签字（签章）：                   </w:t>
      </w:r>
    </w:p>
    <w:p w14:paraId="34D577E5">
      <w:pPr>
        <w:pStyle w:val="45"/>
        <w:spacing w:before="312"/>
        <w:ind w:firstLine="480"/>
        <w:jc w:val="center"/>
      </w:pPr>
      <w:r>
        <w:rPr>
          <w:rFonts w:hint="eastAsia"/>
        </w:rPr>
        <w:t xml:space="preserve">                                       单位名称（公章）：                      </w:t>
      </w:r>
    </w:p>
    <w:p w14:paraId="001F3CC4">
      <w:pPr>
        <w:pStyle w:val="45"/>
        <w:spacing w:before="312"/>
        <w:ind w:firstLine="480"/>
        <w:jc w:val="center"/>
        <w:rPr>
          <w:rFonts w:ascii="黑体" w:hAnsi="黑体" w:eastAsia="黑体" w:cs="黑体"/>
        </w:rPr>
      </w:pPr>
      <w:r>
        <w:rPr>
          <w:rFonts w:hint="eastAsia"/>
        </w:rPr>
        <w:t xml:space="preserve">                           日期： </w:t>
      </w:r>
    </w:p>
    <w:p w14:paraId="50801C6E">
      <w:pPr>
        <w:rPr>
          <w:rFonts w:ascii="黑体" w:hAnsi="黑体" w:eastAsia="黑体" w:cs="黑体"/>
          <w:sz w:val="24"/>
        </w:rPr>
      </w:pPr>
    </w:p>
    <w:p w14:paraId="5D503D8B">
      <w:pPr>
        <w:rPr>
          <w:rFonts w:ascii="黑体" w:hAnsi="黑体" w:eastAsia="黑体" w:cs="黑体"/>
          <w:sz w:val="24"/>
        </w:rPr>
      </w:pPr>
    </w:p>
    <w:p w14:paraId="6A4AB7D1">
      <w:pPr>
        <w:rPr>
          <w:rFonts w:ascii="黑体" w:hAnsi="黑体" w:eastAsia="黑体" w:cs="黑体"/>
          <w:sz w:val="24"/>
        </w:rPr>
      </w:pPr>
    </w:p>
    <w:p w14:paraId="78685360">
      <w:pPr>
        <w:rPr>
          <w:rFonts w:ascii="黑体" w:hAnsi="黑体" w:eastAsia="黑体" w:cs="黑体"/>
          <w:sz w:val="24"/>
        </w:rPr>
      </w:pPr>
      <w:r>
        <w:rPr>
          <w:rFonts w:hint="eastAsia" w:ascii="黑体" w:hAnsi="黑体" w:eastAsia="黑体" w:cs="黑体"/>
          <w:sz w:val="24"/>
        </w:rPr>
        <w:t>质疑函制作说明：</w:t>
      </w:r>
    </w:p>
    <w:p w14:paraId="5677D239">
      <w:pPr>
        <w:pStyle w:val="45"/>
        <w:spacing w:before="312"/>
        <w:ind w:firstLine="480"/>
        <w:outlineLvl w:val="9"/>
      </w:pPr>
      <w:r>
        <w:rPr>
          <w:rFonts w:hint="eastAsia"/>
        </w:rPr>
        <w:t>1.供应商提出质疑时，应提交质疑函和必要的证明材料。</w:t>
      </w:r>
    </w:p>
    <w:p w14:paraId="51F0C693">
      <w:pPr>
        <w:pStyle w:val="45"/>
        <w:spacing w:before="312"/>
        <w:ind w:firstLine="480"/>
      </w:pPr>
      <w:r>
        <w:rPr>
          <w:rFonts w:hint="eastAsia"/>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DB32A1F">
      <w:pPr>
        <w:pStyle w:val="45"/>
        <w:spacing w:before="312"/>
        <w:ind w:firstLine="480"/>
      </w:pPr>
      <w:r>
        <w:rPr>
          <w:rFonts w:hint="eastAsia"/>
        </w:rPr>
        <w:t>3.质疑供应商若对项目的某一分包进行质疑，质疑函中应列明具体分包号。</w:t>
      </w:r>
    </w:p>
    <w:p w14:paraId="26C43A5B">
      <w:pPr>
        <w:pStyle w:val="45"/>
        <w:spacing w:before="312"/>
        <w:ind w:firstLine="480"/>
      </w:pPr>
      <w:r>
        <w:rPr>
          <w:rFonts w:hint="eastAsia"/>
        </w:rPr>
        <w:t>4.质疑函的质疑事项应具体、明确，并有必要的事实依据和法律依据。</w:t>
      </w:r>
    </w:p>
    <w:p w14:paraId="2A9E6AA2">
      <w:pPr>
        <w:pStyle w:val="45"/>
        <w:spacing w:before="312"/>
        <w:ind w:firstLine="480"/>
        <w:outlineLvl w:val="9"/>
      </w:pPr>
      <w:r>
        <w:rPr>
          <w:rFonts w:hint="eastAsia"/>
        </w:rPr>
        <w:t>5.质疑函的质疑请求应与质疑事项相关。</w:t>
      </w:r>
    </w:p>
    <w:p w14:paraId="399171EC">
      <w:pPr>
        <w:pStyle w:val="45"/>
        <w:spacing w:before="312"/>
        <w:ind w:firstLine="480"/>
      </w:pPr>
      <w:r>
        <w:rPr>
          <w:rFonts w:hint="eastAsia"/>
        </w:rPr>
        <w:t>6.质疑供应商为自然人的，质疑函应由本人签字；质疑供应商为法人或者其他组织的，质疑函应由法定代表人、主要负责人，或者其授权代表签字或者盖章，并加盖公章。</w:t>
      </w:r>
    </w:p>
    <w:p w14:paraId="6D4693F6">
      <w:pPr>
        <w:pStyle w:val="40"/>
        <w:ind w:firstLine="480"/>
        <w:rPr>
          <w:color w:val="auto"/>
          <w:highlight w:val="none"/>
        </w:rPr>
      </w:pPr>
      <w:r>
        <w:rPr>
          <w:color w:val="auto"/>
          <w:highlight w:val="none"/>
        </w:rPr>
        <w:drawing>
          <wp:anchor distT="0" distB="0" distL="0" distR="0" simplePos="0" relativeHeight="251659264" behindDoc="0" locked="0" layoutInCell="1" allowOverlap="1">
            <wp:simplePos x="0" y="0"/>
            <wp:positionH relativeFrom="column">
              <wp:posOffset>4123690</wp:posOffset>
            </wp:positionH>
            <wp:positionV relativeFrom="paragraph">
              <wp:posOffset>7052310</wp:posOffset>
            </wp:positionV>
            <wp:extent cx="2635250" cy="2319655"/>
            <wp:effectExtent l="0" t="0" r="0" b="4445"/>
            <wp:wrapNone/>
            <wp:docPr id="1044" name="图片 18" descr="联系方式"/>
            <wp:cNvGraphicFramePr/>
            <a:graphic xmlns:a="http://schemas.openxmlformats.org/drawingml/2006/main">
              <a:graphicData uri="http://schemas.openxmlformats.org/drawingml/2006/picture">
                <pic:pic xmlns:pic="http://schemas.openxmlformats.org/drawingml/2006/picture">
                  <pic:nvPicPr>
                    <pic:cNvPr id="1044" name="图片 18" descr="联系方式"/>
                    <pic:cNvPicPr/>
                  </pic:nvPicPr>
                  <pic:blipFill>
                    <a:blip r:embed="rId12" cstate="print"/>
                    <a:srcRect/>
                    <a:stretch>
                      <a:fillRect/>
                    </a:stretch>
                  </pic:blipFill>
                  <pic:spPr>
                    <a:xfrm>
                      <a:off x="0" y="0"/>
                      <a:ext cx="2635250" cy="2319655"/>
                    </a:xfrm>
                    <a:prstGeom prst="rect">
                      <a:avLst/>
                    </a:prstGeom>
                  </pic:spPr>
                </pic:pic>
              </a:graphicData>
            </a:graphic>
          </wp:anchor>
        </w:drawing>
      </w:r>
      <w:r>
        <w:rPr>
          <w:color w:val="auto"/>
          <w:sz w:val="21"/>
          <w:highlight w:val="none"/>
        </w:rPr>
        <mc:AlternateContent>
          <mc:Choice Requires="wps">
            <w:drawing>
              <wp:anchor distT="0" distB="0" distL="0" distR="0" simplePos="0" relativeHeight="251660288" behindDoc="0" locked="0" layoutInCell="1" allowOverlap="1">
                <wp:simplePos x="0" y="0"/>
                <wp:positionH relativeFrom="column">
                  <wp:posOffset>-468630</wp:posOffset>
                </wp:positionH>
                <wp:positionV relativeFrom="paragraph">
                  <wp:posOffset>2660015</wp:posOffset>
                </wp:positionV>
                <wp:extent cx="8428990" cy="8381365"/>
                <wp:effectExtent l="0" t="0" r="10160" b="635"/>
                <wp:wrapNone/>
                <wp:docPr id="1045" name="直角三角形 31"/>
                <wp:cNvGraphicFramePr/>
                <a:graphic xmlns:a="http://schemas.openxmlformats.org/drawingml/2006/main">
                  <a:graphicData uri="http://schemas.microsoft.com/office/word/2010/wordprocessingShape">
                    <wps:wsp>
                      <wps:cNvSpPr/>
                      <wps:spPr>
                        <a:xfrm flipH="1">
                          <a:off x="0" y="0"/>
                          <a:ext cx="8428990" cy="8381364"/>
                        </a:xfrm>
                        <a:prstGeom prst="rtTriangle">
                          <a:avLst/>
                        </a:prstGeom>
                        <a:solidFill>
                          <a:srgbClr val="FFFFFF"/>
                        </a:solidFill>
                        <a:ln>
                          <a:noFill/>
                        </a:ln>
                      </wps:spPr>
                      <wps:txbx>
                        <w:txbxContent>
                          <w:p w14:paraId="36478058"/>
                        </w:txbxContent>
                      </wps:txbx>
                      <wps:bodyPr vert="horz" wrap="square" lIns="91440" tIns="45720" rIns="91440" bIns="45720" anchor="ctr">
                        <a:noAutofit/>
                      </wps:bodyPr>
                    </wps:wsp>
                  </a:graphicData>
                </a:graphic>
              </wp:anchor>
            </w:drawing>
          </mc:Choice>
          <mc:Fallback>
            <w:pict>
              <v:shape id="直角三角形 31" o:spid="_x0000_s1026" o:spt="6" type="#_x0000_t6" style="position:absolute;left:0pt;flip:x;margin-left:-36.9pt;margin-top:209.45pt;height:659.95pt;width:663.7pt;z-index:251660288;v-text-anchor:middle;mso-width-relative:page;mso-height-relative:page;" fillcolor="#FFFFFF" filled="t" stroked="f" coordsize="21600,21600" o:gfxdata="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FIHmx3AAAAA0BAAAPAAAAAAAAAAEA&#10;IAAAACIAAABkcnMvZG93bnJldi54bWxQSwECFAAUAAAACACHTuJAZtTvyAsCAADxAwAADgAAAAAA&#10;AAABACAAAAArAQAAZHJzL2Uyb0RvYy54bWxQSwUGAAAAAAYABgBZAQAAqAUAAAAA&#10;">
                <v:fill on="t" focussize="0,0"/>
                <v:stroke on="f"/>
                <v:imagedata o:title=""/>
                <o:lock v:ext="edit" aspectratio="f"/>
                <v:textbox>
                  <w:txbxContent>
                    <w:p w14:paraId="36478058"/>
                  </w:txbxContent>
                </v:textbox>
              </v:shape>
            </w:pict>
          </mc:Fallback>
        </mc:AlternateContent>
      </w:r>
    </w:p>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0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202C710-B090-43F8-BF8B-E1047574072F}"/>
  </w:font>
  <w:font w:name="Arial">
    <w:panose1 w:val="020B0604020202020204"/>
    <w:charset w:val="01"/>
    <w:family w:val="swiss"/>
    <w:pitch w:val="default"/>
    <w:sig w:usb0="E0002EFF" w:usb1="C000785B" w:usb2="00000009" w:usb3="00000000" w:csb0="400001FF" w:csb1="FFFF0000"/>
    <w:embedRegular r:id="rId2" w:fontKey="{1C135940-A0CE-4417-9E6D-D64FCCD0EBDD}"/>
  </w:font>
  <w:font w:name="黑体">
    <w:panose1 w:val="02010609060101010101"/>
    <w:charset w:val="86"/>
    <w:family w:val="auto"/>
    <w:pitch w:val="default"/>
    <w:sig w:usb0="800002BF" w:usb1="38CF7CFA" w:usb2="00000016" w:usb3="00000000" w:csb0="00040001" w:csb1="00000000"/>
    <w:embedRegular r:id="rId3" w:fontKey="{DA6EAA1B-0FC2-413F-837F-E7F9C2A9C28E}"/>
  </w:font>
  <w:font w:name="Courier New">
    <w:panose1 w:val="02070309020205020404"/>
    <w:charset w:val="01"/>
    <w:family w:val="modern"/>
    <w:pitch w:val="default"/>
    <w:sig w:usb0="E0002EFF" w:usb1="C0007843" w:usb2="00000009" w:usb3="00000000" w:csb0="400001FF" w:csb1="FFFF0000"/>
    <w:embedRegular r:id="rId4" w:fontKey="{412F05AC-F191-432B-A527-6679BECC5EF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B97947D0-0C94-4F0A-9ADB-9D176F669179}"/>
  </w:font>
  <w:font w:name="方正小标宋_GBK">
    <w:panose1 w:val="03000509000000000000"/>
    <w:charset w:val="86"/>
    <w:family w:val="auto"/>
    <w:pitch w:val="default"/>
    <w:sig w:usb0="00000001" w:usb1="080E0000" w:usb2="00000000" w:usb3="00000000" w:csb0="00040000" w:csb1="00000000"/>
    <w:embedRegular r:id="rId6" w:fontKey="{F1D7B174-3F98-4809-8373-0AA1F58ED1E9}"/>
  </w:font>
  <w:font w:name="微软雅黑">
    <w:panose1 w:val="020B0503020204020204"/>
    <w:charset w:val="86"/>
    <w:family w:val="auto"/>
    <w:pitch w:val="default"/>
    <w:sig w:usb0="80000287" w:usb1="2ACF3C50" w:usb2="00000016" w:usb3="00000000" w:csb0="0004001F" w:csb1="00000000"/>
    <w:embedRegular r:id="rId7" w:fontKey="{D82958FE-07EC-449B-91B0-FE8DCA51BE87}"/>
  </w:font>
  <w:font w:name="楷体">
    <w:panose1 w:val="02010609060101010101"/>
    <w:charset w:val="86"/>
    <w:family w:val="modern"/>
    <w:pitch w:val="default"/>
    <w:sig w:usb0="800002BF" w:usb1="38CF7CFA" w:usb2="00000016" w:usb3="00000000" w:csb0="00040001" w:csb1="00000000"/>
    <w:embedRegular r:id="rId8" w:fontKey="{500A1FBD-D99F-438E-9741-C72D4B92BC9B}"/>
  </w:font>
  <w:font w:name="楷体_GB2312">
    <w:panose1 w:val="02010609030101010101"/>
    <w:charset w:val="86"/>
    <w:family w:val="auto"/>
    <w:pitch w:val="default"/>
    <w:sig w:usb0="00000001" w:usb1="080E0000" w:usb2="00000000" w:usb3="00000000" w:csb0="00040000" w:csb1="00000000"/>
    <w:embedRegular r:id="rId9" w:fontKey="{6CD5599D-DB7D-4080-B50B-A4A99960205F}"/>
  </w:font>
  <w:font w:name="Arial Narrow">
    <w:altName w:val="Arial"/>
    <w:panose1 w:val="020B0606020202030204"/>
    <w:charset w:val="00"/>
    <w:family w:val="swiss"/>
    <w:pitch w:val="default"/>
    <w:sig w:usb0="00000000" w:usb1="00000000" w:usb2="00000000" w:usb3="00000000" w:csb0="2000009F" w:csb1="DFD70000"/>
    <w:embedRegular r:id="rId10" w:fontKey="{9C93EBC0-5450-4A9D-9EF3-CE240A2D3F3F}"/>
  </w:font>
  <w:font w:name="等线">
    <w:panose1 w:val="02010600030101010101"/>
    <w:charset w:val="86"/>
    <w:family w:val="auto"/>
    <w:pitch w:val="default"/>
    <w:sig w:usb0="A00002BF" w:usb1="38CF7CFA" w:usb2="00000016" w:usb3="00000000" w:csb0="0004000F" w:csb1="00000000"/>
    <w:embedRegular r:id="rId11" w:fontKey="{43390E16-96BE-4E6C-B124-16F94189FDEB}"/>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12" w:fontKey="{AE6E6F1E-2BF5-479D-9DD9-81BB32424DB2}"/>
  </w:font>
  <w:font w:name="华文中宋">
    <w:altName w:val="汉仪中宋简"/>
    <w:panose1 w:val="02010600040101010101"/>
    <w:charset w:val="86"/>
    <w:family w:val="auto"/>
    <w:pitch w:val="default"/>
    <w:sig w:usb0="00000000" w:usb1="00000000" w:usb2="00000000" w:usb3="00000000" w:csb0="0004009F" w:csb1="DFD70000"/>
    <w:embedRegular r:id="rId13" w:fontKey="{6CA211D3-EFB1-4587-8489-9BEF1C07FBFB}"/>
  </w:font>
  <w:font w:name="汉仪中宋简">
    <w:panose1 w:val="02010600000101010101"/>
    <w:charset w:val="86"/>
    <w:family w:val="auto"/>
    <w:pitch w:val="default"/>
    <w:sig w:usb0="800002BF" w:usb1="184F6CF8" w:usb2="00000012" w:usb3="00000000" w:csb0="00020001" w:csb1="00000000"/>
  </w:font>
  <w:font w:name="隶书">
    <w:altName w:val="微软雅黑"/>
    <w:panose1 w:val="02010509060101010101"/>
    <w:charset w:val="86"/>
    <w:family w:val="modern"/>
    <w:pitch w:val="default"/>
    <w:sig w:usb0="00000000" w:usb1="00000000" w:usb2="00000000" w:usb3="00000000" w:csb0="00040000" w:csb1="00000000"/>
    <w:embedRegular r:id="rId14" w:fontKey="{65F73CD9-F776-4744-B745-EE2533D5BF81}"/>
  </w:font>
  <w:font w:name="Tahoma">
    <w:panose1 w:val="020B0604030504040204"/>
    <w:charset w:val="00"/>
    <w:family w:val="swiss"/>
    <w:pitch w:val="default"/>
    <w:sig w:usb0="E1002EFF" w:usb1="C000605B" w:usb2="00000029" w:usb3="00000000" w:csb0="200101FF" w:csb1="20280000"/>
    <w:embedRegular r:id="rId15" w:fontKey="{4911FFBF-E488-4FA4-91A9-04CD54A78880}"/>
  </w:font>
  <w:font w:name="方正公文小标宋">
    <w:altName w:val="宋体"/>
    <w:panose1 w:val="02000000000000000000"/>
    <w:charset w:val="86"/>
    <w:family w:val="auto"/>
    <w:pitch w:val="default"/>
    <w:sig w:usb0="00000000" w:usb1="00000000" w:usb2="00000000" w:usb3="00000000" w:csb0="00040000" w:csb1="00000000"/>
    <w:embedRegular r:id="rId16" w:fontKey="{FC76788B-5C2E-417F-A372-1E0F621747FD}"/>
  </w:font>
  <w:font w:name="仿宋">
    <w:panose1 w:val="02010609060101010101"/>
    <w:charset w:val="86"/>
    <w:family w:val="modern"/>
    <w:pitch w:val="default"/>
    <w:sig w:usb0="800002BF" w:usb1="38CF7CFA" w:usb2="00000016" w:usb3="00000000" w:csb0="00040001" w:csb1="00000000"/>
    <w:embedRegular r:id="rId17" w:fontKey="{1DF1656D-D55E-46C6-83D9-795592498E22}"/>
  </w:font>
  <w:font w:name="Segoe UI">
    <w:panose1 w:val="020B0502040204020203"/>
    <w:charset w:val="00"/>
    <w:family w:val="auto"/>
    <w:pitch w:val="default"/>
    <w:sig w:usb0="E4002EFF" w:usb1="C000E47F" w:usb2="00000009" w:usb3="00000000" w:csb0="200001FF" w:csb1="00000000"/>
    <w:embedRegular r:id="rId18" w:fontKey="{18A2D48C-DFD6-4AA4-B317-209691E97DBC}"/>
  </w:font>
  <w:font w:name="Wingdings 2">
    <w:altName w:val="Wingdings"/>
    <w:panose1 w:val="05020102010507070707"/>
    <w:charset w:val="02"/>
    <w:family w:val="roman"/>
    <w:pitch w:val="default"/>
    <w:sig w:usb0="00000000" w:usb1="00000000" w:usb2="00000000" w:usb3="00000000" w:csb0="80000000" w:csb1="00000000"/>
    <w:embedRegular r:id="rId19" w:fontKey="{DBBABBCB-9341-417E-8FF7-2485FBE68B79}"/>
  </w:font>
  <w:font w:name="WPSEMBED3">
    <w:panose1 w:val="02010609030101010101"/>
    <w:charset w:val="86"/>
    <w:family w:val="auto"/>
    <w:pitch w:val="default"/>
    <w:sig w:usb0="00000001" w:usb1="080E0000" w:usb2="00000000" w:usb3="00000000" w:csb0="00040000" w:csb1="00000000"/>
  </w:font>
  <w:font w:name="WPSEMBED1">
    <w:panose1 w:val="03000509000000000000"/>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 w:name="KSOF3D47F291">
    <w:panose1 w:val="020B0604020202020204"/>
    <w:charset w:val="00"/>
    <w:family w:val="auto"/>
    <w:pitch w:val="default"/>
    <w:sig w:usb0="00000001" w:usb1="00000000" w:usb2="00000000" w:usb3="00000000" w:csb0="00000001" w:csb1="00000000"/>
  </w:font>
  <w:font w:name="KSOF722E2DD2">
    <w:panose1 w:val="020B0704020202020204"/>
    <w:charset w:val="00"/>
    <w:family w:val="auto"/>
    <w:pitch w:val="default"/>
    <w:sig w:usb0="00000001" w:usb1="00000000" w:usb2="00000000" w:usb3="00000000" w:csb0="00000001" w:csb1="00000000"/>
  </w:font>
  <w:font w:name="Kingsoft UE">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 w:name="AlibabaPuHuiTi-Regular">
    <w:altName w:val="ksdb"/>
    <w:panose1 w:val="00000000000000000000"/>
    <w:charset w:val="00"/>
    <w:family w:val="auto"/>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7FC4CF2A">
    <w:panose1 w:val="020B06040202020202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91D49">
    <w:pPr>
      <w:widowControl w:val="0"/>
      <w:snapToGrid w:val="0"/>
      <w:spacing w:line="440" w:lineRule="exact"/>
      <w:jc w:val="left"/>
      <w:rPr>
        <w:rFonts w:hint="eastAsia" w:ascii="仿宋_GB2312" w:hAnsi="Calibri" w:eastAsia="仿宋_GB2312" w:cs="宋体"/>
        <w:kern w:val="2"/>
        <w:sz w:val="18"/>
        <w:szCs w:val="24"/>
        <w:lang w:val="en-US" w:eastAsia="zh-CN" w:bidi="ar-SA"/>
      </w:rPr>
    </w:pPr>
    <w:r>
      <w:rPr>
        <w:rFonts w:ascii="Calibri" w:hAnsi="Calibri" w:eastAsia="宋体" w:cs="宋体"/>
        <w:kern w:val="2"/>
        <w:sz w:val="18"/>
        <w:szCs w:val="24"/>
        <w:lang w:val="en-US" w:eastAsia="zh-CN" w:bidi="ar-SA"/>
      </w:rPr>
      <mc:AlternateContent>
        <mc:Choice Requires="wps">
          <w:drawing>
            <wp:anchor distT="0" distB="0" distL="0" distR="0" simplePos="0" relativeHeight="251661312" behindDoc="0" locked="0" layoutInCell="1" allowOverlap="1">
              <wp:simplePos x="0" y="0"/>
              <wp:positionH relativeFrom="column">
                <wp:posOffset>3810</wp:posOffset>
              </wp:positionH>
              <wp:positionV relativeFrom="paragraph">
                <wp:posOffset>-45720</wp:posOffset>
              </wp:positionV>
              <wp:extent cx="6473190" cy="12065"/>
              <wp:effectExtent l="0" t="0" r="0" b="0"/>
              <wp:wrapNone/>
              <wp:docPr id="14" name="直接连接符 42"/>
              <wp:cNvGraphicFramePr/>
              <a:graphic xmlns:a="http://schemas.openxmlformats.org/drawingml/2006/main">
                <a:graphicData uri="http://schemas.microsoft.com/office/word/2010/wordprocessingShape">
                  <wps:wsp>
                    <wps:cNvCnPr/>
                    <wps:spPr>
                      <a:xfrm>
                        <a:off x="0" y="0"/>
                        <a:ext cx="6473190" cy="12064"/>
                      </a:xfrm>
                      <a:prstGeom prst="line">
                        <a:avLst/>
                      </a:prstGeom>
                      <a:ln w="12700" cap="flat" cmpd="sng">
                        <a:solidFill>
                          <a:srgbClr val="000000"/>
                        </a:solidFill>
                        <a:prstDash val="sysDot"/>
                        <a:round/>
                      </a:ln>
                    </wps:spPr>
                    <wps:bodyPr/>
                  </wps:wsp>
                </a:graphicData>
              </a:graphic>
            </wp:anchor>
          </w:drawing>
        </mc:Choice>
        <mc:Fallback>
          <w:pict>
            <v:line id="直接连接符 42" o:spid="_x0000_s1026" o:spt="20" style="position:absolute;left:0pt;margin-left:0.3pt;margin-top:-3.6pt;height:0.95pt;width:509.7pt;z-index:251661312;mso-width-relative:page;mso-height-relative:page;" filled="f" stroked="t" coordsize="21600,21600" o:gfxdata="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4//8+0wAAAAcBAAAPAAAAAAAAAAEAIAAA&#10;ACIAAABkcnMvZG93bnJldi54bWxQSwECFAAUAAAACACHTuJANIF9x9gBAACWAwAADgAAAAAAAAAB&#10;ACAAAAAiAQAAZHJzL2Uyb0RvYy54bWxQSwUGAAAAAAYABgBZAQAAbAUAAAAA&#10;">
              <v:fill on="f" focussize="0,0"/>
              <v:stroke weight="1pt" color="#000000" joinstyle="round" dashstyle="1 1"/>
              <v:imagedata o:title=""/>
              <o:lock v:ext="edit" aspectratio="f"/>
            </v:line>
          </w:pict>
        </mc:Fallback>
      </mc:AlternateContent>
    </w:r>
    <w:r>
      <w:rPr>
        <w:rFonts w:ascii="Calibri" w:hAnsi="Calibri" w:eastAsia="宋体" w:cs="宋体"/>
        <w:kern w:val="2"/>
        <w:sz w:val="18"/>
        <w:szCs w:val="24"/>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034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034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22D64">
                          <w:pPr>
                            <w:widowControl w:val="0"/>
                            <w:snapToGrid w:val="0"/>
                            <w:spacing w:line="440" w:lineRule="exact"/>
                            <w:jc w:val="left"/>
                            <w:rPr>
                              <w:rFonts w:ascii="Calibri" w:hAnsi="Calibri" w:eastAsia="宋体" w:cs="宋体"/>
                              <w:kern w:val="2"/>
                              <w:sz w:val="18"/>
                              <w:szCs w:val="24"/>
                              <w:lang w:val="en-US" w:eastAsia="zh-CN" w:bidi="ar-SA"/>
                            </w:rPr>
                          </w:pPr>
                          <w:r>
                            <w:rPr>
                              <w:rFonts w:ascii="Calibri" w:hAnsi="Calibri" w:eastAsia="宋体" w:cs="宋体"/>
                              <w:kern w:val="2"/>
                              <w:sz w:val="18"/>
                              <w:szCs w:val="24"/>
                              <w:lang w:val="en-US" w:eastAsia="zh-CN" w:bidi="ar-SA"/>
                            </w:rPr>
                            <w:fldChar w:fldCharType="begin"/>
                          </w:r>
                          <w:r>
                            <w:rPr>
                              <w:rFonts w:ascii="Calibri" w:hAnsi="Calibri" w:eastAsia="宋体" w:cs="宋体"/>
                              <w:kern w:val="2"/>
                              <w:sz w:val="18"/>
                              <w:szCs w:val="24"/>
                              <w:lang w:val="en-US" w:eastAsia="zh-CN" w:bidi="ar-SA"/>
                            </w:rPr>
                            <w:instrText xml:space="preserve"> PAGE  \* MERGEFORMAT </w:instrText>
                          </w:r>
                          <w:r>
                            <w:rPr>
                              <w:rFonts w:ascii="Calibri" w:hAnsi="Calibri" w:eastAsia="宋体" w:cs="宋体"/>
                              <w:kern w:val="2"/>
                              <w:sz w:val="18"/>
                              <w:szCs w:val="24"/>
                              <w:lang w:val="en-US" w:eastAsia="zh-CN" w:bidi="ar-SA"/>
                            </w:rPr>
                            <w:fldChar w:fldCharType="separate"/>
                          </w:r>
                          <w:r>
                            <w:rPr>
                              <w:rFonts w:ascii="Calibri" w:hAnsi="Calibri" w:eastAsia="宋体" w:cs="宋体"/>
                              <w:kern w:val="2"/>
                              <w:sz w:val="18"/>
                              <w:szCs w:val="24"/>
                              <w:lang w:val="en-US" w:eastAsia="zh-CN" w:bidi="ar-SA"/>
                            </w:rPr>
                            <w:t>1</w:t>
                          </w:r>
                          <w:r>
                            <w:rPr>
                              <w:rFonts w:ascii="Calibri" w:hAnsi="Calibri" w:eastAsia="宋体" w:cs="宋体"/>
                              <w:kern w:val="2"/>
                              <w:sz w:val="18"/>
                              <w:szCs w:val="24"/>
                              <w:lang w:val="en-US" w:eastAsia="zh-CN" w:bidi="ar-SA"/>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2pt;mso-position-horizontal:center;mso-position-horizontal-relative:margin;z-index:251662336;mso-width-relative:page;mso-height-relative:page;" filled="f" stroked="f" coordsize="21600,21600" o:gfxdata="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31XyXSAAAABAEAAA8AAAAAAAAAAQAgAAAAIgAAAGRycy9kb3du&#10;cmV2LnhtbFBLAQIUABQAAAAIAIdO4kDPJIh7PgIAAHIEAAAOAAAAAAAAAAEAIAAAACEBAABkcnMv&#10;ZTJvRG9jLnhtbFBLBQYAAAAABgAGAFkBAADRBQAAAAA=&#10;">
              <v:fill on="f" focussize="0,0"/>
              <v:stroke on="f" weight="0.5pt"/>
              <v:imagedata o:title=""/>
              <o:lock v:ext="edit" aspectratio="f"/>
              <v:textbox inset="0mm,0mm,0mm,0mm" style="mso-fit-shape-to-text:t;">
                <w:txbxContent>
                  <w:p w14:paraId="2B022D64">
                    <w:pPr>
                      <w:widowControl w:val="0"/>
                      <w:snapToGrid w:val="0"/>
                      <w:spacing w:line="440" w:lineRule="exact"/>
                      <w:jc w:val="left"/>
                      <w:rPr>
                        <w:rFonts w:ascii="Calibri" w:hAnsi="Calibri" w:eastAsia="宋体" w:cs="宋体"/>
                        <w:kern w:val="2"/>
                        <w:sz w:val="18"/>
                        <w:szCs w:val="24"/>
                        <w:lang w:val="en-US" w:eastAsia="zh-CN" w:bidi="ar-SA"/>
                      </w:rPr>
                    </w:pPr>
                    <w:r>
                      <w:rPr>
                        <w:rFonts w:ascii="Calibri" w:hAnsi="Calibri" w:eastAsia="宋体" w:cs="宋体"/>
                        <w:kern w:val="2"/>
                        <w:sz w:val="18"/>
                        <w:szCs w:val="24"/>
                        <w:lang w:val="en-US" w:eastAsia="zh-CN" w:bidi="ar-SA"/>
                      </w:rPr>
                      <w:fldChar w:fldCharType="begin"/>
                    </w:r>
                    <w:r>
                      <w:rPr>
                        <w:rFonts w:ascii="Calibri" w:hAnsi="Calibri" w:eastAsia="宋体" w:cs="宋体"/>
                        <w:kern w:val="2"/>
                        <w:sz w:val="18"/>
                        <w:szCs w:val="24"/>
                        <w:lang w:val="en-US" w:eastAsia="zh-CN" w:bidi="ar-SA"/>
                      </w:rPr>
                      <w:instrText xml:space="preserve"> PAGE  \* MERGEFORMAT </w:instrText>
                    </w:r>
                    <w:r>
                      <w:rPr>
                        <w:rFonts w:ascii="Calibri" w:hAnsi="Calibri" w:eastAsia="宋体" w:cs="宋体"/>
                        <w:kern w:val="2"/>
                        <w:sz w:val="18"/>
                        <w:szCs w:val="24"/>
                        <w:lang w:val="en-US" w:eastAsia="zh-CN" w:bidi="ar-SA"/>
                      </w:rPr>
                      <w:fldChar w:fldCharType="separate"/>
                    </w:r>
                    <w:r>
                      <w:rPr>
                        <w:rFonts w:ascii="Calibri" w:hAnsi="Calibri" w:eastAsia="宋体" w:cs="宋体"/>
                        <w:kern w:val="2"/>
                        <w:sz w:val="18"/>
                        <w:szCs w:val="24"/>
                        <w:lang w:val="en-US" w:eastAsia="zh-CN" w:bidi="ar-SA"/>
                      </w:rPr>
                      <w:t>1</w:t>
                    </w:r>
                    <w:r>
                      <w:rPr>
                        <w:rFonts w:ascii="Calibri" w:hAnsi="Calibri" w:eastAsia="宋体" w:cs="宋体"/>
                        <w:kern w:val="2"/>
                        <w:sz w:val="18"/>
                        <w:szCs w:val="24"/>
                        <w:lang w:val="en-US" w:eastAsia="zh-CN" w:bidi="ar-SA"/>
                      </w:rPr>
                      <w:fldChar w:fldCharType="end"/>
                    </w:r>
                  </w:p>
                </w:txbxContent>
              </v:textbox>
            </v:shape>
          </w:pict>
        </mc:Fallback>
      </mc:AlternateContent>
    </w:r>
    <w:r>
      <w:rPr>
        <w:rFonts w:hint="eastAsia" w:ascii="仿宋_GB2312" w:hAnsi="Calibri" w:eastAsia="仿宋_GB2312" w:cs="宋体"/>
        <w:kern w:val="2"/>
        <w:sz w:val="18"/>
        <w:szCs w:val="24"/>
        <w:lang w:val="en-US" w:eastAsia="zh-CN" w:bidi="ar-SA"/>
      </w:rPr>
      <w:t xml:space="preserve">                                          </w:t>
    </w:r>
  </w:p>
  <w:p w14:paraId="5488C58E">
    <w:pPr>
      <w:widowControl w:val="0"/>
      <w:snapToGrid w:val="0"/>
      <w:spacing w:line="440" w:lineRule="exact"/>
      <w:ind w:firstLine="1980" w:firstLineChars="1100"/>
      <w:jc w:val="left"/>
      <w:rPr>
        <w:rFonts w:ascii="Calibri" w:hAnsi="Calibri" w:eastAsia="宋体" w:cs="宋体"/>
        <w:kern w:val="2"/>
        <w:sz w:val="18"/>
        <w:szCs w:val="24"/>
        <w:lang w:val="en-US" w:eastAsia="zh-CN" w:bidi="ar-SA"/>
      </w:rPr>
    </w:pPr>
    <w:r>
      <w:rPr>
        <w:rFonts w:hint="eastAsia" w:ascii="仿宋_GB2312" w:hAnsi="Calibri" w:eastAsia="仿宋_GB2312" w:cs="宋体"/>
        <w:kern w:val="2"/>
        <w:sz w:val="18"/>
        <w:szCs w:val="24"/>
        <w:lang w:val="en-US" w:eastAsia="zh-CN" w:bidi="ar-SA"/>
      </w:rPr>
      <w:t xml:space="preserve">                          </w:t>
    </w:r>
    <w:r>
      <w:rPr>
        <w:rFonts w:hint="eastAsia" w:ascii="楷体" w:hAnsi="楷体" w:eastAsia="楷体" w:cs="楷体"/>
        <w:kern w:val="2"/>
        <w:sz w:val="18"/>
        <w:szCs w:val="11"/>
        <w:lang w:val="en-US" w:eastAsia="zh-CN" w:bidi="ar-S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9D439">
    <w:pPr>
      <w:widowControl w:val="0"/>
      <w:snapToGrid w:val="0"/>
      <w:spacing w:line="440" w:lineRule="exact"/>
      <w:jc w:val="left"/>
      <w:rPr>
        <w:rFonts w:hint="eastAsia" w:ascii="仿宋_GB2312" w:hAnsi="Calibri" w:eastAsia="仿宋_GB2312" w:cs="宋体"/>
        <w:kern w:val="2"/>
        <w:sz w:val="18"/>
        <w:szCs w:val="24"/>
        <w:lang w:val="en-US" w:eastAsia="zh-CN" w:bidi="ar-SA"/>
      </w:rPr>
    </w:pPr>
    <w:r>
      <w:rPr>
        <w:rFonts w:ascii="Calibri" w:hAnsi="Calibri" w:eastAsia="宋体" w:cs="宋体"/>
        <w:kern w:val="2"/>
        <w:sz w:val="18"/>
        <w:szCs w:val="24"/>
        <w:lang w:val="en-US" w:eastAsia="zh-CN" w:bidi="ar-SA"/>
      </w:rPr>
      <mc:AlternateContent>
        <mc:Choice Requires="wps">
          <w:drawing>
            <wp:anchor distT="0" distB="0" distL="0" distR="0" simplePos="0" relativeHeight="251663360" behindDoc="0" locked="0" layoutInCell="1" allowOverlap="1">
              <wp:simplePos x="0" y="0"/>
              <wp:positionH relativeFrom="column">
                <wp:posOffset>3810</wp:posOffset>
              </wp:positionH>
              <wp:positionV relativeFrom="paragraph">
                <wp:posOffset>-45720</wp:posOffset>
              </wp:positionV>
              <wp:extent cx="6473190" cy="12065"/>
              <wp:effectExtent l="0" t="0" r="0" b="0"/>
              <wp:wrapNone/>
              <wp:docPr id="10" name="直接连接符 42"/>
              <wp:cNvGraphicFramePr/>
              <a:graphic xmlns:a="http://schemas.openxmlformats.org/drawingml/2006/main">
                <a:graphicData uri="http://schemas.microsoft.com/office/word/2010/wordprocessingShape">
                  <wps:wsp>
                    <wps:cNvCnPr/>
                    <wps:spPr>
                      <a:xfrm>
                        <a:off x="0" y="0"/>
                        <a:ext cx="6473190" cy="12064"/>
                      </a:xfrm>
                      <a:prstGeom prst="line">
                        <a:avLst/>
                      </a:prstGeom>
                      <a:ln w="12700" cap="flat" cmpd="sng">
                        <a:solidFill>
                          <a:srgbClr val="000000"/>
                        </a:solidFill>
                        <a:prstDash val="sysDot"/>
                        <a:round/>
                      </a:ln>
                    </wps:spPr>
                    <wps:bodyPr/>
                  </wps:wsp>
                </a:graphicData>
              </a:graphic>
            </wp:anchor>
          </w:drawing>
        </mc:Choice>
        <mc:Fallback>
          <w:pict>
            <v:line id="直接连接符 42" o:spid="_x0000_s1026" o:spt="20" style="position:absolute;left:0pt;margin-left:0.3pt;margin-top:-3.6pt;height:0.95pt;width:509.7pt;z-index:251663360;mso-width-relative:page;mso-height-relative:page;" filled="f" stroked="t" coordsize="21600,21600" o:gfxdata="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j//z7TAAAABwEAAA8AAAAAAAAAAQAgAAAA&#10;IgAAAGRycy9kb3ducmV2LnhtbFBLAQIUABQAAAAIAIdO4kATy0N+1wEAAJYDAAAOAAAAAAAAAAEA&#10;IAAAACIBAABkcnMvZTJvRG9jLnhtbFBLBQYAAAAABgAGAFkBAABrBQAAAAA=&#10;">
              <v:fill on="f" focussize="0,0"/>
              <v:stroke weight="1pt" color="#000000" joinstyle="round" dashstyle="1 1"/>
              <v:imagedata o:title=""/>
              <o:lock v:ext="edit" aspectratio="f"/>
            </v:line>
          </w:pict>
        </mc:Fallback>
      </mc:AlternateContent>
    </w:r>
    <w:r>
      <w:rPr>
        <w:rFonts w:hint="eastAsia" w:ascii="仿宋_GB2312" w:hAnsi="Calibri" w:eastAsia="仿宋_GB2312" w:cs="宋体"/>
        <w:kern w:val="2"/>
        <w:sz w:val="18"/>
        <w:szCs w:val="24"/>
        <w:lang w:val="en-US" w:eastAsia="zh-CN" w:bidi="ar-SA"/>
      </w:rPr>
      <w:t xml:space="preserve">                                          </w:t>
    </w:r>
  </w:p>
  <w:p w14:paraId="44BAFB0E">
    <w:pPr>
      <w:widowControl w:val="0"/>
      <w:snapToGrid w:val="0"/>
      <w:spacing w:line="440" w:lineRule="exact"/>
      <w:ind w:firstLine="1980" w:firstLineChars="1100"/>
      <w:jc w:val="left"/>
      <w:rPr>
        <w:rFonts w:ascii="Calibri" w:hAnsi="Calibri" w:eastAsia="宋体" w:cs="宋体"/>
        <w:kern w:val="2"/>
        <w:sz w:val="18"/>
        <w:szCs w:val="24"/>
        <w:lang w:val="en-US" w:eastAsia="zh-CN" w:bidi="ar-SA"/>
      </w:rPr>
    </w:pPr>
    <w:r>
      <w:rPr>
        <w:rFonts w:hint="eastAsia" w:ascii="仿宋_GB2312" w:hAnsi="Calibri" w:eastAsia="仿宋_GB2312" w:cs="宋体"/>
        <w:kern w:val="2"/>
        <w:sz w:val="18"/>
        <w:szCs w:val="24"/>
        <w:lang w:val="en-US" w:eastAsia="zh-CN" w:bidi="ar-SA"/>
      </w:rPr>
      <w:t xml:space="preserve">                          </w:t>
    </w:r>
    <w:r>
      <w:rPr>
        <w:rFonts w:hint="eastAsia" w:ascii="楷体" w:hAnsi="楷体" w:eastAsia="楷体" w:cs="楷体"/>
        <w:kern w:val="2"/>
        <w:sz w:val="18"/>
        <w:szCs w:val="11"/>
        <w:lang w:val="en-US" w:eastAsia="zh-CN" w:bidi="ar-S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D7AB8">
    <w:pPr>
      <w:pStyle w:val="2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27F6B">
    <w:pPr>
      <w:pStyle w:val="2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9886E">
    <w:pPr>
      <w:pStyle w:val="2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967C7">
                          <w:pPr>
                            <w:pStyle w:val="24"/>
                            <w:rPr>
                              <w:b/>
                              <w:bCs/>
                              <w:sz w:val="22"/>
                              <w:szCs w:val="36"/>
                            </w:rPr>
                          </w:pPr>
                          <w:r>
                            <w:rPr>
                              <w:b/>
                              <w:bCs/>
                              <w:sz w:val="22"/>
                              <w:szCs w:val="36"/>
                            </w:rPr>
                            <w:t xml:space="preserve">— </w:t>
                          </w:r>
                          <w:r>
                            <w:rPr>
                              <w:b/>
                              <w:bCs/>
                              <w:sz w:val="22"/>
                              <w:szCs w:val="36"/>
                            </w:rPr>
                            <w:fldChar w:fldCharType="begin"/>
                          </w:r>
                          <w:r>
                            <w:rPr>
                              <w:b/>
                              <w:bCs/>
                              <w:sz w:val="22"/>
                              <w:szCs w:val="36"/>
                            </w:rPr>
                            <w:instrText xml:space="preserve"> PAGE  \* MERGEFORMAT </w:instrText>
                          </w:r>
                          <w:r>
                            <w:rPr>
                              <w:b/>
                              <w:bCs/>
                              <w:sz w:val="22"/>
                              <w:szCs w:val="36"/>
                            </w:rPr>
                            <w:fldChar w:fldCharType="separate"/>
                          </w:r>
                          <w:r>
                            <w:rPr>
                              <w:b/>
                              <w:bCs/>
                              <w:sz w:val="22"/>
                              <w:szCs w:val="36"/>
                            </w:rPr>
                            <w:t>1</w:t>
                          </w:r>
                          <w:r>
                            <w:rPr>
                              <w:b/>
                              <w:bCs/>
                              <w:sz w:val="22"/>
                              <w:szCs w:val="36"/>
                            </w:rPr>
                            <w:fldChar w:fldCharType="end"/>
                          </w:r>
                          <w:r>
                            <w:rPr>
                              <w:b/>
                              <w:bCs/>
                              <w:sz w:val="22"/>
                              <w:szCs w:val="36"/>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AA967C7">
                    <w:pPr>
                      <w:pStyle w:val="24"/>
                      <w:rPr>
                        <w:b/>
                        <w:bCs/>
                        <w:sz w:val="22"/>
                        <w:szCs w:val="36"/>
                      </w:rPr>
                    </w:pPr>
                    <w:r>
                      <w:rPr>
                        <w:b/>
                        <w:bCs/>
                        <w:sz w:val="22"/>
                        <w:szCs w:val="36"/>
                      </w:rPr>
                      <w:t xml:space="preserve">— </w:t>
                    </w:r>
                    <w:r>
                      <w:rPr>
                        <w:b/>
                        <w:bCs/>
                        <w:sz w:val="22"/>
                        <w:szCs w:val="36"/>
                      </w:rPr>
                      <w:fldChar w:fldCharType="begin"/>
                    </w:r>
                    <w:r>
                      <w:rPr>
                        <w:b/>
                        <w:bCs/>
                        <w:sz w:val="22"/>
                        <w:szCs w:val="36"/>
                      </w:rPr>
                      <w:instrText xml:space="preserve"> PAGE  \* MERGEFORMAT </w:instrText>
                    </w:r>
                    <w:r>
                      <w:rPr>
                        <w:b/>
                        <w:bCs/>
                        <w:sz w:val="22"/>
                        <w:szCs w:val="36"/>
                      </w:rPr>
                      <w:fldChar w:fldCharType="separate"/>
                    </w:r>
                    <w:r>
                      <w:rPr>
                        <w:b/>
                        <w:bCs/>
                        <w:sz w:val="22"/>
                        <w:szCs w:val="36"/>
                      </w:rPr>
                      <w:t>1</w:t>
                    </w:r>
                    <w:r>
                      <w:rPr>
                        <w:b/>
                        <w:bCs/>
                        <w:sz w:val="22"/>
                        <w:szCs w:val="36"/>
                      </w:rPr>
                      <w:fldChar w:fldCharType="end"/>
                    </w:r>
                    <w:r>
                      <w:rPr>
                        <w:b/>
                        <w:bCs/>
                        <w:sz w:val="22"/>
                        <w:szCs w:val="36"/>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6C1AA">
    <w:pPr>
      <w:pStyle w:val="25"/>
      <w:pBdr>
        <w:bottom w:val="single" w:color="auto" w:sz="4" w:space="1"/>
      </w:pBdr>
      <w:tabs>
        <w:tab w:val="clear" w:pos="4153"/>
      </w:tabs>
      <w:ind w:firstLine="211" w:firstLineChars="100"/>
      <w:jc w:val="both"/>
      <w:rPr>
        <w:rFonts w:hint="default" w:ascii="仿宋" w:hAnsi="仿宋" w:eastAsia="仿宋" w:cs="仿宋"/>
        <w:b/>
        <w:bCs/>
        <w:sz w:val="21"/>
        <w:szCs w:val="21"/>
        <w:lang w:val="en-US" w:eastAsia="zh-CN"/>
      </w:rPr>
    </w:pPr>
    <w:r>
      <w:rPr>
        <w:rFonts w:hint="eastAsia" w:ascii="仿宋" w:hAnsi="仿宋" w:eastAsia="仿宋" w:cs="仿宋"/>
        <w:b/>
        <w:bCs/>
        <w:sz w:val="21"/>
        <w:szCs w:val="21"/>
        <w:lang w:val="en-US" w:eastAsia="zh-CN"/>
      </w:rPr>
      <w:t>2026年度市公安局公安科学技术大队实验室试剂耗材及DNA样本检测项目          竞争性谈判文件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FBADCD"/>
    <w:multiLevelType w:val="singleLevel"/>
    <w:tmpl w:val="8FFBADCD"/>
    <w:lvl w:ilvl="0" w:tentative="0">
      <w:start w:val="9"/>
      <w:numFmt w:val="decimal"/>
      <w:suff w:val="nothing"/>
      <w:lvlText w:val="%1、"/>
      <w:lvlJc w:val="left"/>
    </w:lvl>
  </w:abstractNum>
  <w:abstractNum w:abstractNumId="1">
    <w:nsid w:val="B82D91CE"/>
    <w:multiLevelType w:val="singleLevel"/>
    <w:tmpl w:val="B82D91CE"/>
    <w:lvl w:ilvl="0" w:tentative="0">
      <w:start w:val="1"/>
      <w:numFmt w:val="decimal"/>
      <w:lvlText w:val="(%1)"/>
      <w:lvlJc w:val="left"/>
      <w:pPr>
        <w:ind w:left="425" w:hanging="425"/>
      </w:pPr>
      <w:rPr>
        <w:rFonts w:hint="default"/>
      </w:rPr>
    </w:lvl>
  </w:abstractNum>
  <w:abstractNum w:abstractNumId="2">
    <w:nsid w:val="BAD07DA3"/>
    <w:multiLevelType w:val="singleLevel"/>
    <w:tmpl w:val="BAD07DA3"/>
    <w:lvl w:ilvl="0" w:tentative="0">
      <w:start w:val="1"/>
      <w:numFmt w:val="decimal"/>
      <w:suff w:val="nothing"/>
      <w:lvlText w:val="%1．"/>
      <w:lvlJc w:val="left"/>
      <w:pPr>
        <w:ind w:left="0" w:firstLine="400"/>
      </w:pPr>
      <w:rPr>
        <w:rFonts w:hint="default"/>
      </w:rPr>
    </w:lvl>
  </w:abstractNum>
  <w:abstractNum w:abstractNumId="3">
    <w:nsid w:val="DF5DAB78"/>
    <w:multiLevelType w:val="singleLevel"/>
    <w:tmpl w:val="DF5DAB78"/>
    <w:lvl w:ilvl="0" w:tentative="0">
      <w:start w:val="1"/>
      <w:numFmt w:val="decimal"/>
      <w:suff w:val="nothing"/>
      <w:lvlText w:val="%1．"/>
      <w:lvlJc w:val="left"/>
      <w:pPr>
        <w:ind w:left="0" w:firstLine="400"/>
      </w:pPr>
      <w:rPr>
        <w:rFonts w:hint="default"/>
      </w:rPr>
    </w:lvl>
  </w:abstractNum>
  <w:abstractNum w:abstractNumId="4">
    <w:nsid w:val="F40096D2"/>
    <w:multiLevelType w:val="singleLevel"/>
    <w:tmpl w:val="F40096D2"/>
    <w:lvl w:ilvl="0" w:tentative="0">
      <w:start w:val="1"/>
      <w:numFmt w:val="decimal"/>
      <w:suff w:val="nothing"/>
      <w:lvlText w:val="%1．"/>
      <w:lvlJc w:val="left"/>
      <w:pPr>
        <w:ind w:left="0" w:firstLine="400"/>
      </w:pPr>
      <w:rPr>
        <w:rFonts w:hint="default"/>
      </w:rPr>
    </w:lvl>
  </w:abstractNum>
  <w:abstractNum w:abstractNumId="5">
    <w:nsid w:val="00000001"/>
    <w:multiLevelType w:val="singleLevel"/>
    <w:tmpl w:val="00000001"/>
    <w:lvl w:ilvl="0" w:tentative="0">
      <w:start w:val="1"/>
      <w:numFmt w:val="decimal"/>
      <w:suff w:val="nothing"/>
      <w:lvlText w:val="%1．"/>
      <w:lvlJc w:val="left"/>
      <w:pPr>
        <w:ind w:left="0" w:firstLine="400"/>
      </w:pPr>
      <w:rPr>
        <w:rFonts w:hint="default"/>
      </w:rPr>
    </w:lvl>
  </w:abstractNum>
  <w:abstractNum w:abstractNumId="6">
    <w:nsid w:val="00000005"/>
    <w:multiLevelType w:val="singleLevel"/>
    <w:tmpl w:val="00000005"/>
    <w:lvl w:ilvl="0" w:tentative="0">
      <w:start w:val="1"/>
      <w:numFmt w:val="decimal"/>
      <w:suff w:val="nothing"/>
      <w:lvlText w:val="%1．"/>
      <w:lvlJc w:val="left"/>
      <w:pPr>
        <w:ind w:left="0" w:firstLine="400"/>
      </w:pPr>
      <w:rPr>
        <w:rFonts w:hint="default"/>
      </w:rPr>
    </w:lvl>
  </w:abstractNum>
  <w:abstractNum w:abstractNumId="7">
    <w:nsid w:val="00000007"/>
    <w:multiLevelType w:val="multilevel"/>
    <w:tmpl w:val="00000007"/>
    <w:lvl w:ilvl="0" w:tentative="0">
      <w:start w:val="1"/>
      <w:numFmt w:val="chineseCounting"/>
      <w:suff w:val="nothing"/>
      <w:lvlText w:val="第%1章 "/>
      <w:lvlJc w:val="left"/>
      <w:pPr>
        <w:tabs>
          <w:tab w:val="left" w:pos="0"/>
        </w:tabs>
        <w:ind w:left="0" w:firstLine="402"/>
      </w:pPr>
      <w:rPr>
        <w:rFonts w:hint="eastAsia" w:ascii="微软雅黑" w:hAnsi="微软雅黑" w:eastAsia="微软雅黑" w:cs="微软雅黑"/>
        <w:sz w:val="36"/>
        <w:szCs w:val="36"/>
      </w:rPr>
    </w:lvl>
    <w:lvl w:ilvl="1" w:tentative="0">
      <w:start w:val="1"/>
      <w:numFmt w:val="chineseCounting"/>
      <w:suff w:val="nothing"/>
      <w:lvlText w:val="%2、"/>
      <w:lvlJc w:val="left"/>
      <w:pPr>
        <w:ind w:left="0" w:firstLine="402"/>
      </w:pPr>
      <w:rPr>
        <w:rFonts w:hint="eastAsia" w:ascii="宋体" w:hAnsi="宋体" w:eastAsia="宋体" w:cs="宋体"/>
      </w:rPr>
    </w:lvl>
    <w:lvl w:ilvl="2" w:tentative="0">
      <w:start w:val="1"/>
      <w:numFmt w:val="decimal"/>
      <w:suff w:val="nothing"/>
      <w:lvlText w:val="%3．"/>
      <w:lvlJc w:val="left"/>
      <w:pPr>
        <w:ind w:left="0" w:firstLine="402"/>
      </w:pPr>
      <w:rPr>
        <w:rFonts w:hint="eastAsia" w:ascii="宋体" w:hAnsi="宋体" w:eastAsia="宋体" w:cs="宋体"/>
      </w:rPr>
    </w:lvl>
    <w:lvl w:ilvl="3" w:tentative="0">
      <w:start w:val="1"/>
      <w:numFmt w:val="decimal"/>
      <w:suff w:val="nothing"/>
      <w:lvlText w:val="%3.%4"/>
      <w:lvlJc w:val="left"/>
      <w:pPr>
        <w:ind w:left="0" w:firstLine="402"/>
      </w:pPr>
      <w:rPr>
        <w:rFonts w:hint="eastAsia" w:ascii="黑体" w:hAnsi="黑体" w:eastAsia="黑体" w:cs="黑体"/>
        <w:sz w:val="24"/>
        <w:szCs w:val="24"/>
      </w:rPr>
    </w:lvl>
    <w:lvl w:ilvl="4" w:tentative="0">
      <w:start w:val="1"/>
      <w:numFmt w:val="decimal"/>
      <w:suff w:val="nothing"/>
      <w:lvlText w:val="%3.%4.%5 "/>
      <w:lvlJc w:val="left"/>
      <w:pPr>
        <w:ind w:left="0" w:firstLine="402"/>
      </w:pPr>
      <w:rPr>
        <w:rFonts w:hint="eastAsia" w:ascii="宋体" w:hAnsi="宋体" w:eastAsia="宋体" w:cs="宋体"/>
      </w:rPr>
    </w:lvl>
    <w:lvl w:ilvl="5" w:tentative="0">
      <w:start w:val="1"/>
      <w:numFmt w:val="decimal"/>
      <w:suff w:val="nothing"/>
      <w:lvlText w:val="%3.%4.%5.%6"/>
      <w:lvlJc w:val="left"/>
      <w:pPr>
        <w:ind w:left="0" w:firstLine="402"/>
      </w:pPr>
      <w:rPr>
        <w:rFonts w:hint="eastAsia" w:ascii="宋体" w:hAnsi="宋体" w:eastAsia="宋体" w:cs="宋体"/>
      </w:rPr>
    </w:lvl>
    <w:lvl w:ilvl="6" w:tentative="0">
      <w:start w:val="1"/>
      <w:numFmt w:val="decimal"/>
      <w:suff w:val="nothing"/>
      <w:lvlText w:val="%3.%4.%5.%6.%7"/>
      <w:lvlJc w:val="left"/>
      <w:pPr>
        <w:ind w:left="0" w:firstLine="402"/>
      </w:pPr>
      <w:rPr>
        <w:rFonts w:hint="eastAsia" w:ascii="宋体" w:hAnsi="宋体" w:eastAsia="宋体" w:cs="宋体"/>
      </w:rPr>
    </w:lvl>
    <w:lvl w:ilvl="7" w:tentative="0">
      <w:start w:val="1"/>
      <w:numFmt w:val="decimal"/>
      <w:suff w:val="nothing"/>
      <w:lvlText w:val="%3.%4.%5.%6.%7.%8"/>
      <w:lvlJc w:val="left"/>
      <w:pPr>
        <w:ind w:left="0" w:firstLine="402"/>
      </w:pPr>
      <w:rPr>
        <w:rFonts w:hint="eastAsia" w:ascii="宋体" w:hAnsi="宋体" w:eastAsia="宋体" w:cs="宋体"/>
      </w:rPr>
    </w:lvl>
    <w:lvl w:ilvl="8" w:tentative="0">
      <w:start w:val="1"/>
      <w:numFmt w:val="decimal"/>
      <w:pStyle w:val="11"/>
      <w:suff w:val="nothing"/>
      <w:lvlText w:val="%3.%4.%5.%6.%7.%8.%9"/>
      <w:lvlJc w:val="left"/>
      <w:pPr>
        <w:ind w:left="0" w:firstLine="402"/>
      </w:pPr>
      <w:rPr>
        <w:rFonts w:hint="eastAsia" w:ascii="宋体" w:hAnsi="宋体" w:eastAsia="宋体" w:cs="宋体"/>
      </w:rPr>
    </w:lvl>
  </w:abstractNum>
  <w:abstractNum w:abstractNumId="8">
    <w:nsid w:val="00000009"/>
    <w:multiLevelType w:val="multilevel"/>
    <w:tmpl w:val="00000009"/>
    <w:lvl w:ilvl="0" w:tentative="0">
      <w:start w:val="1"/>
      <w:numFmt w:val="decimal"/>
      <w:suff w:val="nothing"/>
      <w:lvlText w:val="（%1）"/>
      <w:lvlJc w:val="left"/>
      <w:pPr>
        <w:ind w:left="0" w:firstLine="403"/>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0A"/>
    <w:multiLevelType w:val="singleLevel"/>
    <w:tmpl w:val="0000000A"/>
    <w:lvl w:ilvl="0" w:tentative="0">
      <w:start w:val="1"/>
      <w:numFmt w:val="decimal"/>
      <w:suff w:val="nothing"/>
      <w:lvlText w:val="%1"/>
      <w:lvlJc w:val="center"/>
      <w:pPr>
        <w:ind w:left="0" w:firstLine="0"/>
      </w:pPr>
      <w:rPr>
        <w:rFonts w:hint="default"/>
      </w:rPr>
    </w:lvl>
  </w:abstractNum>
  <w:abstractNum w:abstractNumId="10">
    <w:nsid w:val="0000000C"/>
    <w:multiLevelType w:val="singleLevel"/>
    <w:tmpl w:val="0000000C"/>
    <w:lvl w:ilvl="0" w:tentative="0">
      <w:start w:val="1"/>
      <w:numFmt w:val="decimal"/>
      <w:lvlText w:val="%1."/>
      <w:lvlJc w:val="left"/>
      <w:pPr>
        <w:ind w:left="425" w:hanging="425"/>
      </w:pPr>
      <w:rPr>
        <w:rFonts w:hint="default"/>
      </w:rPr>
    </w:lvl>
  </w:abstractNum>
  <w:abstractNum w:abstractNumId="11">
    <w:nsid w:val="0000000D"/>
    <w:multiLevelType w:val="singleLevel"/>
    <w:tmpl w:val="0000000D"/>
    <w:lvl w:ilvl="0" w:tentative="0">
      <w:start w:val="1"/>
      <w:numFmt w:val="decimal"/>
      <w:suff w:val="nothing"/>
      <w:lvlText w:val="%1．"/>
      <w:lvlJc w:val="left"/>
      <w:pPr>
        <w:ind w:left="0" w:firstLine="400"/>
      </w:pPr>
      <w:rPr>
        <w:rFonts w:hint="default"/>
      </w:rPr>
    </w:lvl>
  </w:abstractNum>
  <w:abstractNum w:abstractNumId="12">
    <w:nsid w:val="0000000E"/>
    <w:multiLevelType w:val="singleLevel"/>
    <w:tmpl w:val="0000000E"/>
    <w:lvl w:ilvl="0" w:tentative="0">
      <w:start w:val="1"/>
      <w:numFmt w:val="decimal"/>
      <w:suff w:val="nothing"/>
      <w:lvlText w:val="%1．"/>
      <w:lvlJc w:val="left"/>
      <w:pPr>
        <w:ind w:left="0" w:firstLine="400"/>
      </w:pPr>
      <w:rPr>
        <w:rFonts w:hint="default"/>
      </w:rPr>
    </w:lvl>
  </w:abstractNum>
  <w:abstractNum w:abstractNumId="13">
    <w:nsid w:val="0000000F"/>
    <w:multiLevelType w:val="singleLevel"/>
    <w:tmpl w:val="0000000F"/>
    <w:lvl w:ilvl="0" w:tentative="0">
      <w:start w:val="1"/>
      <w:numFmt w:val="decimal"/>
      <w:suff w:val="nothing"/>
      <w:lvlText w:val="%1．"/>
      <w:lvlJc w:val="left"/>
      <w:pPr>
        <w:ind w:left="0" w:firstLine="400"/>
      </w:pPr>
      <w:rPr>
        <w:rFonts w:hint="default"/>
      </w:rPr>
    </w:lvl>
  </w:abstractNum>
  <w:abstractNum w:abstractNumId="14">
    <w:nsid w:val="00000010"/>
    <w:multiLevelType w:val="singleLevel"/>
    <w:tmpl w:val="00000010"/>
    <w:lvl w:ilvl="0" w:tentative="0">
      <w:start w:val="1"/>
      <w:numFmt w:val="decimalEnclosedCircleChinese"/>
      <w:suff w:val="nothing"/>
      <w:lvlText w:val="%1　"/>
      <w:lvlJc w:val="left"/>
      <w:pPr>
        <w:ind w:left="0" w:firstLine="400"/>
      </w:pPr>
      <w:rPr>
        <w:rFonts w:hint="eastAsia"/>
      </w:rPr>
    </w:lvl>
  </w:abstractNum>
  <w:abstractNum w:abstractNumId="15">
    <w:nsid w:val="00000011"/>
    <w:multiLevelType w:val="singleLevel"/>
    <w:tmpl w:val="00000011"/>
    <w:lvl w:ilvl="0" w:tentative="0">
      <w:start w:val="1"/>
      <w:numFmt w:val="decimal"/>
      <w:suff w:val="nothing"/>
      <w:lvlText w:val="%1．"/>
      <w:lvlJc w:val="left"/>
      <w:pPr>
        <w:ind w:left="0" w:firstLine="400"/>
      </w:pPr>
      <w:rPr>
        <w:rFonts w:hint="default"/>
      </w:rPr>
    </w:lvl>
  </w:abstractNum>
  <w:abstractNum w:abstractNumId="16">
    <w:nsid w:val="00000013"/>
    <w:multiLevelType w:val="singleLevel"/>
    <w:tmpl w:val="00000013"/>
    <w:lvl w:ilvl="0" w:tentative="0">
      <w:start w:val="1"/>
      <w:numFmt w:val="decimal"/>
      <w:suff w:val="nothing"/>
      <w:lvlText w:val="%1．"/>
      <w:lvlJc w:val="left"/>
      <w:pPr>
        <w:ind w:left="0" w:firstLine="400"/>
      </w:pPr>
      <w:rPr>
        <w:rFonts w:hint="default"/>
      </w:rPr>
    </w:lvl>
  </w:abstractNum>
  <w:abstractNum w:abstractNumId="17">
    <w:nsid w:val="00000014"/>
    <w:multiLevelType w:val="singleLevel"/>
    <w:tmpl w:val="00000014"/>
    <w:lvl w:ilvl="0" w:tentative="0">
      <w:start w:val="1"/>
      <w:numFmt w:val="decimal"/>
      <w:suff w:val="nothing"/>
      <w:lvlText w:val="%1"/>
      <w:lvlJc w:val="center"/>
      <w:pPr>
        <w:ind w:left="0" w:firstLine="0"/>
      </w:pPr>
      <w:rPr>
        <w:rFonts w:hint="default"/>
      </w:rPr>
    </w:lvl>
  </w:abstractNum>
  <w:abstractNum w:abstractNumId="18">
    <w:nsid w:val="00000018"/>
    <w:multiLevelType w:val="singleLevel"/>
    <w:tmpl w:val="00000018"/>
    <w:lvl w:ilvl="0" w:tentative="0">
      <w:start w:val="1"/>
      <w:numFmt w:val="decimal"/>
      <w:suff w:val="nothing"/>
      <w:lvlText w:val="%1．"/>
      <w:lvlJc w:val="left"/>
      <w:pPr>
        <w:ind w:left="0" w:firstLine="400"/>
      </w:pPr>
      <w:rPr>
        <w:rFonts w:hint="default"/>
      </w:rPr>
    </w:lvl>
  </w:abstractNum>
  <w:abstractNum w:abstractNumId="19">
    <w:nsid w:val="00000019"/>
    <w:multiLevelType w:val="singleLevel"/>
    <w:tmpl w:val="00000019"/>
    <w:lvl w:ilvl="0" w:tentative="0">
      <w:start w:val="1"/>
      <w:numFmt w:val="decimal"/>
      <w:suff w:val="nothing"/>
      <w:lvlText w:val="（%1）"/>
      <w:lvlJc w:val="left"/>
      <w:pPr>
        <w:ind w:left="0" w:firstLine="403"/>
      </w:pPr>
      <w:rPr>
        <w:rFonts w:hint="default"/>
      </w:rPr>
    </w:lvl>
  </w:abstractNum>
  <w:abstractNum w:abstractNumId="20">
    <w:nsid w:val="0000001B"/>
    <w:multiLevelType w:val="singleLevel"/>
    <w:tmpl w:val="0000001B"/>
    <w:lvl w:ilvl="0" w:tentative="0">
      <w:start w:val="1"/>
      <w:numFmt w:val="decimal"/>
      <w:pStyle w:val="72"/>
      <w:suff w:val="nothing"/>
      <w:lvlText w:val="%1"/>
      <w:lvlJc w:val="center"/>
      <w:pPr>
        <w:tabs>
          <w:tab w:val="left" w:pos="0"/>
        </w:tabs>
        <w:ind w:left="0" w:firstLine="0"/>
      </w:pPr>
      <w:rPr>
        <w:rFonts w:hint="default"/>
      </w:rPr>
    </w:lvl>
  </w:abstractNum>
  <w:abstractNum w:abstractNumId="21">
    <w:nsid w:val="0000001D"/>
    <w:multiLevelType w:val="singleLevel"/>
    <w:tmpl w:val="0000001D"/>
    <w:lvl w:ilvl="0" w:tentative="0">
      <w:start w:val="1"/>
      <w:numFmt w:val="decimal"/>
      <w:suff w:val="nothing"/>
      <w:lvlText w:val="%1．"/>
      <w:lvlJc w:val="left"/>
      <w:pPr>
        <w:ind w:left="0" w:firstLine="400"/>
      </w:pPr>
      <w:rPr>
        <w:rFonts w:hint="default"/>
      </w:rPr>
    </w:lvl>
  </w:abstractNum>
  <w:abstractNum w:abstractNumId="22">
    <w:nsid w:val="0000001F"/>
    <w:multiLevelType w:val="singleLevel"/>
    <w:tmpl w:val="0000001F"/>
    <w:lvl w:ilvl="0" w:tentative="0">
      <w:start w:val="1"/>
      <w:numFmt w:val="decimal"/>
      <w:suff w:val="nothing"/>
      <w:lvlText w:val="%1．"/>
      <w:lvlJc w:val="left"/>
      <w:pPr>
        <w:ind w:left="0" w:firstLine="400"/>
      </w:pPr>
      <w:rPr>
        <w:rFonts w:hint="default"/>
      </w:rPr>
    </w:lvl>
  </w:abstractNum>
  <w:abstractNum w:abstractNumId="23">
    <w:nsid w:val="00000020"/>
    <w:multiLevelType w:val="multilevel"/>
    <w:tmpl w:val="00000020"/>
    <w:lvl w:ilvl="0" w:tentative="0">
      <w:start w:val="1"/>
      <w:numFmt w:val="chineseCounting"/>
      <w:suff w:val="nothing"/>
      <w:lvlText w:val="第%1章 "/>
      <w:lvlJc w:val="left"/>
      <w:pPr>
        <w:tabs>
          <w:tab w:val="left" w:pos="0"/>
        </w:tabs>
        <w:ind w:left="0" w:firstLine="402"/>
      </w:pPr>
      <w:rPr>
        <w:rFonts w:hint="eastAsia" w:ascii="微软雅黑" w:hAnsi="微软雅黑" w:eastAsia="微软雅黑" w:cs="微软雅黑"/>
        <w:sz w:val="36"/>
        <w:szCs w:val="36"/>
      </w:rPr>
    </w:lvl>
    <w:lvl w:ilvl="1" w:tentative="0">
      <w:start w:val="1"/>
      <w:numFmt w:val="chineseCounting"/>
      <w:suff w:val="nothing"/>
      <w:lvlText w:val="%2、"/>
      <w:lvlJc w:val="left"/>
      <w:pPr>
        <w:ind w:left="0" w:firstLine="402"/>
      </w:pPr>
      <w:rPr>
        <w:rFonts w:hint="eastAsia" w:ascii="黑体" w:hAnsi="黑体" w:eastAsia="黑体" w:cs="黑体"/>
      </w:rPr>
    </w:lvl>
    <w:lvl w:ilvl="2" w:tentative="0">
      <w:start w:val="1"/>
      <w:numFmt w:val="decimal"/>
      <w:suff w:val="nothing"/>
      <w:lvlText w:val="%3．"/>
      <w:lvlJc w:val="left"/>
      <w:pPr>
        <w:ind w:left="0" w:firstLine="402"/>
      </w:pPr>
      <w:rPr>
        <w:rFonts w:hint="eastAsia" w:ascii="宋体" w:hAnsi="宋体" w:eastAsia="宋体" w:cs="宋体"/>
      </w:rPr>
    </w:lvl>
    <w:lvl w:ilvl="3" w:tentative="0">
      <w:start w:val="1"/>
      <w:numFmt w:val="decimal"/>
      <w:suff w:val="nothing"/>
      <w:lvlText w:val="%3.%4"/>
      <w:lvlJc w:val="left"/>
      <w:pPr>
        <w:ind w:left="0" w:firstLine="402"/>
      </w:pPr>
      <w:rPr>
        <w:rFonts w:hint="eastAsia" w:ascii="黑体" w:hAnsi="黑体" w:eastAsia="黑体" w:cs="黑体"/>
        <w:sz w:val="24"/>
        <w:szCs w:val="24"/>
      </w:rPr>
    </w:lvl>
    <w:lvl w:ilvl="4" w:tentative="0">
      <w:start w:val="1"/>
      <w:numFmt w:val="decimal"/>
      <w:pStyle w:val="7"/>
      <w:suff w:val="nothing"/>
      <w:lvlText w:val="%3.%4.%5 "/>
      <w:lvlJc w:val="left"/>
      <w:pPr>
        <w:ind w:left="0" w:firstLine="402"/>
      </w:pPr>
      <w:rPr>
        <w:rFonts w:hint="eastAsia" w:ascii="宋体" w:hAnsi="宋体" w:eastAsia="宋体" w:cs="宋体"/>
      </w:rPr>
    </w:lvl>
    <w:lvl w:ilvl="5" w:tentative="0">
      <w:start w:val="1"/>
      <w:numFmt w:val="decimal"/>
      <w:suff w:val="nothing"/>
      <w:lvlText w:val="%3.%4.%5.%6"/>
      <w:lvlJc w:val="left"/>
      <w:pPr>
        <w:ind w:left="0" w:firstLine="402"/>
      </w:pPr>
      <w:rPr>
        <w:rFonts w:hint="eastAsia" w:ascii="宋体" w:hAnsi="宋体" w:eastAsia="宋体" w:cs="宋体"/>
      </w:rPr>
    </w:lvl>
    <w:lvl w:ilvl="6" w:tentative="0">
      <w:start w:val="1"/>
      <w:numFmt w:val="decimal"/>
      <w:suff w:val="nothing"/>
      <w:lvlText w:val="%3.%4.%5.%6.%7"/>
      <w:lvlJc w:val="left"/>
      <w:pPr>
        <w:ind w:left="0" w:firstLine="402"/>
      </w:pPr>
      <w:rPr>
        <w:rFonts w:hint="eastAsia" w:ascii="宋体" w:hAnsi="宋体" w:eastAsia="宋体" w:cs="宋体"/>
      </w:rPr>
    </w:lvl>
    <w:lvl w:ilvl="7" w:tentative="0">
      <w:start w:val="1"/>
      <w:numFmt w:val="decimal"/>
      <w:suff w:val="nothing"/>
      <w:lvlText w:val="%3.%4.%5.%6.%7.%8"/>
      <w:lvlJc w:val="left"/>
      <w:pPr>
        <w:ind w:left="0" w:firstLine="402"/>
      </w:pPr>
      <w:rPr>
        <w:rFonts w:hint="eastAsia" w:ascii="宋体" w:hAnsi="宋体" w:eastAsia="宋体" w:cs="宋体"/>
      </w:rPr>
    </w:lvl>
    <w:lvl w:ilvl="8" w:tentative="0">
      <w:start w:val="1"/>
      <w:numFmt w:val="decimal"/>
      <w:suff w:val="nothing"/>
      <w:lvlText w:val="%3.%4.%5.%6.%7.%8.%9"/>
      <w:lvlJc w:val="left"/>
      <w:pPr>
        <w:ind w:left="0" w:firstLine="402"/>
      </w:pPr>
      <w:rPr>
        <w:rFonts w:hint="eastAsia" w:ascii="宋体" w:hAnsi="宋体" w:eastAsia="宋体" w:cs="宋体"/>
      </w:rPr>
    </w:lvl>
  </w:abstractNum>
  <w:abstractNum w:abstractNumId="24">
    <w:nsid w:val="00000021"/>
    <w:multiLevelType w:val="singleLevel"/>
    <w:tmpl w:val="00000021"/>
    <w:lvl w:ilvl="0" w:tentative="0">
      <w:start w:val="1"/>
      <w:numFmt w:val="decimal"/>
      <w:suff w:val="nothing"/>
      <w:lvlText w:val="%1．"/>
      <w:lvlJc w:val="left"/>
      <w:pPr>
        <w:ind w:left="0" w:firstLine="400"/>
      </w:pPr>
      <w:rPr>
        <w:rFonts w:hint="default"/>
      </w:rPr>
    </w:lvl>
  </w:abstractNum>
  <w:abstractNum w:abstractNumId="25">
    <w:nsid w:val="00000025"/>
    <w:multiLevelType w:val="singleLevel"/>
    <w:tmpl w:val="00000025"/>
    <w:lvl w:ilvl="0" w:tentative="0">
      <w:start w:val="1"/>
      <w:numFmt w:val="decimal"/>
      <w:suff w:val="nothing"/>
      <w:lvlText w:val="%1．"/>
      <w:lvlJc w:val="left"/>
      <w:pPr>
        <w:ind w:left="0" w:firstLine="400"/>
      </w:pPr>
      <w:rPr>
        <w:rFonts w:hint="default"/>
      </w:rPr>
    </w:lvl>
  </w:abstractNum>
  <w:abstractNum w:abstractNumId="26">
    <w:nsid w:val="00000029"/>
    <w:multiLevelType w:val="singleLevel"/>
    <w:tmpl w:val="00000029"/>
    <w:lvl w:ilvl="0" w:tentative="0">
      <w:start w:val="1"/>
      <w:numFmt w:val="decimal"/>
      <w:suff w:val="nothing"/>
      <w:lvlText w:val="（%1）"/>
      <w:lvlJc w:val="left"/>
      <w:pPr>
        <w:ind w:left="0" w:firstLine="403"/>
      </w:pPr>
      <w:rPr>
        <w:rFonts w:hint="default"/>
      </w:rPr>
    </w:lvl>
  </w:abstractNum>
  <w:abstractNum w:abstractNumId="27">
    <w:nsid w:val="0000002E"/>
    <w:multiLevelType w:val="singleLevel"/>
    <w:tmpl w:val="0000002E"/>
    <w:lvl w:ilvl="0" w:tentative="0">
      <w:start w:val="1"/>
      <w:numFmt w:val="decimal"/>
      <w:suff w:val="nothing"/>
      <w:lvlText w:val="%1．"/>
      <w:lvlJc w:val="left"/>
      <w:pPr>
        <w:ind w:left="0" w:firstLine="400"/>
      </w:pPr>
      <w:rPr>
        <w:rFonts w:hint="default"/>
      </w:rPr>
    </w:lvl>
  </w:abstractNum>
  <w:abstractNum w:abstractNumId="28">
    <w:nsid w:val="0000002F"/>
    <w:multiLevelType w:val="singleLevel"/>
    <w:tmpl w:val="0000002F"/>
    <w:lvl w:ilvl="0" w:tentative="0">
      <w:start w:val="1"/>
      <w:numFmt w:val="decimal"/>
      <w:suff w:val="nothing"/>
      <w:lvlText w:val="%1．"/>
      <w:lvlJc w:val="left"/>
      <w:pPr>
        <w:ind w:left="0" w:firstLine="400"/>
      </w:pPr>
      <w:rPr>
        <w:rFonts w:hint="default"/>
      </w:rPr>
    </w:lvl>
  </w:abstractNum>
  <w:abstractNum w:abstractNumId="29">
    <w:nsid w:val="00000030"/>
    <w:multiLevelType w:val="singleLevel"/>
    <w:tmpl w:val="00000030"/>
    <w:lvl w:ilvl="0" w:tentative="0">
      <w:start w:val="1"/>
      <w:numFmt w:val="decimal"/>
      <w:suff w:val="nothing"/>
      <w:lvlText w:val="%1．"/>
      <w:lvlJc w:val="left"/>
      <w:pPr>
        <w:ind w:left="0" w:firstLine="400"/>
      </w:pPr>
      <w:rPr>
        <w:rFonts w:hint="default"/>
      </w:rPr>
    </w:lvl>
  </w:abstractNum>
  <w:abstractNum w:abstractNumId="30">
    <w:nsid w:val="00000032"/>
    <w:multiLevelType w:val="singleLevel"/>
    <w:tmpl w:val="00000032"/>
    <w:lvl w:ilvl="0" w:tentative="0">
      <w:start w:val="1"/>
      <w:numFmt w:val="decimal"/>
      <w:suff w:val="nothing"/>
      <w:lvlText w:val="%1．"/>
      <w:lvlJc w:val="left"/>
      <w:pPr>
        <w:ind w:left="0" w:firstLine="400"/>
      </w:pPr>
      <w:rPr>
        <w:rFonts w:hint="default"/>
      </w:rPr>
    </w:lvl>
  </w:abstractNum>
  <w:abstractNum w:abstractNumId="31">
    <w:nsid w:val="00000034"/>
    <w:multiLevelType w:val="singleLevel"/>
    <w:tmpl w:val="00000034"/>
    <w:lvl w:ilvl="0" w:tentative="0">
      <w:start w:val="1"/>
      <w:numFmt w:val="decimal"/>
      <w:suff w:val="nothing"/>
      <w:lvlText w:val="%1．"/>
      <w:lvlJc w:val="left"/>
      <w:pPr>
        <w:ind w:left="0" w:firstLine="400"/>
      </w:pPr>
      <w:rPr>
        <w:rFonts w:hint="default"/>
      </w:rPr>
    </w:lvl>
  </w:abstractNum>
  <w:abstractNum w:abstractNumId="32">
    <w:nsid w:val="00000036"/>
    <w:multiLevelType w:val="singleLevel"/>
    <w:tmpl w:val="00000036"/>
    <w:lvl w:ilvl="0" w:tentative="0">
      <w:start w:val="1"/>
      <w:numFmt w:val="decimal"/>
      <w:suff w:val="nothing"/>
      <w:lvlText w:val="%1．"/>
      <w:lvlJc w:val="left"/>
      <w:pPr>
        <w:ind w:left="0" w:firstLine="400"/>
      </w:pPr>
      <w:rPr>
        <w:rFonts w:hint="default"/>
      </w:rPr>
    </w:lvl>
  </w:abstractNum>
  <w:abstractNum w:abstractNumId="33">
    <w:nsid w:val="00000039"/>
    <w:multiLevelType w:val="singleLevel"/>
    <w:tmpl w:val="00000039"/>
    <w:lvl w:ilvl="0" w:tentative="0">
      <w:start w:val="1"/>
      <w:numFmt w:val="decimal"/>
      <w:suff w:val="nothing"/>
      <w:lvlText w:val="（%1）"/>
      <w:lvlJc w:val="left"/>
      <w:pPr>
        <w:ind w:left="0" w:firstLine="403"/>
      </w:pPr>
      <w:rPr>
        <w:rFonts w:hint="default"/>
      </w:rPr>
    </w:lvl>
  </w:abstractNum>
  <w:abstractNum w:abstractNumId="34">
    <w:nsid w:val="0000003A"/>
    <w:multiLevelType w:val="singleLevel"/>
    <w:tmpl w:val="0000003A"/>
    <w:lvl w:ilvl="0" w:tentative="0">
      <w:start w:val="1"/>
      <w:numFmt w:val="decimal"/>
      <w:suff w:val="nothing"/>
      <w:lvlText w:val="%1．"/>
      <w:lvlJc w:val="left"/>
      <w:pPr>
        <w:ind w:left="0" w:firstLine="400"/>
      </w:pPr>
      <w:rPr>
        <w:rFonts w:hint="default"/>
      </w:rPr>
    </w:lvl>
  </w:abstractNum>
  <w:abstractNum w:abstractNumId="35">
    <w:nsid w:val="0000003B"/>
    <w:multiLevelType w:val="singleLevel"/>
    <w:tmpl w:val="0000003B"/>
    <w:lvl w:ilvl="0" w:tentative="0">
      <w:start w:val="1"/>
      <w:numFmt w:val="chineseCounting"/>
      <w:suff w:val="nothing"/>
      <w:lvlText w:val="%1、"/>
      <w:lvlJc w:val="left"/>
      <w:pPr>
        <w:ind w:left="0" w:firstLine="420"/>
      </w:pPr>
      <w:rPr>
        <w:rFonts w:hint="eastAsia"/>
      </w:rPr>
    </w:lvl>
  </w:abstractNum>
  <w:abstractNum w:abstractNumId="36">
    <w:nsid w:val="0000003C"/>
    <w:multiLevelType w:val="multilevel"/>
    <w:tmpl w:val="0000003C"/>
    <w:lvl w:ilvl="0" w:tentative="0">
      <w:start w:val="1"/>
      <w:numFmt w:val="chineseCounting"/>
      <w:suff w:val="nothing"/>
      <w:lvlText w:val="第%1章 "/>
      <w:lvlJc w:val="left"/>
      <w:pPr>
        <w:tabs>
          <w:tab w:val="left" w:pos="0"/>
        </w:tabs>
        <w:ind w:left="0" w:firstLine="402"/>
      </w:pPr>
      <w:rPr>
        <w:rFonts w:hint="eastAsia" w:ascii="微软雅黑" w:hAnsi="微软雅黑" w:eastAsia="微软雅黑" w:cs="微软雅黑"/>
        <w:sz w:val="36"/>
        <w:szCs w:val="36"/>
      </w:rPr>
    </w:lvl>
    <w:lvl w:ilvl="1" w:tentative="0">
      <w:start w:val="1"/>
      <w:numFmt w:val="chineseCounting"/>
      <w:suff w:val="nothing"/>
      <w:lvlText w:val="%2、"/>
      <w:lvlJc w:val="left"/>
      <w:pPr>
        <w:ind w:left="0" w:firstLine="402"/>
      </w:pPr>
      <w:rPr>
        <w:rFonts w:hint="eastAsia" w:ascii="黑体" w:hAnsi="黑体" w:eastAsia="黑体" w:cs="黑体"/>
      </w:rPr>
    </w:lvl>
    <w:lvl w:ilvl="2" w:tentative="0">
      <w:start w:val="1"/>
      <w:numFmt w:val="decimal"/>
      <w:pStyle w:val="5"/>
      <w:suff w:val="nothing"/>
      <w:lvlText w:val="%3．"/>
      <w:lvlJc w:val="left"/>
      <w:pPr>
        <w:ind w:left="0" w:firstLine="402"/>
      </w:pPr>
      <w:rPr>
        <w:rFonts w:hint="eastAsia" w:ascii="宋体" w:hAnsi="宋体" w:eastAsia="宋体" w:cs="宋体"/>
      </w:rPr>
    </w:lvl>
    <w:lvl w:ilvl="3" w:tentative="0">
      <w:start w:val="1"/>
      <w:numFmt w:val="decimal"/>
      <w:suff w:val="nothing"/>
      <w:lvlText w:val="%3.%4"/>
      <w:lvlJc w:val="left"/>
      <w:pPr>
        <w:ind w:left="0" w:firstLine="402"/>
      </w:pPr>
      <w:rPr>
        <w:rFonts w:hint="eastAsia" w:ascii="黑体" w:hAnsi="黑体" w:eastAsia="黑体" w:cs="黑体"/>
        <w:sz w:val="24"/>
        <w:szCs w:val="24"/>
      </w:rPr>
    </w:lvl>
    <w:lvl w:ilvl="4" w:tentative="0">
      <w:start w:val="1"/>
      <w:numFmt w:val="decimal"/>
      <w:suff w:val="nothing"/>
      <w:lvlText w:val="%3.%4.%5 "/>
      <w:lvlJc w:val="left"/>
      <w:pPr>
        <w:tabs>
          <w:tab w:val="left" w:pos="0"/>
        </w:tabs>
        <w:ind w:left="0" w:firstLine="402"/>
      </w:pPr>
      <w:rPr>
        <w:rFonts w:hint="eastAsia" w:ascii="宋体" w:hAnsi="宋体" w:eastAsia="宋体" w:cs="宋体"/>
      </w:rPr>
    </w:lvl>
    <w:lvl w:ilvl="5" w:tentative="0">
      <w:start w:val="1"/>
      <w:numFmt w:val="decimal"/>
      <w:suff w:val="nothing"/>
      <w:lvlText w:val="%3.%4.%5.%6"/>
      <w:lvlJc w:val="left"/>
      <w:pPr>
        <w:ind w:left="0" w:firstLine="402"/>
      </w:pPr>
      <w:rPr>
        <w:rFonts w:hint="eastAsia" w:ascii="宋体" w:hAnsi="宋体" w:eastAsia="宋体" w:cs="宋体"/>
      </w:rPr>
    </w:lvl>
    <w:lvl w:ilvl="6" w:tentative="0">
      <w:start w:val="1"/>
      <w:numFmt w:val="decimal"/>
      <w:suff w:val="nothing"/>
      <w:lvlText w:val="%3.%4.%5.%6.%7"/>
      <w:lvlJc w:val="left"/>
      <w:pPr>
        <w:ind w:left="0" w:firstLine="402"/>
      </w:pPr>
      <w:rPr>
        <w:rFonts w:hint="eastAsia" w:ascii="宋体" w:hAnsi="宋体" w:eastAsia="宋体" w:cs="宋体"/>
      </w:rPr>
    </w:lvl>
    <w:lvl w:ilvl="7" w:tentative="0">
      <w:start w:val="1"/>
      <w:numFmt w:val="decimal"/>
      <w:pStyle w:val="10"/>
      <w:suff w:val="nothing"/>
      <w:lvlText w:val="%3.%4.%5.%6.%7.%8"/>
      <w:lvlJc w:val="left"/>
      <w:pPr>
        <w:ind w:left="0" w:firstLine="402"/>
      </w:pPr>
      <w:rPr>
        <w:rFonts w:hint="eastAsia" w:ascii="宋体" w:hAnsi="宋体" w:eastAsia="宋体" w:cs="宋体"/>
      </w:rPr>
    </w:lvl>
    <w:lvl w:ilvl="8" w:tentative="0">
      <w:start w:val="1"/>
      <w:numFmt w:val="decimal"/>
      <w:suff w:val="nothing"/>
      <w:lvlText w:val="%3.%4.%5.%6.%7.%8.%9"/>
      <w:lvlJc w:val="left"/>
      <w:pPr>
        <w:ind w:left="0" w:firstLine="402"/>
      </w:pPr>
      <w:rPr>
        <w:rFonts w:hint="eastAsia" w:ascii="宋体" w:hAnsi="宋体" w:eastAsia="宋体" w:cs="宋体"/>
      </w:rPr>
    </w:lvl>
  </w:abstractNum>
  <w:abstractNum w:abstractNumId="37">
    <w:nsid w:val="0000003D"/>
    <w:multiLevelType w:val="singleLevel"/>
    <w:tmpl w:val="0000003D"/>
    <w:lvl w:ilvl="0" w:tentative="0">
      <w:start w:val="1"/>
      <w:numFmt w:val="decimal"/>
      <w:suff w:val="nothing"/>
      <w:lvlText w:val="%1．"/>
      <w:lvlJc w:val="left"/>
      <w:pPr>
        <w:ind w:left="0" w:firstLine="400"/>
      </w:pPr>
      <w:rPr>
        <w:rFonts w:hint="default"/>
      </w:rPr>
    </w:lvl>
  </w:abstractNum>
  <w:abstractNum w:abstractNumId="38">
    <w:nsid w:val="0000003E"/>
    <w:multiLevelType w:val="singleLevel"/>
    <w:tmpl w:val="0000003E"/>
    <w:lvl w:ilvl="0" w:tentative="0">
      <w:start w:val="1"/>
      <w:numFmt w:val="decimal"/>
      <w:suff w:val="nothing"/>
      <w:lvlText w:val="%1．"/>
      <w:lvlJc w:val="left"/>
      <w:pPr>
        <w:ind w:left="0" w:firstLine="400"/>
      </w:pPr>
      <w:rPr>
        <w:rFonts w:hint="default"/>
      </w:rPr>
    </w:lvl>
  </w:abstractNum>
  <w:abstractNum w:abstractNumId="39">
    <w:nsid w:val="0000003F"/>
    <w:multiLevelType w:val="singleLevel"/>
    <w:tmpl w:val="0000003F"/>
    <w:lvl w:ilvl="0" w:tentative="0">
      <w:start w:val="1"/>
      <w:numFmt w:val="decimal"/>
      <w:suff w:val="nothing"/>
      <w:lvlText w:val="%1"/>
      <w:lvlJc w:val="center"/>
      <w:pPr>
        <w:ind w:left="0" w:firstLine="0"/>
      </w:pPr>
      <w:rPr>
        <w:rFonts w:hint="default"/>
      </w:rPr>
    </w:lvl>
  </w:abstractNum>
  <w:abstractNum w:abstractNumId="40">
    <w:nsid w:val="00000041"/>
    <w:multiLevelType w:val="singleLevel"/>
    <w:tmpl w:val="00000041"/>
    <w:lvl w:ilvl="0" w:tentative="0">
      <w:start w:val="1"/>
      <w:numFmt w:val="decimal"/>
      <w:suff w:val="nothing"/>
      <w:lvlText w:val="%1．"/>
      <w:lvlJc w:val="left"/>
      <w:pPr>
        <w:ind w:left="0" w:firstLine="400"/>
      </w:pPr>
      <w:rPr>
        <w:rFonts w:hint="default" w:ascii="微软雅黑" w:hAnsi="微软雅黑" w:eastAsia="微软雅黑" w:cs="微软雅黑"/>
      </w:rPr>
    </w:lvl>
  </w:abstractNum>
  <w:abstractNum w:abstractNumId="41">
    <w:nsid w:val="0018F634"/>
    <w:multiLevelType w:val="singleLevel"/>
    <w:tmpl w:val="0018F634"/>
    <w:lvl w:ilvl="0" w:tentative="0">
      <w:start w:val="1"/>
      <w:numFmt w:val="decimal"/>
      <w:lvlText w:val="(%1)"/>
      <w:lvlJc w:val="left"/>
      <w:pPr>
        <w:ind w:left="425" w:hanging="425"/>
      </w:pPr>
      <w:rPr>
        <w:rFonts w:hint="default"/>
      </w:rPr>
    </w:lvl>
  </w:abstractNum>
  <w:abstractNum w:abstractNumId="42">
    <w:nsid w:val="0D8AABEB"/>
    <w:multiLevelType w:val="singleLevel"/>
    <w:tmpl w:val="0D8AABEB"/>
    <w:lvl w:ilvl="0" w:tentative="0">
      <w:start w:val="1"/>
      <w:numFmt w:val="decimal"/>
      <w:suff w:val="nothing"/>
      <w:lvlText w:val="%1"/>
      <w:lvlJc w:val="center"/>
      <w:rPr>
        <w:rFonts w:hint="default"/>
      </w:rPr>
    </w:lvl>
  </w:abstractNum>
  <w:abstractNum w:abstractNumId="43">
    <w:nsid w:val="2618B967"/>
    <w:multiLevelType w:val="singleLevel"/>
    <w:tmpl w:val="2618B967"/>
    <w:lvl w:ilvl="0" w:tentative="0">
      <w:start w:val="1"/>
      <w:numFmt w:val="chineseCounting"/>
      <w:suff w:val="nothing"/>
      <w:lvlText w:val="（%1）"/>
      <w:lvlJc w:val="left"/>
      <w:pPr>
        <w:ind w:left="0" w:firstLine="420"/>
      </w:pPr>
      <w:rPr>
        <w:rFonts w:hint="eastAsia"/>
      </w:rPr>
    </w:lvl>
  </w:abstractNum>
  <w:abstractNum w:abstractNumId="44">
    <w:nsid w:val="5A2AE820"/>
    <w:multiLevelType w:val="singleLevel"/>
    <w:tmpl w:val="5A2AE820"/>
    <w:lvl w:ilvl="0" w:tentative="0">
      <w:start w:val="1"/>
      <w:numFmt w:val="decimal"/>
      <w:lvlText w:val="(%1)"/>
      <w:lvlJc w:val="left"/>
      <w:pPr>
        <w:ind w:left="425" w:hanging="425"/>
      </w:pPr>
      <w:rPr>
        <w:rFonts w:hint="default"/>
      </w:rPr>
    </w:lvl>
  </w:abstractNum>
  <w:abstractNum w:abstractNumId="45">
    <w:nsid w:val="61440EBE"/>
    <w:multiLevelType w:val="singleLevel"/>
    <w:tmpl w:val="61440EBE"/>
    <w:lvl w:ilvl="0" w:tentative="0">
      <w:start w:val="1"/>
      <w:numFmt w:val="decimal"/>
      <w:suff w:val="nothing"/>
      <w:lvlText w:val="%1．"/>
      <w:lvlJc w:val="left"/>
      <w:pPr>
        <w:ind w:left="0" w:firstLine="400"/>
      </w:pPr>
      <w:rPr>
        <w:rFonts w:hint="default"/>
      </w:rPr>
    </w:lvl>
  </w:abstractNum>
  <w:abstractNum w:abstractNumId="46">
    <w:nsid w:val="629D9AA3"/>
    <w:multiLevelType w:val="singleLevel"/>
    <w:tmpl w:val="629D9AA3"/>
    <w:lvl w:ilvl="0" w:tentative="0">
      <w:start w:val="1"/>
      <w:numFmt w:val="decimal"/>
      <w:suff w:val="nothing"/>
      <w:lvlText w:val="%1．"/>
      <w:lvlJc w:val="left"/>
      <w:pPr>
        <w:ind w:left="0" w:firstLine="400"/>
      </w:pPr>
      <w:rPr>
        <w:rFonts w:hint="default"/>
      </w:rPr>
    </w:lvl>
  </w:abstractNum>
  <w:abstractNum w:abstractNumId="47">
    <w:nsid w:val="62C42735"/>
    <w:multiLevelType w:val="singleLevel"/>
    <w:tmpl w:val="62C42735"/>
    <w:lvl w:ilvl="0" w:tentative="0">
      <w:start w:val="1"/>
      <w:numFmt w:val="decimal"/>
      <w:lvlText w:val="(%1)"/>
      <w:lvlJc w:val="left"/>
      <w:pPr>
        <w:ind w:left="425" w:hanging="425"/>
      </w:pPr>
      <w:rPr>
        <w:rFonts w:hint="default"/>
      </w:rPr>
    </w:lvl>
  </w:abstractNum>
  <w:abstractNum w:abstractNumId="48">
    <w:nsid w:val="6A14D99C"/>
    <w:multiLevelType w:val="singleLevel"/>
    <w:tmpl w:val="6A14D99C"/>
    <w:lvl w:ilvl="0" w:tentative="0">
      <w:start w:val="1"/>
      <w:numFmt w:val="decimal"/>
      <w:suff w:val="nothing"/>
      <w:lvlText w:val="%1．"/>
      <w:lvlJc w:val="left"/>
      <w:pPr>
        <w:ind w:left="-62" w:firstLine="400"/>
      </w:pPr>
      <w:rPr>
        <w:rFonts w:hint="default"/>
      </w:rPr>
    </w:lvl>
  </w:abstractNum>
  <w:abstractNum w:abstractNumId="49">
    <w:nsid w:val="6B5DA771"/>
    <w:multiLevelType w:val="singleLevel"/>
    <w:tmpl w:val="6B5DA771"/>
    <w:lvl w:ilvl="0" w:tentative="0">
      <w:start w:val="1"/>
      <w:numFmt w:val="decimal"/>
      <w:suff w:val="nothing"/>
      <w:lvlText w:val="%1．"/>
      <w:lvlJc w:val="left"/>
      <w:pPr>
        <w:ind w:left="0" w:firstLine="400"/>
      </w:pPr>
      <w:rPr>
        <w:rFonts w:hint="default"/>
      </w:rPr>
    </w:lvl>
  </w:abstractNum>
  <w:num w:numId="1">
    <w:abstractNumId w:val="36"/>
  </w:num>
  <w:num w:numId="2">
    <w:abstractNumId w:val="23"/>
  </w:num>
  <w:num w:numId="3">
    <w:abstractNumId w:val="7"/>
  </w:num>
  <w:num w:numId="4">
    <w:abstractNumId w:val="20"/>
  </w:num>
  <w:num w:numId="5">
    <w:abstractNumId w:val="3"/>
  </w:num>
  <w:num w:numId="6">
    <w:abstractNumId w:val="45"/>
  </w:num>
  <w:num w:numId="7">
    <w:abstractNumId w:val="40"/>
  </w:num>
  <w:num w:numId="8">
    <w:abstractNumId w:val="35"/>
  </w:num>
  <w:num w:numId="9">
    <w:abstractNumId w:val="13"/>
  </w:num>
  <w:num w:numId="10">
    <w:abstractNumId w:val="21"/>
  </w:num>
  <w:num w:numId="11">
    <w:abstractNumId w:val="25"/>
  </w:num>
  <w:num w:numId="12">
    <w:abstractNumId w:val="41"/>
  </w:num>
  <w:num w:numId="13">
    <w:abstractNumId w:val="47"/>
  </w:num>
  <w:num w:numId="14">
    <w:abstractNumId w:val="18"/>
  </w:num>
  <w:num w:numId="15">
    <w:abstractNumId w:val="16"/>
  </w:num>
  <w:num w:numId="16">
    <w:abstractNumId w:val="44"/>
  </w:num>
  <w:num w:numId="17">
    <w:abstractNumId w:val="15"/>
  </w:num>
  <w:num w:numId="18">
    <w:abstractNumId w:val="5"/>
  </w:num>
  <w:num w:numId="19">
    <w:abstractNumId w:val="30"/>
  </w:num>
  <w:num w:numId="20">
    <w:abstractNumId w:val="11"/>
  </w:num>
  <w:num w:numId="21">
    <w:abstractNumId w:val="31"/>
  </w:num>
  <w:num w:numId="22">
    <w:abstractNumId w:val="34"/>
  </w:num>
  <w:num w:numId="23">
    <w:abstractNumId w:val="6"/>
  </w:num>
  <w:num w:numId="24">
    <w:abstractNumId w:val="26"/>
  </w:num>
  <w:num w:numId="25">
    <w:abstractNumId w:val="19"/>
  </w:num>
  <w:num w:numId="26">
    <w:abstractNumId w:val="4"/>
  </w:num>
  <w:num w:numId="27">
    <w:abstractNumId w:val="27"/>
  </w:num>
  <w:num w:numId="28">
    <w:abstractNumId w:val="12"/>
  </w:num>
  <w:num w:numId="29">
    <w:abstractNumId w:val="32"/>
  </w:num>
  <w:num w:numId="30">
    <w:abstractNumId w:val="22"/>
  </w:num>
  <w:num w:numId="31">
    <w:abstractNumId w:val="33"/>
  </w:num>
  <w:num w:numId="32">
    <w:abstractNumId w:val="8"/>
  </w:num>
  <w:num w:numId="33">
    <w:abstractNumId w:val="14"/>
  </w:num>
  <w:num w:numId="34">
    <w:abstractNumId w:val="46"/>
  </w:num>
  <w:num w:numId="35">
    <w:abstractNumId w:val="24"/>
  </w:num>
  <w:num w:numId="36">
    <w:abstractNumId w:val="29"/>
  </w:num>
  <w:num w:numId="37">
    <w:abstractNumId w:val="37"/>
  </w:num>
  <w:num w:numId="38">
    <w:abstractNumId w:val="28"/>
  </w:num>
  <w:num w:numId="39">
    <w:abstractNumId w:val="49"/>
  </w:num>
  <w:num w:numId="40">
    <w:abstractNumId w:val="10"/>
  </w:num>
  <w:num w:numId="41">
    <w:abstractNumId w:val="2"/>
  </w:num>
  <w:num w:numId="42">
    <w:abstractNumId w:val="43"/>
  </w:num>
  <w:num w:numId="43">
    <w:abstractNumId w:val="42"/>
  </w:num>
  <w:num w:numId="44">
    <w:abstractNumId w:val="0"/>
  </w:num>
  <w:num w:numId="45">
    <w:abstractNumId w:val="39"/>
  </w:num>
  <w:num w:numId="46">
    <w:abstractNumId w:val="17"/>
  </w:num>
  <w:num w:numId="47">
    <w:abstractNumId w:val="48"/>
  </w:num>
  <w:num w:numId="48">
    <w:abstractNumId w:val="1"/>
  </w:num>
  <w:num w:numId="49">
    <w:abstractNumId w:val="9"/>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wNjBhYzI0NjVlY2FkYzkyODA0ODYwODkzZTA5OTgifQ=="/>
  </w:docVars>
  <w:rsids>
    <w:rsidRoot w:val="00F3115D"/>
    <w:rsid w:val="00151B76"/>
    <w:rsid w:val="001941FE"/>
    <w:rsid w:val="001D0F5A"/>
    <w:rsid w:val="00557FBF"/>
    <w:rsid w:val="005C51D8"/>
    <w:rsid w:val="00647CAE"/>
    <w:rsid w:val="0081194E"/>
    <w:rsid w:val="008922ED"/>
    <w:rsid w:val="00A31899"/>
    <w:rsid w:val="00AC2394"/>
    <w:rsid w:val="00BB31B1"/>
    <w:rsid w:val="00BD403B"/>
    <w:rsid w:val="00CB22D5"/>
    <w:rsid w:val="00DE4B0C"/>
    <w:rsid w:val="00F3115D"/>
    <w:rsid w:val="00F50089"/>
    <w:rsid w:val="01293E41"/>
    <w:rsid w:val="02D504A8"/>
    <w:rsid w:val="03724869"/>
    <w:rsid w:val="03DF1EFE"/>
    <w:rsid w:val="03DF675E"/>
    <w:rsid w:val="04531FA4"/>
    <w:rsid w:val="048B526D"/>
    <w:rsid w:val="04B049A0"/>
    <w:rsid w:val="054257FA"/>
    <w:rsid w:val="057F6DC9"/>
    <w:rsid w:val="058F0456"/>
    <w:rsid w:val="05B20F4D"/>
    <w:rsid w:val="05E43D31"/>
    <w:rsid w:val="05EB778A"/>
    <w:rsid w:val="05EF6892"/>
    <w:rsid w:val="06281C39"/>
    <w:rsid w:val="06AE3E0A"/>
    <w:rsid w:val="06EC0B8F"/>
    <w:rsid w:val="079733E9"/>
    <w:rsid w:val="07CD4F5E"/>
    <w:rsid w:val="08053065"/>
    <w:rsid w:val="0805514C"/>
    <w:rsid w:val="082A3964"/>
    <w:rsid w:val="089C65F4"/>
    <w:rsid w:val="08A97DBC"/>
    <w:rsid w:val="09116497"/>
    <w:rsid w:val="09263E2D"/>
    <w:rsid w:val="096D1D5A"/>
    <w:rsid w:val="09C236BE"/>
    <w:rsid w:val="0A271791"/>
    <w:rsid w:val="0A8F14B1"/>
    <w:rsid w:val="0AB56E10"/>
    <w:rsid w:val="0B1103B5"/>
    <w:rsid w:val="0B26315C"/>
    <w:rsid w:val="0B7A250D"/>
    <w:rsid w:val="0B896BF3"/>
    <w:rsid w:val="0BA43884"/>
    <w:rsid w:val="0C41302A"/>
    <w:rsid w:val="0C8953F6"/>
    <w:rsid w:val="0C956608"/>
    <w:rsid w:val="0CC51EAD"/>
    <w:rsid w:val="0DD85997"/>
    <w:rsid w:val="0E3F1933"/>
    <w:rsid w:val="0E5344D6"/>
    <w:rsid w:val="0E8D679C"/>
    <w:rsid w:val="0F7F6343"/>
    <w:rsid w:val="0FC74213"/>
    <w:rsid w:val="10AB4F16"/>
    <w:rsid w:val="10B55BD2"/>
    <w:rsid w:val="10E441B6"/>
    <w:rsid w:val="112A22DF"/>
    <w:rsid w:val="1164374F"/>
    <w:rsid w:val="11B524F0"/>
    <w:rsid w:val="11D3679D"/>
    <w:rsid w:val="11F96840"/>
    <w:rsid w:val="120140F9"/>
    <w:rsid w:val="122F1D74"/>
    <w:rsid w:val="130859A2"/>
    <w:rsid w:val="13B7543B"/>
    <w:rsid w:val="1436550F"/>
    <w:rsid w:val="14454A92"/>
    <w:rsid w:val="14975EDD"/>
    <w:rsid w:val="14D3467C"/>
    <w:rsid w:val="14E87AD6"/>
    <w:rsid w:val="14EF3AE4"/>
    <w:rsid w:val="153575CA"/>
    <w:rsid w:val="153764A0"/>
    <w:rsid w:val="15703208"/>
    <w:rsid w:val="15C8768B"/>
    <w:rsid w:val="15D93B67"/>
    <w:rsid w:val="16E04661"/>
    <w:rsid w:val="16E11692"/>
    <w:rsid w:val="17401A29"/>
    <w:rsid w:val="174A73CA"/>
    <w:rsid w:val="176F4EEF"/>
    <w:rsid w:val="177111B1"/>
    <w:rsid w:val="179C05AF"/>
    <w:rsid w:val="17DF02C7"/>
    <w:rsid w:val="18247C8E"/>
    <w:rsid w:val="18556AC8"/>
    <w:rsid w:val="18F254A3"/>
    <w:rsid w:val="19216A2E"/>
    <w:rsid w:val="1971087C"/>
    <w:rsid w:val="19A55AB5"/>
    <w:rsid w:val="1A341A7A"/>
    <w:rsid w:val="1A4F0A8E"/>
    <w:rsid w:val="1AEF6A73"/>
    <w:rsid w:val="1B2852E2"/>
    <w:rsid w:val="1BD31307"/>
    <w:rsid w:val="1C6559B2"/>
    <w:rsid w:val="1CC21F65"/>
    <w:rsid w:val="1D4903B1"/>
    <w:rsid w:val="1D5D053C"/>
    <w:rsid w:val="1D886D0B"/>
    <w:rsid w:val="1D947D9F"/>
    <w:rsid w:val="1DCC3DA9"/>
    <w:rsid w:val="1DEA55C4"/>
    <w:rsid w:val="1F42113B"/>
    <w:rsid w:val="1FFE30D2"/>
    <w:rsid w:val="2028696C"/>
    <w:rsid w:val="209255E7"/>
    <w:rsid w:val="20D411E4"/>
    <w:rsid w:val="20FC0F22"/>
    <w:rsid w:val="210B598D"/>
    <w:rsid w:val="21713385"/>
    <w:rsid w:val="21747CD2"/>
    <w:rsid w:val="221D369C"/>
    <w:rsid w:val="2240066A"/>
    <w:rsid w:val="228E4DC3"/>
    <w:rsid w:val="22E569AE"/>
    <w:rsid w:val="23056708"/>
    <w:rsid w:val="232D2A3C"/>
    <w:rsid w:val="233C25F2"/>
    <w:rsid w:val="237E26B4"/>
    <w:rsid w:val="23E63A1E"/>
    <w:rsid w:val="24AB6FD6"/>
    <w:rsid w:val="24EA1376"/>
    <w:rsid w:val="24FB1A63"/>
    <w:rsid w:val="25034EC9"/>
    <w:rsid w:val="251A3D20"/>
    <w:rsid w:val="253616DD"/>
    <w:rsid w:val="259328E9"/>
    <w:rsid w:val="25A42208"/>
    <w:rsid w:val="25CD5C03"/>
    <w:rsid w:val="27392E24"/>
    <w:rsid w:val="275FB3FC"/>
    <w:rsid w:val="27CA1DF8"/>
    <w:rsid w:val="27CE5C62"/>
    <w:rsid w:val="28017DE6"/>
    <w:rsid w:val="28724840"/>
    <w:rsid w:val="28D434F1"/>
    <w:rsid w:val="292D0766"/>
    <w:rsid w:val="295F57ED"/>
    <w:rsid w:val="2A005E7B"/>
    <w:rsid w:val="2A111C6E"/>
    <w:rsid w:val="2B6C7A10"/>
    <w:rsid w:val="2B852653"/>
    <w:rsid w:val="2BA2543C"/>
    <w:rsid w:val="2BBB1936"/>
    <w:rsid w:val="2BD355F5"/>
    <w:rsid w:val="2BDD3BF2"/>
    <w:rsid w:val="2C110B9D"/>
    <w:rsid w:val="2D053ED4"/>
    <w:rsid w:val="2D890DC1"/>
    <w:rsid w:val="2DF61FC5"/>
    <w:rsid w:val="2E180404"/>
    <w:rsid w:val="2E5244E0"/>
    <w:rsid w:val="2E75463C"/>
    <w:rsid w:val="2F561738"/>
    <w:rsid w:val="2FAF15D1"/>
    <w:rsid w:val="2FDA3DCC"/>
    <w:rsid w:val="30601421"/>
    <w:rsid w:val="30987F2A"/>
    <w:rsid w:val="31CF685F"/>
    <w:rsid w:val="31EA5447"/>
    <w:rsid w:val="321015F3"/>
    <w:rsid w:val="32367471"/>
    <w:rsid w:val="32C71C2C"/>
    <w:rsid w:val="32E33E8A"/>
    <w:rsid w:val="332309C0"/>
    <w:rsid w:val="33633282"/>
    <w:rsid w:val="337B1DBF"/>
    <w:rsid w:val="33CC79AA"/>
    <w:rsid w:val="33ED182B"/>
    <w:rsid w:val="340A429E"/>
    <w:rsid w:val="340D366E"/>
    <w:rsid w:val="3411315F"/>
    <w:rsid w:val="3412408C"/>
    <w:rsid w:val="341E3ACD"/>
    <w:rsid w:val="3421024E"/>
    <w:rsid w:val="345D2848"/>
    <w:rsid w:val="346239BA"/>
    <w:rsid w:val="348E09F7"/>
    <w:rsid w:val="34906F78"/>
    <w:rsid w:val="34BB756E"/>
    <w:rsid w:val="356D6999"/>
    <w:rsid w:val="35753BC1"/>
    <w:rsid w:val="35C50501"/>
    <w:rsid w:val="361D69CE"/>
    <w:rsid w:val="36721EAF"/>
    <w:rsid w:val="36772336"/>
    <w:rsid w:val="36877708"/>
    <w:rsid w:val="36897924"/>
    <w:rsid w:val="36973C9B"/>
    <w:rsid w:val="36D66745"/>
    <w:rsid w:val="36DF0D3C"/>
    <w:rsid w:val="36F6488E"/>
    <w:rsid w:val="37B00EE0"/>
    <w:rsid w:val="38736649"/>
    <w:rsid w:val="38FF40CB"/>
    <w:rsid w:val="39525A78"/>
    <w:rsid w:val="3B023A74"/>
    <w:rsid w:val="3B563B4D"/>
    <w:rsid w:val="3B7A6996"/>
    <w:rsid w:val="3B8C5339"/>
    <w:rsid w:val="3C3025F0"/>
    <w:rsid w:val="3C325BBB"/>
    <w:rsid w:val="3C597D99"/>
    <w:rsid w:val="3CFC07CD"/>
    <w:rsid w:val="3D7926F2"/>
    <w:rsid w:val="3DBD76C3"/>
    <w:rsid w:val="3DC079A3"/>
    <w:rsid w:val="3E18158D"/>
    <w:rsid w:val="3E2A51F1"/>
    <w:rsid w:val="3E4156FE"/>
    <w:rsid w:val="3E500E6F"/>
    <w:rsid w:val="3E5315DD"/>
    <w:rsid w:val="3E6D1292"/>
    <w:rsid w:val="3F114E13"/>
    <w:rsid w:val="3F7E47C0"/>
    <w:rsid w:val="3F9EE5CC"/>
    <w:rsid w:val="3FD97261"/>
    <w:rsid w:val="3FFA750E"/>
    <w:rsid w:val="40406CE3"/>
    <w:rsid w:val="404C38A4"/>
    <w:rsid w:val="41870F04"/>
    <w:rsid w:val="42224789"/>
    <w:rsid w:val="423229B8"/>
    <w:rsid w:val="423746D8"/>
    <w:rsid w:val="42586BFE"/>
    <w:rsid w:val="4287784D"/>
    <w:rsid w:val="42F36125"/>
    <w:rsid w:val="43081BD1"/>
    <w:rsid w:val="430A6FB1"/>
    <w:rsid w:val="431762B8"/>
    <w:rsid w:val="436D0043"/>
    <w:rsid w:val="44043EE8"/>
    <w:rsid w:val="4411288A"/>
    <w:rsid w:val="444F55DD"/>
    <w:rsid w:val="448434D9"/>
    <w:rsid w:val="45717F85"/>
    <w:rsid w:val="458D5615"/>
    <w:rsid w:val="47513E2B"/>
    <w:rsid w:val="47D82229"/>
    <w:rsid w:val="47DA2175"/>
    <w:rsid w:val="47FA5757"/>
    <w:rsid w:val="48154613"/>
    <w:rsid w:val="48DF5182"/>
    <w:rsid w:val="48FE1133"/>
    <w:rsid w:val="4981448B"/>
    <w:rsid w:val="499526A9"/>
    <w:rsid w:val="49D84F8F"/>
    <w:rsid w:val="49F4055F"/>
    <w:rsid w:val="49F44C5D"/>
    <w:rsid w:val="4B14389F"/>
    <w:rsid w:val="4B172DAA"/>
    <w:rsid w:val="4B5C4859"/>
    <w:rsid w:val="4B7E0C3D"/>
    <w:rsid w:val="4BFFF28B"/>
    <w:rsid w:val="4C171BF2"/>
    <w:rsid w:val="4C366D3F"/>
    <w:rsid w:val="4C4F261E"/>
    <w:rsid w:val="4CCB417C"/>
    <w:rsid w:val="4D1C24B3"/>
    <w:rsid w:val="4D573E80"/>
    <w:rsid w:val="4DA83F00"/>
    <w:rsid w:val="4DAF6810"/>
    <w:rsid w:val="4DF848C3"/>
    <w:rsid w:val="4E375A60"/>
    <w:rsid w:val="4E754C02"/>
    <w:rsid w:val="4E8E1E17"/>
    <w:rsid w:val="4ECE73F3"/>
    <w:rsid w:val="4F043B94"/>
    <w:rsid w:val="50BA6931"/>
    <w:rsid w:val="50D61560"/>
    <w:rsid w:val="51AE7DE7"/>
    <w:rsid w:val="51BA2C30"/>
    <w:rsid w:val="520D7A81"/>
    <w:rsid w:val="52413FC7"/>
    <w:rsid w:val="52ED2A79"/>
    <w:rsid w:val="53617C4A"/>
    <w:rsid w:val="53D00839"/>
    <w:rsid w:val="54EE07AE"/>
    <w:rsid w:val="55147323"/>
    <w:rsid w:val="552F379A"/>
    <w:rsid w:val="55577701"/>
    <w:rsid w:val="55614891"/>
    <w:rsid w:val="566110D2"/>
    <w:rsid w:val="56617B1E"/>
    <w:rsid w:val="56857D03"/>
    <w:rsid w:val="56AE1F72"/>
    <w:rsid w:val="56E42240"/>
    <w:rsid w:val="56F664B8"/>
    <w:rsid w:val="571C57F3"/>
    <w:rsid w:val="57911D3D"/>
    <w:rsid w:val="57BFCEE1"/>
    <w:rsid w:val="58551595"/>
    <w:rsid w:val="58953AFB"/>
    <w:rsid w:val="58CD149A"/>
    <w:rsid w:val="598F28FD"/>
    <w:rsid w:val="59DD53DB"/>
    <w:rsid w:val="5A4A21E8"/>
    <w:rsid w:val="5A567809"/>
    <w:rsid w:val="5A7726D5"/>
    <w:rsid w:val="5B007C03"/>
    <w:rsid w:val="5B24111A"/>
    <w:rsid w:val="5BB12DD0"/>
    <w:rsid w:val="5BCA1CC1"/>
    <w:rsid w:val="5C3C7888"/>
    <w:rsid w:val="5C533382"/>
    <w:rsid w:val="5C7C7343"/>
    <w:rsid w:val="5CDD77D2"/>
    <w:rsid w:val="5CED0090"/>
    <w:rsid w:val="5CF21813"/>
    <w:rsid w:val="5D2C1D22"/>
    <w:rsid w:val="5D76544C"/>
    <w:rsid w:val="5E8E034B"/>
    <w:rsid w:val="5F031778"/>
    <w:rsid w:val="5F053371"/>
    <w:rsid w:val="5F5A47A5"/>
    <w:rsid w:val="5FBA1AF2"/>
    <w:rsid w:val="5FC44C79"/>
    <w:rsid w:val="5FE01AB3"/>
    <w:rsid w:val="5FE67464"/>
    <w:rsid w:val="60732330"/>
    <w:rsid w:val="60F577E0"/>
    <w:rsid w:val="60FC1E89"/>
    <w:rsid w:val="61074674"/>
    <w:rsid w:val="61270B3A"/>
    <w:rsid w:val="61A02CF3"/>
    <w:rsid w:val="628139F1"/>
    <w:rsid w:val="62815132"/>
    <w:rsid w:val="62DD4CB8"/>
    <w:rsid w:val="63155E2C"/>
    <w:rsid w:val="636805AA"/>
    <w:rsid w:val="64064FA8"/>
    <w:rsid w:val="64CA12C2"/>
    <w:rsid w:val="65482496"/>
    <w:rsid w:val="657D1B52"/>
    <w:rsid w:val="65B07422"/>
    <w:rsid w:val="661835D9"/>
    <w:rsid w:val="661E5B72"/>
    <w:rsid w:val="666B7198"/>
    <w:rsid w:val="666E2AF9"/>
    <w:rsid w:val="66976C44"/>
    <w:rsid w:val="66B25966"/>
    <w:rsid w:val="67346B89"/>
    <w:rsid w:val="674A5980"/>
    <w:rsid w:val="6764746E"/>
    <w:rsid w:val="67BAD176"/>
    <w:rsid w:val="681257CE"/>
    <w:rsid w:val="681B213F"/>
    <w:rsid w:val="68935947"/>
    <w:rsid w:val="692204B0"/>
    <w:rsid w:val="69283EDF"/>
    <w:rsid w:val="692F2F5C"/>
    <w:rsid w:val="69672EB6"/>
    <w:rsid w:val="697C2E5E"/>
    <w:rsid w:val="69821E2D"/>
    <w:rsid w:val="69B53FB1"/>
    <w:rsid w:val="6A050368"/>
    <w:rsid w:val="6A174AB0"/>
    <w:rsid w:val="6A674B7F"/>
    <w:rsid w:val="6A701C86"/>
    <w:rsid w:val="6B396C2A"/>
    <w:rsid w:val="6B6D27CD"/>
    <w:rsid w:val="6BA22313"/>
    <w:rsid w:val="6C3D203B"/>
    <w:rsid w:val="6C5E3C8E"/>
    <w:rsid w:val="6C656D0F"/>
    <w:rsid w:val="6C7B4F81"/>
    <w:rsid w:val="6CA17546"/>
    <w:rsid w:val="6CCB003B"/>
    <w:rsid w:val="6E3C31B1"/>
    <w:rsid w:val="6E425ED2"/>
    <w:rsid w:val="6E545574"/>
    <w:rsid w:val="6E744457"/>
    <w:rsid w:val="6F745D74"/>
    <w:rsid w:val="6F833A36"/>
    <w:rsid w:val="6FC50CC6"/>
    <w:rsid w:val="700A66D9"/>
    <w:rsid w:val="704D3DDE"/>
    <w:rsid w:val="70983CE4"/>
    <w:rsid w:val="70B83602"/>
    <w:rsid w:val="70D016D0"/>
    <w:rsid w:val="70DE01AB"/>
    <w:rsid w:val="721A5B23"/>
    <w:rsid w:val="72444475"/>
    <w:rsid w:val="72842772"/>
    <w:rsid w:val="72BB3CBA"/>
    <w:rsid w:val="72DA7AAD"/>
    <w:rsid w:val="736D487B"/>
    <w:rsid w:val="73734595"/>
    <w:rsid w:val="737A4131"/>
    <w:rsid w:val="73E603C4"/>
    <w:rsid w:val="745A3736"/>
    <w:rsid w:val="74F6722B"/>
    <w:rsid w:val="7552541C"/>
    <w:rsid w:val="766B0EA6"/>
    <w:rsid w:val="76D40657"/>
    <w:rsid w:val="76E3678B"/>
    <w:rsid w:val="77FF2438"/>
    <w:rsid w:val="793E72D7"/>
    <w:rsid w:val="7947610B"/>
    <w:rsid w:val="7AE5221C"/>
    <w:rsid w:val="7B0A3A31"/>
    <w:rsid w:val="7B3429AD"/>
    <w:rsid w:val="7BC44369"/>
    <w:rsid w:val="7BC71922"/>
    <w:rsid w:val="7C8A4E29"/>
    <w:rsid w:val="7D4C20DE"/>
    <w:rsid w:val="7D7F2912"/>
    <w:rsid w:val="7D9677FD"/>
    <w:rsid w:val="7DAB7532"/>
    <w:rsid w:val="7DD65E4C"/>
    <w:rsid w:val="7E0C09F5"/>
    <w:rsid w:val="7E462FD2"/>
    <w:rsid w:val="7EE3341B"/>
    <w:rsid w:val="7EFE4FED"/>
    <w:rsid w:val="7F7229C6"/>
    <w:rsid w:val="7F7E8930"/>
    <w:rsid w:val="7FCE3133"/>
    <w:rsid w:val="7FDC8DC7"/>
    <w:rsid w:val="7FED996A"/>
    <w:rsid w:val="A977086F"/>
    <w:rsid w:val="AACB3DDE"/>
    <w:rsid w:val="BDFF25D7"/>
    <w:rsid w:val="D7F78984"/>
    <w:rsid w:val="D7FE62B1"/>
    <w:rsid w:val="DFBF0F64"/>
    <w:rsid w:val="DFFA7058"/>
    <w:rsid w:val="EBDFF31C"/>
    <w:rsid w:val="EEACB670"/>
    <w:rsid w:val="F577ECA2"/>
    <w:rsid w:val="F75FFD34"/>
    <w:rsid w:val="FA670B0D"/>
    <w:rsid w:val="FC0FD203"/>
    <w:rsid w:val="FFFBEF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40" w:lineRule="exact"/>
      <w:jc w:val="both"/>
    </w:pPr>
    <w:rPr>
      <w:rFonts w:ascii="Calibri" w:hAnsi="Calibri" w:eastAsia="宋体" w:cs="宋体"/>
      <w:kern w:val="2"/>
      <w:sz w:val="24"/>
      <w:szCs w:val="24"/>
      <w:lang w:val="en-US" w:eastAsia="zh-CN" w:bidi="ar-SA"/>
    </w:rPr>
  </w:style>
  <w:style w:type="paragraph" w:styleId="3">
    <w:name w:val="heading 1"/>
    <w:basedOn w:val="1"/>
    <w:next w:val="1"/>
    <w:link w:val="43"/>
    <w:qFormat/>
    <w:uiPriority w:val="0"/>
    <w:pPr>
      <w:spacing w:before="50" w:beforeLines="50" w:after="50" w:afterLines="50" w:line="560" w:lineRule="exact"/>
      <w:jc w:val="center"/>
      <w:outlineLvl w:val="0"/>
    </w:pPr>
    <w:rPr>
      <w:rFonts w:hint="eastAsia" w:ascii="宋体" w:hAnsi="宋体" w:eastAsia="方正小标宋_GBK"/>
      <w:bCs/>
      <w:kern w:val="44"/>
      <w:sz w:val="36"/>
      <w:szCs w:val="48"/>
    </w:rPr>
  </w:style>
  <w:style w:type="paragraph" w:styleId="4">
    <w:name w:val="heading 2"/>
    <w:basedOn w:val="1"/>
    <w:next w:val="1"/>
    <w:link w:val="50"/>
    <w:qFormat/>
    <w:uiPriority w:val="0"/>
    <w:pPr>
      <w:keepNext/>
      <w:keepLines/>
      <w:tabs>
        <w:tab w:val="left" w:pos="0"/>
      </w:tabs>
      <w:spacing w:before="50" w:beforeLines="50" w:after="10" w:line="560" w:lineRule="exact"/>
      <w:jc w:val="left"/>
      <w:outlineLvl w:val="1"/>
    </w:pPr>
    <w:rPr>
      <w:rFonts w:ascii="Arial" w:hAnsi="Arial" w:eastAsia="黑体" w:cs="Times New Roman"/>
      <w:sz w:val="30"/>
    </w:rPr>
  </w:style>
  <w:style w:type="paragraph" w:styleId="5">
    <w:name w:val="heading 3"/>
    <w:basedOn w:val="1"/>
    <w:next w:val="1"/>
    <w:link w:val="51"/>
    <w:qFormat/>
    <w:uiPriority w:val="0"/>
    <w:pPr>
      <w:keepNext/>
      <w:keepLines/>
      <w:numPr>
        <w:ilvl w:val="2"/>
        <w:numId w:val="1"/>
      </w:numPr>
      <w:tabs>
        <w:tab w:val="left" w:pos="0"/>
      </w:tabs>
      <w:spacing w:before="10" w:after="10" w:line="600" w:lineRule="exact"/>
      <w:outlineLvl w:val="2"/>
    </w:pPr>
    <w:rPr>
      <w:rFonts w:ascii="Times New Roman" w:hAnsi="Times New Roman" w:eastAsia="楷体" w:cs="Times New Roman"/>
      <w:b/>
      <w:sz w:val="28"/>
      <w:szCs w:val="20"/>
    </w:rPr>
  </w:style>
  <w:style w:type="paragraph" w:styleId="6">
    <w:name w:val="heading 4"/>
    <w:basedOn w:val="1"/>
    <w:next w:val="1"/>
    <w:link w:val="52"/>
    <w:qFormat/>
    <w:uiPriority w:val="0"/>
    <w:pPr>
      <w:keepNext/>
      <w:keepLines/>
      <w:spacing w:before="280" w:after="290" w:line="377" w:lineRule="auto"/>
      <w:ind w:firstLine="420" w:firstLineChars="200"/>
      <w:outlineLvl w:val="3"/>
    </w:pPr>
    <w:rPr>
      <w:rFonts w:ascii="黑体" w:hAnsi="黑体" w:eastAsia="黑体"/>
      <w:bCs/>
      <w:szCs w:val="28"/>
    </w:rPr>
  </w:style>
  <w:style w:type="paragraph" w:styleId="7">
    <w:name w:val="heading 5"/>
    <w:basedOn w:val="1"/>
    <w:next w:val="1"/>
    <w:link w:val="53"/>
    <w:qFormat/>
    <w:uiPriority w:val="0"/>
    <w:pPr>
      <w:keepNext/>
      <w:keepLines/>
      <w:numPr>
        <w:ilvl w:val="4"/>
        <w:numId w:val="2"/>
      </w:numPr>
      <w:tabs>
        <w:tab w:val="left" w:pos="0"/>
      </w:tabs>
      <w:spacing w:before="160" w:after="290" w:line="240" w:lineRule="auto"/>
      <w:outlineLvl w:val="4"/>
    </w:pPr>
    <w:rPr>
      <w:rFonts w:ascii="Times New Roman" w:hAnsi="Times New Roman" w:eastAsia="黑体" w:cs="Times New Roman"/>
    </w:rPr>
  </w:style>
  <w:style w:type="paragraph" w:styleId="8">
    <w:name w:val="heading 6"/>
    <w:basedOn w:val="1"/>
    <w:next w:val="1"/>
    <w:qFormat/>
    <w:uiPriority w:val="0"/>
    <w:pPr>
      <w:keepNext/>
      <w:keepLines/>
      <w:spacing w:before="240" w:after="64" w:line="317" w:lineRule="auto"/>
      <w:ind w:firstLine="1440" w:firstLineChars="200"/>
      <w:outlineLvl w:val="5"/>
    </w:pPr>
    <w:rPr>
      <w:rFonts w:ascii="Arial" w:hAnsi="Arial" w:eastAsia="黑体"/>
      <w:b/>
      <w:szCs w:val="22"/>
    </w:rPr>
  </w:style>
  <w:style w:type="paragraph" w:styleId="9">
    <w:name w:val="heading 7"/>
    <w:basedOn w:val="1"/>
    <w:next w:val="1"/>
    <w:unhideWhenUsed/>
    <w:qFormat/>
    <w:uiPriority w:val="0"/>
    <w:pPr>
      <w:keepNext/>
      <w:keepLines/>
      <w:spacing w:line="317" w:lineRule="auto"/>
      <w:outlineLvl w:val="6"/>
    </w:pPr>
    <w:rPr>
      <w:b/>
      <w:sz w:val="24"/>
    </w:rPr>
  </w:style>
  <w:style w:type="paragraph" w:styleId="10">
    <w:name w:val="heading 8"/>
    <w:basedOn w:val="1"/>
    <w:next w:val="1"/>
    <w:qFormat/>
    <w:uiPriority w:val="0"/>
    <w:pPr>
      <w:keepNext/>
      <w:keepLines/>
      <w:numPr>
        <w:ilvl w:val="7"/>
        <w:numId w:val="1"/>
      </w:numPr>
      <w:tabs>
        <w:tab w:val="left" w:pos="0"/>
      </w:tabs>
      <w:spacing w:before="240" w:after="64" w:line="317" w:lineRule="auto"/>
      <w:outlineLvl w:val="7"/>
    </w:pPr>
    <w:rPr>
      <w:rFonts w:ascii="Arial" w:hAnsi="Arial" w:eastAsia="黑体"/>
    </w:rPr>
  </w:style>
  <w:style w:type="paragraph" w:styleId="11">
    <w:name w:val="heading 9"/>
    <w:basedOn w:val="1"/>
    <w:next w:val="1"/>
    <w:qFormat/>
    <w:uiPriority w:val="0"/>
    <w:pPr>
      <w:keepNext/>
      <w:keepLines/>
      <w:numPr>
        <w:ilvl w:val="8"/>
        <w:numId w:val="3"/>
      </w:numPr>
      <w:tabs>
        <w:tab w:val="left" w:pos="0"/>
      </w:tabs>
      <w:spacing w:before="240" w:after="64" w:line="317" w:lineRule="auto"/>
      <w:outlineLvl w:val="8"/>
    </w:pPr>
    <w:rPr>
      <w:rFonts w:ascii="Arial" w:hAnsi="Arial" w:eastAsia="黑体"/>
      <w:sz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paragraph" w:styleId="12">
    <w:name w:val="index 8"/>
    <w:basedOn w:val="1"/>
    <w:next w:val="1"/>
    <w:qFormat/>
    <w:uiPriority w:val="0"/>
    <w:pPr>
      <w:widowControl/>
      <w:overflowPunct w:val="0"/>
      <w:autoSpaceDE w:val="0"/>
      <w:autoSpaceDN w:val="0"/>
      <w:adjustRightInd w:val="0"/>
      <w:ind w:left="1400" w:leftChars="1400"/>
      <w:textAlignment w:val="baseline"/>
    </w:pPr>
    <w:rPr>
      <w:rFonts w:ascii="Times New Roman" w:hAnsi="Times New Roman" w:eastAsia="宋体" w:cs="Times New Roman"/>
      <w:kern w:val="0"/>
      <w:szCs w:val="20"/>
    </w:rPr>
  </w:style>
  <w:style w:type="paragraph" w:styleId="13">
    <w:name w:val="Normal Indent"/>
    <w:basedOn w:val="1"/>
    <w:next w:val="14"/>
    <w:qFormat/>
    <w:uiPriority w:val="0"/>
    <w:pPr>
      <w:ind w:firstLine="420" w:firstLineChars="200"/>
    </w:pPr>
  </w:style>
  <w:style w:type="paragraph" w:styleId="14">
    <w:name w:val="Body Text First Indent 2"/>
    <w:basedOn w:val="15"/>
    <w:next w:val="1"/>
    <w:qFormat/>
    <w:uiPriority w:val="99"/>
    <w:pPr>
      <w:autoSpaceDE w:val="0"/>
      <w:autoSpaceDN w:val="0"/>
      <w:adjustRightInd w:val="0"/>
      <w:ind w:firstLine="420"/>
      <w:jc w:val="left"/>
    </w:pPr>
    <w:rPr>
      <w:rFonts w:cs="Times New Roman"/>
      <w:kern w:val="0"/>
    </w:rPr>
  </w:style>
  <w:style w:type="paragraph" w:styleId="15">
    <w:name w:val="Body Text Indent"/>
    <w:basedOn w:val="1"/>
    <w:qFormat/>
    <w:uiPriority w:val="0"/>
    <w:pPr>
      <w:spacing w:after="120"/>
      <w:ind w:left="420" w:leftChars="200"/>
    </w:pPr>
  </w:style>
  <w:style w:type="paragraph" w:styleId="16">
    <w:name w:val="caption"/>
    <w:basedOn w:val="1"/>
    <w:next w:val="1"/>
    <w:qFormat/>
    <w:uiPriority w:val="0"/>
    <w:pPr>
      <w:tabs>
        <w:tab w:val="left" w:pos="0"/>
      </w:tabs>
    </w:pPr>
    <w:rPr>
      <w:rFonts w:ascii="Arial" w:hAnsi="Arial" w:eastAsia="黑体"/>
      <w:sz w:val="20"/>
    </w:rPr>
  </w:style>
  <w:style w:type="paragraph" w:styleId="17">
    <w:name w:val="index 5"/>
    <w:basedOn w:val="1"/>
    <w:next w:val="1"/>
    <w:qFormat/>
    <w:uiPriority w:val="99"/>
    <w:pPr>
      <w:snapToGrid w:val="0"/>
      <w:ind w:left="800" w:leftChars="800"/>
    </w:pPr>
    <w:rPr>
      <w:rFonts w:ascii="Arial Narrow" w:hAnsi="Arial Narrow"/>
      <w:kern w:val="0"/>
      <w:szCs w:val="20"/>
    </w:rPr>
  </w:style>
  <w:style w:type="paragraph" w:styleId="18">
    <w:name w:val="annotation text"/>
    <w:basedOn w:val="1"/>
    <w:qFormat/>
    <w:uiPriority w:val="0"/>
    <w:pPr>
      <w:jc w:val="left"/>
    </w:pPr>
  </w:style>
  <w:style w:type="paragraph" w:styleId="19">
    <w:name w:val="Body Text"/>
    <w:basedOn w:val="1"/>
    <w:qFormat/>
    <w:uiPriority w:val="99"/>
    <w:pPr>
      <w:tabs>
        <w:tab w:val="left" w:pos="0"/>
      </w:tabs>
      <w:spacing w:after="120"/>
    </w:pPr>
  </w:style>
  <w:style w:type="paragraph" w:styleId="20">
    <w:name w:val="List 2"/>
    <w:basedOn w:val="1"/>
    <w:unhideWhenUsed/>
    <w:qFormat/>
    <w:uiPriority w:val="99"/>
    <w:pPr>
      <w:ind w:left="100" w:leftChars="200" w:hanging="200" w:hangingChars="200"/>
      <w:contextualSpacing/>
    </w:pPr>
  </w:style>
  <w:style w:type="paragraph" w:styleId="21">
    <w:name w:val="Plain Text"/>
    <w:basedOn w:val="1"/>
    <w:qFormat/>
    <w:uiPriority w:val="0"/>
    <w:rPr>
      <w:rFonts w:ascii="宋体" w:hAnsi="Courier New" w:cs="Courier New"/>
      <w:szCs w:val="21"/>
    </w:rPr>
  </w:style>
  <w:style w:type="paragraph" w:styleId="22">
    <w:name w:val="Date"/>
    <w:next w:val="1"/>
    <w:qFormat/>
    <w:uiPriority w:val="0"/>
    <w:pPr>
      <w:widowControl w:val="0"/>
      <w:jc w:val="both"/>
    </w:pPr>
    <w:rPr>
      <w:rFonts w:ascii="Times New Roman" w:hAnsi="Times New Roman" w:eastAsia="宋体" w:cs="Times New Roman"/>
      <w:kern w:val="2"/>
      <w:sz w:val="24"/>
      <w:lang w:val="en-US" w:eastAsia="zh-CN" w:bidi="ar-SA"/>
    </w:rPr>
  </w:style>
  <w:style w:type="paragraph" w:styleId="23">
    <w:name w:val="Body Text Indent 2"/>
    <w:basedOn w:val="1"/>
    <w:qFormat/>
    <w:uiPriority w:val="0"/>
    <w:pPr>
      <w:ind w:firstLine="680"/>
    </w:pPr>
    <w:rPr>
      <w:rFonts w:ascii="宋体" w:hAnsi="宋体"/>
      <w:sz w:val="28"/>
    </w:rPr>
  </w:style>
  <w:style w:type="paragraph" w:styleId="24">
    <w:name w:val="footer"/>
    <w:basedOn w:val="1"/>
    <w:qFormat/>
    <w:uiPriority w:val="0"/>
    <w:pPr>
      <w:tabs>
        <w:tab w:val="center" w:pos="4153"/>
        <w:tab w:val="right" w:pos="8306"/>
      </w:tabs>
      <w:snapToGrid w:val="0"/>
      <w:jc w:val="left"/>
    </w:pPr>
    <w:rPr>
      <w:sz w:val="18"/>
    </w:rPr>
  </w:style>
  <w:style w:type="paragraph" w:styleId="2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6">
    <w:name w:val="toc 1"/>
    <w:basedOn w:val="1"/>
    <w:next w:val="1"/>
    <w:qFormat/>
    <w:uiPriority w:val="0"/>
    <w:pPr>
      <w:tabs>
        <w:tab w:val="left" w:pos="0"/>
      </w:tabs>
      <w:jc w:val="left"/>
    </w:pPr>
    <w:rPr>
      <w:rFonts w:ascii="等线" w:hAnsi="等线" w:eastAsia="微软雅黑"/>
      <w:b/>
      <w:szCs w:val="22"/>
    </w:rPr>
  </w:style>
  <w:style w:type="paragraph" w:styleId="27">
    <w:name w:val="footnote text"/>
    <w:basedOn w:val="1"/>
    <w:next w:val="17"/>
    <w:qFormat/>
    <w:uiPriority w:val="99"/>
    <w:pPr>
      <w:snapToGrid w:val="0"/>
      <w:spacing w:line="240" w:lineRule="auto"/>
    </w:pPr>
    <w:rPr>
      <w:sz w:val="18"/>
    </w:rPr>
  </w:style>
  <w:style w:type="paragraph" w:styleId="28">
    <w:name w:val="toc 2"/>
    <w:basedOn w:val="1"/>
    <w:next w:val="1"/>
    <w:qFormat/>
    <w:uiPriority w:val="0"/>
    <w:pPr>
      <w:ind w:left="420" w:leftChars="200"/>
    </w:pPr>
  </w:style>
  <w:style w:type="paragraph" w:styleId="29">
    <w:name w:val="Body Text 2"/>
    <w:basedOn w:val="1"/>
    <w:next w:val="19"/>
    <w:qFormat/>
    <w:uiPriority w:val="99"/>
    <w:pPr>
      <w:spacing w:after="120" w:line="480" w:lineRule="auto"/>
    </w:pPr>
  </w:style>
  <w:style w:type="paragraph" w:styleId="3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rPr>
  </w:style>
  <w:style w:type="paragraph" w:styleId="31">
    <w:name w:val="Normal (Web)"/>
    <w:basedOn w:val="1"/>
    <w:qFormat/>
    <w:uiPriority w:val="0"/>
  </w:style>
  <w:style w:type="paragraph" w:styleId="32">
    <w:name w:val="Title"/>
    <w:basedOn w:val="1"/>
    <w:next w:val="1"/>
    <w:qFormat/>
    <w:uiPriority w:val="0"/>
    <w:pPr>
      <w:spacing w:before="240" w:after="60"/>
      <w:jc w:val="center"/>
      <w:outlineLvl w:val="0"/>
    </w:pPr>
    <w:rPr>
      <w:rFonts w:ascii="Cambria" w:hAnsi="Cambria" w:eastAsia="宋体" w:cs="Times New Roman"/>
      <w:b/>
      <w:sz w:val="32"/>
    </w:rPr>
  </w:style>
  <w:style w:type="paragraph" w:styleId="33">
    <w:name w:val="annotation subject"/>
    <w:basedOn w:val="18"/>
    <w:next w:val="1"/>
    <w:qFormat/>
    <w:uiPriority w:val="0"/>
    <w:rPr>
      <w:b/>
      <w:bCs/>
    </w:rPr>
  </w:style>
  <w:style w:type="paragraph" w:styleId="34">
    <w:name w:val="Body Text First Indent"/>
    <w:basedOn w:val="19"/>
    <w:qFormat/>
    <w:uiPriority w:val="99"/>
    <w:pPr>
      <w:ind w:firstLine="100" w:firstLineChars="100"/>
    </w:pPr>
  </w:style>
  <w:style w:type="table" w:styleId="36">
    <w:name w:val="Table Gri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38">
    <w:name w:val="Strong"/>
    <w:basedOn w:val="37"/>
    <w:qFormat/>
    <w:uiPriority w:val="0"/>
    <w:rPr>
      <w:b/>
    </w:rPr>
  </w:style>
  <w:style w:type="character" w:styleId="39">
    <w:name w:val="Hyperlink"/>
    <w:basedOn w:val="37"/>
    <w:qFormat/>
    <w:uiPriority w:val="0"/>
    <w:rPr>
      <w:rFonts w:ascii="Times New Roman" w:hAnsi="Times New Roman" w:eastAsia="宋体" w:cs="Times New Roman"/>
      <w:color w:val="0000FF"/>
      <w:u w:val="single"/>
    </w:rPr>
  </w:style>
  <w:style w:type="paragraph" w:customStyle="1" w:styleId="40">
    <w:name w:val="列出段落1"/>
    <w:basedOn w:val="41"/>
    <w:qFormat/>
    <w:uiPriority w:val="34"/>
    <w:pPr>
      <w:tabs>
        <w:tab w:val="left" w:pos="0"/>
      </w:tabs>
      <w:ind w:firstLine="420" w:firstLineChars="200"/>
    </w:pPr>
    <w:rPr>
      <w:szCs w:val="22"/>
    </w:rPr>
  </w:style>
  <w:style w:type="paragraph" w:customStyle="1" w:styleId="41">
    <w:name w:val="正文_10_4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样式2"/>
    <w:basedOn w:val="3"/>
    <w:qFormat/>
    <w:uiPriority w:val="0"/>
  </w:style>
  <w:style w:type="character" w:customStyle="1" w:styleId="43">
    <w:name w:val="标题 1 Char"/>
    <w:link w:val="3"/>
    <w:qFormat/>
    <w:uiPriority w:val="0"/>
    <w:rPr>
      <w:rFonts w:ascii="宋体" w:hAnsi="宋体" w:eastAsia="方正小标宋_GBK" w:cs="宋体"/>
      <w:spacing w:val="28"/>
      <w:kern w:val="36"/>
      <w:sz w:val="36"/>
      <w:szCs w:val="20"/>
    </w:rPr>
  </w:style>
  <w:style w:type="paragraph" w:customStyle="1" w:styleId="44">
    <w:name w:val="表头"/>
    <w:basedOn w:val="16"/>
    <w:qFormat/>
    <w:uiPriority w:val="0"/>
    <w:pPr>
      <w:spacing w:line="300" w:lineRule="exact"/>
      <w:jc w:val="center"/>
    </w:pPr>
    <w:rPr>
      <w:rFonts w:ascii="Times New Roman" w:hAnsi="Times New Roman" w:eastAsia="微软雅黑" w:cs="Times New Roman"/>
      <w:b/>
      <w:sz w:val="22"/>
      <w:szCs w:val="20"/>
    </w:rPr>
  </w:style>
  <w:style w:type="paragraph" w:customStyle="1" w:styleId="45">
    <w:name w:val="文章正文"/>
    <w:link w:val="46"/>
    <w:qFormat/>
    <w:uiPriority w:val="0"/>
    <w:pPr>
      <w:widowControl w:val="0"/>
      <w:adjustRightInd w:val="0"/>
      <w:snapToGrid w:val="0"/>
      <w:spacing w:before="50" w:beforeLines="50" w:line="440" w:lineRule="exact"/>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46">
    <w:name w:val="文章正文 Char"/>
    <w:basedOn w:val="37"/>
    <w:link w:val="45"/>
    <w:qFormat/>
    <w:uiPriority w:val="0"/>
    <w:rPr>
      <w:rFonts w:ascii="Times New Roman" w:hAnsi="Times New Roman" w:eastAsia="宋体" w:cs="Times New Roman"/>
      <w:kern w:val="2"/>
      <w:sz w:val="24"/>
      <w:szCs w:val="22"/>
      <w:lang w:val="en-US" w:eastAsia="zh-CN" w:bidi="ar-SA"/>
    </w:rPr>
  </w:style>
  <w:style w:type="character" w:customStyle="1" w:styleId="47">
    <w:name w:val="标题 5 Char1"/>
    <w:basedOn w:val="37"/>
    <w:qFormat/>
    <w:uiPriority w:val="0"/>
    <w:rPr>
      <w:rFonts w:ascii="Times New Roman" w:hAnsi="Times New Roman" w:eastAsia="黑体" w:cs="Times New Roman"/>
      <w:sz w:val="24"/>
      <w:szCs w:val="24"/>
    </w:rPr>
  </w:style>
  <w:style w:type="paragraph" w:customStyle="1" w:styleId="48">
    <w:name w:val="表格1"/>
    <w:qFormat/>
    <w:uiPriority w:val="0"/>
    <w:pPr>
      <w:widowControl w:val="0"/>
      <w:spacing w:line="300" w:lineRule="exact"/>
      <w:jc w:val="center"/>
    </w:pPr>
    <w:rPr>
      <w:rFonts w:ascii="Times New Roman" w:hAnsi="Times New Roman" w:eastAsia="微软雅黑" w:cs="Times New Roman"/>
      <w:b/>
      <w:kern w:val="2"/>
      <w:sz w:val="22"/>
      <w:szCs w:val="24"/>
      <w:lang w:val="en-US" w:eastAsia="zh-CN" w:bidi="ar-SA"/>
    </w:rPr>
  </w:style>
  <w:style w:type="paragraph" w:customStyle="1" w:styleId="49">
    <w:name w:val="表格2"/>
    <w:qFormat/>
    <w:uiPriority w:val="0"/>
    <w:pPr>
      <w:widowControl w:val="0"/>
      <w:spacing w:line="300" w:lineRule="exact"/>
      <w:ind w:firstLine="420" w:firstLineChars="200"/>
    </w:pPr>
    <w:rPr>
      <w:rFonts w:ascii="Times New Roman" w:hAnsi="Times New Roman" w:eastAsia="微软雅黑" w:cs="Times New Roman"/>
      <w:kern w:val="2"/>
      <w:szCs w:val="24"/>
      <w:lang w:val="en-US" w:eastAsia="zh-CN" w:bidi="ar-SA"/>
    </w:rPr>
  </w:style>
  <w:style w:type="character" w:customStyle="1" w:styleId="50">
    <w:name w:val="标题 2 Char"/>
    <w:link w:val="4"/>
    <w:qFormat/>
    <w:uiPriority w:val="0"/>
    <w:rPr>
      <w:rFonts w:ascii="Arial" w:hAnsi="Arial" w:eastAsia="黑体" w:cs="Times New Roman"/>
      <w:sz w:val="28"/>
      <w:szCs w:val="24"/>
    </w:rPr>
  </w:style>
  <w:style w:type="character" w:customStyle="1" w:styleId="51">
    <w:name w:val="标题 3 Char"/>
    <w:basedOn w:val="37"/>
    <w:link w:val="5"/>
    <w:qFormat/>
    <w:uiPriority w:val="0"/>
    <w:rPr>
      <w:rFonts w:ascii="Times New Roman" w:hAnsi="Times New Roman" w:eastAsia="楷体" w:cs="Times New Roman"/>
      <w:b/>
      <w:sz w:val="28"/>
      <w:szCs w:val="20"/>
    </w:rPr>
  </w:style>
  <w:style w:type="character" w:customStyle="1" w:styleId="52">
    <w:name w:val="标题 4 Char"/>
    <w:link w:val="6"/>
    <w:qFormat/>
    <w:uiPriority w:val="0"/>
    <w:rPr>
      <w:rFonts w:eastAsia="黑体" w:cs="Times New Roman"/>
      <w:sz w:val="24"/>
      <w:szCs w:val="28"/>
    </w:rPr>
  </w:style>
  <w:style w:type="character" w:customStyle="1" w:styleId="53">
    <w:name w:val="标题 5 Char"/>
    <w:link w:val="7"/>
    <w:qFormat/>
    <w:uiPriority w:val="0"/>
    <w:rPr>
      <w:rFonts w:ascii="Times New Roman" w:hAnsi="Times New Roman" w:eastAsia="黑体" w:cs="Times New Roman"/>
      <w:kern w:val="2"/>
      <w:sz w:val="24"/>
      <w:szCs w:val="24"/>
      <w:lang w:val="en-US" w:eastAsia="zh-CN" w:bidi="ar-SA"/>
    </w:rPr>
  </w:style>
  <w:style w:type="paragraph" w:customStyle="1" w:styleId="54">
    <w:name w:val="Body Text First Indent 21"/>
    <w:basedOn w:val="55"/>
    <w:qFormat/>
    <w:uiPriority w:val="0"/>
    <w:pPr>
      <w:ind w:firstLine="420" w:firstLineChars="200"/>
    </w:pPr>
  </w:style>
  <w:style w:type="paragraph" w:customStyle="1" w:styleId="55">
    <w:name w:val="Body Text Indent1"/>
    <w:basedOn w:val="1"/>
    <w:next w:val="56"/>
    <w:qFormat/>
    <w:uiPriority w:val="0"/>
    <w:pPr>
      <w:ind w:left="420" w:leftChars="200"/>
    </w:pPr>
  </w:style>
  <w:style w:type="paragraph" w:customStyle="1" w:styleId="56">
    <w:name w:val="Body Text Indent 21"/>
    <w:basedOn w:val="1"/>
    <w:qFormat/>
    <w:uiPriority w:val="0"/>
    <w:pPr>
      <w:spacing w:line="480" w:lineRule="auto"/>
      <w:ind w:left="420" w:leftChars="200"/>
    </w:pPr>
    <w:rPr>
      <w:kern w:val="0"/>
      <w:sz w:val="20"/>
    </w:rPr>
  </w:style>
  <w:style w:type="paragraph" w:customStyle="1" w:styleId="57">
    <w:name w:val="表格内标题行"/>
    <w:basedOn w:val="1"/>
    <w:qFormat/>
    <w:uiPriority w:val="0"/>
    <w:pPr>
      <w:widowControl/>
      <w:tabs>
        <w:tab w:val="left" w:pos="0"/>
        <w:tab w:val="left" w:pos="33"/>
      </w:tabs>
      <w:spacing w:line="480" w:lineRule="auto"/>
      <w:ind w:firstLine="920" w:firstLineChars="100"/>
      <w:jc w:val="center"/>
    </w:pPr>
    <w:rPr>
      <w:rFonts w:ascii="宋体" w:hAnsi="宋体" w:eastAsia="黑体"/>
      <w:b/>
    </w:rPr>
  </w:style>
  <w:style w:type="paragraph" w:customStyle="1" w:styleId="58">
    <w:name w:val="表格内容左对齐"/>
    <w:basedOn w:val="1"/>
    <w:qFormat/>
    <w:uiPriority w:val="0"/>
    <w:pPr>
      <w:widowControl/>
      <w:tabs>
        <w:tab w:val="left" w:pos="0"/>
        <w:tab w:val="left" w:pos="33"/>
      </w:tabs>
      <w:spacing w:line="300" w:lineRule="exact"/>
      <w:ind w:firstLine="420" w:firstLineChars="200"/>
      <w:jc w:val="left"/>
    </w:pPr>
    <w:rPr>
      <w:rFonts w:ascii="宋体" w:hAnsi="宋体" w:eastAsia="微软雅黑"/>
      <w:sz w:val="22"/>
    </w:rPr>
  </w:style>
  <w:style w:type="paragraph" w:customStyle="1" w:styleId="59">
    <w:name w:val="正文(首行缩进)"/>
    <w:basedOn w:val="1"/>
    <w:qFormat/>
    <w:uiPriority w:val="0"/>
    <w:pPr>
      <w:widowControl/>
      <w:tabs>
        <w:tab w:val="left" w:pos="0"/>
      </w:tabs>
      <w:ind w:firstLine="1840" w:firstLineChars="200"/>
      <w:jc w:val="left"/>
    </w:pPr>
    <w:rPr>
      <w:rFonts w:ascii="Arial Narrow" w:hAnsi="Arial Narrow"/>
    </w:rPr>
  </w:style>
  <w:style w:type="paragraph" w:customStyle="1" w:styleId="60">
    <w:name w:val="正文四号"/>
    <w:basedOn w:val="1"/>
    <w:link w:val="61"/>
    <w:qFormat/>
    <w:uiPriority w:val="0"/>
    <w:pPr>
      <w:tabs>
        <w:tab w:val="left" w:pos="0"/>
      </w:tabs>
    </w:pPr>
    <w:rPr>
      <w:rFonts w:eastAsia="仿宋_GB2312"/>
      <w:sz w:val="28"/>
      <w:szCs w:val="28"/>
    </w:rPr>
  </w:style>
  <w:style w:type="character" w:customStyle="1" w:styleId="61">
    <w:name w:val="正文四号 字符"/>
    <w:basedOn w:val="62"/>
    <w:link w:val="60"/>
    <w:qFormat/>
    <w:uiPriority w:val="0"/>
    <w:rPr>
      <w:rFonts w:ascii="Calibri" w:hAnsi="Calibri" w:eastAsia="仿宋_GB2312"/>
      <w:sz w:val="28"/>
      <w:szCs w:val="28"/>
    </w:rPr>
  </w:style>
  <w:style w:type="character" w:customStyle="1" w:styleId="62">
    <w:name w:val="列出段落 字符"/>
    <w:basedOn w:val="37"/>
    <w:qFormat/>
    <w:uiPriority w:val="34"/>
  </w:style>
  <w:style w:type="paragraph" w:styleId="63">
    <w:name w:val="List Paragraph"/>
    <w:basedOn w:val="1"/>
    <w:qFormat/>
    <w:uiPriority w:val="34"/>
    <w:pPr>
      <w:ind w:firstLine="420" w:firstLineChars="200"/>
    </w:pPr>
  </w:style>
  <w:style w:type="character" w:customStyle="1" w:styleId="64">
    <w:name w:val="列出段落 字符1"/>
    <w:basedOn w:val="37"/>
    <w:link w:val="65"/>
    <w:qFormat/>
    <w:uiPriority w:val="34"/>
  </w:style>
  <w:style w:type="paragraph" w:customStyle="1" w:styleId="65">
    <w:name w:val="List Paragraph11"/>
    <w:basedOn w:val="1"/>
    <w:link w:val="64"/>
    <w:qFormat/>
    <w:uiPriority w:val="34"/>
    <w:pPr>
      <w:tabs>
        <w:tab w:val="left" w:pos="0"/>
      </w:tabs>
      <w:ind w:firstLine="420" w:firstLineChars="200"/>
    </w:pPr>
  </w:style>
  <w:style w:type="paragraph" w:customStyle="1" w:styleId="66">
    <w:name w:val="采购文件章节标题"/>
    <w:basedOn w:val="1"/>
    <w:qFormat/>
    <w:uiPriority w:val="0"/>
    <w:pPr>
      <w:tabs>
        <w:tab w:val="left" w:pos="0"/>
      </w:tabs>
      <w:spacing w:after="120" w:line="500" w:lineRule="exact"/>
      <w:jc w:val="center"/>
      <w:outlineLvl w:val="0"/>
    </w:pPr>
    <w:rPr>
      <w:rFonts w:eastAsia="微软雅黑"/>
      <w:spacing w:val="28"/>
      <w:sz w:val="44"/>
    </w:rPr>
  </w:style>
  <w:style w:type="paragraph" w:customStyle="1" w:styleId="67">
    <w:name w:val="表格正文（首行缩进）"/>
    <w:qFormat/>
    <w:uiPriority w:val="0"/>
    <w:pPr>
      <w:spacing w:line="300" w:lineRule="exact"/>
      <w:ind w:firstLine="788" w:firstLineChars="200"/>
    </w:pPr>
    <w:rPr>
      <w:rFonts w:ascii="Calibri" w:hAnsi="Calibri" w:eastAsia="微软雅黑" w:cs="宋体"/>
      <w:sz w:val="21"/>
      <w:lang w:val="en-US" w:eastAsia="zh-CN" w:bidi="ar-SA"/>
    </w:rPr>
  </w:style>
  <w:style w:type="paragraph" w:customStyle="1" w:styleId="68">
    <w:name w:val="研究生姓名"/>
    <w:qFormat/>
    <w:uiPriority w:val="0"/>
    <w:pPr>
      <w:widowControl w:val="0"/>
      <w:ind w:firstLine="700" w:firstLineChars="700"/>
      <w:jc w:val="both"/>
    </w:pPr>
    <w:rPr>
      <w:rFonts w:ascii="Times New Roman" w:hAnsi="Times New Roman" w:eastAsia="宋体" w:cs="Times New Roman"/>
      <w:kern w:val="2"/>
      <w:sz w:val="28"/>
      <w:szCs w:val="28"/>
      <w:lang w:val="en-US" w:eastAsia="zh-CN" w:bidi="ar-SA"/>
    </w:rPr>
  </w:style>
  <w:style w:type="paragraph" w:customStyle="1" w:styleId="69">
    <w:name w:val="二级"/>
    <w:basedOn w:val="1"/>
    <w:qFormat/>
    <w:uiPriority w:val="0"/>
    <w:pPr>
      <w:widowControl/>
      <w:ind w:firstLine="482" w:firstLineChars="200"/>
      <w:jc w:val="left"/>
      <w:outlineLvl w:val="1"/>
    </w:pPr>
    <w:rPr>
      <w:rFonts w:hint="eastAsia" w:ascii="Arial Narrow" w:hAnsi="Arial Narrow"/>
      <w:b/>
      <w:bCs/>
    </w:rPr>
  </w:style>
  <w:style w:type="paragraph" w:customStyle="1" w:styleId="70">
    <w:name w:val="三级"/>
    <w:basedOn w:val="1"/>
    <w:next w:val="1"/>
    <w:qFormat/>
    <w:uiPriority w:val="0"/>
    <w:pPr>
      <w:keepNext/>
      <w:keepLines/>
      <w:spacing w:before="260" w:after="260" w:line="360" w:lineRule="auto"/>
      <w:outlineLvl w:val="2"/>
    </w:pPr>
    <w:rPr>
      <w:rFonts w:hint="eastAsia" w:ascii="Times New Roman" w:hAnsi="Times New Roman" w:eastAsia="楷体" w:cs="Times New Roman"/>
      <w:b/>
      <w:sz w:val="28"/>
      <w:szCs w:val="18"/>
    </w:rPr>
  </w:style>
  <w:style w:type="paragraph" w:customStyle="1" w:styleId="71">
    <w:name w:val="List Paragraph1"/>
    <w:basedOn w:val="1"/>
    <w:qFormat/>
    <w:uiPriority w:val="34"/>
    <w:pPr>
      <w:ind w:firstLine="420" w:firstLineChars="200"/>
    </w:pPr>
  </w:style>
  <w:style w:type="paragraph" w:customStyle="1" w:styleId="72">
    <w:name w:val="招标文件编号"/>
    <w:qFormat/>
    <w:uiPriority w:val="0"/>
    <w:pPr>
      <w:widowControl w:val="0"/>
      <w:numPr>
        <w:ilvl w:val="0"/>
        <w:numId w:val="4"/>
      </w:numPr>
      <w:tabs>
        <w:tab w:val="clear" w:pos="0"/>
      </w:tabs>
      <w:adjustRightInd w:val="0"/>
      <w:snapToGrid w:val="0"/>
      <w:spacing w:line="240" w:lineRule="exact"/>
      <w:jc w:val="center"/>
    </w:pPr>
    <w:rPr>
      <w:rFonts w:ascii="Times New Roman" w:hAnsi="Times New Roman" w:eastAsia="微软雅黑" w:cs="Times New Roman"/>
      <w:kern w:val="2"/>
      <w:sz w:val="21"/>
      <w:szCs w:val="24"/>
      <w:lang w:val="en-US" w:eastAsia="zh-CN" w:bidi="ar-SA"/>
    </w:rPr>
  </w:style>
  <w:style w:type="paragraph" w:customStyle="1" w:styleId="73">
    <w:name w:val="Table Paragraph"/>
    <w:basedOn w:val="1"/>
    <w:qFormat/>
    <w:uiPriority w:val="1"/>
    <w:rPr>
      <w:rFonts w:ascii="宋体" w:hAnsi="宋体"/>
      <w:lang w:val="zh-CN" w:bidi="zh-CN"/>
    </w:rPr>
  </w:style>
  <w:style w:type="paragraph" w:customStyle="1" w:styleId="74">
    <w:name w:val="WPSOffice手动目录 1"/>
    <w:qFormat/>
    <w:uiPriority w:val="0"/>
    <w:rPr>
      <w:rFonts w:ascii="Calibri" w:hAnsi="Calibri" w:eastAsia="宋体" w:cs="宋体"/>
      <w:lang w:val="en-US" w:eastAsia="zh-CN" w:bidi="ar-SA"/>
    </w:rPr>
  </w:style>
  <w:style w:type="paragraph" w:customStyle="1" w:styleId="75">
    <w:name w:val="WPSOffice手动目录 2"/>
    <w:qFormat/>
    <w:uiPriority w:val="0"/>
    <w:pPr>
      <w:ind w:left="200" w:leftChars="200"/>
    </w:pPr>
    <w:rPr>
      <w:rFonts w:ascii="Calibri" w:hAnsi="Calibri" w:eastAsia="宋体" w:cs="宋体"/>
      <w:lang w:val="en-US" w:eastAsia="zh-CN" w:bidi="ar-SA"/>
    </w:rPr>
  </w:style>
  <w:style w:type="paragraph" w:customStyle="1" w:styleId="76">
    <w:name w:val="Other|1"/>
    <w:basedOn w:val="1"/>
    <w:qFormat/>
    <w:uiPriority w:val="0"/>
    <w:pPr>
      <w:spacing w:line="396" w:lineRule="auto"/>
      <w:ind w:firstLine="400"/>
    </w:pPr>
    <w:rPr>
      <w:rFonts w:ascii="宋体" w:hAnsi="宋体"/>
      <w:sz w:val="30"/>
      <w:szCs w:val="30"/>
      <w:lang w:val="zh-TW" w:eastAsia="zh-TW" w:bidi="zh-TW"/>
    </w:rPr>
  </w:style>
  <w:style w:type="paragraph" w:customStyle="1" w:styleId="77">
    <w:name w:val="章节题目"/>
    <w:basedOn w:val="1"/>
    <w:next w:val="1"/>
    <w:qFormat/>
    <w:uiPriority w:val="0"/>
    <w:pPr>
      <w:spacing w:line="360" w:lineRule="auto"/>
      <w:jc w:val="left"/>
    </w:pPr>
    <w:rPr>
      <w:rFonts w:ascii="Times New Roman" w:hAnsi="Times New Roman"/>
      <w:spacing w:val="-40"/>
    </w:rPr>
  </w:style>
  <w:style w:type="paragraph" w:customStyle="1" w:styleId="78">
    <w:name w:val="列出段落2"/>
    <w:basedOn w:val="1"/>
    <w:qFormat/>
    <w:uiPriority w:val="0"/>
    <w:pPr>
      <w:spacing w:line="360" w:lineRule="auto"/>
      <w:ind w:firstLine="420" w:firstLineChars="200"/>
    </w:pPr>
    <w:rPr>
      <w:rFonts w:hint="eastAsia" w:cs="Times New Roman"/>
      <w:kern w:val="0"/>
      <w:sz w:val="20"/>
      <w:szCs w:val="20"/>
    </w:rPr>
  </w:style>
  <w:style w:type="paragraph" w:customStyle="1" w:styleId="79">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80">
    <w:name w:val="四级"/>
    <w:basedOn w:val="1"/>
    <w:next w:val="1"/>
    <w:qFormat/>
    <w:uiPriority w:val="0"/>
    <w:pPr>
      <w:keepNext/>
      <w:keepLines/>
      <w:spacing w:before="240" w:after="64" w:line="372" w:lineRule="auto"/>
      <w:ind w:left="862" w:hanging="862"/>
      <w:outlineLvl w:val="4"/>
    </w:pPr>
    <w:rPr>
      <w:rFonts w:hint="eastAsia" w:ascii="Times New Roman" w:hAnsi="Times New Roman" w:eastAsia="黑体" w:cs="Times New Roman"/>
      <w:b/>
      <w:bCs/>
    </w:rPr>
  </w:style>
  <w:style w:type="paragraph" w:customStyle="1" w:styleId="81">
    <w:name w:val="正文1"/>
    <w:basedOn w:val="1"/>
    <w:qFormat/>
    <w:uiPriority w:val="0"/>
    <w:pPr>
      <w:widowControl/>
      <w:ind w:left="200" w:leftChars="200" w:firstLine="480" w:firstLineChars="200"/>
      <w:jc w:val="left"/>
    </w:pPr>
  </w:style>
  <w:style w:type="paragraph" w:customStyle="1" w:styleId="82">
    <w:name w:val="招标文件表格表头"/>
    <w:basedOn w:val="1"/>
    <w:qFormat/>
    <w:uiPriority w:val="0"/>
    <w:pPr>
      <w:jc w:val="center"/>
    </w:pPr>
    <w:rPr>
      <w:rFonts w:eastAsia="黑体" w:cs="Times New Roman"/>
      <w:b/>
    </w:rPr>
  </w:style>
  <w:style w:type="paragraph" w:customStyle="1" w:styleId="83">
    <w:name w:val="招标文件表格主内容"/>
    <w:basedOn w:val="1"/>
    <w:qFormat/>
    <w:uiPriority w:val="0"/>
    <w:pPr>
      <w:spacing w:line="240" w:lineRule="exact"/>
      <w:jc w:val="center"/>
    </w:pPr>
    <w:rPr>
      <w:rFonts w:hint="eastAsia" w:eastAsia="微软雅黑"/>
      <w:sz w:val="22"/>
    </w:rPr>
  </w:style>
  <w:style w:type="paragraph" w:customStyle="1" w:styleId="84">
    <w:name w:val="招标文件表格多段内容"/>
    <w:basedOn w:val="1"/>
    <w:qFormat/>
    <w:uiPriority w:val="0"/>
    <w:pPr>
      <w:spacing w:before="10" w:beforeLines="10" w:line="240" w:lineRule="exact"/>
      <w:ind w:firstLine="400" w:firstLineChars="200"/>
      <w:jc w:val="left"/>
    </w:pPr>
    <w:rPr>
      <w:rFonts w:hint="eastAsia" w:eastAsia="微软雅黑" w:cs="Times New Roman"/>
      <w:sz w:val="20"/>
    </w:rPr>
  </w:style>
  <w:style w:type="paragraph" w:customStyle="1" w:styleId="85">
    <w:name w:val="五级"/>
    <w:basedOn w:val="1"/>
    <w:qFormat/>
    <w:uiPriority w:val="0"/>
    <w:pPr>
      <w:spacing w:after="50" w:afterLines="50"/>
      <w:ind w:firstLine="480" w:firstLineChars="200"/>
      <w:outlineLvl w:val="5"/>
    </w:pPr>
    <w:rPr>
      <w:rFonts w:hint="eastAsia" w:ascii="Times New Roman" w:hAnsi="Times New Roman" w:eastAsia="黑体" w:cs="Times New Roman"/>
    </w:rPr>
  </w:style>
  <w:style w:type="paragraph" w:customStyle="1" w:styleId="86">
    <w:name w:val="GP正文(无首行缩进)"/>
    <w:basedOn w:val="1"/>
    <w:qFormat/>
    <w:uiPriority w:val="0"/>
    <w:pPr>
      <w:spacing w:line="360" w:lineRule="auto"/>
      <w:ind w:firstLine="480" w:firstLineChars="200"/>
      <w:jc w:val="left"/>
    </w:pPr>
    <w:rPr>
      <w:rFonts w:hAnsi="宋体"/>
    </w:rPr>
  </w:style>
  <w:style w:type="character" w:customStyle="1" w:styleId="87">
    <w:name w:val="font11"/>
    <w:basedOn w:val="37"/>
    <w:qFormat/>
    <w:uiPriority w:val="0"/>
    <w:rPr>
      <w:rFonts w:hint="eastAsia" w:ascii="微软雅黑" w:hAnsi="微软雅黑" w:eastAsia="微软雅黑" w:cs="微软雅黑"/>
      <w:b/>
      <w:bCs/>
      <w:color w:val="000000"/>
      <w:sz w:val="22"/>
      <w:szCs w:val="22"/>
      <w:u w:val="none"/>
    </w:rPr>
  </w:style>
  <w:style w:type="character" w:customStyle="1" w:styleId="88">
    <w:name w:val="font31"/>
    <w:basedOn w:val="37"/>
    <w:qFormat/>
    <w:uiPriority w:val="0"/>
    <w:rPr>
      <w:rFonts w:hint="default" w:ascii="Times New Roman" w:hAnsi="Times New Roman" w:cs="Times New Roman"/>
      <w:color w:val="000000"/>
      <w:sz w:val="24"/>
      <w:szCs w:val="24"/>
      <w:u w:val="none"/>
    </w:rPr>
  </w:style>
  <w:style w:type="character" w:customStyle="1" w:styleId="89">
    <w:name w:val="font01"/>
    <w:qFormat/>
    <w:uiPriority w:val="0"/>
    <w:rPr>
      <w:rFonts w:hint="eastAsia" w:ascii="宋体" w:hAnsi="宋体" w:eastAsia="宋体" w:cs="宋体"/>
      <w:color w:val="000000"/>
      <w:sz w:val="24"/>
      <w:szCs w:val="24"/>
      <w:u w:val="none"/>
    </w:rPr>
  </w:style>
  <w:style w:type="character" w:customStyle="1" w:styleId="90">
    <w:name w:val="font81"/>
    <w:basedOn w:val="37"/>
    <w:qFormat/>
    <w:uiPriority w:val="0"/>
    <w:rPr>
      <w:rFonts w:hint="eastAsia" w:ascii="宋体" w:hAnsi="宋体" w:eastAsia="宋体" w:cs="宋体"/>
      <w:b/>
      <w:bCs/>
      <w:color w:val="000000"/>
      <w:sz w:val="18"/>
      <w:szCs w:val="18"/>
      <w:u w:val="none"/>
    </w:rPr>
  </w:style>
  <w:style w:type="character" w:customStyle="1" w:styleId="91">
    <w:name w:val="font21"/>
    <w:basedOn w:val="37"/>
    <w:qFormat/>
    <w:uiPriority w:val="0"/>
    <w:rPr>
      <w:rFonts w:hint="eastAsia" w:ascii="宋体" w:hAnsi="宋体" w:eastAsia="宋体" w:cs="宋体"/>
      <w:color w:val="000000"/>
      <w:sz w:val="18"/>
      <w:szCs w:val="18"/>
      <w:u w:val="none"/>
    </w:rPr>
  </w:style>
  <w:style w:type="character" w:customStyle="1" w:styleId="92">
    <w:name w:val="font131"/>
    <w:basedOn w:val="37"/>
    <w:qFormat/>
    <w:uiPriority w:val="0"/>
    <w:rPr>
      <w:rFonts w:hint="eastAsia" w:ascii="宋体" w:hAnsi="宋体" w:eastAsia="宋体" w:cs="宋体"/>
      <w:color w:val="FF0000"/>
      <w:sz w:val="18"/>
      <w:szCs w:val="18"/>
      <w:u w:val="none"/>
    </w:rPr>
  </w:style>
  <w:style w:type="character" w:customStyle="1" w:styleId="93">
    <w:name w:val="font41"/>
    <w:basedOn w:val="37"/>
    <w:qFormat/>
    <w:uiPriority w:val="0"/>
    <w:rPr>
      <w:rFonts w:hint="default" w:ascii="Times New Roman" w:hAnsi="Times New Roman" w:cs="Times New Roman"/>
      <w:color w:val="FF0000"/>
      <w:sz w:val="20"/>
      <w:szCs w:val="20"/>
      <w:u w:val="none"/>
    </w:rPr>
  </w:style>
  <w:style w:type="paragraph" w:customStyle="1" w:styleId="94">
    <w:name w:val="Heading #1|1"/>
    <w:basedOn w:val="1"/>
    <w:qFormat/>
    <w:uiPriority w:val="0"/>
    <w:pPr>
      <w:spacing w:line="526" w:lineRule="exact"/>
      <w:jc w:val="center"/>
      <w:outlineLvl w:val="0"/>
    </w:pPr>
    <w:rPr>
      <w:rFonts w:ascii="宋体" w:hAnsi="宋体" w:eastAsia="宋体"/>
      <w:sz w:val="36"/>
      <w:szCs w:val="36"/>
      <w:lang w:val="zh-TW" w:eastAsia="zh-TW" w:bidi="zh-TW"/>
    </w:rPr>
  </w:style>
  <w:style w:type="paragraph" w:customStyle="1" w:styleId="95">
    <w:name w:val="正文格式"/>
    <w:qFormat/>
    <w:uiPriority w:val="0"/>
    <w:pPr>
      <w:widowControl/>
      <w:adjustRightInd w:val="0"/>
      <w:snapToGrid w:val="0"/>
      <w:spacing w:line="400" w:lineRule="atLeast"/>
      <w:ind w:firstLine="482"/>
      <w:jc w:val="both"/>
      <w:textAlignment w:val="baseline"/>
    </w:pPr>
    <w:rPr>
      <w:rFonts w:ascii="Times New Roman" w:hAnsi="Times New Roman" w:eastAsia="宋体" w:cs="Times New Roman"/>
      <w:kern w:val="0"/>
      <w:sz w:val="24"/>
      <w:szCs w:val="24"/>
      <w:lang w:val="en-US" w:eastAsia="zh-CN" w:bidi="ar-SA"/>
    </w:rPr>
  </w:style>
  <w:style w:type="table" w:customStyle="1" w:styleId="96">
    <w:name w:val="Table Normal"/>
    <w:semiHidden/>
    <w:unhideWhenUsed/>
    <w:qFormat/>
    <w:uiPriority w:val="0"/>
    <w:tblPr>
      <w:tblCellMar>
        <w:top w:w="0" w:type="dxa"/>
        <w:left w:w="0" w:type="dxa"/>
        <w:bottom w:w="0" w:type="dxa"/>
        <w:right w:w="0" w:type="dxa"/>
      </w:tblCellMar>
    </w:tblPr>
  </w:style>
  <w:style w:type="table" w:customStyle="1" w:styleId="97">
    <w:name w:val="Table Normal2"/>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76</Pages>
  <Words>1017</Words>
  <Characters>1077</Characters>
  <Lines>475</Lines>
  <Paragraphs>133</Paragraphs>
  <TotalTime>32</TotalTime>
  <ScaleCrop>false</ScaleCrop>
  <LinksUpToDate>false</LinksUpToDate>
  <CharactersWithSpaces>1167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2023-02-26T14:45:00Z</dcterms:created>
  <dc:creator>Sugar</dc:creator>
  <cp:lastModifiedBy>TPPCZJJ</cp:lastModifiedBy>
  <cp:lastPrinted>2025-12-11T10:15:00Z</cp:lastPrinted>
  <dcterms:modified xsi:type="dcterms:W3CDTF">2026-07-03T06:06:12Z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89514C2C6AB347C2BEDE40294B9DE481_13</vt:lpwstr>
  </property>
  <property fmtid="{D5CDD505-2E9C-101B-9397-08002B2CF9AE}" pid="4" name="KSOTemplateDocerSaveRecord">
    <vt:lpwstr>eyJoZGlkIjoiZTk4Mzg4ZWVmM2YyMDQ5ZTExZDFmZTZmMGQyYWU4MGIiLCJ1c2VySWQiOiIzNDI0NDYzNjMifQ==</vt:lpwstr>
  </property>
</Properties>
</file>