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1"/>
        </w:numPr>
        <w:shd w:val="clear" w:color="auto" w:fill="auto"/>
        <w:kinsoku/>
        <w:wordWrap/>
        <w:overflowPunct/>
        <w:topLinePunct w:val="0"/>
        <w:autoSpaceDE/>
        <w:autoSpaceDN/>
        <w:bidi w:val="0"/>
        <w:adjustRightInd w:val="0"/>
        <w:snapToGrid w:val="0"/>
        <w:spacing w:line="360" w:lineRule="auto"/>
        <w:ind w:left="0" w:leftChars="0" w:right="0" w:rightChars="0" w:firstLine="643" w:firstLineChars="200"/>
        <w:jc w:val="center"/>
        <w:textAlignment w:val="auto"/>
        <w:outlineLvl w:val="1"/>
        <w:rPr>
          <w:rFonts w:hint="eastAsia" w:ascii="黑体" w:hAnsi="黑体" w:eastAsia="黑体"/>
          <w:b/>
          <w:bCs/>
          <w:color w:val="auto"/>
          <w:sz w:val="32"/>
          <w:szCs w:val="32"/>
          <w:highlight w:val="none"/>
        </w:rPr>
      </w:pPr>
      <w:bookmarkStart w:id="0" w:name="_Toc2406"/>
      <w:r>
        <w:rPr>
          <w:rFonts w:hint="eastAsia" w:ascii="黑体" w:hAnsi="黑体" w:eastAsia="黑体"/>
          <w:b/>
          <w:bCs/>
          <w:color w:val="auto"/>
          <w:sz w:val="32"/>
          <w:szCs w:val="32"/>
          <w:highlight w:val="none"/>
        </w:rPr>
        <w:t>采购需求</w:t>
      </w:r>
      <w:bookmarkEnd w:id="0"/>
      <w:bookmarkStart w:id="1" w:name="_Toc16112"/>
    </w:p>
    <w:bookmarkEnd w:id="1"/>
    <w:p>
      <w:pPr>
        <w:widowControl/>
        <w:adjustRightInd w:val="0"/>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一、项目概况</w:t>
      </w:r>
    </w:p>
    <w:p>
      <w:pPr>
        <w:widowControl/>
        <w:adjustRightInd w:val="0"/>
        <w:snapToGrid w:val="0"/>
        <w:spacing w:line="360" w:lineRule="auto"/>
        <w:ind w:firstLine="420" w:firstLineChars="200"/>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（一）项目名称：</w:t>
      </w:r>
      <w:r>
        <w:rPr>
          <w:rFonts w:hint="eastAsia" w:ascii="宋体" w:hAnsi="宋体" w:eastAsia="宋体" w:cs="宋体"/>
          <w:color w:val="auto"/>
          <w:sz w:val="21"/>
          <w:szCs w:val="21"/>
          <w:highlight w:val="none"/>
          <w:lang w:val="en-US" w:eastAsia="zh-CN"/>
        </w:rPr>
        <w:t>嘉禾县2026年度农村公路安全生命防护工程</w:t>
      </w:r>
    </w:p>
    <w:p>
      <w:pPr>
        <w:widowControl/>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（二）项目业主：</w:t>
      </w:r>
      <w:r>
        <w:rPr>
          <w:rFonts w:hint="eastAsia" w:ascii="宋体" w:hAnsi="宋体" w:eastAsia="宋体" w:cs="宋体"/>
          <w:color w:val="auto"/>
          <w:sz w:val="21"/>
          <w:szCs w:val="21"/>
          <w:highlight w:val="none"/>
          <w:lang w:val="en-US" w:eastAsia="zh-CN"/>
        </w:rPr>
        <w:t>嘉禾县公路建设养护中心</w:t>
      </w:r>
    </w:p>
    <w:p>
      <w:pPr>
        <w:widowControl/>
        <w:adjustRightInd w:val="0"/>
        <w:snapToGrid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（三）建设地点：</w:t>
      </w:r>
      <w:r>
        <w:rPr>
          <w:rFonts w:hint="eastAsia" w:ascii="宋体" w:hAnsi="宋体" w:eastAsia="宋体" w:cs="宋体"/>
          <w:color w:val="auto"/>
          <w:sz w:val="21"/>
          <w:szCs w:val="21"/>
          <w:highlight w:val="none"/>
          <w:lang w:val="en-US" w:eastAsia="zh-CN"/>
        </w:rPr>
        <w:t>嘉禾县珠泉镇、晋屏镇、袁家镇、龙潭镇、广发镇、坦坪镇、行廊镇。</w:t>
      </w:r>
    </w:p>
    <w:p>
      <w:pPr>
        <w:widowControl/>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（四）采购项目预算：￥</w:t>
      </w:r>
      <w:r>
        <w:rPr>
          <w:rFonts w:hint="eastAsia" w:ascii="宋体" w:hAnsi="宋体" w:eastAsia="宋体" w:cs="宋体"/>
          <w:color w:val="auto"/>
          <w:sz w:val="21"/>
          <w:szCs w:val="21"/>
          <w:highlight w:val="none"/>
          <w:lang w:val="en-US" w:eastAsia="zh-CN"/>
        </w:rPr>
        <w:t>2693143.00</w:t>
      </w:r>
      <w:r>
        <w:rPr>
          <w:rFonts w:hint="eastAsia" w:ascii="宋体" w:hAnsi="宋体" w:eastAsia="宋体" w:cs="宋体"/>
          <w:color w:val="auto"/>
          <w:sz w:val="21"/>
          <w:szCs w:val="21"/>
          <w:highlight w:val="none"/>
        </w:rPr>
        <w:t>元。</w:t>
      </w:r>
    </w:p>
    <w:p>
      <w:pPr>
        <w:widowControl/>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（五）主要建设内容为：</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条线路合计建设</w:t>
      </w:r>
      <w:r>
        <w:rPr>
          <w:rFonts w:hint="eastAsia" w:ascii="宋体" w:hAnsi="宋体" w:eastAsia="宋体" w:cs="宋体"/>
          <w:color w:val="auto"/>
          <w:sz w:val="21"/>
          <w:szCs w:val="21"/>
          <w:highlight w:val="none"/>
          <w:lang w:eastAsia="zh-CN"/>
        </w:rPr>
        <w:t>隐患</w:t>
      </w:r>
      <w:r>
        <w:rPr>
          <w:rFonts w:hint="eastAsia" w:ascii="宋体" w:hAnsi="宋体" w:eastAsia="宋体" w:cs="宋体"/>
          <w:color w:val="auto"/>
          <w:sz w:val="21"/>
          <w:szCs w:val="21"/>
          <w:highlight w:val="none"/>
        </w:rPr>
        <w:t>里程</w:t>
      </w:r>
      <w:r>
        <w:rPr>
          <w:rFonts w:hint="eastAsia" w:ascii="宋体" w:hAnsi="宋体" w:eastAsia="宋体" w:cs="宋体"/>
          <w:color w:val="auto"/>
          <w:sz w:val="21"/>
          <w:szCs w:val="21"/>
          <w:highlight w:val="none"/>
          <w:lang w:val="en-US" w:eastAsia="zh-CN"/>
        </w:rPr>
        <w:t>37.555</w:t>
      </w:r>
      <w:r>
        <w:rPr>
          <w:rFonts w:hint="eastAsia" w:ascii="宋体" w:hAnsi="宋体" w:eastAsia="宋体" w:cs="宋体"/>
          <w:color w:val="auto"/>
          <w:sz w:val="21"/>
          <w:szCs w:val="21"/>
          <w:highlight w:val="none"/>
        </w:rPr>
        <w:t>公里。建设内容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1、安全设施工程；2、标志、标牌设置；3、标志工程；4、路侧护栏设置；5、护栏工程；6、轮廓标设置</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（具体详见本项目工程量清单施工图设计）</w:t>
      </w:r>
      <w:r>
        <w:rPr>
          <w:rFonts w:hint="eastAsia" w:ascii="宋体" w:hAnsi="宋体" w:eastAsia="宋体" w:cs="宋体"/>
          <w:color w:val="auto"/>
          <w:sz w:val="21"/>
          <w:szCs w:val="21"/>
          <w:highlight w:val="none"/>
          <w:lang w:eastAsia="zh-CN"/>
        </w:rPr>
        <w:t>。</w:t>
      </w:r>
    </w:p>
    <w:p>
      <w:pPr>
        <w:widowControl/>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p>
    <w:p>
      <w:pPr>
        <w:widowControl w:val="0"/>
        <w:spacing w:after="120" w:line="360" w:lineRule="auto"/>
        <w:ind w:left="0" w:leftChars="0" w:firstLine="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snapToGrid w:val="0"/>
          <w:color w:val="auto"/>
          <w:kern w:val="0"/>
          <w:sz w:val="21"/>
          <w:szCs w:val="21"/>
          <w:highlight w:val="none"/>
          <w:lang w:val="en-US" w:eastAsia="en-US" w:bidi="ar-SA"/>
        </w:rPr>
        <w:t>二、工期及质量要求:</w:t>
      </w:r>
    </w:p>
    <w:p>
      <w:pPr>
        <w:keepNext w:val="0"/>
        <w:keepLines w:val="0"/>
        <w:pageBreakBefore w:val="0"/>
        <w:widowControl w:val="0"/>
        <w:kinsoku/>
        <w:wordWrap/>
        <w:overflowPunct/>
        <w:topLinePunct w:val="0"/>
        <w:autoSpaceDE/>
        <w:autoSpaceDN/>
        <w:bidi w:val="0"/>
        <w:adjustRightInd w:val="0"/>
        <w:snapToGrid w:val="0"/>
        <w:spacing w:after="120"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（一）工期要求:</w:t>
      </w:r>
      <w:bookmarkStart w:id="2" w:name="OLE_LINK2"/>
      <w:r>
        <w:rPr>
          <w:rFonts w:hint="eastAsia" w:ascii="宋体" w:hAnsi="宋体" w:eastAsia="宋体" w:cs="宋体"/>
          <w:snapToGrid w:val="0"/>
          <w:color w:val="auto"/>
          <w:kern w:val="0"/>
          <w:sz w:val="21"/>
          <w:szCs w:val="21"/>
          <w:highlight w:val="none"/>
          <w:lang w:val="en-US" w:eastAsia="zh-CN" w:bidi="ar-SA"/>
        </w:rPr>
        <w:t>3个月</w:t>
      </w:r>
      <w:bookmarkEnd w:id="2"/>
      <w:r>
        <w:rPr>
          <w:rFonts w:hint="eastAsia" w:ascii="宋体" w:hAnsi="宋体" w:eastAsia="宋体" w:cs="宋体"/>
          <w:snapToGrid w:val="0"/>
          <w:color w:val="auto"/>
          <w:kern w:val="0"/>
          <w:sz w:val="21"/>
          <w:szCs w:val="21"/>
          <w:highlight w:val="none"/>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after="120"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（二）质量要求:工程交竣工验收的质量评定为合格及以上。</w:t>
      </w:r>
    </w:p>
    <w:p>
      <w:pPr>
        <w:keepNext w:val="0"/>
        <w:keepLines w:val="0"/>
        <w:pageBreakBefore w:val="0"/>
        <w:widowControl w:val="0"/>
        <w:kinsoku/>
        <w:wordWrap/>
        <w:overflowPunct/>
        <w:topLinePunct w:val="0"/>
        <w:autoSpaceDE/>
        <w:autoSpaceDN/>
        <w:bidi w:val="0"/>
        <w:adjustRightInd w:val="0"/>
        <w:snapToGrid w:val="0"/>
        <w:spacing w:after="120"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（三）安全要求:严格执行有关安全生产的法律法规和规章制度，确保：安全生产“零事故”。</w:t>
      </w:r>
    </w:p>
    <w:p>
      <w:pPr>
        <w:keepNext w:val="0"/>
        <w:keepLines w:val="0"/>
        <w:pageBreakBefore w:val="0"/>
        <w:widowControl w:val="0"/>
        <w:kinsoku/>
        <w:wordWrap/>
        <w:overflowPunct/>
        <w:topLinePunct w:val="0"/>
        <w:autoSpaceDE/>
        <w:autoSpaceDN/>
        <w:bidi w:val="0"/>
        <w:adjustRightInd w:val="0"/>
        <w:snapToGrid w:val="0"/>
        <w:spacing w:after="120"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（四）环保要求:严格执行有关环境保护的法律法规和规章制度，确保:符合环保相关法律法规的要求。</w:t>
      </w:r>
    </w:p>
    <w:p>
      <w:pPr>
        <w:keepNext w:val="0"/>
        <w:keepLines w:val="0"/>
        <w:pageBreakBefore w:val="0"/>
        <w:widowControl w:val="0"/>
        <w:kinsoku/>
        <w:wordWrap/>
        <w:overflowPunct/>
        <w:topLinePunct w:val="0"/>
        <w:autoSpaceDE/>
        <w:autoSpaceDN/>
        <w:bidi w:val="0"/>
        <w:adjustRightInd w:val="0"/>
        <w:snapToGrid w:val="0"/>
        <w:spacing w:after="120"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（五）质量保修期:竣工验收合格之日起算12个月。</w:t>
      </w:r>
    </w:p>
    <w:p>
      <w:pPr>
        <w:keepNext w:val="0"/>
        <w:keepLines w:val="0"/>
        <w:pageBreakBefore w:val="0"/>
        <w:widowControl w:val="0"/>
        <w:kinsoku/>
        <w:wordWrap/>
        <w:overflowPunct/>
        <w:topLinePunct w:val="0"/>
        <w:autoSpaceDE/>
        <w:autoSpaceDN/>
        <w:bidi w:val="0"/>
        <w:adjustRightInd w:val="0"/>
        <w:snapToGrid w:val="0"/>
        <w:spacing w:after="120"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（六）缺陷责任期：自实际交工日期起计算12个月。</w:t>
      </w:r>
    </w:p>
    <w:p>
      <w:pPr>
        <w:keepNext w:val="0"/>
        <w:keepLines w:val="0"/>
        <w:pageBreakBefore w:val="0"/>
        <w:widowControl w:val="0"/>
        <w:kinsoku/>
        <w:wordWrap/>
        <w:overflowPunct/>
        <w:topLinePunct w:val="0"/>
        <w:autoSpaceDE/>
        <w:autoSpaceDN/>
        <w:bidi w:val="0"/>
        <w:adjustRightInd w:val="0"/>
        <w:snapToGrid w:val="0"/>
        <w:spacing w:after="120"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（7）本项目的工程建设必须达到现行国家、省、市或行业的工程建设标准、规范及强制性条文的要求。</w:t>
      </w:r>
    </w:p>
    <w:p>
      <w:pPr>
        <w:keepNext w:val="0"/>
        <w:keepLines w:val="0"/>
        <w:pageBreakBefore w:val="0"/>
        <w:widowControl w:val="0"/>
        <w:kinsoku/>
        <w:wordWrap/>
        <w:overflowPunct/>
        <w:topLinePunct w:val="0"/>
        <w:autoSpaceDE/>
        <w:autoSpaceDN/>
        <w:bidi w:val="0"/>
        <w:adjustRightInd w:val="0"/>
        <w:snapToGrid w:val="0"/>
        <w:spacing w:after="120"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p>
    <w:p>
      <w:pPr>
        <w:widowControl/>
        <w:adjustRightInd w:val="0"/>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三</w:t>
      </w:r>
      <w:r>
        <w:rPr>
          <w:rFonts w:hint="eastAsia" w:ascii="宋体" w:hAnsi="宋体" w:eastAsia="宋体" w:cs="宋体"/>
          <w:b/>
          <w:color w:val="auto"/>
          <w:sz w:val="21"/>
          <w:szCs w:val="21"/>
          <w:highlight w:val="none"/>
        </w:rPr>
        <w:t>、技术要求</w:t>
      </w:r>
    </w:p>
    <w:p>
      <w:pPr>
        <w:widowControl/>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根据施工图设计，</w:t>
      </w:r>
      <w:r>
        <w:rPr>
          <w:rFonts w:hint="eastAsia" w:ascii="宋体" w:hAnsi="宋体" w:eastAsia="宋体" w:cs="宋体"/>
          <w:color w:val="auto"/>
          <w:sz w:val="21"/>
          <w:szCs w:val="21"/>
          <w:highlight w:val="none"/>
        </w:rPr>
        <w:t>响应文件中提供详细的施工组织设计，包括工期、施工进度计划及保证措施、主要部位质量保证措施、施工安全保障措施、主要部位的施工方法或方案和施工保证措施、工程交验后在约定的保修期内的保修措施及期后的服务维护措施、现场文明施工措施、成品保护措施等主要措施等内容</w:t>
      </w:r>
      <w:r>
        <w:rPr>
          <w:rFonts w:hint="eastAsia" w:ascii="宋体" w:hAnsi="宋体" w:eastAsia="宋体" w:cs="宋体"/>
          <w:color w:val="auto"/>
          <w:sz w:val="21"/>
          <w:szCs w:val="21"/>
          <w:highlight w:val="none"/>
          <w:lang w:eastAsia="zh-CN"/>
        </w:rPr>
        <w:t>。</w:t>
      </w:r>
    </w:p>
    <w:p>
      <w:pPr>
        <w:widowControl/>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p>
    <w:p>
      <w:pPr>
        <w:widowControl/>
        <w:adjustRightInd w:val="0"/>
        <w:snapToGrid w:val="0"/>
        <w:spacing w:line="360" w:lineRule="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四、其它要求</w:t>
      </w:r>
    </w:p>
    <w:p>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（一）施工材料由中标供应商负责材料设备的采购、运输、保管和退换等事项;</w:t>
      </w:r>
    </w:p>
    <w:p>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（二）施工中应严格遵守有关环境保护的法律法规，并应采用有效措施控制施工现场各种粉尘、废气、废弃物噪声、振动等对周围环境造成的污染和危害;</w:t>
      </w:r>
    </w:p>
    <w:p>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（三）工程施工中余土及垃圾要及时外运，不得在工地存放。工程竣工后将施工垃圾全部清理完毕，做到工完、料净、地清;</w:t>
      </w:r>
    </w:p>
    <w:p>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（四）供应商必须具有良好的资信和售后服务，服从采购人的管理，并能密切配合其他配套施工项目;</w:t>
      </w:r>
    </w:p>
    <w:p>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（五）供应商应按照采购文件要求对所提供的工程量清单和施工现场进行复核，若无异议则视同对响应文件要求已确认;</w:t>
      </w:r>
    </w:p>
    <w:p>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jc w:val="both"/>
        <w:textAlignment w:val="auto"/>
        <w:rPr>
          <w:rFonts w:hint="eastAsia" w:ascii="宋体" w:hAnsi="宋体" w:eastAsia="宋体" w:cs="宋体"/>
          <w:snapToGrid w:val="0"/>
          <w:color w:val="auto"/>
          <w:kern w:val="0"/>
          <w:sz w:val="21"/>
          <w:szCs w:val="21"/>
          <w:highlight w:val="none"/>
          <w:lang w:val="en-US" w:eastAsia="zh-CN" w:bidi="ar-SA"/>
        </w:rPr>
      </w:pPr>
    </w:p>
    <w:p>
      <w:pPr>
        <w:widowControl w:val="0"/>
        <w:spacing w:after="120" w:line="360" w:lineRule="auto"/>
        <w:ind w:left="0" w:leftChars="0" w:firstLine="0" w:firstLineChars="0"/>
        <w:jc w:val="both"/>
        <w:rPr>
          <w:rFonts w:hint="eastAsia" w:ascii="宋体" w:hAnsi="宋体" w:eastAsia="宋体" w:cs="宋体"/>
          <w:b/>
          <w:snapToGrid w:val="0"/>
          <w:color w:val="auto"/>
          <w:kern w:val="0"/>
          <w:sz w:val="21"/>
          <w:szCs w:val="21"/>
          <w:highlight w:val="none"/>
          <w:lang w:val="en-US" w:eastAsia="en-US" w:bidi="ar-SA"/>
        </w:rPr>
      </w:pPr>
      <w:r>
        <w:rPr>
          <w:rFonts w:hint="eastAsia" w:ascii="宋体" w:hAnsi="宋体" w:eastAsia="宋体" w:cs="宋体"/>
          <w:b/>
          <w:snapToGrid w:val="0"/>
          <w:color w:val="auto"/>
          <w:kern w:val="0"/>
          <w:sz w:val="21"/>
          <w:szCs w:val="21"/>
          <w:highlight w:val="none"/>
          <w:lang w:val="en-US" w:eastAsia="zh-CN" w:bidi="ar-SA"/>
        </w:rPr>
        <w:t>四</w:t>
      </w:r>
      <w:r>
        <w:rPr>
          <w:rFonts w:hint="eastAsia" w:ascii="宋体" w:hAnsi="宋体" w:eastAsia="宋体" w:cs="宋体"/>
          <w:b/>
          <w:snapToGrid w:val="0"/>
          <w:color w:val="auto"/>
          <w:kern w:val="0"/>
          <w:sz w:val="21"/>
          <w:szCs w:val="21"/>
          <w:highlight w:val="none"/>
          <w:lang w:val="en-US" w:eastAsia="en-US" w:bidi="ar-SA"/>
        </w:rPr>
        <w:t>、结算方法</w:t>
      </w:r>
    </w:p>
    <w:p>
      <w:pPr>
        <w:widowControl w:val="0"/>
        <w:spacing w:after="120" w:line="360" w:lineRule="auto"/>
        <w:ind w:firstLine="210" w:firstLineChars="100"/>
        <w:jc w:val="both"/>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1、承包人人员及设备到位，完成单项工程施工材料，具备实质开工条件后，支付合同价款10%预付款；</w:t>
      </w:r>
    </w:p>
    <w:p>
      <w:pPr>
        <w:widowControl w:val="0"/>
        <w:spacing w:after="120" w:line="360" w:lineRule="auto"/>
        <w:ind w:firstLine="210" w:firstLineChars="100"/>
        <w:jc w:val="both"/>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2、项目建设过程中按进度支付至工程价款80%的工程款（包含预付款），即：</w:t>
      </w:r>
    </w:p>
    <w:p>
      <w:pPr>
        <w:widowControl w:val="0"/>
        <w:spacing w:after="120" w:line="360" w:lineRule="auto"/>
        <w:ind w:firstLine="210" w:firstLineChars="100"/>
        <w:jc w:val="both"/>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承包方进场施工后，项目实施过程中，根据工程实际进度，依据业主单位和监理方核定已完成的工程量支付80%的工程进度款</w:t>
      </w:r>
      <w:r>
        <w:rPr>
          <w:rFonts w:hint="eastAsia" w:ascii="宋体" w:hAnsi="宋体" w:cs="宋体"/>
          <w:snapToGrid w:val="0"/>
          <w:color w:val="auto"/>
          <w:kern w:val="0"/>
          <w:sz w:val="21"/>
          <w:szCs w:val="21"/>
          <w:highlight w:val="none"/>
          <w:lang w:val="en-US" w:eastAsia="zh-CN" w:bidi="ar-SA"/>
        </w:rPr>
        <w:t>；支付期限：承包方提供在递交相关材料后的60天内</w:t>
      </w:r>
      <w:r>
        <w:rPr>
          <w:rFonts w:hint="eastAsia" w:ascii="宋体" w:hAnsi="宋体" w:eastAsia="宋体" w:cs="宋体"/>
          <w:snapToGrid w:val="0"/>
          <w:color w:val="auto"/>
          <w:kern w:val="0"/>
          <w:sz w:val="21"/>
          <w:szCs w:val="21"/>
          <w:highlight w:val="none"/>
          <w:lang w:val="en-US" w:eastAsia="zh-CN" w:bidi="ar-SA"/>
        </w:rPr>
        <w:t>；</w:t>
      </w:r>
    </w:p>
    <w:p>
      <w:pPr>
        <w:widowControl w:val="0"/>
        <w:spacing w:after="120" w:line="360" w:lineRule="auto"/>
        <w:ind w:firstLine="210" w:firstLineChars="100"/>
        <w:jc w:val="both"/>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3、工程竣工验收合格后60天内，按最终结算审定工程造价97%支付，预留3%作为质量保证金。剩余3%的工程结算款作为质量保证金，在缺陷责任期满且审批通过后结清。</w:t>
      </w:r>
    </w:p>
    <w:p>
      <w:pPr>
        <w:widowControl w:val="0"/>
        <w:spacing w:after="120" w:line="360" w:lineRule="auto"/>
        <w:ind w:firstLine="210" w:firstLineChars="100"/>
        <w:jc w:val="both"/>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4、发包人付款必须汇入合同约定的承包人账号，承包人账号如更改，需以书面形式通知发包人，否则，相关责任由承包人承担。</w:t>
      </w:r>
    </w:p>
    <w:p>
      <w:pPr>
        <w:widowControl w:val="0"/>
        <w:spacing w:after="120" w:line="360" w:lineRule="auto"/>
        <w:ind w:firstLine="210" w:firstLineChars="100"/>
        <w:jc w:val="both"/>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5、每次款项支付时，承包人需提书面付款申请书、等额有效的增值税专用发票。</w:t>
      </w:r>
    </w:p>
    <w:p>
      <w:pPr>
        <w:widowControl w:val="0"/>
        <w:spacing w:after="120"/>
        <w:ind w:firstLine="210" w:firstLineChars="100"/>
        <w:jc w:val="both"/>
        <w:rPr>
          <w:rFonts w:hint="eastAsia" w:ascii="宋体" w:hAnsi="宋体" w:eastAsia="宋体" w:cs="宋体"/>
          <w:snapToGrid w:val="0"/>
          <w:color w:val="auto"/>
          <w:kern w:val="0"/>
          <w:sz w:val="21"/>
          <w:szCs w:val="21"/>
          <w:highlight w:val="none"/>
          <w:lang w:val="en-US" w:eastAsia="zh-CN" w:bidi="ar-SA"/>
        </w:rPr>
      </w:pPr>
      <w:r>
        <w:rPr>
          <w:rFonts w:hint="eastAsia" w:ascii="宋体" w:hAnsi="宋体" w:cs="宋体"/>
          <w:snapToGrid w:val="0"/>
          <w:color w:val="auto"/>
          <w:kern w:val="0"/>
          <w:sz w:val="21"/>
          <w:szCs w:val="21"/>
          <w:highlight w:val="none"/>
          <w:lang w:val="en-US" w:eastAsia="zh-CN" w:bidi="ar-SA"/>
        </w:rPr>
        <w:t>6、</w:t>
      </w:r>
      <w:r>
        <w:rPr>
          <w:rFonts w:hint="eastAsia" w:ascii="宋体" w:hAnsi="宋体" w:eastAsia="宋体" w:cs="宋体"/>
          <w:snapToGrid w:val="0"/>
          <w:color w:val="auto"/>
          <w:kern w:val="0"/>
          <w:sz w:val="21"/>
          <w:szCs w:val="21"/>
          <w:highlight w:val="none"/>
          <w:lang w:val="en-US" w:eastAsia="zh-CN" w:bidi="ar-SA"/>
        </w:rPr>
        <w:t>以采购人提供的施工设计图及工程量清单为准，工程结算以采购人审定的结算金额为准。</w:t>
      </w:r>
    </w:p>
    <w:p>
      <w:pPr>
        <w:widowControl w:val="0"/>
        <w:spacing w:after="120" w:line="360" w:lineRule="auto"/>
        <w:ind w:firstLine="210" w:firstLineChars="100"/>
        <w:jc w:val="both"/>
        <w:rPr>
          <w:rFonts w:hint="eastAsia" w:ascii="宋体" w:hAnsi="宋体" w:eastAsia="宋体" w:cs="宋体"/>
          <w:snapToGrid w:val="0"/>
          <w:color w:val="auto"/>
          <w:kern w:val="0"/>
          <w:sz w:val="21"/>
          <w:szCs w:val="21"/>
          <w:highlight w:val="none"/>
          <w:lang w:val="en-US" w:eastAsia="zh-CN" w:bidi="ar-SA"/>
        </w:rPr>
      </w:pPr>
    </w:p>
    <w:p>
      <w:pPr>
        <w:widowControl w:val="0"/>
        <w:spacing w:after="120" w:line="360" w:lineRule="auto"/>
        <w:ind w:firstLine="210" w:firstLineChars="100"/>
        <w:jc w:val="both"/>
        <w:rPr>
          <w:rFonts w:hint="eastAsia" w:ascii="宋体" w:hAnsi="宋体" w:eastAsia="宋体" w:cs="宋体"/>
          <w:snapToGrid w:val="0"/>
          <w:color w:val="auto"/>
          <w:kern w:val="0"/>
          <w:sz w:val="21"/>
          <w:szCs w:val="21"/>
          <w:highlight w:val="none"/>
          <w:lang w:val="en-US" w:eastAsia="en-US" w:bidi="ar-SA"/>
        </w:rPr>
      </w:pPr>
    </w:p>
    <w:p>
      <w:pPr>
        <w:keepNext w:val="0"/>
        <w:keepLines w:val="0"/>
        <w:pageBreakBefore w:val="0"/>
        <w:shd w:val="clear" w:color="auto" w:fill="auto"/>
        <w:kinsoku/>
        <w:wordWrap/>
        <w:overflowPunct/>
        <w:topLinePunct w:val="0"/>
        <w:autoSpaceDE/>
        <w:autoSpaceDN/>
        <w:bidi w:val="0"/>
        <w:snapToGrid w:val="0"/>
        <w:spacing w:line="360" w:lineRule="auto"/>
        <w:ind w:firstLine="422" w:firstLineChars="200"/>
        <w:textAlignment w:val="auto"/>
        <w:rPr>
          <w:rFonts w:hint="eastAsia" w:ascii="宋体" w:hAnsi="宋体" w:cs="宋体"/>
          <w:color w:val="auto"/>
          <w:kern w:val="0"/>
          <w:szCs w:val="21"/>
          <w:highlight w:val="none"/>
          <w:lang w:val="en-US" w:eastAsia="zh-CN"/>
        </w:rPr>
      </w:pPr>
      <w:r>
        <w:rPr>
          <w:rFonts w:hint="eastAsia" w:ascii="宋体" w:hAnsi="宋体" w:eastAsia="宋体" w:cs="宋体"/>
          <w:b/>
          <w:snapToGrid w:val="0"/>
          <w:color w:val="auto"/>
          <w:kern w:val="0"/>
          <w:sz w:val="21"/>
          <w:szCs w:val="21"/>
          <w:highlight w:val="none"/>
          <w:lang w:val="en-US" w:eastAsia="zh-CN" w:bidi="ar-SA"/>
        </w:rPr>
        <w:t>五、工程量清单、图纸详见附件。</w:t>
      </w:r>
    </w:p>
    <w:p>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24D16"/>
    <w:multiLevelType w:val="singleLevel"/>
    <w:tmpl w:val="B6C24D16"/>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iMTRkN2Q5NmNhN2U4NTY3NGExNDkyMWIyOWY4MmEifQ=="/>
  </w:docVars>
  <w:rsids>
    <w:rsidRoot w:val="2F64523C"/>
    <w:rsid w:val="2F645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2026-10-21T02:56:00Z</dcterms:created>
  <dc:creator>Administrator</dc:creator>
  <cp:lastModifiedBy>Administrator</cp:lastModifiedBy>
  <dcterms:modified xsi:type="dcterms:W3CDTF">2026-10-21T02:58:27Z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EA2D96B286A246FFA1F3B70F89024CDC_11</vt:lpwstr>
  </property>
</Properties>
</file>