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EB145">
      <w:pPr>
        <w:keepNext w:val="0"/>
        <w:keepLines w:val="0"/>
        <w:pageBreakBefore w:val="0"/>
        <w:kinsoku/>
        <w:wordWrap/>
        <w:overflowPunct/>
        <w:topLinePunct w:val="0"/>
        <w:autoSpaceDE/>
        <w:autoSpaceDN/>
        <w:bidi w:val="0"/>
        <w:adjustRightInd w:val="0"/>
        <w:snapToGrid w:val="0"/>
        <w:spacing w:before="63" w:beforeLines="20" w:after="63" w:afterLines="20" w:line="480" w:lineRule="exact"/>
        <w:textAlignment w:val="auto"/>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一、采购项目名称：</w:t>
      </w:r>
      <w:r>
        <w:rPr>
          <w:rFonts w:hint="eastAsia" w:ascii="楷体" w:hAnsi="楷体" w:eastAsia="楷体" w:cs="楷体"/>
          <w:b/>
          <w:color w:val="auto"/>
          <w:sz w:val="24"/>
          <w:szCs w:val="24"/>
          <w:highlight w:val="none"/>
          <w:lang w:eastAsia="zh-CN"/>
        </w:rPr>
        <w:t>马颈坳镇米坡村2026年省级和美乡村建设工程</w:t>
      </w:r>
    </w:p>
    <w:p w14:paraId="766FC9B6">
      <w:pPr>
        <w:keepNext w:val="0"/>
        <w:keepLines w:val="0"/>
        <w:pageBreakBefore w:val="0"/>
        <w:kinsoku/>
        <w:wordWrap/>
        <w:overflowPunct/>
        <w:topLinePunct w:val="0"/>
        <w:autoSpaceDE/>
        <w:autoSpaceDN/>
        <w:bidi w:val="0"/>
        <w:adjustRightInd w:val="0"/>
        <w:snapToGrid w:val="0"/>
        <w:spacing w:before="63" w:beforeLines="20" w:after="63" w:afterLines="20" w:line="480" w:lineRule="exact"/>
        <w:textAlignment w:val="auto"/>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lang w:eastAsia="zh-CN"/>
        </w:rPr>
        <w:t>二</w:t>
      </w:r>
      <w:r>
        <w:rPr>
          <w:rFonts w:hint="eastAsia" w:ascii="楷体" w:hAnsi="楷体" w:eastAsia="楷体" w:cs="楷体"/>
          <w:b/>
          <w:color w:val="auto"/>
          <w:sz w:val="24"/>
          <w:szCs w:val="24"/>
          <w:highlight w:val="none"/>
        </w:rPr>
        <w:t>、工程</w:t>
      </w:r>
      <w:r>
        <w:rPr>
          <w:rFonts w:hint="eastAsia" w:ascii="楷体" w:hAnsi="楷体" w:eastAsia="楷体" w:cs="楷体"/>
          <w:b/>
          <w:color w:val="auto"/>
          <w:sz w:val="24"/>
          <w:szCs w:val="24"/>
          <w:highlight w:val="none"/>
          <w:lang w:eastAsia="zh-CN"/>
        </w:rPr>
        <w:t>基本情况</w:t>
      </w:r>
      <w:r>
        <w:rPr>
          <w:rFonts w:hint="eastAsia" w:ascii="楷体" w:hAnsi="楷体" w:eastAsia="楷体" w:cs="楷体"/>
          <w:b/>
          <w:color w:val="auto"/>
          <w:sz w:val="24"/>
          <w:szCs w:val="24"/>
          <w:highlight w:val="none"/>
        </w:rPr>
        <w:t>：</w:t>
      </w:r>
    </w:p>
    <w:p w14:paraId="2451A69E">
      <w:pPr>
        <w:keepNext w:val="0"/>
        <w:keepLines w:val="0"/>
        <w:pageBreakBefore w:val="0"/>
        <w:kinsoku/>
        <w:wordWrap/>
        <w:overflowPunct/>
        <w:topLinePunct w:val="0"/>
        <w:autoSpaceDE/>
        <w:autoSpaceDN/>
        <w:bidi w:val="0"/>
        <w:adjustRightInd w:val="0"/>
        <w:snapToGrid w:val="0"/>
        <w:spacing w:before="63" w:beforeLines="20" w:after="63" w:afterLines="20" w:line="480" w:lineRule="exact"/>
        <w:ind w:firstLine="480" w:firstLineChars="200"/>
        <w:textAlignment w:val="auto"/>
        <w:rPr>
          <w:rFonts w:hint="eastAsia" w:ascii="楷体" w:hAnsi="楷体" w:eastAsia="楷体" w:cs="楷体"/>
          <w:b w:val="0"/>
          <w:bCs w:val="0"/>
          <w:color w:val="auto"/>
          <w:sz w:val="24"/>
          <w:szCs w:val="24"/>
          <w:highlight w:val="none"/>
          <w:lang w:eastAsia="zh-CN"/>
        </w:rPr>
      </w:pPr>
      <w:r>
        <w:rPr>
          <w:rFonts w:hint="eastAsia" w:ascii="楷体" w:hAnsi="楷体" w:eastAsia="楷体" w:cs="楷体"/>
          <w:b w:val="0"/>
          <w:bCs w:val="0"/>
          <w:color w:val="auto"/>
          <w:sz w:val="24"/>
          <w:szCs w:val="24"/>
          <w:highlight w:val="none"/>
          <w:lang w:val="en-US" w:eastAsia="zh-CN"/>
        </w:rPr>
        <w:t>本工程为马颈坳镇米坡村2026年省级和美乡村建设工程，主要工程内容有土石方开挖、路基整形、原混凝土路面破除1000㎡、新建C25混凝土地面9720㎡、新建毛石挡墙362m、新建栏杆400m等（具体内容以施工图纸及工程量清单为准）</w:t>
      </w:r>
      <w:r>
        <w:rPr>
          <w:rFonts w:hint="eastAsia" w:ascii="楷体" w:hAnsi="楷体" w:eastAsia="楷体" w:cs="楷体"/>
          <w:b w:val="0"/>
          <w:bCs w:val="0"/>
          <w:color w:val="auto"/>
          <w:sz w:val="24"/>
          <w:szCs w:val="24"/>
          <w:highlight w:val="none"/>
          <w:lang w:eastAsia="zh-CN"/>
        </w:rPr>
        <w:t>。</w:t>
      </w:r>
    </w:p>
    <w:p w14:paraId="77965FF6">
      <w:pPr>
        <w:pStyle w:val="4"/>
        <w:keepNext w:val="0"/>
        <w:keepLines w:val="0"/>
        <w:pageBreakBefore w:val="0"/>
        <w:numPr>
          <w:ilvl w:val="0"/>
          <w:numId w:val="0"/>
        </w:numPr>
        <w:kinsoku/>
        <w:wordWrap/>
        <w:overflowPunct/>
        <w:topLinePunct w:val="0"/>
        <w:autoSpaceDE/>
        <w:autoSpaceDN/>
        <w:bidi w:val="0"/>
        <w:spacing w:line="440" w:lineRule="exact"/>
        <w:textAlignment w:val="auto"/>
        <w:rPr>
          <w:rFonts w:hint="eastAsia" w:ascii="楷体" w:hAnsi="楷体" w:eastAsia="楷体" w:cs="楷体"/>
          <w:b/>
          <w:color w:val="auto"/>
          <w:sz w:val="24"/>
          <w:szCs w:val="24"/>
          <w:highlight w:val="none"/>
          <w:lang w:eastAsia="zh-CN"/>
        </w:rPr>
      </w:pPr>
      <w:r>
        <w:rPr>
          <w:rFonts w:hint="eastAsia" w:ascii="楷体" w:hAnsi="楷体" w:eastAsia="楷体" w:cs="楷体"/>
          <w:b/>
          <w:color w:val="auto"/>
          <w:kern w:val="2"/>
          <w:sz w:val="24"/>
          <w:szCs w:val="24"/>
          <w:lang w:val="en-US" w:eastAsia="zh-CN" w:bidi="ar-SA"/>
        </w:rPr>
        <w:t>三、</w:t>
      </w:r>
      <w:r>
        <w:rPr>
          <w:rFonts w:hint="eastAsia" w:ascii="楷体" w:hAnsi="楷体" w:eastAsia="楷体" w:cs="楷体"/>
          <w:b/>
          <w:color w:val="auto"/>
          <w:sz w:val="24"/>
          <w:szCs w:val="24"/>
          <w:highlight w:val="none"/>
          <w:lang w:eastAsia="zh-CN"/>
        </w:rPr>
        <w:t>项目清单及说明：</w:t>
      </w:r>
    </w:p>
    <w:p w14:paraId="5301DB2A">
      <w:pPr>
        <w:pStyle w:val="4"/>
        <w:keepNext w:val="0"/>
        <w:keepLines w:val="0"/>
        <w:pageBreakBefore w:val="0"/>
        <w:numPr>
          <w:ilvl w:val="0"/>
          <w:numId w:val="0"/>
        </w:numPr>
        <w:kinsoku/>
        <w:wordWrap/>
        <w:overflowPunct/>
        <w:topLinePunct w:val="0"/>
        <w:autoSpaceDE/>
        <w:autoSpaceDN/>
        <w:bidi w:val="0"/>
        <w:spacing w:line="440" w:lineRule="exact"/>
        <w:ind w:firstLine="482" w:firstLineChars="200"/>
        <w:textAlignment w:val="auto"/>
        <w:rPr>
          <w:rFonts w:hint="eastAsia" w:ascii="楷体" w:hAnsi="楷体" w:eastAsia="楷体" w:cs="楷体"/>
          <w:b w:val="0"/>
          <w:bCs/>
          <w:color w:val="auto"/>
          <w:sz w:val="24"/>
          <w:szCs w:val="24"/>
          <w:highlight w:val="none"/>
          <w:lang w:eastAsia="zh-CN"/>
        </w:rPr>
      </w:pPr>
      <w:r>
        <w:rPr>
          <w:rFonts w:hint="eastAsia" w:ascii="楷体" w:hAnsi="楷体" w:eastAsia="楷体" w:cs="楷体"/>
          <w:b/>
          <w:bCs w:val="0"/>
          <w:color w:val="auto"/>
          <w:sz w:val="24"/>
          <w:szCs w:val="24"/>
          <w:highlight w:val="none"/>
          <w:lang w:val="en-US" w:eastAsia="zh-CN"/>
        </w:rPr>
        <w:t>1、</w:t>
      </w:r>
      <w:r>
        <w:rPr>
          <w:rFonts w:hint="eastAsia" w:ascii="楷体" w:hAnsi="楷体" w:eastAsia="楷体" w:cs="楷体"/>
          <w:b/>
          <w:bCs w:val="0"/>
          <w:color w:val="auto"/>
          <w:sz w:val="24"/>
          <w:szCs w:val="24"/>
          <w:highlight w:val="none"/>
          <w:lang w:eastAsia="zh-CN"/>
        </w:rPr>
        <w:t>工程量清单（详见附件）</w:t>
      </w:r>
      <w:r>
        <w:rPr>
          <w:rFonts w:hint="eastAsia" w:ascii="楷体" w:hAnsi="楷体" w:eastAsia="楷体" w:cs="楷体"/>
          <w:b w:val="0"/>
          <w:bCs/>
          <w:color w:val="auto"/>
          <w:sz w:val="24"/>
          <w:szCs w:val="24"/>
          <w:highlight w:val="none"/>
          <w:lang w:eastAsia="zh-CN"/>
        </w:rPr>
        <w:t>，</w:t>
      </w:r>
      <w:r>
        <w:rPr>
          <w:rFonts w:hint="eastAsia" w:ascii="楷体" w:hAnsi="楷体" w:eastAsia="楷体" w:cs="楷体"/>
          <w:b/>
          <w:color w:val="auto"/>
          <w:sz w:val="24"/>
          <w:szCs w:val="24"/>
          <w:highlight w:val="none"/>
        </w:rPr>
        <w:t>请各供应商根据采购人发布的工程量清单及单价进行</w:t>
      </w:r>
      <w:r>
        <w:rPr>
          <w:rFonts w:hint="eastAsia" w:ascii="楷体" w:hAnsi="楷体" w:eastAsia="楷体" w:cs="楷体"/>
          <w:b/>
          <w:color w:val="auto"/>
          <w:sz w:val="24"/>
          <w:szCs w:val="24"/>
          <w:highlight w:val="none"/>
          <w:lang w:eastAsia="zh-CN"/>
        </w:rPr>
        <w:t>工程量清单</w:t>
      </w:r>
      <w:r>
        <w:rPr>
          <w:rFonts w:hint="eastAsia" w:ascii="楷体" w:hAnsi="楷体" w:eastAsia="楷体" w:cs="楷体"/>
          <w:b/>
          <w:color w:val="auto"/>
          <w:sz w:val="24"/>
          <w:szCs w:val="24"/>
          <w:highlight w:val="none"/>
        </w:rPr>
        <w:t>报价，并</w:t>
      </w:r>
      <w:r>
        <w:rPr>
          <w:rFonts w:hint="eastAsia" w:ascii="楷体" w:hAnsi="楷体" w:eastAsia="楷体" w:cs="楷体"/>
          <w:b/>
          <w:color w:val="auto"/>
          <w:sz w:val="24"/>
          <w:szCs w:val="24"/>
          <w:highlight w:val="none"/>
          <w:lang w:eastAsia="zh-CN"/>
        </w:rPr>
        <w:t>完全</w:t>
      </w:r>
      <w:r>
        <w:rPr>
          <w:rFonts w:hint="eastAsia" w:ascii="楷体" w:hAnsi="楷体" w:eastAsia="楷体" w:cs="楷体"/>
          <w:b/>
          <w:color w:val="auto"/>
          <w:sz w:val="24"/>
          <w:szCs w:val="24"/>
          <w:highlight w:val="none"/>
        </w:rPr>
        <w:t>响应采购人发布的工程量清单中的所有工程量</w:t>
      </w:r>
      <w:r>
        <w:rPr>
          <w:rFonts w:hint="eastAsia" w:ascii="楷体" w:hAnsi="楷体" w:eastAsia="楷体" w:cs="楷体"/>
          <w:b/>
          <w:color w:val="auto"/>
          <w:sz w:val="24"/>
          <w:szCs w:val="24"/>
          <w:highlight w:val="none"/>
          <w:lang w:eastAsia="zh-CN"/>
        </w:rPr>
        <w:t>。</w:t>
      </w:r>
    </w:p>
    <w:p w14:paraId="7BBCA18C">
      <w:pPr>
        <w:pStyle w:val="4"/>
        <w:keepNext w:val="0"/>
        <w:keepLines w:val="0"/>
        <w:pageBreakBefore w:val="0"/>
        <w:numPr>
          <w:ilvl w:val="0"/>
          <w:numId w:val="0"/>
        </w:numPr>
        <w:kinsoku/>
        <w:wordWrap/>
        <w:overflowPunct/>
        <w:topLinePunct w:val="0"/>
        <w:autoSpaceDE/>
        <w:autoSpaceDN/>
        <w:bidi w:val="0"/>
        <w:spacing w:line="440" w:lineRule="exact"/>
        <w:ind w:firstLine="482" w:firstLineChars="200"/>
        <w:textAlignment w:val="auto"/>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注：报价方对本项目的总报价最高不超过</w:t>
      </w:r>
      <w:r>
        <w:rPr>
          <w:rFonts w:hint="eastAsia" w:ascii="楷体" w:hAnsi="楷体" w:eastAsia="楷体" w:cs="楷体"/>
          <w:b/>
          <w:color w:val="auto"/>
          <w:sz w:val="24"/>
          <w:szCs w:val="24"/>
          <w:highlight w:val="none"/>
          <w:lang w:val="en-US" w:eastAsia="zh-CN"/>
        </w:rPr>
        <w:t>1928546.80 元</w:t>
      </w:r>
      <w:r>
        <w:rPr>
          <w:rFonts w:hint="eastAsia" w:ascii="楷体" w:hAnsi="楷体" w:eastAsia="楷体" w:cs="楷体"/>
          <w:b/>
          <w:color w:val="auto"/>
          <w:sz w:val="24"/>
          <w:szCs w:val="24"/>
          <w:highlight w:val="none"/>
        </w:rPr>
        <w:t>，否则其投标将被视为无效</w:t>
      </w:r>
      <w:r>
        <w:rPr>
          <w:rFonts w:hint="eastAsia" w:ascii="楷体" w:hAnsi="楷体" w:eastAsia="楷体" w:cs="楷体"/>
          <w:b/>
          <w:color w:val="auto"/>
          <w:sz w:val="24"/>
          <w:szCs w:val="24"/>
          <w:highlight w:val="none"/>
          <w:lang w:eastAsia="zh-CN"/>
        </w:rPr>
        <w:t>响应</w:t>
      </w:r>
      <w:r>
        <w:rPr>
          <w:rFonts w:hint="eastAsia" w:ascii="楷体" w:hAnsi="楷体" w:eastAsia="楷体" w:cs="楷体"/>
          <w:b/>
          <w:color w:val="auto"/>
          <w:sz w:val="24"/>
          <w:szCs w:val="24"/>
          <w:highlight w:val="none"/>
        </w:rPr>
        <w:t>而被拒接。本项目属于交钥匙项目，响应文件未提及但实际需要发生的其他一切费用</w:t>
      </w:r>
      <w:r>
        <w:rPr>
          <w:rFonts w:hint="eastAsia" w:ascii="楷体" w:hAnsi="楷体" w:eastAsia="楷体" w:cs="楷体"/>
          <w:b/>
          <w:color w:val="auto"/>
          <w:sz w:val="24"/>
          <w:szCs w:val="24"/>
          <w:highlight w:val="none"/>
          <w:lang w:eastAsia="zh-CN"/>
        </w:rPr>
        <w:t>（如产品运输保险保管、项目安装调试、试运行测试通过验收、培训、质保期免费保修维护等所有人工、管理、财务等）</w:t>
      </w:r>
      <w:r>
        <w:rPr>
          <w:rFonts w:hint="eastAsia" w:ascii="楷体" w:hAnsi="楷体" w:eastAsia="楷体" w:cs="楷体"/>
          <w:b/>
          <w:color w:val="auto"/>
          <w:sz w:val="24"/>
          <w:szCs w:val="24"/>
          <w:highlight w:val="none"/>
        </w:rPr>
        <w:t>需由供应商自行考虑并含在最终总报价中。本次投标只允许有一个报价，有选择的报价将不予接受。凡影响报价的所有相关费用应列入本次报价中。</w:t>
      </w:r>
    </w:p>
    <w:p w14:paraId="2DEB8BCA">
      <w:pPr>
        <w:pStyle w:val="4"/>
        <w:keepNext w:val="0"/>
        <w:keepLines w:val="0"/>
        <w:pageBreakBefore w:val="0"/>
        <w:numPr>
          <w:ilvl w:val="0"/>
          <w:numId w:val="0"/>
        </w:numPr>
        <w:kinsoku/>
        <w:wordWrap/>
        <w:overflowPunct/>
        <w:topLinePunct w:val="0"/>
        <w:autoSpaceDE/>
        <w:autoSpaceDN/>
        <w:bidi w:val="0"/>
        <w:spacing w:line="440" w:lineRule="exact"/>
        <w:ind w:firstLine="480" w:firstLineChars="200"/>
        <w:textAlignment w:val="auto"/>
        <w:rPr>
          <w:rFonts w:hint="eastAsia" w:ascii="楷体" w:hAnsi="楷体" w:eastAsia="楷体" w:cs="楷体"/>
          <w:b w:val="0"/>
          <w:bCs/>
          <w:color w:val="auto"/>
          <w:sz w:val="24"/>
          <w:szCs w:val="24"/>
          <w:highlight w:val="none"/>
          <w:lang w:eastAsia="zh-CN"/>
        </w:rPr>
      </w:pPr>
      <w:r>
        <w:rPr>
          <w:rFonts w:hint="eastAsia" w:ascii="楷体" w:hAnsi="楷体" w:eastAsia="楷体" w:cs="楷体"/>
          <w:b w:val="0"/>
          <w:bCs/>
          <w:color w:val="auto"/>
          <w:sz w:val="24"/>
          <w:szCs w:val="24"/>
          <w:highlight w:val="none"/>
          <w:lang w:val="en-US" w:eastAsia="zh-CN"/>
        </w:rPr>
        <w:t>2、</w:t>
      </w:r>
      <w:r>
        <w:rPr>
          <w:rFonts w:hint="eastAsia" w:ascii="楷体" w:hAnsi="楷体" w:eastAsia="楷体" w:cs="楷体"/>
          <w:b w:val="0"/>
          <w:bCs/>
          <w:color w:val="auto"/>
          <w:sz w:val="24"/>
          <w:szCs w:val="24"/>
          <w:highlight w:val="none"/>
          <w:lang w:eastAsia="zh-CN"/>
        </w:rPr>
        <w:t>评审说明</w:t>
      </w:r>
    </w:p>
    <w:p w14:paraId="010B8DA3">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lang w:val="en-US" w:eastAsia="zh-CN" w:bidi="ar-SA"/>
        </w:rPr>
        <w:t>(1)</w:t>
      </w:r>
      <w:r>
        <w:rPr>
          <w:rFonts w:hint="eastAsia" w:ascii="楷体" w:hAnsi="楷体" w:eastAsia="楷体" w:cs="楷体"/>
          <w:b w:val="0"/>
          <w:bCs/>
          <w:color w:val="auto"/>
          <w:sz w:val="24"/>
          <w:szCs w:val="24"/>
          <w:highlight w:val="none"/>
          <w:lang w:val="en-US" w:eastAsia="zh-CN"/>
        </w:rPr>
        <w:t>施工图设计及预算书；</w:t>
      </w:r>
    </w:p>
    <w:p w14:paraId="03A2F7CD">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lang w:val="en-US" w:eastAsia="zh-CN" w:bidi="ar-SA"/>
        </w:rPr>
        <w:t>(2)</w:t>
      </w:r>
      <w:r>
        <w:rPr>
          <w:rFonts w:hint="eastAsia" w:ascii="楷体" w:hAnsi="楷体" w:eastAsia="楷体" w:cs="楷体"/>
          <w:b w:val="0"/>
          <w:bCs/>
          <w:color w:val="auto"/>
          <w:sz w:val="24"/>
          <w:szCs w:val="24"/>
          <w:highlight w:val="none"/>
          <w:lang w:val="en-US" w:eastAsia="zh-CN"/>
        </w:rPr>
        <w:t>GB/T 50550-2024《建设工程工程量清单计价标准》；</w:t>
      </w:r>
    </w:p>
    <w:p w14:paraId="6C75EE63">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lang w:val="en-US" w:eastAsia="zh-CN" w:bidi="ar-SA"/>
        </w:rPr>
        <w:t>(3)</w:t>
      </w:r>
      <w:r>
        <w:rPr>
          <w:rFonts w:hint="eastAsia" w:ascii="楷体" w:hAnsi="楷体" w:eastAsia="楷体" w:cs="楷体"/>
          <w:b w:val="0"/>
          <w:bCs/>
          <w:color w:val="auto"/>
          <w:sz w:val="24"/>
          <w:szCs w:val="24"/>
          <w:highlight w:val="none"/>
          <w:lang w:val="en-US" w:eastAsia="zh-CN"/>
        </w:rPr>
        <w:t>湖南省住房和城乡建设厅关于执行《建设工程工程量清单计价标准》及配套工程量计算标准的通知（湘建科函〔2025〕150号），湖南省住房和城乡建设厅关于发布2025《湖南省建设工程消耗量标准》的通知（湘建科函〔2025〕151号）；</w:t>
      </w:r>
    </w:p>
    <w:p w14:paraId="18A78ECA">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lang w:val="en-US" w:eastAsia="zh-CN" w:bidi="ar-SA"/>
        </w:rPr>
        <w:t>(4)</w:t>
      </w:r>
      <w:r>
        <w:rPr>
          <w:rFonts w:hint="eastAsia" w:ascii="楷体" w:hAnsi="楷体" w:eastAsia="楷体" w:cs="楷体"/>
          <w:b w:val="0"/>
          <w:bCs/>
          <w:color w:val="auto"/>
          <w:sz w:val="24"/>
          <w:szCs w:val="24"/>
          <w:highlight w:val="none"/>
          <w:lang w:val="en-US" w:eastAsia="zh-CN"/>
        </w:rPr>
        <w:t>湖南省建设工程造价管理总站关于执行建设工程材料价格综合税率的有关意见（湘建价信〔2026〕16号）；</w:t>
      </w:r>
    </w:p>
    <w:p w14:paraId="242E844F">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lang w:val="en-US" w:eastAsia="zh-CN" w:bidi="ar-SA"/>
        </w:rPr>
        <w:t>(5)</w:t>
      </w:r>
      <w:r>
        <w:rPr>
          <w:rFonts w:hint="eastAsia" w:ascii="楷体" w:hAnsi="楷体" w:eastAsia="楷体" w:cs="楷体"/>
          <w:b w:val="0"/>
          <w:bCs/>
          <w:color w:val="auto"/>
          <w:sz w:val="24"/>
          <w:szCs w:val="24"/>
          <w:highlight w:val="none"/>
          <w:lang w:val="en-US" w:eastAsia="zh-CN"/>
        </w:rPr>
        <w:t>湖南省建设工程造价管理总站关于发布2026年湖南省建设工程人工费指数的通知（湘建价建〔2026〕20号）；</w:t>
      </w:r>
    </w:p>
    <w:p w14:paraId="64E1A701">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lang w:val="en-US" w:eastAsia="zh-CN" w:bidi="ar-SA"/>
        </w:rPr>
        <w:t>(6)</w:t>
      </w:r>
      <w:r>
        <w:rPr>
          <w:rFonts w:hint="eastAsia" w:ascii="楷体" w:hAnsi="楷体" w:eastAsia="楷体" w:cs="楷体"/>
          <w:b w:val="0"/>
          <w:bCs/>
          <w:color w:val="auto"/>
          <w:sz w:val="24"/>
          <w:szCs w:val="24"/>
          <w:highlight w:val="none"/>
          <w:lang w:val="en-US" w:eastAsia="zh-CN"/>
        </w:rPr>
        <w:t>材料价格按湘西自治州工程造价管理站发布《湘西建筑管理》2026年第二期6月份发布的材料价，信息价没有的按同类型项目或市场价格执行；</w:t>
      </w:r>
    </w:p>
    <w:p w14:paraId="59A4CA55">
      <w:pPr>
        <w:pStyle w:val="4"/>
        <w:keepNext w:val="0"/>
        <w:keepLines w:val="0"/>
        <w:pageBreakBefore w:val="0"/>
        <w:numPr>
          <w:ilvl w:val="0"/>
          <w:numId w:val="0"/>
        </w:numPr>
        <w:kinsoku/>
        <w:wordWrap/>
        <w:overflowPunct/>
        <w:topLinePunct w:val="0"/>
        <w:autoSpaceDE/>
        <w:autoSpaceDN/>
        <w:bidi w:val="0"/>
        <w:spacing w:line="440" w:lineRule="exact"/>
        <w:ind w:left="0" w:leftChars="0" w:firstLine="480" w:firstLineChars="200"/>
        <w:textAlignment w:val="auto"/>
        <w:rPr>
          <w:rFonts w:hint="eastAsia" w:ascii="楷体" w:hAnsi="楷体" w:eastAsia="楷体" w:cs="楷体"/>
          <w:b w:val="0"/>
          <w:bCs/>
          <w:color w:val="auto"/>
          <w:sz w:val="24"/>
          <w:szCs w:val="24"/>
          <w:highlight w:val="none"/>
          <w:lang w:val="en-US" w:eastAsia="zh-CN"/>
        </w:rPr>
      </w:pPr>
      <w:r>
        <w:rPr>
          <w:rFonts w:hint="default" w:ascii="楷体" w:hAnsi="楷体" w:eastAsia="楷体" w:cs="楷体"/>
          <w:b w:val="0"/>
          <w:bCs/>
          <w:color w:val="auto"/>
          <w:kern w:val="2"/>
          <w:sz w:val="24"/>
          <w:szCs w:val="24"/>
          <w:lang w:val="en-US" w:eastAsia="zh-CN" w:bidi="ar-SA"/>
        </w:rPr>
        <w:t>(7)</w:t>
      </w:r>
      <w:r>
        <w:rPr>
          <w:rFonts w:hint="eastAsia" w:ascii="楷体" w:hAnsi="楷体" w:eastAsia="楷体" w:cs="楷体"/>
          <w:b w:val="0"/>
          <w:bCs/>
          <w:color w:val="auto"/>
          <w:sz w:val="24"/>
          <w:szCs w:val="24"/>
          <w:highlight w:val="none"/>
          <w:lang w:val="en-US" w:eastAsia="zh-CN"/>
        </w:rPr>
        <w:t>建设单位的情况说明及其它有关文件、规范、标准等。</w:t>
      </w:r>
    </w:p>
    <w:p w14:paraId="6FB42889">
      <w:pPr>
        <w:pStyle w:val="4"/>
        <w:keepNext w:val="0"/>
        <w:keepLines w:val="0"/>
        <w:pageBreakBefore w:val="0"/>
        <w:kinsoku/>
        <w:wordWrap/>
        <w:overflowPunct/>
        <w:topLinePunct w:val="0"/>
        <w:autoSpaceDE/>
        <w:autoSpaceDN/>
        <w:bidi w:val="0"/>
        <w:spacing w:line="440" w:lineRule="exact"/>
        <w:textAlignment w:val="auto"/>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 xml:space="preserve">四、施工要求： </w:t>
      </w:r>
    </w:p>
    <w:p w14:paraId="11FA4CE7">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w:t>
      </w:r>
      <w:r>
        <w:rPr>
          <w:rFonts w:hint="eastAsia" w:ascii="楷体" w:hAnsi="楷体" w:eastAsia="楷体" w:cs="楷体"/>
          <w:color w:val="auto"/>
          <w:kern w:val="0"/>
          <w:sz w:val="24"/>
          <w:szCs w:val="24"/>
          <w:highlight w:val="none"/>
          <w:lang w:val="en-US" w:eastAsia="zh-CN"/>
        </w:rPr>
        <w:t>成交供应商</w:t>
      </w:r>
      <w:r>
        <w:rPr>
          <w:rFonts w:hint="eastAsia" w:ascii="楷体" w:hAnsi="楷体" w:eastAsia="楷体" w:cs="楷体"/>
          <w:color w:val="auto"/>
          <w:spacing w:val="-2"/>
          <w:kern w:val="0"/>
          <w:sz w:val="24"/>
          <w:szCs w:val="24"/>
          <w:highlight w:val="none"/>
          <w:lang w:val="en-US" w:eastAsia="zh-CN"/>
        </w:rPr>
        <w:t>须加强施工的组织管理，所有施工人员须遵守文明安全施工的有关规章制度，持证上岗。</w:t>
      </w:r>
    </w:p>
    <w:p w14:paraId="4F36FC52">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2、具体施工方案及以工程量清单和设计图纸为准。</w:t>
      </w:r>
    </w:p>
    <w:p w14:paraId="5EB8867D">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3、工程量清单和设计施工图纸如与现场施工不符，成交供应商负责通知相关单位，按采购人要求施工。</w:t>
      </w:r>
    </w:p>
    <w:p w14:paraId="052D69E6">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4、成交方须按照国家相关要求为项目实施人员购买工伤保险，项目实施过程中由采购人查验。</w:t>
      </w:r>
    </w:p>
    <w:p w14:paraId="2018729A">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kern w:val="0"/>
          <w:sz w:val="24"/>
          <w:szCs w:val="24"/>
          <w:highlight w:val="none"/>
        </w:rPr>
      </w:pPr>
      <w:r>
        <w:rPr>
          <w:rFonts w:hint="eastAsia" w:ascii="楷体" w:hAnsi="楷体" w:eastAsia="楷体" w:cs="楷体"/>
          <w:b/>
          <w:color w:val="auto"/>
          <w:spacing w:val="-2"/>
          <w:kern w:val="0"/>
          <w:sz w:val="24"/>
          <w:szCs w:val="24"/>
          <w:highlight w:val="none"/>
          <w:lang w:eastAsia="zh-CN"/>
        </w:rPr>
        <w:t>五、</w:t>
      </w:r>
      <w:r>
        <w:rPr>
          <w:rFonts w:hint="eastAsia" w:ascii="楷体" w:hAnsi="楷体" w:eastAsia="楷体" w:cs="楷体"/>
          <w:b/>
          <w:color w:val="auto"/>
          <w:spacing w:val="-2"/>
          <w:kern w:val="0"/>
          <w:sz w:val="24"/>
          <w:szCs w:val="24"/>
          <w:highlight w:val="none"/>
        </w:rPr>
        <w:t>项目组人员要求</w:t>
      </w:r>
    </w:p>
    <w:p w14:paraId="494FA65F">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 w:after="0" w:afterLines="30" w:line="440" w:lineRule="exact"/>
        <w:ind w:left="0" w:leftChars="0" w:right="0" w:rightChars="0" w:firstLine="480" w:firstLineChars="200"/>
        <w:jc w:val="left"/>
        <w:textAlignment w:val="auto"/>
        <w:rPr>
          <w:rFonts w:hint="eastAsia" w:ascii="楷体" w:hAnsi="楷体" w:eastAsia="楷体" w:cs="楷体"/>
          <w:color w:val="auto"/>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1、</w:t>
      </w:r>
      <w:r>
        <w:rPr>
          <w:rFonts w:hint="eastAsia" w:ascii="楷体" w:hAnsi="楷体" w:eastAsia="楷体" w:cs="楷体"/>
          <w:color w:val="auto"/>
          <w:spacing w:val="-2"/>
          <w:sz w:val="24"/>
          <w:szCs w:val="24"/>
          <w:highlight w:val="none"/>
          <w:lang w:val="en-US" w:eastAsia="zh-CN" w:bidi="ar-SA"/>
        </w:rPr>
        <w:t>项目实施过程中，乙方需持证安全文明施工，项目组按湘建建【2020】208号文的要求配备，合同履行期内应按时到岗并接受甲</w:t>
      </w:r>
      <w:r>
        <w:rPr>
          <w:rFonts w:hint="eastAsia" w:ascii="楷体" w:hAnsi="楷体" w:eastAsia="楷体" w:cs="楷体"/>
          <w:color w:val="auto"/>
          <w:spacing w:val="-1"/>
          <w:sz w:val="24"/>
          <w:szCs w:val="24"/>
          <w:highlight w:val="none"/>
          <w:lang w:val="en-US" w:eastAsia="zh-CN" w:bidi="ar-SA"/>
        </w:rPr>
        <w:t>方检查，每月在施工现场的时间不低于</w:t>
      </w:r>
      <w:r>
        <w:rPr>
          <w:rFonts w:hint="eastAsia" w:ascii="楷体" w:hAnsi="楷体" w:eastAsia="楷体" w:cs="楷体"/>
          <w:color w:val="auto"/>
          <w:sz w:val="24"/>
          <w:szCs w:val="24"/>
          <w:highlight w:val="none"/>
          <w:lang w:val="en-US" w:eastAsia="zh-CN" w:bidi="ar-SA"/>
        </w:rPr>
        <w:t>22天。</w:t>
      </w:r>
    </w:p>
    <w:p w14:paraId="19CD9D77">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 w:after="0" w:afterLines="30" w:line="440" w:lineRule="exact"/>
        <w:ind w:left="0" w:leftChars="0" w:right="0" w:rightChars="0" w:firstLine="480" w:firstLineChars="200"/>
        <w:jc w:val="left"/>
        <w:textAlignment w:val="auto"/>
        <w:rPr>
          <w:rFonts w:hint="eastAsia" w:ascii="楷体" w:hAnsi="楷体" w:eastAsia="楷体" w:cs="楷体"/>
          <w:b w:val="0"/>
          <w:bCs w:val="0"/>
          <w:i w:val="0"/>
          <w:iCs w:val="0"/>
          <w:color w:val="auto"/>
          <w:spacing w:val="0"/>
          <w:w w:val="100"/>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2、</w:t>
      </w:r>
      <w:r>
        <w:rPr>
          <w:rFonts w:hint="eastAsia" w:ascii="楷体" w:hAnsi="楷体" w:eastAsia="楷体" w:cs="楷体"/>
          <w:color w:val="auto"/>
          <w:spacing w:val="-2"/>
          <w:kern w:val="0"/>
          <w:sz w:val="24"/>
          <w:szCs w:val="24"/>
          <w:highlight w:val="none"/>
          <w:lang w:val="en-US" w:eastAsia="zh-CN"/>
        </w:rPr>
        <w:t>项目组人员必须常驻施工现场，无不可抗力及采购人书面同意不得更换。</w:t>
      </w:r>
    </w:p>
    <w:p w14:paraId="53A2D6E7">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 w:after="0" w:afterLines="30" w:line="440" w:lineRule="exact"/>
        <w:ind w:left="0" w:leftChars="0" w:right="0" w:rightChars="0" w:firstLine="472" w:firstLineChars="200"/>
        <w:jc w:val="left"/>
        <w:textAlignment w:val="auto"/>
        <w:rPr>
          <w:rFonts w:hint="eastAsia" w:ascii="楷体" w:hAnsi="楷体" w:eastAsia="楷体" w:cs="楷体"/>
          <w:color w:val="auto"/>
          <w:spacing w:val="-2"/>
          <w:sz w:val="24"/>
          <w:szCs w:val="24"/>
          <w:highlight w:val="none"/>
          <w:lang w:val="en-US" w:eastAsia="zh-CN" w:bidi="ar-SA"/>
        </w:rPr>
      </w:pPr>
      <w:r>
        <w:rPr>
          <w:rFonts w:hint="eastAsia" w:ascii="楷体" w:hAnsi="楷体" w:eastAsia="楷体" w:cs="楷体"/>
          <w:color w:val="auto"/>
          <w:spacing w:val="-2"/>
          <w:sz w:val="24"/>
          <w:szCs w:val="24"/>
          <w:highlight w:val="none"/>
          <w:lang w:val="en-US" w:eastAsia="zh-CN" w:bidi="ar-SA"/>
        </w:rPr>
        <w:t>3、成交供应商应为其施工现场的全部人员办理意外伤害保险并支付保险费，成交供应商施工现场的路灯安装人员应为厂家员工，需聘请的第三方的人员应经甲方书面同意并购买意外伤害保险。</w:t>
      </w:r>
    </w:p>
    <w:p w14:paraId="791212D4">
      <w:pPr>
        <w:keepNext w:val="0"/>
        <w:keepLines w:val="0"/>
        <w:pageBreakBefore w:val="0"/>
        <w:widowControl w:val="0"/>
        <w:numPr>
          <w:ilvl w:val="0"/>
          <w:numId w:val="0"/>
        </w:numPr>
        <w:tabs>
          <w:tab w:val="left" w:pos="1320"/>
        </w:tabs>
        <w:kinsoku/>
        <w:wordWrap/>
        <w:overflowPunct/>
        <w:topLinePunct w:val="0"/>
        <w:autoSpaceDE w:val="0"/>
        <w:autoSpaceDN w:val="0"/>
        <w:bidi w:val="0"/>
        <w:adjustRightInd/>
        <w:snapToGrid/>
        <w:spacing w:before="6" w:after="0" w:afterLines="30" w:line="440" w:lineRule="exact"/>
        <w:ind w:left="0" w:leftChars="0" w:right="0" w:rightChars="0" w:firstLine="480" w:firstLineChars="200"/>
        <w:jc w:val="left"/>
        <w:textAlignment w:val="auto"/>
        <w:rPr>
          <w:rFonts w:hint="eastAsia" w:ascii="楷体" w:hAnsi="楷体" w:eastAsia="楷体" w:cs="楷体"/>
          <w:b w:val="0"/>
          <w:bCs w:val="0"/>
          <w:i w:val="0"/>
          <w:iCs w:val="0"/>
          <w:color w:val="auto"/>
          <w:spacing w:val="0"/>
          <w:w w:val="100"/>
          <w:sz w:val="24"/>
          <w:szCs w:val="24"/>
          <w:highlight w:val="none"/>
          <w:lang w:val="en-US" w:eastAsia="zh-CN" w:bidi="ar-SA"/>
        </w:rPr>
      </w:pPr>
      <w:r>
        <w:rPr>
          <w:rFonts w:hint="eastAsia" w:ascii="楷体" w:hAnsi="楷体" w:eastAsia="楷体" w:cs="楷体"/>
          <w:b w:val="0"/>
          <w:bCs w:val="0"/>
          <w:i w:val="0"/>
          <w:iCs w:val="0"/>
          <w:color w:val="auto"/>
          <w:spacing w:val="0"/>
          <w:w w:val="100"/>
          <w:sz w:val="24"/>
          <w:szCs w:val="24"/>
          <w:highlight w:val="none"/>
          <w:lang w:val="en-US" w:eastAsia="zh-CN" w:bidi="ar-SA"/>
        </w:rPr>
        <w:t>4、工程开工前3天成交供应商提交项目管理机构及施工现场管理人员安排报告。</w:t>
      </w:r>
    </w:p>
    <w:p w14:paraId="27230101">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kern w:val="0"/>
          <w:sz w:val="24"/>
          <w:szCs w:val="24"/>
          <w:highlight w:val="none"/>
        </w:rPr>
      </w:pPr>
      <w:bookmarkStart w:id="0" w:name="_Toc9184"/>
      <w:bookmarkStart w:id="1" w:name="_Toc3083"/>
      <w:bookmarkStart w:id="2" w:name="_Toc8037"/>
      <w:r>
        <w:rPr>
          <w:rFonts w:hint="eastAsia" w:ascii="楷体" w:hAnsi="楷体" w:eastAsia="楷体" w:cs="楷体"/>
          <w:b/>
          <w:color w:val="auto"/>
          <w:spacing w:val="-2"/>
          <w:kern w:val="0"/>
          <w:sz w:val="24"/>
          <w:szCs w:val="24"/>
          <w:highlight w:val="none"/>
          <w:lang w:eastAsia="zh-CN"/>
        </w:rPr>
        <w:t>四、</w:t>
      </w:r>
      <w:r>
        <w:rPr>
          <w:rFonts w:hint="eastAsia" w:ascii="楷体" w:hAnsi="楷体" w:eastAsia="楷体" w:cs="楷体"/>
          <w:b/>
          <w:color w:val="auto"/>
          <w:spacing w:val="-2"/>
          <w:kern w:val="0"/>
          <w:sz w:val="24"/>
          <w:szCs w:val="24"/>
          <w:highlight w:val="none"/>
        </w:rPr>
        <w:t>交付要求</w:t>
      </w:r>
      <w:bookmarkEnd w:id="0"/>
      <w:bookmarkEnd w:id="1"/>
      <w:bookmarkEnd w:id="2"/>
    </w:p>
    <w:p w14:paraId="78DBD1D3">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spacing w:val="-2"/>
          <w:kern w:val="0"/>
          <w:sz w:val="24"/>
          <w:szCs w:val="24"/>
          <w:highlight w:val="none"/>
        </w:rPr>
        <w:t>1</w:t>
      </w:r>
      <w:r>
        <w:rPr>
          <w:rFonts w:hint="eastAsia" w:ascii="楷体" w:hAnsi="楷体" w:eastAsia="楷体" w:cs="楷体"/>
          <w:color w:val="auto"/>
          <w:spacing w:val="-2"/>
          <w:kern w:val="0"/>
          <w:sz w:val="24"/>
          <w:szCs w:val="24"/>
          <w:highlight w:val="none"/>
          <w:lang w:eastAsia="zh-CN"/>
        </w:rPr>
        <w:t>、合同履行期</w:t>
      </w:r>
      <w:r>
        <w:rPr>
          <w:rFonts w:hint="eastAsia" w:ascii="楷体" w:hAnsi="楷体" w:eastAsia="楷体" w:cs="楷体"/>
          <w:color w:val="auto"/>
          <w:spacing w:val="-2"/>
          <w:kern w:val="0"/>
          <w:sz w:val="24"/>
          <w:szCs w:val="24"/>
          <w:highlight w:val="none"/>
        </w:rPr>
        <w:t>：</w:t>
      </w:r>
      <w:r>
        <w:rPr>
          <w:rFonts w:hint="eastAsia" w:ascii="楷体" w:hAnsi="楷体" w:eastAsia="楷体" w:cs="楷体"/>
          <w:color w:val="auto"/>
          <w:spacing w:val="-2"/>
          <w:kern w:val="0"/>
          <w:sz w:val="24"/>
          <w:szCs w:val="24"/>
          <w:highlight w:val="none"/>
          <w:lang w:val="en-US" w:eastAsia="zh-CN"/>
        </w:rPr>
        <w:t>签订合同后30个日历天</w:t>
      </w:r>
      <w:r>
        <w:rPr>
          <w:rFonts w:hint="eastAsia" w:ascii="楷体" w:hAnsi="楷体" w:eastAsia="楷体" w:cs="楷体"/>
          <w:color w:val="auto"/>
          <w:spacing w:val="-10"/>
          <w:kern w:val="0"/>
          <w:sz w:val="24"/>
          <w:szCs w:val="24"/>
          <w:highlight w:val="none"/>
          <w:lang w:eastAsia="zh-CN"/>
        </w:rPr>
        <w:t>。</w:t>
      </w:r>
    </w:p>
    <w:p w14:paraId="107A7A10">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82" w:firstLineChars="200"/>
        <w:jc w:val="left"/>
        <w:textAlignment w:val="auto"/>
        <w:rPr>
          <w:rFonts w:hint="eastAsia" w:ascii="楷体" w:hAnsi="楷体" w:eastAsia="楷体" w:cs="楷体"/>
          <w:b/>
          <w:bCs/>
          <w:color w:val="auto"/>
          <w:spacing w:val="-1"/>
          <w:kern w:val="0"/>
          <w:sz w:val="24"/>
          <w:szCs w:val="24"/>
          <w:highlight w:val="none"/>
          <w:lang w:eastAsia="zh-CN"/>
        </w:rPr>
      </w:pPr>
      <w:r>
        <w:rPr>
          <w:rFonts w:hint="eastAsia" w:ascii="楷体" w:hAnsi="楷体" w:eastAsia="楷体" w:cs="楷体"/>
          <w:b/>
          <w:bCs/>
          <w:color w:val="auto"/>
          <w:kern w:val="0"/>
          <w:sz w:val="24"/>
          <w:szCs w:val="24"/>
          <w:highlight w:val="none"/>
        </w:rPr>
        <w:t>2</w:t>
      </w:r>
      <w:r>
        <w:rPr>
          <w:rFonts w:hint="eastAsia" w:ascii="楷体" w:hAnsi="楷体" w:eastAsia="楷体" w:cs="楷体"/>
          <w:b/>
          <w:bCs/>
          <w:color w:val="auto"/>
          <w:spacing w:val="-1"/>
          <w:kern w:val="0"/>
          <w:sz w:val="24"/>
          <w:szCs w:val="24"/>
          <w:highlight w:val="none"/>
          <w:lang w:eastAsia="zh-CN"/>
        </w:rPr>
        <w:t>、本项目工期要求紧，成交供应商需在成交公告发布后三个工作日内领取成交通知书，并在成交公告发布后七个工作日内签订施工合同入场施工。</w:t>
      </w:r>
    </w:p>
    <w:p w14:paraId="1DE9BC95">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6" w:firstLineChars="200"/>
        <w:jc w:val="left"/>
        <w:textAlignment w:val="auto"/>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spacing w:val="-1"/>
          <w:kern w:val="0"/>
          <w:sz w:val="24"/>
          <w:szCs w:val="24"/>
          <w:highlight w:val="none"/>
          <w:lang w:val="en-US" w:eastAsia="zh-CN"/>
        </w:rPr>
        <w:t>3、</w:t>
      </w:r>
      <w:r>
        <w:rPr>
          <w:rFonts w:hint="eastAsia" w:ascii="楷体" w:hAnsi="楷体" w:eastAsia="楷体" w:cs="楷体"/>
          <w:color w:val="auto"/>
          <w:spacing w:val="-1"/>
          <w:kern w:val="0"/>
          <w:sz w:val="24"/>
          <w:szCs w:val="24"/>
          <w:highlight w:val="none"/>
          <w:lang w:eastAsia="zh-CN"/>
        </w:rPr>
        <w:t>实施</w:t>
      </w:r>
      <w:r>
        <w:rPr>
          <w:rFonts w:hint="eastAsia" w:ascii="楷体" w:hAnsi="楷体" w:eastAsia="楷体" w:cs="楷体"/>
          <w:color w:val="auto"/>
          <w:spacing w:val="-1"/>
          <w:kern w:val="0"/>
          <w:sz w:val="24"/>
          <w:szCs w:val="24"/>
          <w:highlight w:val="none"/>
        </w:rPr>
        <w:t>地点：</w:t>
      </w:r>
      <w:r>
        <w:rPr>
          <w:rFonts w:hint="eastAsia" w:ascii="楷体" w:hAnsi="楷体" w:eastAsia="楷体" w:cs="楷体"/>
          <w:color w:val="auto"/>
          <w:spacing w:val="-1"/>
          <w:kern w:val="0"/>
          <w:sz w:val="24"/>
          <w:szCs w:val="24"/>
          <w:highlight w:val="none"/>
          <w:lang w:eastAsia="zh-CN"/>
        </w:rPr>
        <w:t>采购</w:t>
      </w:r>
      <w:r>
        <w:rPr>
          <w:rFonts w:hint="eastAsia" w:ascii="楷体" w:hAnsi="楷体" w:eastAsia="楷体" w:cs="楷体"/>
          <w:color w:val="auto"/>
          <w:spacing w:val="-1"/>
          <w:kern w:val="0"/>
          <w:sz w:val="24"/>
          <w:szCs w:val="24"/>
          <w:highlight w:val="none"/>
        </w:rPr>
        <w:t>人指定地点</w:t>
      </w:r>
      <w:r>
        <w:rPr>
          <w:rFonts w:hint="eastAsia" w:ascii="楷体" w:hAnsi="楷体" w:eastAsia="楷体" w:cs="楷体"/>
          <w:color w:val="auto"/>
          <w:spacing w:val="-1"/>
          <w:kern w:val="0"/>
          <w:sz w:val="24"/>
          <w:szCs w:val="24"/>
          <w:highlight w:val="none"/>
          <w:lang w:eastAsia="zh-CN"/>
        </w:rPr>
        <w:t>。</w:t>
      </w:r>
    </w:p>
    <w:p w14:paraId="00D8F462">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kern w:val="0"/>
          <w:sz w:val="24"/>
          <w:szCs w:val="24"/>
          <w:highlight w:val="none"/>
        </w:rPr>
      </w:pPr>
      <w:bookmarkStart w:id="3" w:name="_Toc9670"/>
      <w:bookmarkStart w:id="4" w:name="_Toc10841"/>
      <w:bookmarkStart w:id="5" w:name="_Toc13275"/>
      <w:r>
        <w:rPr>
          <w:rFonts w:hint="eastAsia" w:ascii="楷体" w:hAnsi="楷体" w:eastAsia="楷体" w:cs="楷体"/>
          <w:b/>
          <w:color w:val="auto"/>
          <w:spacing w:val="-2"/>
          <w:kern w:val="0"/>
          <w:sz w:val="24"/>
          <w:szCs w:val="24"/>
          <w:highlight w:val="none"/>
          <w:lang w:eastAsia="zh-CN"/>
        </w:rPr>
        <w:t>五、</w:t>
      </w:r>
      <w:r>
        <w:rPr>
          <w:rFonts w:hint="eastAsia" w:ascii="楷体" w:hAnsi="楷体" w:eastAsia="楷体" w:cs="楷体"/>
          <w:b/>
          <w:color w:val="auto"/>
          <w:spacing w:val="-2"/>
          <w:kern w:val="0"/>
          <w:sz w:val="24"/>
          <w:szCs w:val="24"/>
          <w:highlight w:val="none"/>
        </w:rPr>
        <w:t>验收要求</w:t>
      </w:r>
      <w:bookmarkEnd w:id="3"/>
      <w:bookmarkEnd w:id="4"/>
      <w:bookmarkEnd w:id="5"/>
    </w:p>
    <w:p w14:paraId="722F3F43">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1、由采购人、相关职能部门及当地村民验收，项目验收不合格，由</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返工直至合格，有关返工、再行验收，以及给采购人造成的损失等费用由</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承担。</w:t>
      </w:r>
    </w:p>
    <w:p w14:paraId="3FF965D0">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4" w:firstLineChars="200"/>
        <w:jc w:val="left"/>
        <w:textAlignment w:val="auto"/>
        <w:rPr>
          <w:rFonts w:hint="default" w:ascii="楷体" w:hAnsi="楷体" w:eastAsia="楷体" w:cs="楷体"/>
          <w:b/>
          <w:bCs/>
          <w:color w:val="auto"/>
          <w:spacing w:val="-2"/>
          <w:kern w:val="0"/>
          <w:sz w:val="24"/>
          <w:szCs w:val="24"/>
          <w:highlight w:val="none"/>
          <w:lang w:val="en-US" w:eastAsia="zh-CN"/>
        </w:rPr>
      </w:pPr>
      <w:r>
        <w:rPr>
          <w:rFonts w:hint="eastAsia" w:ascii="楷体" w:hAnsi="楷体" w:eastAsia="楷体" w:cs="楷体"/>
          <w:b/>
          <w:bCs/>
          <w:color w:val="auto"/>
          <w:spacing w:val="-2"/>
          <w:kern w:val="0"/>
          <w:sz w:val="24"/>
          <w:szCs w:val="24"/>
          <w:highlight w:val="none"/>
          <w:lang w:val="en-US" w:eastAsia="zh-CN"/>
        </w:rPr>
        <w:t>2、项目实施后村民对项目质量和建设效果的满意度，作为竣工验收的重要指标，原则上知晓率、参与率、满意度应分别达到80%以上。</w:t>
      </w:r>
    </w:p>
    <w:p w14:paraId="4DAD5B65">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3、项目完成后，</w:t>
      </w:r>
      <w:r>
        <w:rPr>
          <w:rFonts w:hint="eastAsia" w:ascii="楷体" w:hAnsi="楷体" w:eastAsia="楷体" w:cs="楷体"/>
          <w:color w:val="auto"/>
          <w:spacing w:val="-1"/>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应将项目有关的全部资料，包括技术文档、施工图纸等，移交采购人。</w:t>
      </w:r>
    </w:p>
    <w:p w14:paraId="107A07E6">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kern w:val="0"/>
          <w:sz w:val="24"/>
          <w:szCs w:val="24"/>
          <w:highlight w:val="none"/>
        </w:rPr>
      </w:pPr>
      <w:bookmarkStart w:id="6" w:name="_Toc15856"/>
      <w:bookmarkStart w:id="7" w:name="_Toc7792"/>
      <w:bookmarkStart w:id="8" w:name="_Toc11198"/>
      <w:r>
        <w:rPr>
          <w:rFonts w:hint="eastAsia" w:ascii="楷体" w:hAnsi="楷体" w:eastAsia="楷体" w:cs="楷体"/>
          <w:b/>
          <w:color w:val="auto"/>
          <w:spacing w:val="-2"/>
          <w:kern w:val="0"/>
          <w:sz w:val="24"/>
          <w:szCs w:val="24"/>
          <w:highlight w:val="none"/>
          <w:lang w:eastAsia="zh-CN"/>
        </w:rPr>
        <w:t>六、</w:t>
      </w:r>
      <w:r>
        <w:rPr>
          <w:rFonts w:hint="eastAsia" w:ascii="楷体" w:hAnsi="楷体" w:eastAsia="楷体" w:cs="楷体"/>
          <w:b/>
          <w:color w:val="auto"/>
          <w:spacing w:val="-2"/>
          <w:kern w:val="0"/>
          <w:sz w:val="24"/>
          <w:szCs w:val="24"/>
          <w:highlight w:val="none"/>
        </w:rPr>
        <w:t>其他要求</w:t>
      </w:r>
      <w:bookmarkEnd w:id="6"/>
      <w:bookmarkEnd w:id="7"/>
      <w:bookmarkEnd w:id="8"/>
    </w:p>
    <w:p w14:paraId="07C1FF08">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80" w:firstLineChars="200"/>
        <w:jc w:val="left"/>
        <w:textAlignment w:val="auto"/>
        <w:outlineLvl w:val="2"/>
        <w:rPr>
          <w:rFonts w:hint="eastAsia" w:ascii="楷体" w:hAnsi="楷体" w:eastAsia="楷体" w:cs="楷体"/>
          <w:color w:val="auto"/>
          <w:kern w:val="0"/>
          <w:sz w:val="24"/>
          <w:szCs w:val="24"/>
          <w:highlight w:val="none"/>
          <w:lang w:val="en-US" w:eastAsia="zh-CN"/>
        </w:rPr>
      </w:pPr>
      <w:bookmarkStart w:id="9" w:name="_Toc14291"/>
      <w:r>
        <w:rPr>
          <w:rFonts w:hint="eastAsia" w:ascii="楷体" w:hAnsi="楷体" w:eastAsia="楷体" w:cs="楷体"/>
          <w:color w:val="auto"/>
          <w:kern w:val="0"/>
          <w:sz w:val="24"/>
          <w:szCs w:val="24"/>
          <w:highlight w:val="none"/>
          <w:lang w:val="en-US" w:eastAsia="zh-CN"/>
        </w:rPr>
        <w:t>1、施工质量保证及售后维护</w:t>
      </w:r>
    </w:p>
    <w:p w14:paraId="3E5B31C3">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（1）本工程项目质量应符合国家相关要求，验收达到合格标准。</w:t>
      </w:r>
    </w:p>
    <w:p w14:paraId="40F371E0">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（2）本工程项目保修按国务院令第[2000]279号令、建设部[2000]80号令及合同约定保修。保修期间进场维修，保证无偿修理完好，否则，由采购人安排维修，维修费在保修预留金中双倍扣除。</w:t>
      </w:r>
    </w:p>
    <w:p w14:paraId="65012622">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（3）在质保期内，如出现质量问题，供应商在接到通知后24小时内赶到现场免费维修或更换。</w:t>
      </w:r>
    </w:p>
    <w:p w14:paraId="09416CAE">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（4）质保期从验收合格后开始计算。</w:t>
      </w:r>
    </w:p>
    <w:bookmarkEnd w:id="9"/>
    <w:p w14:paraId="3E8F4700">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4" w:firstLineChars="200"/>
        <w:jc w:val="left"/>
        <w:textAlignment w:val="auto"/>
        <w:rPr>
          <w:rFonts w:hint="eastAsia" w:ascii="楷体" w:hAnsi="楷体" w:eastAsia="楷体" w:cs="楷体"/>
          <w:b/>
          <w:bCs/>
          <w:color w:val="auto"/>
          <w:spacing w:val="-2"/>
          <w:kern w:val="0"/>
          <w:sz w:val="24"/>
          <w:szCs w:val="24"/>
          <w:highlight w:val="none"/>
          <w:lang w:val="en-US" w:eastAsia="zh-CN"/>
        </w:rPr>
      </w:pPr>
      <w:r>
        <w:rPr>
          <w:rFonts w:hint="eastAsia" w:ascii="楷体" w:hAnsi="楷体" w:eastAsia="楷体" w:cs="楷体"/>
          <w:b/>
          <w:bCs/>
          <w:color w:val="auto"/>
          <w:spacing w:val="-2"/>
          <w:kern w:val="0"/>
          <w:sz w:val="24"/>
          <w:szCs w:val="24"/>
          <w:highlight w:val="none"/>
          <w:lang w:val="en-US" w:eastAsia="zh-CN"/>
        </w:rPr>
        <w:t>2、本项目实施地点涉及村民房前屋后，需由成交供应商自行协调施工环境，不得影响项目工期。</w:t>
      </w:r>
    </w:p>
    <w:p w14:paraId="0245E5F8">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3、履约(诚信金)担保</w:t>
      </w:r>
    </w:p>
    <w:p w14:paraId="6F0F9D57">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1.履约(诚信金)担保的形式：</w:t>
      </w:r>
    </w:p>
    <w:p w14:paraId="08CF6912">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履约担保可以采用银行保函、担保保函或现金的形式，由成交供应商自行选择；保函应是银行业金融机构、专业担保公司开立的无条件的、不可撤销、不可转让的见索即付独立保函（保函出具前须经采购人书面认可）。</w:t>
      </w:r>
    </w:p>
    <w:p w14:paraId="418B660B">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诚信金担保可以采用银行保函或现金的形式，由成交供应商自行选择；如采用银行保函形式，其格式及实质性内容同履约担保；银行保函应是银行业金融机构开立的无条件的、不可撤销、不可转让的见索即付独立保函（银行保函出具前须经采购人书面认可）。</w:t>
      </w:r>
    </w:p>
    <w:p w14:paraId="23553F4B">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2.履约(诚信金)担保金额:</w:t>
      </w:r>
    </w:p>
    <w:p w14:paraId="5D983B95">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default"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(1)成交金额比最高投标限价的降价幅度不超过10%的，履约担保金额为成交合同金额的10%。</w:t>
      </w:r>
    </w:p>
    <w:p w14:paraId="361065AB">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成交金额比最高投标限价的降价幅度超过10%的，成交单位除递交成交合同金额10%的履约担保金外，还应按照最高投标限价与成交合同金额差额扣除履约保证金额后余额的100%向招标人提交诚信金（银行保函或现金形式），诚信金计算公式为：（最高投标限价－成交合同金额－履约保证金额）×100%；</w:t>
      </w:r>
    </w:p>
    <w:p w14:paraId="6FA0AF13">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履约(诚信金)担保的提交截止时间:成交供应商自接获中标通知书后7个工作日内向采购人提交履约担保和诚信金担保。成交供应商未按期提供履约担保和诚信金担保的，采购人可以视为成交供应商自行放弃其成交资格，给采购人造成的损失由成交供应商按法律法规予以赔偿。</w:t>
      </w:r>
    </w:p>
    <w:p w14:paraId="420568AE">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履约(诚信金)担保期限:履约担保及诚信金担保的担保责任期为提交之日起至工程签发接收证书之日终止。采购人在本合同工程签发接收证书后30日内一次性退还或解除履约(诚信金)担保，在此期间，履约(诚信金)担保均不计息。</w:t>
      </w:r>
    </w:p>
    <w:p w14:paraId="1BAE8303">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5.履约(诚信金)担保的使用及违约责任；</w:t>
      </w:r>
    </w:p>
    <w:p w14:paraId="4AB85566">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合同履行过程中，成交供应商发生违约行为，发包人有权根据合同约定从履约(诚信金)担保中扣除承包人应付的违约金，若保函金额不足赔偿违约金，不足部分采购人有权在应支付给成交供应商的工程款中直接扣除。采购人根据本合同约定提取完履约(诚信金)担保后10日内，成交供应商应将履约(诚信金)担保的数额恢复到本合同约定的数额并向采购人提供履约(诚信金)担保已足额恢复的证据，否则，采购人有权单方面解除本合同，成交供应商必须在收到合同解除通知书后10天内无条件退场，由此造成的一切损失均由成交供应商承担。</w:t>
      </w:r>
    </w:p>
    <w:p w14:paraId="70E82562">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履约(诚信金)保函到期后，项目未完工的，成交供应商应当在七个工作日内重新提交符合谈判文件规定的履约(诚信金)保函，费用由责任方承担。成交供应商不及时提交或拒绝提交的，采购人人有权在应付进度款中扣除相应履约(诚信金)担保金额，项目完工后，不计息返还。</w:t>
      </w:r>
    </w:p>
    <w:p w14:paraId="248463B5">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jc w:val="left"/>
        <w:textAlignment w:val="auto"/>
        <w:outlineLvl w:val="1"/>
        <w:rPr>
          <w:rFonts w:hint="eastAsia" w:ascii="楷体" w:hAnsi="楷体" w:eastAsia="楷体" w:cs="楷体"/>
          <w:b/>
          <w:color w:val="auto"/>
          <w:spacing w:val="-2"/>
          <w:kern w:val="0"/>
          <w:sz w:val="24"/>
          <w:szCs w:val="24"/>
          <w:highlight w:val="none"/>
          <w:lang w:val="en-US" w:eastAsia="zh-CN"/>
        </w:rPr>
      </w:pPr>
      <w:r>
        <w:rPr>
          <w:rFonts w:hint="eastAsia" w:ascii="楷体" w:hAnsi="楷体" w:eastAsia="楷体" w:cs="楷体"/>
          <w:b/>
          <w:color w:val="auto"/>
          <w:spacing w:val="-2"/>
          <w:kern w:val="0"/>
          <w:sz w:val="24"/>
          <w:szCs w:val="24"/>
          <w:highlight w:val="none"/>
          <w:lang w:val="en-US" w:eastAsia="zh-CN"/>
        </w:rPr>
        <w:t>七、违约责任</w:t>
      </w:r>
    </w:p>
    <w:p w14:paraId="6E4A02D9">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1、工期逾期</w:t>
      </w:r>
    </w:p>
    <w:p w14:paraId="36AD08CA">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因成交供应商原因未按期竣工，每逾期1日历天，成交供应商按合同总价0.3%向甲方支付违约金；逾期超过15日，采购人有权单方解除合同，成交供应商须3日内撤离现场，并支付合同总价20%违约金，已完工工程量仅按50%结算。</w:t>
      </w:r>
    </w:p>
    <w:p w14:paraId="7E24CD0A">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2、质量违约</w:t>
      </w:r>
    </w:p>
    <w:p w14:paraId="1F79C133">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（1）施工工艺、材料设备与技术方案不符，乙方无条件返工，工期不顺延，并支付该分项合同价款15%违约金。</w:t>
      </w:r>
    </w:p>
    <w:p w14:paraId="332CD0CB">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（2）竣工验收一次不合格，乙方支付合同总价5%违约金；两次及以上不合格，采购人可解除合同，成交供应商承担全部返工及第三方施工差价。</w:t>
      </w:r>
    </w:p>
    <w:p w14:paraId="17CC229B">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3、安全与文明施工违约</w:t>
      </w:r>
    </w:p>
    <w:p w14:paraId="49CD1070">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（1）施工未做防尘降噪围挡、随意堆放垃圾、夜间违规扰民，每次违约金2000元。</w:t>
      </w:r>
    </w:p>
    <w:p w14:paraId="0159A0EE">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（2）发生安全事故，成交供应商承担全部经济赔偿、行政处罚，同时支付合同总价10%违约金。</w:t>
      </w:r>
    </w:p>
    <w:p w14:paraId="73D7FE77">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（3）特种作业无证、违规动火、无防护作业，单次违约金3000元，采购人可勒令停工整改。</w:t>
      </w:r>
    </w:p>
    <w:p w14:paraId="32361105">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2" w:firstLineChars="200"/>
        <w:jc w:val="left"/>
        <w:textAlignment w:val="auto"/>
        <w:rPr>
          <w:rFonts w:hint="default"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4、项目组人员违约</w:t>
      </w:r>
    </w:p>
    <w:p w14:paraId="68D9951C">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 xml:space="preserve">（1）项目经理应常驻施工现场，且每月到岗时间不少于于22天，否则视为违约，每缺勤一天向采购人支付违约金5000元。 </w:t>
      </w:r>
    </w:p>
    <w:p w14:paraId="7ADEF95D">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 xml:space="preserve">（2）成交供应商未提交劳动合同，以及没有为项目经理缴纳社会保险证明的，采购人可以单方面解除合同，成交供应商自愿无条件接受，且采购人有权扣除全部履约担保。 </w:t>
      </w:r>
    </w:p>
    <w:p w14:paraId="0A22EE0F">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 xml:space="preserve">（3）项目经理及项目组成员未经批准，擅自离开施工现场的，按3000元/人·次向采购人支付违约金。 </w:t>
      </w:r>
    </w:p>
    <w:p w14:paraId="57D57224">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（4）</w:t>
      </w:r>
      <w:r>
        <w:rPr>
          <w:rFonts w:hint="eastAsia" w:ascii="楷体" w:hAnsi="楷体" w:eastAsia="楷体" w:cs="楷体"/>
          <w:color w:val="auto"/>
          <w:spacing w:val="-2"/>
          <w:sz w:val="24"/>
          <w:szCs w:val="24"/>
          <w:highlight w:val="none"/>
          <w:lang w:val="en-US" w:eastAsia="zh-CN" w:bidi="ar-SA"/>
        </w:rPr>
        <w:t>成交供应商</w:t>
      </w:r>
      <w:r>
        <w:rPr>
          <w:rFonts w:hint="eastAsia" w:ascii="楷体" w:hAnsi="楷体" w:eastAsia="楷体" w:cs="楷体"/>
          <w:color w:val="auto"/>
          <w:spacing w:val="-2"/>
          <w:kern w:val="0"/>
          <w:sz w:val="24"/>
          <w:szCs w:val="24"/>
          <w:highlight w:val="none"/>
          <w:lang w:val="en-US" w:eastAsia="zh-CN"/>
        </w:rPr>
        <w:t xml:space="preserve">擅自更换项目经理及项目组成员的，按100000元/人·天向采购人支付违约金。 </w:t>
      </w:r>
    </w:p>
    <w:p w14:paraId="33C941CB">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5、转包分包违约</w:t>
      </w:r>
    </w:p>
    <w:p w14:paraId="382C7FC4">
      <w:pPr>
        <w:keepNext w:val="0"/>
        <w:keepLines w:val="0"/>
        <w:pageBreakBefore w:val="0"/>
        <w:widowControl w:val="0"/>
        <w:kinsoku/>
        <w:wordWrap/>
        <w:overflowPunct/>
        <w:topLinePunct w:val="0"/>
        <w:autoSpaceDE w:val="0"/>
        <w:autoSpaceDN w:val="0"/>
        <w:bidi w:val="0"/>
        <w:adjustRightInd/>
        <w:snapToGrid/>
        <w:spacing w:before="6" w:after="0" w:afterLines="30" w:line="440" w:lineRule="exact"/>
        <w:ind w:left="0" w:right="0" w:firstLine="472" w:firstLineChars="200"/>
        <w:jc w:val="left"/>
        <w:textAlignment w:val="auto"/>
        <w:rPr>
          <w:rFonts w:hint="eastAsia" w:ascii="楷体" w:hAnsi="楷体" w:eastAsia="楷体" w:cs="楷体"/>
          <w:color w:val="auto"/>
          <w:spacing w:val="-2"/>
          <w:kern w:val="0"/>
          <w:sz w:val="24"/>
          <w:szCs w:val="24"/>
          <w:highlight w:val="none"/>
          <w:lang w:val="en-US" w:eastAsia="zh-CN"/>
        </w:rPr>
      </w:pPr>
      <w:r>
        <w:rPr>
          <w:rFonts w:hint="eastAsia" w:ascii="楷体" w:hAnsi="楷体" w:eastAsia="楷体" w:cs="楷体"/>
          <w:color w:val="auto"/>
          <w:spacing w:val="-2"/>
          <w:kern w:val="0"/>
          <w:sz w:val="24"/>
          <w:szCs w:val="24"/>
          <w:highlight w:val="none"/>
          <w:lang w:val="en-US" w:eastAsia="zh-CN"/>
        </w:rPr>
        <w:t>成交供应商转包本项目，采购人立即解除合同，成交供应商支付合同总价20%违约金，已完工工程不予结算。</w:t>
      </w:r>
    </w:p>
    <w:p w14:paraId="146C1133">
      <w:pPr>
        <w:keepNext w:val="0"/>
        <w:keepLines w:val="0"/>
        <w:pageBreakBefore w:val="0"/>
        <w:widowControl/>
        <w:shd w:val="clear" w:color="auto" w:fill="FFFFFF"/>
        <w:kinsoku/>
        <w:wordWrap/>
        <w:overflowPunct/>
        <w:topLinePunct w:val="0"/>
        <w:autoSpaceDE/>
        <w:autoSpaceDN/>
        <w:bidi w:val="0"/>
        <w:snapToGrid w:val="0"/>
        <w:spacing w:line="440" w:lineRule="exact"/>
        <w:jc w:val="left"/>
        <w:textAlignment w:val="auto"/>
        <w:rPr>
          <w:rFonts w:hint="eastAsia" w:ascii="楷体" w:hAnsi="楷体" w:eastAsia="楷体" w:cs="楷体"/>
          <w:b/>
          <w:color w:val="auto"/>
          <w:sz w:val="24"/>
          <w:szCs w:val="24"/>
          <w:highlight w:val="none"/>
          <w:lang w:eastAsia="zh-CN"/>
        </w:rPr>
      </w:pPr>
      <w:r>
        <w:rPr>
          <w:rFonts w:hint="eastAsia" w:ascii="楷体" w:hAnsi="楷体" w:eastAsia="楷体" w:cs="楷体"/>
          <w:b/>
          <w:color w:val="auto"/>
          <w:sz w:val="24"/>
          <w:szCs w:val="24"/>
          <w:highlight w:val="none"/>
          <w:lang w:val="en-US" w:eastAsia="zh-CN"/>
        </w:rPr>
        <w:t>八</w:t>
      </w:r>
      <w:r>
        <w:rPr>
          <w:rFonts w:hint="eastAsia" w:ascii="楷体" w:hAnsi="楷体" w:eastAsia="楷体" w:cs="楷体"/>
          <w:b/>
          <w:color w:val="auto"/>
          <w:sz w:val="24"/>
          <w:szCs w:val="24"/>
          <w:highlight w:val="none"/>
        </w:rPr>
        <w:t>、项目</w:t>
      </w:r>
      <w:r>
        <w:rPr>
          <w:rFonts w:hint="eastAsia" w:ascii="楷体" w:hAnsi="楷体" w:eastAsia="楷体" w:cs="楷体"/>
          <w:b/>
          <w:color w:val="auto"/>
          <w:sz w:val="24"/>
          <w:szCs w:val="24"/>
          <w:highlight w:val="none"/>
          <w:lang w:eastAsia="zh-CN"/>
        </w:rPr>
        <w:t>特别说明</w:t>
      </w:r>
    </w:p>
    <w:p w14:paraId="7556FC43">
      <w:pPr>
        <w:keepNext w:val="0"/>
        <w:keepLines w:val="0"/>
        <w:pageBreakBefore w:val="0"/>
        <w:widowControl/>
        <w:shd w:val="clear" w:color="auto" w:fill="FFFFFF"/>
        <w:kinsoku/>
        <w:wordWrap/>
        <w:overflowPunct/>
        <w:topLinePunct w:val="0"/>
        <w:autoSpaceDE/>
        <w:autoSpaceDN/>
        <w:bidi w:val="0"/>
        <w:snapToGrid w:val="0"/>
        <w:spacing w:line="440" w:lineRule="exact"/>
        <w:ind w:firstLine="482" w:firstLineChars="200"/>
        <w:textAlignment w:val="auto"/>
        <w:rPr>
          <w:rFonts w:hint="eastAsia" w:ascii="楷体" w:hAnsi="楷体" w:eastAsia="楷体" w:cs="楷体"/>
          <w:b w:val="0"/>
          <w:bCs/>
          <w:color w:val="auto"/>
          <w:kern w:val="0"/>
          <w:sz w:val="24"/>
          <w:szCs w:val="24"/>
          <w:highlight w:val="none"/>
          <w:lang w:val="en-US" w:eastAsia="zh-CN"/>
        </w:rPr>
      </w:pPr>
      <w:r>
        <w:rPr>
          <w:rFonts w:hint="eastAsia" w:ascii="楷体" w:hAnsi="楷体" w:eastAsia="楷体" w:cs="楷体"/>
          <w:b/>
          <w:bCs w:val="0"/>
          <w:color w:val="auto"/>
          <w:kern w:val="0"/>
          <w:sz w:val="24"/>
          <w:szCs w:val="24"/>
          <w:highlight w:val="none"/>
          <w:lang w:val="en-US" w:eastAsia="zh-CN"/>
        </w:rPr>
        <w:t>1、付款方式：按照财政资金到账计划拨付，具体支付细则以合同约定为准。本项目第一笔工程款仅拨付100万元；剩余款项待项目工程经省级主管部门验收合格后，申请资金到账后按财政资金拨付流程予以支付</w:t>
      </w:r>
      <w:r>
        <w:rPr>
          <w:rFonts w:hint="eastAsia" w:ascii="楷体" w:hAnsi="楷体" w:eastAsia="楷体" w:cs="楷体"/>
          <w:b/>
          <w:bCs w:val="0"/>
          <w:color w:val="auto"/>
          <w:sz w:val="24"/>
          <w:szCs w:val="24"/>
          <w:highlight w:val="none"/>
        </w:rPr>
        <w:t>。</w:t>
      </w:r>
    </w:p>
    <w:p w14:paraId="67C63632">
      <w:pPr>
        <w:keepNext w:val="0"/>
        <w:keepLines w:val="0"/>
        <w:pageBreakBefore w:val="0"/>
        <w:widowControl/>
        <w:shd w:val="clear" w:color="auto" w:fill="FFFFFF"/>
        <w:kinsoku/>
        <w:wordWrap/>
        <w:overflowPunct/>
        <w:topLinePunct w:val="0"/>
        <w:autoSpaceDE/>
        <w:autoSpaceDN/>
        <w:bidi w:val="0"/>
        <w:snapToGrid w:val="0"/>
        <w:spacing w:line="440" w:lineRule="exact"/>
        <w:ind w:firstLine="482" w:firstLineChars="200"/>
        <w:textAlignment w:val="auto"/>
        <w:rPr>
          <w:rFonts w:hint="eastAsia"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2、本项目施工环境复杂、工期较紧，请供应商认真研究考虑多班施工作业及适当增加施工员、专职安全员、质量员人数。</w:t>
      </w:r>
    </w:p>
    <w:p w14:paraId="4616CFD3">
      <w:pPr>
        <w:keepNext w:val="0"/>
        <w:keepLines w:val="0"/>
        <w:pageBreakBefore w:val="0"/>
        <w:widowControl/>
        <w:shd w:val="clear" w:color="auto" w:fill="FFFFFF"/>
        <w:kinsoku/>
        <w:wordWrap/>
        <w:overflowPunct/>
        <w:topLinePunct w:val="0"/>
        <w:autoSpaceDE/>
        <w:autoSpaceDN/>
        <w:bidi w:val="0"/>
        <w:snapToGrid w:val="0"/>
        <w:spacing w:line="440" w:lineRule="exact"/>
        <w:ind w:firstLine="482" w:firstLineChars="200"/>
        <w:textAlignment w:val="auto"/>
        <w:rPr>
          <w:rFonts w:hint="default"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3、依据《中共中央办公厅 国务院办公厅关于建设宜居宜业和美乡村的意见》（中办发〔2023〕33 号）、《农民参与乡村建设指南（试行）》等相关文件规定，在项目施工过程中，要充分听取村民意见，全过程、全环节推动农民参与，将项目建设管理全过程纳入村务公开范畴，切实保障村民的知情权、参与权、表达权、监督权。鼓励当地村民自愿投工投劳参与项目建设；项目辅助性劳务用工优先吸纳本地脱贫人口、防止返贫监测对象等有劳动能力、有务工意愿的群体，同等条件下优先录用，力争重点群体用工占项目劳务用工总量达到30%以上。</w:t>
      </w:r>
    </w:p>
    <w:p w14:paraId="2BE18B92">
      <w:pPr>
        <w:keepNext w:val="0"/>
        <w:keepLines w:val="0"/>
        <w:pageBreakBefore w:val="0"/>
        <w:widowControl/>
        <w:shd w:val="clear" w:color="auto" w:fill="FFFFFF"/>
        <w:kinsoku/>
        <w:wordWrap/>
        <w:overflowPunct/>
        <w:topLinePunct w:val="0"/>
        <w:autoSpaceDE/>
        <w:autoSpaceDN/>
        <w:bidi w:val="0"/>
        <w:snapToGrid w:val="0"/>
        <w:spacing w:line="440" w:lineRule="exact"/>
        <w:ind w:firstLine="482" w:firstLineChars="200"/>
        <w:textAlignment w:val="auto"/>
        <w:rPr>
          <w:rFonts w:hint="default" w:ascii="楷体" w:hAnsi="楷体" w:eastAsia="楷体" w:cs="楷体"/>
          <w:b/>
          <w:bCs/>
          <w:color w:val="auto"/>
          <w:sz w:val="24"/>
          <w:szCs w:val="24"/>
          <w:highlight w:val="none"/>
          <w:lang w:val="en-US" w:eastAsia="zh-CN"/>
        </w:rPr>
      </w:pPr>
      <w:r>
        <w:rPr>
          <w:rFonts w:hint="eastAsia" w:ascii="楷体" w:hAnsi="楷体" w:eastAsia="楷体" w:cs="楷体"/>
          <w:b/>
          <w:bCs/>
          <w:color w:val="auto"/>
          <w:sz w:val="24"/>
          <w:szCs w:val="24"/>
          <w:highlight w:val="none"/>
          <w:lang w:val="en-US" w:eastAsia="zh-CN"/>
        </w:rPr>
        <w:t>4</w:t>
      </w:r>
      <w:r>
        <w:rPr>
          <w:rFonts w:hint="eastAsia" w:ascii="楷体" w:hAnsi="楷体" w:eastAsia="楷体" w:cs="楷体"/>
          <w:b/>
          <w:bCs/>
          <w:color w:val="auto"/>
          <w:sz w:val="24"/>
          <w:szCs w:val="24"/>
          <w:highlight w:val="none"/>
        </w:rPr>
        <w:t>、</w:t>
      </w:r>
      <w:r>
        <w:rPr>
          <w:rFonts w:hint="eastAsia" w:ascii="楷体" w:hAnsi="楷体" w:eastAsia="楷体" w:cs="楷体"/>
          <w:b/>
          <w:bCs/>
          <w:color w:val="auto"/>
          <w:sz w:val="24"/>
          <w:szCs w:val="24"/>
          <w:highlight w:val="none"/>
          <w:lang w:eastAsia="zh-CN"/>
        </w:rPr>
        <w:t>本项目</w:t>
      </w:r>
      <w:r>
        <w:rPr>
          <w:rFonts w:hint="eastAsia" w:ascii="楷体" w:hAnsi="楷体" w:eastAsia="楷体" w:cs="楷体"/>
          <w:b/>
          <w:bCs/>
          <w:color w:val="auto"/>
          <w:sz w:val="24"/>
          <w:szCs w:val="24"/>
          <w:highlight w:val="none"/>
        </w:rPr>
        <w:t>要与阳田村、枫香村、新湾村、补戈村、榔木村进行利益链接，带动5个村的发展</w:t>
      </w:r>
      <w:r>
        <w:rPr>
          <w:rFonts w:hint="eastAsia" w:ascii="楷体" w:hAnsi="楷体" w:eastAsia="楷体" w:cs="楷体"/>
          <w:b/>
          <w:bCs/>
          <w:color w:val="auto"/>
          <w:sz w:val="24"/>
          <w:szCs w:val="24"/>
          <w:highlight w:val="none"/>
          <w:lang w:eastAsia="zh-CN"/>
        </w:rPr>
        <w:t>，</w:t>
      </w:r>
      <w:r>
        <w:rPr>
          <w:rFonts w:hint="eastAsia" w:ascii="楷体" w:hAnsi="楷体" w:eastAsia="楷体" w:cs="楷体"/>
          <w:b/>
          <w:bCs/>
          <w:color w:val="auto"/>
          <w:sz w:val="24"/>
          <w:szCs w:val="24"/>
          <w:highlight w:val="none"/>
          <w:lang w:val="en-US" w:eastAsia="zh-CN"/>
        </w:rPr>
        <w:t>按采购预算</w:t>
      </w:r>
      <w:r>
        <w:rPr>
          <w:rFonts w:hint="eastAsia" w:ascii="楷体" w:hAnsi="楷体" w:eastAsia="楷体" w:cs="楷体"/>
          <w:b/>
          <w:bCs/>
          <w:color w:val="auto"/>
          <w:sz w:val="24"/>
          <w:szCs w:val="24"/>
          <w:highlight w:val="none"/>
          <w:lang w:eastAsia="zh-CN"/>
        </w:rPr>
        <w:t>实现</w:t>
      </w:r>
      <w:r>
        <w:rPr>
          <w:rFonts w:hint="eastAsia" w:ascii="楷体" w:hAnsi="楷体" w:eastAsia="楷体" w:cs="楷体"/>
          <w:b/>
          <w:bCs/>
          <w:color w:val="auto"/>
          <w:sz w:val="24"/>
          <w:szCs w:val="24"/>
          <w:highlight w:val="none"/>
          <w:lang w:val="en-US" w:eastAsia="zh-CN"/>
        </w:rPr>
        <w:t>8%利益分红。</w:t>
      </w:r>
    </w:p>
    <w:p w14:paraId="317EFE7E">
      <w:pPr>
        <w:keepNext w:val="0"/>
        <w:keepLines w:val="0"/>
        <w:pageBreakBefore w:val="0"/>
        <w:widowControl/>
        <w:shd w:val="clear" w:color="auto" w:fill="FFFFFF"/>
        <w:kinsoku/>
        <w:wordWrap/>
        <w:overflowPunct/>
        <w:topLinePunct w:val="0"/>
        <w:autoSpaceDE/>
        <w:autoSpaceDN/>
        <w:bidi w:val="0"/>
        <w:snapToGrid w:val="0"/>
        <w:spacing w:line="440" w:lineRule="exact"/>
        <w:ind w:firstLine="480" w:firstLineChars="200"/>
        <w:textAlignment w:val="auto"/>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lang w:val="en-US" w:eastAsia="zh-CN"/>
        </w:rPr>
        <w:t>5、</w:t>
      </w:r>
      <w:r>
        <w:rPr>
          <w:rFonts w:hint="eastAsia" w:ascii="楷体" w:hAnsi="楷体" w:eastAsia="楷体" w:cs="楷体"/>
          <w:b w:val="0"/>
          <w:bCs w:val="0"/>
          <w:color w:val="auto"/>
          <w:sz w:val="24"/>
          <w:szCs w:val="24"/>
          <w:highlight w:val="none"/>
        </w:rPr>
        <w:t>项目现场:项目实施具体地点和范围及相关资料由采购人提供和确认。</w:t>
      </w:r>
    </w:p>
    <w:p w14:paraId="34A6D9DD">
      <w:r>
        <w:rPr>
          <w:rFonts w:hint="eastAsia" w:ascii="楷体" w:hAnsi="楷体" w:eastAsia="楷体" w:cs="楷体"/>
          <w:b w:val="0"/>
          <w:bCs w:val="0"/>
          <w:color w:val="auto"/>
          <w:sz w:val="24"/>
          <w:szCs w:val="24"/>
          <w:highlight w:val="none"/>
          <w:lang w:val="en-US" w:eastAsia="zh-CN"/>
        </w:rPr>
        <w:t>6</w:t>
      </w:r>
      <w:r>
        <w:rPr>
          <w:rFonts w:hint="eastAsia" w:ascii="楷体" w:hAnsi="楷体" w:eastAsia="楷体" w:cs="楷体"/>
          <w:b w:val="0"/>
          <w:bCs w:val="0"/>
          <w:color w:val="auto"/>
          <w:sz w:val="24"/>
          <w:szCs w:val="24"/>
          <w:highlight w:val="none"/>
        </w:rPr>
        <w:t>、现场踏勘:采购人不另行组织对本项目实施现场进行踏勘，有关踏勘事宜由供应商自行</w:t>
      </w:r>
      <w:r>
        <w:rPr>
          <w:rFonts w:hint="eastAsia" w:ascii="楷体" w:hAnsi="楷体" w:eastAsia="楷体" w:cs="楷体"/>
          <w:b w:val="0"/>
          <w:bCs w:val="0"/>
          <w:color w:val="auto"/>
          <w:sz w:val="24"/>
          <w:szCs w:val="24"/>
          <w:highlight w:val="none"/>
          <w:lang w:eastAsia="zh-CN"/>
        </w:rPr>
        <w:t>前往，费用及安全自理</w:t>
      </w:r>
      <w:r>
        <w:rPr>
          <w:rFonts w:hint="eastAsia" w:ascii="楷体" w:hAnsi="楷体" w:eastAsia="楷体" w:cs="楷体"/>
          <w:b w:val="0"/>
          <w:bCs w:val="0"/>
          <w:color w:val="auto"/>
          <w:sz w:val="24"/>
          <w:szCs w:val="24"/>
          <w:highlight w:val="none"/>
        </w:rPr>
        <w:t>。</w:t>
      </w:r>
      <w:bookmarkStart w:id="10" w:name="_GoBack"/>
      <w:bookmarkEnd w:id="1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D36477"/>
    <w:rsid w:val="54D36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w:basedOn w:val="3"/>
    <w:unhideWhenUsed/>
    <w:qFormat/>
    <w:uiPriority w:val="99"/>
    <w:pPr>
      <w:widowControl w:val="0"/>
      <w:ind w:firstLine="420" w:firstLineChars="100"/>
      <w:jc w:val="center"/>
    </w:pPr>
    <w:rPr>
      <w:rFonts w:ascii="宋体" w:hAnsi="宋体" w:eastAsia="宋体" w:cs="Times New Roman"/>
      <w:bCs/>
      <w:kern w:val="2"/>
      <w:sz w:val="72"/>
      <w:szCs w:val="24"/>
      <w:lang w:val="en-US" w:eastAsia="zh-CN" w:bidi="ar-SA"/>
    </w:rPr>
  </w:style>
  <w:style w:type="paragraph" w:styleId="3">
    <w:name w:val="Body Text"/>
    <w:basedOn w:val="1"/>
    <w:next w:val="1"/>
    <w:qFormat/>
    <w:uiPriority w:val="0"/>
    <w:pPr>
      <w:spacing w:after="120"/>
    </w:pPr>
  </w:style>
  <w:style w:type="paragraph" w:styleId="4">
    <w:name w:val="Plain Text"/>
    <w:basedOn w:val="1"/>
    <w:qFormat/>
    <w:uiPriority w:val="0"/>
    <w:rPr>
      <w:rFonts w:ascii="宋体" w:hAnsi="Courier New" w:eastAsia="仿宋_GB2312"/>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2026-10-07T03:59:00Z</dcterms:created>
  <dc:creator>lf</dc:creator>
  <cp:lastModifiedBy>lf</cp:lastModifiedBy>
  <dcterms:modified xsi:type="dcterms:W3CDTF">2026-10-07T03:59:36Z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B1DDC8B63B8A449791FF00FBC3F55B7B_11</vt:lpwstr>
  </property>
  <property fmtid="{D5CDD505-2E9C-101B-9397-08002B2CF9AE}" pid="4" name="KSOTemplateDocerSaveRecord">
    <vt:lpwstr>eyJoZGlkIjoiYWQxM2E1YTFhZjdhYTE1ZjYyMjY3MDJkYzhmZDBmN2UiLCJ1c2VySWQiOiI1MzM2ODAxNzMifQ==</vt:lpwstr>
  </property>
</Properties>
</file>