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8820E">
      <w:pPr>
        <w:pStyle w:val="2"/>
        <w:rPr>
          <w:rFonts w:hint="eastAsia" w:ascii="黑体" w:hAnsi="宋体" w:eastAsia="黑体"/>
          <w:color w:val="auto"/>
          <w:sz w:val="32"/>
          <w:szCs w:val="32"/>
          <w:highlight w:val="none"/>
        </w:rPr>
      </w:pPr>
      <w:r>
        <w:rPr>
          <w:rFonts w:hint="eastAsia" w:ascii="黑体" w:hAnsi="华文中宋" w:eastAsia="黑体"/>
          <w:color w:val="auto"/>
          <w:sz w:val="36"/>
          <w:szCs w:val="36"/>
          <w:highlight w:val="none"/>
        </w:rPr>
        <w:t>采购需求</w:t>
      </w:r>
    </w:p>
    <w:p w14:paraId="0C524C53">
      <w:pPr>
        <w:pStyle w:val="5"/>
        <w:rPr>
          <w:color w:val="auto"/>
          <w:highlight w:val="none"/>
        </w:rPr>
      </w:pPr>
    </w:p>
    <w:p w14:paraId="4C46BB95">
      <w:pPr>
        <w:pStyle w:val="2"/>
        <w:rPr>
          <w:rFonts w:hint="eastAsia" w:ascii="宋体" w:hAnsi="宋体" w:cs="宋体"/>
          <w:color w:val="auto"/>
          <w:kern w:val="0"/>
          <w:sz w:val="36"/>
          <w:szCs w:val="36"/>
          <w:highlight w:val="none"/>
          <w:lang w:bidi="ar"/>
        </w:rPr>
      </w:pPr>
      <w:r>
        <w:rPr>
          <w:rFonts w:hint="eastAsia" w:ascii="宋体" w:hAnsi="宋体" w:cs="宋体"/>
          <w:color w:val="auto"/>
          <w:kern w:val="0"/>
          <w:sz w:val="36"/>
          <w:szCs w:val="36"/>
          <w:highlight w:val="none"/>
          <w:lang w:bidi="ar"/>
        </w:rPr>
        <w:t>第一节、技术要求</w:t>
      </w:r>
    </w:p>
    <w:tbl>
      <w:tblPr>
        <w:tblStyle w:val="3"/>
        <w:tblW w:w="9570" w:type="dxa"/>
        <w:jc w:val="center"/>
        <w:tblLayout w:type="autofit"/>
        <w:tblCellMar>
          <w:top w:w="0" w:type="dxa"/>
          <w:left w:w="108" w:type="dxa"/>
          <w:bottom w:w="0" w:type="dxa"/>
          <w:right w:w="108" w:type="dxa"/>
        </w:tblCellMar>
      </w:tblPr>
      <w:tblGrid>
        <w:gridCol w:w="839"/>
        <w:gridCol w:w="704"/>
        <w:gridCol w:w="6349"/>
        <w:gridCol w:w="839"/>
        <w:gridCol w:w="839"/>
      </w:tblGrid>
      <w:tr w14:paraId="7EB306A0">
        <w:tblPrEx>
          <w:tblCellMar>
            <w:top w:w="0" w:type="dxa"/>
            <w:left w:w="108" w:type="dxa"/>
            <w:bottom w:w="0" w:type="dxa"/>
            <w:right w:w="108" w:type="dxa"/>
          </w:tblCellMar>
        </w:tblPrEx>
        <w:trPr>
          <w:tblHeade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50971C25">
            <w:pPr>
              <w:widowControl/>
              <w:snapToGrid w:val="0"/>
              <w:jc w:val="center"/>
              <w:textAlignment w:val="center"/>
              <w:rPr>
                <w:rFonts w:hint="eastAsia" w:ascii="宋体" w:hAnsi="宋体" w:cs="宋体"/>
                <w:b/>
                <w:color w:val="auto"/>
                <w:sz w:val="20"/>
                <w:szCs w:val="20"/>
                <w:highlight w:val="none"/>
              </w:rPr>
            </w:pPr>
            <w:r>
              <w:rPr>
                <w:rFonts w:hint="eastAsia" w:ascii="宋体" w:hAnsi="宋体" w:cs="宋体"/>
                <w:b/>
                <w:color w:val="auto"/>
                <w:kern w:val="0"/>
                <w:sz w:val="20"/>
                <w:szCs w:val="20"/>
                <w:highlight w:val="none"/>
                <w:lang w:bidi="ar"/>
              </w:rPr>
              <w:t>序号</w:t>
            </w:r>
          </w:p>
        </w:tc>
        <w:tc>
          <w:tcPr>
            <w:tcW w:w="0" w:type="auto"/>
            <w:tcBorders>
              <w:top w:val="single" w:color="000000" w:sz="4" w:space="0"/>
              <w:left w:val="nil"/>
              <w:bottom w:val="single" w:color="000000" w:sz="4" w:space="0"/>
              <w:right w:val="single" w:color="000000" w:sz="4" w:space="0"/>
            </w:tcBorders>
            <w:vAlign w:val="center"/>
          </w:tcPr>
          <w:p w14:paraId="501F8930">
            <w:pPr>
              <w:widowControl/>
              <w:snapToGrid w:val="0"/>
              <w:jc w:val="center"/>
              <w:textAlignment w:val="center"/>
              <w:rPr>
                <w:rFonts w:hint="eastAsia" w:ascii="宋体" w:hAnsi="宋体" w:cs="宋体"/>
                <w:b/>
                <w:color w:val="auto"/>
                <w:sz w:val="20"/>
                <w:szCs w:val="20"/>
                <w:highlight w:val="none"/>
              </w:rPr>
            </w:pPr>
            <w:r>
              <w:rPr>
                <w:rFonts w:hint="eastAsia" w:ascii="宋体" w:hAnsi="宋体" w:cs="宋体"/>
                <w:b/>
                <w:color w:val="auto"/>
                <w:kern w:val="0"/>
                <w:sz w:val="20"/>
                <w:szCs w:val="20"/>
                <w:highlight w:val="none"/>
                <w:lang w:bidi="ar"/>
              </w:rPr>
              <w:t>产品名称</w:t>
            </w:r>
          </w:p>
        </w:tc>
        <w:tc>
          <w:tcPr>
            <w:tcW w:w="6350" w:type="dxa"/>
            <w:tcBorders>
              <w:top w:val="single" w:color="000000" w:sz="4" w:space="0"/>
              <w:left w:val="single" w:color="000000" w:sz="4" w:space="0"/>
              <w:bottom w:val="single" w:color="000000" w:sz="4" w:space="0"/>
              <w:right w:val="single" w:color="000000" w:sz="4" w:space="0"/>
            </w:tcBorders>
            <w:vAlign w:val="center"/>
          </w:tcPr>
          <w:p w14:paraId="64DED6CB">
            <w:pPr>
              <w:widowControl/>
              <w:snapToGrid w:val="0"/>
              <w:jc w:val="center"/>
              <w:textAlignment w:val="center"/>
              <w:rPr>
                <w:rFonts w:hint="eastAsia" w:ascii="宋体" w:hAnsi="宋体" w:cs="宋体"/>
                <w:b/>
                <w:color w:val="auto"/>
                <w:sz w:val="20"/>
                <w:szCs w:val="20"/>
                <w:highlight w:val="none"/>
              </w:rPr>
            </w:pPr>
            <w:r>
              <w:rPr>
                <w:rFonts w:hint="eastAsia" w:ascii="宋体" w:hAnsi="宋体" w:cs="宋体"/>
                <w:b/>
                <w:color w:val="auto"/>
                <w:kern w:val="0"/>
                <w:sz w:val="20"/>
                <w:szCs w:val="20"/>
                <w:highlight w:val="none"/>
                <w:lang w:bidi="ar"/>
              </w:rPr>
              <w:t>产品参数</w:t>
            </w:r>
          </w:p>
        </w:tc>
        <w:tc>
          <w:tcPr>
            <w:tcW w:w="839" w:type="dxa"/>
            <w:tcBorders>
              <w:top w:val="single" w:color="000000" w:sz="4" w:space="0"/>
              <w:left w:val="single" w:color="000000" w:sz="4" w:space="0"/>
              <w:bottom w:val="single" w:color="000000" w:sz="4" w:space="0"/>
              <w:right w:val="single" w:color="000000" w:sz="4" w:space="0"/>
            </w:tcBorders>
            <w:vAlign w:val="center"/>
          </w:tcPr>
          <w:p w14:paraId="53E31A36">
            <w:pPr>
              <w:widowControl/>
              <w:snapToGrid w:val="0"/>
              <w:jc w:val="center"/>
              <w:textAlignment w:val="center"/>
              <w:rPr>
                <w:rFonts w:hint="eastAsia" w:ascii="宋体" w:hAnsi="宋体" w:cs="宋体"/>
                <w:b/>
                <w:color w:val="auto"/>
                <w:sz w:val="20"/>
                <w:szCs w:val="20"/>
                <w:highlight w:val="none"/>
              </w:rPr>
            </w:pPr>
            <w:r>
              <w:rPr>
                <w:rFonts w:hint="eastAsia" w:ascii="宋体" w:hAnsi="宋体" w:cs="宋体"/>
                <w:b/>
                <w:color w:val="auto"/>
                <w:kern w:val="0"/>
                <w:sz w:val="20"/>
                <w:szCs w:val="20"/>
                <w:highlight w:val="none"/>
                <w:lang w:bidi="ar"/>
              </w:rPr>
              <w:t>数量</w:t>
            </w:r>
          </w:p>
        </w:tc>
        <w:tc>
          <w:tcPr>
            <w:tcW w:w="839" w:type="dxa"/>
            <w:tcBorders>
              <w:top w:val="single" w:color="000000" w:sz="4" w:space="0"/>
              <w:left w:val="single" w:color="000000" w:sz="4" w:space="0"/>
              <w:bottom w:val="single" w:color="000000" w:sz="4" w:space="0"/>
              <w:right w:val="single" w:color="000000" w:sz="4" w:space="0"/>
            </w:tcBorders>
            <w:vAlign w:val="center"/>
          </w:tcPr>
          <w:p w14:paraId="4A717C1B">
            <w:pPr>
              <w:widowControl/>
              <w:snapToGrid w:val="0"/>
              <w:jc w:val="center"/>
              <w:textAlignment w:val="center"/>
              <w:rPr>
                <w:rFonts w:hint="eastAsia" w:ascii="宋体" w:hAnsi="宋体" w:cs="宋体"/>
                <w:b/>
                <w:color w:val="auto"/>
                <w:sz w:val="20"/>
                <w:szCs w:val="20"/>
                <w:highlight w:val="none"/>
              </w:rPr>
            </w:pPr>
            <w:r>
              <w:rPr>
                <w:rFonts w:hint="eastAsia" w:ascii="宋体" w:hAnsi="宋体" w:cs="宋体"/>
                <w:b/>
                <w:color w:val="auto"/>
                <w:kern w:val="0"/>
                <w:sz w:val="20"/>
                <w:szCs w:val="20"/>
                <w:highlight w:val="none"/>
                <w:lang w:bidi="ar"/>
              </w:rPr>
              <w:t>单位</w:t>
            </w:r>
          </w:p>
        </w:tc>
      </w:tr>
      <w:tr w14:paraId="6ED55B71">
        <w:tblPrEx>
          <w:tblCellMar>
            <w:top w:w="0" w:type="dxa"/>
            <w:left w:w="108" w:type="dxa"/>
            <w:bottom w:w="0" w:type="dxa"/>
            <w:right w:w="108" w:type="dxa"/>
          </w:tblCellMar>
        </w:tblPrEx>
        <w:trPr>
          <w:trHeight w:val="312" w:hRule="atLeast"/>
          <w:jc w:val="center"/>
        </w:trPr>
        <w:tc>
          <w:tcPr>
            <w:tcW w:w="839" w:type="dxa"/>
            <w:vMerge w:val="restart"/>
            <w:tcBorders>
              <w:top w:val="single" w:color="000000" w:sz="4" w:space="0"/>
              <w:left w:val="single" w:color="000000" w:sz="4" w:space="0"/>
              <w:bottom w:val="single" w:color="000000" w:sz="4" w:space="0"/>
              <w:right w:val="single" w:color="000000" w:sz="4" w:space="0"/>
            </w:tcBorders>
            <w:vAlign w:val="center"/>
          </w:tcPr>
          <w:p w14:paraId="35121AC4">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w:t>
            </w:r>
          </w:p>
        </w:tc>
        <w:tc>
          <w:tcPr>
            <w:tcW w:w="0" w:type="auto"/>
            <w:vMerge w:val="restart"/>
            <w:tcBorders>
              <w:top w:val="single" w:color="000000" w:sz="4" w:space="0"/>
              <w:left w:val="nil"/>
              <w:bottom w:val="single" w:color="000000" w:sz="4" w:space="0"/>
              <w:right w:val="single" w:color="000000" w:sz="4" w:space="0"/>
            </w:tcBorders>
            <w:vAlign w:val="center"/>
          </w:tcPr>
          <w:p w14:paraId="1299A7C0">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育种加速仓</w:t>
            </w:r>
          </w:p>
        </w:tc>
        <w:tc>
          <w:tcPr>
            <w:tcW w:w="6350" w:type="dxa"/>
            <w:vMerge w:val="restart"/>
            <w:tcBorders>
              <w:top w:val="single" w:color="000000" w:sz="4" w:space="0"/>
              <w:left w:val="single" w:color="000000" w:sz="4" w:space="0"/>
              <w:bottom w:val="single" w:color="000000" w:sz="4" w:space="0"/>
              <w:right w:val="single" w:color="000000" w:sz="4" w:space="0"/>
            </w:tcBorders>
            <w:vAlign w:val="center"/>
          </w:tcPr>
          <w:p w14:paraId="2BC51C5C">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设施农业设备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功能参数要求：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箱体工艺及结构要求：外箱表面静电喷塑，箱体中间隔热采用环戊烷硬质聚氨酯发泡材质，保温性能好；内胆采用镜面不锈钢材质，四周大圆角，以防实验中金属锋利受伤。内置6mm厚度全景式钢化玻璃内门，可在不打开内门情况下对培养箱内的实验样本全景观察，减少开门导致的箱体内温、湿度变化对实验样本的影响，方便观察实验情况；当玻璃门开启时，箱体内风机智能联动停止运行，减少开门对箱体内温度造成的影响。</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交互系统要求：≥7寸全彩全视角液晶触摸显示屏，屏幕分辨率≥1024*600，支持多点触摸。界面同屏显示：循环次数，当前时段，总剩余时间，距下一时段，程序详情，报警提醒，温度，湿度，光照，风速；控制界面：开锁，报警声，灭菌等操作。</w:t>
            </w:r>
            <w:r>
              <w:rPr>
                <w:rFonts w:ascii="宋体" w:hAnsi="宋体" w:cs="宋体"/>
                <w:color w:val="auto"/>
                <w:kern w:val="0"/>
                <w:sz w:val="20"/>
                <w:szCs w:val="20"/>
                <w:highlight w:val="none"/>
                <w:lang w:bidi="ar"/>
              </w:rPr>
              <w:t>（提供产品说明书加盖供应商公章）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设置控制要求：用户可以在显示屏上设置程序名称、循环次数、时段数量、每个时段温度值、湿度值、光照值、时段时长、新建实验程序、增加程序、填写操作员信息、实验类型、备注信息、程序界面锁定、锁定密码、报警上下限值、修改当前运行时段的时间的移时设置、电磁锁启用、灭菌等操作。</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网架支撑系统与光照系统：（1）可根据植物在不同阶段的生长高度，可任意调整网架（抽拉式结构）及LED灯板的高度（采用防水快接头设计）；（2）可实现光照强度0~70,000lux，0~100%无级调节，满足高光照植物或植物全生育期培养、植物快速育种需求，适用于多种应用场景。程序及时段要求：可自动预设和存储30个不同实验程序；每个程序时段可设1～99段，每段程序时间段：1小时00分钟～99小时59分钟，循环次数：1～99或者无限循环。</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5.化霜功能要求：热气旁通化霜方式，按需化霜，避免化霜过程对箱体内温度造成影响。</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6.电磁锁功能要求：标配电磁锁设计，用户可以根据需求设置密码，输入密码后才打开培养箱外门，满足保护实验样本需求。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7.背出风系统：采用箱体背部大面积矩阵网孔出风结构设计，以实现可水平气流的平稳前送，出风柔和均匀，确保箱体内部温度、湿度、风速均匀分布，保证实验样本放置的层与层之间的温湿度保持一致。</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8.屏幕锁功能要求：标配屏幕锁设计，用户可以将屏幕锁定，输入密码后才可以操作屏幕，防止其他人操作仪器，影响用户实验。</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9.箱体灭菌功能要求：箱体内集成了紫外线灭菌线灯，可对箱体进行杀菌消毒，灭菌时间可通过屏幕设置进行选择自动进行，时间到时后灭菌完成；</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10.★‌内置一体化加湿结构，采用‌内循环通路设计，有效‌减少需水量和整机功耗。‌内置304不锈钢水箱，‌外接自动供水装置或≥20L专用储水箱，实现自动化补水与长时间连续运行。‌‌超声加湿头防水标准：≥IP68。（提供产品说明书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内部循环风系统设计，集成风速调控功能，通过直观的‌触摸屏界面或远程web平台，用户便捷设置并实时显示箱内循环风的风速值。‌支持风速的分档调节，支持不同程序段分别设定不同的风速值。‌客户可根据植物不同生长阶段调整风速。（提供产品说明书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12.箱体自带新风系统，可‌实现内外气体的持续性对流交换。用户可手动打开或关闭新风口，并可通过旋转机械结构调节进出风口大小来调节新风换气量，‌以满足植物生长需求。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13.网架支撑系统与光照系统，可根据植物在不同阶段的生长高度，可任意调整网架（抽拉式结构）及LED灯板的高度（采用防水快接头设计），适用于多种实验应用场景。</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14.安全保护要求：电源采用了空气开关，确保设备发生短路或者严重过载时切断故障电路，确保设备安全，加热器采用硅胶防水样式；具有软、硬件高温保护功能，高温时自动切断加热丝加热，保护设备和实验样本安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15.异常报警功能要求：超温和超湿报警、传感器异常报警、开门未关报警等，通过设备发出声光报警信号，也可通过平台或者手机远程查看报警信息，报警信息可以实时推送到微信公众号，避免错失报警信息；</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16.掉电记忆功能要求：设备出现异常断电后再次通电，可自动恢复上次运行程序，避免意外情况导致的实验异常；</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17.历史报警记录展示要求：可查看培养箱运行过程产生的报警记录，报警记录可以根据选择时间段进行查看。</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18.实时显示参数要求：同一屏幕显示多种设置及运行参数，包括：循环次数、当前时段、总剩余时间、距下一时段时间、程序详情、报警提醒、温度、湿度、光照的设定值、当前值以及当前箱体工作状态（制冷、加热、加湿、除湿、光照级别等）显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19.历史数据展示要求：有数据列表展示及温湿度实时曲线展示模式，用户可在此界面中查看、删除、导出实验数据记录，也可选择时间段查询。用户可在此界面中查看温度设定值、温度实时值、湿度设定值、湿度实时值的曲线图，可快速掌握实验数据趋势变化。可PC的Web端、微信等多平台实时查看运行情况以及历史数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20.实验数据管理要求：每次实验均会自动生成实验号（含实验程序设置情况、操作员信息、实验类型、备注信息等），可生成的唯一二维码，通过实验号可以查看对应的实验数据并可微信实验绑定，实时查看实验数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21.数据查看及导出要求：以上数据均可由U盘从设备中导出；可通过微信查看数据：培养箱程序运行时，可通过微信扫描二维码实时获取实验运行数据。可进行分析和溯源。</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22.★光照系统要求：采用≥两层顶置光源照明方式，向光性植物长势更均匀。全光谱灯板照明光源，内置四色LED光源，波段包含白光400-700nm、红光波长660nm、蓝光波长450nm、红外光波长730nm，可独立调节每种颜色LED光源的光强，获得不同的光谱组合（≥1000种）；满足植物不同阶段对光的需求。光照强度支持无极调光。</w:t>
            </w:r>
            <w:r>
              <w:rPr>
                <w:rFonts w:ascii="宋体" w:hAnsi="宋体" w:cs="宋体"/>
                <w:color w:val="auto"/>
                <w:kern w:val="0"/>
                <w:sz w:val="20"/>
                <w:szCs w:val="20"/>
                <w:highlight w:val="none"/>
                <w:lang w:bidi="ar"/>
              </w:rPr>
              <w:t>（提供产品说明书加盖供应商公章）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23.远程控制设备要求：带管理云平台，无论身在何处，可随时随地通过登录PC端、Web端、手机微信端实时查看设备运行情况，并根据需要进行远程控制设备的运行操作，操作包括：对设备远程开启程序运行、对运行中的程序进行停止、时段切换、移时等操作，远程新建、编辑、删除实验程序，平台端的实验程序与设备端会自动同步，实现对设备的远程控制。异常信息可推送至手机微信及时提醒，保证实验的顺利进行；软件支持远程在线升级；</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24.OTA自动升级功能要求：利用有线网络、Wi-Fi等通信技术，实现设备自动从远程服务器获取和更新应用。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25.★手机App种子发芽率自动识别功能要求：可通过图像识别，专用培养装置内直接分析种子数量、发芽数，并对发芽情况进行精准标记，可与气象、墒情数据在同平台上查看。</w:t>
            </w:r>
            <w:r>
              <w:rPr>
                <w:rFonts w:ascii="宋体" w:hAnsi="宋体" w:cs="宋体"/>
                <w:color w:val="auto"/>
                <w:kern w:val="0"/>
                <w:sz w:val="20"/>
                <w:szCs w:val="20"/>
                <w:highlight w:val="none"/>
                <w:lang w:bidi="ar"/>
              </w:rPr>
              <w:t>（提供产品说明书加盖供应商公章）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技术参数要求：1.箱体容积：≥1000L；2.控温范围：0～65℃；3.温度分辨率：0.1℃；4.温度波动度：±0.3℃(箱体运行温度25.0℃湿度50%RH时测试数据)；5.控湿范围：50～95%RH；6.湿度偏差：±3%RH（箱体运行温度25.0℃湿度50%RH时测试数据）；7.光照范围：0-70,000lx（距灯板15CM垂直距离）；8.光照等级：0～100%；9.灭菌方式：紫外线灭菌；10.外部接口：CO₂进气口*1个；USB接口*1个；新风口*2个；网线接口*1个；11.工作方式：连续运行（压缩机间歇工作）；12.电源：AC220V/50Hz，16A。</w:t>
            </w:r>
          </w:p>
        </w:tc>
        <w:tc>
          <w:tcPr>
            <w:tcW w:w="839" w:type="dxa"/>
            <w:vMerge w:val="restart"/>
            <w:tcBorders>
              <w:top w:val="single" w:color="000000" w:sz="4" w:space="0"/>
              <w:left w:val="single" w:color="000000" w:sz="4" w:space="0"/>
              <w:bottom w:val="single" w:color="000000" w:sz="4" w:space="0"/>
              <w:right w:val="single" w:color="000000" w:sz="4" w:space="0"/>
            </w:tcBorders>
            <w:vAlign w:val="center"/>
          </w:tcPr>
          <w:p w14:paraId="43DDC452">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vMerge w:val="restart"/>
            <w:tcBorders>
              <w:top w:val="single" w:color="000000" w:sz="4" w:space="0"/>
              <w:left w:val="single" w:color="000000" w:sz="4" w:space="0"/>
              <w:bottom w:val="single" w:color="000000" w:sz="4" w:space="0"/>
              <w:right w:val="single" w:color="000000" w:sz="4" w:space="0"/>
            </w:tcBorders>
            <w:vAlign w:val="center"/>
          </w:tcPr>
          <w:p w14:paraId="2DC161E5">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16FC45D2">
        <w:tblPrEx>
          <w:tblCellMar>
            <w:top w:w="0" w:type="dxa"/>
            <w:left w:w="108" w:type="dxa"/>
            <w:bottom w:w="0" w:type="dxa"/>
            <w:right w:w="108" w:type="dxa"/>
          </w:tblCellMar>
        </w:tblPrEx>
        <w:trPr>
          <w:trHeight w:val="312" w:hRule="atLeast"/>
          <w:jc w:val="center"/>
        </w:trPr>
        <w:tc>
          <w:tcPr>
            <w:tcW w:w="839" w:type="dxa"/>
            <w:vMerge w:val="continue"/>
            <w:tcBorders>
              <w:top w:val="single" w:color="000000" w:sz="4" w:space="0"/>
              <w:left w:val="single" w:color="000000" w:sz="4" w:space="0"/>
              <w:bottom w:val="single" w:color="000000" w:sz="4" w:space="0"/>
              <w:right w:val="single" w:color="000000" w:sz="4" w:space="0"/>
            </w:tcBorders>
            <w:vAlign w:val="center"/>
          </w:tcPr>
          <w:p w14:paraId="0A21E24F">
            <w:pPr>
              <w:snapToGrid w:val="0"/>
              <w:jc w:val="center"/>
              <w:rPr>
                <w:rFonts w:hint="eastAsia" w:ascii="宋体" w:hAnsi="宋体" w:cs="宋体"/>
                <w:color w:val="auto"/>
                <w:sz w:val="20"/>
                <w:szCs w:val="20"/>
                <w:highlight w:val="none"/>
              </w:rPr>
            </w:pPr>
          </w:p>
        </w:tc>
        <w:tc>
          <w:tcPr>
            <w:tcW w:w="0" w:type="auto"/>
            <w:vMerge w:val="continue"/>
            <w:tcBorders>
              <w:top w:val="single" w:color="000000" w:sz="4" w:space="0"/>
              <w:left w:val="nil"/>
              <w:bottom w:val="single" w:color="000000" w:sz="4" w:space="0"/>
              <w:right w:val="single" w:color="000000" w:sz="4" w:space="0"/>
            </w:tcBorders>
            <w:vAlign w:val="center"/>
          </w:tcPr>
          <w:p w14:paraId="50F3A5AC">
            <w:pPr>
              <w:snapToGrid w:val="0"/>
              <w:jc w:val="center"/>
              <w:rPr>
                <w:rFonts w:hint="eastAsia" w:ascii="宋体" w:hAnsi="宋体" w:cs="宋体"/>
                <w:color w:val="auto"/>
                <w:sz w:val="20"/>
                <w:szCs w:val="20"/>
                <w:highlight w:val="none"/>
              </w:rPr>
            </w:pPr>
          </w:p>
        </w:tc>
        <w:tc>
          <w:tcPr>
            <w:tcW w:w="6350" w:type="dxa"/>
            <w:vMerge w:val="continue"/>
            <w:tcBorders>
              <w:top w:val="single" w:color="000000" w:sz="4" w:space="0"/>
              <w:left w:val="single" w:color="000000" w:sz="4" w:space="0"/>
              <w:bottom w:val="single" w:color="000000" w:sz="4" w:space="0"/>
              <w:right w:val="single" w:color="000000" w:sz="4" w:space="0"/>
            </w:tcBorders>
            <w:vAlign w:val="center"/>
          </w:tcPr>
          <w:p w14:paraId="2E27A16F">
            <w:pPr>
              <w:snapToGrid w:val="0"/>
              <w:jc w:val="left"/>
              <w:rPr>
                <w:rFonts w:hint="eastAsia" w:ascii="宋体" w:hAnsi="宋体" w:cs="宋体"/>
                <w:color w:val="auto"/>
                <w:sz w:val="20"/>
                <w:szCs w:val="20"/>
                <w:highlight w:val="none"/>
              </w:rPr>
            </w:pPr>
          </w:p>
        </w:tc>
        <w:tc>
          <w:tcPr>
            <w:tcW w:w="839" w:type="dxa"/>
            <w:vMerge w:val="continue"/>
            <w:tcBorders>
              <w:top w:val="single" w:color="000000" w:sz="4" w:space="0"/>
              <w:left w:val="single" w:color="000000" w:sz="4" w:space="0"/>
              <w:bottom w:val="single" w:color="000000" w:sz="4" w:space="0"/>
              <w:right w:val="single" w:color="000000" w:sz="4" w:space="0"/>
            </w:tcBorders>
            <w:vAlign w:val="center"/>
          </w:tcPr>
          <w:p w14:paraId="4168F305">
            <w:pPr>
              <w:snapToGrid w:val="0"/>
              <w:jc w:val="center"/>
              <w:rPr>
                <w:rFonts w:hint="eastAsia" w:ascii="宋体" w:hAnsi="宋体" w:cs="宋体"/>
                <w:color w:val="auto"/>
                <w:sz w:val="20"/>
                <w:szCs w:val="20"/>
                <w:highlight w:val="none"/>
              </w:rPr>
            </w:pPr>
          </w:p>
        </w:tc>
        <w:tc>
          <w:tcPr>
            <w:tcW w:w="839" w:type="dxa"/>
            <w:vMerge w:val="continue"/>
            <w:tcBorders>
              <w:top w:val="single" w:color="000000" w:sz="4" w:space="0"/>
              <w:left w:val="single" w:color="000000" w:sz="4" w:space="0"/>
              <w:bottom w:val="single" w:color="000000" w:sz="4" w:space="0"/>
              <w:right w:val="single" w:color="000000" w:sz="4" w:space="0"/>
            </w:tcBorders>
            <w:vAlign w:val="center"/>
          </w:tcPr>
          <w:p w14:paraId="723FDC88">
            <w:pPr>
              <w:snapToGrid w:val="0"/>
              <w:jc w:val="center"/>
              <w:rPr>
                <w:rFonts w:hint="eastAsia" w:ascii="宋体" w:hAnsi="宋体" w:cs="宋体"/>
                <w:color w:val="auto"/>
                <w:sz w:val="20"/>
                <w:szCs w:val="20"/>
                <w:highlight w:val="none"/>
              </w:rPr>
            </w:pPr>
          </w:p>
        </w:tc>
      </w:tr>
      <w:tr w14:paraId="53898F52">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670F38DE">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2</w:t>
            </w:r>
          </w:p>
        </w:tc>
        <w:tc>
          <w:tcPr>
            <w:tcW w:w="0" w:type="auto"/>
            <w:tcBorders>
              <w:top w:val="single" w:color="000000" w:sz="4" w:space="0"/>
              <w:left w:val="nil"/>
              <w:bottom w:val="single" w:color="000000" w:sz="4" w:space="0"/>
              <w:right w:val="single" w:color="000000" w:sz="4" w:space="0"/>
            </w:tcBorders>
            <w:vAlign w:val="center"/>
          </w:tcPr>
          <w:p w14:paraId="4E058399">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谷物水分仪</w:t>
            </w:r>
          </w:p>
        </w:tc>
        <w:tc>
          <w:tcPr>
            <w:tcW w:w="6350" w:type="dxa"/>
            <w:tcBorders>
              <w:top w:val="single" w:color="000000" w:sz="4" w:space="0"/>
              <w:left w:val="single" w:color="000000" w:sz="4" w:space="0"/>
              <w:bottom w:val="single" w:color="000000" w:sz="4" w:space="0"/>
              <w:right w:val="single" w:color="000000" w:sz="4" w:space="0"/>
            </w:tcBorders>
            <w:vAlign w:val="center"/>
          </w:tcPr>
          <w:p w14:paraId="44967473">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其他分析仪器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1.自动称重；自动温度补偿；自动测量水分；自动关机。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2.空机修正水分；最新补偿模式；交直流两用。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3.用户可自行定标和修正误差。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 xml:space="preserve">技术参数： </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测量对象：稻谷、大豆、小麦、油菜籽、玉米、大麦等非金属颗粒状物质。2.测量误差：≤±0.5％（主要水分范围）。3.重复误差：≤0.2％。4.测量范围：3~35％。5.测量时间：≤10s。6.取样方式：定重150g（特殊样品除外）过3分钟未操作，将自动关机。7.使用环境温度：0~40℃ 。8.温度补偿：自动。9.定标：浮动三点定标，品种不限。10.工作电源：5号干电池四节。</w:t>
            </w:r>
          </w:p>
        </w:tc>
        <w:tc>
          <w:tcPr>
            <w:tcW w:w="839" w:type="dxa"/>
            <w:tcBorders>
              <w:top w:val="single" w:color="000000" w:sz="4" w:space="0"/>
              <w:left w:val="single" w:color="000000" w:sz="4" w:space="0"/>
              <w:bottom w:val="single" w:color="000000" w:sz="4" w:space="0"/>
              <w:right w:val="single" w:color="000000" w:sz="4" w:space="0"/>
            </w:tcBorders>
            <w:vAlign w:val="center"/>
          </w:tcPr>
          <w:p w14:paraId="5AFE40E2">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670C0786">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1CCBE9F4">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5F4C2F5A">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3</w:t>
            </w:r>
          </w:p>
        </w:tc>
        <w:tc>
          <w:tcPr>
            <w:tcW w:w="0" w:type="auto"/>
            <w:tcBorders>
              <w:top w:val="single" w:color="000000" w:sz="4" w:space="0"/>
              <w:left w:val="nil"/>
              <w:bottom w:val="single" w:color="000000" w:sz="4" w:space="0"/>
              <w:right w:val="single" w:color="000000" w:sz="4" w:space="0"/>
            </w:tcBorders>
            <w:vAlign w:val="center"/>
          </w:tcPr>
          <w:p w14:paraId="08C1857C">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电子自动数粒仪</w:t>
            </w:r>
          </w:p>
        </w:tc>
        <w:tc>
          <w:tcPr>
            <w:tcW w:w="6350" w:type="dxa"/>
            <w:tcBorders>
              <w:top w:val="single" w:color="000000" w:sz="4" w:space="0"/>
              <w:left w:val="single" w:color="000000" w:sz="4" w:space="0"/>
              <w:bottom w:val="single" w:color="000000" w:sz="4" w:space="0"/>
              <w:right w:val="single" w:color="000000" w:sz="4" w:space="0"/>
            </w:tcBorders>
            <w:vAlign w:val="center"/>
          </w:tcPr>
          <w:p w14:paraId="032AAE35">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其他分析仪器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一、功能要求：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不小于7寸的彩色触摸屏，智能化动感画面，可通过触摸屏进行调控。2.★显示屏可直观窗口实时信息展示：品种名称、设定粒数值、当前数粒数、计数模式、灵敏度、数粒时间、日期、北京时间、仪器工作状态等数字和图形信息。（提供产品说明书加盖供应商公章）</w:t>
            </w:r>
          </w:p>
          <w:p w14:paraId="1769D7A9">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3.预值数粒、计数自停：预值设置数值，当数粒达到所设粒数时，数粒仪自动停止数粒。</w:t>
            </w:r>
          </w:p>
          <w:p w14:paraId="52832EE9">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4.关联程序设置：品种类型和灵敏度、速度、减速粒数相关联，方便进行参数设置。</w:t>
            </w:r>
          </w:p>
          <w:p w14:paraId="0DAB7A30">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5.内置不小于6类种子类型（大粒长种子、大粒圆种子、中粒长种子、中粒圆种子、小粒长种子、小粒圆种子）。</w:t>
            </w:r>
          </w:p>
          <w:p w14:paraId="067B393D">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6.具备灵敏度调节功能：可根据种子类型选择并设置相应的灵敏度、速度和减速粒数，实现只对所选量级的颗粒计数，避免杂质等干扰，使数粒更精准。</w:t>
            </w:r>
          </w:p>
          <w:p w14:paraId="404F9CAC">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7.速度可调：具有无极调速功能，数粒速度快慢可调，数粒过程中也可随时无级调速。</w:t>
            </w:r>
          </w:p>
          <w:p w14:paraId="493A3F36">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8.模式切换功能：具有速度优先和精度优先可选功能。速度优先（数粒速度更快）和精度优先（数粒数量更精准）两种模式可进行自由切换，满足客户不同需求。</w:t>
            </w:r>
          </w:p>
          <w:p w14:paraId="5A97D474">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9.保护设置功能：产品可进行保护设置，自动检测无种子5min后，振动盘将保护性停止工作。</w:t>
            </w:r>
          </w:p>
          <w:p w14:paraId="0DBE5E2E">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10.内置减速程序：在接近设定种子数量后会自动进行减速精数，防止物料惯性过冲，影响精度。</w:t>
            </w:r>
          </w:p>
          <w:p w14:paraId="5B2FBDBC">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11.蜂鸣报警：增加蜂鸣器声光报警，在数粒完成、设置错误、故障、保护性停止工作时都会有报警声音，增强用户的体验感和使用感。</w:t>
            </w:r>
          </w:p>
          <w:p w14:paraId="518EC9E2">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12.数据存储：主机可存储不小于10万条数据，并可导出至U盘中。</w:t>
            </w:r>
          </w:p>
          <w:p w14:paraId="6DE3D537">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13.数据管理和查询：用户所测数据可进行自动记录和保存（品种名称、测量粒数、测试时间等），方便对数据进行管理；可实时查询历史数据，输入开始和起止时间可进行数据搜索、查询。</w:t>
            </w:r>
          </w:p>
          <w:p w14:paraId="58779152">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14.蜂鸣报警：增加蜂鸣器声光报警，在数粒完成、设置错误、故障、保护性停止工作时都会有报警声音。</w:t>
            </w:r>
          </w:p>
          <w:p w14:paraId="7E0ED7D1">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15.数据导出：支持U盘对数据进行Excel导出,数据可上传至仪器云平台，可通过USB口在线进行内部程序升级。</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二、技术指标要求：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1.颗粒适用范围长度：1-23mm。2.计数误差：±2‰。3.计数速度：≥1000粒/3分钟（以芝麻为例）。4.震动噪音：≤80dB。5.计数容量：1～99999粒。6.连续工作时间：≥8小时。</w:t>
            </w:r>
          </w:p>
        </w:tc>
        <w:tc>
          <w:tcPr>
            <w:tcW w:w="839" w:type="dxa"/>
            <w:tcBorders>
              <w:top w:val="single" w:color="000000" w:sz="4" w:space="0"/>
              <w:left w:val="single" w:color="000000" w:sz="4" w:space="0"/>
              <w:bottom w:val="single" w:color="000000" w:sz="4" w:space="0"/>
              <w:right w:val="single" w:color="000000" w:sz="4" w:space="0"/>
            </w:tcBorders>
            <w:vAlign w:val="center"/>
          </w:tcPr>
          <w:p w14:paraId="1A7A75BF">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2 </w:t>
            </w:r>
          </w:p>
        </w:tc>
        <w:tc>
          <w:tcPr>
            <w:tcW w:w="839" w:type="dxa"/>
            <w:tcBorders>
              <w:top w:val="single" w:color="000000" w:sz="4" w:space="0"/>
              <w:left w:val="single" w:color="000000" w:sz="4" w:space="0"/>
              <w:bottom w:val="single" w:color="000000" w:sz="4" w:space="0"/>
              <w:right w:val="single" w:color="000000" w:sz="4" w:space="0"/>
            </w:tcBorders>
            <w:vAlign w:val="center"/>
          </w:tcPr>
          <w:p w14:paraId="6703EDEF">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54D65005">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55DB0058">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4</w:t>
            </w:r>
          </w:p>
        </w:tc>
        <w:tc>
          <w:tcPr>
            <w:tcW w:w="0" w:type="auto"/>
            <w:tcBorders>
              <w:top w:val="single" w:color="000000" w:sz="4" w:space="0"/>
              <w:left w:val="nil"/>
              <w:bottom w:val="single" w:color="000000" w:sz="4" w:space="0"/>
              <w:right w:val="single" w:color="000000" w:sz="4" w:space="0"/>
            </w:tcBorders>
            <w:vAlign w:val="center"/>
          </w:tcPr>
          <w:p w14:paraId="4DA90D7B">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数据采集仪</w:t>
            </w:r>
          </w:p>
        </w:tc>
        <w:tc>
          <w:tcPr>
            <w:tcW w:w="6350" w:type="dxa"/>
            <w:tcBorders>
              <w:top w:val="single" w:color="000000" w:sz="4" w:space="0"/>
              <w:left w:val="single" w:color="000000" w:sz="4" w:space="0"/>
              <w:bottom w:val="single" w:color="000000" w:sz="4" w:space="0"/>
              <w:right w:val="single" w:color="000000" w:sz="4" w:space="0"/>
            </w:tcBorders>
            <w:vAlign w:val="center"/>
          </w:tcPr>
          <w:p w14:paraId="6976F588">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设施农业设备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功能要求：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1.作物表型数据采集仪主要用于测量作物植株表型性状数据，包含角度测量、长度测量、粗度测量、叶面积测量等功能。</w:t>
            </w:r>
          </w:p>
          <w:p w14:paraId="13B6580C">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2.超轻便设计：单人可操作使用。</w:t>
            </w:r>
          </w:p>
          <w:p w14:paraId="555C7E94">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3.多功能模式组合：长度、宽度、角度、粗度模式组合，功能强大。</w:t>
            </w:r>
          </w:p>
          <w:p w14:paraId="5870D2C6">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4.功能模式切换自如：7个功能模式可自由切换。</w:t>
            </w:r>
          </w:p>
          <w:p w14:paraId="7B52DC0E">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5.分批次分组测量：可根据种植小区行号分批次进行测量。</w:t>
            </w:r>
          </w:p>
          <w:p w14:paraId="34D0F508">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6.数据记录：自动记录测量数据，提高工作效率，测量精确度高。</w:t>
            </w:r>
          </w:p>
          <w:p w14:paraId="4F54F5C5">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7.数据导出：测量数据可通过U盘导出，无需再手工输入。</w:t>
            </w:r>
          </w:p>
          <w:p w14:paraId="09655372">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8.测量参数：叶（叶长、叶宽）；茎（茎长、节长、节粗）； 穗（雄穗长、果穗长、果穗粗、秃尖）；根（根长）；果实直径等。</w:t>
            </w:r>
          </w:p>
          <w:p w14:paraId="0F3EFDD4">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9.角度：茎叶夹角、雄穗分枝角度、果穗倾角、剑叶夹角等。</w:t>
            </w:r>
          </w:p>
          <w:p w14:paraId="7E9C7771">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10.面积：玉米、小麦、水稻等作物叶面积等。</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技术参数：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1.材质：ABS树脂。</w:t>
            </w:r>
          </w:p>
          <w:p w14:paraId="539F2A8D">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2.长度测量范围：0-120cm。</w:t>
            </w:r>
          </w:p>
          <w:p w14:paraId="1C3050D8">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3.角度测量范围：0°~±180°。</w:t>
            </w:r>
          </w:p>
          <w:p w14:paraId="049A3E59">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4.长度分辨率：0.01cm。</w:t>
            </w:r>
          </w:p>
          <w:p w14:paraId="2C568193">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5.长度精度：±0.5%。</w:t>
            </w:r>
          </w:p>
          <w:p w14:paraId="0DB5A272">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6.角度分辨率：0.01°。</w:t>
            </w:r>
          </w:p>
          <w:p w14:paraId="0C25B22E">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7.角度精度：±1°。8.响应时间：＜1s。</w:t>
            </w:r>
          </w:p>
          <w:p w14:paraId="1D313C1F">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9.储存空间：一次可存储200组数据。</w:t>
            </w:r>
          </w:p>
          <w:p w14:paraId="04DC2797">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10.供电方式：5v充电锂电池。</w:t>
            </w:r>
          </w:p>
          <w:p w14:paraId="0CE7736C">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11.续航时间：设备持续工作可以使用3-4小时。</w:t>
            </w:r>
          </w:p>
        </w:tc>
        <w:tc>
          <w:tcPr>
            <w:tcW w:w="839" w:type="dxa"/>
            <w:tcBorders>
              <w:top w:val="single" w:color="000000" w:sz="4" w:space="0"/>
              <w:left w:val="single" w:color="000000" w:sz="4" w:space="0"/>
              <w:bottom w:val="single" w:color="000000" w:sz="4" w:space="0"/>
              <w:right w:val="single" w:color="000000" w:sz="4" w:space="0"/>
            </w:tcBorders>
            <w:vAlign w:val="center"/>
          </w:tcPr>
          <w:p w14:paraId="2643A61E">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0C488300">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6B34AD3E">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3CC8B26C">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5</w:t>
            </w:r>
          </w:p>
        </w:tc>
        <w:tc>
          <w:tcPr>
            <w:tcW w:w="0" w:type="auto"/>
            <w:tcBorders>
              <w:top w:val="single" w:color="000000" w:sz="4" w:space="0"/>
              <w:left w:val="nil"/>
              <w:bottom w:val="single" w:color="000000" w:sz="4" w:space="0"/>
              <w:right w:val="single" w:color="000000" w:sz="4" w:space="0"/>
            </w:tcBorders>
            <w:vAlign w:val="center"/>
          </w:tcPr>
          <w:p w14:paraId="7A71B492">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显微镜</w:t>
            </w:r>
          </w:p>
        </w:tc>
        <w:tc>
          <w:tcPr>
            <w:tcW w:w="6350" w:type="dxa"/>
            <w:tcBorders>
              <w:top w:val="single" w:color="000000" w:sz="4" w:space="0"/>
              <w:left w:val="single" w:color="000000" w:sz="4" w:space="0"/>
              <w:bottom w:val="single" w:color="000000" w:sz="4" w:space="0"/>
              <w:right w:val="single" w:color="000000" w:sz="4" w:space="0"/>
            </w:tcBorders>
            <w:vAlign w:val="center"/>
          </w:tcPr>
          <w:p w14:paraId="77292EFC">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显微镜</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1.带IPS液晶显示屏，不小于7英寸</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2.放大倍数：最大2400X</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3.拍照：2.0M 1920×1080px</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4.支持FHD录像功能，分辨率不低于1920×1080</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5.支持数码放大功能，2X，可分20档位</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6.转换器：3孔外倾</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7.载物台：双层移动平台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8.自带充电电池，电池容量不低于2000mAh</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9.支持手机APP连接功能，可通过手机APP控制显微镜进行拍照、录像</w:t>
            </w:r>
          </w:p>
        </w:tc>
        <w:tc>
          <w:tcPr>
            <w:tcW w:w="839" w:type="dxa"/>
            <w:tcBorders>
              <w:top w:val="single" w:color="000000" w:sz="4" w:space="0"/>
              <w:left w:val="single" w:color="000000" w:sz="4" w:space="0"/>
              <w:bottom w:val="single" w:color="000000" w:sz="4" w:space="0"/>
              <w:right w:val="single" w:color="000000" w:sz="4" w:space="0"/>
            </w:tcBorders>
            <w:vAlign w:val="center"/>
          </w:tcPr>
          <w:p w14:paraId="01FC73C2">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4CF196D8">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48F76F8C">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nil"/>
              <w:right w:val="single" w:color="000000" w:sz="4" w:space="0"/>
            </w:tcBorders>
            <w:vAlign w:val="center"/>
          </w:tcPr>
          <w:p w14:paraId="5EE70D05">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6</w:t>
            </w:r>
          </w:p>
        </w:tc>
        <w:tc>
          <w:tcPr>
            <w:tcW w:w="0" w:type="auto"/>
            <w:tcBorders>
              <w:top w:val="single" w:color="000000" w:sz="4" w:space="0"/>
              <w:left w:val="nil"/>
              <w:bottom w:val="nil"/>
              <w:right w:val="single" w:color="000000" w:sz="4" w:space="0"/>
            </w:tcBorders>
            <w:vAlign w:val="center"/>
          </w:tcPr>
          <w:p w14:paraId="60EB6F6D">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除湿机</w:t>
            </w:r>
          </w:p>
        </w:tc>
        <w:tc>
          <w:tcPr>
            <w:tcW w:w="6350" w:type="dxa"/>
            <w:tcBorders>
              <w:top w:val="single" w:color="000000" w:sz="4" w:space="0"/>
              <w:left w:val="single" w:color="000000" w:sz="4" w:space="0"/>
              <w:bottom w:val="nil"/>
              <w:right w:val="single" w:color="000000" w:sz="4" w:space="0"/>
            </w:tcBorders>
            <w:vAlign w:val="center"/>
          </w:tcPr>
          <w:p w14:paraId="431E970B">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其他电气设备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1.除湿原理：压缩机式</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2.名义除湿量≥1.35kg</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3.操控方式：APP操控</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4.噪音≤49dB</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5.定时功能：支持定时功能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6.水箱容量：8L</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7.变频/定频：定频</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8.附带排水管：带排水管</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9.额定功率≤715W</w:t>
            </w:r>
          </w:p>
        </w:tc>
        <w:tc>
          <w:tcPr>
            <w:tcW w:w="839" w:type="dxa"/>
            <w:tcBorders>
              <w:top w:val="single" w:color="000000" w:sz="4" w:space="0"/>
              <w:left w:val="single" w:color="000000" w:sz="4" w:space="0"/>
              <w:bottom w:val="nil"/>
              <w:right w:val="single" w:color="000000" w:sz="4" w:space="0"/>
            </w:tcBorders>
            <w:vAlign w:val="center"/>
          </w:tcPr>
          <w:p w14:paraId="079550CC">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nil"/>
              <w:right w:val="single" w:color="000000" w:sz="4" w:space="0"/>
            </w:tcBorders>
            <w:vAlign w:val="center"/>
          </w:tcPr>
          <w:p w14:paraId="064966BF">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789FB789">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577F369C">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7</w:t>
            </w:r>
          </w:p>
        </w:tc>
        <w:tc>
          <w:tcPr>
            <w:tcW w:w="0" w:type="auto"/>
            <w:tcBorders>
              <w:top w:val="single" w:color="000000" w:sz="4" w:space="0"/>
              <w:left w:val="single" w:color="000000" w:sz="4" w:space="0"/>
              <w:bottom w:val="single" w:color="000000" w:sz="4" w:space="0"/>
              <w:right w:val="single" w:color="000000" w:sz="4" w:space="0"/>
            </w:tcBorders>
            <w:vAlign w:val="center"/>
          </w:tcPr>
          <w:p w14:paraId="465ED5F7">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大米外观品质检测仪</w:t>
            </w:r>
          </w:p>
        </w:tc>
        <w:tc>
          <w:tcPr>
            <w:tcW w:w="6350" w:type="dxa"/>
            <w:tcBorders>
              <w:top w:val="single" w:color="000000" w:sz="4" w:space="0"/>
              <w:left w:val="single" w:color="000000" w:sz="4" w:space="0"/>
              <w:bottom w:val="single" w:color="000000" w:sz="4" w:space="0"/>
              <w:right w:val="single" w:color="000000" w:sz="4" w:space="0"/>
            </w:tcBorders>
            <w:vAlign w:val="center"/>
          </w:tcPr>
          <w:p w14:paraId="3F432FA9">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收获后处理机械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可自动分析评价各类大米（籼米、粳米、糯米、丝苗米，特种米、有机米等），采用光学分辨率4800×9600dpi的双光源扫描仪，透扫幅面30cm×20cm，最小像素尺寸0.0053mm×0.0026mm，大米外观轮廓更清晰。可自动一次性测量分析30g以上大米样品；配备铺米器，可在扫描时更均匀的进行米粒的铺洒，以便得出更准确的分析结果。</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检测指标：可检测稻米的粒型，包括米粒的总数、千粒重、长度、宽度、长宽比、周长、面积、圆度、国标整精米数、纯整精米数、整精米率、大碎米数、小碎米数、碎米率、异品种粒、异品种率等指标（整精米率、碎米率指标测量误差≤±1.0%、重复性误差≤±0.25%）。</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可自动一次性测量分析30g以上大米样品的：垩白度、垩白粒率、垩白面积、碎米率及小碎米率、整精米数、整精米率、黄粒米、杂质量、异品种粒、不完善粒，及糯米的阴糯米粒数、阴糯米率、大米的裂纹率，糙米胚芽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4.单粒米分析：自动测量每粒的长度、宽度、长宽比、圆度、直径、周长、面积、垩白度、RGB等参数（长度测量误差≤±0.05mm，长宽比测量误差≤±0.05，重复性误差≤±0.02）。可大批量自动分析处理与输出结果；</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5.图像识别：采用图像成像和长形目标自动分割技术，采用灰度变换，自动阈值分割，区域标记等方法，对粳米、籼米、黄粒米、黑米、胚芽米、糯米等各种米粒进行米质、粒型等数据分析；</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6.一键分析：一键自动分析快速得出米质、粒型、整精米、碎米、垩白、不完善粒的数据分析结果。用户可根据自己需求分析黄米、黑米等其它米质。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7.★米粒转换：点击“转换”，然后点击对应样品颗粒，用户可以对整碎米、裂纹粒、黄米、胚芽米、阴糯米和黑米进行转换。（提供产品说明书加盖供应商公章）</w:t>
            </w:r>
          </w:p>
          <w:p w14:paraId="0F883273">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8.显示方式：支持对图片分析的参数颜色进行勾选设置，可用不同颜色方框显示出碎米、整精米、米粒编号和异常米等各种米质以及垩白区域和边缘，便于检测中的直观显示与区分，满足用户个性化需要。</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9.具有自动学习与识别特性，可自动分割粘连的大米、种粒，可做自动分类分析，还可对大米按要求进行排列、对比和筛选。</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10.可自动一次性测量分析30g以上黑米样品的黑色度、黑米率、整黑米率、碎米率及小碎米率，完全符合NY/T832-2004标准中的相关这几项的检测指标。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11.垩白调整：可通过整体和单粒手动调整实现对米粒的阈值修改，使垩白结果更准确。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12.图片名称修改：软件提供图片名称修改功能，可在分析界面进行图片名称修改，无需保存至电脑后再进行修改；</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13.区域选择分析：可对手工框定的目标区内米质进行粒型、整精米率、垩白度和垩白粒率等分析。</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14.手动修正功能：图像可放大、缩小和局部观察，可根据分析结果选择分割、合并、转换、删除、过滤杂质和调整碎米筛孔直径大小等修正项进行修正，垩白可根据实际米质进行阈值调节，分析结果更准确；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15.默认向导：系统提供黄米、黑米、糯米等米质类型的默认向导设置，可用“一键”向导完成大米的粒型检测、整精米率检测、垩白粒率和垩白度、黄米率等的检测。可以通过对扫描模式、杂质面积、筛孔直径、垩白参数等修改来添加或修改向导；</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16.添加文字：用于在大米图像上做标记符号，以便于筛选感兴趣大米；</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17.批量分析：可大批量自动分析处理与输出结果。图片分析结果可在当前图片下拉列表窗口查看，分析图片能任意切换查看；</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18.快捷键操作：使用键盘上某几个键的组合可以完成撤销、恢复、保存图片、放大缩小、数据导出的命令；</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19.图像保存与输出：可输出分析标记图像，以及按宽度、长度、面积等输出的排列分布图、对比图，可导出Excel表，并可对其他已经导出过数据的Excel文件上追加保存。</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20.数据打印：标配热敏打印机，可以打印大米的粒型、整精米率、垩白度和垩白粒率等数据，方便查看；</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21.软件加密：采用动态二维码+加密狗加密，登记具体使用单位的信息，防止加密狗丢失；</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22.具有样本条码、电子天平RS232数据软件接口。</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23.仪器有云平台支持，可将分析数据保存到云端随时随地查看。</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24.技术参数：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25.扫描仪：光学分辨率4800×9600dpi，透扫幅面30cm×20cm，最小像素尺寸0.0053mm×0.0026mm，一次扫描大米重量可达30g</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26.操作环境10℃~35℃/湿度20%~85%RH</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27.自动检测30克大米外观品质指标时间＜30s左右</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28.单次检测样品量：1～1200粒，推荐样品量约12g，可累加，最多连续检测9次</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29.长宽度测量误差：≤±0.05mm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30.整精米率误差：≤±1.0%</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31.垩白度：≤±1.0%</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32.黄粒米：重复性误差≤±0.5%</w:t>
            </w:r>
          </w:p>
        </w:tc>
        <w:tc>
          <w:tcPr>
            <w:tcW w:w="839" w:type="dxa"/>
            <w:tcBorders>
              <w:top w:val="single" w:color="000000" w:sz="4" w:space="0"/>
              <w:left w:val="single" w:color="000000" w:sz="4" w:space="0"/>
              <w:bottom w:val="single" w:color="000000" w:sz="4" w:space="0"/>
              <w:right w:val="single" w:color="000000" w:sz="4" w:space="0"/>
            </w:tcBorders>
            <w:vAlign w:val="center"/>
          </w:tcPr>
          <w:p w14:paraId="7704274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75632C19">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797E3513">
        <w:tblPrEx>
          <w:tblCellMar>
            <w:top w:w="0" w:type="dxa"/>
            <w:left w:w="108" w:type="dxa"/>
            <w:bottom w:w="0" w:type="dxa"/>
            <w:right w:w="108" w:type="dxa"/>
          </w:tblCellMar>
        </w:tblPrEx>
        <w:trPr>
          <w:jc w:val="center"/>
        </w:trPr>
        <w:tc>
          <w:tcPr>
            <w:tcW w:w="839" w:type="dxa"/>
            <w:tcBorders>
              <w:top w:val="nil"/>
              <w:left w:val="single" w:color="000000" w:sz="4" w:space="0"/>
              <w:bottom w:val="single" w:color="000000" w:sz="4" w:space="0"/>
              <w:right w:val="single" w:color="000000" w:sz="4" w:space="0"/>
            </w:tcBorders>
            <w:vAlign w:val="center"/>
          </w:tcPr>
          <w:p w14:paraId="2250F7BC">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8</w:t>
            </w:r>
          </w:p>
        </w:tc>
        <w:tc>
          <w:tcPr>
            <w:tcW w:w="0" w:type="auto"/>
            <w:tcBorders>
              <w:top w:val="nil"/>
              <w:left w:val="nil"/>
              <w:bottom w:val="single" w:color="000000" w:sz="4" w:space="0"/>
              <w:right w:val="single" w:color="000000" w:sz="4" w:space="0"/>
            </w:tcBorders>
            <w:vAlign w:val="center"/>
          </w:tcPr>
          <w:p w14:paraId="173CAF9B">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考种脱粒机</w:t>
            </w:r>
          </w:p>
        </w:tc>
        <w:tc>
          <w:tcPr>
            <w:tcW w:w="6350" w:type="dxa"/>
            <w:tcBorders>
              <w:top w:val="nil"/>
              <w:left w:val="single" w:color="000000" w:sz="4" w:space="0"/>
              <w:bottom w:val="single" w:color="000000" w:sz="4" w:space="0"/>
              <w:right w:val="single" w:color="000000" w:sz="4" w:space="0"/>
            </w:tcBorders>
            <w:vAlign w:val="center"/>
          </w:tcPr>
          <w:p w14:paraId="0E298BA7">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收获后处理机械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一、功能要求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 xml:space="preserve">1.用于稻麦谷物的单株和单穗脱粒。 </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2.可将1-6穗的谷物脱粒并清选和分离，可方便的将罩盖打开检查并清扫残余物，无清扫死角，完全保证无混杂。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3.要求设备外机耐腐蚀性</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4.提起分离筛板，可作为清选机使用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二、技术指标要求：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1.滚筒直径：≤175mm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2.滚筒转速：≥900rpm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3.配套动力：≥180ｗ、220V</w:t>
            </w:r>
          </w:p>
        </w:tc>
        <w:tc>
          <w:tcPr>
            <w:tcW w:w="839" w:type="dxa"/>
            <w:tcBorders>
              <w:top w:val="nil"/>
              <w:left w:val="single" w:color="000000" w:sz="4" w:space="0"/>
              <w:bottom w:val="single" w:color="000000" w:sz="4" w:space="0"/>
              <w:right w:val="single" w:color="000000" w:sz="4" w:space="0"/>
            </w:tcBorders>
            <w:vAlign w:val="center"/>
          </w:tcPr>
          <w:p w14:paraId="6ADF3DF0">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nil"/>
              <w:left w:val="single" w:color="000000" w:sz="4" w:space="0"/>
              <w:bottom w:val="single" w:color="000000" w:sz="4" w:space="0"/>
              <w:right w:val="single" w:color="000000" w:sz="4" w:space="0"/>
            </w:tcBorders>
            <w:vAlign w:val="center"/>
          </w:tcPr>
          <w:p w14:paraId="115809D7">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7372DF00">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79C70E0A">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9</w:t>
            </w:r>
          </w:p>
        </w:tc>
        <w:tc>
          <w:tcPr>
            <w:tcW w:w="0" w:type="auto"/>
            <w:tcBorders>
              <w:top w:val="single" w:color="000000" w:sz="4" w:space="0"/>
              <w:left w:val="nil"/>
              <w:bottom w:val="single" w:color="000000" w:sz="4" w:space="0"/>
              <w:right w:val="single" w:color="000000" w:sz="4" w:space="0"/>
            </w:tcBorders>
            <w:vAlign w:val="center"/>
          </w:tcPr>
          <w:p w14:paraId="6472847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智能考种分析系统</w:t>
            </w:r>
          </w:p>
        </w:tc>
        <w:tc>
          <w:tcPr>
            <w:tcW w:w="6350" w:type="dxa"/>
            <w:tcBorders>
              <w:top w:val="single" w:color="000000" w:sz="4" w:space="0"/>
              <w:left w:val="single" w:color="000000" w:sz="4" w:space="0"/>
              <w:bottom w:val="single" w:color="000000" w:sz="4" w:space="0"/>
              <w:right w:val="single" w:color="000000" w:sz="4" w:space="0"/>
            </w:tcBorders>
            <w:vAlign w:val="center"/>
          </w:tcPr>
          <w:p w14:paraId="1850227F">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多种原理分析仪</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一、功能要求：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可用于≥30种水稻、小麦、玉米、大豆、高粱、谷子、油菜，蔬菜、花卉等同粒型种子的粒型指标分析，可对每一粒籽粒分析计算，分析种子的详细结果：自动检测单粒种子的粒型参数（长、宽、长宽比、面积、周长）。可分析各类种子总结果：可测出所有种子的总粒数、千粒重/百粒重、粒色、平均值（长、宽、长宽比、面积、周长）、标准差，半自动检测容重、水分，并排序输出，并可输出种子大小排列对比图。</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2.玉米整穗分析要求：可自动计算出玉米果穗的穗长、穗粗、秃尖长、左右穗缘角、穗行角、平均行粒数、粒厚、截面穗行数、穗粗、轴粗，颜色以及其平均值。</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3.玉米截面分析功能要求：可测出各玉米截面上的粒长、粒宽、颜色（RGB具体数值表示）、粒高等参数，一次性最少可测15个截面。</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需配有黑玉米成像套件，可自动分析黑玉米果穗、截面、籽粒等；可自动测出黑玉米的穗长、穗粗、秃尖长、左右穗缘角、穗行角、平均行粒数、粒厚、截面穗行数、穗粗、轴粗，以及其平均值，可自动测出各黑玉米截面上的平均粒长、平均粒宽等参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水稻结实率分析要求：可通过图像识别技术，能精准显示种粒外接矩形，得出空粒数，实粒数，结实率百分比数据，并可直接标记空粒、实粒，显示各籽粒粒型数据（长、宽、长宽比、面积、周长），可预设水稻粳粒结实率模型和水稻籼粒结实率模型，并支持根据自己的品种重新学习建模。</w:t>
            </w:r>
            <w:r>
              <w:rPr>
                <w:rFonts w:ascii="宋体" w:hAnsi="宋体" w:cs="宋体"/>
                <w:color w:val="auto"/>
                <w:kern w:val="0"/>
                <w:sz w:val="20"/>
                <w:szCs w:val="20"/>
                <w:highlight w:val="none"/>
                <w:lang w:bidi="ar"/>
              </w:rPr>
              <w:t>（提供产品说明书加盖供应商公章）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豆荚表型分析要求：可用于测定≥5种毛豆、蚕豆、豌豆等作物的果身、果柄等表型指标，支持单次测量≥50个毛豆豆荚，可自动分析豆荚数量、豆荚粒数、豆荚重、果身长、果身粗、果身周长、果身面积、果身凸弧长、果身凹弧长、果身弦长、果身弦高、果身弯曲度、果身弯曲夹角、果柄长、果柄粗、果柄周长、果柄投影面积等参数；豆荚测量参数可导出，支持对豆荚测量端点、果柄、豆荚粒数等进行修正，适用于扫描仪或高拍仪获取的图片。</w:t>
            </w:r>
            <w:r>
              <w:rPr>
                <w:rFonts w:ascii="宋体" w:hAnsi="宋体" w:cs="宋体"/>
                <w:color w:val="auto"/>
                <w:kern w:val="0"/>
                <w:sz w:val="20"/>
                <w:szCs w:val="20"/>
                <w:highlight w:val="none"/>
                <w:lang w:bidi="ar"/>
              </w:rPr>
              <w:t>（提供产品说明书加盖供应商公章）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瓜果表型分析要求：用于测量西瓜切面的瓜瓤、瓜皮等果形指标，可自动分析切面横径、切面纵径、果形指数、切面周长、切面面积、瓜皮厚度、瓜皮面积、瓜瓤面积、瓜瓤空洞面积、颜色以及瓜重等果形参数，软件支持圆形水果表型测定，也可支持定制其它园艺作物果实切面表型指标。常用于西瓜果实育种、西瓜关键基因定位、逆境胁迫、西瓜表型指标测定等领域。</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种子萌发和根系分析：用于种子活力、种子萌发率、种子品质性状研究、基因育种、基因定位等研究领域，可用于单次自动识别≥30粒黄豆、绿豆等种子发芽后的胚轴长（芽长）、根长、种子发芽率等参数，分析数据可通过Excel表格的形式导出，手动标定：软件支持通过手动标定的方式自动识别相机或手机拍摄的发芽图片并分析（黑背景），识别正确率＞98%，辅助修正：软件支持将粘连或识别错误的豆芽通过手动的方式修正。</w:t>
            </w:r>
            <w:r>
              <w:rPr>
                <w:rFonts w:ascii="宋体" w:hAnsi="宋体" w:cs="宋体"/>
                <w:color w:val="auto"/>
                <w:kern w:val="0"/>
                <w:sz w:val="20"/>
                <w:szCs w:val="20"/>
                <w:highlight w:val="none"/>
                <w:lang w:bidi="ar"/>
              </w:rPr>
              <w:t>（提供产品说明书加盖供应商公章）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9.硬件成像装置要求：A3幅面定制化发光扫描装置（最高分辨率1600dpi × 1600dpi、紫光M1彩色扫描仪、发光装置）；≥2200万像素高清A3幅面成像高拍仪，最大分辨率4896*3672，超薄的背光光源板，自然光与自带全新超高LED补光灯，超薄透明并带有自动标定功能的种子托盘，铺上种子后无阴影，使粒型计算精准，高拍仪内置高清摄像头，采用上下仰角可达45°，左右270°的广角设计，做到种子拍摄无死角，高拍仪自动校正，具有相机画面畸变、背光板均匀性的自动矫正特性，有效减小尺寸测量误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10.要求考种背光板和称重模块一体化，可直接对籽粒、果穗进行称重，重量数据通过接口传输，输入后自动换算成千/百粒重。</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可视化称重台及多用途显示台：称重台显示屏能够支持考种过程中对称量的种子重量进行直观感知，方便对称量种子粒数进行取舍。显示台既可以连接电脑直接读取种子重量，也可以单独作为天平使用（称重量程范围：0-5kg），称重台具有去皮、校准功能，能够减少测量误差，提高称量精度。</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▲12.功能区块分析功能要求：玉米/黑玉米果穗、截面、水稻结实率、豆荚表型、瓜果表型、种子萌发和根系分析等功能，可在同一软件上功能界面上直接切换模块分析。</w:t>
            </w:r>
            <w:r>
              <w:rPr>
                <w:rFonts w:ascii="宋体" w:hAnsi="宋体" w:cs="宋体"/>
                <w:color w:val="auto"/>
                <w:kern w:val="0"/>
                <w:sz w:val="20"/>
                <w:szCs w:val="20"/>
                <w:highlight w:val="none"/>
                <w:lang w:bidi="ar"/>
              </w:rPr>
              <w:t>（提供产品说明书加盖供应商公章）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13.可配套扫码装置使用，扫码后设备自动分析果穗数据，并可自定义选择穗型数据：长筒、短筒、长锥、短锥等；粒型数据：马齿型、偏马齿型、偏硬粒型、硬粒型等；轴色数据：红色、粉色、白色、紫色等；粒色数据：黄色、橙色、紫色、红色、白色、黑色、浅黄、花色等，其他数据可根据用户需求直接添加备注。</w:t>
            </w:r>
            <w:r>
              <w:rPr>
                <w:rFonts w:ascii="宋体" w:hAnsi="宋体" w:cs="宋体"/>
                <w:color w:val="auto"/>
                <w:kern w:val="0"/>
                <w:sz w:val="20"/>
                <w:szCs w:val="20"/>
                <w:highlight w:val="none"/>
                <w:lang w:bidi="ar"/>
              </w:rPr>
              <w:t>（提供产品说明书加盖供应商公章）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14.水分：通过水分测定仪，能得到谷物的水分含量，可将水分值输入系统中自动导出。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▲15.配套移动计数APP，可通过移动端计数，保存，查看历史数据，包含作物名称，品种信息，种子数量，测量时间等。可自定义新增作物名称，单个/批量品种添加，一键式选择通用/辅助算法。</w:t>
            </w:r>
            <w:r>
              <w:rPr>
                <w:rFonts w:ascii="宋体" w:hAnsi="宋体" w:cs="宋体"/>
                <w:color w:val="auto"/>
                <w:kern w:val="0"/>
                <w:sz w:val="20"/>
                <w:szCs w:val="20"/>
                <w:highlight w:val="none"/>
                <w:lang w:bidi="ar"/>
              </w:rPr>
              <w:t>（提供产品说明书加盖供应商公章）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16.图像检索：可以任意放大、缩小、局部观察功能，能精准显示种粒外接矩形，方便查看结果。</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17.数据：可自动导出EXCEL表格，及具有追加保存的功能。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18.采用图像分割、图像定位、图像识别、局部二值算法、直线拟合等技术实现快速识别。</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19.智能对比：能精准显示种粒外接矩形，对不同品种的种子进行长和宽的对比，并输出排列、对比图。深度学习：根据颜色或是形状的不同对种子进行自学习和再学习，并实现自动分类识别。</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20.颜色：采用公认的具体的RGB数值来表示种子的颜色。</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21.胚尖数：能自动识别玉米籽粒带有胚尖的数量并标记出胚尖。</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22.语言：中英文可一键式切换。</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23.辅助修正：用鼠标选择分割/合并，来对识别错误的种子进行修正，以确保100%正确。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24.目标区的个性化计数：对工作区视野中任选范围或矩形范围内的种子进行框选计数。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25.数据保存：图像结果可保存，自动形成总报表，可导出excel表，具有追加保存的功能。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26.数据打印：软件支持通过热敏打印机将分析数据打印出来。</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27.支持数据上传至云平台，可以保存查看和下载数据。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28.加密要求：软件采用动态二维码加密，防止丢失。</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29.数据同步：电脑网络连接正常时，自动同步至云平台，可以在云平台或手机APP上查看、分析、管理数据。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30.数据管理平台要求：应自带管理云平台，可随时随地通过电脑网页在线查看历史数据和实时数据；也可以通过智能手机APP端查看历史和实时数据；平台内数据可下载，分析，打印；可按种子类别及时段查看各形数据，包括：测量时间、种子类别、种子数量、千粒重、平均面积、平均周长、平均长度、平均宽度、平均长宽比、重量、缩略图等；云平台具备种子详细数据信息、可放大缩小历史检测种子图片，并按比例分析各项指标分布图，以柱状、分类颜色方式表达。</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二、技术指标要求：</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1.数粒速度：玉米籽粒为1500～3000粒/分钟，其它籽粒为1200-20000粒/分钟；精确度：数粒误差≤±0.5%，监视修正即达100%正确，可分析各类种粒的直径1.0～20.0mm。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2.称重量程范围：0-5kg；自动千粒重分析的精度误差：≤±0.5%。</w:t>
            </w:r>
          </w:p>
        </w:tc>
        <w:tc>
          <w:tcPr>
            <w:tcW w:w="839" w:type="dxa"/>
            <w:tcBorders>
              <w:top w:val="single" w:color="000000" w:sz="4" w:space="0"/>
              <w:left w:val="single" w:color="000000" w:sz="4" w:space="0"/>
              <w:bottom w:val="single" w:color="000000" w:sz="4" w:space="0"/>
              <w:right w:val="single" w:color="000000" w:sz="4" w:space="0"/>
            </w:tcBorders>
            <w:vAlign w:val="center"/>
          </w:tcPr>
          <w:p w14:paraId="55481922">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2 </w:t>
            </w:r>
          </w:p>
        </w:tc>
        <w:tc>
          <w:tcPr>
            <w:tcW w:w="839" w:type="dxa"/>
            <w:tcBorders>
              <w:top w:val="single" w:color="000000" w:sz="4" w:space="0"/>
              <w:left w:val="single" w:color="000000" w:sz="4" w:space="0"/>
              <w:bottom w:val="single" w:color="000000" w:sz="4" w:space="0"/>
              <w:right w:val="single" w:color="000000" w:sz="4" w:space="0"/>
            </w:tcBorders>
            <w:vAlign w:val="center"/>
          </w:tcPr>
          <w:p w14:paraId="49F913A1">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r>
      <w:tr w14:paraId="68E0DC07">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18E2093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10</w:t>
            </w:r>
          </w:p>
        </w:tc>
        <w:tc>
          <w:tcPr>
            <w:tcW w:w="0" w:type="auto"/>
            <w:tcBorders>
              <w:top w:val="single" w:color="000000" w:sz="4" w:space="0"/>
              <w:left w:val="nil"/>
              <w:bottom w:val="single" w:color="000000" w:sz="4" w:space="0"/>
              <w:right w:val="single" w:color="000000" w:sz="4" w:space="0"/>
            </w:tcBorders>
            <w:vAlign w:val="center"/>
          </w:tcPr>
          <w:p w14:paraId="3287A94B">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水稻开沟机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19766BD4">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设施农业设备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1、170四冲程</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2、7.5马力汽油机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3、开沟宽12-28厘米，深度30-50厘米</w:t>
            </w:r>
          </w:p>
        </w:tc>
        <w:tc>
          <w:tcPr>
            <w:tcW w:w="839" w:type="dxa"/>
            <w:tcBorders>
              <w:top w:val="single" w:color="000000" w:sz="4" w:space="0"/>
              <w:left w:val="single" w:color="000000" w:sz="4" w:space="0"/>
              <w:bottom w:val="single" w:color="000000" w:sz="4" w:space="0"/>
              <w:right w:val="single" w:color="000000" w:sz="4" w:space="0"/>
            </w:tcBorders>
            <w:vAlign w:val="center"/>
          </w:tcPr>
          <w:p w14:paraId="6F1365BA">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563275DF">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5E80E470">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1565E797">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11</w:t>
            </w:r>
          </w:p>
        </w:tc>
        <w:tc>
          <w:tcPr>
            <w:tcW w:w="0" w:type="auto"/>
            <w:tcBorders>
              <w:top w:val="single" w:color="000000" w:sz="4" w:space="0"/>
              <w:left w:val="nil"/>
              <w:bottom w:val="single" w:color="000000" w:sz="4" w:space="0"/>
              <w:right w:val="single" w:color="000000" w:sz="4" w:space="0"/>
            </w:tcBorders>
            <w:vAlign w:val="center"/>
          </w:tcPr>
          <w:p w14:paraId="017246AE">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洋马北斗插秧机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180E24E1">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设施农业设备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1、驱动方式：四轮驱动。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2、插植行数：≥9行机。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3、插植行距：≥25 cm。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4、插植株距：≥10-22 cm。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5、▲变速级数：前进2（插植1），后退1+HMT无级变速（提供产品说明书加盖供应商公章）。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6、6档可调，深度9档可调。</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7、▲秧台平衡方式：电子液压平衡（手动微调+自动），（提供产品说明书加盖供应商公章）。</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8、加装北斗导航系统。</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9、整机质保三年。如原厂标准不足三年，由成交供应商承担额外质保责任。</w:t>
            </w:r>
          </w:p>
        </w:tc>
        <w:tc>
          <w:tcPr>
            <w:tcW w:w="839" w:type="dxa"/>
            <w:tcBorders>
              <w:top w:val="single" w:color="000000" w:sz="4" w:space="0"/>
              <w:left w:val="single" w:color="000000" w:sz="4" w:space="0"/>
              <w:bottom w:val="single" w:color="000000" w:sz="4" w:space="0"/>
              <w:right w:val="single" w:color="000000" w:sz="4" w:space="0"/>
            </w:tcBorders>
            <w:vAlign w:val="center"/>
          </w:tcPr>
          <w:p w14:paraId="71A990E5">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11289FA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453075F2">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11C88DAF">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12</w:t>
            </w:r>
          </w:p>
        </w:tc>
        <w:tc>
          <w:tcPr>
            <w:tcW w:w="0" w:type="auto"/>
            <w:tcBorders>
              <w:top w:val="single" w:color="000000" w:sz="4" w:space="0"/>
              <w:left w:val="nil"/>
              <w:bottom w:val="single" w:color="000000" w:sz="4" w:space="0"/>
              <w:right w:val="single" w:color="000000" w:sz="4" w:space="0"/>
            </w:tcBorders>
            <w:vAlign w:val="center"/>
          </w:tcPr>
          <w:p w14:paraId="55F022C1">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太阳能杀虫灯</w:t>
            </w:r>
          </w:p>
        </w:tc>
        <w:tc>
          <w:tcPr>
            <w:tcW w:w="6350" w:type="dxa"/>
            <w:tcBorders>
              <w:top w:val="single" w:color="000000" w:sz="4" w:space="0"/>
              <w:left w:val="single" w:color="000000" w:sz="4" w:space="0"/>
              <w:bottom w:val="single" w:color="000000" w:sz="4" w:space="0"/>
              <w:right w:val="single" w:color="000000" w:sz="4" w:space="0"/>
            </w:tcBorders>
            <w:vAlign w:val="center"/>
          </w:tcPr>
          <w:p w14:paraId="78721815">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设施农业设备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1、直流电12V，太阳能板电池功率≥30w，电网电压≥5.5KV，撞击面积≥0.15m2，功率≤11w，光管波长320-680nm。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2、可通过app和web远程控制。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3、具有光控、时控模式。内置定位功能。</w:t>
            </w:r>
          </w:p>
        </w:tc>
        <w:tc>
          <w:tcPr>
            <w:tcW w:w="839" w:type="dxa"/>
            <w:tcBorders>
              <w:top w:val="single" w:color="000000" w:sz="4" w:space="0"/>
              <w:left w:val="single" w:color="000000" w:sz="4" w:space="0"/>
              <w:bottom w:val="single" w:color="000000" w:sz="4" w:space="0"/>
              <w:right w:val="single" w:color="000000" w:sz="4" w:space="0"/>
            </w:tcBorders>
            <w:vAlign w:val="center"/>
          </w:tcPr>
          <w:p w14:paraId="4C12D2E4">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9 </w:t>
            </w:r>
          </w:p>
        </w:tc>
        <w:tc>
          <w:tcPr>
            <w:tcW w:w="839" w:type="dxa"/>
            <w:tcBorders>
              <w:top w:val="single" w:color="000000" w:sz="4" w:space="0"/>
              <w:left w:val="single" w:color="000000" w:sz="4" w:space="0"/>
              <w:bottom w:val="single" w:color="000000" w:sz="4" w:space="0"/>
              <w:right w:val="single" w:color="000000" w:sz="4" w:space="0"/>
            </w:tcBorders>
            <w:vAlign w:val="center"/>
          </w:tcPr>
          <w:p w14:paraId="0931590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07CE3E3B">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6F29A50B">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13</w:t>
            </w:r>
          </w:p>
        </w:tc>
        <w:tc>
          <w:tcPr>
            <w:tcW w:w="0" w:type="auto"/>
            <w:tcBorders>
              <w:top w:val="single" w:color="000000" w:sz="4" w:space="0"/>
              <w:left w:val="nil"/>
              <w:bottom w:val="single" w:color="000000" w:sz="4" w:space="0"/>
              <w:right w:val="single" w:color="000000" w:sz="4" w:space="0"/>
            </w:tcBorders>
            <w:vAlign w:val="center"/>
          </w:tcPr>
          <w:p w14:paraId="2BAD98EC">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虫情测报灯</w:t>
            </w:r>
          </w:p>
        </w:tc>
        <w:tc>
          <w:tcPr>
            <w:tcW w:w="6350" w:type="dxa"/>
            <w:tcBorders>
              <w:top w:val="single" w:color="000000" w:sz="4" w:space="0"/>
              <w:left w:val="single" w:color="000000" w:sz="4" w:space="0"/>
              <w:bottom w:val="single" w:color="000000" w:sz="4" w:space="0"/>
              <w:right w:val="single" w:color="000000" w:sz="4" w:space="0"/>
            </w:tcBorders>
            <w:vAlign w:val="center"/>
          </w:tcPr>
          <w:p w14:paraId="3DD06E60">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设施农业设备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1、整体结构采用304不锈钢喷塑壳体，采用光、电、数控技术，可远程自动控制及识别计数。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2、直流12V电源（太阳能板供电240w），待机≤25W，整灯功率≤200W，通信方式4g，防护等级IP65，工作环境温度0-70℃，工作环境湿度≤85%。</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3、20W黑光灯、诱捕光源波长365nm。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4、灯管启动时间≤5s。</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5、摄像头2000万高清像素；显示屏10寸电容式触摸屏，系统 android 虫体识别率≥95%。</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6、自动拍照、自动传输、远程查询监控。内置定位功能。</w:t>
            </w:r>
          </w:p>
        </w:tc>
        <w:tc>
          <w:tcPr>
            <w:tcW w:w="839" w:type="dxa"/>
            <w:tcBorders>
              <w:top w:val="single" w:color="000000" w:sz="4" w:space="0"/>
              <w:left w:val="single" w:color="000000" w:sz="4" w:space="0"/>
              <w:bottom w:val="single" w:color="000000" w:sz="4" w:space="0"/>
              <w:right w:val="single" w:color="000000" w:sz="4" w:space="0"/>
            </w:tcBorders>
            <w:vAlign w:val="center"/>
          </w:tcPr>
          <w:p w14:paraId="00272E26">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3 </w:t>
            </w:r>
          </w:p>
        </w:tc>
        <w:tc>
          <w:tcPr>
            <w:tcW w:w="839" w:type="dxa"/>
            <w:tcBorders>
              <w:top w:val="single" w:color="000000" w:sz="4" w:space="0"/>
              <w:left w:val="single" w:color="000000" w:sz="4" w:space="0"/>
              <w:bottom w:val="single" w:color="000000" w:sz="4" w:space="0"/>
              <w:right w:val="single" w:color="000000" w:sz="4" w:space="0"/>
            </w:tcBorders>
            <w:vAlign w:val="center"/>
          </w:tcPr>
          <w:p w14:paraId="7A22100A">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62AA7DE2">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0E362332">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14</w:t>
            </w:r>
          </w:p>
        </w:tc>
        <w:tc>
          <w:tcPr>
            <w:tcW w:w="0" w:type="auto"/>
            <w:tcBorders>
              <w:top w:val="single" w:color="000000" w:sz="4" w:space="0"/>
              <w:left w:val="nil"/>
              <w:bottom w:val="single" w:color="000000" w:sz="4" w:space="0"/>
              <w:right w:val="single" w:color="000000" w:sz="4" w:space="0"/>
            </w:tcBorders>
            <w:vAlign w:val="center"/>
          </w:tcPr>
          <w:p w14:paraId="4DF0ECC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茶叶烘干平台机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2EB7C623">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农林产品初加工机械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1、380v，30kw</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2、带机头尺寸3050*1000*870mm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3、平台尺寸2000*1000*870mm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4、平台底部为斜坡型</w:t>
            </w:r>
          </w:p>
        </w:tc>
        <w:tc>
          <w:tcPr>
            <w:tcW w:w="839" w:type="dxa"/>
            <w:tcBorders>
              <w:top w:val="single" w:color="000000" w:sz="4" w:space="0"/>
              <w:left w:val="single" w:color="000000" w:sz="4" w:space="0"/>
              <w:bottom w:val="single" w:color="000000" w:sz="4" w:space="0"/>
              <w:right w:val="single" w:color="000000" w:sz="4" w:space="0"/>
            </w:tcBorders>
            <w:vAlign w:val="center"/>
          </w:tcPr>
          <w:p w14:paraId="5B3909A0">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363321F5">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4AAE8171">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41AC24B0">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15</w:t>
            </w:r>
          </w:p>
        </w:tc>
        <w:tc>
          <w:tcPr>
            <w:tcW w:w="0" w:type="auto"/>
            <w:tcBorders>
              <w:top w:val="single" w:color="000000" w:sz="4" w:space="0"/>
              <w:left w:val="nil"/>
              <w:bottom w:val="single" w:color="000000" w:sz="4" w:space="0"/>
              <w:right w:val="single" w:color="000000" w:sz="4" w:space="0"/>
            </w:tcBorders>
            <w:vAlign w:val="center"/>
          </w:tcPr>
          <w:p w14:paraId="040848C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电动滚筒杀青机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4CDC05A1">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农林产品初加工机械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变频调速50型，380v，32kw。</w:t>
            </w:r>
          </w:p>
        </w:tc>
        <w:tc>
          <w:tcPr>
            <w:tcW w:w="839" w:type="dxa"/>
            <w:tcBorders>
              <w:top w:val="single" w:color="000000" w:sz="4" w:space="0"/>
              <w:left w:val="single" w:color="000000" w:sz="4" w:space="0"/>
              <w:bottom w:val="single" w:color="000000" w:sz="4" w:space="0"/>
              <w:right w:val="single" w:color="000000" w:sz="4" w:space="0"/>
            </w:tcBorders>
            <w:vAlign w:val="center"/>
          </w:tcPr>
          <w:p w14:paraId="2FD0D272">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79263AE6">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1296CB0D">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23A89781">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16</w:t>
            </w:r>
          </w:p>
        </w:tc>
        <w:tc>
          <w:tcPr>
            <w:tcW w:w="0" w:type="auto"/>
            <w:tcBorders>
              <w:top w:val="single" w:color="000000" w:sz="4" w:space="0"/>
              <w:left w:val="nil"/>
              <w:bottom w:val="single" w:color="000000" w:sz="4" w:space="0"/>
              <w:right w:val="single" w:color="000000" w:sz="4" w:space="0"/>
            </w:tcBorders>
            <w:vAlign w:val="center"/>
          </w:tcPr>
          <w:p w14:paraId="15C90655">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试验台</w:t>
            </w:r>
          </w:p>
        </w:tc>
        <w:tc>
          <w:tcPr>
            <w:tcW w:w="6350" w:type="dxa"/>
            <w:tcBorders>
              <w:top w:val="single" w:color="000000" w:sz="4" w:space="0"/>
              <w:left w:val="single" w:color="000000" w:sz="4" w:space="0"/>
              <w:bottom w:val="single" w:color="000000" w:sz="4" w:space="0"/>
              <w:right w:val="single" w:color="000000" w:sz="4" w:space="0"/>
            </w:tcBorders>
            <w:vAlign w:val="center"/>
          </w:tcPr>
          <w:p w14:paraId="5C04B5E1">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其他用具</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1、尺寸长*宽*高3.5m*0.75m*0.8m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2、抗腐蚀2级</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3、台面黑色</w:t>
            </w:r>
          </w:p>
        </w:tc>
        <w:tc>
          <w:tcPr>
            <w:tcW w:w="839" w:type="dxa"/>
            <w:tcBorders>
              <w:top w:val="single" w:color="000000" w:sz="4" w:space="0"/>
              <w:left w:val="single" w:color="000000" w:sz="4" w:space="0"/>
              <w:bottom w:val="single" w:color="000000" w:sz="4" w:space="0"/>
              <w:right w:val="single" w:color="000000" w:sz="4" w:space="0"/>
            </w:tcBorders>
            <w:vAlign w:val="center"/>
          </w:tcPr>
          <w:p w14:paraId="3BC2721F">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2DA0F2FE">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套</w:t>
            </w:r>
          </w:p>
        </w:tc>
      </w:tr>
      <w:tr w14:paraId="196DE648">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3DF85DDB">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17</w:t>
            </w:r>
          </w:p>
        </w:tc>
        <w:tc>
          <w:tcPr>
            <w:tcW w:w="0" w:type="auto"/>
            <w:tcBorders>
              <w:top w:val="single" w:color="000000" w:sz="4" w:space="0"/>
              <w:left w:val="nil"/>
              <w:bottom w:val="single" w:color="000000" w:sz="4" w:space="0"/>
              <w:right w:val="single" w:color="000000" w:sz="4" w:space="0"/>
            </w:tcBorders>
            <w:vAlign w:val="center"/>
          </w:tcPr>
          <w:p w14:paraId="7C3573DF">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茶叶抖青机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29AB1FA2">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农林产品初加工机械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1、电压220v</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2、功率250w</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3、尺寸74*71*102</w:t>
            </w:r>
          </w:p>
        </w:tc>
        <w:tc>
          <w:tcPr>
            <w:tcW w:w="839" w:type="dxa"/>
            <w:tcBorders>
              <w:top w:val="single" w:color="000000" w:sz="4" w:space="0"/>
              <w:left w:val="single" w:color="000000" w:sz="4" w:space="0"/>
              <w:bottom w:val="single" w:color="000000" w:sz="4" w:space="0"/>
              <w:right w:val="single" w:color="000000" w:sz="4" w:space="0"/>
            </w:tcBorders>
            <w:vAlign w:val="center"/>
          </w:tcPr>
          <w:p w14:paraId="24E959CD">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2726E00C">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1892516E">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28281B4B">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18</w:t>
            </w:r>
          </w:p>
        </w:tc>
        <w:tc>
          <w:tcPr>
            <w:tcW w:w="0" w:type="auto"/>
            <w:tcBorders>
              <w:top w:val="single" w:color="000000" w:sz="4" w:space="0"/>
              <w:left w:val="nil"/>
              <w:bottom w:val="single" w:color="000000" w:sz="4" w:space="0"/>
              <w:right w:val="single" w:color="000000" w:sz="4" w:space="0"/>
            </w:tcBorders>
            <w:vAlign w:val="center"/>
          </w:tcPr>
          <w:p w14:paraId="25ABDC7F">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秸秆揉丝粉碎一体机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4D36BC38">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粉碎机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1、结构形式：铡揉粉一体</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2、配套动力：4-7.5kW</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3、配套动力额定转速：1450 r/min</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4、锤片数量：40片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5、主轴额定转速：1450 r/min</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6、生产效率：4800kg/h（4.8吨/小时）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7、外形尺寸：1950×1200×1800 mm</w:t>
            </w:r>
          </w:p>
        </w:tc>
        <w:tc>
          <w:tcPr>
            <w:tcW w:w="839" w:type="dxa"/>
            <w:tcBorders>
              <w:top w:val="single" w:color="000000" w:sz="4" w:space="0"/>
              <w:left w:val="single" w:color="000000" w:sz="4" w:space="0"/>
              <w:bottom w:val="single" w:color="000000" w:sz="4" w:space="0"/>
              <w:right w:val="single" w:color="000000" w:sz="4" w:space="0"/>
            </w:tcBorders>
            <w:vAlign w:val="center"/>
          </w:tcPr>
          <w:p w14:paraId="47DF8024">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6443D01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0359F46D">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404AAB59">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19</w:t>
            </w:r>
          </w:p>
        </w:tc>
        <w:tc>
          <w:tcPr>
            <w:tcW w:w="0" w:type="auto"/>
            <w:tcBorders>
              <w:top w:val="single" w:color="000000" w:sz="4" w:space="0"/>
              <w:left w:val="nil"/>
              <w:bottom w:val="single" w:color="000000" w:sz="4" w:space="0"/>
              <w:right w:val="single" w:color="000000" w:sz="4" w:space="0"/>
            </w:tcBorders>
            <w:vAlign w:val="center"/>
          </w:tcPr>
          <w:p w14:paraId="0B9C4CA1">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冷冻干燥机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0634610F">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干燥机械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1、本机采用进口压缩机制冷，制冷迅速，冷阱温度低，高效节能、使用寿命长、噪音低。</w:t>
            </w:r>
          </w:p>
          <w:p w14:paraId="227C2224">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2、工业嵌入式操作系统，操作响应速度快，存储数据量大。</w:t>
            </w:r>
          </w:p>
          <w:p w14:paraId="0F368092">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3、7寸触摸屏操作，PID工业控制器，控制精度高，性能稳定可靠。清晰地显示冷阱温度、样品温度、真空度等干燥数据。</w:t>
            </w:r>
          </w:p>
          <w:p w14:paraId="38EF0B13">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4、可设置用户等级和密码，分权管理和操作，真空泵与主机连接采用国际标准KF快速接头，简洁可靠。</w:t>
            </w:r>
          </w:p>
          <w:p w14:paraId="4588ADEC">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5、方形隔板加热具备超温保护功能，压缩机延时保护功能，方形隔板温度可升温降温、可控、可摸索、中试和生产工艺。</w:t>
            </w:r>
          </w:p>
          <w:p w14:paraId="2784FE4B">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6、可保存近百组工艺配方，每组配方包含近50个控温区段，提高工艺优化率。</w:t>
            </w:r>
          </w:p>
          <w:p w14:paraId="341C48A1">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7、方形隔板采用36V安全电压硅橡胶电加热板为加热元件，独特的升温曲线计算方式，升温更稳定，更安全，控温更精确。</w:t>
            </w:r>
          </w:p>
          <w:p w14:paraId="3C1B29F8">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8、充气（放水）阀门采用安全隔膜阀门，可接惰性气源，干燥后充惰性气体，延长物料保质期。</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1、冻干面积：0.4㎡。</w:t>
            </w:r>
          </w:p>
          <w:p w14:paraId="7925F4FE">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2、板层温度范围(空载）：-50℃～+60℃。</w:t>
            </w:r>
          </w:p>
          <w:p w14:paraId="4034B5AD">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3、冷阱最低温度(空载）：≤-60℃。</w:t>
            </w:r>
          </w:p>
          <w:p w14:paraId="412A7C00">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4、极限真空度（空载)：≤5Pa。</w:t>
            </w:r>
          </w:p>
          <w:p w14:paraId="15E3D0C9">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5、捕水容量：4kg/批。</w:t>
            </w:r>
          </w:p>
          <w:p w14:paraId="5FCD7F1E">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6、盘装溶液：4L(料厚10mm)。</w:t>
            </w:r>
          </w:p>
          <w:p w14:paraId="69928267">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★7、智能控制：手机APP远程。（提供产品说明书加盖供应商公章）。</w:t>
            </w:r>
          </w:p>
          <w:p w14:paraId="34A1A7D3">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8、板层间距：50mm。</w:t>
            </w:r>
          </w:p>
          <w:p w14:paraId="38B00D8A">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9、板层数量：4层。</w:t>
            </w:r>
          </w:p>
          <w:p w14:paraId="55043056">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10、隔板尺寸：300x340mm。</w:t>
            </w:r>
          </w:p>
          <w:p w14:paraId="1CBF3ED7">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11、可装西林瓶：Φ12mm2916支；Φ16mm1600支；Φ22mm872支。</w:t>
            </w:r>
          </w:p>
          <w:p w14:paraId="6FDA91A6">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12、环境温度：≤25℃。</w:t>
            </w:r>
          </w:p>
          <w:p w14:paraId="2F127B73">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13、电压功率 ：220V，2.7Kw。</w:t>
            </w:r>
          </w:p>
          <w:p w14:paraId="7316C537">
            <w:pPr>
              <w:widowControl/>
              <w:snapToGrid w:val="0"/>
              <w:jc w:val="left"/>
              <w:textAlignment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14、外形尺寸mm：高度1390mm*宽880mm*厚度750+60门mm。</w:t>
            </w:r>
          </w:p>
          <w:p w14:paraId="4B98B209">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15、整机重量：400 kg。</w:t>
            </w:r>
          </w:p>
        </w:tc>
        <w:tc>
          <w:tcPr>
            <w:tcW w:w="839" w:type="dxa"/>
            <w:tcBorders>
              <w:top w:val="single" w:color="000000" w:sz="4" w:space="0"/>
              <w:left w:val="single" w:color="000000" w:sz="4" w:space="0"/>
              <w:bottom w:val="single" w:color="000000" w:sz="4" w:space="0"/>
              <w:right w:val="single" w:color="000000" w:sz="4" w:space="0"/>
            </w:tcBorders>
            <w:vAlign w:val="center"/>
          </w:tcPr>
          <w:p w14:paraId="3BF2E234">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6FDCC40C">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1026C032">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2D02BB0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20</w:t>
            </w:r>
          </w:p>
        </w:tc>
        <w:tc>
          <w:tcPr>
            <w:tcW w:w="0" w:type="auto"/>
            <w:tcBorders>
              <w:top w:val="single" w:color="000000" w:sz="4" w:space="0"/>
              <w:left w:val="nil"/>
              <w:bottom w:val="single" w:color="000000" w:sz="4" w:space="0"/>
              <w:right w:val="single" w:color="000000" w:sz="4" w:space="0"/>
            </w:tcBorders>
            <w:vAlign w:val="center"/>
          </w:tcPr>
          <w:p w14:paraId="5CCD2B85">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座驾式爬山虎</w:t>
            </w:r>
          </w:p>
        </w:tc>
        <w:tc>
          <w:tcPr>
            <w:tcW w:w="6350" w:type="dxa"/>
            <w:tcBorders>
              <w:top w:val="single" w:color="000000" w:sz="4" w:space="0"/>
              <w:left w:val="single" w:color="000000" w:sz="4" w:space="0"/>
              <w:bottom w:val="single" w:color="000000" w:sz="4" w:space="0"/>
              <w:right w:val="single" w:color="000000" w:sz="4" w:space="0"/>
            </w:tcBorders>
            <w:vAlign w:val="center"/>
          </w:tcPr>
          <w:p w14:paraId="460B6775">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其他装卸</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设备一、载重与整机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额定载重：平路载重5000kg（5吨）；整机自重：约2000-3000kg；整车外形尺寸：3500×1600×2100mm（长 × 宽 × 高）；离地间隙：500mm；接地长度：1900-2100mm；最大爬坡角度：35-40°。</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二、动力系统</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发动机型号：490水冷四缸柴油机；额定功率：42kW（55-58马力）；启动方式：电启动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三、传动行走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变速箱型号：23型固力变速箱，带高低速；档位：6进2退；行驶速度：低速4-5km/h，高速13-18km/h；制动：双刹车 + 驻车制动，坡上不溜车；支重轮：单边8组；履带规格：400×90×62节（工程钢丝橡胶履带，宽度400mm）；底盘：加厚大梁、带防脱导齿。</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四、货箱（车厢）</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货箱内尺寸：2200×1600×560 mm（长 × 宽 × 栏板高）；卸料方式：液压后自卸；自卸举升高度：约1900mm。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五、选配项目</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半封闭驾驶室、1吨随车吊、加长货箱、加宽履带。</w:t>
            </w:r>
          </w:p>
        </w:tc>
        <w:tc>
          <w:tcPr>
            <w:tcW w:w="839" w:type="dxa"/>
            <w:tcBorders>
              <w:top w:val="single" w:color="000000" w:sz="4" w:space="0"/>
              <w:left w:val="single" w:color="000000" w:sz="4" w:space="0"/>
              <w:bottom w:val="single" w:color="000000" w:sz="4" w:space="0"/>
              <w:right w:val="single" w:color="000000" w:sz="4" w:space="0"/>
            </w:tcBorders>
            <w:vAlign w:val="center"/>
          </w:tcPr>
          <w:p w14:paraId="3E8CBAB0">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37E2BAD8">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595D0F00">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39A7FBD5">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21</w:t>
            </w:r>
          </w:p>
        </w:tc>
        <w:tc>
          <w:tcPr>
            <w:tcW w:w="0" w:type="auto"/>
            <w:tcBorders>
              <w:top w:val="single" w:color="000000" w:sz="4" w:space="0"/>
              <w:left w:val="nil"/>
              <w:bottom w:val="single" w:color="000000" w:sz="4" w:space="0"/>
              <w:right w:val="single" w:color="000000" w:sz="4" w:space="0"/>
            </w:tcBorders>
            <w:vAlign w:val="center"/>
          </w:tcPr>
          <w:p w14:paraId="7C74E0A9">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挖掘机及配套拓灌机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2ADB9BC5">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挖掘机械一、挖掘机：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1、整机参数：整机工作重量：6000 kg；标准铲斗容量：0.25 m³；铲斗类型：反铲。</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2、发动机 ：额定功率：36kW/2000rpm；最大扭矩：206.9 N·m；排量：2.615 L，4缸水冷。</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3、整机性能 ：行走速度（高/低）：4.1/2.4 km/h；回转速度：10.3 rpm；爬坡能力70%（35°）；接地比压：31kPa；铲斗挖掘力：45kN；斗杆挖掘力：33kN。</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4、作业范围（标准臂） ：最大挖掘深度：3770 mm；最大挖掘半径：6090 mm；最大挖掘高度：5735 mm；最大卸载高度：3975 mm；垂直挖掘深度：3025 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5、运输外形尺寸 ：整机总长：5915 mm；整机总宽：2025 mm；整机总高：2560 mm；尾部回转半径：1635 mm；最小离地间隙：315 mm。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6、底盘配置 ：履带板宽度：400 mm（钢履带）；轨距：1600 mm；单侧支重轮：5 个；单侧托链轮：1 个。</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7、油箱容量 ：燃油箱：125 L；液压油箱：85 L。</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二、液压打草碎木机（与挖机适配）</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1、属具主机技术参数（1米款）</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适配挖机：5-7吨；标准工作割幅1000mm（可选800mm/1200mm）；整机宽度1350mm；设备自重420-480kg；最大粉碎树干直径80-100mm（灌木、杂草、小树枝）；液压马达，侧置高转速摆线马达；马达转速2500-3000r/min；所需流量35-55L/min；工作压力16*21MPa；刀轴实心加粗通轴，动平衡校正；刀片配置30组*36组，菱形/锤头式合金刀头，90片左右刀体；壳体钢板厚度4mm加厚耐磨板；连接方式：斗轴直连/选配快换接头；三一60原车备用破碎锤油路流量完全满足该款碎木机使用。</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2、安装所需装配配件清单</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（1）、连接架（马拉头/斗耳支座，必须定制）；专用连接支架（马头）1 件，按挖机斗耳中心距定；销轴2根：φ45斗销（60标准斗销）；销卡、止退螺栓、垫片。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（2）、液压管路全套（3条油管：进油、回油、泄油）</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高压油管（进油）-大臂外侧布置1根；回油管1根；泄油管1根（碎木马达必须单独回油箱，不能直接回先导）；管夹、抱箍、管路固定支架；加长弯头、过渡接头；平面式快速接头2套（进、回油），可选配防尘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（3）、阀件（如原车没有破碎锤管路，则需加装）</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破碎锤备用脚踏阀（如原车已经带锤管路，则不用再加阀，直接接脚踏开关即可）球阀开关1个（维修截止油路）；密封圈、接头垫片一包。</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（4）、可选加装配件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挖机快换连接器（不用反复拆装斗销，切换挖斗-碎木机）；溢流保护阀（防止憋压损坏马达）；防飞溅护板；加长款小臂连接耳（边坡远距离打草）。</w:t>
            </w:r>
          </w:p>
        </w:tc>
        <w:tc>
          <w:tcPr>
            <w:tcW w:w="839" w:type="dxa"/>
            <w:tcBorders>
              <w:top w:val="single" w:color="000000" w:sz="4" w:space="0"/>
              <w:left w:val="single" w:color="000000" w:sz="4" w:space="0"/>
              <w:bottom w:val="single" w:color="000000" w:sz="4" w:space="0"/>
              <w:right w:val="single" w:color="000000" w:sz="4" w:space="0"/>
            </w:tcBorders>
            <w:vAlign w:val="center"/>
          </w:tcPr>
          <w:p w14:paraId="45F3AF74">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309EDBA5">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16B2A4E0">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62154678">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22</w:t>
            </w:r>
          </w:p>
        </w:tc>
        <w:tc>
          <w:tcPr>
            <w:tcW w:w="0" w:type="auto"/>
            <w:tcBorders>
              <w:top w:val="single" w:color="000000" w:sz="4" w:space="0"/>
              <w:left w:val="nil"/>
              <w:bottom w:val="single" w:color="000000" w:sz="4" w:space="0"/>
              <w:right w:val="single" w:color="000000" w:sz="4" w:space="0"/>
            </w:tcBorders>
            <w:vAlign w:val="center"/>
          </w:tcPr>
          <w:p w14:paraId="653D50C5">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电动三轮车</w:t>
            </w:r>
          </w:p>
        </w:tc>
        <w:tc>
          <w:tcPr>
            <w:tcW w:w="6350" w:type="dxa"/>
            <w:tcBorders>
              <w:top w:val="single" w:color="000000" w:sz="4" w:space="0"/>
              <w:left w:val="single" w:color="000000" w:sz="4" w:space="0"/>
              <w:bottom w:val="single" w:color="000000" w:sz="4" w:space="0"/>
              <w:right w:val="single" w:color="000000" w:sz="4" w:space="0"/>
            </w:tcBorders>
            <w:vAlign w:val="center"/>
          </w:tcPr>
          <w:p w14:paraId="7C5073F9">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电动三轮车</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1、车厢1.5m*1.0m</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2、电池续航100公里以上（空载）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3、电机功率≥1.2kW</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4、前后轮胎为防爆耐磨轮胎</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5、刹车为脚刹制动，前轮碟刹或鼓刹、后轮鼓刹</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6、具备倒车功能</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7、配置液晶仪表盘</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8、整车质保2年及以上</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9、安装有遮阳棚</w:t>
            </w:r>
          </w:p>
        </w:tc>
        <w:tc>
          <w:tcPr>
            <w:tcW w:w="839" w:type="dxa"/>
            <w:tcBorders>
              <w:top w:val="single" w:color="000000" w:sz="4" w:space="0"/>
              <w:left w:val="single" w:color="000000" w:sz="4" w:space="0"/>
              <w:bottom w:val="single" w:color="000000" w:sz="4" w:space="0"/>
              <w:right w:val="single" w:color="000000" w:sz="4" w:space="0"/>
            </w:tcBorders>
            <w:vAlign w:val="center"/>
          </w:tcPr>
          <w:p w14:paraId="357E1291">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2 </w:t>
            </w:r>
          </w:p>
        </w:tc>
        <w:tc>
          <w:tcPr>
            <w:tcW w:w="839" w:type="dxa"/>
            <w:tcBorders>
              <w:top w:val="single" w:color="000000" w:sz="4" w:space="0"/>
              <w:left w:val="single" w:color="000000" w:sz="4" w:space="0"/>
              <w:bottom w:val="single" w:color="000000" w:sz="4" w:space="0"/>
              <w:right w:val="single" w:color="000000" w:sz="4" w:space="0"/>
            </w:tcBorders>
            <w:vAlign w:val="center"/>
          </w:tcPr>
          <w:p w14:paraId="409B08F0">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7971E061">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5E6BD600">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23</w:t>
            </w:r>
          </w:p>
        </w:tc>
        <w:tc>
          <w:tcPr>
            <w:tcW w:w="0" w:type="auto"/>
            <w:tcBorders>
              <w:top w:val="single" w:color="000000" w:sz="4" w:space="0"/>
              <w:left w:val="nil"/>
              <w:bottom w:val="single" w:color="000000" w:sz="4" w:space="0"/>
              <w:right w:val="single" w:color="000000" w:sz="4" w:space="0"/>
            </w:tcBorders>
            <w:vAlign w:val="center"/>
          </w:tcPr>
          <w:p w14:paraId="69FDB9C8">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全自动中药材蒸柜</w:t>
            </w:r>
          </w:p>
        </w:tc>
        <w:tc>
          <w:tcPr>
            <w:tcW w:w="6350" w:type="dxa"/>
            <w:tcBorders>
              <w:top w:val="single" w:color="000000" w:sz="4" w:space="0"/>
              <w:left w:val="single" w:color="000000" w:sz="4" w:space="0"/>
              <w:bottom w:val="single" w:color="000000" w:sz="4" w:space="0"/>
              <w:right w:val="single" w:color="000000" w:sz="4" w:space="0"/>
            </w:tcBorders>
            <w:vAlign w:val="center"/>
          </w:tcPr>
          <w:p w14:paraId="45CD0A31">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其他农业和林业机械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1、产品电压220v，功率≥8kW。</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2、蒸箱内最多可放10个蒸盘（尺寸40*60*4.5cm），配置无孔蒸盘1整套、有孔整盘1整套。</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3、缺水断电，内置防干烧浮球。</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4、可预约、定时、定温。</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5、加热方式，电热。</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6、开关为触屏控制。</w:t>
            </w:r>
          </w:p>
        </w:tc>
        <w:tc>
          <w:tcPr>
            <w:tcW w:w="839" w:type="dxa"/>
            <w:tcBorders>
              <w:top w:val="single" w:color="000000" w:sz="4" w:space="0"/>
              <w:left w:val="single" w:color="000000" w:sz="4" w:space="0"/>
              <w:bottom w:val="single" w:color="000000" w:sz="4" w:space="0"/>
              <w:right w:val="single" w:color="000000" w:sz="4" w:space="0"/>
            </w:tcBorders>
            <w:vAlign w:val="center"/>
          </w:tcPr>
          <w:p w14:paraId="660CE027">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170016A8">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49EFDE1E">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20B9CFAB">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24</w:t>
            </w:r>
          </w:p>
        </w:tc>
        <w:tc>
          <w:tcPr>
            <w:tcW w:w="0" w:type="auto"/>
            <w:tcBorders>
              <w:top w:val="single" w:color="000000" w:sz="4" w:space="0"/>
              <w:left w:val="nil"/>
              <w:bottom w:val="single" w:color="000000" w:sz="4" w:space="0"/>
              <w:right w:val="single" w:color="000000" w:sz="4" w:space="0"/>
            </w:tcBorders>
            <w:vAlign w:val="center"/>
          </w:tcPr>
          <w:p w14:paraId="1360924A">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背负式割灌机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7AD8D913">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排灌机械</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1、全重15kg</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2、净重9.3kg</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3、功率1.47KW</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4、排量40.1立方厘米</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5、配原厂机油 + 配比壶</w:t>
            </w:r>
          </w:p>
        </w:tc>
        <w:tc>
          <w:tcPr>
            <w:tcW w:w="839" w:type="dxa"/>
            <w:tcBorders>
              <w:top w:val="single" w:color="000000" w:sz="4" w:space="0"/>
              <w:left w:val="single" w:color="000000" w:sz="4" w:space="0"/>
              <w:bottom w:val="single" w:color="000000" w:sz="4" w:space="0"/>
              <w:right w:val="single" w:color="000000" w:sz="4" w:space="0"/>
            </w:tcBorders>
            <w:vAlign w:val="center"/>
          </w:tcPr>
          <w:p w14:paraId="6C0CB6F2">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3ED3444C">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624464A0">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1228FBD2">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25</w:t>
            </w:r>
          </w:p>
        </w:tc>
        <w:tc>
          <w:tcPr>
            <w:tcW w:w="0" w:type="auto"/>
            <w:tcBorders>
              <w:top w:val="single" w:color="000000" w:sz="4" w:space="0"/>
              <w:left w:val="nil"/>
              <w:bottom w:val="nil"/>
              <w:right w:val="single" w:color="000000" w:sz="4" w:space="0"/>
            </w:tcBorders>
            <w:vAlign w:val="center"/>
          </w:tcPr>
          <w:p w14:paraId="49514F60">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柴油开沟机</w:t>
            </w:r>
          </w:p>
        </w:tc>
        <w:tc>
          <w:tcPr>
            <w:tcW w:w="6350" w:type="dxa"/>
            <w:tcBorders>
              <w:top w:val="single" w:color="000000" w:sz="4" w:space="0"/>
              <w:left w:val="single" w:color="000000" w:sz="4" w:space="0"/>
              <w:bottom w:val="single" w:color="000000" w:sz="4" w:space="0"/>
              <w:right w:val="single" w:color="000000" w:sz="4" w:space="0"/>
            </w:tcBorders>
            <w:vAlign w:val="center"/>
          </w:tcPr>
          <w:p w14:paraId="4F5EF688">
            <w:pPr>
              <w:widowControl/>
              <w:snapToGrid w:val="0"/>
              <w:jc w:val="left"/>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设施农业设备</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1、配旋耕机、起垄器，开沟犁、翻转犁</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2、柴油发动机，18马力四冲程电启动柴油机</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3、配电池（含电瓶）</w:t>
            </w:r>
            <w:r>
              <w:rPr>
                <w:rFonts w:hint="eastAsia" w:ascii="宋体" w:hAnsi="宋体" w:cs="宋体"/>
                <w:color w:val="auto"/>
                <w:kern w:val="0"/>
                <w:sz w:val="20"/>
                <w:szCs w:val="20"/>
                <w:highlight w:val="none"/>
                <w:lang w:bidi="ar"/>
              </w:rPr>
              <w:br w:type="textWrapping"/>
            </w:r>
            <w:r>
              <w:rPr>
                <w:rFonts w:hint="eastAsia" w:ascii="宋体" w:hAnsi="宋体" w:cs="宋体"/>
                <w:color w:val="auto"/>
                <w:kern w:val="0"/>
                <w:sz w:val="20"/>
                <w:szCs w:val="20"/>
                <w:highlight w:val="none"/>
                <w:lang w:bidi="ar"/>
              </w:rPr>
              <w:t>4、保修2年</w:t>
            </w:r>
          </w:p>
        </w:tc>
        <w:tc>
          <w:tcPr>
            <w:tcW w:w="839" w:type="dxa"/>
            <w:tcBorders>
              <w:top w:val="single" w:color="000000" w:sz="4" w:space="0"/>
              <w:left w:val="single" w:color="000000" w:sz="4" w:space="0"/>
              <w:bottom w:val="single" w:color="000000" w:sz="4" w:space="0"/>
              <w:right w:val="single" w:color="000000" w:sz="4" w:space="0"/>
            </w:tcBorders>
            <w:vAlign w:val="center"/>
          </w:tcPr>
          <w:p w14:paraId="0924A563">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 xml:space="preserve">1 </w:t>
            </w:r>
          </w:p>
        </w:tc>
        <w:tc>
          <w:tcPr>
            <w:tcW w:w="839" w:type="dxa"/>
            <w:tcBorders>
              <w:top w:val="single" w:color="000000" w:sz="4" w:space="0"/>
              <w:left w:val="single" w:color="000000" w:sz="4" w:space="0"/>
              <w:bottom w:val="single" w:color="000000" w:sz="4" w:space="0"/>
              <w:right w:val="single" w:color="000000" w:sz="4" w:space="0"/>
            </w:tcBorders>
            <w:vAlign w:val="center"/>
          </w:tcPr>
          <w:p w14:paraId="5DE9829B">
            <w:pPr>
              <w:widowControl/>
              <w:snapToGrid w:val="0"/>
              <w:jc w:val="center"/>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台</w:t>
            </w:r>
          </w:p>
        </w:tc>
      </w:tr>
      <w:tr w14:paraId="6559087F">
        <w:tblPrEx>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4D532AD">
            <w:pPr>
              <w:snapToGrid w:val="0"/>
              <w:jc w:val="center"/>
              <w:rPr>
                <w:rFonts w:ascii="Arial" w:hAnsi="Arial" w:cs="Arial"/>
                <w:b/>
                <w:color w:val="auto"/>
                <w:sz w:val="22"/>
                <w:szCs w:val="22"/>
                <w:highlight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32060DE9">
            <w:pPr>
              <w:widowControl/>
              <w:snapToGrid w:val="0"/>
              <w:jc w:val="center"/>
              <w:textAlignment w:val="center"/>
              <w:rPr>
                <w:rFonts w:hint="eastAsia"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合计</w:t>
            </w:r>
          </w:p>
        </w:tc>
        <w:tc>
          <w:tcPr>
            <w:tcW w:w="6350" w:type="dxa"/>
            <w:tcBorders>
              <w:top w:val="single" w:color="000000" w:sz="4" w:space="0"/>
              <w:left w:val="nil"/>
              <w:bottom w:val="single" w:color="000000" w:sz="4" w:space="0"/>
              <w:right w:val="single" w:color="000000" w:sz="4" w:space="0"/>
            </w:tcBorders>
            <w:shd w:val="clear" w:color="auto" w:fill="F2F2F2"/>
            <w:vAlign w:val="center"/>
          </w:tcPr>
          <w:p w14:paraId="2D506F40">
            <w:pPr>
              <w:snapToGrid w:val="0"/>
              <w:jc w:val="left"/>
              <w:rPr>
                <w:rFonts w:hint="eastAsia" w:ascii="宋体" w:hAnsi="宋体" w:cs="宋体"/>
                <w:b/>
                <w:color w:val="auto"/>
                <w:sz w:val="20"/>
                <w:szCs w:val="20"/>
                <w:highlight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01C8A84B">
            <w:pPr>
              <w:widowControl/>
              <w:snapToGrid w:val="0"/>
              <w:jc w:val="center"/>
              <w:textAlignment w:val="center"/>
              <w:rPr>
                <w:rFonts w:hint="eastAsia" w:ascii="宋体" w:hAnsi="宋体" w:cs="宋体"/>
                <w:b/>
                <w:bCs/>
                <w:color w:val="auto"/>
                <w:sz w:val="20"/>
                <w:szCs w:val="20"/>
                <w:highlight w:val="none"/>
              </w:rPr>
            </w:pPr>
            <w:r>
              <w:rPr>
                <w:rFonts w:hint="eastAsia" w:ascii="宋体" w:hAnsi="宋体" w:cs="宋体"/>
                <w:b/>
                <w:bCs/>
                <w:color w:val="auto"/>
                <w:kern w:val="0"/>
                <w:sz w:val="20"/>
                <w:szCs w:val="20"/>
                <w:highlight w:val="none"/>
                <w:lang w:bidi="ar"/>
              </w:rPr>
              <w:t xml:space="preserve">38 </w:t>
            </w:r>
          </w:p>
        </w:tc>
        <w:tc>
          <w:tcPr>
            <w:tcW w:w="839"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09ED0803">
            <w:pPr>
              <w:snapToGrid w:val="0"/>
              <w:jc w:val="center"/>
              <w:rPr>
                <w:rFonts w:hint="eastAsia" w:ascii="宋体" w:hAnsi="宋体" w:cs="宋体"/>
                <w:b/>
                <w:color w:val="auto"/>
                <w:sz w:val="20"/>
                <w:szCs w:val="20"/>
                <w:highlight w:val="none"/>
              </w:rPr>
            </w:pPr>
          </w:p>
        </w:tc>
      </w:tr>
    </w:tbl>
    <w:p w14:paraId="23A7E3D2">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标有“★”号条款为实质性条款，若有任何一条负偏离或不满足则导致投标无效。</w:t>
      </w:r>
    </w:p>
    <w:p w14:paraId="7ADBA4DC">
      <w:pPr>
        <w:rPr>
          <w:rFonts w:hint="eastAsia" w:ascii="宋体" w:hAnsi="宋体" w:cs="宋体"/>
          <w:b/>
          <w:bCs/>
          <w:color w:val="auto"/>
          <w:kern w:val="0"/>
          <w:sz w:val="36"/>
          <w:szCs w:val="36"/>
          <w:highlight w:val="none"/>
          <w:lang w:bidi="ar"/>
        </w:rPr>
      </w:pPr>
      <w:r>
        <w:rPr>
          <w:rFonts w:hint="eastAsia" w:ascii="宋体" w:hAnsi="宋体" w:cs="宋体"/>
          <w:b/>
          <w:bCs/>
          <w:color w:val="auto"/>
          <w:kern w:val="0"/>
          <w:sz w:val="36"/>
          <w:szCs w:val="36"/>
          <w:highlight w:val="none"/>
          <w:lang w:bidi="ar"/>
        </w:rPr>
        <w:br w:type="page"/>
      </w:r>
    </w:p>
    <w:p w14:paraId="57508741">
      <w:pPr>
        <w:widowControl/>
        <w:spacing w:line="360" w:lineRule="auto"/>
        <w:ind w:firstLine="723" w:firstLineChars="200"/>
        <w:jc w:val="center"/>
        <w:rPr>
          <w:rFonts w:hint="eastAsia" w:ascii="宋体" w:hAnsi="宋体" w:cs="宋体"/>
          <w:b/>
          <w:bCs/>
          <w:color w:val="auto"/>
          <w:kern w:val="0"/>
          <w:sz w:val="36"/>
          <w:szCs w:val="36"/>
          <w:highlight w:val="none"/>
          <w:lang w:bidi="ar"/>
        </w:rPr>
      </w:pPr>
      <w:r>
        <w:rPr>
          <w:rFonts w:hint="eastAsia" w:ascii="宋体" w:hAnsi="宋体" w:cs="宋体"/>
          <w:b/>
          <w:bCs/>
          <w:color w:val="auto"/>
          <w:kern w:val="0"/>
          <w:sz w:val="36"/>
          <w:szCs w:val="36"/>
          <w:highlight w:val="none"/>
          <w:lang w:bidi="ar"/>
        </w:rPr>
        <w:t>第二节、商务要求</w:t>
      </w:r>
    </w:p>
    <w:p w14:paraId="4761A1DA">
      <w:pPr>
        <w:widowControl/>
        <w:spacing w:line="360" w:lineRule="auto"/>
        <w:jc w:val="left"/>
        <w:rPr>
          <w:rFonts w:hint="eastAsia" w:ascii="宋体" w:hAnsi="宋体"/>
          <w:b/>
          <w:bCs/>
          <w:color w:val="auto"/>
          <w:szCs w:val="21"/>
          <w:highlight w:val="none"/>
        </w:rPr>
      </w:pPr>
      <w:r>
        <w:rPr>
          <w:rFonts w:hint="eastAsia" w:ascii="宋体" w:hAnsi="宋体" w:cs="宋体"/>
          <w:b/>
          <w:bCs/>
          <w:color w:val="auto"/>
          <w:kern w:val="0"/>
          <w:szCs w:val="21"/>
          <w:highlight w:val="none"/>
          <w:lang w:bidi="ar"/>
        </w:rPr>
        <w:t xml:space="preserve">一、报价要求 </w:t>
      </w:r>
    </w:p>
    <w:p w14:paraId="078B0EDA">
      <w:pPr>
        <w:pStyle w:val="6"/>
        <w:spacing w:line="360" w:lineRule="auto"/>
        <w:rPr>
          <w:rFonts w:hint="eastAsia" w:ascii="宋体" w:hAnsi="宋体"/>
          <w:color w:val="auto"/>
          <w:szCs w:val="21"/>
          <w:highlight w:val="none"/>
        </w:rPr>
      </w:pPr>
      <w:r>
        <w:rPr>
          <w:rFonts w:hint="eastAsia" w:ascii="宋体" w:hAnsi="宋体"/>
          <w:color w:val="auto"/>
          <w:szCs w:val="21"/>
          <w:highlight w:val="none"/>
        </w:rPr>
        <w:t xml:space="preserve">供应商磋商的产品应包含直接费、管理费、保险费、利润、各项税金、配套货物的出厂价、到达最终目的地点的相关运输费、保险、仓储费、装卸费、安装费、检测费、评审费、人员培训费等伴随服务费和招标需求的有关内容。 </w:t>
      </w:r>
    </w:p>
    <w:p w14:paraId="7CC56ED3">
      <w:pPr>
        <w:pStyle w:val="6"/>
        <w:spacing w:line="360" w:lineRule="auto"/>
        <w:ind w:firstLine="0" w:firstLineChars="0"/>
        <w:rPr>
          <w:rFonts w:hint="eastAsia" w:ascii="宋体" w:hAnsi="宋体"/>
          <w:b/>
          <w:bCs/>
          <w:color w:val="auto"/>
          <w:szCs w:val="21"/>
          <w:highlight w:val="none"/>
        </w:rPr>
      </w:pPr>
      <w:r>
        <w:rPr>
          <w:rFonts w:hint="eastAsia" w:ascii="宋体" w:hAnsi="宋体"/>
          <w:b/>
          <w:bCs/>
          <w:color w:val="auto"/>
          <w:szCs w:val="21"/>
          <w:highlight w:val="none"/>
        </w:rPr>
        <w:t xml:space="preserve">二、质量保证，安装调试、培训要求及其它 </w:t>
      </w:r>
    </w:p>
    <w:p w14:paraId="3D39863E">
      <w:pPr>
        <w:pStyle w:val="6"/>
        <w:spacing w:line="360" w:lineRule="auto"/>
        <w:rPr>
          <w:rFonts w:hint="eastAsia" w:ascii="宋体" w:hAnsi="宋体"/>
          <w:color w:val="auto"/>
          <w:szCs w:val="21"/>
          <w:highlight w:val="none"/>
        </w:rPr>
      </w:pPr>
      <w:r>
        <w:rPr>
          <w:rFonts w:hint="eastAsia" w:ascii="宋体" w:hAnsi="宋体"/>
          <w:color w:val="auto"/>
          <w:szCs w:val="21"/>
          <w:highlight w:val="none"/>
        </w:rPr>
        <w:t xml:space="preserve">1、质量保证：中标供应商需保证所提供货物是全新的、未使用过的，并且各方面与合同规定的质量，规格和性能相一致。在使用过程中，如最终用户发现中标供应商提供的货物属于翻新的货物或假货，最终用户拥有不受时限的追索权，有权要求中标供应商赔偿其所有损失。 </w:t>
      </w:r>
    </w:p>
    <w:p w14:paraId="62DFE072">
      <w:pPr>
        <w:pStyle w:val="6"/>
        <w:spacing w:line="360" w:lineRule="auto"/>
        <w:rPr>
          <w:rFonts w:hint="eastAsia" w:ascii="宋体" w:hAnsi="宋体"/>
          <w:color w:val="auto"/>
          <w:szCs w:val="21"/>
          <w:highlight w:val="none"/>
        </w:rPr>
      </w:pPr>
      <w:r>
        <w:rPr>
          <w:rFonts w:hint="eastAsia" w:ascii="宋体" w:hAnsi="宋体"/>
          <w:color w:val="auto"/>
          <w:szCs w:val="21"/>
          <w:highlight w:val="none"/>
        </w:rPr>
        <w:t xml:space="preserve">3、中标供应商应配置工程技术人员，提供开箱验货、安装、调试或维修等服务。 </w:t>
      </w:r>
    </w:p>
    <w:p w14:paraId="41B27325">
      <w:pPr>
        <w:pStyle w:val="6"/>
        <w:spacing w:line="360" w:lineRule="auto"/>
        <w:rPr>
          <w:rFonts w:hint="eastAsia" w:ascii="宋体" w:hAnsi="宋体"/>
          <w:color w:val="auto"/>
          <w:szCs w:val="21"/>
          <w:highlight w:val="none"/>
        </w:rPr>
      </w:pPr>
      <w:r>
        <w:rPr>
          <w:rFonts w:hint="eastAsia" w:ascii="宋体" w:hAnsi="宋体"/>
          <w:color w:val="auto"/>
          <w:szCs w:val="21"/>
          <w:highlight w:val="none"/>
        </w:rPr>
        <w:t>4、技术培训要求: 供应商需提供详细培训方案，内容包括但不限于所提供设备的原理和技术性能、操作维护方法、排除故障等方面，中标供应商应配置专业技术人员提供现场技术培训，保证使用人员正常操作设备的各种功能；除现场培训外,厂方安排免费集中培训一次。 制定人员培训方案，培训方案应包括培训目的、培训时间安排、人数、次数、培训课程、培训组织方式等。</w:t>
      </w:r>
    </w:p>
    <w:p w14:paraId="75F82456">
      <w:pPr>
        <w:pStyle w:val="6"/>
        <w:spacing w:line="360" w:lineRule="auto"/>
        <w:rPr>
          <w:rFonts w:hint="eastAsia" w:ascii="宋体" w:hAnsi="宋体"/>
          <w:color w:val="auto"/>
          <w:szCs w:val="21"/>
          <w:highlight w:val="none"/>
        </w:rPr>
      </w:pPr>
      <w:r>
        <w:rPr>
          <w:rFonts w:hint="eastAsia" w:ascii="宋体" w:hAnsi="宋体"/>
          <w:color w:val="auto"/>
          <w:szCs w:val="21"/>
          <w:highlight w:val="none"/>
        </w:rPr>
        <w:t xml:space="preserve">5、安全性能：符合国家商品安全质量要求。 </w:t>
      </w:r>
    </w:p>
    <w:p w14:paraId="4B96E589">
      <w:pPr>
        <w:pStyle w:val="6"/>
        <w:spacing w:line="360" w:lineRule="auto"/>
        <w:rPr>
          <w:rFonts w:hint="eastAsia" w:ascii="宋体" w:hAnsi="宋体"/>
          <w:color w:val="auto"/>
          <w:szCs w:val="21"/>
          <w:highlight w:val="none"/>
        </w:rPr>
      </w:pPr>
      <w:r>
        <w:rPr>
          <w:rFonts w:hint="eastAsia" w:ascii="宋体" w:hAnsi="宋体"/>
          <w:color w:val="auto"/>
          <w:szCs w:val="21"/>
          <w:highlight w:val="none"/>
        </w:rPr>
        <w:t xml:space="preserve">6、供应商可根据现场考察的实际情况提供详细项目实施计划及安装调试措施，包括但不限于包括安装调试、试运行、测试等，交货时间和安装调试竣工时间要求、质量保证措施、进度保障措施。对于本项目实施所需的设备材料、工具等均需自备。中标供应商须负责安装期间的设备的妥善保管， 因中标供应商的责任造成的火灾、设备毁损、人员伤亡等事故，由中标供应商负责处理并承担相应的经济、民事及其它法律责任。 </w:t>
      </w:r>
    </w:p>
    <w:p w14:paraId="76F0A0FE">
      <w:pPr>
        <w:pStyle w:val="6"/>
        <w:spacing w:before="156" w:beforeLines="50" w:line="360" w:lineRule="auto"/>
        <w:ind w:firstLine="0" w:firstLineChars="0"/>
        <w:rPr>
          <w:rFonts w:hint="eastAsia" w:ascii="宋体" w:hAnsi="宋体"/>
          <w:b/>
          <w:bCs/>
          <w:color w:val="auto"/>
          <w:szCs w:val="21"/>
          <w:highlight w:val="none"/>
        </w:rPr>
      </w:pPr>
      <w:r>
        <w:rPr>
          <w:rFonts w:hint="eastAsia" w:ascii="宋体" w:hAnsi="宋体"/>
          <w:b/>
          <w:bCs/>
          <w:color w:val="auto"/>
          <w:szCs w:val="21"/>
          <w:highlight w:val="none"/>
        </w:rPr>
        <w:t>三、售后服务</w:t>
      </w:r>
    </w:p>
    <w:p w14:paraId="085D2384">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★1、质保期：第五章采购需求第一节、技术要求中单独列示质保期的设备，按其单独列明要求执行；其余设备质保期≥1 年。产品原厂质保年限高于前述要求的，以厂家质保年限为准，质保期自验收合格之日起计算。</w:t>
      </w:r>
    </w:p>
    <w:p w14:paraId="78284083">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质保期从验收合格后起计算，在质保期内中标人对产品质量实行三包，因设备配置、设备或零部件制造质量问题而引起的故障，中标人应在24小时内免费维修或更换，保证设备及时恢复正常，由此引起的一切费用由中标人承担。</w:t>
      </w:r>
    </w:p>
    <w:p w14:paraId="3B3FDF52">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在质保期内，中标人应提供免费上门维修和技术支持的服务，及时维修、更换有缺陷的货物或部件，并进行终身维护。如果中标人收到采购人通知后，未在规定的响应时间内赶到现场弥补缺陷，采购人可采取必要的补救措施，但风险和费用全部由中标人承担，并从质量保证金中抵扣。质保期后应提供长期优质服务。在使用寿命期内，中标人应保证对设备的零件、易损件的供应。</w:t>
      </w:r>
    </w:p>
    <w:p w14:paraId="1C671ED7">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4、中标人应能保证设备使用运行所需的备件和具备相关技术保障机制，并保证能提供5×8小时的故障响应，包含法定节假日。</w:t>
      </w:r>
    </w:p>
    <w:p w14:paraId="3B16CD9C">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在质保期间，中标人应承诺</w:t>
      </w:r>
      <w:r>
        <w:rPr>
          <w:rFonts w:hint="eastAsia" w:ascii="宋体" w:hAnsi="宋体"/>
          <w:color w:val="auto"/>
          <w:szCs w:val="21"/>
          <w:highlight w:val="none"/>
        </w:rPr>
        <w:t>设备在</w:t>
      </w:r>
      <w:r>
        <w:rPr>
          <w:rFonts w:ascii="宋体" w:hAnsi="宋体"/>
          <w:color w:val="auto"/>
          <w:szCs w:val="21"/>
          <w:highlight w:val="none"/>
        </w:rPr>
        <w:t>出现的一般性故障应在24小时内解决；对严重影响系统运行的故障应在48小时内解决</w:t>
      </w:r>
      <w:r>
        <w:rPr>
          <w:rFonts w:hint="eastAsia" w:ascii="宋体" w:hAnsi="宋体"/>
          <w:color w:val="auto"/>
          <w:szCs w:val="21"/>
          <w:highlight w:val="none"/>
        </w:rPr>
        <w:t>。</w:t>
      </w:r>
    </w:p>
    <w:p w14:paraId="74DAB9A7">
      <w:pPr>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6、中标人的售后服务机构名称、联系方法等如有变化，应及时通知采购人。中标人不及时通知采购人，由此而造成的损失由中标人负责。</w:t>
      </w:r>
    </w:p>
    <w:p w14:paraId="06112FA9">
      <w:pPr>
        <w:adjustRightInd w:val="0"/>
        <w:snapToGrid w:val="0"/>
        <w:spacing w:line="440" w:lineRule="exact"/>
        <w:ind w:firstLine="420" w:firstLineChars="200"/>
        <w:jc w:val="left"/>
        <w:rPr>
          <w:rFonts w:hint="eastAsia"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、中标人售后服务机构不履行本合同质量和售后服务有关规定，由中标人承担一切责任。</w:t>
      </w:r>
    </w:p>
    <w:p w14:paraId="5C5E20C3">
      <w:pPr>
        <w:adjustRightInd w:val="0"/>
        <w:snapToGrid w:val="0"/>
        <w:spacing w:line="440" w:lineRule="exact"/>
        <w:ind w:firstLine="420" w:firstLineChars="200"/>
        <w:jc w:val="left"/>
        <w:rPr>
          <w:rFonts w:hint="eastAsia" w:ascii="宋体" w:hAnsi="宋体"/>
          <w:color w:val="auto"/>
          <w:szCs w:val="21"/>
          <w:highlight w:val="none"/>
        </w:rPr>
      </w:pPr>
      <w:r>
        <w:rPr>
          <w:rFonts w:ascii="宋体" w:hAnsi="宋体"/>
          <w:color w:val="auto"/>
          <w:szCs w:val="21"/>
          <w:highlight w:val="none"/>
        </w:rPr>
        <w:t>8</w:t>
      </w:r>
      <w:r>
        <w:rPr>
          <w:rFonts w:hint="eastAsia" w:ascii="宋体" w:hAnsi="宋体"/>
          <w:color w:val="auto"/>
          <w:szCs w:val="21"/>
          <w:highlight w:val="none"/>
        </w:rPr>
        <w:t>、自验收合格之日起，中标人所提供产品的质保期应满足清单中要求的质保时间。</w:t>
      </w:r>
    </w:p>
    <w:p w14:paraId="221BC5CA">
      <w:pPr>
        <w:pStyle w:val="6"/>
        <w:spacing w:before="156" w:beforeLines="50" w:line="360" w:lineRule="auto"/>
        <w:ind w:firstLine="0" w:firstLineChars="0"/>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四、验收方式</w:t>
      </w:r>
    </w:p>
    <w:p w14:paraId="1E7F8DE8">
      <w:pPr>
        <w:widowControl/>
        <w:spacing w:line="360" w:lineRule="auto"/>
        <w:ind w:firstLine="420" w:firstLineChars="200"/>
        <w:jc w:val="left"/>
        <w:rPr>
          <w:color w:val="auto"/>
          <w:szCs w:val="21"/>
          <w:highlight w:val="none"/>
        </w:rPr>
      </w:pPr>
      <w:r>
        <w:rPr>
          <w:rFonts w:hint="eastAsia" w:ascii="宋体" w:hAnsi="宋体" w:cs="宋体"/>
          <w:color w:val="auto"/>
          <w:kern w:val="0"/>
          <w:szCs w:val="21"/>
          <w:highlight w:val="none"/>
          <w:lang w:bidi="ar"/>
        </w:rPr>
        <w:t>1、在货物到达使用单位，现场场地符合安装条件后，供应商派技术人员安装、负责调试，并应在</w:t>
      </w:r>
      <w:r>
        <w:rPr>
          <w:rFonts w:hint="eastAsia"/>
          <w:color w:val="auto"/>
          <w:highlight w:val="none"/>
        </w:rPr>
        <w:t>7日</w:t>
      </w:r>
      <w:r>
        <w:rPr>
          <w:rFonts w:hint="eastAsia" w:ascii="宋体" w:hAnsi="宋体" w:cs="宋体"/>
          <w:color w:val="auto"/>
          <w:kern w:val="0"/>
          <w:szCs w:val="21"/>
          <w:highlight w:val="none"/>
          <w:lang w:bidi="ar"/>
        </w:rPr>
        <w:t>内到达采购人指定安装地点，在采购方人员在场的情况下开箱清点货物，组织安装、调试，并承 担因此发生的一切费用。如卖方</w:t>
      </w:r>
      <w:r>
        <w:rPr>
          <w:rFonts w:hint="eastAsia"/>
          <w:color w:val="auto"/>
          <w:highlight w:val="none"/>
        </w:rPr>
        <w:t>7日</w:t>
      </w:r>
      <w:r>
        <w:rPr>
          <w:rFonts w:hint="eastAsia" w:ascii="宋体" w:hAnsi="宋体" w:cs="宋体"/>
          <w:color w:val="auto"/>
          <w:kern w:val="0"/>
          <w:szCs w:val="21"/>
          <w:highlight w:val="none"/>
          <w:lang w:bidi="ar"/>
        </w:rPr>
        <w:t xml:space="preserve">内未到达采购人指定安装地点，采购人有权自行开箱安装调试。 开箱如有缺货、错装、损坏或技术问题，供应商应承担全部责任。 </w:t>
      </w:r>
    </w:p>
    <w:p w14:paraId="1E73C79D">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2、设备各项技术性能、指标必须达到合同和技术文件规定的要求，设备安装后，采购人按国际和国家标准及招标参数要求进行质量验收。 </w:t>
      </w:r>
    </w:p>
    <w:p w14:paraId="5ABD8CB4">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3、设备验收签字前如有任何质量问题，供应商必须无条件更换。 </w:t>
      </w:r>
    </w:p>
    <w:p w14:paraId="34CBB7D9">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4、供应商须承担货物验收前的财产保护责任，在验收前出现损坏由卖方负责。在安装运输过程中 如出现人员伤亡及财产损坏由供应商承担赔偿责任</w:t>
      </w:r>
    </w:p>
    <w:p w14:paraId="0658CD3D">
      <w:pPr>
        <w:widowControl/>
        <w:spacing w:line="360" w:lineRule="auto"/>
        <w:jc w:val="left"/>
        <w:rPr>
          <w:color w:val="auto"/>
          <w:szCs w:val="21"/>
          <w:highlight w:val="none"/>
        </w:rPr>
      </w:pPr>
      <w:r>
        <w:rPr>
          <w:rFonts w:hint="eastAsia" w:ascii="宋体" w:hAnsi="宋体" w:cs="宋体"/>
          <w:b/>
          <w:bCs/>
          <w:color w:val="auto"/>
          <w:kern w:val="0"/>
          <w:szCs w:val="21"/>
          <w:highlight w:val="none"/>
          <w:lang w:bidi="ar"/>
        </w:rPr>
        <w:t xml:space="preserve">五、交货时间、地点及要求 </w:t>
      </w:r>
    </w:p>
    <w:p w14:paraId="17C642A1">
      <w:pPr>
        <w:widowControl/>
        <w:spacing w:line="360" w:lineRule="auto"/>
        <w:ind w:firstLine="422" w:firstLineChars="200"/>
        <w:jc w:val="left"/>
        <w:rPr>
          <w:b/>
          <w:color w:val="auto"/>
          <w:szCs w:val="21"/>
          <w:highlight w:val="none"/>
        </w:rPr>
      </w:pPr>
      <w:r>
        <w:rPr>
          <w:rFonts w:hint="eastAsia" w:ascii="宋体" w:hAnsi="宋体" w:cs="宋体"/>
          <w:b/>
          <w:color w:val="auto"/>
          <w:kern w:val="0"/>
          <w:szCs w:val="21"/>
          <w:highlight w:val="none"/>
          <w:lang w:bidi="ar"/>
        </w:rPr>
        <w:t>★1、交货时间：合同签订后</w:t>
      </w:r>
      <w:r>
        <w:rPr>
          <w:rFonts w:hint="default" w:ascii="宋体" w:hAnsi="宋体" w:cs="宋体"/>
          <w:b/>
          <w:color w:val="auto"/>
          <w:kern w:val="0"/>
          <w:szCs w:val="21"/>
          <w:highlight w:val="none"/>
          <w:lang w:val="en-US" w:bidi="ar"/>
        </w:rPr>
        <w:t>3</w:t>
      </w:r>
      <w:r>
        <w:rPr>
          <w:rFonts w:hint="eastAsia" w:ascii="宋体" w:hAnsi="宋体" w:cs="宋体"/>
          <w:b/>
          <w:color w:val="auto"/>
          <w:kern w:val="0"/>
          <w:szCs w:val="21"/>
          <w:highlight w:val="none"/>
          <w:lang w:bidi="ar"/>
        </w:rPr>
        <w:t xml:space="preserve">0日内交货并完成安装调试、正常使用。 </w:t>
      </w:r>
    </w:p>
    <w:p w14:paraId="2BF6C712">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2、交货地点：采购人指定地点。 </w:t>
      </w:r>
    </w:p>
    <w:p w14:paraId="353FDA4D">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3、本项目为“交钥匙”工程，供应商应提供产品的供货、安装调试及售后服务等其他服务。 其所有费用由中标供应商负责。在采购项目实施中出现任何遗漏，均由中标供应商自行负责， 采购人不再支付任何费用。</w:t>
      </w:r>
      <w:r>
        <w:rPr>
          <w:rFonts w:hint="eastAsia" w:ascii="宋体" w:hAnsi="宋体" w:cs="宋体"/>
          <w:b/>
          <w:bCs/>
          <w:color w:val="auto"/>
          <w:kern w:val="0"/>
          <w:szCs w:val="21"/>
          <w:highlight w:val="none"/>
          <w:lang w:bidi="ar"/>
        </w:rPr>
        <w:t xml:space="preserve"> </w:t>
      </w:r>
    </w:p>
    <w:p w14:paraId="6DA690DD">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b/>
          <w:bCs/>
          <w:color w:val="auto"/>
          <w:kern w:val="0"/>
          <w:szCs w:val="21"/>
          <w:highlight w:val="none"/>
          <w:lang w:bidi="ar"/>
        </w:rPr>
        <w:t>六、付款方式和条件</w:t>
      </w:r>
    </w:p>
    <w:p w14:paraId="2A1066C6">
      <w:pPr>
        <w:widowControl/>
        <w:spacing w:line="360" w:lineRule="auto"/>
        <w:jc w:val="left"/>
        <w:rPr>
          <w:rFonts w:hint="eastAsia" w:ascii="宋体" w:hAnsi="宋体" w:cs="宋体"/>
          <w:b/>
          <w:bCs/>
          <w:color w:val="auto"/>
          <w:kern w:val="0"/>
          <w:szCs w:val="21"/>
          <w:highlight w:val="none"/>
          <w:lang w:bidi="ar"/>
        </w:rPr>
      </w:pPr>
      <w:r>
        <w:rPr>
          <w:rFonts w:hint="eastAsia"/>
          <w:color w:val="auto"/>
          <w:highlight w:val="none"/>
        </w:rPr>
        <w:t>货物到达采购人指定地点，全部产品安装调试完毕并经采购人验收合格后，支付合同款项的 97%；剩余合同款项的 3% 作为质量保证金，待全部设备各自对应的质保期限均届满后予以支付。质保期限判定：第五章采购需求第一节、技术要求中单独列明质保期限的设备，按其列明要求执行；其余设备质保期不少于 1 年；若产品原厂厂家质保年限高于前述要求的，以厂家质保年限为准。</w:t>
      </w:r>
      <w:r>
        <w:rPr>
          <w:rFonts w:hint="eastAsia" w:ascii="宋体" w:hAnsi="宋体" w:cs="宋体"/>
          <w:b/>
          <w:bCs/>
          <w:color w:val="auto"/>
          <w:kern w:val="0"/>
          <w:szCs w:val="21"/>
          <w:highlight w:val="none"/>
          <w:lang w:bidi="ar"/>
        </w:rPr>
        <w:t>七、项目实施的其他要求</w:t>
      </w:r>
    </w:p>
    <w:p w14:paraId="52437067">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1、本项目采用费用包干方式，供应商应根据项目要求和现场情况，详细列明项目所需产品的购置，以及产品运输保险保管、试用、产品通过验收、培训、管理、财务等所有费用，如一旦中标，在项目 实施中出现任何遗漏，均由中标人免费提供，采购人不再支付任何费用。 </w:t>
      </w:r>
    </w:p>
    <w:p w14:paraId="003BFB49">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2、供应商在磋商前，须踏勘现场的，有关费用自理，踏勘期间发生的意外自负。 </w:t>
      </w:r>
    </w:p>
    <w:p w14:paraId="1823C729">
      <w:pPr>
        <w:widowControl/>
        <w:spacing w:line="360" w:lineRule="auto"/>
        <w:jc w:val="left"/>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 xml:space="preserve">八、其他未尽事宜合同中约定 </w:t>
      </w:r>
    </w:p>
    <w:p w14:paraId="2F9C26BF">
      <w:pPr>
        <w:widowControl/>
        <w:jc w:val="left"/>
        <w:rPr>
          <w:rFonts w:hint="eastAsia" w:ascii="宋体" w:hAnsi="宋体" w:cs="宋体"/>
          <w:b/>
          <w:bCs/>
          <w:color w:val="auto"/>
          <w:kern w:val="0"/>
          <w:szCs w:val="21"/>
          <w:highlight w:val="none"/>
          <w:lang w:bidi="ar"/>
        </w:rPr>
      </w:pPr>
    </w:p>
    <w:p w14:paraId="3AA30E60">
      <w:r>
        <w:rPr>
          <w:rFonts w:hint="eastAsia" w:ascii="宋体" w:hAnsi="宋体" w:cs="宋体"/>
          <w:b/>
          <w:bCs/>
          <w:color w:val="auto"/>
          <w:kern w:val="0"/>
          <w:szCs w:val="21"/>
          <w:highlight w:val="none"/>
          <w:lang w:bidi="ar"/>
        </w:rPr>
        <w:t>★对于上述商务要求，供应商不得负偏离，应在响应文件中进行回应，作出承诺，未作出承诺的为无效磋商。</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10" w:usb3="00000000" w:csb0="0004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9F3BEF"/>
    <w:rsid w:val="219F3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sz w:val="24"/>
      <w:szCs w:val="20"/>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6">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2026-10-20T07:17:00Z</dcterms:created>
  <dc:creator>Administrator</dc:creator>
  <cp:lastModifiedBy>Administrator</cp:lastModifiedBy>
  <dcterms:modified xsi:type="dcterms:W3CDTF">2026-10-20T07:18:19Z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FBADB86427B446D6ADCCE60638FF4ADB_11</vt:lpwstr>
  </property>
  <property fmtid="{D5CDD505-2E9C-101B-9397-08002B2CF9AE}" pid="4" name="KSOTemplateDocerSaveRecord">
    <vt:lpwstr>eyJoZGlkIjoiNmZhNDI2NmE2ZDMzMGZiM2Y2MzJiOWMxMzk4NzM5NGMiLCJ1c2VySWQiOiIzNDIwMTYzODUifQ==</vt:lpwstr>
  </property>
</Properties>
</file>