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A70C9D">
      <w:pPr>
        <w:pStyle w:val="2"/>
        <w:keepNext w:val="0"/>
        <w:adjustRightInd w:val="0"/>
        <w:snapToGrid w:val="0"/>
        <w:spacing w:before="156" w:beforeLines="50" w:line="360" w:lineRule="auto"/>
        <w:rPr>
          <w:rFonts w:ascii="黑体" w:hAnsi="华文中宋" w:eastAsia="黑体"/>
          <w:color w:val="auto"/>
          <w:sz w:val="32"/>
          <w:szCs w:val="32"/>
          <w:highlight w:val="none"/>
        </w:rPr>
      </w:pPr>
      <w:bookmarkStart w:id="0" w:name="_Toc8374"/>
      <w:r>
        <w:rPr>
          <w:rFonts w:hint="eastAsia" w:ascii="黑体" w:hAnsi="华文中宋" w:eastAsia="黑体"/>
          <w:color w:val="auto"/>
          <w:sz w:val="32"/>
          <w:szCs w:val="32"/>
          <w:highlight w:val="none"/>
        </w:rPr>
        <w:t>第五章 采购需求</w:t>
      </w:r>
      <w:bookmarkEnd w:id="0"/>
    </w:p>
    <w:p w14:paraId="33D2AF14">
      <w:pPr>
        <w:pStyle w:val="3"/>
        <w:adjustRightInd w:val="0"/>
        <w:snapToGrid w:val="0"/>
        <w:spacing w:before="156" w:beforeLines="50"/>
        <w:jc w:val="center"/>
        <w:rPr>
          <w:rFonts w:ascii="黑体" w:hAnsi="黑体" w:eastAsia="黑体"/>
          <w:color w:val="auto"/>
          <w:sz w:val="28"/>
          <w:szCs w:val="28"/>
          <w:highlight w:val="none"/>
        </w:rPr>
      </w:pPr>
      <w:bookmarkStart w:id="1" w:name="_Toc22333"/>
      <w:r>
        <w:rPr>
          <w:rFonts w:hint="eastAsia" w:ascii="黑体" w:hAnsi="黑体" w:eastAsia="黑体"/>
          <w:color w:val="auto"/>
          <w:sz w:val="28"/>
          <w:szCs w:val="28"/>
          <w:highlight w:val="none"/>
        </w:rPr>
        <w:t>第一节 采购清单一览表</w:t>
      </w:r>
      <w:bookmarkEnd w:id="1"/>
    </w:p>
    <w:tbl>
      <w:tblPr>
        <w:tblStyle w:val="5"/>
        <w:tblpPr w:leftFromText="180" w:rightFromText="180" w:vertAnchor="text" w:horzAnchor="page" w:tblpX="1612" w:tblpY="132"/>
        <w:tblOverlap w:val="never"/>
        <w:tblW w:w="9327"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78"/>
        <w:gridCol w:w="1794"/>
        <w:gridCol w:w="2014"/>
        <w:gridCol w:w="1187"/>
        <w:gridCol w:w="1370"/>
        <w:gridCol w:w="1142"/>
        <w:gridCol w:w="1142"/>
      </w:tblGrid>
      <w:tr w14:paraId="56C1545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53" w:hRule="atLeast"/>
        </w:trPr>
        <w:tc>
          <w:tcPr>
            <w:tcW w:w="678" w:type="dxa"/>
            <w:noWrap w:val="0"/>
            <w:vAlign w:val="center"/>
          </w:tcPr>
          <w:p w14:paraId="23E3EDFC">
            <w:pPr>
              <w:adjustRightInd w:val="0"/>
              <w:snapToGrid w:val="0"/>
              <w:jc w:val="center"/>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Cs w:val="21"/>
                <w:highlight w:val="none"/>
              </w:rPr>
              <w:t>包</w:t>
            </w:r>
            <w:r>
              <w:rPr>
                <w:rFonts w:hint="eastAsia" w:ascii="宋体" w:hAnsi="宋体" w:eastAsia="宋体" w:cs="宋体"/>
                <w:b/>
                <w:bCs/>
                <w:color w:val="auto"/>
                <w:sz w:val="21"/>
                <w:szCs w:val="21"/>
                <w:highlight w:val="none"/>
                <w:lang w:val="en-US" w:eastAsia="zh-CN"/>
              </w:rPr>
              <w:t>号</w:t>
            </w:r>
            <w:r>
              <w:rPr>
                <w:rFonts w:hint="eastAsia" w:ascii="宋体" w:hAnsi="宋体" w:eastAsia="宋体" w:cs="宋体"/>
                <w:b/>
                <w:bCs/>
                <w:color w:val="auto"/>
                <w:szCs w:val="21"/>
                <w:highlight w:val="none"/>
                <w:lang w:val="en-US" w:eastAsia="zh-CN"/>
              </w:rPr>
              <w:t xml:space="preserve"> </w:t>
            </w:r>
            <w:r>
              <w:rPr>
                <w:rFonts w:hint="eastAsia" w:ascii="宋体" w:hAnsi="宋体" w:eastAsia="宋体" w:cs="宋体"/>
                <w:b/>
                <w:bCs/>
                <w:color w:val="auto"/>
                <w:sz w:val="21"/>
                <w:szCs w:val="21"/>
                <w:highlight w:val="none"/>
                <w:lang w:val="en-US" w:eastAsia="zh-CN"/>
              </w:rPr>
              <w:t xml:space="preserve"> </w:t>
            </w:r>
          </w:p>
        </w:tc>
        <w:tc>
          <w:tcPr>
            <w:tcW w:w="1794" w:type="dxa"/>
            <w:noWrap w:val="0"/>
            <w:vAlign w:val="center"/>
          </w:tcPr>
          <w:p w14:paraId="65E4BB9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标的名称</w:t>
            </w:r>
          </w:p>
        </w:tc>
        <w:tc>
          <w:tcPr>
            <w:tcW w:w="2014" w:type="dxa"/>
            <w:tcBorders>
              <w:left w:val="single" w:color="auto" w:sz="4" w:space="0"/>
            </w:tcBorders>
            <w:noWrap w:val="0"/>
            <w:vAlign w:val="center"/>
          </w:tcPr>
          <w:p w14:paraId="4889CC1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简要技术要求</w:t>
            </w:r>
          </w:p>
        </w:tc>
        <w:tc>
          <w:tcPr>
            <w:tcW w:w="1187" w:type="dxa"/>
            <w:tcBorders>
              <w:left w:val="single" w:color="auto" w:sz="4" w:space="0"/>
            </w:tcBorders>
            <w:noWrap w:val="0"/>
            <w:vAlign w:val="center"/>
          </w:tcPr>
          <w:p w14:paraId="2B78535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kern w:val="0"/>
                <w:sz w:val="21"/>
                <w:szCs w:val="21"/>
                <w:highlight w:val="none"/>
              </w:rPr>
            </w:pPr>
            <w:r>
              <w:rPr>
                <w:rFonts w:hint="eastAsia" w:ascii="宋体" w:hAnsi="宋体" w:eastAsia="宋体" w:cs="宋体"/>
                <w:b/>
                <w:bCs/>
                <w:color w:val="auto"/>
                <w:sz w:val="21"/>
                <w:szCs w:val="21"/>
                <w:highlight w:val="none"/>
              </w:rPr>
              <w:t>数量</w:t>
            </w:r>
          </w:p>
        </w:tc>
        <w:tc>
          <w:tcPr>
            <w:tcW w:w="1370" w:type="dxa"/>
            <w:noWrap w:val="0"/>
            <w:vAlign w:val="center"/>
          </w:tcPr>
          <w:p w14:paraId="3D7F11E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单位</w:t>
            </w:r>
          </w:p>
        </w:tc>
        <w:tc>
          <w:tcPr>
            <w:tcW w:w="1142" w:type="dxa"/>
            <w:noWrap w:val="0"/>
            <w:vAlign w:val="center"/>
          </w:tcPr>
          <w:p w14:paraId="290F799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节能产品</w:t>
            </w:r>
          </w:p>
        </w:tc>
        <w:tc>
          <w:tcPr>
            <w:tcW w:w="1142" w:type="dxa"/>
            <w:noWrap w:val="0"/>
            <w:vAlign w:val="center"/>
          </w:tcPr>
          <w:p w14:paraId="19D36ED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进口产品</w:t>
            </w:r>
          </w:p>
        </w:tc>
      </w:tr>
      <w:tr w14:paraId="36F5E13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89" w:hRule="atLeast"/>
        </w:trPr>
        <w:tc>
          <w:tcPr>
            <w:tcW w:w="678" w:type="dxa"/>
            <w:noWrap w:val="0"/>
            <w:vAlign w:val="center"/>
          </w:tcPr>
          <w:p w14:paraId="3417238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794" w:type="dxa"/>
            <w:noWrap w:val="0"/>
            <w:vAlign w:val="center"/>
          </w:tcPr>
          <w:p w14:paraId="758CEDB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2026年株洲市普通省道（三级及以上）多功能交调站建设项目</w:t>
            </w:r>
          </w:p>
        </w:tc>
        <w:tc>
          <w:tcPr>
            <w:tcW w:w="2014" w:type="dxa"/>
            <w:tcBorders>
              <w:left w:val="single" w:color="auto" w:sz="4" w:space="0"/>
            </w:tcBorders>
            <w:noWrap w:val="0"/>
            <w:vAlign w:val="center"/>
          </w:tcPr>
          <w:p w14:paraId="13F5788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详见第二节</w:t>
            </w:r>
            <w:r>
              <w:rPr>
                <w:rFonts w:hint="eastAsia" w:cs="Times New Roman"/>
                <w:color w:val="auto"/>
                <w:sz w:val="21"/>
                <w:szCs w:val="21"/>
                <w:highlight w:val="none"/>
                <w:lang w:val="en-US" w:eastAsia="zh-CN"/>
              </w:rPr>
              <w:t>采购需求</w:t>
            </w:r>
          </w:p>
        </w:tc>
        <w:tc>
          <w:tcPr>
            <w:tcW w:w="1187" w:type="dxa"/>
            <w:tcBorders>
              <w:left w:val="single" w:color="auto" w:sz="4" w:space="0"/>
            </w:tcBorders>
            <w:noWrap w:val="0"/>
            <w:vAlign w:val="center"/>
          </w:tcPr>
          <w:p w14:paraId="487A32F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370" w:type="dxa"/>
            <w:noWrap w:val="0"/>
            <w:vAlign w:val="center"/>
          </w:tcPr>
          <w:p w14:paraId="6D859A0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项</w:t>
            </w:r>
          </w:p>
        </w:tc>
        <w:tc>
          <w:tcPr>
            <w:tcW w:w="1142" w:type="dxa"/>
            <w:noWrap w:val="0"/>
            <w:vAlign w:val="center"/>
          </w:tcPr>
          <w:p w14:paraId="4B8669E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sym w:font="Wingdings" w:char="00A8"/>
            </w:r>
          </w:p>
        </w:tc>
        <w:tc>
          <w:tcPr>
            <w:tcW w:w="1142" w:type="dxa"/>
            <w:noWrap w:val="0"/>
            <w:vAlign w:val="center"/>
          </w:tcPr>
          <w:p w14:paraId="4A7976B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snapToGrid w:val="0"/>
                <w:color w:val="auto"/>
                <w:sz w:val="21"/>
                <w:szCs w:val="21"/>
                <w:highlight w:val="none"/>
                <w:lang w:val="en-US" w:eastAsia="zh-CN"/>
              </w:rPr>
            </w:pPr>
            <w:r>
              <w:rPr>
                <w:rFonts w:hint="eastAsia" w:ascii="宋体" w:hAnsi="宋体" w:eastAsia="宋体" w:cs="宋体"/>
                <w:b w:val="0"/>
                <w:bCs w:val="0"/>
                <w:snapToGrid w:val="0"/>
                <w:color w:val="auto"/>
                <w:sz w:val="21"/>
                <w:szCs w:val="21"/>
                <w:highlight w:val="none"/>
                <w:lang w:val="en-US" w:eastAsia="zh-CN"/>
              </w:rPr>
              <w:sym w:font="Wingdings" w:char="00A8"/>
            </w:r>
          </w:p>
        </w:tc>
      </w:tr>
    </w:tbl>
    <w:p w14:paraId="39BCD947">
      <w:pPr>
        <w:adjustRightInd w:val="0"/>
        <w:snapToGrid w:val="0"/>
        <w:spacing w:before="156" w:beforeLines="50" w:line="360" w:lineRule="auto"/>
        <w:rPr>
          <w:rFonts w:ascii="宋体" w:hAnsi="宋体"/>
          <w:color w:val="auto"/>
          <w:szCs w:val="21"/>
          <w:highlight w:val="none"/>
        </w:rPr>
      </w:pPr>
      <w:r>
        <w:rPr>
          <w:rFonts w:hint="eastAsia" w:ascii="宋体" w:hAnsi="宋体"/>
          <w:color w:val="auto"/>
          <w:szCs w:val="21"/>
          <w:highlight w:val="none"/>
        </w:rPr>
        <w:t>注：1.“包”为最小合同单位（最小投标单位）。</w:t>
      </w:r>
    </w:p>
    <w:p w14:paraId="5852EA3E">
      <w:pPr>
        <w:adjustRightInd w:val="0"/>
        <w:snapToGrid w:val="0"/>
        <w:spacing w:before="156"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2.投标人必须对一个完整、独立的包进行投标，不得仅对一个包中的部分标的投标，否则</w:t>
      </w:r>
      <w:r>
        <w:rPr>
          <w:rFonts w:hint="eastAsia" w:ascii="宋体" w:hAnsi="宋体"/>
          <w:b/>
          <w:color w:val="auto"/>
          <w:szCs w:val="21"/>
          <w:highlight w:val="none"/>
        </w:rPr>
        <w:t>投标无效。</w:t>
      </w:r>
    </w:p>
    <w:p w14:paraId="1409B562">
      <w:pPr>
        <w:adjustRightInd w:val="0"/>
        <w:snapToGrid w:val="0"/>
        <w:spacing w:before="156" w:beforeLines="50" w:line="360" w:lineRule="auto"/>
        <w:ind w:firstLine="420" w:firstLineChars="200"/>
        <w:rPr>
          <w:rFonts w:ascii="宋体" w:hAnsi="宋体" w:cs="宋体"/>
          <w:color w:val="auto"/>
          <w:kern w:val="0"/>
          <w:szCs w:val="21"/>
          <w:highlight w:val="none"/>
        </w:rPr>
      </w:pPr>
      <w:r>
        <w:rPr>
          <w:rFonts w:hint="eastAsia" w:ascii="宋体" w:hAnsi="宋体"/>
          <w:color w:val="auto"/>
          <w:szCs w:val="21"/>
          <w:highlight w:val="none"/>
        </w:rPr>
        <w:t>3.货物的主要技术参数或规格：</w:t>
      </w:r>
      <w:r>
        <w:rPr>
          <w:rFonts w:ascii="宋体" w:hAnsi="宋体" w:cs="宋体"/>
          <w:color w:val="auto"/>
          <w:kern w:val="0"/>
          <w:szCs w:val="21"/>
          <w:highlight w:val="none"/>
        </w:rPr>
        <w:t>详见“技术要求”</w:t>
      </w:r>
      <w:r>
        <w:rPr>
          <w:rFonts w:hint="eastAsia" w:ascii="宋体" w:hAnsi="宋体" w:cs="宋体"/>
          <w:color w:val="auto"/>
          <w:kern w:val="0"/>
          <w:szCs w:val="21"/>
          <w:highlight w:val="none"/>
        </w:rPr>
        <w:t>。</w:t>
      </w:r>
    </w:p>
    <w:p w14:paraId="5F065BD1">
      <w:pPr>
        <w:adjustRightInd w:val="0"/>
        <w:snapToGrid w:val="0"/>
        <w:spacing w:before="156" w:beforeLines="50" w:line="360" w:lineRule="auto"/>
        <w:ind w:firstLine="420" w:firstLineChars="200"/>
        <w:rPr>
          <w:rFonts w:ascii="宋体" w:hAnsi="宋体" w:cs="宋体"/>
          <w:color w:val="auto"/>
          <w:kern w:val="0"/>
          <w:szCs w:val="21"/>
          <w:highlight w:val="none"/>
        </w:rPr>
      </w:pPr>
      <w:r>
        <w:rPr>
          <w:rFonts w:hint="eastAsia" w:ascii="宋体" w:hAnsi="宋体" w:cs="宋体"/>
          <w:bCs/>
          <w:color w:val="auto"/>
          <w:kern w:val="0"/>
          <w:szCs w:val="21"/>
          <w:highlight w:val="none"/>
        </w:rPr>
        <w:t>4.投标人应</w:t>
      </w:r>
      <w:r>
        <w:rPr>
          <w:rFonts w:hint="eastAsia" w:ascii="宋体" w:hAnsi="宋体" w:cs="宋体"/>
          <w:color w:val="auto"/>
          <w:kern w:val="0"/>
          <w:szCs w:val="21"/>
          <w:highlight w:val="none"/>
        </w:rPr>
        <w:t>在投标文件《分项报价明细表》中按</w:t>
      </w:r>
      <w:r>
        <w:rPr>
          <w:rFonts w:hint="eastAsia" w:ascii="宋体" w:hAnsi="宋体"/>
          <w:color w:val="auto"/>
          <w:szCs w:val="21"/>
          <w:highlight w:val="none"/>
        </w:rPr>
        <w:t>标的名称</w:t>
      </w:r>
      <w:r>
        <w:rPr>
          <w:rFonts w:hint="eastAsia" w:ascii="宋体" w:hAnsi="宋体" w:cs="宋体"/>
          <w:color w:val="auto"/>
          <w:kern w:val="0"/>
          <w:szCs w:val="21"/>
          <w:highlight w:val="none"/>
        </w:rPr>
        <w:t>顺序逐项填写，且每个标的中的条目均需按招标文件规定报价。如有缺项、漏项，其</w:t>
      </w:r>
      <w:r>
        <w:rPr>
          <w:rFonts w:hint="eastAsia" w:ascii="宋体" w:hAnsi="宋体" w:cs="宋体"/>
          <w:b/>
          <w:color w:val="auto"/>
          <w:kern w:val="0"/>
          <w:szCs w:val="21"/>
          <w:highlight w:val="none"/>
        </w:rPr>
        <w:t>投标无效</w:t>
      </w:r>
      <w:r>
        <w:rPr>
          <w:rFonts w:hint="eastAsia" w:ascii="宋体" w:hAnsi="宋体" w:cs="宋体"/>
          <w:color w:val="auto"/>
          <w:kern w:val="0"/>
          <w:szCs w:val="21"/>
          <w:highlight w:val="none"/>
        </w:rPr>
        <w:t>。</w:t>
      </w:r>
    </w:p>
    <w:p w14:paraId="7BD24C38">
      <w:pPr>
        <w:rPr>
          <w:rFonts w:ascii="黑体" w:hAnsi="黑体" w:eastAsia="黑体"/>
          <w:color w:val="auto"/>
          <w:sz w:val="28"/>
          <w:szCs w:val="28"/>
          <w:highlight w:val="none"/>
        </w:rPr>
      </w:pPr>
      <w:r>
        <w:rPr>
          <w:rFonts w:ascii="黑体" w:hAnsi="黑体" w:eastAsia="黑体"/>
          <w:color w:val="auto"/>
          <w:sz w:val="28"/>
          <w:szCs w:val="28"/>
          <w:highlight w:val="none"/>
        </w:rPr>
        <w:br w:type="page"/>
      </w:r>
    </w:p>
    <w:p w14:paraId="3C183786">
      <w:pPr>
        <w:pStyle w:val="3"/>
        <w:numPr>
          <w:ilvl w:val="0"/>
          <w:numId w:val="0"/>
        </w:numPr>
        <w:adjustRightInd w:val="0"/>
        <w:snapToGrid w:val="0"/>
        <w:spacing w:before="156" w:beforeLines="50"/>
        <w:jc w:val="center"/>
        <w:rPr>
          <w:rFonts w:hint="default" w:ascii="黑体" w:hAnsi="黑体" w:eastAsia="黑体"/>
          <w:color w:val="auto"/>
          <w:sz w:val="28"/>
          <w:szCs w:val="28"/>
          <w:highlight w:val="none"/>
          <w:lang w:val="en-US" w:eastAsia="zh-CN"/>
        </w:rPr>
      </w:pPr>
      <w:bookmarkStart w:id="2" w:name="_Toc3106"/>
      <w:r>
        <w:rPr>
          <w:rFonts w:hint="eastAsia" w:ascii="黑体" w:hAnsi="黑体" w:eastAsia="黑体" w:cs="Times New Roman"/>
          <w:b/>
          <w:bCs/>
          <w:color w:val="auto"/>
          <w:kern w:val="2"/>
          <w:sz w:val="28"/>
          <w:szCs w:val="28"/>
          <w:highlight w:val="none"/>
          <w:lang w:val="en-US" w:eastAsia="zh-CN" w:bidi="ar-SA"/>
        </w:rPr>
        <w:t xml:space="preserve">第二节 </w:t>
      </w:r>
      <w:r>
        <w:rPr>
          <w:rFonts w:hint="eastAsia" w:ascii="黑体" w:hAnsi="黑体" w:eastAsia="黑体"/>
          <w:color w:val="auto"/>
          <w:sz w:val="28"/>
          <w:szCs w:val="28"/>
          <w:highlight w:val="none"/>
          <w:lang w:val="en-US" w:eastAsia="zh-CN"/>
        </w:rPr>
        <w:t>采购需求</w:t>
      </w:r>
      <w:bookmarkEnd w:id="2"/>
    </w:p>
    <w:p w14:paraId="614E02AD">
      <w:pPr>
        <w:keepNext w:val="0"/>
        <w:keepLines w:val="0"/>
        <w:pageBreakBefore w:val="0"/>
        <w:widowControl w:val="0"/>
        <w:kinsoku/>
        <w:wordWrap/>
        <w:overflowPunct/>
        <w:topLinePunct w:val="0"/>
        <w:autoSpaceDE w:val="0"/>
        <w:autoSpaceDN w:val="0"/>
        <w:bidi w:val="0"/>
        <w:adjustRightInd/>
        <w:snapToGrid/>
        <w:spacing w:before="0" w:line="360" w:lineRule="auto"/>
        <w:ind w:right="0"/>
        <w:textAlignment w:val="auto"/>
        <w:outlineLvl w:val="9"/>
        <w:rPr>
          <w:rFonts w:hint="eastAsia" w:ascii="宋体" w:hAnsi="宋体" w:eastAsia="宋体" w:cs="宋体"/>
          <w:b/>
          <w:bCs/>
          <w:spacing w:val="0"/>
          <w:w w:val="100"/>
          <w:kern w:val="21"/>
          <w:sz w:val="21"/>
          <w:szCs w:val="21"/>
        </w:rPr>
      </w:pPr>
      <w:r>
        <w:rPr>
          <w:rFonts w:hint="eastAsia" w:ascii="宋体" w:hAnsi="宋体" w:eastAsia="宋体" w:cs="宋体"/>
          <w:b/>
          <w:bCs/>
          <w:spacing w:val="0"/>
          <w:w w:val="100"/>
          <w:kern w:val="21"/>
          <w:sz w:val="21"/>
          <w:szCs w:val="21"/>
        </w:rPr>
        <w:t>一、项目背景</w:t>
      </w:r>
    </w:p>
    <w:p w14:paraId="67E93B30">
      <w:pPr>
        <w:pStyle w:val="4"/>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0" w:firstLineChars="200"/>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交通运输统计工作是各级交通运输主管部门实施科学管理的重要手段。新常态下，提升运输服务品质、特别是现代综合交通运输体系的构建，需要交通运输统计工作充分发挥其对经济运行分析和宏观决策的支撑作用。2016年3月，部印发了《交通运输统计发展纲要》（交规划发〔2016〕55号）明确提出要充分利用现代信息技术，变革统计生产方式，再造统计业务流程，丰富统计服务产品，不断提升统计生产能力、管理能力和服务能力，开创交通运输统计发展新局面。</w:t>
      </w:r>
    </w:p>
    <w:p w14:paraId="7231E2DE">
      <w:pPr>
        <w:pStyle w:val="4"/>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0" w:firstLineChars="200"/>
        <w:jc w:val="both"/>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2024年交通运输部、财政部印发《财政部交通运输部关于支持引导公路水路交通基础设施数字化转型升级的通知》，明确提出加快公路水路交通基础设施的数字化改造，建设数字化感知网络、智能化管控系统和网络化服务体系，更加注重资金使用效益，以较少资金投入带动交通基础设施优质供给有效加强。</w:t>
      </w:r>
    </w:p>
    <w:p w14:paraId="3DF2E04C">
      <w:pPr>
        <w:pStyle w:val="4"/>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0" w:firstLineChars="200"/>
        <w:jc w:val="both"/>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2024年9月以来，交通运输部先后印发《普通国省道交通调查能力全面提升工作方案》、《普通国省道多功能交通调查站布局和建设方案》、《交通运输部办公厅公安部办公厅关于开展公路运行监测数据共享共用的通知》，要求全面提升普通国省道交通调查能力。</w:t>
      </w:r>
    </w:p>
    <w:p w14:paraId="422F2022">
      <w:pPr>
        <w:keepNext w:val="0"/>
        <w:keepLines w:val="0"/>
        <w:pageBreakBefore w:val="0"/>
        <w:widowControl w:val="0"/>
        <w:kinsoku/>
        <w:wordWrap/>
        <w:overflowPunct/>
        <w:topLinePunct w:val="0"/>
        <w:autoSpaceDE w:val="0"/>
        <w:autoSpaceDN w:val="0"/>
        <w:bidi w:val="0"/>
        <w:adjustRightInd/>
        <w:snapToGrid/>
        <w:spacing w:before="0" w:line="360" w:lineRule="auto"/>
        <w:ind w:right="0"/>
        <w:textAlignment w:val="auto"/>
        <w:outlineLvl w:val="9"/>
        <w:rPr>
          <w:rFonts w:hint="eastAsia" w:ascii="宋体" w:hAnsi="宋体" w:eastAsia="宋体" w:cs="宋体"/>
          <w:b/>
          <w:bCs/>
          <w:spacing w:val="0"/>
          <w:w w:val="100"/>
          <w:kern w:val="21"/>
          <w:sz w:val="21"/>
          <w:szCs w:val="21"/>
        </w:rPr>
      </w:pPr>
      <w:r>
        <w:rPr>
          <w:rFonts w:hint="eastAsia" w:ascii="宋体" w:hAnsi="宋体" w:eastAsia="宋体" w:cs="宋体"/>
          <w:b/>
          <w:bCs/>
          <w:spacing w:val="0"/>
          <w:w w:val="100"/>
          <w:kern w:val="21"/>
          <w:sz w:val="21"/>
          <w:szCs w:val="21"/>
        </w:rPr>
        <w:t>二、采用的主要技术标准、规范及指南</w:t>
      </w:r>
    </w:p>
    <w:p w14:paraId="6270A4DA">
      <w:pPr>
        <w:pStyle w:val="7"/>
        <w:keepNext w:val="0"/>
        <w:keepLines w:val="0"/>
        <w:pageBreakBefore w:val="0"/>
        <w:widowControl w:val="0"/>
        <w:numPr>
          <w:ilvl w:val="0"/>
          <w:numId w:val="0"/>
        </w:numPr>
        <w:tabs>
          <w:tab w:val="left" w:pos="703"/>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rPr>
      </w:pPr>
      <w:r>
        <w:rPr>
          <w:rFonts w:hint="default" w:ascii="Wingdings" w:hAnsi="Wingdings" w:eastAsia="宋体" w:cs="宋体"/>
          <w:b w:val="0"/>
          <w:bCs w:val="0"/>
          <w:spacing w:val="0"/>
          <w:w w:val="100"/>
          <w:kern w:val="21"/>
          <w:sz w:val="21"/>
          <w:szCs w:val="21"/>
          <w:lang w:val="en-US" w:eastAsia="zh-CN" w:bidi="ar-SA"/>
        </w:rPr>
        <w:t></w:t>
      </w:r>
      <w:r>
        <w:rPr>
          <w:rFonts w:hint="eastAsia" w:ascii="宋体" w:hAnsi="宋体" w:eastAsia="宋体" w:cs="宋体"/>
          <w:b w:val="0"/>
          <w:bCs w:val="0"/>
          <w:spacing w:val="0"/>
          <w:w w:val="100"/>
          <w:kern w:val="21"/>
          <w:sz w:val="21"/>
          <w:szCs w:val="21"/>
        </w:rPr>
        <w:t>《中华人民共和国行政区划代码》（GB/T2260-2007）</w:t>
      </w:r>
    </w:p>
    <w:p w14:paraId="35D46D77">
      <w:pPr>
        <w:pStyle w:val="7"/>
        <w:keepNext w:val="0"/>
        <w:keepLines w:val="0"/>
        <w:pageBreakBefore w:val="0"/>
        <w:widowControl w:val="0"/>
        <w:numPr>
          <w:ilvl w:val="0"/>
          <w:numId w:val="0"/>
        </w:numPr>
        <w:tabs>
          <w:tab w:val="left" w:pos="703"/>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rPr>
      </w:pPr>
      <w:r>
        <w:rPr>
          <w:rFonts w:hint="default" w:ascii="Wingdings" w:hAnsi="Wingdings" w:eastAsia="宋体" w:cs="宋体"/>
          <w:b w:val="0"/>
          <w:bCs w:val="0"/>
          <w:spacing w:val="0"/>
          <w:w w:val="100"/>
          <w:kern w:val="21"/>
          <w:sz w:val="21"/>
          <w:szCs w:val="21"/>
          <w:lang w:val="en-US" w:eastAsia="zh-CN" w:bidi="ar-SA"/>
        </w:rPr>
        <w:t></w:t>
      </w:r>
      <w:r>
        <w:rPr>
          <w:rFonts w:hint="eastAsia" w:ascii="宋体" w:hAnsi="宋体" w:eastAsia="宋体" w:cs="宋体"/>
          <w:b w:val="0"/>
          <w:bCs w:val="0"/>
          <w:spacing w:val="0"/>
          <w:w w:val="100"/>
          <w:kern w:val="21"/>
          <w:sz w:val="21"/>
          <w:szCs w:val="21"/>
        </w:rPr>
        <w:t>《关于加强公路交通情况调查设备技术管理的指导意见（试行）（厅规划字〔2007〕52号）》</w:t>
      </w:r>
    </w:p>
    <w:p w14:paraId="3DED582B">
      <w:pPr>
        <w:pStyle w:val="7"/>
        <w:keepNext w:val="0"/>
        <w:keepLines w:val="0"/>
        <w:pageBreakBefore w:val="0"/>
        <w:widowControl w:val="0"/>
        <w:numPr>
          <w:ilvl w:val="0"/>
          <w:numId w:val="0"/>
        </w:numPr>
        <w:tabs>
          <w:tab w:val="left" w:pos="703"/>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rPr>
      </w:pPr>
      <w:r>
        <w:rPr>
          <w:rFonts w:hint="default" w:ascii="Wingdings" w:hAnsi="Wingdings" w:eastAsia="宋体" w:cs="宋体"/>
          <w:b w:val="0"/>
          <w:bCs w:val="0"/>
          <w:spacing w:val="0"/>
          <w:w w:val="100"/>
          <w:kern w:val="21"/>
          <w:sz w:val="21"/>
          <w:szCs w:val="21"/>
          <w:lang w:val="en-US" w:eastAsia="zh-CN" w:bidi="ar-SA"/>
        </w:rPr>
        <w:t></w:t>
      </w:r>
      <w:r>
        <w:rPr>
          <w:rFonts w:hint="eastAsia" w:ascii="宋体" w:hAnsi="宋体" w:eastAsia="宋体" w:cs="宋体"/>
          <w:b w:val="0"/>
          <w:bCs w:val="0"/>
          <w:spacing w:val="0"/>
          <w:w w:val="100"/>
          <w:kern w:val="21"/>
          <w:sz w:val="21"/>
          <w:szCs w:val="21"/>
        </w:rPr>
        <w:t>《机动车号牌自动识别系统》（GB/T28649一2012）</w:t>
      </w:r>
    </w:p>
    <w:p w14:paraId="4ADB11E8">
      <w:pPr>
        <w:pStyle w:val="7"/>
        <w:keepNext w:val="0"/>
        <w:keepLines w:val="0"/>
        <w:pageBreakBefore w:val="0"/>
        <w:widowControl w:val="0"/>
        <w:numPr>
          <w:ilvl w:val="0"/>
          <w:numId w:val="0"/>
        </w:numPr>
        <w:tabs>
          <w:tab w:val="left" w:pos="703"/>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rPr>
      </w:pPr>
      <w:r>
        <w:rPr>
          <w:rFonts w:hint="default" w:ascii="Wingdings" w:hAnsi="Wingdings" w:eastAsia="宋体" w:cs="宋体"/>
          <w:b w:val="0"/>
          <w:bCs w:val="0"/>
          <w:spacing w:val="0"/>
          <w:w w:val="100"/>
          <w:kern w:val="21"/>
          <w:sz w:val="21"/>
          <w:szCs w:val="21"/>
          <w:lang w:val="en-US" w:eastAsia="zh-CN" w:bidi="ar-SA"/>
        </w:rPr>
        <w:t></w:t>
      </w:r>
      <w:r>
        <w:rPr>
          <w:rFonts w:hint="eastAsia" w:ascii="宋体" w:hAnsi="宋体" w:eastAsia="宋体" w:cs="宋体"/>
          <w:b w:val="0"/>
          <w:bCs w:val="0"/>
          <w:spacing w:val="0"/>
          <w:w w:val="100"/>
          <w:kern w:val="21"/>
          <w:sz w:val="21"/>
          <w:szCs w:val="21"/>
        </w:rPr>
        <w:t>《公路工程标准体系》（JTG1001-2017）</w:t>
      </w:r>
    </w:p>
    <w:p w14:paraId="32BC9D6C">
      <w:pPr>
        <w:pStyle w:val="7"/>
        <w:keepNext w:val="0"/>
        <w:keepLines w:val="0"/>
        <w:pageBreakBefore w:val="0"/>
        <w:widowControl w:val="0"/>
        <w:numPr>
          <w:ilvl w:val="0"/>
          <w:numId w:val="0"/>
        </w:numPr>
        <w:tabs>
          <w:tab w:val="left" w:pos="703"/>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rPr>
      </w:pPr>
      <w:r>
        <w:rPr>
          <w:rFonts w:hint="default" w:ascii="Wingdings" w:hAnsi="Wingdings" w:eastAsia="宋体" w:cs="宋体"/>
          <w:b w:val="0"/>
          <w:bCs w:val="0"/>
          <w:spacing w:val="0"/>
          <w:w w:val="100"/>
          <w:kern w:val="21"/>
          <w:sz w:val="21"/>
          <w:szCs w:val="21"/>
          <w:lang w:val="en-US" w:eastAsia="zh-CN" w:bidi="ar-SA"/>
        </w:rPr>
        <w:t></w:t>
      </w:r>
      <w:r>
        <w:rPr>
          <w:rFonts w:hint="eastAsia" w:ascii="宋体" w:hAnsi="宋体" w:eastAsia="宋体" w:cs="宋体"/>
          <w:b w:val="0"/>
          <w:bCs w:val="0"/>
          <w:spacing w:val="0"/>
          <w:w w:val="100"/>
          <w:kern w:val="21"/>
          <w:sz w:val="21"/>
          <w:szCs w:val="21"/>
        </w:rPr>
        <w:t>《公路工程技术标准》（JTGB01-2014）</w:t>
      </w:r>
    </w:p>
    <w:p w14:paraId="400DA9F6">
      <w:pPr>
        <w:pStyle w:val="7"/>
        <w:keepNext w:val="0"/>
        <w:keepLines w:val="0"/>
        <w:pageBreakBefore w:val="0"/>
        <w:widowControl w:val="0"/>
        <w:numPr>
          <w:ilvl w:val="0"/>
          <w:numId w:val="0"/>
        </w:numPr>
        <w:tabs>
          <w:tab w:val="left" w:pos="703"/>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rPr>
      </w:pPr>
      <w:r>
        <w:rPr>
          <w:rFonts w:hint="default" w:ascii="Wingdings" w:hAnsi="Wingdings" w:eastAsia="宋体" w:cs="宋体"/>
          <w:b w:val="0"/>
          <w:bCs w:val="0"/>
          <w:spacing w:val="0"/>
          <w:w w:val="100"/>
          <w:kern w:val="21"/>
          <w:sz w:val="21"/>
          <w:szCs w:val="21"/>
          <w:lang w:val="en-US" w:eastAsia="zh-CN" w:bidi="ar-SA"/>
        </w:rPr>
        <w:t></w:t>
      </w:r>
      <w:r>
        <w:rPr>
          <w:rFonts w:hint="eastAsia" w:ascii="宋体" w:hAnsi="宋体" w:eastAsia="宋体" w:cs="宋体"/>
          <w:b w:val="0"/>
          <w:bCs w:val="0"/>
          <w:spacing w:val="0"/>
          <w:w w:val="100"/>
          <w:kern w:val="21"/>
          <w:sz w:val="21"/>
          <w:szCs w:val="21"/>
        </w:rPr>
        <w:t>《公路交通安全设施施工技术规范》（JTG/T3671—2021）</w:t>
      </w:r>
    </w:p>
    <w:p w14:paraId="449E8A76">
      <w:pPr>
        <w:pStyle w:val="7"/>
        <w:keepNext w:val="0"/>
        <w:keepLines w:val="0"/>
        <w:pageBreakBefore w:val="0"/>
        <w:widowControl w:val="0"/>
        <w:numPr>
          <w:ilvl w:val="0"/>
          <w:numId w:val="0"/>
        </w:numPr>
        <w:tabs>
          <w:tab w:val="left" w:pos="703"/>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rPr>
      </w:pPr>
      <w:r>
        <w:rPr>
          <w:rFonts w:hint="default" w:ascii="Wingdings" w:hAnsi="Wingdings" w:eastAsia="宋体" w:cs="宋体"/>
          <w:b w:val="0"/>
          <w:bCs w:val="0"/>
          <w:spacing w:val="0"/>
          <w:w w:val="100"/>
          <w:kern w:val="21"/>
          <w:sz w:val="21"/>
          <w:szCs w:val="21"/>
          <w:lang w:val="en-US" w:eastAsia="zh-CN" w:bidi="ar-SA"/>
        </w:rPr>
        <w:t></w:t>
      </w:r>
      <w:r>
        <w:rPr>
          <w:rFonts w:hint="eastAsia" w:ascii="宋体" w:hAnsi="宋体" w:eastAsia="宋体" w:cs="宋体"/>
          <w:b w:val="0"/>
          <w:bCs w:val="0"/>
          <w:spacing w:val="0"/>
          <w:w w:val="100"/>
          <w:kern w:val="21"/>
          <w:sz w:val="21"/>
          <w:szCs w:val="21"/>
        </w:rPr>
        <w:t>《道路交通安全违法行为图像取证技术规范》（GA/T832-2014）</w:t>
      </w:r>
    </w:p>
    <w:p w14:paraId="505264D3">
      <w:pPr>
        <w:pStyle w:val="7"/>
        <w:keepNext w:val="0"/>
        <w:keepLines w:val="0"/>
        <w:pageBreakBefore w:val="0"/>
        <w:widowControl w:val="0"/>
        <w:numPr>
          <w:ilvl w:val="0"/>
          <w:numId w:val="0"/>
        </w:numPr>
        <w:tabs>
          <w:tab w:val="left" w:pos="703"/>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rPr>
      </w:pPr>
      <w:r>
        <w:rPr>
          <w:rFonts w:hint="default" w:ascii="Wingdings" w:hAnsi="Wingdings" w:eastAsia="宋体" w:cs="宋体"/>
          <w:b w:val="0"/>
          <w:bCs w:val="0"/>
          <w:spacing w:val="0"/>
          <w:w w:val="100"/>
          <w:kern w:val="21"/>
          <w:sz w:val="21"/>
          <w:szCs w:val="21"/>
          <w:lang w:val="en-US" w:eastAsia="zh-CN" w:bidi="ar-SA"/>
        </w:rPr>
        <w:t></w:t>
      </w:r>
      <w:r>
        <w:rPr>
          <w:rFonts w:hint="eastAsia" w:ascii="宋体" w:hAnsi="宋体" w:eastAsia="宋体" w:cs="宋体"/>
          <w:b w:val="0"/>
          <w:bCs w:val="0"/>
          <w:spacing w:val="0"/>
          <w:w w:val="100"/>
          <w:kern w:val="21"/>
          <w:sz w:val="21"/>
          <w:szCs w:val="21"/>
        </w:rPr>
        <w:t>《公路交通情况调查设备第1部分：技术条件JT/T1008.1-2015》</w:t>
      </w:r>
    </w:p>
    <w:p w14:paraId="690F7ED1">
      <w:pPr>
        <w:pStyle w:val="7"/>
        <w:keepNext w:val="0"/>
        <w:keepLines w:val="0"/>
        <w:pageBreakBefore w:val="0"/>
        <w:widowControl w:val="0"/>
        <w:numPr>
          <w:ilvl w:val="0"/>
          <w:numId w:val="0"/>
        </w:numPr>
        <w:tabs>
          <w:tab w:val="left" w:pos="703"/>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rPr>
      </w:pPr>
      <w:r>
        <w:rPr>
          <w:rFonts w:hint="default" w:ascii="Wingdings" w:hAnsi="Wingdings" w:eastAsia="宋体" w:cs="宋体"/>
          <w:b w:val="0"/>
          <w:bCs w:val="0"/>
          <w:spacing w:val="0"/>
          <w:w w:val="100"/>
          <w:kern w:val="21"/>
          <w:sz w:val="21"/>
          <w:szCs w:val="21"/>
          <w:lang w:val="en-US" w:eastAsia="zh-CN" w:bidi="ar-SA"/>
        </w:rPr>
        <w:t></w:t>
      </w:r>
      <w:r>
        <w:rPr>
          <w:rFonts w:hint="eastAsia" w:ascii="宋体" w:hAnsi="宋体" w:eastAsia="宋体" w:cs="宋体"/>
          <w:b w:val="0"/>
          <w:bCs w:val="0"/>
          <w:spacing w:val="0"/>
          <w:w w:val="100"/>
          <w:kern w:val="21"/>
          <w:sz w:val="21"/>
          <w:szCs w:val="21"/>
        </w:rPr>
        <w:t>《公路交通情况调查设备第2部分：通信协议JT/T1008.2-2015》</w:t>
      </w:r>
    </w:p>
    <w:p w14:paraId="4F4F6A4F">
      <w:pPr>
        <w:pStyle w:val="7"/>
        <w:keepNext w:val="0"/>
        <w:keepLines w:val="0"/>
        <w:pageBreakBefore w:val="0"/>
        <w:widowControl w:val="0"/>
        <w:numPr>
          <w:ilvl w:val="0"/>
          <w:numId w:val="0"/>
        </w:numPr>
        <w:tabs>
          <w:tab w:val="left" w:pos="703"/>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rPr>
      </w:pPr>
      <w:r>
        <w:rPr>
          <w:rFonts w:hint="default" w:ascii="Wingdings" w:hAnsi="Wingdings" w:eastAsia="宋体" w:cs="宋体"/>
          <w:b w:val="0"/>
          <w:bCs w:val="0"/>
          <w:spacing w:val="0"/>
          <w:w w:val="100"/>
          <w:kern w:val="21"/>
          <w:sz w:val="21"/>
          <w:szCs w:val="21"/>
          <w:lang w:val="en-US" w:eastAsia="zh-CN" w:bidi="ar-SA"/>
        </w:rPr>
        <w:t></w:t>
      </w:r>
      <w:r>
        <w:rPr>
          <w:rFonts w:hint="eastAsia" w:ascii="宋体" w:hAnsi="宋体" w:eastAsia="宋体" w:cs="宋体"/>
          <w:b w:val="0"/>
          <w:bCs w:val="0"/>
          <w:spacing w:val="0"/>
          <w:w w:val="100"/>
          <w:kern w:val="21"/>
          <w:sz w:val="21"/>
          <w:szCs w:val="21"/>
        </w:rPr>
        <w:t>《道路车辆智能监测记录系统通用技术条件》（GA/T497-2016）</w:t>
      </w:r>
    </w:p>
    <w:p w14:paraId="626F19A7">
      <w:pPr>
        <w:pStyle w:val="7"/>
        <w:keepNext w:val="0"/>
        <w:keepLines w:val="0"/>
        <w:pageBreakBefore w:val="0"/>
        <w:widowControl w:val="0"/>
        <w:numPr>
          <w:ilvl w:val="0"/>
          <w:numId w:val="0"/>
        </w:numPr>
        <w:tabs>
          <w:tab w:val="left" w:pos="703"/>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rPr>
      </w:pPr>
      <w:r>
        <w:rPr>
          <w:rFonts w:hint="default" w:ascii="Wingdings" w:hAnsi="Wingdings" w:eastAsia="宋体" w:cs="宋体"/>
          <w:b w:val="0"/>
          <w:bCs w:val="0"/>
          <w:spacing w:val="0"/>
          <w:w w:val="100"/>
          <w:kern w:val="21"/>
          <w:sz w:val="21"/>
          <w:szCs w:val="21"/>
          <w:lang w:val="en-US" w:eastAsia="zh-CN" w:bidi="ar-SA"/>
        </w:rPr>
        <w:t></w:t>
      </w:r>
      <w:r>
        <w:rPr>
          <w:rFonts w:hint="eastAsia" w:ascii="宋体" w:hAnsi="宋体" w:eastAsia="宋体" w:cs="宋体"/>
          <w:b w:val="0"/>
          <w:bCs w:val="0"/>
          <w:spacing w:val="0"/>
          <w:w w:val="100"/>
          <w:kern w:val="21"/>
          <w:sz w:val="21"/>
          <w:szCs w:val="21"/>
        </w:rPr>
        <w:t>《省级公路交通情况调查系统数据指标与基本功能要求》，交通运输部，2016年。</w:t>
      </w:r>
    </w:p>
    <w:p w14:paraId="22F71C35">
      <w:pPr>
        <w:pStyle w:val="7"/>
        <w:keepNext w:val="0"/>
        <w:keepLines w:val="0"/>
        <w:pageBreakBefore w:val="0"/>
        <w:widowControl w:val="0"/>
        <w:numPr>
          <w:ilvl w:val="0"/>
          <w:numId w:val="0"/>
        </w:numPr>
        <w:tabs>
          <w:tab w:val="left" w:pos="703"/>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rPr>
      </w:pPr>
      <w:r>
        <w:rPr>
          <w:rFonts w:hint="default" w:ascii="Wingdings" w:hAnsi="Wingdings" w:eastAsia="宋体" w:cs="宋体"/>
          <w:b w:val="0"/>
          <w:bCs w:val="0"/>
          <w:spacing w:val="0"/>
          <w:w w:val="100"/>
          <w:kern w:val="21"/>
          <w:sz w:val="21"/>
          <w:szCs w:val="21"/>
          <w:lang w:val="en-US" w:eastAsia="zh-CN" w:bidi="ar-SA"/>
        </w:rPr>
        <w:t></w:t>
      </w:r>
      <w:r>
        <w:rPr>
          <w:rFonts w:hint="eastAsia" w:ascii="宋体" w:hAnsi="宋体" w:eastAsia="宋体" w:cs="宋体"/>
          <w:b w:val="0"/>
          <w:bCs w:val="0"/>
          <w:spacing w:val="0"/>
          <w:w w:val="100"/>
          <w:kern w:val="21"/>
          <w:sz w:val="21"/>
          <w:szCs w:val="21"/>
        </w:rPr>
        <w:t>《公路路线标识规则和国道编号》（GB/T917-2017）</w:t>
      </w:r>
    </w:p>
    <w:p w14:paraId="62362D19">
      <w:pPr>
        <w:pStyle w:val="7"/>
        <w:keepNext w:val="0"/>
        <w:keepLines w:val="0"/>
        <w:pageBreakBefore w:val="0"/>
        <w:widowControl w:val="0"/>
        <w:numPr>
          <w:ilvl w:val="0"/>
          <w:numId w:val="0"/>
        </w:numPr>
        <w:tabs>
          <w:tab w:val="left" w:pos="703"/>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rPr>
      </w:pPr>
      <w:r>
        <w:rPr>
          <w:rFonts w:hint="default" w:ascii="Wingdings" w:hAnsi="Wingdings" w:eastAsia="宋体" w:cs="宋体"/>
          <w:b w:val="0"/>
          <w:bCs w:val="0"/>
          <w:spacing w:val="0"/>
          <w:w w:val="100"/>
          <w:kern w:val="21"/>
          <w:sz w:val="21"/>
          <w:szCs w:val="21"/>
          <w:lang w:val="en-US" w:eastAsia="zh-CN" w:bidi="ar-SA"/>
        </w:rPr>
        <w:t></w:t>
      </w:r>
      <w:r>
        <w:rPr>
          <w:rFonts w:hint="eastAsia" w:ascii="宋体" w:hAnsi="宋体" w:eastAsia="宋体" w:cs="宋体"/>
          <w:b w:val="0"/>
          <w:bCs w:val="0"/>
          <w:spacing w:val="0"/>
          <w:w w:val="100"/>
          <w:kern w:val="21"/>
          <w:sz w:val="21"/>
          <w:szCs w:val="21"/>
        </w:rPr>
        <w:t>《公路路线设计规范》（JTGD20-2017）</w:t>
      </w:r>
    </w:p>
    <w:p w14:paraId="28579624">
      <w:pPr>
        <w:pStyle w:val="7"/>
        <w:keepNext w:val="0"/>
        <w:keepLines w:val="0"/>
        <w:pageBreakBefore w:val="0"/>
        <w:widowControl w:val="0"/>
        <w:numPr>
          <w:ilvl w:val="0"/>
          <w:numId w:val="0"/>
        </w:numPr>
        <w:tabs>
          <w:tab w:val="left" w:pos="703"/>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rPr>
      </w:pPr>
      <w:r>
        <w:rPr>
          <w:rFonts w:hint="default" w:ascii="Wingdings" w:hAnsi="Wingdings" w:eastAsia="宋体" w:cs="宋体"/>
          <w:b w:val="0"/>
          <w:bCs w:val="0"/>
          <w:spacing w:val="0"/>
          <w:w w:val="100"/>
          <w:kern w:val="21"/>
          <w:sz w:val="21"/>
          <w:szCs w:val="21"/>
          <w:lang w:val="en-US" w:eastAsia="zh-CN" w:bidi="ar-SA"/>
        </w:rPr>
        <w:t></w:t>
      </w:r>
      <w:r>
        <w:rPr>
          <w:rFonts w:hint="eastAsia" w:ascii="宋体" w:hAnsi="宋体" w:eastAsia="宋体" w:cs="宋体"/>
          <w:b w:val="0"/>
          <w:bCs w:val="0"/>
          <w:spacing w:val="0"/>
          <w:w w:val="100"/>
          <w:kern w:val="21"/>
          <w:sz w:val="21"/>
          <w:szCs w:val="21"/>
        </w:rPr>
        <w:t>《公路交通安全设施设计规范》（JTGD81-2017）</w:t>
      </w:r>
    </w:p>
    <w:p w14:paraId="24BB2D15">
      <w:pPr>
        <w:pStyle w:val="7"/>
        <w:keepNext w:val="0"/>
        <w:keepLines w:val="0"/>
        <w:pageBreakBefore w:val="0"/>
        <w:widowControl w:val="0"/>
        <w:numPr>
          <w:ilvl w:val="0"/>
          <w:numId w:val="0"/>
        </w:numPr>
        <w:tabs>
          <w:tab w:val="left" w:pos="703"/>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rPr>
      </w:pPr>
      <w:r>
        <w:rPr>
          <w:rFonts w:hint="default" w:ascii="Wingdings" w:hAnsi="Wingdings" w:eastAsia="宋体" w:cs="宋体"/>
          <w:b w:val="0"/>
          <w:bCs w:val="0"/>
          <w:spacing w:val="0"/>
          <w:w w:val="100"/>
          <w:kern w:val="21"/>
          <w:sz w:val="21"/>
          <w:szCs w:val="21"/>
          <w:lang w:val="en-US" w:eastAsia="zh-CN" w:bidi="ar-SA"/>
        </w:rPr>
        <w:t></w:t>
      </w:r>
      <w:r>
        <w:rPr>
          <w:rFonts w:hint="eastAsia" w:ascii="宋体" w:hAnsi="宋体" w:eastAsia="宋体" w:cs="宋体"/>
          <w:b w:val="0"/>
          <w:bCs w:val="0"/>
          <w:spacing w:val="0"/>
          <w:w w:val="100"/>
          <w:kern w:val="21"/>
          <w:sz w:val="21"/>
          <w:szCs w:val="21"/>
        </w:rPr>
        <w:t>湖南省地方标准《公路货运车辆不停车超限超载检测系统建设与使用技术规范》</w:t>
      </w:r>
    </w:p>
    <w:p w14:paraId="25C7F6F4">
      <w:pPr>
        <w:pStyle w:val="4"/>
        <w:keepNext w:val="0"/>
        <w:keepLines w:val="0"/>
        <w:pageBreakBefore w:val="0"/>
        <w:widowControl w:val="0"/>
        <w:numPr>
          <w:ilvl w:val="0"/>
          <w:numId w:val="0"/>
        </w:numPr>
        <w:kinsoku/>
        <w:wordWrap/>
        <w:overflowPunct/>
        <w:topLinePunct w:val="0"/>
        <w:autoSpaceDE w:val="0"/>
        <w:autoSpaceDN w:val="0"/>
        <w:bidi w:val="0"/>
        <w:adjustRightInd/>
        <w:snapToGrid/>
        <w:spacing w:before="0" w:line="360" w:lineRule="auto"/>
        <w:ind w:left="0" w:leftChars="0" w:right="0" w:rightChars="0" w:firstLine="420" w:firstLineChars="200"/>
        <w:textAlignment w:val="auto"/>
        <w:outlineLvl w:val="9"/>
        <w:rPr>
          <w:rFonts w:hint="eastAsia" w:ascii="宋体" w:hAnsi="宋体" w:eastAsia="宋体" w:cs="宋体"/>
          <w:b w:val="0"/>
          <w:bCs w:val="0"/>
          <w:spacing w:val="0"/>
          <w:w w:val="100"/>
          <w:kern w:val="21"/>
          <w:sz w:val="21"/>
          <w:szCs w:val="21"/>
        </w:rPr>
      </w:pPr>
      <w:r>
        <w:rPr>
          <w:rFonts w:hint="default" w:ascii="Wingdings" w:hAnsi="Wingdings" w:eastAsia="宋体" w:cs="宋体"/>
          <w:b w:val="0"/>
          <w:bCs w:val="0"/>
          <w:spacing w:val="0"/>
          <w:w w:val="100"/>
          <w:kern w:val="21"/>
          <w:sz w:val="21"/>
          <w:szCs w:val="21"/>
          <w:lang w:val="en-US" w:eastAsia="zh-CN" w:bidi="ar-SA"/>
        </w:rPr>
        <w:t></w:t>
      </w:r>
      <w:r>
        <w:rPr>
          <w:rFonts w:hint="eastAsia" w:ascii="宋体" w:hAnsi="宋体" w:eastAsia="宋体" w:cs="宋体"/>
          <w:b w:val="0"/>
          <w:bCs w:val="0"/>
          <w:spacing w:val="0"/>
          <w:w w:val="100"/>
          <w:kern w:val="21"/>
          <w:sz w:val="21"/>
          <w:szCs w:val="21"/>
        </w:rPr>
        <w:t>（DB43/T1817-2020）</w:t>
      </w:r>
    </w:p>
    <w:p w14:paraId="59D53063">
      <w:pPr>
        <w:pStyle w:val="7"/>
        <w:keepNext w:val="0"/>
        <w:keepLines w:val="0"/>
        <w:pageBreakBefore w:val="0"/>
        <w:widowControl w:val="0"/>
        <w:numPr>
          <w:ilvl w:val="0"/>
          <w:numId w:val="0"/>
        </w:numPr>
        <w:tabs>
          <w:tab w:val="left" w:pos="703"/>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rPr>
      </w:pPr>
      <w:r>
        <w:rPr>
          <w:rFonts w:hint="default" w:ascii="Wingdings" w:hAnsi="Wingdings" w:eastAsia="宋体" w:cs="宋体"/>
          <w:b w:val="0"/>
          <w:bCs w:val="0"/>
          <w:spacing w:val="0"/>
          <w:w w:val="100"/>
          <w:kern w:val="21"/>
          <w:sz w:val="21"/>
          <w:szCs w:val="21"/>
          <w:lang w:val="en-US" w:eastAsia="zh-CN" w:bidi="ar-SA"/>
        </w:rPr>
        <w:t></w:t>
      </w:r>
      <w:r>
        <w:rPr>
          <w:rFonts w:hint="eastAsia" w:ascii="宋体" w:hAnsi="宋体" w:eastAsia="宋体" w:cs="宋体"/>
          <w:b w:val="0"/>
          <w:bCs w:val="0"/>
          <w:spacing w:val="0"/>
          <w:w w:val="100"/>
          <w:kern w:val="21"/>
          <w:sz w:val="21"/>
          <w:szCs w:val="21"/>
        </w:rPr>
        <w:t>《动态公路车辆自动衡器》（GB/T21296-2020）</w:t>
      </w:r>
    </w:p>
    <w:p w14:paraId="287691A4">
      <w:pPr>
        <w:pStyle w:val="7"/>
        <w:keepNext w:val="0"/>
        <w:keepLines w:val="0"/>
        <w:pageBreakBefore w:val="0"/>
        <w:widowControl w:val="0"/>
        <w:numPr>
          <w:ilvl w:val="0"/>
          <w:numId w:val="0"/>
        </w:numPr>
        <w:tabs>
          <w:tab w:val="left" w:pos="703"/>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rPr>
      </w:pPr>
      <w:r>
        <w:rPr>
          <w:rFonts w:hint="default" w:ascii="Wingdings" w:hAnsi="Wingdings" w:eastAsia="宋体" w:cs="宋体"/>
          <w:b w:val="0"/>
          <w:bCs w:val="0"/>
          <w:spacing w:val="0"/>
          <w:w w:val="100"/>
          <w:kern w:val="21"/>
          <w:sz w:val="21"/>
          <w:szCs w:val="21"/>
          <w:lang w:val="en-US" w:eastAsia="zh-CN" w:bidi="ar-SA"/>
        </w:rPr>
        <w:t></w:t>
      </w:r>
      <w:r>
        <w:rPr>
          <w:rFonts w:hint="eastAsia" w:ascii="宋体" w:hAnsi="宋体" w:eastAsia="宋体" w:cs="宋体"/>
          <w:b w:val="0"/>
          <w:bCs w:val="0"/>
          <w:spacing w:val="0"/>
          <w:w w:val="100"/>
          <w:kern w:val="21"/>
          <w:sz w:val="21"/>
          <w:szCs w:val="21"/>
        </w:rPr>
        <w:t>《湖南省公路交通情况统计调查制度》，湖南省交通运输厅，2020</w:t>
      </w:r>
    </w:p>
    <w:p w14:paraId="33AEA539">
      <w:pPr>
        <w:pStyle w:val="7"/>
        <w:keepNext w:val="0"/>
        <w:keepLines w:val="0"/>
        <w:pageBreakBefore w:val="0"/>
        <w:widowControl w:val="0"/>
        <w:numPr>
          <w:ilvl w:val="0"/>
          <w:numId w:val="0"/>
        </w:numPr>
        <w:tabs>
          <w:tab w:val="left" w:pos="703"/>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rPr>
      </w:pPr>
      <w:r>
        <w:rPr>
          <w:rFonts w:hint="default" w:ascii="Wingdings" w:hAnsi="Wingdings" w:eastAsia="宋体" w:cs="宋体"/>
          <w:b w:val="0"/>
          <w:bCs w:val="0"/>
          <w:spacing w:val="0"/>
          <w:w w:val="100"/>
          <w:kern w:val="21"/>
          <w:sz w:val="21"/>
          <w:szCs w:val="21"/>
          <w:lang w:val="en-US" w:eastAsia="zh-CN" w:bidi="ar-SA"/>
        </w:rPr>
        <w:t></w:t>
      </w:r>
      <w:r>
        <w:rPr>
          <w:rFonts w:hint="eastAsia" w:ascii="宋体" w:hAnsi="宋体" w:eastAsia="宋体" w:cs="宋体"/>
          <w:b w:val="0"/>
          <w:bCs w:val="0"/>
          <w:spacing w:val="0"/>
          <w:w w:val="100"/>
          <w:kern w:val="21"/>
          <w:sz w:val="21"/>
          <w:szCs w:val="21"/>
        </w:rPr>
        <w:t>《交通运输数据资源交换与共享第3部分：数据格式与接口》（JT/T1415.3-2022）</w:t>
      </w:r>
    </w:p>
    <w:p w14:paraId="3C967774">
      <w:pPr>
        <w:pStyle w:val="7"/>
        <w:keepNext w:val="0"/>
        <w:keepLines w:val="0"/>
        <w:pageBreakBefore w:val="0"/>
        <w:widowControl w:val="0"/>
        <w:numPr>
          <w:ilvl w:val="0"/>
          <w:numId w:val="0"/>
        </w:numPr>
        <w:tabs>
          <w:tab w:val="left" w:pos="703"/>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rPr>
      </w:pPr>
      <w:r>
        <w:rPr>
          <w:rFonts w:hint="default" w:ascii="Wingdings" w:hAnsi="Wingdings" w:eastAsia="宋体" w:cs="宋体"/>
          <w:b w:val="0"/>
          <w:bCs w:val="0"/>
          <w:spacing w:val="0"/>
          <w:w w:val="100"/>
          <w:kern w:val="21"/>
          <w:sz w:val="21"/>
          <w:szCs w:val="21"/>
          <w:lang w:val="en-US" w:eastAsia="zh-CN" w:bidi="ar-SA"/>
        </w:rPr>
        <w:t></w:t>
      </w:r>
      <w:r>
        <w:rPr>
          <w:rFonts w:hint="eastAsia" w:ascii="宋体" w:hAnsi="宋体" w:eastAsia="宋体" w:cs="宋体"/>
          <w:b w:val="0"/>
          <w:bCs w:val="0"/>
          <w:spacing w:val="0"/>
          <w:w w:val="100"/>
          <w:kern w:val="21"/>
          <w:sz w:val="21"/>
          <w:szCs w:val="21"/>
        </w:rPr>
        <w:t>《交通技术监控成像补光装置通用技术规范》（GA/T1202-2022）</w:t>
      </w:r>
    </w:p>
    <w:p w14:paraId="2D033501">
      <w:pPr>
        <w:pStyle w:val="7"/>
        <w:keepNext w:val="0"/>
        <w:keepLines w:val="0"/>
        <w:pageBreakBefore w:val="0"/>
        <w:widowControl w:val="0"/>
        <w:numPr>
          <w:ilvl w:val="0"/>
          <w:numId w:val="0"/>
        </w:numPr>
        <w:tabs>
          <w:tab w:val="left" w:pos="703"/>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rPr>
      </w:pPr>
      <w:r>
        <w:rPr>
          <w:rFonts w:hint="default" w:ascii="Wingdings" w:hAnsi="Wingdings" w:eastAsia="宋体" w:cs="宋体"/>
          <w:b w:val="0"/>
          <w:bCs w:val="0"/>
          <w:spacing w:val="0"/>
          <w:w w:val="100"/>
          <w:kern w:val="21"/>
          <w:sz w:val="21"/>
          <w:szCs w:val="21"/>
          <w:lang w:val="en-US" w:eastAsia="zh-CN" w:bidi="ar-SA"/>
        </w:rPr>
        <w:t></w:t>
      </w:r>
      <w:r>
        <w:rPr>
          <w:rFonts w:hint="eastAsia" w:ascii="宋体" w:hAnsi="宋体" w:eastAsia="宋体" w:cs="宋体"/>
          <w:b w:val="0"/>
          <w:bCs w:val="0"/>
          <w:spacing w:val="0"/>
          <w:w w:val="100"/>
          <w:kern w:val="21"/>
          <w:sz w:val="21"/>
          <w:szCs w:val="21"/>
        </w:rPr>
        <w:t>《道路交通标志和标线第2部分：道路交通标志》（GB5768.2—2022）</w:t>
      </w:r>
    </w:p>
    <w:p w14:paraId="5EB7C244">
      <w:pPr>
        <w:pStyle w:val="7"/>
        <w:keepNext w:val="0"/>
        <w:keepLines w:val="0"/>
        <w:pageBreakBefore w:val="0"/>
        <w:widowControl w:val="0"/>
        <w:numPr>
          <w:ilvl w:val="0"/>
          <w:numId w:val="0"/>
        </w:numPr>
        <w:tabs>
          <w:tab w:val="left" w:pos="703"/>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rPr>
      </w:pPr>
      <w:r>
        <w:rPr>
          <w:rFonts w:hint="default" w:ascii="Wingdings" w:hAnsi="Wingdings" w:eastAsia="宋体" w:cs="宋体"/>
          <w:b w:val="0"/>
          <w:bCs w:val="0"/>
          <w:spacing w:val="0"/>
          <w:w w:val="100"/>
          <w:kern w:val="21"/>
          <w:sz w:val="21"/>
          <w:szCs w:val="21"/>
          <w:lang w:val="en-US" w:eastAsia="zh-CN" w:bidi="ar-SA"/>
        </w:rPr>
        <w:t></w:t>
      </w:r>
      <w:r>
        <w:rPr>
          <w:rFonts w:hint="eastAsia" w:ascii="宋体" w:hAnsi="宋体" w:eastAsia="宋体" w:cs="宋体"/>
          <w:b w:val="0"/>
          <w:bCs w:val="0"/>
          <w:spacing w:val="0"/>
          <w:w w:val="100"/>
          <w:kern w:val="21"/>
          <w:sz w:val="21"/>
          <w:szCs w:val="21"/>
        </w:rPr>
        <w:t>《公共安全视频监控联网系统信息传输、交接、控制技术要求》（GB/T28181-2022）</w:t>
      </w:r>
    </w:p>
    <w:p w14:paraId="03D98E40">
      <w:pPr>
        <w:pStyle w:val="7"/>
        <w:keepNext w:val="0"/>
        <w:keepLines w:val="0"/>
        <w:pageBreakBefore w:val="0"/>
        <w:widowControl w:val="0"/>
        <w:numPr>
          <w:ilvl w:val="0"/>
          <w:numId w:val="0"/>
        </w:numPr>
        <w:tabs>
          <w:tab w:val="left" w:pos="703"/>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rPr>
      </w:pPr>
      <w:r>
        <w:rPr>
          <w:rFonts w:hint="default" w:ascii="Wingdings" w:hAnsi="Wingdings" w:eastAsia="宋体" w:cs="宋体"/>
          <w:b w:val="0"/>
          <w:bCs w:val="0"/>
          <w:spacing w:val="0"/>
          <w:w w:val="100"/>
          <w:kern w:val="21"/>
          <w:sz w:val="21"/>
          <w:szCs w:val="21"/>
          <w:lang w:val="en-US" w:eastAsia="zh-CN" w:bidi="ar-SA"/>
        </w:rPr>
        <w:t></w:t>
      </w:r>
      <w:r>
        <w:rPr>
          <w:rFonts w:hint="eastAsia" w:ascii="宋体" w:hAnsi="宋体" w:eastAsia="宋体" w:cs="宋体"/>
          <w:b w:val="0"/>
          <w:bCs w:val="0"/>
          <w:spacing w:val="0"/>
          <w:w w:val="100"/>
          <w:kern w:val="21"/>
          <w:sz w:val="21"/>
          <w:szCs w:val="21"/>
        </w:rPr>
        <w:t>《高速公路ETC门架交调站技术规范》（JT/T1550—2025）</w:t>
      </w:r>
    </w:p>
    <w:p w14:paraId="1CF2DDF5">
      <w:pPr>
        <w:pStyle w:val="7"/>
        <w:keepNext w:val="0"/>
        <w:keepLines w:val="0"/>
        <w:pageBreakBefore w:val="0"/>
        <w:widowControl w:val="0"/>
        <w:numPr>
          <w:ilvl w:val="0"/>
          <w:numId w:val="0"/>
        </w:numPr>
        <w:tabs>
          <w:tab w:val="left" w:pos="703"/>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rPr>
      </w:pPr>
      <w:r>
        <w:rPr>
          <w:rFonts w:hint="default" w:ascii="Wingdings" w:hAnsi="Wingdings" w:eastAsia="宋体" w:cs="宋体"/>
          <w:b w:val="0"/>
          <w:bCs w:val="0"/>
          <w:spacing w:val="0"/>
          <w:w w:val="100"/>
          <w:kern w:val="21"/>
          <w:sz w:val="21"/>
          <w:szCs w:val="21"/>
          <w:lang w:val="en-US" w:eastAsia="zh-CN" w:bidi="ar-SA"/>
        </w:rPr>
        <w:t></w:t>
      </w:r>
      <w:r>
        <w:rPr>
          <w:rFonts w:hint="eastAsia" w:ascii="宋体" w:hAnsi="宋体" w:eastAsia="宋体" w:cs="宋体"/>
          <w:b w:val="0"/>
          <w:bCs w:val="0"/>
          <w:spacing w:val="0"/>
          <w:w w:val="100"/>
          <w:kern w:val="21"/>
          <w:sz w:val="21"/>
          <w:szCs w:val="21"/>
        </w:rPr>
        <w:t>《公路工程施工现场安全防护技术要求》（JT/T1508-2024）</w:t>
      </w:r>
    </w:p>
    <w:p w14:paraId="02B31060">
      <w:pPr>
        <w:keepNext w:val="0"/>
        <w:keepLines w:val="0"/>
        <w:pageBreakBefore w:val="0"/>
        <w:widowControl w:val="0"/>
        <w:kinsoku/>
        <w:wordWrap/>
        <w:overflowPunct/>
        <w:topLinePunct w:val="0"/>
        <w:autoSpaceDE w:val="0"/>
        <w:autoSpaceDN w:val="0"/>
        <w:bidi w:val="0"/>
        <w:adjustRightInd/>
        <w:snapToGrid/>
        <w:spacing w:before="0" w:line="360" w:lineRule="auto"/>
        <w:ind w:right="0"/>
        <w:textAlignment w:val="auto"/>
        <w:outlineLvl w:val="9"/>
        <w:rPr>
          <w:rFonts w:hint="eastAsia" w:ascii="宋体" w:hAnsi="宋体" w:eastAsia="宋体" w:cs="宋体"/>
          <w:b/>
          <w:bCs/>
          <w:spacing w:val="0"/>
          <w:w w:val="100"/>
          <w:kern w:val="21"/>
          <w:sz w:val="21"/>
          <w:szCs w:val="21"/>
        </w:rPr>
      </w:pPr>
      <w:r>
        <w:rPr>
          <w:rFonts w:hint="eastAsia" w:ascii="宋体" w:hAnsi="宋体" w:eastAsia="宋体" w:cs="宋体"/>
          <w:b/>
          <w:bCs/>
          <w:spacing w:val="0"/>
          <w:w w:val="100"/>
          <w:kern w:val="21"/>
          <w:sz w:val="21"/>
          <w:szCs w:val="21"/>
        </w:rPr>
        <w:t>三、</w:t>
      </w:r>
      <w:r>
        <w:rPr>
          <w:rFonts w:hint="eastAsia" w:cs="宋体"/>
          <w:b/>
          <w:bCs/>
          <w:spacing w:val="0"/>
          <w:w w:val="100"/>
          <w:kern w:val="21"/>
          <w:sz w:val="21"/>
          <w:szCs w:val="21"/>
          <w:lang w:val="en-US" w:eastAsia="zh-CN"/>
        </w:rPr>
        <w:t>建设</w:t>
      </w:r>
      <w:r>
        <w:rPr>
          <w:rFonts w:hint="eastAsia" w:ascii="宋体" w:hAnsi="宋体" w:eastAsia="宋体" w:cs="宋体"/>
          <w:b/>
          <w:bCs/>
          <w:spacing w:val="0"/>
          <w:w w:val="100"/>
          <w:kern w:val="21"/>
          <w:sz w:val="21"/>
          <w:szCs w:val="21"/>
        </w:rPr>
        <w:t>内容</w:t>
      </w:r>
    </w:p>
    <w:p w14:paraId="328B3FB8">
      <w:pPr>
        <w:pStyle w:val="4"/>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0" w:firstLineChars="200"/>
        <w:jc w:val="both"/>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根据《普通国省道多功能交通调查站布局和建设方案》，普通省道三级及以上多功能交调站拟完成交调站设计数量（新建+升级）共305处（含规划站点305处，经现场调查核减永州市179站点一处；经现场调查永州共新增1处站点），其中新建240处，升级65处。涉及省道里程约11000公里，14个市州、122个县市区。</w:t>
      </w:r>
    </w:p>
    <w:p w14:paraId="4B146F53">
      <w:pPr>
        <w:pStyle w:val="4"/>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0" w:firstLineChars="200"/>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根据实际探勘以及沟通；</w:t>
      </w:r>
    </w:p>
    <w:p w14:paraId="74EC3947">
      <w:pPr>
        <w:pStyle w:val="4"/>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2" w:firstLineChars="200"/>
        <w:jc w:val="both"/>
        <w:textAlignment w:val="auto"/>
        <w:outlineLvl w:val="9"/>
        <w:rPr>
          <w:rFonts w:hint="eastAsia" w:ascii="宋体" w:hAnsi="宋体" w:eastAsia="宋体" w:cs="宋体"/>
          <w:b/>
          <w:bCs/>
          <w:spacing w:val="0"/>
          <w:w w:val="100"/>
          <w:kern w:val="21"/>
          <w:sz w:val="21"/>
          <w:szCs w:val="21"/>
        </w:rPr>
      </w:pPr>
      <w:r>
        <w:rPr>
          <w:rFonts w:hint="eastAsia" w:ascii="宋体" w:hAnsi="宋体" w:eastAsia="宋体" w:cs="宋体"/>
          <w:b/>
          <w:bCs/>
          <w:spacing w:val="0"/>
          <w:w w:val="100"/>
          <w:kern w:val="21"/>
          <w:sz w:val="21"/>
          <w:szCs w:val="21"/>
        </w:rPr>
        <w:t>株洲市新建I类站12处，新建Ⅱ类站11处，共计23处。</w:t>
      </w:r>
    </w:p>
    <w:p w14:paraId="3AB9C832">
      <w:pPr>
        <w:pStyle w:val="4"/>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0" w:firstLineChars="200"/>
        <w:jc w:val="both"/>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普通交通的条件比较差，所有路段全部为混合式交通，非机动车对机动车的干扰特别大，在山区路段，还有线性问题，道路线性差的情况下，则必须对站点位置进行调整，调整后的具体位置能够满足站点观测区间的要求，能够真实反映交通观测站所代表的交通流数据。</w:t>
      </w:r>
    </w:p>
    <w:p w14:paraId="176E0247">
      <w:pPr>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0" w:firstLineChars="200"/>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普通交通交通观测站点的具体位置的选取过程中，主要从设备的已维护性的角度出发，着重考虑观测设备的供电、通信、安装条件、有利于交调数据的获取、能够真实反映交通流状况等因素。</w:t>
      </w:r>
    </w:p>
    <w:p w14:paraId="2A5CF312">
      <w:pPr>
        <w:keepNext w:val="0"/>
        <w:keepLines w:val="0"/>
        <w:pageBreakBefore w:val="0"/>
        <w:widowControl w:val="0"/>
        <w:numPr>
          <w:ilvl w:val="1"/>
          <w:numId w:val="0"/>
        </w:numPr>
        <w:tabs>
          <w:tab w:val="left" w:pos="1225"/>
        </w:tabs>
        <w:kinsoku/>
        <w:wordWrap/>
        <w:overflowPunct/>
        <w:topLinePunct w:val="0"/>
        <w:autoSpaceDE w:val="0"/>
        <w:autoSpaceDN w:val="0"/>
        <w:bidi w:val="0"/>
        <w:adjustRightInd/>
        <w:snapToGrid/>
        <w:spacing w:before="0" w:after="0" w:line="360" w:lineRule="auto"/>
        <w:ind w:left="0" w:leftChars="0" w:right="0" w:rightChars="0" w:firstLine="422" w:firstLineChars="200"/>
        <w:jc w:val="left"/>
        <w:textAlignment w:val="auto"/>
        <w:outlineLvl w:val="9"/>
        <w:rPr>
          <w:rFonts w:hint="eastAsia" w:ascii="宋体" w:hAnsi="宋体" w:eastAsia="宋体" w:cs="宋体"/>
          <w:b/>
          <w:bCs/>
          <w:spacing w:val="0"/>
          <w:w w:val="100"/>
          <w:kern w:val="21"/>
          <w:sz w:val="21"/>
          <w:szCs w:val="21"/>
        </w:rPr>
      </w:pPr>
      <w:r>
        <w:rPr>
          <w:rFonts w:hint="eastAsia" w:ascii="宋体" w:hAnsi="宋体" w:eastAsia="宋体" w:cs="宋体"/>
          <w:b/>
          <w:bCs/>
          <w:i w:val="0"/>
          <w:iCs w:val="0"/>
          <w:spacing w:val="0"/>
          <w:w w:val="100"/>
          <w:kern w:val="21"/>
          <w:sz w:val="21"/>
          <w:szCs w:val="21"/>
          <w:lang w:val="en-US" w:eastAsia="zh-CN" w:bidi="ar-SA"/>
        </w:rPr>
        <w:t>3.1</w:t>
      </w:r>
      <w:r>
        <w:rPr>
          <w:rFonts w:hint="eastAsia" w:ascii="宋体" w:hAnsi="宋体" w:eastAsia="宋体" w:cs="宋体"/>
          <w:b/>
          <w:bCs/>
          <w:spacing w:val="0"/>
          <w:w w:val="100"/>
          <w:kern w:val="21"/>
          <w:sz w:val="21"/>
          <w:szCs w:val="21"/>
        </w:rPr>
        <w:t>设置原则</w:t>
      </w:r>
    </w:p>
    <w:p w14:paraId="624764CF">
      <w:pPr>
        <w:pStyle w:val="4"/>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0" w:firstLineChars="200"/>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根据湖南省交调观测系统建设和运行的现状，在确定交调观测系统管理机构时，应考虑以下原则：</w:t>
      </w:r>
    </w:p>
    <w:p w14:paraId="3BC7AEC8">
      <w:pPr>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2" w:firstLineChars="200"/>
        <w:textAlignment w:val="auto"/>
        <w:outlineLvl w:val="9"/>
        <w:rPr>
          <w:rFonts w:hint="eastAsia" w:ascii="宋体" w:hAnsi="宋体" w:eastAsia="宋体" w:cs="宋体"/>
          <w:b/>
          <w:bCs/>
          <w:spacing w:val="0"/>
          <w:w w:val="100"/>
          <w:kern w:val="21"/>
          <w:sz w:val="21"/>
          <w:szCs w:val="21"/>
        </w:rPr>
      </w:pPr>
      <w:r>
        <w:rPr>
          <w:rFonts w:hint="eastAsia" w:ascii="宋体" w:hAnsi="宋体" w:eastAsia="宋体" w:cs="宋体"/>
          <w:b/>
          <w:bCs/>
          <w:spacing w:val="0"/>
          <w:w w:val="100"/>
          <w:kern w:val="21"/>
          <w:sz w:val="21"/>
          <w:szCs w:val="21"/>
        </w:rPr>
        <w:t>适应性</w:t>
      </w:r>
    </w:p>
    <w:p w14:paraId="2E5A4205">
      <w:pPr>
        <w:pStyle w:val="4"/>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0" w:firstLineChars="200"/>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建立完善的交调观测系统管理体制，应借鉴国内已有的先进管理经验，并考虑湖南省的实际情况，以满足湖南省交调观测系统的管理要求。</w:t>
      </w:r>
    </w:p>
    <w:p w14:paraId="724AB411">
      <w:pPr>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2" w:firstLineChars="200"/>
        <w:textAlignment w:val="auto"/>
        <w:outlineLvl w:val="9"/>
        <w:rPr>
          <w:rFonts w:hint="eastAsia" w:ascii="宋体" w:hAnsi="宋体" w:eastAsia="宋体" w:cs="宋体"/>
          <w:b/>
          <w:bCs/>
          <w:spacing w:val="0"/>
          <w:w w:val="100"/>
          <w:kern w:val="21"/>
          <w:sz w:val="21"/>
          <w:szCs w:val="21"/>
        </w:rPr>
      </w:pPr>
      <w:r>
        <w:rPr>
          <w:rFonts w:hint="eastAsia" w:ascii="宋体" w:hAnsi="宋体" w:eastAsia="宋体" w:cs="宋体"/>
          <w:b/>
          <w:bCs/>
          <w:spacing w:val="0"/>
          <w:w w:val="100"/>
          <w:kern w:val="21"/>
          <w:sz w:val="21"/>
          <w:szCs w:val="21"/>
        </w:rPr>
        <w:t>高效性</w:t>
      </w:r>
    </w:p>
    <w:p w14:paraId="035567B6">
      <w:pPr>
        <w:pStyle w:val="4"/>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0" w:firstLineChars="200"/>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交调观测系统管理机制应建立在高起点上，应是一个“办事高效、运转协调、行为规范”的管理体系。</w:t>
      </w:r>
    </w:p>
    <w:p w14:paraId="1F010855">
      <w:pPr>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2" w:firstLineChars="200"/>
        <w:textAlignment w:val="auto"/>
        <w:outlineLvl w:val="9"/>
        <w:rPr>
          <w:rFonts w:hint="eastAsia" w:ascii="宋体" w:hAnsi="宋体" w:eastAsia="宋体" w:cs="宋体"/>
          <w:b/>
          <w:bCs/>
          <w:spacing w:val="0"/>
          <w:w w:val="100"/>
          <w:kern w:val="21"/>
          <w:sz w:val="21"/>
          <w:szCs w:val="21"/>
        </w:rPr>
      </w:pPr>
      <w:r>
        <w:rPr>
          <w:rFonts w:hint="eastAsia" w:ascii="宋体" w:hAnsi="宋体" w:eastAsia="宋体" w:cs="宋体"/>
          <w:b/>
          <w:bCs/>
          <w:spacing w:val="0"/>
          <w:w w:val="100"/>
          <w:kern w:val="21"/>
          <w:sz w:val="21"/>
          <w:szCs w:val="21"/>
        </w:rPr>
        <w:t>集中、统一性</w:t>
      </w:r>
    </w:p>
    <w:p w14:paraId="5D30E93A">
      <w:pPr>
        <w:pStyle w:val="4"/>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0" w:firstLineChars="200"/>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交调观测系统专业性强、技术含量高，应以集中统一管理为原则，以加强交调观测系统的管理，实现交通数据的统计工作。</w:t>
      </w:r>
    </w:p>
    <w:p w14:paraId="422425D6">
      <w:pPr>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2" w:firstLineChars="200"/>
        <w:textAlignment w:val="auto"/>
        <w:outlineLvl w:val="9"/>
        <w:rPr>
          <w:rFonts w:hint="eastAsia" w:ascii="宋体" w:hAnsi="宋体" w:eastAsia="宋体" w:cs="宋体"/>
          <w:b/>
          <w:bCs/>
          <w:spacing w:val="0"/>
          <w:w w:val="100"/>
          <w:kern w:val="21"/>
          <w:sz w:val="21"/>
          <w:szCs w:val="21"/>
        </w:rPr>
      </w:pPr>
      <w:r>
        <w:rPr>
          <w:rFonts w:hint="eastAsia" w:ascii="宋体" w:hAnsi="宋体" w:eastAsia="宋体" w:cs="宋体"/>
          <w:b/>
          <w:bCs/>
          <w:spacing w:val="0"/>
          <w:w w:val="100"/>
          <w:kern w:val="21"/>
          <w:sz w:val="21"/>
          <w:szCs w:val="21"/>
        </w:rPr>
        <w:t>管理模式</w:t>
      </w:r>
    </w:p>
    <w:p w14:paraId="1A397CA3">
      <w:pPr>
        <w:pStyle w:val="4"/>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0" w:firstLineChars="200"/>
        <w:jc w:val="both"/>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湖南省公路交通情况调查工作按照“统一组织、分级负责”的原则开展，由湖南省交通运输厅路网运行管理处归口管理。厅综合规划处负责交调布局、数据应用规划，厅科技信息中心负责全省交调数据管理，湖南省公路事务中心负责除高速公路之外的普通干线公路交通情况调查工作的开展。按照“属地管理”的模式，各市县交通运输管理部门负责辖区内交调相关工作归口管理。各市州、区县公路管理机构负责辖区内普通公路信息采集与分析、设备运行情况的监控和运维。</w:t>
      </w:r>
    </w:p>
    <w:p w14:paraId="2C536BD0">
      <w:pPr>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2" w:firstLineChars="200"/>
        <w:jc w:val="left"/>
        <w:textAlignment w:val="auto"/>
        <w:outlineLvl w:val="9"/>
        <w:rPr>
          <w:rFonts w:hint="eastAsia" w:ascii="宋体" w:hAnsi="宋体" w:eastAsia="宋体" w:cs="宋体"/>
          <w:b/>
          <w:bCs/>
          <w:spacing w:val="0"/>
          <w:w w:val="100"/>
          <w:kern w:val="21"/>
          <w:sz w:val="21"/>
          <w:szCs w:val="21"/>
        </w:rPr>
      </w:pPr>
      <w:r>
        <w:rPr>
          <w:rFonts w:hint="eastAsia" w:ascii="宋体" w:hAnsi="宋体" w:eastAsia="宋体" w:cs="宋体"/>
          <w:b/>
          <w:bCs/>
          <w:spacing w:val="0"/>
          <w:w w:val="100"/>
          <w:kern w:val="21"/>
          <w:sz w:val="21"/>
          <w:szCs w:val="21"/>
        </w:rPr>
        <w:t>本次普通省道（三级及以上）多功能交通调查站建设工程由湖南省公路事务中心统一规划部署，各市州公路管理机构负责辖区内多功能交通调查站建设。</w:t>
      </w:r>
    </w:p>
    <w:p w14:paraId="61C6EE06">
      <w:pPr>
        <w:keepNext w:val="0"/>
        <w:keepLines w:val="0"/>
        <w:pageBreakBefore w:val="0"/>
        <w:widowControl w:val="0"/>
        <w:numPr>
          <w:ilvl w:val="1"/>
          <w:numId w:val="0"/>
        </w:numPr>
        <w:tabs>
          <w:tab w:val="left" w:pos="1268"/>
        </w:tabs>
        <w:kinsoku/>
        <w:wordWrap/>
        <w:overflowPunct/>
        <w:topLinePunct w:val="0"/>
        <w:autoSpaceDE w:val="0"/>
        <w:autoSpaceDN w:val="0"/>
        <w:bidi w:val="0"/>
        <w:adjustRightInd/>
        <w:snapToGrid/>
        <w:spacing w:before="0" w:after="0" w:line="360" w:lineRule="auto"/>
        <w:ind w:left="0" w:leftChars="0" w:right="0" w:rightChars="0" w:firstLine="422" w:firstLineChars="200"/>
        <w:jc w:val="left"/>
        <w:textAlignment w:val="auto"/>
        <w:outlineLvl w:val="9"/>
        <w:rPr>
          <w:rFonts w:hint="eastAsia" w:ascii="宋体" w:hAnsi="宋体" w:eastAsia="宋体" w:cs="宋体"/>
          <w:b/>
          <w:bCs/>
          <w:spacing w:val="0"/>
          <w:w w:val="100"/>
          <w:kern w:val="21"/>
          <w:sz w:val="21"/>
          <w:szCs w:val="21"/>
        </w:rPr>
      </w:pPr>
      <w:r>
        <w:rPr>
          <w:rFonts w:hint="eastAsia" w:ascii="宋体" w:hAnsi="宋体" w:eastAsia="宋体" w:cs="宋体"/>
          <w:b/>
          <w:bCs/>
          <w:i w:val="0"/>
          <w:iCs w:val="0"/>
          <w:spacing w:val="0"/>
          <w:w w:val="100"/>
          <w:kern w:val="21"/>
          <w:sz w:val="21"/>
          <w:szCs w:val="21"/>
          <w:lang w:val="en-US" w:eastAsia="zh-CN" w:bidi="ar-SA"/>
        </w:rPr>
        <w:t>3.2</w:t>
      </w:r>
      <w:r>
        <w:rPr>
          <w:rFonts w:hint="eastAsia" w:ascii="宋体" w:hAnsi="宋体" w:eastAsia="宋体" w:cs="宋体"/>
          <w:b/>
          <w:bCs/>
          <w:spacing w:val="0"/>
          <w:w w:val="100"/>
          <w:kern w:val="21"/>
          <w:sz w:val="21"/>
          <w:szCs w:val="21"/>
        </w:rPr>
        <w:t>布设原则</w:t>
      </w:r>
    </w:p>
    <w:p w14:paraId="29021358">
      <w:pPr>
        <w:keepNext w:val="0"/>
        <w:keepLines w:val="0"/>
        <w:pageBreakBefore w:val="0"/>
        <w:widowControl w:val="0"/>
        <w:numPr>
          <w:ilvl w:val="2"/>
          <w:numId w:val="0"/>
        </w:numPr>
        <w:tabs>
          <w:tab w:val="left" w:pos="1306"/>
        </w:tabs>
        <w:kinsoku/>
        <w:wordWrap/>
        <w:overflowPunct/>
        <w:topLinePunct w:val="0"/>
        <w:autoSpaceDE w:val="0"/>
        <w:autoSpaceDN w:val="0"/>
        <w:bidi w:val="0"/>
        <w:adjustRightInd/>
        <w:snapToGrid/>
        <w:spacing w:before="0" w:after="0" w:line="360" w:lineRule="auto"/>
        <w:ind w:left="0" w:leftChars="0" w:right="0" w:rightChars="0" w:firstLine="422" w:firstLineChars="200"/>
        <w:jc w:val="left"/>
        <w:textAlignment w:val="auto"/>
        <w:outlineLvl w:val="9"/>
        <w:rPr>
          <w:rFonts w:hint="eastAsia" w:ascii="宋体" w:hAnsi="宋体" w:eastAsia="宋体" w:cs="宋体"/>
          <w:b/>
          <w:bCs/>
          <w:spacing w:val="0"/>
          <w:w w:val="100"/>
          <w:kern w:val="21"/>
          <w:sz w:val="21"/>
          <w:szCs w:val="21"/>
        </w:rPr>
      </w:pPr>
      <w:r>
        <w:rPr>
          <w:rFonts w:hint="eastAsia" w:ascii="宋体" w:hAnsi="宋体" w:eastAsia="宋体" w:cs="宋体"/>
          <w:b/>
          <w:bCs/>
          <w:i w:val="0"/>
          <w:iCs w:val="0"/>
          <w:spacing w:val="0"/>
          <w:w w:val="100"/>
          <w:kern w:val="21"/>
          <w:sz w:val="21"/>
          <w:szCs w:val="21"/>
          <w:lang w:val="en-US" w:eastAsia="zh-CN" w:bidi="ar-SA"/>
        </w:rPr>
        <w:t>3.2.1</w:t>
      </w:r>
      <w:r>
        <w:rPr>
          <w:rFonts w:hint="eastAsia" w:ascii="宋体" w:hAnsi="宋体" w:eastAsia="宋体" w:cs="宋体"/>
          <w:b/>
          <w:bCs/>
          <w:spacing w:val="0"/>
          <w:w w:val="100"/>
          <w:kern w:val="21"/>
          <w:sz w:val="21"/>
          <w:szCs w:val="21"/>
        </w:rPr>
        <w:t>布局思路</w:t>
      </w:r>
    </w:p>
    <w:p w14:paraId="0BF47E49">
      <w:pPr>
        <w:pStyle w:val="4"/>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0" w:firstLineChars="200"/>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聚焦普通国省道，积极采用新技术、新方法、新装备，系统整合行业内外数据资源，按照统一布局、分类实施、能融尽融、边建边用的原则，“融合一批、升级一批、新建一批”多功能交调站。到2026年底，通过融合一批、升级一批、新建一批多功能交调站，基本实现普通国道和三级及以上普通省道全覆盖，全面增加车牌识别功能，因地制宜增加视频监测等其他功能，实时汇聚车流量、车牌、车型、车重等数据。</w:t>
      </w:r>
    </w:p>
    <w:p w14:paraId="757B0DCC">
      <w:pPr>
        <w:pStyle w:val="4"/>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0" w:firstLineChars="200"/>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展望到2030底，全面实现普通国省道多功能交调站全覆盖，农村公路重要路段按需采集，基本建成功能多样、实时准确、随需随有、科学好用的普通公路交通调查大数据体系，为加快建设交通强国、数字中国提供坚实数据支撑。</w:t>
      </w:r>
    </w:p>
    <w:p w14:paraId="560D6B0A">
      <w:pPr>
        <w:keepNext w:val="0"/>
        <w:keepLines w:val="0"/>
        <w:pageBreakBefore w:val="0"/>
        <w:widowControl w:val="0"/>
        <w:numPr>
          <w:ilvl w:val="2"/>
          <w:numId w:val="0"/>
        </w:numPr>
        <w:tabs>
          <w:tab w:val="left" w:pos="1306"/>
        </w:tabs>
        <w:kinsoku/>
        <w:wordWrap/>
        <w:overflowPunct/>
        <w:topLinePunct w:val="0"/>
        <w:autoSpaceDE w:val="0"/>
        <w:autoSpaceDN w:val="0"/>
        <w:bidi w:val="0"/>
        <w:adjustRightInd/>
        <w:snapToGrid/>
        <w:spacing w:before="0" w:after="0" w:line="360" w:lineRule="auto"/>
        <w:ind w:left="0" w:leftChars="0" w:right="0" w:rightChars="0" w:firstLine="422" w:firstLineChars="200"/>
        <w:jc w:val="left"/>
        <w:textAlignment w:val="auto"/>
        <w:outlineLvl w:val="9"/>
        <w:rPr>
          <w:rFonts w:hint="eastAsia" w:ascii="宋体" w:hAnsi="宋体" w:eastAsia="宋体" w:cs="宋体"/>
          <w:b/>
          <w:bCs/>
          <w:spacing w:val="0"/>
          <w:w w:val="100"/>
          <w:kern w:val="21"/>
          <w:sz w:val="21"/>
          <w:szCs w:val="21"/>
        </w:rPr>
      </w:pPr>
      <w:r>
        <w:rPr>
          <w:rFonts w:hint="eastAsia" w:ascii="宋体" w:hAnsi="宋体" w:eastAsia="宋体" w:cs="宋体"/>
          <w:b/>
          <w:bCs/>
          <w:i w:val="0"/>
          <w:iCs w:val="0"/>
          <w:spacing w:val="0"/>
          <w:w w:val="100"/>
          <w:kern w:val="21"/>
          <w:sz w:val="21"/>
          <w:szCs w:val="21"/>
          <w:lang w:val="en-US" w:eastAsia="zh-CN" w:bidi="ar-SA"/>
        </w:rPr>
        <w:t>3.2.2</w:t>
      </w:r>
      <w:r>
        <w:rPr>
          <w:rFonts w:hint="eastAsia" w:ascii="宋体" w:hAnsi="宋体" w:eastAsia="宋体" w:cs="宋体"/>
          <w:b/>
          <w:bCs/>
          <w:spacing w:val="0"/>
          <w:w w:val="100"/>
          <w:kern w:val="21"/>
          <w:sz w:val="21"/>
          <w:szCs w:val="21"/>
        </w:rPr>
        <w:t>布局方法</w:t>
      </w:r>
    </w:p>
    <w:p w14:paraId="6D81CFB7">
      <w:pPr>
        <w:pStyle w:val="7"/>
        <w:keepNext w:val="0"/>
        <w:keepLines w:val="0"/>
        <w:pageBreakBefore w:val="0"/>
        <w:widowControl w:val="0"/>
        <w:numPr>
          <w:ilvl w:val="0"/>
          <w:numId w:val="0"/>
        </w:numPr>
        <w:tabs>
          <w:tab w:val="left" w:pos="1126"/>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i w:val="0"/>
          <w:iCs w:val="0"/>
          <w:spacing w:val="0"/>
          <w:w w:val="100"/>
          <w:kern w:val="21"/>
          <w:sz w:val="21"/>
          <w:szCs w:val="21"/>
          <w:lang w:val="en-US" w:eastAsia="zh-CN" w:bidi="ar-SA"/>
        </w:rPr>
        <w:t>1）</w:t>
      </w:r>
      <w:r>
        <w:rPr>
          <w:rFonts w:hint="eastAsia" w:ascii="宋体" w:hAnsi="宋体" w:eastAsia="宋体" w:cs="宋体"/>
          <w:b w:val="0"/>
          <w:bCs w:val="0"/>
          <w:spacing w:val="0"/>
          <w:w w:val="100"/>
          <w:kern w:val="21"/>
          <w:sz w:val="21"/>
          <w:szCs w:val="21"/>
        </w:rPr>
        <w:t>路段划分</w:t>
      </w:r>
    </w:p>
    <w:p w14:paraId="21BFDF0D">
      <w:pPr>
        <w:pStyle w:val="7"/>
        <w:keepNext w:val="0"/>
        <w:keepLines w:val="0"/>
        <w:pageBreakBefore w:val="0"/>
        <w:widowControl w:val="0"/>
        <w:numPr>
          <w:ilvl w:val="0"/>
          <w:numId w:val="0"/>
        </w:numPr>
        <w:tabs>
          <w:tab w:val="left" w:pos="1344"/>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i w:val="0"/>
          <w:iCs w:val="0"/>
          <w:spacing w:val="0"/>
          <w:w w:val="100"/>
          <w:kern w:val="21"/>
          <w:sz w:val="21"/>
          <w:szCs w:val="21"/>
          <w:lang w:val="en-US" w:eastAsia="zh-CN" w:bidi="ar-SA"/>
        </w:rPr>
        <w:t>（1）</w:t>
      </w:r>
      <w:r>
        <w:rPr>
          <w:rFonts w:hint="eastAsia" w:ascii="宋体" w:hAnsi="宋体" w:eastAsia="宋体" w:cs="宋体"/>
          <w:b w:val="0"/>
          <w:bCs w:val="0"/>
          <w:spacing w:val="0"/>
          <w:w w:val="100"/>
          <w:kern w:val="21"/>
          <w:sz w:val="21"/>
          <w:szCs w:val="21"/>
        </w:rPr>
        <w:t>路线筛选：由于城管道路、断头路、重复路段均不纳入公路养护管理统计中，因此需要去除以上道路数据。</w:t>
      </w:r>
    </w:p>
    <w:p w14:paraId="541D9DF4">
      <w:pPr>
        <w:pStyle w:val="7"/>
        <w:keepNext w:val="0"/>
        <w:keepLines w:val="0"/>
        <w:pageBreakBefore w:val="0"/>
        <w:widowControl w:val="0"/>
        <w:numPr>
          <w:ilvl w:val="0"/>
          <w:numId w:val="0"/>
        </w:numPr>
        <w:tabs>
          <w:tab w:val="left" w:pos="1344"/>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i w:val="0"/>
          <w:iCs w:val="0"/>
          <w:spacing w:val="0"/>
          <w:w w:val="100"/>
          <w:kern w:val="21"/>
          <w:sz w:val="21"/>
          <w:szCs w:val="21"/>
          <w:lang w:val="en-US" w:eastAsia="zh-CN" w:bidi="ar-SA"/>
        </w:rPr>
        <w:t>（2）</w:t>
      </w:r>
      <w:r>
        <w:rPr>
          <w:rFonts w:hint="eastAsia" w:ascii="宋体" w:hAnsi="宋体" w:eastAsia="宋体" w:cs="宋体"/>
          <w:b w:val="0"/>
          <w:bCs w:val="0"/>
          <w:spacing w:val="0"/>
          <w:w w:val="100"/>
          <w:kern w:val="21"/>
          <w:sz w:val="21"/>
          <w:szCs w:val="21"/>
        </w:rPr>
        <w:t>初始划分：以高速公路、普通国道、普通省道、农村公路的交汇点为基准和以道路与省界、市界的交汇点为基准，将普通国道、普通省道和农村公路重要路段划分为连续路段。</w:t>
      </w:r>
    </w:p>
    <w:p w14:paraId="65164111">
      <w:pPr>
        <w:pStyle w:val="7"/>
        <w:keepNext w:val="0"/>
        <w:keepLines w:val="0"/>
        <w:pageBreakBefore w:val="0"/>
        <w:widowControl w:val="0"/>
        <w:numPr>
          <w:ilvl w:val="0"/>
          <w:numId w:val="0"/>
        </w:numPr>
        <w:tabs>
          <w:tab w:val="left" w:pos="1246"/>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i w:val="0"/>
          <w:iCs w:val="0"/>
          <w:spacing w:val="0"/>
          <w:w w:val="100"/>
          <w:kern w:val="21"/>
          <w:sz w:val="21"/>
          <w:szCs w:val="21"/>
          <w:lang w:val="en-US" w:eastAsia="zh-CN" w:bidi="ar-SA"/>
        </w:rPr>
        <w:t>2）</w:t>
      </w:r>
      <w:r>
        <w:rPr>
          <w:rFonts w:hint="eastAsia" w:ascii="宋体" w:hAnsi="宋体" w:eastAsia="宋体" w:cs="宋体"/>
          <w:b w:val="0"/>
          <w:bCs w:val="0"/>
          <w:spacing w:val="0"/>
          <w:w w:val="100"/>
          <w:kern w:val="21"/>
          <w:sz w:val="21"/>
          <w:szCs w:val="21"/>
        </w:rPr>
        <w:t>优化合并路段</w:t>
      </w:r>
    </w:p>
    <w:p w14:paraId="030985C6">
      <w:pPr>
        <w:pStyle w:val="7"/>
        <w:keepNext w:val="0"/>
        <w:keepLines w:val="0"/>
        <w:pageBreakBefore w:val="0"/>
        <w:widowControl w:val="0"/>
        <w:numPr>
          <w:ilvl w:val="0"/>
          <w:numId w:val="0"/>
        </w:numPr>
        <w:tabs>
          <w:tab w:val="left" w:pos="1366"/>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i w:val="0"/>
          <w:iCs w:val="0"/>
          <w:spacing w:val="0"/>
          <w:w w:val="100"/>
          <w:kern w:val="21"/>
          <w:sz w:val="21"/>
          <w:szCs w:val="21"/>
          <w:lang w:val="en-US" w:eastAsia="zh-CN" w:bidi="ar-SA"/>
        </w:rPr>
        <w:t>（1）</w:t>
      </w:r>
      <w:r>
        <w:rPr>
          <w:rFonts w:hint="eastAsia" w:ascii="宋体" w:hAnsi="宋体" w:eastAsia="宋体" w:cs="宋体"/>
          <w:b w:val="0"/>
          <w:bCs w:val="0"/>
          <w:spacing w:val="0"/>
          <w:w w:val="100"/>
          <w:kern w:val="21"/>
          <w:sz w:val="21"/>
          <w:szCs w:val="21"/>
        </w:rPr>
        <w:t>长度小于2公里的路段需与邻近路段合并，避免冗余布局。</w:t>
      </w:r>
    </w:p>
    <w:p w14:paraId="2A5D4BE2">
      <w:pPr>
        <w:pStyle w:val="7"/>
        <w:keepNext w:val="0"/>
        <w:keepLines w:val="0"/>
        <w:pageBreakBefore w:val="0"/>
        <w:widowControl w:val="0"/>
        <w:numPr>
          <w:ilvl w:val="0"/>
          <w:numId w:val="0"/>
        </w:numPr>
        <w:tabs>
          <w:tab w:val="left" w:pos="1337"/>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i w:val="0"/>
          <w:iCs w:val="0"/>
          <w:spacing w:val="0"/>
          <w:w w:val="100"/>
          <w:kern w:val="21"/>
          <w:sz w:val="21"/>
          <w:szCs w:val="21"/>
          <w:lang w:val="en-US" w:eastAsia="zh-CN" w:bidi="ar-SA"/>
        </w:rPr>
        <w:t>（2）</w:t>
      </w:r>
      <w:r>
        <w:rPr>
          <w:rFonts w:hint="eastAsia" w:ascii="宋体" w:hAnsi="宋体" w:eastAsia="宋体" w:cs="宋体"/>
          <w:b w:val="0"/>
          <w:bCs w:val="0"/>
          <w:spacing w:val="0"/>
          <w:w w:val="100"/>
          <w:kern w:val="21"/>
          <w:sz w:val="21"/>
          <w:szCs w:val="21"/>
        </w:rPr>
        <w:t>根据人口因素进行调整，在常住人口规模小于20万的县级区域，三级及以上县、乡道与国道的交汇点邻近路段进行合并。</w:t>
      </w:r>
    </w:p>
    <w:p w14:paraId="233FD612">
      <w:pPr>
        <w:pStyle w:val="7"/>
        <w:keepNext w:val="0"/>
        <w:keepLines w:val="0"/>
        <w:pageBreakBefore w:val="0"/>
        <w:widowControl w:val="0"/>
        <w:numPr>
          <w:ilvl w:val="0"/>
          <w:numId w:val="0"/>
        </w:numPr>
        <w:tabs>
          <w:tab w:val="left" w:pos="1366"/>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i w:val="0"/>
          <w:iCs w:val="0"/>
          <w:spacing w:val="0"/>
          <w:w w:val="100"/>
          <w:kern w:val="21"/>
          <w:sz w:val="21"/>
          <w:szCs w:val="21"/>
          <w:lang w:val="en-US" w:eastAsia="zh-CN" w:bidi="ar-SA"/>
        </w:rPr>
        <w:t>（3）</w:t>
      </w:r>
      <w:r>
        <w:rPr>
          <w:rFonts w:hint="eastAsia" w:ascii="宋体" w:hAnsi="宋体" w:eastAsia="宋体" w:cs="宋体"/>
          <w:b w:val="0"/>
          <w:bCs w:val="0"/>
          <w:spacing w:val="0"/>
          <w:w w:val="100"/>
          <w:kern w:val="21"/>
          <w:sz w:val="21"/>
          <w:szCs w:val="21"/>
        </w:rPr>
        <w:t>根据道路层次、数据精度和社会影响等因素，车辆通行实际情况进行路段合并。</w:t>
      </w:r>
    </w:p>
    <w:p w14:paraId="47CB9132">
      <w:pPr>
        <w:pStyle w:val="7"/>
        <w:keepNext w:val="0"/>
        <w:keepLines w:val="0"/>
        <w:pageBreakBefore w:val="0"/>
        <w:widowControl w:val="0"/>
        <w:numPr>
          <w:ilvl w:val="0"/>
          <w:numId w:val="0"/>
        </w:numPr>
        <w:tabs>
          <w:tab w:val="left" w:pos="1368"/>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i w:val="0"/>
          <w:iCs w:val="0"/>
          <w:spacing w:val="0"/>
          <w:w w:val="100"/>
          <w:kern w:val="21"/>
          <w:sz w:val="21"/>
          <w:szCs w:val="21"/>
          <w:lang w:val="en-US" w:eastAsia="zh-CN" w:bidi="ar-SA"/>
        </w:rPr>
        <w:t>3）</w:t>
      </w:r>
      <w:r>
        <w:rPr>
          <w:rFonts w:hint="eastAsia" w:ascii="宋体" w:hAnsi="宋体" w:eastAsia="宋体" w:cs="宋体"/>
          <w:b w:val="0"/>
          <w:bCs w:val="0"/>
          <w:spacing w:val="0"/>
          <w:w w:val="100"/>
          <w:kern w:val="21"/>
          <w:sz w:val="21"/>
          <w:szCs w:val="21"/>
        </w:rPr>
        <w:t>加密原则</w:t>
      </w:r>
    </w:p>
    <w:p w14:paraId="461D8EB3">
      <w:pPr>
        <w:pStyle w:val="7"/>
        <w:keepNext w:val="0"/>
        <w:keepLines w:val="0"/>
        <w:pageBreakBefore w:val="0"/>
        <w:widowControl w:val="0"/>
        <w:numPr>
          <w:ilvl w:val="0"/>
          <w:numId w:val="0"/>
        </w:numPr>
        <w:tabs>
          <w:tab w:val="left" w:pos="1366"/>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i w:val="0"/>
          <w:iCs w:val="0"/>
          <w:spacing w:val="0"/>
          <w:w w:val="100"/>
          <w:kern w:val="21"/>
          <w:sz w:val="21"/>
          <w:szCs w:val="21"/>
          <w:lang w:val="en-US" w:eastAsia="zh-CN" w:bidi="ar-SA"/>
        </w:rPr>
        <w:t>（1）</w:t>
      </w:r>
      <w:r>
        <w:rPr>
          <w:rFonts w:hint="eastAsia" w:ascii="宋体" w:hAnsi="宋体" w:eastAsia="宋体" w:cs="宋体"/>
          <w:b w:val="0"/>
          <w:bCs w:val="0"/>
          <w:spacing w:val="0"/>
          <w:w w:val="100"/>
          <w:kern w:val="21"/>
          <w:sz w:val="21"/>
          <w:szCs w:val="21"/>
        </w:rPr>
        <w:t>每条路线至少布设1个多功能交通调查站。</w:t>
      </w:r>
    </w:p>
    <w:p w14:paraId="668E3D89">
      <w:pPr>
        <w:pStyle w:val="7"/>
        <w:keepNext w:val="0"/>
        <w:keepLines w:val="0"/>
        <w:pageBreakBefore w:val="0"/>
        <w:widowControl w:val="0"/>
        <w:numPr>
          <w:ilvl w:val="0"/>
          <w:numId w:val="0"/>
        </w:numPr>
        <w:tabs>
          <w:tab w:val="left" w:pos="1366"/>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i w:val="0"/>
          <w:iCs w:val="0"/>
          <w:spacing w:val="0"/>
          <w:w w:val="100"/>
          <w:kern w:val="21"/>
          <w:sz w:val="21"/>
          <w:szCs w:val="21"/>
          <w:lang w:val="en-US" w:eastAsia="zh-CN" w:bidi="ar-SA"/>
        </w:rPr>
        <w:t>（2）</w:t>
      </w:r>
      <w:r>
        <w:rPr>
          <w:rFonts w:hint="eastAsia" w:ascii="宋体" w:hAnsi="宋体" w:eastAsia="宋体" w:cs="宋体"/>
          <w:b w:val="0"/>
          <w:bCs w:val="0"/>
          <w:spacing w:val="0"/>
          <w:w w:val="100"/>
          <w:kern w:val="21"/>
          <w:sz w:val="21"/>
          <w:szCs w:val="21"/>
        </w:rPr>
        <w:t>普通国省道可以在以下路段基础布局上适当增设站点：</w:t>
      </w:r>
    </w:p>
    <w:p w14:paraId="5F7DA1A0">
      <w:pPr>
        <w:pStyle w:val="7"/>
        <w:keepNext w:val="0"/>
        <w:keepLines w:val="0"/>
        <w:pageBreakBefore w:val="0"/>
        <w:widowControl w:val="0"/>
        <w:numPr>
          <w:ilvl w:val="0"/>
          <w:numId w:val="0"/>
        </w:numPr>
        <w:tabs>
          <w:tab w:val="left" w:pos="823"/>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rPr>
      </w:pPr>
      <w:r>
        <w:rPr>
          <w:rFonts w:hint="default" w:ascii="Wingdings" w:hAnsi="Wingdings" w:eastAsia="宋体" w:cs="宋体"/>
          <w:b w:val="0"/>
          <w:bCs w:val="0"/>
          <w:spacing w:val="0"/>
          <w:w w:val="100"/>
          <w:kern w:val="21"/>
          <w:sz w:val="21"/>
          <w:szCs w:val="21"/>
          <w:lang w:val="en-US" w:eastAsia="zh-CN" w:bidi="ar-SA"/>
        </w:rPr>
        <w:t></w:t>
      </w:r>
      <w:r>
        <w:rPr>
          <w:rFonts w:hint="eastAsia" w:ascii="宋体" w:hAnsi="宋体" w:eastAsia="宋体" w:cs="宋体"/>
          <w:b w:val="0"/>
          <w:bCs w:val="0"/>
          <w:spacing w:val="0"/>
          <w:w w:val="100"/>
          <w:kern w:val="21"/>
          <w:sz w:val="21"/>
          <w:szCs w:val="21"/>
        </w:rPr>
        <w:t>高速公路平行路段和连接路段；</w:t>
      </w:r>
    </w:p>
    <w:p w14:paraId="740C48B5">
      <w:pPr>
        <w:pStyle w:val="7"/>
        <w:keepNext w:val="0"/>
        <w:keepLines w:val="0"/>
        <w:pageBreakBefore w:val="0"/>
        <w:widowControl w:val="0"/>
        <w:numPr>
          <w:ilvl w:val="0"/>
          <w:numId w:val="0"/>
        </w:numPr>
        <w:tabs>
          <w:tab w:val="left" w:pos="823"/>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rPr>
      </w:pPr>
      <w:r>
        <w:rPr>
          <w:rFonts w:hint="default" w:ascii="Wingdings" w:hAnsi="Wingdings" w:eastAsia="宋体" w:cs="宋体"/>
          <w:b w:val="0"/>
          <w:bCs w:val="0"/>
          <w:spacing w:val="0"/>
          <w:w w:val="100"/>
          <w:kern w:val="21"/>
          <w:sz w:val="21"/>
          <w:szCs w:val="21"/>
          <w:lang w:val="en-US" w:eastAsia="zh-CN" w:bidi="ar-SA"/>
        </w:rPr>
        <w:t></w:t>
      </w:r>
      <w:r>
        <w:rPr>
          <w:rFonts w:hint="eastAsia" w:ascii="宋体" w:hAnsi="宋体" w:eastAsia="宋体" w:cs="宋体"/>
          <w:b w:val="0"/>
          <w:bCs w:val="0"/>
          <w:spacing w:val="0"/>
          <w:w w:val="100"/>
          <w:kern w:val="21"/>
          <w:sz w:val="21"/>
          <w:szCs w:val="21"/>
        </w:rPr>
        <w:t>城市群、都市圈、环城路、城市出入口路段；</w:t>
      </w:r>
    </w:p>
    <w:p w14:paraId="0C90E0BB">
      <w:pPr>
        <w:pStyle w:val="7"/>
        <w:keepNext w:val="0"/>
        <w:keepLines w:val="0"/>
        <w:pageBreakBefore w:val="0"/>
        <w:widowControl w:val="0"/>
        <w:numPr>
          <w:ilvl w:val="0"/>
          <w:numId w:val="0"/>
        </w:numPr>
        <w:tabs>
          <w:tab w:val="left" w:pos="703"/>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rPr>
      </w:pPr>
      <w:r>
        <w:rPr>
          <w:rFonts w:hint="default" w:ascii="Wingdings" w:hAnsi="Wingdings" w:eastAsia="宋体" w:cs="宋体"/>
          <w:b w:val="0"/>
          <w:bCs w:val="0"/>
          <w:spacing w:val="0"/>
          <w:w w:val="100"/>
          <w:kern w:val="21"/>
          <w:sz w:val="21"/>
          <w:szCs w:val="21"/>
          <w:lang w:val="en-US" w:eastAsia="zh-CN" w:bidi="ar-SA"/>
        </w:rPr>
        <w:t></w:t>
      </w:r>
      <w:r>
        <w:rPr>
          <w:rFonts w:hint="eastAsia" w:ascii="宋体" w:hAnsi="宋体" w:eastAsia="宋体" w:cs="宋体"/>
          <w:b w:val="0"/>
          <w:bCs w:val="0"/>
          <w:spacing w:val="0"/>
          <w:w w:val="100"/>
          <w:kern w:val="21"/>
          <w:sz w:val="21"/>
          <w:szCs w:val="21"/>
        </w:rPr>
        <w:t>机场、火车站、港口码头、公路客货车连接路段。</w:t>
      </w:r>
    </w:p>
    <w:p w14:paraId="53ED7A5B">
      <w:pPr>
        <w:pStyle w:val="7"/>
        <w:keepNext w:val="0"/>
        <w:keepLines w:val="0"/>
        <w:pageBreakBefore w:val="0"/>
        <w:widowControl w:val="0"/>
        <w:numPr>
          <w:ilvl w:val="0"/>
          <w:numId w:val="0"/>
        </w:numPr>
        <w:tabs>
          <w:tab w:val="left" w:pos="703"/>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rPr>
      </w:pPr>
      <w:r>
        <w:rPr>
          <w:rFonts w:hint="default" w:ascii="Wingdings" w:hAnsi="Wingdings" w:eastAsia="宋体" w:cs="宋体"/>
          <w:b w:val="0"/>
          <w:bCs w:val="0"/>
          <w:spacing w:val="0"/>
          <w:w w:val="100"/>
          <w:kern w:val="21"/>
          <w:sz w:val="21"/>
          <w:szCs w:val="21"/>
          <w:lang w:val="en-US" w:eastAsia="zh-CN" w:bidi="ar-SA"/>
        </w:rPr>
        <w:t></w:t>
      </w:r>
      <w:r>
        <w:rPr>
          <w:rFonts w:hint="eastAsia" w:ascii="宋体" w:hAnsi="宋体" w:eastAsia="宋体" w:cs="宋体"/>
          <w:b w:val="0"/>
          <w:bCs w:val="0"/>
          <w:spacing w:val="0"/>
          <w:w w:val="100"/>
          <w:kern w:val="21"/>
          <w:sz w:val="21"/>
          <w:szCs w:val="21"/>
        </w:rPr>
        <w:t>沿江、沿边通道路段；</w:t>
      </w:r>
    </w:p>
    <w:p w14:paraId="0DDE47FA">
      <w:pPr>
        <w:pStyle w:val="7"/>
        <w:keepNext w:val="0"/>
        <w:keepLines w:val="0"/>
        <w:pageBreakBefore w:val="0"/>
        <w:widowControl w:val="0"/>
        <w:numPr>
          <w:ilvl w:val="0"/>
          <w:numId w:val="0"/>
        </w:numPr>
        <w:tabs>
          <w:tab w:val="left" w:pos="703"/>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rPr>
      </w:pPr>
      <w:r>
        <w:rPr>
          <w:rFonts w:hint="default" w:ascii="Wingdings" w:hAnsi="Wingdings" w:eastAsia="宋体" w:cs="宋体"/>
          <w:b w:val="0"/>
          <w:bCs w:val="0"/>
          <w:spacing w:val="0"/>
          <w:w w:val="100"/>
          <w:kern w:val="21"/>
          <w:sz w:val="21"/>
          <w:szCs w:val="21"/>
          <w:lang w:val="en-US" w:eastAsia="zh-CN" w:bidi="ar-SA"/>
        </w:rPr>
        <w:t></w:t>
      </w:r>
      <w:r>
        <w:rPr>
          <w:rFonts w:hint="eastAsia" w:ascii="宋体" w:hAnsi="宋体" w:eastAsia="宋体" w:cs="宋体"/>
          <w:b w:val="0"/>
          <w:bCs w:val="0"/>
          <w:spacing w:val="0"/>
          <w:w w:val="100"/>
          <w:kern w:val="21"/>
          <w:sz w:val="21"/>
          <w:szCs w:val="21"/>
        </w:rPr>
        <w:t>跨江跨河特大桥梁连接路段；</w:t>
      </w:r>
    </w:p>
    <w:p w14:paraId="0114C922">
      <w:pPr>
        <w:pStyle w:val="7"/>
        <w:keepNext w:val="0"/>
        <w:keepLines w:val="0"/>
        <w:pageBreakBefore w:val="0"/>
        <w:widowControl w:val="0"/>
        <w:numPr>
          <w:ilvl w:val="0"/>
          <w:numId w:val="0"/>
        </w:numPr>
        <w:tabs>
          <w:tab w:val="left" w:pos="703"/>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rPr>
      </w:pPr>
      <w:r>
        <w:rPr>
          <w:rFonts w:hint="default" w:ascii="Wingdings" w:hAnsi="Wingdings" w:eastAsia="宋体" w:cs="宋体"/>
          <w:b w:val="0"/>
          <w:bCs w:val="0"/>
          <w:spacing w:val="0"/>
          <w:w w:val="100"/>
          <w:kern w:val="21"/>
          <w:sz w:val="21"/>
          <w:szCs w:val="21"/>
          <w:lang w:val="en-US" w:eastAsia="zh-CN" w:bidi="ar-SA"/>
        </w:rPr>
        <w:t></w:t>
      </w:r>
      <w:r>
        <w:rPr>
          <w:rFonts w:hint="eastAsia" w:ascii="宋体" w:hAnsi="宋体" w:eastAsia="宋体" w:cs="宋体"/>
          <w:b w:val="0"/>
          <w:bCs w:val="0"/>
          <w:spacing w:val="0"/>
          <w:w w:val="100"/>
          <w:kern w:val="21"/>
          <w:sz w:val="21"/>
          <w:szCs w:val="21"/>
        </w:rPr>
        <w:t>省界、市界、县界路段；</w:t>
      </w:r>
    </w:p>
    <w:p w14:paraId="67480634">
      <w:pPr>
        <w:pStyle w:val="7"/>
        <w:keepNext w:val="0"/>
        <w:keepLines w:val="0"/>
        <w:pageBreakBefore w:val="0"/>
        <w:widowControl w:val="0"/>
        <w:numPr>
          <w:ilvl w:val="0"/>
          <w:numId w:val="0"/>
        </w:numPr>
        <w:tabs>
          <w:tab w:val="left" w:pos="703"/>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rPr>
      </w:pPr>
      <w:r>
        <w:rPr>
          <w:rFonts w:hint="default" w:ascii="Wingdings" w:hAnsi="Wingdings" w:eastAsia="宋体" w:cs="宋体"/>
          <w:b w:val="0"/>
          <w:bCs w:val="0"/>
          <w:spacing w:val="0"/>
          <w:w w:val="100"/>
          <w:kern w:val="21"/>
          <w:sz w:val="21"/>
          <w:szCs w:val="21"/>
          <w:lang w:val="en-US" w:eastAsia="zh-CN" w:bidi="ar-SA"/>
        </w:rPr>
        <w:t></w:t>
      </w:r>
      <w:r>
        <w:rPr>
          <w:rFonts w:hint="eastAsia" w:ascii="宋体" w:hAnsi="宋体" w:eastAsia="宋体" w:cs="宋体"/>
          <w:b w:val="0"/>
          <w:bCs w:val="0"/>
          <w:spacing w:val="0"/>
          <w:w w:val="100"/>
          <w:kern w:val="21"/>
          <w:sz w:val="21"/>
          <w:szCs w:val="21"/>
        </w:rPr>
        <w:t>4A级及以上景区、产业园区、矿区连接路段。</w:t>
      </w:r>
    </w:p>
    <w:p w14:paraId="760E5A73">
      <w:pPr>
        <w:pStyle w:val="7"/>
        <w:keepNext w:val="0"/>
        <w:keepLines w:val="0"/>
        <w:pageBreakBefore w:val="0"/>
        <w:widowControl w:val="0"/>
        <w:numPr>
          <w:ilvl w:val="0"/>
          <w:numId w:val="0"/>
        </w:numPr>
        <w:tabs>
          <w:tab w:val="left" w:pos="1366"/>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i w:val="0"/>
          <w:iCs w:val="0"/>
          <w:spacing w:val="0"/>
          <w:w w:val="100"/>
          <w:kern w:val="21"/>
          <w:sz w:val="21"/>
          <w:szCs w:val="21"/>
          <w:lang w:val="en-US" w:eastAsia="zh-CN" w:bidi="ar-SA"/>
        </w:rPr>
        <w:t>（3）</w:t>
      </w:r>
      <w:r>
        <w:rPr>
          <w:rFonts w:hint="eastAsia" w:ascii="宋体" w:hAnsi="宋体" w:eastAsia="宋体" w:cs="宋体"/>
          <w:b w:val="0"/>
          <w:bCs w:val="0"/>
          <w:spacing w:val="0"/>
          <w:w w:val="100"/>
          <w:kern w:val="21"/>
          <w:sz w:val="21"/>
          <w:szCs w:val="21"/>
        </w:rPr>
        <w:t>农村公路在以下重点路段可考虑加密站点：</w:t>
      </w:r>
    </w:p>
    <w:p w14:paraId="1E4D0F35">
      <w:pPr>
        <w:pStyle w:val="7"/>
        <w:keepNext w:val="0"/>
        <w:keepLines w:val="0"/>
        <w:pageBreakBefore w:val="0"/>
        <w:widowControl w:val="0"/>
        <w:numPr>
          <w:ilvl w:val="0"/>
          <w:numId w:val="0"/>
        </w:numPr>
        <w:tabs>
          <w:tab w:val="left" w:pos="703"/>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rPr>
      </w:pPr>
      <w:r>
        <w:rPr>
          <w:rFonts w:hint="default" w:ascii="Wingdings" w:hAnsi="Wingdings" w:eastAsia="宋体" w:cs="宋体"/>
          <w:b w:val="0"/>
          <w:bCs w:val="0"/>
          <w:spacing w:val="0"/>
          <w:w w:val="100"/>
          <w:kern w:val="21"/>
          <w:sz w:val="21"/>
          <w:szCs w:val="21"/>
          <w:lang w:val="en-US" w:eastAsia="zh-CN" w:bidi="ar-SA"/>
        </w:rPr>
        <w:t></w:t>
      </w:r>
      <w:r>
        <w:rPr>
          <w:rFonts w:hint="eastAsia" w:ascii="宋体" w:hAnsi="宋体" w:eastAsia="宋体" w:cs="宋体"/>
          <w:b w:val="0"/>
          <w:bCs w:val="0"/>
          <w:spacing w:val="0"/>
          <w:w w:val="100"/>
          <w:kern w:val="21"/>
          <w:sz w:val="21"/>
          <w:szCs w:val="21"/>
        </w:rPr>
        <w:t>三级及以上县道与普通国省道的交汇点；</w:t>
      </w:r>
    </w:p>
    <w:p w14:paraId="7FF4F5AE">
      <w:pPr>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0" w:firstLineChars="200"/>
        <w:textAlignment w:val="auto"/>
        <w:outlineLvl w:val="9"/>
        <w:rPr>
          <w:rFonts w:hint="eastAsia" w:ascii="宋体" w:hAnsi="宋体" w:eastAsia="宋体" w:cs="宋体"/>
          <w:b w:val="0"/>
          <w:bCs w:val="0"/>
          <w:spacing w:val="0"/>
          <w:w w:val="100"/>
          <w:kern w:val="21"/>
          <w:sz w:val="21"/>
          <w:szCs w:val="21"/>
        </w:rPr>
      </w:pPr>
      <w:r>
        <w:rPr>
          <w:rFonts w:hint="default" w:ascii="Wingdings" w:hAnsi="Wingdings" w:eastAsia="宋体" w:cs="宋体"/>
          <w:b w:val="0"/>
          <w:bCs w:val="0"/>
          <w:spacing w:val="0"/>
          <w:w w:val="100"/>
          <w:kern w:val="21"/>
          <w:sz w:val="21"/>
          <w:szCs w:val="21"/>
          <w:lang w:val="en-US" w:eastAsia="zh-CN" w:bidi="ar-SA"/>
        </w:rPr>
        <w:t></w:t>
      </w:r>
      <w:r>
        <w:rPr>
          <w:rFonts w:hint="eastAsia" w:ascii="宋体" w:hAnsi="宋体" w:eastAsia="宋体" w:cs="宋体"/>
          <w:b w:val="0"/>
          <w:bCs w:val="0"/>
          <w:spacing w:val="0"/>
          <w:w w:val="100"/>
          <w:kern w:val="21"/>
          <w:sz w:val="21"/>
          <w:szCs w:val="21"/>
        </w:rPr>
        <w:t>承担主要运输功能的农村公路路段；</w:t>
      </w:r>
    </w:p>
    <w:p w14:paraId="64442C95">
      <w:pPr>
        <w:pStyle w:val="7"/>
        <w:keepNext w:val="0"/>
        <w:keepLines w:val="0"/>
        <w:pageBreakBefore w:val="0"/>
        <w:widowControl w:val="0"/>
        <w:numPr>
          <w:ilvl w:val="0"/>
          <w:numId w:val="0"/>
        </w:numPr>
        <w:tabs>
          <w:tab w:val="left" w:pos="703"/>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rPr>
      </w:pPr>
      <w:r>
        <w:rPr>
          <w:rFonts w:hint="default" w:ascii="Wingdings" w:hAnsi="Wingdings" w:eastAsia="宋体" w:cs="宋体"/>
          <w:b w:val="0"/>
          <w:bCs w:val="0"/>
          <w:spacing w:val="0"/>
          <w:w w:val="100"/>
          <w:kern w:val="21"/>
          <w:sz w:val="21"/>
          <w:szCs w:val="21"/>
          <w:lang w:val="en-US" w:eastAsia="zh-CN" w:bidi="ar-SA"/>
        </w:rPr>
        <w:t></w:t>
      </w:r>
      <w:r>
        <w:rPr>
          <w:rFonts w:hint="eastAsia" w:ascii="宋体" w:hAnsi="宋体" w:eastAsia="宋体" w:cs="宋体"/>
          <w:b w:val="0"/>
          <w:bCs w:val="0"/>
          <w:spacing w:val="0"/>
          <w:w w:val="100"/>
          <w:kern w:val="21"/>
          <w:sz w:val="21"/>
          <w:szCs w:val="21"/>
        </w:rPr>
        <w:t>交通流量较大的农村公路路段；</w:t>
      </w:r>
    </w:p>
    <w:p w14:paraId="0F8CB223">
      <w:pPr>
        <w:pStyle w:val="7"/>
        <w:keepNext w:val="0"/>
        <w:keepLines w:val="0"/>
        <w:pageBreakBefore w:val="0"/>
        <w:widowControl w:val="0"/>
        <w:numPr>
          <w:ilvl w:val="0"/>
          <w:numId w:val="0"/>
        </w:numPr>
        <w:tabs>
          <w:tab w:val="left" w:pos="703"/>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rPr>
      </w:pPr>
      <w:r>
        <w:rPr>
          <w:rFonts w:hint="default" w:ascii="Wingdings" w:hAnsi="Wingdings" w:eastAsia="宋体" w:cs="宋体"/>
          <w:b w:val="0"/>
          <w:bCs w:val="0"/>
          <w:spacing w:val="0"/>
          <w:w w:val="100"/>
          <w:kern w:val="21"/>
          <w:sz w:val="21"/>
          <w:szCs w:val="21"/>
          <w:lang w:val="en-US" w:eastAsia="zh-CN" w:bidi="ar-SA"/>
        </w:rPr>
        <w:t></w:t>
      </w:r>
      <w:r>
        <w:rPr>
          <w:rFonts w:hint="eastAsia" w:ascii="宋体" w:hAnsi="宋体" w:eastAsia="宋体" w:cs="宋体"/>
          <w:b w:val="0"/>
          <w:bCs w:val="0"/>
          <w:spacing w:val="0"/>
          <w:w w:val="100"/>
          <w:kern w:val="21"/>
          <w:sz w:val="21"/>
          <w:szCs w:val="21"/>
        </w:rPr>
        <w:t>与景区、产业园区、物流园区、工业园区等连接路段。</w:t>
      </w:r>
    </w:p>
    <w:p w14:paraId="2961BE15">
      <w:pPr>
        <w:pStyle w:val="7"/>
        <w:keepNext w:val="0"/>
        <w:keepLines w:val="0"/>
        <w:pageBreakBefore w:val="0"/>
        <w:widowControl w:val="0"/>
        <w:numPr>
          <w:ilvl w:val="0"/>
          <w:numId w:val="0"/>
        </w:numPr>
        <w:tabs>
          <w:tab w:val="left" w:pos="1366"/>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i w:val="0"/>
          <w:iCs w:val="0"/>
          <w:spacing w:val="0"/>
          <w:w w:val="100"/>
          <w:kern w:val="21"/>
          <w:sz w:val="21"/>
          <w:szCs w:val="21"/>
          <w:lang w:val="en-US" w:eastAsia="zh-CN" w:bidi="ar-SA"/>
        </w:rPr>
        <w:t>（4）</w:t>
      </w:r>
      <w:r>
        <w:rPr>
          <w:rFonts w:hint="eastAsia" w:ascii="宋体" w:hAnsi="宋体" w:eastAsia="宋体" w:cs="宋体"/>
          <w:b w:val="0"/>
          <w:bCs w:val="0"/>
          <w:spacing w:val="0"/>
          <w:w w:val="100"/>
          <w:kern w:val="21"/>
          <w:sz w:val="21"/>
          <w:szCs w:val="21"/>
        </w:rPr>
        <w:t>特大桥、特长隧位置至少布设一个II类功能站点。</w:t>
      </w:r>
    </w:p>
    <w:p w14:paraId="16EBF341">
      <w:pPr>
        <w:pStyle w:val="7"/>
        <w:keepNext w:val="0"/>
        <w:keepLines w:val="0"/>
        <w:pageBreakBefore w:val="0"/>
        <w:widowControl w:val="0"/>
        <w:numPr>
          <w:ilvl w:val="0"/>
          <w:numId w:val="0"/>
        </w:numPr>
        <w:tabs>
          <w:tab w:val="left" w:pos="1366"/>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i w:val="0"/>
          <w:iCs w:val="0"/>
          <w:spacing w:val="0"/>
          <w:w w:val="100"/>
          <w:kern w:val="21"/>
          <w:sz w:val="21"/>
          <w:szCs w:val="21"/>
          <w:lang w:val="en-US" w:eastAsia="zh-CN" w:bidi="ar-SA"/>
        </w:rPr>
        <w:t>（5）</w:t>
      </w:r>
      <w:r>
        <w:rPr>
          <w:rFonts w:hint="eastAsia" w:ascii="宋体" w:hAnsi="宋体" w:eastAsia="宋体" w:cs="宋体"/>
          <w:b w:val="0"/>
          <w:bCs w:val="0"/>
          <w:spacing w:val="0"/>
          <w:w w:val="100"/>
          <w:kern w:val="21"/>
          <w:sz w:val="21"/>
          <w:szCs w:val="21"/>
        </w:rPr>
        <w:t>省界、市界位置至少布设一个多功能交调站。</w:t>
      </w:r>
    </w:p>
    <w:p w14:paraId="34730F8F">
      <w:pPr>
        <w:keepNext w:val="0"/>
        <w:keepLines w:val="0"/>
        <w:pageBreakBefore w:val="0"/>
        <w:widowControl w:val="0"/>
        <w:numPr>
          <w:ilvl w:val="0"/>
          <w:numId w:val="0"/>
        </w:numPr>
        <w:kinsoku/>
        <w:wordWrap/>
        <w:overflowPunct/>
        <w:topLinePunct w:val="0"/>
        <w:autoSpaceDE w:val="0"/>
        <w:autoSpaceDN w:val="0"/>
        <w:bidi w:val="0"/>
        <w:adjustRightInd/>
        <w:snapToGrid/>
        <w:spacing w:before="0" w:line="360" w:lineRule="auto"/>
        <w:ind w:left="0" w:leftChars="0" w:right="0" w:rightChars="0" w:firstLine="422" w:firstLineChars="200"/>
        <w:textAlignment w:val="auto"/>
        <w:outlineLvl w:val="9"/>
        <w:rPr>
          <w:rFonts w:hint="eastAsia" w:ascii="宋体" w:hAnsi="宋体" w:eastAsia="宋体" w:cs="宋体"/>
          <w:b/>
          <w:bCs/>
          <w:spacing w:val="0"/>
          <w:w w:val="100"/>
          <w:kern w:val="21"/>
          <w:sz w:val="21"/>
          <w:szCs w:val="21"/>
        </w:rPr>
      </w:pPr>
      <w:r>
        <w:rPr>
          <w:rFonts w:hint="eastAsia" w:ascii="宋体" w:hAnsi="宋体" w:eastAsia="宋体" w:cs="宋体"/>
          <w:b/>
          <w:bCs/>
          <w:spacing w:val="0"/>
          <w:w w:val="100"/>
          <w:kern w:val="21"/>
          <w:sz w:val="21"/>
          <w:szCs w:val="21"/>
          <w:lang w:val="en-US" w:eastAsia="zh-CN" w:bidi="ar-SA"/>
        </w:rPr>
        <w:t>四、</w:t>
      </w:r>
      <w:r>
        <w:rPr>
          <w:rFonts w:hint="eastAsia" w:ascii="宋体" w:hAnsi="宋体" w:eastAsia="宋体" w:cs="宋体"/>
          <w:b/>
          <w:bCs/>
          <w:spacing w:val="0"/>
          <w:w w:val="100"/>
          <w:kern w:val="21"/>
          <w:sz w:val="21"/>
          <w:szCs w:val="21"/>
        </w:rPr>
        <w:t>设计方案</w:t>
      </w:r>
    </w:p>
    <w:p w14:paraId="5D058091">
      <w:pPr>
        <w:keepNext w:val="0"/>
        <w:keepLines w:val="0"/>
        <w:pageBreakBefore w:val="0"/>
        <w:widowControl w:val="0"/>
        <w:numPr>
          <w:ilvl w:val="0"/>
          <w:numId w:val="0"/>
        </w:numPr>
        <w:kinsoku/>
        <w:wordWrap/>
        <w:overflowPunct/>
        <w:topLinePunct w:val="0"/>
        <w:autoSpaceDE w:val="0"/>
        <w:autoSpaceDN w:val="0"/>
        <w:bidi w:val="0"/>
        <w:adjustRightInd/>
        <w:snapToGrid/>
        <w:spacing w:before="0" w:line="360" w:lineRule="auto"/>
        <w:ind w:left="0" w:right="0" w:rightChars="0" w:firstLine="420" w:firstLineChars="200"/>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drawing>
          <wp:inline distT="0" distB="0" distL="0" distR="0">
            <wp:extent cx="5564505" cy="3707765"/>
            <wp:effectExtent l="0" t="0" r="17145" b="6985"/>
            <wp:docPr id="50" name="Image 50"/>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4" cstate="print"/>
                    <a:stretch>
                      <a:fillRect/>
                    </a:stretch>
                  </pic:blipFill>
                  <pic:spPr>
                    <a:xfrm>
                      <a:off x="0" y="0"/>
                      <a:ext cx="5564505" cy="3707765"/>
                    </a:xfrm>
                    <a:prstGeom prst="rect">
                      <a:avLst/>
                    </a:prstGeom>
                  </pic:spPr>
                </pic:pic>
              </a:graphicData>
            </a:graphic>
          </wp:inline>
        </w:drawing>
      </w:r>
    </w:p>
    <w:p w14:paraId="657FA37D">
      <w:pPr>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rightChars="0" w:firstLine="0" w:firstLineChars="0"/>
        <w:jc w:val="center"/>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图4.1新建多功能交调站网络拓扑结构示意图</w:t>
      </w:r>
    </w:p>
    <w:p w14:paraId="18D2672E">
      <w:pPr>
        <w:pStyle w:val="4"/>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0" w:firstLineChars="200"/>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本项目新建多功能交调站主要设备包括交调传感器(双激光)、车牌识别装置(卡口摄像机)、补光装置(补光灯)、边缘计算单元+存储、控制柜、杆体及基础、标志标牌、路由器交换一体机（含VPN模块），用于现场组网，交调激光雷达控制柜主要用于远程运维、动力环境感知、供电管理，每个L杆上配置一套交调标志标牌。2车道选用7*8米L杆1根，单侧立杆；</w:t>
      </w:r>
    </w:p>
    <w:p w14:paraId="0273B468">
      <w:pPr>
        <w:keepNext w:val="0"/>
        <w:keepLines w:val="0"/>
        <w:pageBreakBefore w:val="0"/>
        <w:widowControl w:val="0"/>
        <w:numPr>
          <w:ilvl w:val="0"/>
          <w:numId w:val="0"/>
        </w:numPr>
        <w:kinsoku/>
        <w:wordWrap/>
        <w:overflowPunct/>
        <w:topLinePunct w:val="0"/>
        <w:autoSpaceDE w:val="0"/>
        <w:autoSpaceDN w:val="0"/>
        <w:bidi w:val="0"/>
        <w:adjustRightInd/>
        <w:snapToGrid/>
        <w:spacing w:before="0" w:line="360" w:lineRule="auto"/>
        <w:ind w:right="0" w:rightChars="0"/>
        <w:textAlignment w:val="auto"/>
        <w:outlineLvl w:val="9"/>
        <w:rPr>
          <w:rFonts w:hint="eastAsia" w:ascii="宋体" w:hAnsi="宋体" w:eastAsia="宋体" w:cs="宋体"/>
          <w:b w:val="0"/>
          <w:bCs w:val="0"/>
          <w:spacing w:val="0"/>
          <w:w w:val="100"/>
          <w:kern w:val="21"/>
          <w:sz w:val="21"/>
          <w:szCs w:val="21"/>
        </w:rPr>
      </w:pPr>
      <w:r>
        <w:drawing>
          <wp:inline distT="0" distB="0" distL="114300" distR="114300">
            <wp:extent cx="5269230" cy="2862580"/>
            <wp:effectExtent l="0" t="0" r="7620" b="1397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stretch>
                      <a:fillRect/>
                    </a:stretch>
                  </pic:blipFill>
                  <pic:spPr>
                    <a:xfrm>
                      <a:off x="0" y="0"/>
                      <a:ext cx="5269230" cy="2862580"/>
                    </a:xfrm>
                    <a:prstGeom prst="rect">
                      <a:avLst/>
                    </a:prstGeom>
                    <a:noFill/>
                    <a:ln>
                      <a:noFill/>
                    </a:ln>
                  </pic:spPr>
                </pic:pic>
              </a:graphicData>
            </a:graphic>
          </wp:inline>
        </w:drawing>
      </w:r>
    </w:p>
    <w:p w14:paraId="5DB5B23F">
      <w:pPr>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rightChars="0" w:firstLine="0" w:firstLineChars="0"/>
        <w:jc w:val="center"/>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图4.1单侧立杆交调站示意图</w:t>
      </w:r>
    </w:p>
    <w:p w14:paraId="017206CE">
      <w:pPr>
        <w:pStyle w:val="7"/>
        <w:keepNext w:val="0"/>
        <w:keepLines w:val="0"/>
        <w:pageBreakBefore w:val="0"/>
        <w:widowControl w:val="0"/>
        <w:numPr>
          <w:ilvl w:val="0"/>
          <w:numId w:val="0"/>
        </w:numPr>
        <w:tabs>
          <w:tab w:val="left" w:pos="946"/>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i w:val="0"/>
          <w:iCs w:val="0"/>
          <w:spacing w:val="0"/>
          <w:w w:val="100"/>
          <w:kern w:val="21"/>
          <w:sz w:val="21"/>
          <w:szCs w:val="21"/>
          <w:lang w:val="en-US" w:eastAsia="zh-CN" w:bidi="ar-SA"/>
        </w:rPr>
        <w:t>4</w:t>
      </w:r>
      <w:r>
        <w:rPr>
          <w:rFonts w:hint="eastAsia" w:ascii="宋体" w:hAnsi="宋体" w:eastAsia="宋体" w:cs="宋体"/>
          <w:b w:val="0"/>
          <w:bCs w:val="0"/>
          <w:spacing w:val="0"/>
          <w:w w:val="100"/>
          <w:kern w:val="21"/>
          <w:sz w:val="21"/>
          <w:szCs w:val="21"/>
        </w:rPr>
        <w:t>车道选用7*8米L杆2根，6车道和8车道均采用7*12米立杆2根，均为双侧立杆。</w:t>
      </w:r>
    </w:p>
    <w:p w14:paraId="460FCAC1">
      <w:pPr>
        <w:keepNext w:val="0"/>
        <w:keepLines w:val="0"/>
        <w:pageBreakBefore w:val="0"/>
        <w:widowControl w:val="0"/>
        <w:numPr>
          <w:ilvl w:val="0"/>
          <w:numId w:val="0"/>
        </w:numPr>
        <w:kinsoku/>
        <w:wordWrap/>
        <w:overflowPunct/>
        <w:topLinePunct w:val="0"/>
        <w:autoSpaceDE w:val="0"/>
        <w:autoSpaceDN w:val="0"/>
        <w:bidi w:val="0"/>
        <w:adjustRightInd/>
        <w:snapToGrid/>
        <w:spacing w:before="0" w:line="360" w:lineRule="auto"/>
        <w:ind w:left="0" w:right="0" w:rightChars="0" w:firstLine="420" w:firstLineChars="200"/>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drawing>
          <wp:inline distT="0" distB="0" distL="114300" distR="114300">
            <wp:extent cx="5271135" cy="3233420"/>
            <wp:effectExtent l="0" t="0" r="5715" b="5080"/>
            <wp:docPr id="6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1"/>
                    <pic:cNvPicPr>
                      <a:picLocks noChangeAspect="1"/>
                    </pic:cNvPicPr>
                  </pic:nvPicPr>
                  <pic:blipFill>
                    <a:blip r:embed="rId6"/>
                    <a:stretch>
                      <a:fillRect/>
                    </a:stretch>
                  </pic:blipFill>
                  <pic:spPr>
                    <a:xfrm>
                      <a:off x="0" y="0"/>
                      <a:ext cx="5271135" cy="3233420"/>
                    </a:xfrm>
                    <a:prstGeom prst="rect">
                      <a:avLst/>
                    </a:prstGeom>
                    <a:noFill/>
                    <a:ln>
                      <a:noFill/>
                    </a:ln>
                  </pic:spPr>
                </pic:pic>
              </a:graphicData>
            </a:graphic>
          </wp:inline>
        </w:drawing>
      </w:r>
    </w:p>
    <w:p w14:paraId="3CD883B9">
      <w:pPr>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0" w:firstLineChars="200"/>
        <w:jc w:val="center"/>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图4.2双侧立杆交调站示意图</w:t>
      </w:r>
    </w:p>
    <w:p w14:paraId="6C3917E2">
      <w:pPr>
        <w:pStyle w:val="4"/>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0" w:firstLineChars="200"/>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新建多功能交调站设备配置通用方案见下表：</w:t>
      </w:r>
    </w:p>
    <w:p w14:paraId="174E63C5">
      <w:pPr>
        <w:keepNext w:val="0"/>
        <w:keepLines w:val="0"/>
        <w:pageBreakBefore w:val="0"/>
        <w:widowControl w:val="0"/>
        <w:numPr>
          <w:ilvl w:val="1"/>
          <w:numId w:val="0"/>
        </w:numPr>
        <w:tabs>
          <w:tab w:val="left" w:pos="708"/>
        </w:tabs>
        <w:kinsoku/>
        <w:wordWrap/>
        <w:overflowPunct/>
        <w:topLinePunct w:val="0"/>
        <w:autoSpaceDE w:val="0"/>
        <w:autoSpaceDN w:val="0"/>
        <w:bidi w:val="0"/>
        <w:adjustRightInd/>
        <w:snapToGrid/>
        <w:spacing w:before="0" w:after="0" w:line="360" w:lineRule="auto"/>
        <w:ind w:right="0" w:rightChars="0"/>
        <w:jc w:val="left"/>
        <w:textAlignment w:val="auto"/>
        <w:outlineLvl w:val="9"/>
        <w:rPr>
          <w:rFonts w:hint="eastAsia" w:ascii="宋体" w:hAnsi="宋体" w:eastAsia="宋体" w:cs="宋体"/>
          <w:b/>
          <w:bCs/>
          <w:spacing w:val="0"/>
          <w:w w:val="100"/>
          <w:kern w:val="21"/>
          <w:sz w:val="21"/>
          <w:szCs w:val="21"/>
        </w:rPr>
      </w:pPr>
      <w:r>
        <w:rPr>
          <w:rFonts w:hint="eastAsia" w:ascii="宋体" w:hAnsi="宋体" w:eastAsia="宋体" w:cs="宋体"/>
          <w:b/>
          <w:bCs/>
          <w:spacing w:val="0"/>
          <w:w w:val="100"/>
          <w:kern w:val="21"/>
          <w:sz w:val="21"/>
          <w:szCs w:val="21"/>
          <w:lang w:val="en-US" w:eastAsia="zh-CN" w:bidi="ar-SA"/>
        </w:rPr>
        <w:t>4.1</w:t>
      </w:r>
      <w:r>
        <w:rPr>
          <w:rFonts w:hint="eastAsia" w:ascii="宋体" w:hAnsi="宋体" w:eastAsia="宋体" w:cs="宋体"/>
          <w:b/>
          <w:bCs/>
          <w:spacing w:val="0"/>
          <w:w w:val="100"/>
          <w:kern w:val="21"/>
          <w:sz w:val="21"/>
          <w:szCs w:val="21"/>
        </w:rPr>
        <w:t>新建Ⅰ类多功能交通调查站</w:t>
      </w:r>
    </w:p>
    <w:p w14:paraId="5472BC01">
      <w:pPr>
        <w:pStyle w:val="4"/>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0" w:firstLineChars="200"/>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新建Ⅰ类多功能交通调查站按照按照行驶方向、分车道采集单个车头机动车号牌数据，5分钟周期自动汇总交通流量，上传湖南交通运输厅科技信息中心。</w:t>
      </w:r>
    </w:p>
    <w:tbl>
      <w:tblPr>
        <w:tblStyle w:val="5"/>
        <w:tblW w:w="5004"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849"/>
        <w:gridCol w:w="6474"/>
      </w:tblGrid>
      <w:tr w14:paraId="5E0223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1111" w:type="pct"/>
            <w:vAlign w:val="center"/>
          </w:tcPr>
          <w:p w14:paraId="21D3F2A4">
            <w:pPr>
              <w:pStyle w:val="8"/>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0" w:firstLineChars="0"/>
              <w:jc w:val="center"/>
              <w:textAlignment w:val="auto"/>
              <w:outlineLvl w:val="9"/>
              <w:rPr>
                <w:rFonts w:hint="eastAsia" w:ascii="宋体" w:hAnsi="宋体" w:eastAsia="宋体" w:cs="宋体"/>
                <w:b/>
                <w:bCs/>
                <w:spacing w:val="0"/>
                <w:w w:val="100"/>
                <w:kern w:val="21"/>
                <w:sz w:val="21"/>
                <w:szCs w:val="21"/>
              </w:rPr>
            </w:pPr>
            <w:r>
              <w:rPr>
                <w:rFonts w:hint="eastAsia" w:ascii="宋体" w:hAnsi="宋体" w:eastAsia="宋体" w:cs="宋体"/>
                <w:b/>
                <w:bCs/>
                <w:spacing w:val="0"/>
                <w:w w:val="100"/>
                <w:kern w:val="21"/>
                <w:sz w:val="21"/>
                <w:szCs w:val="21"/>
              </w:rPr>
              <w:t>功能</w:t>
            </w:r>
          </w:p>
        </w:tc>
        <w:tc>
          <w:tcPr>
            <w:tcW w:w="3888" w:type="pct"/>
            <w:vAlign w:val="center"/>
          </w:tcPr>
          <w:p w14:paraId="4386C363">
            <w:pPr>
              <w:pStyle w:val="8"/>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0" w:firstLineChars="0"/>
              <w:jc w:val="center"/>
              <w:textAlignment w:val="auto"/>
              <w:outlineLvl w:val="9"/>
              <w:rPr>
                <w:rFonts w:hint="eastAsia" w:ascii="宋体" w:hAnsi="宋体" w:eastAsia="宋体" w:cs="宋体"/>
                <w:b/>
                <w:bCs/>
                <w:spacing w:val="0"/>
                <w:w w:val="100"/>
                <w:kern w:val="21"/>
                <w:sz w:val="21"/>
                <w:szCs w:val="21"/>
              </w:rPr>
            </w:pPr>
            <w:r>
              <w:rPr>
                <w:rFonts w:hint="eastAsia" w:ascii="宋体" w:hAnsi="宋体" w:eastAsia="宋体" w:cs="宋体"/>
                <w:b/>
                <w:bCs/>
                <w:spacing w:val="0"/>
                <w:w w:val="100"/>
                <w:kern w:val="21"/>
                <w:sz w:val="21"/>
                <w:szCs w:val="21"/>
              </w:rPr>
              <w:t>数据精度</w:t>
            </w:r>
          </w:p>
        </w:tc>
      </w:tr>
      <w:tr w14:paraId="048519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1111" w:type="pct"/>
            <w:vAlign w:val="center"/>
          </w:tcPr>
          <w:p w14:paraId="413222B7">
            <w:pPr>
              <w:pStyle w:val="8"/>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0" w:firstLineChars="0"/>
              <w:jc w:val="center"/>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机动车号牌</w:t>
            </w:r>
          </w:p>
        </w:tc>
        <w:tc>
          <w:tcPr>
            <w:tcW w:w="3888" w:type="pct"/>
            <w:vAlign w:val="center"/>
          </w:tcPr>
          <w:p w14:paraId="3F0EDE9B">
            <w:pPr>
              <w:pStyle w:val="8"/>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0" w:firstLineChars="0"/>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根据《GA/T497-2019道路车辆智能监测记录系统通用技术条件》中规定，在正常工作条件下，系统对于符合GA36规定的号牌，</w:t>
            </w:r>
          </w:p>
          <w:p w14:paraId="5B564D12">
            <w:pPr>
              <w:pStyle w:val="8"/>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0" w:firstLineChars="0"/>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机动车号牌捕获采集：日间精度应不小于95%，夜间精度应不小于90%；机动车号牌识别准确率：日间精度应不小于95%，夜间精度应不小于90%。</w:t>
            </w:r>
          </w:p>
          <w:p w14:paraId="46150D2F">
            <w:pPr>
              <w:pStyle w:val="8"/>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0" w:firstLineChars="0"/>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并可对车型进行识别</w:t>
            </w:r>
          </w:p>
        </w:tc>
      </w:tr>
      <w:tr w14:paraId="5273DD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1111" w:type="pct"/>
            <w:vAlign w:val="center"/>
          </w:tcPr>
          <w:p w14:paraId="628A6959">
            <w:pPr>
              <w:pStyle w:val="8"/>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0" w:firstLineChars="0"/>
              <w:jc w:val="center"/>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自动汇总交通量</w:t>
            </w:r>
          </w:p>
        </w:tc>
        <w:tc>
          <w:tcPr>
            <w:tcW w:w="3888" w:type="pct"/>
            <w:vAlign w:val="center"/>
          </w:tcPr>
          <w:p w14:paraId="328EE5A6">
            <w:pPr>
              <w:pStyle w:val="8"/>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0" w:firstLineChars="0"/>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交通量数据精度应不小于95%，依据《公路交通情况调查设备第1部分：技术条件》(JT/T1008.1）</w:t>
            </w:r>
          </w:p>
        </w:tc>
      </w:tr>
    </w:tbl>
    <w:p w14:paraId="18AC754D">
      <w:pPr>
        <w:pStyle w:val="4"/>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0" w:firstLineChars="200"/>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主要设备有：车牌识别装置(卡口摄像机)、补光装置(补光灯)、边缘计算单元+存储、控制柜、杆体及基础、标志标牌、路由器交换一体机（含VPN模块）</w:t>
      </w:r>
    </w:p>
    <w:p w14:paraId="1915C46B">
      <w:pPr>
        <w:keepNext w:val="0"/>
        <w:keepLines w:val="0"/>
        <w:pageBreakBefore w:val="0"/>
        <w:widowControl w:val="0"/>
        <w:numPr>
          <w:ilvl w:val="1"/>
          <w:numId w:val="0"/>
        </w:numPr>
        <w:tabs>
          <w:tab w:val="left" w:pos="708"/>
        </w:tabs>
        <w:kinsoku/>
        <w:wordWrap/>
        <w:overflowPunct/>
        <w:topLinePunct w:val="0"/>
        <w:autoSpaceDE w:val="0"/>
        <w:autoSpaceDN w:val="0"/>
        <w:bidi w:val="0"/>
        <w:adjustRightInd/>
        <w:snapToGrid/>
        <w:spacing w:before="0" w:after="0" w:line="360" w:lineRule="auto"/>
        <w:ind w:right="0" w:rightChars="0"/>
        <w:jc w:val="left"/>
        <w:textAlignment w:val="auto"/>
        <w:outlineLvl w:val="9"/>
        <w:rPr>
          <w:rFonts w:hint="eastAsia" w:ascii="宋体" w:hAnsi="宋体" w:eastAsia="宋体" w:cs="宋体"/>
          <w:b/>
          <w:bCs/>
          <w:spacing w:val="0"/>
          <w:w w:val="100"/>
          <w:kern w:val="21"/>
          <w:sz w:val="21"/>
          <w:szCs w:val="21"/>
        </w:rPr>
      </w:pPr>
      <w:r>
        <w:rPr>
          <w:rFonts w:hint="eastAsia" w:ascii="宋体" w:hAnsi="宋体" w:eastAsia="宋体" w:cs="宋体"/>
          <w:b/>
          <w:bCs/>
          <w:spacing w:val="0"/>
          <w:w w:val="100"/>
          <w:kern w:val="21"/>
          <w:sz w:val="21"/>
          <w:szCs w:val="21"/>
          <w:lang w:val="en-US" w:eastAsia="zh-CN" w:bidi="ar-SA"/>
        </w:rPr>
        <w:t>4.2</w:t>
      </w:r>
      <w:r>
        <w:rPr>
          <w:rFonts w:hint="eastAsia" w:ascii="宋体" w:hAnsi="宋体" w:eastAsia="宋体" w:cs="宋体"/>
          <w:b/>
          <w:bCs/>
          <w:spacing w:val="0"/>
          <w:w w:val="100"/>
          <w:kern w:val="21"/>
          <w:sz w:val="21"/>
          <w:szCs w:val="21"/>
        </w:rPr>
        <w:t>新建Ⅱ类多功能交通调查站</w:t>
      </w:r>
    </w:p>
    <w:p w14:paraId="3AC0690B">
      <w:pPr>
        <w:pStyle w:val="4"/>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0" w:firstLineChars="200"/>
        <w:jc w:val="both"/>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新建Ⅱ类多功能交通调查站按照按照行驶方向、分车道采集单个车头机动车号牌数据，采集车型、车数、交通流等信息，5分钟周期自动汇总交通流量，上传湖南交通运输厅科技信息中心。</w:t>
      </w:r>
    </w:p>
    <w:tbl>
      <w:tblPr>
        <w:tblStyle w:val="5"/>
        <w:tblW w:w="4999"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517"/>
        <w:gridCol w:w="6797"/>
      </w:tblGrid>
      <w:tr w14:paraId="0CBF44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912" w:type="pct"/>
            <w:vAlign w:val="center"/>
          </w:tcPr>
          <w:p w14:paraId="767A65F1">
            <w:pPr>
              <w:pStyle w:val="8"/>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0" w:firstLineChars="0"/>
              <w:jc w:val="center"/>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功能</w:t>
            </w:r>
          </w:p>
        </w:tc>
        <w:tc>
          <w:tcPr>
            <w:tcW w:w="4087" w:type="pct"/>
            <w:vAlign w:val="center"/>
          </w:tcPr>
          <w:p w14:paraId="5065F5D3">
            <w:pPr>
              <w:pStyle w:val="8"/>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0" w:firstLineChars="0"/>
              <w:jc w:val="center"/>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数据精度</w:t>
            </w:r>
          </w:p>
        </w:tc>
      </w:tr>
      <w:tr w14:paraId="1747C2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912" w:type="pct"/>
            <w:vAlign w:val="center"/>
          </w:tcPr>
          <w:p w14:paraId="6302E148">
            <w:pPr>
              <w:pStyle w:val="8"/>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0" w:firstLineChars="0"/>
              <w:jc w:val="center"/>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机动车号牌</w:t>
            </w:r>
          </w:p>
        </w:tc>
        <w:tc>
          <w:tcPr>
            <w:tcW w:w="4087" w:type="pct"/>
            <w:vAlign w:val="center"/>
          </w:tcPr>
          <w:p w14:paraId="36D83F83">
            <w:pPr>
              <w:pStyle w:val="8"/>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0" w:firstLineChars="0"/>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根据《GA/T497-2019道路车辆智能监测记录系统通用技术条件》中规定，在正常工作条件下，系统对于符合GA36规定的号牌，</w:t>
            </w:r>
          </w:p>
          <w:p w14:paraId="597A0FF6">
            <w:pPr>
              <w:pStyle w:val="8"/>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0" w:firstLineChars="0"/>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机动车号牌捕获采集：日间精度不小于95%，夜间精度不小于90%；机动车号牌识别准确率：日间精度不小于95%，夜间精度不小于90%。</w:t>
            </w:r>
          </w:p>
        </w:tc>
      </w:tr>
      <w:tr w14:paraId="60F3C7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912" w:type="pct"/>
            <w:vAlign w:val="center"/>
          </w:tcPr>
          <w:p w14:paraId="02882D00">
            <w:pPr>
              <w:pStyle w:val="8"/>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0" w:firstLineChars="0"/>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机动车车型</w:t>
            </w:r>
          </w:p>
        </w:tc>
        <w:tc>
          <w:tcPr>
            <w:tcW w:w="4087" w:type="pct"/>
            <w:vAlign w:val="center"/>
          </w:tcPr>
          <w:p w14:paraId="35124041">
            <w:pPr>
              <w:pStyle w:val="8"/>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0" w:firstLineChars="0"/>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单类车型数据采集精度不小于90%，依据《公路交通情况调查设备第1部分技术条件》（JT/T1008.1）</w:t>
            </w:r>
          </w:p>
        </w:tc>
      </w:tr>
      <w:tr w14:paraId="5D5FA6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912" w:type="pct"/>
            <w:vAlign w:val="center"/>
          </w:tcPr>
          <w:p w14:paraId="7B1CA271">
            <w:pPr>
              <w:pStyle w:val="8"/>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0" w:firstLineChars="0"/>
              <w:jc w:val="center"/>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地点车速</w:t>
            </w:r>
          </w:p>
        </w:tc>
        <w:tc>
          <w:tcPr>
            <w:tcW w:w="4087" w:type="pct"/>
            <w:vAlign w:val="center"/>
          </w:tcPr>
          <w:p w14:paraId="7AB923BA">
            <w:pPr>
              <w:pStyle w:val="8"/>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0" w:firstLineChars="0"/>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地点车速数据采集精度不小于92%，依据《公路交通情况调查设备第1部分技术条件》（JT/T1008.1）。</w:t>
            </w:r>
          </w:p>
        </w:tc>
      </w:tr>
      <w:tr w14:paraId="2806DD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912" w:type="pct"/>
            <w:vAlign w:val="center"/>
          </w:tcPr>
          <w:p w14:paraId="3086ABBC">
            <w:pPr>
              <w:pStyle w:val="8"/>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0" w:firstLineChars="0"/>
              <w:jc w:val="center"/>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交通流</w:t>
            </w:r>
          </w:p>
        </w:tc>
        <w:tc>
          <w:tcPr>
            <w:tcW w:w="4087" w:type="pct"/>
            <w:vAlign w:val="center"/>
          </w:tcPr>
          <w:p w14:paraId="76BC36D1">
            <w:pPr>
              <w:pStyle w:val="8"/>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0" w:firstLineChars="0"/>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流量数据采集精度不小于95%，依据《公路交通情况调查设备第1部分技术条件》（JT/T1008.1）</w:t>
            </w:r>
          </w:p>
        </w:tc>
      </w:tr>
      <w:tr w14:paraId="090CD2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912" w:type="pct"/>
            <w:vAlign w:val="center"/>
          </w:tcPr>
          <w:p w14:paraId="2603F3D6">
            <w:pPr>
              <w:pStyle w:val="8"/>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0" w:firstLineChars="0"/>
              <w:jc w:val="center"/>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车头时距</w:t>
            </w:r>
          </w:p>
        </w:tc>
        <w:tc>
          <w:tcPr>
            <w:tcW w:w="4087" w:type="pct"/>
            <w:vAlign w:val="center"/>
          </w:tcPr>
          <w:p w14:paraId="38B9E3D9">
            <w:pPr>
              <w:pStyle w:val="8"/>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0" w:firstLineChars="0"/>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车头时距数据采集精度不小于90%，依据《公路交通情况调查设备第1部分技术条件》（JT/T1008.1）。</w:t>
            </w:r>
          </w:p>
        </w:tc>
      </w:tr>
      <w:tr w14:paraId="59E76E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912" w:type="pct"/>
            <w:vAlign w:val="center"/>
          </w:tcPr>
          <w:p w14:paraId="6BAC96C0">
            <w:pPr>
              <w:pStyle w:val="8"/>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0" w:firstLineChars="0"/>
              <w:jc w:val="center"/>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车头间距</w:t>
            </w:r>
          </w:p>
        </w:tc>
        <w:tc>
          <w:tcPr>
            <w:tcW w:w="4087" w:type="pct"/>
            <w:vAlign w:val="center"/>
          </w:tcPr>
          <w:p w14:paraId="3910465D">
            <w:pPr>
              <w:pStyle w:val="8"/>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0" w:firstLineChars="0"/>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车头间距数据采集精度不小于90%，依据《公路交通情况调查设备第1部分技术条件》（JT/T1008.1）。</w:t>
            </w:r>
          </w:p>
        </w:tc>
      </w:tr>
      <w:tr w14:paraId="46E502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912" w:type="pct"/>
            <w:vAlign w:val="center"/>
          </w:tcPr>
          <w:p w14:paraId="77C230CE">
            <w:pPr>
              <w:pStyle w:val="8"/>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0" w:firstLineChars="0"/>
              <w:jc w:val="center"/>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自动汇总交通量</w:t>
            </w:r>
          </w:p>
        </w:tc>
        <w:tc>
          <w:tcPr>
            <w:tcW w:w="4087" w:type="pct"/>
            <w:vAlign w:val="center"/>
          </w:tcPr>
          <w:p w14:paraId="3762A2BB">
            <w:pPr>
              <w:pStyle w:val="8"/>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0" w:firstLineChars="0"/>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交通量数据精度应不小于95%，依据《公路交通情况调查设备第1部分：技术条件》(JT/T1008.1）</w:t>
            </w:r>
          </w:p>
        </w:tc>
      </w:tr>
    </w:tbl>
    <w:p w14:paraId="6C616BED">
      <w:pPr>
        <w:pStyle w:val="4"/>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0" w:firstLineChars="200"/>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主要设备有：交调传感器(双激光)、车牌识别装置(卡口摄像机)、补光装置(补光灯)、边缘计算单元+存储、控制柜、杆体及基础、标志标牌、路由器交换一体机（含VPN模块）</w:t>
      </w:r>
    </w:p>
    <w:p w14:paraId="05E1B5F7">
      <w:pPr>
        <w:keepNext w:val="0"/>
        <w:keepLines w:val="0"/>
        <w:pageBreakBefore w:val="0"/>
        <w:widowControl w:val="0"/>
        <w:numPr>
          <w:ilvl w:val="1"/>
          <w:numId w:val="0"/>
        </w:numPr>
        <w:tabs>
          <w:tab w:val="left" w:pos="767"/>
        </w:tabs>
        <w:kinsoku/>
        <w:wordWrap/>
        <w:overflowPunct/>
        <w:topLinePunct w:val="0"/>
        <w:autoSpaceDE w:val="0"/>
        <w:autoSpaceDN w:val="0"/>
        <w:bidi w:val="0"/>
        <w:adjustRightInd/>
        <w:snapToGrid/>
        <w:spacing w:before="0" w:after="0" w:line="360" w:lineRule="auto"/>
        <w:ind w:right="0" w:rightChars="0"/>
        <w:jc w:val="left"/>
        <w:textAlignment w:val="auto"/>
        <w:outlineLvl w:val="9"/>
        <w:rPr>
          <w:rFonts w:hint="eastAsia" w:ascii="宋体" w:hAnsi="宋体" w:eastAsia="宋体" w:cs="宋体"/>
          <w:b/>
          <w:bCs/>
          <w:spacing w:val="0"/>
          <w:w w:val="100"/>
          <w:kern w:val="21"/>
          <w:sz w:val="21"/>
          <w:szCs w:val="21"/>
        </w:rPr>
      </w:pPr>
      <w:r>
        <w:rPr>
          <w:rFonts w:hint="eastAsia" w:ascii="宋体" w:hAnsi="宋体" w:eastAsia="宋体" w:cs="宋体"/>
          <w:b/>
          <w:bCs/>
          <w:spacing w:val="0"/>
          <w:w w:val="100"/>
          <w:kern w:val="21"/>
          <w:sz w:val="21"/>
          <w:szCs w:val="21"/>
          <w:lang w:val="en-US" w:eastAsia="zh-CN" w:bidi="ar-SA"/>
        </w:rPr>
        <w:t>4.3</w:t>
      </w:r>
      <w:r>
        <w:rPr>
          <w:rFonts w:hint="eastAsia" w:ascii="宋体" w:hAnsi="宋体" w:eastAsia="宋体" w:cs="宋体"/>
          <w:b/>
          <w:bCs/>
          <w:spacing w:val="0"/>
          <w:w w:val="100"/>
          <w:kern w:val="21"/>
          <w:sz w:val="21"/>
          <w:szCs w:val="21"/>
        </w:rPr>
        <w:t>存量升级</w:t>
      </w:r>
    </w:p>
    <w:p w14:paraId="2A680BA3">
      <w:pPr>
        <w:pStyle w:val="4"/>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0" w:firstLineChars="200"/>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存量升级交通调查站在原有交通调查站（原有交通调查站均为车型、车速、交通流调查站）的基础上，增加机动车号牌采集功能，升级为Ⅱ类多功能交通调查站，分车道采集单个车头机动车号牌数据，采集车型、车数、交通流等信息，5分钟周期自动汇总交通流量，上传湖南交通运输厅科技信息中心。</w:t>
      </w:r>
    </w:p>
    <w:tbl>
      <w:tblPr>
        <w:tblStyle w:val="5"/>
        <w:tblW w:w="4999"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517"/>
        <w:gridCol w:w="6797"/>
      </w:tblGrid>
      <w:tr w14:paraId="65E596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912" w:type="pct"/>
            <w:vAlign w:val="center"/>
          </w:tcPr>
          <w:p w14:paraId="6EF80107">
            <w:pPr>
              <w:pStyle w:val="8"/>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0" w:firstLineChars="0"/>
              <w:jc w:val="center"/>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功能</w:t>
            </w:r>
          </w:p>
        </w:tc>
        <w:tc>
          <w:tcPr>
            <w:tcW w:w="4087" w:type="pct"/>
            <w:vAlign w:val="center"/>
          </w:tcPr>
          <w:p w14:paraId="0B2EEB1E">
            <w:pPr>
              <w:pStyle w:val="8"/>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0" w:firstLineChars="0"/>
              <w:jc w:val="center"/>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数据精度</w:t>
            </w:r>
          </w:p>
        </w:tc>
      </w:tr>
      <w:tr w14:paraId="700B66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912" w:type="pct"/>
            <w:vAlign w:val="center"/>
          </w:tcPr>
          <w:p w14:paraId="5085BA36">
            <w:pPr>
              <w:pStyle w:val="8"/>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0" w:firstLineChars="0"/>
              <w:jc w:val="center"/>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机动车号牌</w:t>
            </w:r>
          </w:p>
        </w:tc>
        <w:tc>
          <w:tcPr>
            <w:tcW w:w="4087" w:type="pct"/>
            <w:vAlign w:val="center"/>
          </w:tcPr>
          <w:p w14:paraId="558EA1DA">
            <w:pPr>
              <w:pStyle w:val="8"/>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0" w:firstLineChars="0"/>
              <w:jc w:val="left"/>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根据《GA/T497-2019道路车辆智能监测记录系统通用技术条件》中规定，在正常工作条件下，系统对于符合GA36规定的号牌，</w:t>
            </w:r>
          </w:p>
          <w:p w14:paraId="79CA8DA8">
            <w:pPr>
              <w:pStyle w:val="8"/>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0" w:firstLineChars="0"/>
              <w:jc w:val="left"/>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机动车号牌捕获采集：日间精度不小于95%，夜间精度不小于90%；机动车号牌识别准确率：日间精度不小于95%，夜间精度不小于90%。</w:t>
            </w:r>
          </w:p>
        </w:tc>
      </w:tr>
      <w:tr w14:paraId="531E8F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912" w:type="pct"/>
            <w:vAlign w:val="center"/>
          </w:tcPr>
          <w:p w14:paraId="78B67342">
            <w:pPr>
              <w:pStyle w:val="8"/>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0" w:firstLineChars="0"/>
              <w:jc w:val="center"/>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机动车车型</w:t>
            </w:r>
          </w:p>
        </w:tc>
        <w:tc>
          <w:tcPr>
            <w:tcW w:w="4087" w:type="pct"/>
            <w:vAlign w:val="center"/>
          </w:tcPr>
          <w:p w14:paraId="4C3E78A2">
            <w:pPr>
              <w:pStyle w:val="8"/>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0" w:firstLineChars="0"/>
              <w:jc w:val="left"/>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单类车型数据采集精度不小于90%，依据《公路交通情况调查设备第1部分技术条件》（JT/T1008.1）</w:t>
            </w:r>
          </w:p>
        </w:tc>
      </w:tr>
      <w:tr w14:paraId="2CC385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912" w:type="pct"/>
            <w:vAlign w:val="center"/>
          </w:tcPr>
          <w:p w14:paraId="5718E46C">
            <w:pPr>
              <w:pStyle w:val="8"/>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0" w:firstLineChars="0"/>
              <w:jc w:val="center"/>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地点车速</w:t>
            </w:r>
          </w:p>
        </w:tc>
        <w:tc>
          <w:tcPr>
            <w:tcW w:w="4087" w:type="pct"/>
            <w:vAlign w:val="center"/>
          </w:tcPr>
          <w:p w14:paraId="556B7EAD">
            <w:pPr>
              <w:pStyle w:val="8"/>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0" w:firstLineChars="0"/>
              <w:jc w:val="left"/>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地点车速数据采集精度不小于92%，依据《公路交通情况调查设备第1部分技术条件》（JT/T1008.1）。</w:t>
            </w:r>
          </w:p>
        </w:tc>
      </w:tr>
      <w:tr w14:paraId="4AA8F7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912" w:type="pct"/>
            <w:vAlign w:val="center"/>
          </w:tcPr>
          <w:p w14:paraId="4A9A1E47">
            <w:pPr>
              <w:pStyle w:val="8"/>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0" w:firstLineChars="0"/>
              <w:jc w:val="center"/>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交通流</w:t>
            </w:r>
          </w:p>
        </w:tc>
        <w:tc>
          <w:tcPr>
            <w:tcW w:w="4087" w:type="pct"/>
            <w:vAlign w:val="center"/>
          </w:tcPr>
          <w:p w14:paraId="45316E48">
            <w:pPr>
              <w:pStyle w:val="8"/>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0" w:firstLineChars="0"/>
              <w:jc w:val="left"/>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流量数据采集精度不小于95%，依据《公路交通情况调查设备第1部分技术条件》（JT/T1008.1）</w:t>
            </w:r>
          </w:p>
        </w:tc>
      </w:tr>
      <w:tr w14:paraId="546C75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912" w:type="pct"/>
            <w:vAlign w:val="center"/>
          </w:tcPr>
          <w:p w14:paraId="4CA5C4D3">
            <w:pPr>
              <w:pStyle w:val="8"/>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0" w:firstLineChars="0"/>
              <w:jc w:val="center"/>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车头时距</w:t>
            </w:r>
          </w:p>
        </w:tc>
        <w:tc>
          <w:tcPr>
            <w:tcW w:w="4087" w:type="pct"/>
            <w:vAlign w:val="center"/>
          </w:tcPr>
          <w:p w14:paraId="14F827C9">
            <w:pPr>
              <w:pStyle w:val="8"/>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0" w:firstLineChars="0"/>
              <w:jc w:val="left"/>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车头时距数据采集精度不小于90%，依据《公路交通情况调查设备第1部分技术条件》（JT/T1008.1）。</w:t>
            </w:r>
          </w:p>
        </w:tc>
      </w:tr>
      <w:tr w14:paraId="0E2DDB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912" w:type="pct"/>
            <w:vAlign w:val="center"/>
          </w:tcPr>
          <w:p w14:paraId="68B39A0D">
            <w:pPr>
              <w:pStyle w:val="8"/>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0" w:firstLineChars="0"/>
              <w:jc w:val="center"/>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车头间距</w:t>
            </w:r>
          </w:p>
        </w:tc>
        <w:tc>
          <w:tcPr>
            <w:tcW w:w="4087" w:type="pct"/>
            <w:vAlign w:val="center"/>
          </w:tcPr>
          <w:p w14:paraId="509907ED">
            <w:pPr>
              <w:pStyle w:val="8"/>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0" w:firstLineChars="0"/>
              <w:jc w:val="left"/>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车头间距数据采集精度不小于90%，依据《公路交通情况调查设备第1部分技术条件》（JT/T1008.1）</w:t>
            </w:r>
          </w:p>
        </w:tc>
      </w:tr>
      <w:tr w14:paraId="0A3048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912" w:type="pct"/>
            <w:vAlign w:val="center"/>
          </w:tcPr>
          <w:p w14:paraId="46AD7015">
            <w:pPr>
              <w:pStyle w:val="8"/>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0" w:firstLineChars="0"/>
              <w:jc w:val="center"/>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自动汇总</w:t>
            </w:r>
          </w:p>
          <w:p w14:paraId="72348BCE">
            <w:pPr>
              <w:pStyle w:val="8"/>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0" w:firstLineChars="0"/>
              <w:jc w:val="center"/>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交通量</w:t>
            </w:r>
          </w:p>
        </w:tc>
        <w:tc>
          <w:tcPr>
            <w:tcW w:w="4087" w:type="pct"/>
            <w:vAlign w:val="center"/>
          </w:tcPr>
          <w:p w14:paraId="1A3D6A48">
            <w:pPr>
              <w:pStyle w:val="8"/>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0" w:firstLineChars="0"/>
              <w:jc w:val="left"/>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交通量数据精度应不小于95%，依据《公路交通情况调查设备第1部分：技术条件》(JT/T1008.1）</w:t>
            </w:r>
          </w:p>
        </w:tc>
      </w:tr>
    </w:tbl>
    <w:p w14:paraId="78E89A91">
      <w:pPr>
        <w:pStyle w:val="4"/>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0" w:firstLineChars="200"/>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主要设备有：交调传感器(双激光)利旧；增加车牌识别装置(卡口摄像机)、补光装置(补光</w:t>
      </w:r>
    </w:p>
    <w:p w14:paraId="0D0F358F">
      <w:pPr>
        <w:pStyle w:val="4"/>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0" w:firstLineChars="200"/>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灯)、边缘计算单元+存储、控制柜、标志标牌、路由器交换一体机（含VPN模块）；杆体及基础根据实际情况利旧改造或新建。</w:t>
      </w:r>
    </w:p>
    <w:p w14:paraId="45984DBC">
      <w:pPr>
        <w:keepNext w:val="0"/>
        <w:keepLines w:val="0"/>
        <w:pageBreakBefore w:val="0"/>
        <w:widowControl w:val="0"/>
        <w:numPr>
          <w:ilvl w:val="1"/>
          <w:numId w:val="0"/>
        </w:numPr>
        <w:tabs>
          <w:tab w:val="left" w:pos="768"/>
        </w:tabs>
        <w:kinsoku/>
        <w:wordWrap/>
        <w:overflowPunct/>
        <w:topLinePunct w:val="0"/>
        <w:autoSpaceDE w:val="0"/>
        <w:autoSpaceDN w:val="0"/>
        <w:bidi w:val="0"/>
        <w:adjustRightInd/>
        <w:snapToGrid/>
        <w:spacing w:before="0" w:after="0" w:line="360" w:lineRule="auto"/>
        <w:ind w:right="0" w:rightChars="0"/>
        <w:jc w:val="left"/>
        <w:textAlignment w:val="auto"/>
        <w:outlineLvl w:val="9"/>
        <w:rPr>
          <w:rFonts w:hint="eastAsia" w:ascii="宋体" w:hAnsi="宋体" w:eastAsia="宋体" w:cs="宋体"/>
          <w:b/>
          <w:bCs/>
          <w:spacing w:val="0"/>
          <w:w w:val="100"/>
          <w:kern w:val="21"/>
          <w:sz w:val="21"/>
          <w:szCs w:val="21"/>
        </w:rPr>
      </w:pPr>
      <w:r>
        <w:rPr>
          <w:rFonts w:hint="eastAsia" w:ascii="宋体" w:hAnsi="宋体" w:eastAsia="宋体" w:cs="宋体"/>
          <w:b/>
          <w:bCs/>
          <w:spacing w:val="0"/>
          <w:w w:val="100"/>
          <w:kern w:val="21"/>
          <w:sz w:val="21"/>
          <w:szCs w:val="21"/>
          <w:lang w:val="en-US" w:eastAsia="zh-CN" w:bidi="ar-SA"/>
        </w:rPr>
        <w:t>4.4</w:t>
      </w:r>
      <w:r>
        <w:rPr>
          <w:rFonts w:hint="eastAsia" w:ascii="宋体" w:hAnsi="宋体" w:eastAsia="宋体" w:cs="宋体"/>
          <w:b/>
          <w:bCs/>
          <w:spacing w:val="0"/>
          <w:w w:val="100"/>
          <w:kern w:val="21"/>
          <w:sz w:val="21"/>
          <w:szCs w:val="21"/>
        </w:rPr>
        <w:t>视频升级</w:t>
      </w:r>
    </w:p>
    <w:p w14:paraId="630957FE">
      <w:pPr>
        <w:pStyle w:val="4"/>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0" w:firstLineChars="200"/>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视频升级交通调查站在原有交通视频监控站点基础上，增加机动车号牌采集功能，升级为Ⅰ类多功能交通调查站，按照按照行驶方向、分车道采集单个车头机动车号牌数据，5分钟周期自动汇总交通流量，上传湖南交通运输厅科技信息中心。</w:t>
      </w:r>
    </w:p>
    <w:tbl>
      <w:tblPr>
        <w:tblStyle w:val="5"/>
        <w:tblW w:w="4999"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517"/>
        <w:gridCol w:w="6797"/>
      </w:tblGrid>
      <w:tr w14:paraId="79BE56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912" w:type="pct"/>
            <w:vAlign w:val="center"/>
          </w:tcPr>
          <w:p w14:paraId="049D3A1B">
            <w:pPr>
              <w:pStyle w:val="8"/>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0" w:firstLineChars="0"/>
              <w:jc w:val="center"/>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功能</w:t>
            </w:r>
          </w:p>
        </w:tc>
        <w:tc>
          <w:tcPr>
            <w:tcW w:w="4087" w:type="pct"/>
            <w:vAlign w:val="center"/>
          </w:tcPr>
          <w:p w14:paraId="6A2447D7">
            <w:pPr>
              <w:pStyle w:val="8"/>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0" w:firstLineChars="0"/>
              <w:jc w:val="center"/>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数据精度</w:t>
            </w:r>
          </w:p>
        </w:tc>
      </w:tr>
      <w:tr w14:paraId="1C36D8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912" w:type="pct"/>
            <w:vAlign w:val="center"/>
          </w:tcPr>
          <w:p w14:paraId="233ABE7D">
            <w:pPr>
              <w:pStyle w:val="8"/>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0" w:firstLineChars="0"/>
              <w:jc w:val="center"/>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机动车号牌</w:t>
            </w:r>
          </w:p>
        </w:tc>
        <w:tc>
          <w:tcPr>
            <w:tcW w:w="4087" w:type="pct"/>
            <w:vAlign w:val="center"/>
          </w:tcPr>
          <w:p w14:paraId="6DFE0B8C">
            <w:pPr>
              <w:pStyle w:val="8"/>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0" w:firstLineChars="0"/>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根据《GA/T497-2019道路车辆智能监测记录系统通用技术条件》中规定，在正常工作条件下，系统对于符合GA36规定的号牌，</w:t>
            </w:r>
          </w:p>
          <w:p w14:paraId="6CFD8A9F">
            <w:pPr>
              <w:pStyle w:val="8"/>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0" w:firstLineChars="0"/>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机动车号牌捕获采集：日间精度应不小于95%，夜间精度应不小于90%；机动车号牌识别准确率：日间精度应不小于95%，夜间精度应不小于90%。并可对车型进行识别</w:t>
            </w:r>
          </w:p>
        </w:tc>
      </w:tr>
      <w:tr w14:paraId="77B1D3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912" w:type="pct"/>
            <w:vAlign w:val="center"/>
          </w:tcPr>
          <w:p w14:paraId="7DE4B94B">
            <w:pPr>
              <w:pStyle w:val="8"/>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0" w:firstLineChars="0"/>
              <w:jc w:val="center"/>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自动汇总交通量</w:t>
            </w:r>
          </w:p>
        </w:tc>
        <w:tc>
          <w:tcPr>
            <w:tcW w:w="4087" w:type="pct"/>
            <w:vAlign w:val="center"/>
          </w:tcPr>
          <w:p w14:paraId="6CA34F91">
            <w:pPr>
              <w:pStyle w:val="8"/>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0" w:firstLineChars="0"/>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交通量数据精度应不小于95%，依据《公路交通情况调查设备第1部分：技术条件》(JT/T1008.1）</w:t>
            </w:r>
          </w:p>
        </w:tc>
      </w:tr>
    </w:tbl>
    <w:p w14:paraId="551410DE">
      <w:pPr>
        <w:pStyle w:val="4"/>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0" w:firstLineChars="200"/>
        <w:jc w:val="both"/>
        <w:textAlignment w:val="auto"/>
        <w:outlineLvl w:val="9"/>
        <w:rPr>
          <w:rFonts w:hint="eastAsia" w:ascii="宋体" w:hAnsi="宋体" w:eastAsia="宋体" w:cs="宋体"/>
          <w:b w:val="0"/>
          <w:bCs w:val="0"/>
          <w:spacing w:val="0"/>
          <w:w w:val="100"/>
          <w:kern w:val="21"/>
          <w:sz w:val="21"/>
          <w:szCs w:val="21"/>
          <w:highlight w:val="none"/>
        </w:rPr>
      </w:pPr>
      <w:r>
        <w:rPr>
          <w:rFonts w:hint="eastAsia" w:ascii="宋体" w:hAnsi="宋体" w:eastAsia="宋体" w:cs="宋体"/>
          <w:b w:val="0"/>
          <w:bCs w:val="0"/>
          <w:spacing w:val="0"/>
          <w:w w:val="100"/>
          <w:kern w:val="21"/>
          <w:sz w:val="21"/>
          <w:szCs w:val="21"/>
        </w:rPr>
        <w:t>主要设备</w:t>
      </w:r>
      <w:r>
        <w:rPr>
          <w:rFonts w:hint="eastAsia" w:ascii="宋体" w:hAnsi="宋体" w:eastAsia="宋体" w:cs="宋体"/>
          <w:b w:val="0"/>
          <w:bCs w:val="0"/>
          <w:spacing w:val="0"/>
          <w:w w:val="100"/>
          <w:kern w:val="21"/>
          <w:sz w:val="21"/>
          <w:szCs w:val="21"/>
          <w:highlight w:val="none"/>
        </w:rPr>
        <w:t>有：抓拍单元、电力电缆、6类屏蔽双绞线、多合一补光灯、边缘计算单元(含软件)、快球摄像机、控制箱、交调标志牌、单悬臂标杆、单悬臂标杆、钢绞线、水泥电杆、电力电缆、接电入网、VPN网关路由交换一体机、VPN网关路由交换一体机、拼接屏、拼接控制器、拼接屏支架、视频编解码器、机柜、视频管理服务器及软件、视频管理计算机及软件、防火墙、高清视频线、网线、交调传感器</w:t>
      </w:r>
      <w:r>
        <w:rPr>
          <w:rFonts w:hint="eastAsia" w:cs="宋体"/>
          <w:b w:val="0"/>
          <w:bCs w:val="0"/>
          <w:spacing w:val="0"/>
          <w:w w:val="100"/>
          <w:kern w:val="21"/>
          <w:sz w:val="21"/>
          <w:szCs w:val="21"/>
          <w:highlight w:val="none"/>
          <w:lang w:eastAsia="zh-CN"/>
        </w:rPr>
        <w:t>，</w:t>
      </w:r>
      <w:r>
        <w:rPr>
          <w:rFonts w:hint="eastAsia" w:cs="宋体"/>
          <w:b w:val="0"/>
          <w:bCs w:val="0"/>
          <w:spacing w:val="0"/>
          <w:w w:val="100"/>
          <w:kern w:val="21"/>
          <w:sz w:val="21"/>
          <w:szCs w:val="21"/>
          <w:highlight w:val="none"/>
          <w:lang w:val="en-US" w:eastAsia="zh-CN"/>
        </w:rPr>
        <w:t>详见设备功能与主要参数表</w:t>
      </w:r>
      <w:r>
        <w:rPr>
          <w:rFonts w:hint="eastAsia" w:ascii="宋体" w:hAnsi="宋体" w:eastAsia="宋体" w:cs="宋体"/>
          <w:b w:val="0"/>
          <w:bCs w:val="0"/>
          <w:spacing w:val="0"/>
          <w:w w:val="100"/>
          <w:kern w:val="21"/>
          <w:sz w:val="21"/>
          <w:szCs w:val="21"/>
          <w:highlight w:val="none"/>
        </w:rPr>
        <w:t>；杆体及基础根据实际情况利旧改造或新建。</w:t>
      </w:r>
    </w:p>
    <w:p w14:paraId="1D381819">
      <w:pPr>
        <w:keepNext w:val="0"/>
        <w:keepLines w:val="0"/>
        <w:pageBreakBefore w:val="0"/>
        <w:widowControl w:val="0"/>
        <w:numPr>
          <w:ilvl w:val="1"/>
          <w:numId w:val="0"/>
        </w:numPr>
        <w:tabs>
          <w:tab w:val="left" w:pos="768"/>
        </w:tabs>
        <w:kinsoku/>
        <w:wordWrap/>
        <w:overflowPunct/>
        <w:topLinePunct w:val="0"/>
        <w:autoSpaceDE w:val="0"/>
        <w:autoSpaceDN w:val="0"/>
        <w:bidi w:val="0"/>
        <w:adjustRightInd/>
        <w:snapToGrid/>
        <w:spacing w:before="0" w:after="0" w:line="360" w:lineRule="auto"/>
        <w:ind w:right="0" w:rightChars="0"/>
        <w:jc w:val="left"/>
        <w:textAlignment w:val="auto"/>
        <w:outlineLvl w:val="9"/>
        <w:rPr>
          <w:rFonts w:hint="eastAsia" w:ascii="宋体" w:hAnsi="宋体" w:eastAsia="宋体" w:cs="宋体"/>
          <w:b/>
          <w:bCs/>
          <w:spacing w:val="0"/>
          <w:w w:val="100"/>
          <w:kern w:val="21"/>
          <w:sz w:val="21"/>
          <w:szCs w:val="21"/>
        </w:rPr>
      </w:pPr>
      <w:r>
        <w:rPr>
          <w:rFonts w:hint="eastAsia" w:ascii="宋体" w:hAnsi="宋体" w:eastAsia="宋体" w:cs="宋体"/>
          <w:b/>
          <w:bCs/>
          <w:spacing w:val="0"/>
          <w:w w:val="100"/>
          <w:kern w:val="21"/>
          <w:sz w:val="21"/>
          <w:szCs w:val="21"/>
          <w:lang w:val="en-US" w:eastAsia="zh-CN" w:bidi="ar-SA"/>
        </w:rPr>
        <w:t>4.5</w:t>
      </w:r>
      <w:r>
        <w:rPr>
          <w:rFonts w:hint="eastAsia" w:ascii="宋体" w:hAnsi="宋体" w:eastAsia="宋体" w:cs="宋体"/>
          <w:b/>
          <w:bCs/>
          <w:spacing w:val="0"/>
          <w:w w:val="100"/>
          <w:kern w:val="21"/>
          <w:sz w:val="21"/>
          <w:szCs w:val="21"/>
        </w:rPr>
        <w:t>视频监控</w:t>
      </w:r>
    </w:p>
    <w:p w14:paraId="7D084900">
      <w:pPr>
        <w:pStyle w:val="4"/>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0" w:firstLineChars="200"/>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本次设计在新建Ⅰ类、新建Ⅱ类、存量升级多功能交通调查站，增加视频监控快球摄像机，监视路段交通情况，上传视频数据至各市州各市州公路管理机构监控室。</w:t>
      </w:r>
    </w:p>
    <w:p w14:paraId="6E173A0F">
      <w:pPr>
        <w:keepNext w:val="0"/>
        <w:keepLines w:val="0"/>
        <w:pageBreakBefore w:val="0"/>
        <w:widowControl w:val="0"/>
        <w:numPr>
          <w:ilvl w:val="1"/>
          <w:numId w:val="0"/>
        </w:numPr>
        <w:tabs>
          <w:tab w:val="left" w:pos="768"/>
        </w:tabs>
        <w:kinsoku/>
        <w:wordWrap/>
        <w:overflowPunct/>
        <w:topLinePunct w:val="0"/>
        <w:autoSpaceDE w:val="0"/>
        <w:autoSpaceDN w:val="0"/>
        <w:bidi w:val="0"/>
        <w:adjustRightInd/>
        <w:snapToGrid/>
        <w:spacing w:before="0" w:after="0" w:line="360" w:lineRule="auto"/>
        <w:ind w:right="0" w:rightChars="0"/>
        <w:jc w:val="left"/>
        <w:textAlignment w:val="auto"/>
        <w:outlineLvl w:val="9"/>
        <w:rPr>
          <w:rFonts w:hint="eastAsia" w:ascii="宋体" w:hAnsi="宋体" w:eastAsia="宋体" w:cs="宋体"/>
          <w:b/>
          <w:bCs/>
          <w:spacing w:val="0"/>
          <w:w w:val="100"/>
          <w:kern w:val="21"/>
          <w:sz w:val="21"/>
          <w:szCs w:val="21"/>
        </w:rPr>
      </w:pPr>
      <w:r>
        <w:rPr>
          <w:rFonts w:hint="eastAsia" w:ascii="宋体" w:hAnsi="宋体" w:eastAsia="宋体" w:cs="宋体"/>
          <w:b/>
          <w:bCs/>
          <w:spacing w:val="0"/>
          <w:w w:val="100"/>
          <w:kern w:val="21"/>
          <w:sz w:val="21"/>
          <w:szCs w:val="21"/>
          <w:lang w:val="en-US" w:eastAsia="zh-CN" w:bidi="ar-SA"/>
        </w:rPr>
        <w:t>4.6</w:t>
      </w:r>
      <w:r>
        <w:rPr>
          <w:rFonts w:hint="eastAsia" w:ascii="宋体" w:hAnsi="宋体" w:eastAsia="宋体" w:cs="宋体"/>
          <w:b/>
          <w:bCs/>
          <w:spacing w:val="0"/>
          <w:w w:val="100"/>
          <w:kern w:val="21"/>
          <w:sz w:val="21"/>
          <w:szCs w:val="21"/>
        </w:rPr>
        <w:t>监控室</w:t>
      </w:r>
    </w:p>
    <w:p w14:paraId="2C0FDB76">
      <w:pPr>
        <w:pStyle w:val="4"/>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0" w:firstLineChars="200"/>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各市州各市州公路管理机构监控室，对辖区内的视频图像可进行实时监控，通过网络传输调用现场视频图像进行监控、回放等功能。</w:t>
      </w:r>
    </w:p>
    <w:p w14:paraId="04BC510B">
      <w:pPr>
        <w:pStyle w:val="4"/>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0" w:firstLineChars="200"/>
        <w:jc w:val="both"/>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各市州公路管理机构监控室根据本地监控室的建设情况酌情考虑建设，已有监控室及机房的市州，则依据此次工程增加的图像路数，在原监控室及机房配置设备基础上进行扩容改建，没有监控室及机房的市州，可考虑选址建设，并根据各自辖区内路网监控需求，进行建设，房间选址、布局可参照本设计，监控室、机房装修、电源需另行考虑。监控计算机网络还需满足相应的信息安全技术网络安全等级保护基本要求的相关规定要求。</w:t>
      </w:r>
    </w:p>
    <w:p w14:paraId="5C9D8458">
      <w:pPr>
        <w:pStyle w:val="4"/>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0" w:firstLineChars="200"/>
        <w:jc w:val="both"/>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监控室配置监视器，采用LRED拼接屏，数量与监控快球摄像机数量1：4配置，配置拼接屏控制器，可对监视图像进行拼接与分割。视频监控图像采用H.265压缩格式，画面分辨率1080P，码流以4~6M计。</w:t>
      </w:r>
    </w:p>
    <w:p w14:paraId="24250366">
      <w:pPr>
        <w:keepNext w:val="0"/>
        <w:keepLines w:val="0"/>
        <w:pageBreakBefore w:val="0"/>
        <w:widowControl w:val="0"/>
        <w:numPr>
          <w:ilvl w:val="1"/>
          <w:numId w:val="0"/>
        </w:numPr>
        <w:tabs>
          <w:tab w:val="left" w:pos="708"/>
        </w:tabs>
        <w:kinsoku/>
        <w:wordWrap/>
        <w:overflowPunct/>
        <w:topLinePunct w:val="0"/>
        <w:autoSpaceDE w:val="0"/>
        <w:autoSpaceDN w:val="0"/>
        <w:bidi w:val="0"/>
        <w:adjustRightInd/>
        <w:snapToGrid/>
        <w:spacing w:before="0" w:after="0" w:line="360" w:lineRule="auto"/>
        <w:ind w:right="0" w:rightChars="0"/>
        <w:jc w:val="left"/>
        <w:textAlignment w:val="auto"/>
        <w:outlineLvl w:val="9"/>
        <w:rPr>
          <w:rFonts w:hint="eastAsia" w:ascii="宋体" w:hAnsi="宋体" w:eastAsia="宋体" w:cs="宋体"/>
          <w:b/>
          <w:bCs/>
          <w:spacing w:val="0"/>
          <w:w w:val="100"/>
          <w:kern w:val="21"/>
          <w:sz w:val="21"/>
          <w:szCs w:val="21"/>
        </w:rPr>
      </w:pPr>
      <w:r>
        <w:rPr>
          <w:rFonts w:hint="eastAsia" w:ascii="宋体" w:hAnsi="宋体" w:eastAsia="宋体" w:cs="宋体"/>
          <w:b/>
          <w:bCs/>
          <w:spacing w:val="0"/>
          <w:w w:val="100"/>
          <w:kern w:val="21"/>
          <w:sz w:val="21"/>
          <w:szCs w:val="21"/>
          <w:lang w:val="en-US" w:eastAsia="zh-CN" w:bidi="ar-SA"/>
        </w:rPr>
        <w:t>4.7</w:t>
      </w:r>
      <w:r>
        <w:rPr>
          <w:rFonts w:hint="eastAsia" w:ascii="宋体" w:hAnsi="宋体" w:eastAsia="宋体" w:cs="宋体"/>
          <w:b/>
          <w:bCs/>
          <w:spacing w:val="0"/>
          <w:w w:val="100"/>
          <w:kern w:val="21"/>
          <w:sz w:val="21"/>
          <w:szCs w:val="21"/>
        </w:rPr>
        <w:t>数据传输</w:t>
      </w:r>
    </w:p>
    <w:p w14:paraId="3E84A4FF">
      <w:pPr>
        <w:pStyle w:val="4"/>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0" w:firstLineChars="200"/>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交调站建设工程共305处，通过运营商的有线宽带网络接入互联网，将交调数据数据传输至湖南交通运输厅科技信息中心</w:t>
      </w:r>
      <w:r>
        <w:rPr>
          <w:rFonts w:hint="eastAsia" w:cs="宋体"/>
          <w:b w:val="0"/>
          <w:bCs w:val="0"/>
          <w:spacing w:val="0"/>
          <w:w w:val="100"/>
          <w:kern w:val="21"/>
          <w:sz w:val="21"/>
          <w:szCs w:val="21"/>
          <w:lang w:eastAsia="zh-CN"/>
        </w:rPr>
        <w:t>，</w:t>
      </w:r>
      <w:r>
        <w:rPr>
          <w:rFonts w:hint="eastAsia" w:cs="宋体"/>
          <w:b w:val="0"/>
          <w:bCs w:val="0"/>
          <w:spacing w:val="0"/>
          <w:w w:val="100"/>
          <w:kern w:val="21"/>
          <w:sz w:val="21"/>
          <w:szCs w:val="21"/>
          <w:lang w:val="en-US" w:eastAsia="zh-CN"/>
        </w:rPr>
        <w:t>其中株洲市23处</w:t>
      </w:r>
      <w:r>
        <w:rPr>
          <w:rFonts w:hint="eastAsia" w:ascii="宋体" w:hAnsi="宋体" w:eastAsia="宋体" w:cs="宋体"/>
          <w:b w:val="0"/>
          <w:bCs w:val="0"/>
          <w:spacing w:val="0"/>
          <w:w w:val="100"/>
          <w:kern w:val="21"/>
          <w:sz w:val="21"/>
          <w:szCs w:val="21"/>
        </w:rPr>
        <w:t>。</w:t>
      </w:r>
    </w:p>
    <w:p w14:paraId="2F288577">
      <w:pPr>
        <w:pStyle w:val="4"/>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0" w:firstLineChars="200"/>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视频监控图像数据通过运营商的有线宽带网络接入互联网，可由市州公路管理机构路网监控室对辖区内的道路视频进行调用、监控。</w:t>
      </w:r>
    </w:p>
    <w:p w14:paraId="650FFD00">
      <w:pPr>
        <w:pStyle w:val="4"/>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0" w:firstLineChars="200"/>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通过VPN对数据进行加密和封装，建立专用的通信隧道，进行数据传输。</w:t>
      </w:r>
    </w:p>
    <w:p w14:paraId="1B7F4187">
      <w:pPr>
        <w:keepNext w:val="0"/>
        <w:keepLines w:val="0"/>
        <w:pageBreakBefore w:val="0"/>
        <w:widowControl w:val="0"/>
        <w:numPr>
          <w:ilvl w:val="1"/>
          <w:numId w:val="0"/>
        </w:numPr>
        <w:tabs>
          <w:tab w:val="left" w:pos="777"/>
        </w:tabs>
        <w:kinsoku/>
        <w:wordWrap/>
        <w:overflowPunct/>
        <w:topLinePunct w:val="0"/>
        <w:autoSpaceDE w:val="0"/>
        <w:autoSpaceDN w:val="0"/>
        <w:bidi w:val="0"/>
        <w:adjustRightInd/>
        <w:snapToGrid/>
        <w:spacing w:before="0" w:after="0" w:line="360" w:lineRule="auto"/>
        <w:ind w:right="0" w:rightChars="0"/>
        <w:jc w:val="left"/>
        <w:textAlignment w:val="auto"/>
        <w:outlineLvl w:val="9"/>
        <w:rPr>
          <w:rFonts w:hint="eastAsia" w:ascii="宋体" w:hAnsi="宋体" w:eastAsia="宋体" w:cs="宋体"/>
          <w:b/>
          <w:bCs/>
          <w:spacing w:val="0"/>
          <w:w w:val="100"/>
          <w:kern w:val="21"/>
          <w:sz w:val="21"/>
          <w:szCs w:val="21"/>
        </w:rPr>
      </w:pPr>
      <w:r>
        <w:rPr>
          <w:rFonts w:hint="eastAsia" w:ascii="宋体" w:hAnsi="宋体" w:eastAsia="宋体" w:cs="宋体"/>
          <w:b/>
          <w:bCs/>
          <w:spacing w:val="0"/>
          <w:w w:val="100"/>
          <w:kern w:val="21"/>
          <w:sz w:val="21"/>
          <w:szCs w:val="21"/>
          <w:lang w:val="en-US" w:eastAsia="zh-CN" w:bidi="ar-SA"/>
        </w:rPr>
        <w:t>4.8</w:t>
      </w:r>
      <w:r>
        <w:rPr>
          <w:rFonts w:hint="eastAsia" w:ascii="宋体" w:hAnsi="宋体" w:eastAsia="宋体" w:cs="宋体"/>
          <w:b/>
          <w:bCs/>
          <w:spacing w:val="0"/>
          <w:w w:val="100"/>
          <w:kern w:val="21"/>
          <w:sz w:val="21"/>
          <w:szCs w:val="21"/>
        </w:rPr>
        <w:t>交调设备供电</w:t>
      </w:r>
    </w:p>
    <w:p w14:paraId="21842357">
      <w:pPr>
        <w:pStyle w:val="4"/>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0" w:firstLineChars="200"/>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根据现场情况，新建交调设备向电力管理部门申报电表，从供电局设于附近区域内电表箱的电表上桩头取电；升级站点采用原有设施的可用供电设备。</w:t>
      </w:r>
    </w:p>
    <w:p w14:paraId="5DFFC581">
      <w:pPr>
        <w:keepNext w:val="0"/>
        <w:keepLines w:val="0"/>
        <w:pageBreakBefore w:val="0"/>
        <w:widowControl w:val="0"/>
        <w:numPr>
          <w:ilvl w:val="0"/>
          <w:numId w:val="0"/>
        </w:numPr>
        <w:kinsoku/>
        <w:wordWrap/>
        <w:overflowPunct/>
        <w:topLinePunct w:val="0"/>
        <w:autoSpaceDE w:val="0"/>
        <w:autoSpaceDN w:val="0"/>
        <w:bidi w:val="0"/>
        <w:adjustRightInd/>
        <w:snapToGrid/>
        <w:spacing w:before="0" w:line="360" w:lineRule="auto"/>
        <w:ind w:left="0" w:right="0" w:rightChars="0" w:firstLine="420" w:firstLineChars="200"/>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单个交调站点用电设备的最大负荷统计表</w:t>
      </w:r>
    </w:p>
    <w:tbl>
      <w:tblPr>
        <w:tblStyle w:val="5"/>
        <w:tblW w:w="4999"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2772"/>
        <w:gridCol w:w="2773"/>
        <w:gridCol w:w="2769"/>
      </w:tblGrid>
      <w:tr w14:paraId="6163F7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1667" w:type="pct"/>
            <w:vAlign w:val="center"/>
          </w:tcPr>
          <w:p w14:paraId="5F85827B">
            <w:pPr>
              <w:pStyle w:val="8"/>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0" w:firstLineChars="0"/>
              <w:jc w:val="center"/>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序号</w:t>
            </w:r>
          </w:p>
        </w:tc>
        <w:tc>
          <w:tcPr>
            <w:tcW w:w="1667" w:type="pct"/>
            <w:vAlign w:val="center"/>
          </w:tcPr>
          <w:p w14:paraId="33300671">
            <w:pPr>
              <w:pStyle w:val="8"/>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0" w:firstLineChars="0"/>
              <w:jc w:val="center"/>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设备名称</w:t>
            </w:r>
          </w:p>
        </w:tc>
        <w:tc>
          <w:tcPr>
            <w:tcW w:w="1665" w:type="pct"/>
            <w:vAlign w:val="center"/>
          </w:tcPr>
          <w:p w14:paraId="039BAB03">
            <w:pPr>
              <w:pStyle w:val="8"/>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0" w:firstLineChars="0"/>
              <w:jc w:val="center"/>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最大功率/W</w:t>
            </w:r>
          </w:p>
        </w:tc>
      </w:tr>
      <w:tr w14:paraId="79CF90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1667" w:type="pct"/>
            <w:vAlign w:val="center"/>
          </w:tcPr>
          <w:p w14:paraId="22288476">
            <w:pPr>
              <w:pStyle w:val="8"/>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0" w:firstLineChars="0"/>
              <w:jc w:val="center"/>
              <w:textAlignment w:val="auto"/>
              <w:outlineLvl w:val="9"/>
              <w:rPr>
                <w:rFonts w:hint="eastAsia" w:ascii="宋体" w:hAnsi="宋体" w:eastAsia="宋体" w:cs="宋体"/>
                <w:b w:val="0"/>
                <w:bCs w:val="0"/>
                <w:spacing w:val="0"/>
                <w:w w:val="100"/>
                <w:kern w:val="21"/>
                <w:sz w:val="21"/>
                <w:szCs w:val="21"/>
                <w:highlight w:val="none"/>
              </w:rPr>
            </w:pPr>
            <w:r>
              <w:rPr>
                <w:rFonts w:hint="eastAsia" w:ascii="宋体" w:hAnsi="宋体" w:eastAsia="宋体" w:cs="宋体"/>
                <w:b w:val="0"/>
                <w:bCs w:val="0"/>
                <w:spacing w:val="0"/>
                <w:w w:val="100"/>
                <w:kern w:val="21"/>
                <w:sz w:val="21"/>
                <w:szCs w:val="21"/>
                <w:highlight w:val="none"/>
              </w:rPr>
              <w:t>1</w:t>
            </w:r>
          </w:p>
        </w:tc>
        <w:tc>
          <w:tcPr>
            <w:tcW w:w="1667" w:type="pct"/>
            <w:vAlign w:val="center"/>
          </w:tcPr>
          <w:p w14:paraId="0A9BD0FD">
            <w:pPr>
              <w:pStyle w:val="8"/>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0" w:firstLineChars="0"/>
              <w:jc w:val="center"/>
              <w:textAlignment w:val="auto"/>
              <w:outlineLvl w:val="9"/>
              <w:rPr>
                <w:rFonts w:hint="eastAsia" w:ascii="宋体" w:hAnsi="宋体" w:eastAsia="宋体" w:cs="宋体"/>
                <w:b w:val="0"/>
                <w:bCs w:val="0"/>
                <w:spacing w:val="0"/>
                <w:w w:val="100"/>
                <w:kern w:val="21"/>
                <w:sz w:val="21"/>
                <w:szCs w:val="21"/>
                <w:highlight w:val="none"/>
              </w:rPr>
            </w:pPr>
            <w:r>
              <w:rPr>
                <w:rFonts w:hint="eastAsia" w:ascii="宋体" w:hAnsi="宋体" w:eastAsia="宋体" w:cs="宋体"/>
                <w:b w:val="0"/>
                <w:bCs w:val="0"/>
                <w:spacing w:val="0"/>
                <w:w w:val="100"/>
                <w:kern w:val="21"/>
                <w:sz w:val="21"/>
                <w:szCs w:val="21"/>
                <w:highlight w:val="none"/>
              </w:rPr>
              <w:t>双激光交调设备</w:t>
            </w:r>
          </w:p>
        </w:tc>
        <w:tc>
          <w:tcPr>
            <w:tcW w:w="1665" w:type="pct"/>
            <w:vAlign w:val="center"/>
          </w:tcPr>
          <w:p w14:paraId="3D8CD28A">
            <w:pPr>
              <w:pStyle w:val="8"/>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0" w:firstLineChars="0"/>
              <w:jc w:val="center"/>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20</w:t>
            </w:r>
          </w:p>
        </w:tc>
      </w:tr>
      <w:tr w14:paraId="6E2EC3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1667" w:type="pct"/>
            <w:vAlign w:val="center"/>
          </w:tcPr>
          <w:p w14:paraId="7DA1B904">
            <w:pPr>
              <w:pStyle w:val="8"/>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0" w:firstLineChars="0"/>
              <w:jc w:val="center"/>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2</w:t>
            </w:r>
          </w:p>
        </w:tc>
        <w:tc>
          <w:tcPr>
            <w:tcW w:w="1667" w:type="pct"/>
            <w:vAlign w:val="center"/>
          </w:tcPr>
          <w:p w14:paraId="0D05179C">
            <w:pPr>
              <w:pStyle w:val="8"/>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0" w:firstLineChars="0"/>
              <w:jc w:val="center"/>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快球摄像机</w:t>
            </w:r>
          </w:p>
        </w:tc>
        <w:tc>
          <w:tcPr>
            <w:tcW w:w="1665" w:type="pct"/>
            <w:vAlign w:val="center"/>
          </w:tcPr>
          <w:p w14:paraId="43F20E7F">
            <w:pPr>
              <w:pStyle w:val="8"/>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0" w:firstLineChars="0"/>
              <w:jc w:val="center"/>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50</w:t>
            </w:r>
          </w:p>
        </w:tc>
      </w:tr>
      <w:tr w14:paraId="253FE0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1667" w:type="pct"/>
            <w:vAlign w:val="center"/>
          </w:tcPr>
          <w:p w14:paraId="66F11017">
            <w:pPr>
              <w:pStyle w:val="8"/>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0" w:firstLineChars="0"/>
              <w:jc w:val="center"/>
              <w:textAlignment w:val="auto"/>
              <w:outlineLvl w:val="9"/>
              <w:rPr>
                <w:rFonts w:hint="eastAsia" w:ascii="宋体" w:hAnsi="宋体" w:eastAsia="宋体" w:cs="宋体"/>
                <w:b w:val="0"/>
                <w:bCs w:val="0"/>
                <w:spacing w:val="0"/>
                <w:w w:val="100"/>
                <w:kern w:val="21"/>
                <w:sz w:val="21"/>
                <w:szCs w:val="21"/>
                <w:highlight w:val="none"/>
              </w:rPr>
            </w:pPr>
            <w:r>
              <w:rPr>
                <w:rFonts w:hint="eastAsia" w:ascii="宋体" w:hAnsi="宋体" w:eastAsia="宋体" w:cs="宋体"/>
                <w:b w:val="0"/>
                <w:bCs w:val="0"/>
                <w:spacing w:val="0"/>
                <w:w w:val="100"/>
                <w:kern w:val="21"/>
                <w:sz w:val="21"/>
                <w:szCs w:val="21"/>
                <w:highlight w:val="none"/>
              </w:rPr>
              <w:t>3</w:t>
            </w:r>
          </w:p>
        </w:tc>
        <w:tc>
          <w:tcPr>
            <w:tcW w:w="1667" w:type="pct"/>
            <w:vAlign w:val="center"/>
          </w:tcPr>
          <w:p w14:paraId="3C0AED48">
            <w:pPr>
              <w:pStyle w:val="8"/>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0" w:firstLineChars="0"/>
              <w:jc w:val="center"/>
              <w:textAlignment w:val="auto"/>
              <w:outlineLvl w:val="9"/>
              <w:rPr>
                <w:rFonts w:hint="eastAsia" w:ascii="宋体" w:hAnsi="宋体" w:eastAsia="宋体" w:cs="宋体"/>
                <w:b w:val="0"/>
                <w:bCs w:val="0"/>
                <w:spacing w:val="0"/>
                <w:w w:val="100"/>
                <w:kern w:val="21"/>
                <w:sz w:val="21"/>
                <w:szCs w:val="21"/>
                <w:highlight w:val="none"/>
              </w:rPr>
            </w:pPr>
            <w:r>
              <w:rPr>
                <w:rFonts w:hint="eastAsia" w:ascii="宋体" w:hAnsi="宋体" w:eastAsia="宋体" w:cs="宋体"/>
                <w:b w:val="0"/>
                <w:bCs w:val="0"/>
                <w:spacing w:val="0"/>
                <w:w w:val="100"/>
                <w:kern w:val="21"/>
                <w:sz w:val="21"/>
                <w:szCs w:val="21"/>
                <w:highlight w:val="none"/>
              </w:rPr>
              <w:t>抓拍单元</w:t>
            </w:r>
          </w:p>
        </w:tc>
        <w:tc>
          <w:tcPr>
            <w:tcW w:w="1665" w:type="pct"/>
            <w:vAlign w:val="center"/>
          </w:tcPr>
          <w:p w14:paraId="762E319D">
            <w:pPr>
              <w:pStyle w:val="8"/>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0" w:firstLineChars="0"/>
              <w:jc w:val="center"/>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150</w:t>
            </w:r>
          </w:p>
        </w:tc>
      </w:tr>
      <w:tr w14:paraId="582FD2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1667" w:type="pct"/>
            <w:vAlign w:val="center"/>
          </w:tcPr>
          <w:p w14:paraId="5CB09706">
            <w:pPr>
              <w:pStyle w:val="8"/>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0" w:firstLineChars="0"/>
              <w:jc w:val="center"/>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4</w:t>
            </w:r>
          </w:p>
        </w:tc>
        <w:tc>
          <w:tcPr>
            <w:tcW w:w="1667" w:type="pct"/>
            <w:vAlign w:val="center"/>
          </w:tcPr>
          <w:p w14:paraId="2EC9408F">
            <w:pPr>
              <w:pStyle w:val="8"/>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0" w:firstLineChars="0"/>
              <w:jc w:val="center"/>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路由器交换机</w:t>
            </w:r>
          </w:p>
        </w:tc>
        <w:tc>
          <w:tcPr>
            <w:tcW w:w="1665" w:type="pct"/>
            <w:vAlign w:val="center"/>
          </w:tcPr>
          <w:p w14:paraId="6E7897BA">
            <w:pPr>
              <w:pStyle w:val="8"/>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0" w:firstLineChars="0"/>
              <w:jc w:val="center"/>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30</w:t>
            </w:r>
          </w:p>
        </w:tc>
      </w:tr>
      <w:tr w14:paraId="42E7E4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1667" w:type="pct"/>
            <w:vAlign w:val="center"/>
          </w:tcPr>
          <w:p w14:paraId="60D4E5EB">
            <w:pPr>
              <w:pStyle w:val="8"/>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0" w:firstLineChars="0"/>
              <w:jc w:val="center"/>
              <w:textAlignment w:val="auto"/>
              <w:outlineLvl w:val="9"/>
              <w:rPr>
                <w:rFonts w:hint="eastAsia" w:ascii="宋体" w:hAnsi="宋体" w:eastAsia="宋体" w:cs="宋体"/>
                <w:b w:val="0"/>
                <w:bCs w:val="0"/>
                <w:spacing w:val="0"/>
                <w:w w:val="100"/>
                <w:kern w:val="21"/>
                <w:sz w:val="21"/>
                <w:szCs w:val="21"/>
                <w:highlight w:val="none"/>
              </w:rPr>
            </w:pPr>
            <w:r>
              <w:rPr>
                <w:rFonts w:hint="eastAsia" w:ascii="宋体" w:hAnsi="宋体" w:eastAsia="宋体" w:cs="宋体"/>
                <w:b w:val="0"/>
                <w:bCs w:val="0"/>
                <w:spacing w:val="0"/>
                <w:w w:val="100"/>
                <w:kern w:val="21"/>
                <w:sz w:val="21"/>
                <w:szCs w:val="21"/>
                <w:highlight w:val="none"/>
              </w:rPr>
              <w:t>5</w:t>
            </w:r>
          </w:p>
        </w:tc>
        <w:tc>
          <w:tcPr>
            <w:tcW w:w="1667" w:type="pct"/>
            <w:vAlign w:val="center"/>
          </w:tcPr>
          <w:p w14:paraId="5C85C1F0">
            <w:pPr>
              <w:pStyle w:val="8"/>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0" w:firstLineChars="0"/>
              <w:jc w:val="center"/>
              <w:textAlignment w:val="auto"/>
              <w:outlineLvl w:val="9"/>
              <w:rPr>
                <w:rFonts w:hint="eastAsia" w:ascii="宋体" w:hAnsi="宋体" w:eastAsia="宋体" w:cs="宋体"/>
                <w:b w:val="0"/>
                <w:bCs w:val="0"/>
                <w:spacing w:val="0"/>
                <w:w w:val="100"/>
                <w:kern w:val="21"/>
                <w:sz w:val="21"/>
                <w:szCs w:val="21"/>
                <w:highlight w:val="none"/>
              </w:rPr>
            </w:pPr>
            <w:r>
              <w:rPr>
                <w:rFonts w:hint="eastAsia"/>
                <w:highlight w:val="none"/>
              </w:rPr>
              <w:t>边缘计算单元(含软件)</w:t>
            </w:r>
          </w:p>
        </w:tc>
        <w:tc>
          <w:tcPr>
            <w:tcW w:w="1665" w:type="pct"/>
            <w:vAlign w:val="center"/>
          </w:tcPr>
          <w:p w14:paraId="6AC3E726">
            <w:pPr>
              <w:pStyle w:val="8"/>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0" w:firstLineChars="0"/>
              <w:jc w:val="center"/>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30</w:t>
            </w:r>
          </w:p>
        </w:tc>
      </w:tr>
      <w:tr w14:paraId="39C0D6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3334" w:type="pct"/>
            <w:gridSpan w:val="2"/>
            <w:vAlign w:val="center"/>
          </w:tcPr>
          <w:p w14:paraId="701FFCAD">
            <w:pPr>
              <w:pStyle w:val="8"/>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0" w:firstLineChars="0"/>
              <w:jc w:val="center"/>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合计</w:t>
            </w:r>
          </w:p>
        </w:tc>
        <w:tc>
          <w:tcPr>
            <w:tcW w:w="1665" w:type="pct"/>
            <w:vAlign w:val="center"/>
          </w:tcPr>
          <w:p w14:paraId="75885727">
            <w:pPr>
              <w:pStyle w:val="8"/>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0" w:firstLineChars="0"/>
              <w:jc w:val="center"/>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280</w:t>
            </w:r>
          </w:p>
        </w:tc>
      </w:tr>
    </w:tbl>
    <w:p w14:paraId="1A01ED25">
      <w:pPr>
        <w:keepNext w:val="0"/>
        <w:keepLines w:val="0"/>
        <w:pageBreakBefore w:val="0"/>
        <w:widowControl w:val="0"/>
        <w:numPr>
          <w:ilvl w:val="1"/>
          <w:numId w:val="0"/>
        </w:numPr>
        <w:tabs>
          <w:tab w:val="left" w:pos="777"/>
        </w:tabs>
        <w:kinsoku/>
        <w:wordWrap/>
        <w:overflowPunct/>
        <w:topLinePunct w:val="0"/>
        <w:autoSpaceDE w:val="0"/>
        <w:autoSpaceDN w:val="0"/>
        <w:bidi w:val="0"/>
        <w:adjustRightInd/>
        <w:snapToGrid/>
        <w:spacing w:before="0" w:after="0" w:line="360" w:lineRule="auto"/>
        <w:ind w:right="0" w:rightChars="0"/>
        <w:jc w:val="left"/>
        <w:textAlignment w:val="auto"/>
        <w:outlineLvl w:val="9"/>
        <w:rPr>
          <w:rFonts w:hint="eastAsia" w:ascii="宋体" w:hAnsi="宋体" w:eastAsia="宋体" w:cs="宋体"/>
          <w:b/>
          <w:bCs/>
          <w:spacing w:val="0"/>
          <w:w w:val="100"/>
          <w:kern w:val="21"/>
          <w:sz w:val="21"/>
          <w:szCs w:val="21"/>
        </w:rPr>
      </w:pPr>
      <w:r>
        <w:rPr>
          <w:rFonts w:hint="eastAsia" w:ascii="宋体" w:hAnsi="宋体" w:eastAsia="宋体" w:cs="宋体"/>
          <w:b/>
          <w:bCs/>
          <w:spacing w:val="0"/>
          <w:w w:val="100"/>
          <w:kern w:val="21"/>
          <w:sz w:val="21"/>
          <w:szCs w:val="21"/>
          <w:lang w:val="en-US" w:eastAsia="zh-CN" w:bidi="ar-SA"/>
        </w:rPr>
        <w:t>4.9</w:t>
      </w:r>
      <w:r>
        <w:rPr>
          <w:rFonts w:hint="eastAsia" w:ascii="宋体" w:hAnsi="宋体" w:eastAsia="宋体" w:cs="宋体"/>
          <w:b/>
          <w:bCs/>
          <w:spacing w:val="0"/>
          <w:w w:val="100"/>
          <w:kern w:val="21"/>
          <w:sz w:val="21"/>
          <w:szCs w:val="21"/>
        </w:rPr>
        <w:t>交通调查站设备功能要求</w:t>
      </w:r>
    </w:p>
    <w:p w14:paraId="0AF9C0E3">
      <w:pPr>
        <w:pStyle w:val="4"/>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0" w:firstLineChars="200"/>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为了能最大程度地实现公路交通调查工作的自动化、信息化、动态化和实时化，交通调查站系统的运行应具备以下功能：</w:t>
      </w:r>
    </w:p>
    <w:p w14:paraId="539A7D4C">
      <w:pPr>
        <w:keepNext w:val="0"/>
        <w:keepLines w:val="0"/>
        <w:pageBreakBefore w:val="0"/>
        <w:widowControl w:val="0"/>
        <w:numPr>
          <w:ilvl w:val="2"/>
          <w:numId w:val="0"/>
        </w:numPr>
        <w:tabs>
          <w:tab w:val="left" w:pos="946"/>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lang w:val="en-US" w:eastAsia="zh-CN" w:bidi="ar-SA"/>
        </w:rPr>
        <w:t>1.</w:t>
      </w:r>
      <w:r>
        <w:rPr>
          <w:rFonts w:hint="eastAsia" w:ascii="宋体" w:hAnsi="宋体" w:eastAsia="宋体" w:cs="宋体"/>
          <w:b w:val="0"/>
          <w:bCs w:val="0"/>
          <w:spacing w:val="0"/>
          <w:w w:val="100"/>
          <w:kern w:val="21"/>
          <w:sz w:val="21"/>
          <w:szCs w:val="21"/>
        </w:rPr>
        <w:t>按照行驶方向、分车道采集的多种交通数据：</w:t>
      </w:r>
    </w:p>
    <w:p w14:paraId="40A9B533">
      <w:pPr>
        <w:pStyle w:val="7"/>
        <w:keepNext w:val="0"/>
        <w:keepLines w:val="0"/>
        <w:pageBreakBefore w:val="0"/>
        <w:widowControl w:val="0"/>
        <w:numPr>
          <w:ilvl w:val="0"/>
          <w:numId w:val="1"/>
        </w:numPr>
        <w:tabs>
          <w:tab w:val="left" w:pos="1131"/>
        </w:tabs>
        <w:kinsoku/>
        <w:wordWrap/>
        <w:overflowPunct/>
        <w:topLinePunct w:val="0"/>
        <w:autoSpaceDE w:val="0"/>
        <w:autoSpaceDN w:val="0"/>
        <w:bidi w:val="0"/>
        <w:adjustRightInd/>
        <w:snapToGrid/>
        <w:spacing w:before="0" w:after="0" w:line="360" w:lineRule="auto"/>
        <w:ind w:left="420" w:leftChars="0" w:right="0" w:rightChars="0" w:hanging="420" w:firstLineChars="0"/>
        <w:jc w:val="left"/>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机动车车牌。</w:t>
      </w:r>
    </w:p>
    <w:p w14:paraId="3E12F319">
      <w:pPr>
        <w:pStyle w:val="7"/>
        <w:keepNext w:val="0"/>
        <w:keepLines w:val="0"/>
        <w:pageBreakBefore w:val="0"/>
        <w:widowControl w:val="0"/>
        <w:numPr>
          <w:ilvl w:val="0"/>
          <w:numId w:val="1"/>
        </w:numPr>
        <w:tabs>
          <w:tab w:val="left" w:pos="1131"/>
        </w:tabs>
        <w:kinsoku/>
        <w:wordWrap/>
        <w:overflowPunct/>
        <w:topLinePunct w:val="0"/>
        <w:autoSpaceDE w:val="0"/>
        <w:autoSpaceDN w:val="0"/>
        <w:bidi w:val="0"/>
        <w:adjustRightInd/>
        <w:snapToGrid/>
        <w:spacing w:before="0" w:after="0" w:line="360" w:lineRule="auto"/>
        <w:ind w:left="420" w:leftChars="0" w:right="0" w:rightChars="0" w:hanging="420" w:firstLineChars="0"/>
        <w:jc w:val="left"/>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机动车车型。</w:t>
      </w:r>
    </w:p>
    <w:p w14:paraId="7E9EBF68">
      <w:pPr>
        <w:pStyle w:val="7"/>
        <w:keepNext w:val="0"/>
        <w:keepLines w:val="0"/>
        <w:pageBreakBefore w:val="0"/>
        <w:widowControl w:val="0"/>
        <w:numPr>
          <w:ilvl w:val="0"/>
          <w:numId w:val="1"/>
        </w:numPr>
        <w:tabs>
          <w:tab w:val="left" w:pos="1131"/>
        </w:tabs>
        <w:kinsoku/>
        <w:wordWrap/>
        <w:overflowPunct/>
        <w:topLinePunct w:val="0"/>
        <w:autoSpaceDE w:val="0"/>
        <w:autoSpaceDN w:val="0"/>
        <w:bidi w:val="0"/>
        <w:adjustRightInd/>
        <w:snapToGrid/>
        <w:spacing w:before="0" w:after="0" w:line="360" w:lineRule="auto"/>
        <w:ind w:left="420" w:leftChars="0" w:right="0" w:rightChars="0" w:hanging="420" w:firstLineChars="0"/>
        <w:jc w:val="left"/>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车头时距</w:t>
      </w:r>
    </w:p>
    <w:p w14:paraId="5FBA71A6">
      <w:pPr>
        <w:pStyle w:val="7"/>
        <w:keepNext w:val="0"/>
        <w:keepLines w:val="0"/>
        <w:pageBreakBefore w:val="0"/>
        <w:widowControl w:val="0"/>
        <w:numPr>
          <w:ilvl w:val="0"/>
          <w:numId w:val="1"/>
        </w:numPr>
        <w:tabs>
          <w:tab w:val="left" w:pos="1131"/>
        </w:tabs>
        <w:kinsoku/>
        <w:wordWrap/>
        <w:overflowPunct/>
        <w:topLinePunct w:val="0"/>
        <w:autoSpaceDE w:val="0"/>
        <w:autoSpaceDN w:val="0"/>
        <w:bidi w:val="0"/>
        <w:adjustRightInd/>
        <w:snapToGrid/>
        <w:spacing w:before="0" w:after="0" w:line="360" w:lineRule="auto"/>
        <w:ind w:left="420" w:leftChars="0" w:right="0" w:rightChars="0" w:hanging="420" w:firstLineChars="0"/>
        <w:jc w:val="left"/>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车头间距</w:t>
      </w:r>
    </w:p>
    <w:p w14:paraId="79091416">
      <w:pPr>
        <w:pStyle w:val="7"/>
        <w:keepNext w:val="0"/>
        <w:keepLines w:val="0"/>
        <w:pageBreakBefore w:val="0"/>
        <w:widowControl w:val="0"/>
        <w:numPr>
          <w:ilvl w:val="0"/>
          <w:numId w:val="1"/>
        </w:numPr>
        <w:tabs>
          <w:tab w:val="left" w:pos="1131"/>
        </w:tabs>
        <w:kinsoku/>
        <w:wordWrap/>
        <w:overflowPunct/>
        <w:topLinePunct w:val="0"/>
        <w:autoSpaceDE w:val="0"/>
        <w:autoSpaceDN w:val="0"/>
        <w:bidi w:val="0"/>
        <w:adjustRightInd/>
        <w:snapToGrid/>
        <w:spacing w:before="0" w:after="0" w:line="360" w:lineRule="auto"/>
        <w:ind w:left="420" w:leftChars="0" w:right="0" w:rightChars="0" w:hanging="420" w:firstLineChars="0"/>
        <w:jc w:val="left"/>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每车道的交通流量。</w:t>
      </w:r>
    </w:p>
    <w:p w14:paraId="390640BC">
      <w:pPr>
        <w:pStyle w:val="7"/>
        <w:keepNext w:val="0"/>
        <w:keepLines w:val="0"/>
        <w:pageBreakBefore w:val="0"/>
        <w:widowControl w:val="0"/>
        <w:numPr>
          <w:ilvl w:val="0"/>
          <w:numId w:val="1"/>
        </w:numPr>
        <w:tabs>
          <w:tab w:val="left" w:pos="1131"/>
        </w:tabs>
        <w:kinsoku/>
        <w:wordWrap/>
        <w:overflowPunct/>
        <w:topLinePunct w:val="0"/>
        <w:autoSpaceDE w:val="0"/>
        <w:autoSpaceDN w:val="0"/>
        <w:bidi w:val="0"/>
        <w:adjustRightInd/>
        <w:snapToGrid/>
        <w:spacing w:before="0" w:after="0" w:line="360" w:lineRule="auto"/>
        <w:ind w:left="420" w:leftChars="0" w:right="0" w:rightChars="0" w:hanging="420" w:firstLineChars="0"/>
        <w:jc w:val="left"/>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每车道的平均车厢行驶速度。</w:t>
      </w:r>
    </w:p>
    <w:p w14:paraId="3DACBEEF">
      <w:pPr>
        <w:keepNext w:val="0"/>
        <w:keepLines w:val="0"/>
        <w:pageBreakBefore w:val="0"/>
        <w:widowControl w:val="0"/>
        <w:numPr>
          <w:ilvl w:val="0"/>
          <w:numId w:val="1"/>
        </w:numPr>
        <w:kinsoku/>
        <w:wordWrap/>
        <w:overflowPunct/>
        <w:topLinePunct w:val="0"/>
        <w:autoSpaceDE w:val="0"/>
        <w:autoSpaceDN w:val="0"/>
        <w:bidi w:val="0"/>
        <w:adjustRightInd/>
        <w:snapToGrid/>
        <w:spacing w:before="0" w:line="360" w:lineRule="auto"/>
        <w:ind w:left="420" w:leftChars="0" w:right="0" w:rightChars="0" w:hanging="420" w:firstLineChars="0"/>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每车道的平均车辆时间间距。</w:t>
      </w:r>
    </w:p>
    <w:p w14:paraId="35CEFD76">
      <w:pPr>
        <w:pStyle w:val="7"/>
        <w:keepNext w:val="0"/>
        <w:keepLines w:val="0"/>
        <w:pageBreakBefore w:val="0"/>
        <w:widowControl w:val="0"/>
        <w:numPr>
          <w:ilvl w:val="0"/>
          <w:numId w:val="1"/>
        </w:numPr>
        <w:tabs>
          <w:tab w:val="left" w:pos="1132"/>
        </w:tabs>
        <w:kinsoku/>
        <w:wordWrap/>
        <w:overflowPunct/>
        <w:topLinePunct w:val="0"/>
        <w:autoSpaceDE w:val="0"/>
        <w:autoSpaceDN w:val="0"/>
        <w:bidi w:val="0"/>
        <w:adjustRightInd/>
        <w:snapToGrid/>
        <w:spacing w:before="0" w:after="0" w:line="360" w:lineRule="auto"/>
        <w:ind w:left="420" w:leftChars="0" w:right="0" w:rightChars="0" w:hanging="420" w:firstLineChars="0"/>
        <w:jc w:val="left"/>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每车道的按不同车辆类型统计的车流量。</w:t>
      </w:r>
    </w:p>
    <w:p w14:paraId="7CDDB6DE">
      <w:pPr>
        <w:pStyle w:val="7"/>
        <w:keepNext w:val="0"/>
        <w:keepLines w:val="0"/>
        <w:pageBreakBefore w:val="0"/>
        <w:widowControl w:val="0"/>
        <w:numPr>
          <w:ilvl w:val="0"/>
          <w:numId w:val="1"/>
        </w:numPr>
        <w:tabs>
          <w:tab w:val="left" w:pos="1132"/>
        </w:tabs>
        <w:kinsoku/>
        <w:wordWrap/>
        <w:overflowPunct/>
        <w:topLinePunct w:val="0"/>
        <w:autoSpaceDE w:val="0"/>
        <w:autoSpaceDN w:val="0"/>
        <w:bidi w:val="0"/>
        <w:adjustRightInd/>
        <w:snapToGrid/>
        <w:spacing w:before="0" w:after="0" w:line="360" w:lineRule="auto"/>
        <w:ind w:left="420" w:leftChars="0" w:right="0" w:rightChars="0" w:hanging="420" w:firstLineChars="0"/>
        <w:jc w:val="left"/>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车道占有率。</w:t>
      </w:r>
    </w:p>
    <w:p w14:paraId="5FBC5A59">
      <w:pPr>
        <w:pStyle w:val="7"/>
        <w:keepNext w:val="0"/>
        <w:keepLines w:val="0"/>
        <w:pageBreakBefore w:val="0"/>
        <w:widowControl w:val="0"/>
        <w:numPr>
          <w:ilvl w:val="0"/>
          <w:numId w:val="1"/>
        </w:numPr>
        <w:tabs>
          <w:tab w:val="left" w:pos="1132"/>
        </w:tabs>
        <w:kinsoku/>
        <w:wordWrap/>
        <w:overflowPunct/>
        <w:topLinePunct w:val="0"/>
        <w:autoSpaceDE w:val="0"/>
        <w:autoSpaceDN w:val="0"/>
        <w:bidi w:val="0"/>
        <w:adjustRightInd/>
        <w:snapToGrid/>
        <w:spacing w:before="0" w:after="0" w:line="360" w:lineRule="auto"/>
        <w:ind w:left="420" w:leftChars="0" w:right="0" w:rightChars="0" w:hanging="420" w:firstLineChars="0"/>
        <w:jc w:val="left"/>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用户自定义数据采集间隔。</w:t>
      </w:r>
    </w:p>
    <w:p w14:paraId="22EF1891">
      <w:pPr>
        <w:keepNext w:val="0"/>
        <w:keepLines w:val="0"/>
        <w:pageBreakBefore w:val="0"/>
        <w:widowControl w:val="0"/>
        <w:numPr>
          <w:ilvl w:val="2"/>
          <w:numId w:val="0"/>
        </w:numPr>
        <w:tabs>
          <w:tab w:val="left" w:pos="946"/>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lang w:val="en-US" w:eastAsia="zh-CN" w:bidi="ar-SA"/>
        </w:rPr>
        <w:t>2.</w:t>
      </w:r>
      <w:r>
        <w:rPr>
          <w:rFonts w:hint="eastAsia" w:ascii="宋体" w:hAnsi="宋体" w:eastAsia="宋体" w:cs="宋体"/>
          <w:b w:val="0"/>
          <w:bCs w:val="0"/>
          <w:spacing w:val="0"/>
          <w:w w:val="100"/>
          <w:kern w:val="21"/>
          <w:sz w:val="21"/>
          <w:szCs w:val="21"/>
        </w:rPr>
        <w:t>信息传输功能：</w:t>
      </w:r>
    </w:p>
    <w:p w14:paraId="3C3AD87A">
      <w:pPr>
        <w:pStyle w:val="7"/>
        <w:keepNext w:val="0"/>
        <w:keepLines w:val="0"/>
        <w:pageBreakBefore w:val="0"/>
        <w:widowControl w:val="0"/>
        <w:numPr>
          <w:ilvl w:val="0"/>
          <w:numId w:val="1"/>
        </w:numPr>
        <w:tabs>
          <w:tab w:val="left" w:pos="1132"/>
        </w:tabs>
        <w:kinsoku/>
        <w:wordWrap/>
        <w:overflowPunct/>
        <w:topLinePunct w:val="0"/>
        <w:autoSpaceDE w:val="0"/>
        <w:autoSpaceDN w:val="0"/>
        <w:bidi w:val="0"/>
        <w:adjustRightInd/>
        <w:snapToGrid/>
        <w:spacing w:before="0" w:after="0" w:line="360" w:lineRule="auto"/>
        <w:ind w:left="420" w:leftChars="0" w:right="0" w:rightChars="0" w:hanging="420" w:firstLineChars="0"/>
        <w:jc w:val="left"/>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交通数据采用定时上传的方式，传输间隔为5分钟。</w:t>
      </w:r>
    </w:p>
    <w:p w14:paraId="328ABD4A">
      <w:pPr>
        <w:pStyle w:val="7"/>
        <w:keepNext w:val="0"/>
        <w:keepLines w:val="0"/>
        <w:pageBreakBefore w:val="0"/>
        <w:widowControl w:val="0"/>
        <w:numPr>
          <w:ilvl w:val="0"/>
          <w:numId w:val="1"/>
        </w:numPr>
        <w:tabs>
          <w:tab w:val="left" w:pos="1132"/>
        </w:tabs>
        <w:kinsoku/>
        <w:wordWrap/>
        <w:overflowPunct/>
        <w:topLinePunct w:val="0"/>
        <w:autoSpaceDE w:val="0"/>
        <w:autoSpaceDN w:val="0"/>
        <w:bidi w:val="0"/>
        <w:adjustRightInd/>
        <w:snapToGrid/>
        <w:spacing w:before="0" w:after="0" w:line="360" w:lineRule="auto"/>
        <w:ind w:left="420" w:leftChars="0" w:right="0" w:rightChars="0" w:hanging="420" w:firstLineChars="0"/>
        <w:jc w:val="left"/>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图像传输采用调用实时传输方式。</w:t>
      </w:r>
    </w:p>
    <w:p w14:paraId="107EEC01">
      <w:pPr>
        <w:pStyle w:val="7"/>
        <w:keepNext w:val="0"/>
        <w:keepLines w:val="0"/>
        <w:pageBreakBefore w:val="0"/>
        <w:widowControl w:val="0"/>
        <w:numPr>
          <w:ilvl w:val="0"/>
          <w:numId w:val="1"/>
        </w:numPr>
        <w:tabs>
          <w:tab w:val="left" w:pos="1132"/>
        </w:tabs>
        <w:kinsoku/>
        <w:wordWrap/>
        <w:overflowPunct/>
        <w:topLinePunct w:val="0"/>
        <w:autoSpaceDE w:val="0"/>
        <w:autoSpaceDN w:val="0"/>
        <w:bidi w:val="0"/>
        <w:adjustRightInd/>
        <w:snapToGrid/>
        <w:spacing w:before="0" w:after="0" w:line="360" w:lineRule="auto"/>
        <w:ind w:left="420" w:leftChars="0" w:right="0" w:rightChars="0" w:hanging="420" w:firstLineChars="0"/>
        <w:jc w:val="left"/>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将设备的工作状态传输至湖南交通运输厅科技信息中心，以便对设备运行状态进行监视。</w:t>
      </w:r>
    </w:p>
    <w:p w14:paraId="00AF10AE">
      <w:pPr>
        <w:keepNext w:val="0"/>
        <w:keepLines w:val="0"/>
        <w:pageBreakBefore w:val="0"/>
        <w:widowControl w:val="0"/>
        <w:numPr>
          <w:ilvl w:val="2"/>
          <w:numId w:val="0"/>
        </w:numPr>
        <w:tabs>
          <w:tab w:val="left" w:pos="946"/>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lang w:val="en-US" w:eastAsia="zh-CN" w:bidi="ar-SA"/>
        </w:rPr>
        <w:t>3.</w:t>
      </w:r>
      <w:r>
        <w:rPr>
          <w:rFonts w:hint="eastAsia" w:ascii="宋体" w:hAnsi="宋体" w:eastAsia="宋体" w:cs="宋体"/>
          <w:b w:val="0"/>
          <w:bCs w:val="0"/>
          <w:spacing w:val="0"/>
          <w:w w:val="100"/>
          <w:kern w:val="21"/>
          <w:sz w:val="21"/>
          <w:szCs w:val="21"/>
        </w:rPr>
        <w:t>信息接收功能：</w:t>
      </w:r>
    </w:p>
    <w:p w14:paraId="737D7C15">
      <w:pPr>
        <w:pStyle w:val="7"/>
        <w:keepNext w:val="0"/>
        <w:keepLines w:val="0"/>
        <w:pageBreakBefore w:val="0"/>
        <w:widowControl w:val="0"/>
        <w:numPr>
          <w:ilvl w:val="0"/>
          <w:numId w:val="1"/>
        </w:numPr>
        <w:tabs>
          <w:tab w:val="left" w:pos="1132"/>
          <w:tab w:val="left" w:pos="1184"/>
        </w:tabs>
        <w:kinsoku/>
        <w:wordWrap/>
        <w:overflowPunct/>
        <w:topLinePunct w:val="0"/>
        <w:autoSpaceDE w:val="0"/>
        <w:autoSpaceDN w:val="0"/>
        <w:bidi w:val="0"/>
        <w:adjustRightInd/>
        <w:snapToGrid/>
        <w:spacing w:before="0" w:after="0" w:line="360" w:lineRule="auto"/>
        <w:ind w:left="420" w:leftChars="0" w:right="0" w:rightChars="0" w:hanging="420" w:firstLineChars="0"/>
        <w:jc w:val="both"/>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数据格式应符合《“固定式交调设备技术条件”和“固定式交调设备与数据服务中心通讯协议”》中的有关规定，数据主要包括车型、车速、流量、车头时距、车头间距等交通数据，以及设备功能代码、交通站代码等信息。</w:t>
      </w:r>
    </w:p>
    <w:p w14:paraId="4CE7305F">
      <w:pPr>
        <w:keepNext w:val="0"/>
        <w:keepLines w:val="0"/>
        <w:pageBreakBefore w:val="0"/>
        <w:widowControl w:val="0"/>
        <w:numPr>
          <w:ilvl w:val="2"/>
          <w:numId w:val="0"/>
        </w:numPr>
        <w:tabs>
          <w:tab w:val="left" w:pos="946"/>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lang w:val="en-US" w:eastAsia="zh-CN" w:bidi="ar-SA"/>
        </w:rPr>
        <w:t>4.</w:t>
      </w:r>
      <w:r>
        <w:rPr>
          <w:rFonts w:hint="eastAsia" w:ascii="宋体" w:hAnsi="宋体" w:eastAsia="宋体" w:cs="宋体"/>
          <w:b w:val="0"/>
          <w:bCs w:val="0"/>
          <w:spacing w:val="0"/>
          <w:w w:val="100"/>
          <w:kern w:val="21"/>
          <w:sz w:val="21"/>
          <w:szCs w:val="21"/>
        </w:rPr>
        <w:t>存储功能</w:t>
      </w:r>
    </w:p>
    <w:p w14:paraId="6358A316">
      <w:pPr>
        <w:pStyle w:val="7"/>
        <w:keepNext w:val="0"/>
        <w:keepLines w:val="0"/>
        <w:pageBreakBefore w:val="0"/>
        <w:widowControl w:val="0"/>
        <w:numPr>
          <w:ilvl w:val="0"/>
          <w:numId w:val="1"/>
        </w:numPr>
        <w:tabs>
          <w:tab w:val="left" w:pos="1132"/>
          <w:tab w:val="left" w:pos="1184"/>
        </w:tabs>
        <w:kinsoku/>
        <w:wordWrap/>
        <w:overflowPunct/>
        <w:topLinePunct w:val="0"/>
        <w:autoSpaceDE w:val="0"/>
        <w:autoSpaceDN w:val="0"/>
        <w:bidi w:val="0"/>
        <w:adjustRightInd/>
        <w:snapToGrid/>
        <w:spacing w:before="0" w:after="0" w:line="360" w:lineRule="auto"/>
        <w:ind w:left="420" w:leftChars="0" w:right="0" w:rightChars="0" w:hanging="420" w:firstLineChars="0"/>
        <w:jc w:val="both"/>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交调数据图像支持本地存储，一旦出现停电或进行设备升级等非正常运营情况，能保证不发生数据流失及失真，一旦故障排除，所存数据可以自动传输至湖南交通运输厅科技信息中心。</w:t>
      </w:r>
    </w:p>
    <w:p w14:paraId="3B5385C0">
      <w:pPr>
        <w:keepNext w:val="0"/>
        <w:keepLines w:val="0"/>
        <w:pageBreakBefore w:val="0"/>
        <w:widowControl w:val="0"/>
        <w:numPr>
          <w:ilvl w:val="2"/>
          <w:numId w:val="0"/>
        </w:numPr>
        <w:tabs>
          <w:tab w:val="left" w:pos="946"/>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lang w:val="en-US" w:eastAsia="zh-CN" w:bidi="ar-SA"/>
        </w:rPr>
        <w:t>5.</w:t>
      </w:r>
      <w:r>
        <w:rPr>
          <w:rFonts w:hint="eastAsia" w:ascii="宋体" w:hAnsi="宋体" w:eastAsia="宋体" w:cs="宋体"/>
          <w:b w:val="0"/>
          <w:bCs w:val="0"/>
          <w:spacing w:val="0"/>
          <w:w w:val="100"/>
          <w:kern w:val="21"/>
          <w:sz w:val="21"/>
          <w:szCs w:val="21"/>
        </w:rPr>
        <w:t>系统构成</w:t>
      </w:r>
    </w:p>
    <w:p w14:paraId="5BFFBE5C">
      <w:pPr>
        <w:pStyle w:val="4"/>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0" w:firstLineChars="200"/>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交调站设备为双激光交调设备加事件检测摄像机、车牌识别摄像机、补光灯等，安装于路</w:t>
      </w:r>
    </w:p>
    <w:p w14:paraId="032E5016">
      <w:pPr>
        <w:pStyle w:val="4"/>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0" w:firstLineChars="200"/>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侧立杆检修平台或横臂上，控制机箱挂设于立杆上。</w:t>
      </w:r>
    </w:p>
    <w:p w14:paraId="606A0083">
      <w:pPr>
        <w:keepNext w:val="0"/>
        <w:keepLines w:val="0"/>
        <w:pageBreakBefore w:val="0"/>
        <w:widowControl w:val="0"/>
        <w:numPr>
          <w:ilvl w:val="1"/>
          <w:numId w:val="0"/>
        </w:numPr>
        <w:tabs>
          <w:tab w:val="left" w:pos="918"/>
        </w:tabs>
        <w:kinsoku/>
        <w:wordWrap/>
        <w:overflowPunct/>
        <w:topLinePunct w:val="0"/>
        <w:autoSpaceDE w:val="0"/>
        <w:autoSpaceDN w:val="0"/>
        <w:bidi w:val="0"/>
        <w:adjustRightInd/>
        <w:snapToGrid/>
        <w:spacing w:before="0" w:after="0" w:line="360" w:lineRule="auto"/>
        <w:ind w:right="0" w:rightChars="0"/>
        <w:jc w:val="left"/>
        <w:textAlignment w:val="auto"/>
        <w:outlineLvl w:val="9"/>
        <w:rPr>
          <w:rFonts w:hint="eastAsia" w:ascii="宋体" w:hAnsi="宋体" w:eastAsia="宋体" w:cs="宋体"/>
          <w:b/>
          <w:bCs/>
          <w:spacing w:val="0"/>
          <w:w w:val="100"/>
          <w:kern w:val="21"/>
          <w:sz w:val="21"/>
          <w:szCs w:val="21"/>
        </w:rPr>
      </w:pPr>
      <w:r>
        <w:rPr>
          <w:rFonts w:hint="eastAsia" w:ascii="宋体" w:hAnsi="宋体" w:eastAsia="宋体" w:cs="宋体"/>
          <w:b/>
          <w:bCs/>
          <w:spacing w:val="0"/>
          <w:w w:val="100"/>
          <w:kern w:val="21"/>
          <w:sz w:val="21"/>
          <w:szCs w:val="21"/>
          <w:lang w:val="en-US" w:eastAsia="zh-CN" w:bidi="ar-SA"/>
        </w:rPr>
        <w:t>4.10</w:t>
      </w:r>
      <w:r>
        <w:rPr>
          <w:rFonts w:hint="eastAsia" w:ascii="宋体" w:hAnsi="宋体" w:eastAsia="宋体" w:cs="宋体"/>
          <w:b/>
          <w:bCs/>
          <w:spacing w:val="0"/>
          <w:w w:val="100"/>
          <w:kern w:val="21"/>
          <w:sz w:val="21"/>
          <w:szCs w:val="21"/>
        </w:rPr>
        <w:t>公路交调标志</w:t>
      </w:r>
    </w:p>
    <w:p w14:paraId="51589CAE">
      <w:pPr>
        <w:pStyle w:val="7"/>
        <w:keepNext w:val="0"/>
        <w:keepLines w:val="0"/>
        <w:pageBreakBefore w:val="0"/>
        <w:widowControl w:val="0"/>
        <w:numPr>
          <w:ilvl w:val="2"/>
          <w:numId w:val="0"/>
        </w:numPr>
        <w:tabs>
          <w:tab w:val="left" w:pos="704"/>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lang w:val="en-US" w:eastAsia="zh-CN" w:bidi="ar-SA"/>
        </w:rPr>
        <w:t>1.</w:t>
      </w:r>
      <w:r>
        <w:rPr>
          <w:rFonts w:hint="eastAsia" w:ascii="宋体" w:hAnsi="宋体" w:eastAsia="宋体" w:cs="宋体"/>
          <w:b w:val="0"/>
          <w:bCs w:val="0"/>
          <w:spacing w:val="0"/>
          <w:w w:val="100"/>
          <w:kern w:val="21"/>
          <w:sz w:val="21"/>
          <w:szCs w:val="21"/>
        </w:rPr>
        <w:t>公路交调标志是全国统一的专用标志，体现出公路交通情况的调查与专注。</w:t>
      </w:r>
    </w:p>
    <w:p w14:paraId="4AF0138C">
      <w:pPr>
        <w:pStyle w:val="7"/>
        <w:keepNext w:val="0"/>
        <w:keepLines w:val="0"/>
        <w:pageBreakBefore w:val="0"/>
        <w:widowControl w:val="0"/>
        <w:numPr>
          <w:ilvl w:val="2"/>
          <w:numId w:val="0"/>
        </w:numPr>
        <w:tabs>
          <w:tab w:val="left" w:pos="704"/>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lang w:val="en-US" w:eastAsia="zh-CN" w:bidi="ar-SA"/>
        </w:rPr>
        <w:t>2.</w:t>
      </w:r>
      <w:r>
        <w:rPr>
          <w:rFonts w:hint="eastAsia" w:ascii="宋体" w:hAnsi="宋体" w:eastAsia="宋体" w:cs="宋体"/>
          <w:b w:val="0"/>
          <w:bCs w:val="0"/>
          <w:spacing w:val="0"/>
          <w:w w:val="100"/>
          <w:kern w:val="21"/>
          <w:sz w:val="21"/>
          <w:szCs w:val="21"/>
        </w:rPr>
        <w:t>公路交调标志由图案和文字两部分组成。上方运用JD（交调拼音首字母缩写）的字母“J”变形组成为眼睛的轮廓，中心眼球部分代表公路；下方文字为中文“全国公路交通调查”</w:t>
      </w:r>
    </w:p>
    <w:p w14:paraId="00970329">
      <w:pPr>
        <w:pStyle w:val="7"/>
        <w:keepNext w:val="0"/>
        <w:keepLines w:val="0"/>
        <w:pageBreakBefore w:val="0"/>
        <w:widowControl w:val="0"/>
        <w:numPr>
          <w:ilvl w:val="2"/>
          <w:numId w:val="0"/>
        </w:numPr>
        <w:tabs>
          <w:tab w:val="left" w:pos="704"/>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lang w:val="en-US" w:eastAsia="zh-CN" w:bidi="ar-SA"/>
        </w:rPr>
        <w:t>3.</w:t>
      </w:r>
      <w:r>
        <w:rPr>
          <w:rFonts w:hint="eastAsia" w:ascii="宋体" w:hAnsi="宋体" w:eastAsia="宋体" w:cs="宋体"/>
          <w:b w:val="0"/>
          <w:bCs w:val="0"/>
          <w:spacing w:val="0"/>
          <w:w w:val="100"/>
          <w:kern w:val="21"/>
          <w:sz w:val="21"/>
          <w:szCs w:val="21"/>
        </w:rPr>
        <w:t>公路交调标志安装于公路交调有关的设施、设备上。</w:t>
      </w:r>
    </w:p>
    <w:p w14:paraId="1059B394">
      <w:pPr>
        <w:pStyle w:val="7"/>
        <w:keepNext w:val="0"/>
        <w:keepLines w:val="0"/>
        <w:pageBreakBefore w:val="0"/>
        <w:widowControl w:val="0"/>
        <w:numPr>
          <w:ilvl w:val="2"/>
          <w:numId w:val="0"/>
        </w:numPr>
        <w:tabs>
          <w:tab w:val="left" w:pos="764"/>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lang w:val="en-US" w:eastAsia="zh-CN" w:bidi="ar-SA"/>
        </w:rPr>
        <w:t>4.</w:t>
      </w:r>
      <w:r>
        <w:rPr>
          <w:rFonts w:hint="eastAsia" w:ascii="宋体" w:hAnsi="宋体" w:eastAsia="宋体" w:cs="宋体"/>
          <w:b w:val="0"/>
          <w:bCs w:val="0"/>
          <w:spacing w:val="0"/>
          <w:w w:val="100"/>
          <w:kern w:val="21"/>
          <w:sz w:val="21"/>
          <w:szCs w:val="21"/>
        </w:rPr>
        <w:t>公路交通调查标志的设置应符合《公路交通标志和标线设置规范》JTGD82的规定，满足规范性、系统性和醒目性的要求，且不应影响其他公路交通标志的信息传递及设置。</w:t>
      </w:r>
    </w:p>
    <w:p w14:paraId="1DBB083B">
      <w:pPr>
        <w:pStyle w:val="7"/>
        <w:keepNext w:val="0"/>
        <w:keepLines w:val="0"/>
        <w:pageBreakBefore w:val="0"/>
        <w:widowControl w:val="0"/>
        <w:numPr>
          <w:ilvl w:val="2"/>
          <w:numId w:val="0"/>
        </w:numPr>
        <w:tabs>
          <w:tab w:val="left" w:pos="764"/>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lang w:val="en-US" w:eastAsia="zh-CN" w:bidi="ar-SA"/>
        </w:rPr>
        <w:t>5.</w:t>
      </w:r>
      <w:r>
        <w:rPr>
          <w:rFonts w:hint="eastAsia" w:ascii="宋体" w:hAnsi="宋体" w:eastAsia="宋体" w:cs="宋体"/>
          <w:b w:val="0"/>
          <w:bCs w:val="0"/>
          <w:spacing w:val="0"/>
          <w:w w:val="100"/>
          <w:kern w:val="21"/>
          <w:sz w:val="21"/>
          <w:szCs w:val="21"/>
        </w:rPr>
        <w:t>公路交通调查标志的字符应规范、正确、工整。按从左至右顺序排列，公路交通调查标志参见图纸。</w:t>
      </w:r>
    </w:p>
    <w:p w14:paraId="1A7B3DB9">
      <w:pPr>
        <w:keepNext w:val="0"/>
        <w:keepLines w:val="0"/>
        <w:pageBreakBefore w:val="0"/>
        <w:widowControl w:val="0"/>
        <w:kinsoku/>
        <w:wordWrap/>
        <w:overflowPunct/>
        <w:topLinePunct w:val="0"/>
        <w:autoSpaceDE w:val="0"/>
        <w:autoSpaceDN w:val="0"/>
        <w:bidi w:val="0"/>
        <w:adjustRightInd/>
        <w:snapToGrid/>
        <w:spacing w:before="0" w:line="360" w:lineRule="auto"/>
        <w:ind w:right="0"/>
        <w:textAlignment w:val="auto"/>
        <w:outlineLvl w:val="9"/>
        <w:rPr>
          <w:rFonts w:hint="eastAsia" w:ascii="宋体" w:hAnsi="宋体" w:eastAsia="宋体" w:cs="宋体"/>
          <w:b/>
          <w:bCs/>
          <w:spacing w:val="0"/>
          <w:w w:val="100"/>
          <w:kern w:val="21"/>
          <w:sz w:val="21"/>
          <w:szCs w:val="21"/>
          <w:highlight w:val="none"/>
        </w:rPr>
      </w:pPr>
      <w:r>
        <w:rPr>
          <w:rFonts w:hint="eastAsia" w:ascii="宋体" w:hAnsi="宋体" w:eastAsia="宋体" w:cs="宋体"/>
          <w:b/>
          <w:bCs/>
          <w:spacing w:val="0"/>
          <w:w w:val="100"/>
          <w:kern w:val="21"/>
          <w:sz w:val="21"/>
          <w:szCs w:val="21"/>
          <w:highlight w:val="none"/>
        </w:rPr>
        <w:t>五、设备功能与主要参数</w:t>
      </w:r>
    </w:p>
    <w:tbl>
      <w:tblPr>
        <w:tblStyle w:val="5"/>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38"/>
        <w:gridCol w:w="1634"/>
        <w:gridCol w:w="4970"/>
        <w:gridCol w:w="638"/>
        <w:gridCol w:w="639"/>
      </w:tblGrid>
      <w:tr w14:paraId="52F41E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9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6DD2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b/>
                <w:i w:val="0"/>
                <w:color w:val="000000"/>
                <w:sz w:val="21"/>
                <w:szCs w:val="21"/>
                <w:u w:val="none"/>
              </w:rPr>
            </w:pPr>
            <w:r>
              <w:rPr>
                <w:rFonts w:hint="eastAsia" w:ascii="宋体" w:hAnsi="宋体" w:eastAsia="宋体" w:cs="宋体"/>
                <w:b/>
                <w:i w:val="0"/>
                <w:color w:val="000000"/>
                <w:kern w:val="0"/>
                <w:sz w:val="21"/>
                <w:szCs w:val="21"/>
                <w:u w:val="none"/>
                <w:lang w:val="en-US" w:eastAsia="zh-CN" w:bidi="ar"/>
              </w:rPr>
              <w:t>序号</w:t>
            </w:r>
          </w:p>
        </w:tc>
        <w:tc>
          <w:tcPr>
            <w:tcW w:w="79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FCDE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b/>
                <w:i w:val="0"/>
                <w:color w:val="000000"/>
                <w:sz w:val="21"/>
                <w:szCs w:val="21"/>
                <w:u w:val="none"/>
              </w:rPr>
            </w:pPr>
            <w:r>
              <w:rPr>
                <w:rFonts w:hint="eastAsia" w:ascii="宋体" w:hAnsi="宋体" w:eastAsia="宋体" w:cs="宋体"/>
                <w:b/>
                <w:i w:val="0"/>
                <w:color w:val="000000"/>
                <w:kern w:val="0"/>
                <w:sz w:val="21"/>
                <w:szCs w:val="21"/>
                <w:u w:val="none"/>
                <w:lang w:val="en-US" w:eastAsia="zh-CN" w:bidi="ar"/>
              </w:rPr>
              <w:t>设备名称</w:t>
            </w:r>
          </w:p>
        </w:tc>
        <w:tc>
          <w:tcPr>
            <w:tcW w:w="330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99FD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b/>
                <w:i w:val="0"/>
                <w:color w:val="000000"/>
                <w:sz w:val="21"/>
                <w:szCs w:val="21"/>
                <w:u w:val="none"/>
              </w:rPr>
            </w:pPr>
            <w:r>
              <w:rPr>
                <w:rFonts w:hint="eastAsia" w:ascii="宋体" w:hAnsi="宋体" w:eastAsia="宋体" w:cs="宋体"/>
                <w:b/>
                <w:i w:val="0"/>
                <w:color w:val="000000"/>
                <w:kern w:val="0"/>
                <w:sz w:val="21"/>
                <w:szCs w:val="21"/>
                <w:u w:val="none"/>
                <w:lang w:val="en-US" w:eastAsia="zh-CN" w:bidi="ar"/>
              </w:rPr>
              <w:t>参数/规格</w:t>
            </w:r>
          </w:p>
        </w:tc>
        <w:tc>
          <w:tcPr>
            <w:tcW w:w="29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54A8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b/>
                <w:i w:val="0"/>
                <w:color w:val="000000"/>
                <w:sz w:val="21"/>
                <w:szCs w:val="21"/>
                <w:u w:val="none"/>
              </w:rPr>
            </w:pPr>
            <w:r>
              <w:rPr>
                <w:rFonts w:hint="eastAsia" w:ascii="宋体" w:hAnsi="宋体" w:eastAsia="宋体" w:cs="宋体"/>
                <w:b/>
                <w:i w:val="0"/>
                <w:color w:val="000000"/>
                <w:kern w:val="0"/>
                <w:sz w:val="21"/>
                <w:szCs w:val="21"/>
                <w:u w:val="none"/>
                <w:lang w:val="en-US" w:eastAsia="zh-CN" w:bidi="ar"/>
              </w:rPr>
              <w:t>单位</w:t>
            </w:r>
          </w:p>
        </w:tc>
        <w:tc>
          <w:tcPr>
            <w:tcW w:w="30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B622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b/>
                <w:i w:val="0"/>
                <w:color w:val="000000"/>
                <w:sz w:val="21"/>
                <w:szCs w:val="21"/>
                <w:u w:val="none"/>
              </w:rPr>
            </w:pPr>
            <w:r>
              <w:rPr>
                <w:rFonts w:hint="eastAsia" w:ascii="宋体" w:hAnsi="宋体" w:eastAsia="宋体" w:cs="宋体"/>
                <w:b/>
                <w:i w:val="0"/>
                <w:color w:val="000000"/>
                <w:kern w:val="0"/>
                <w:sz w:val="21"/>
                <w:szCs w:val="21"/>
                <w:u w:val="none"/>
                <w:lang w:val="en-US" w:eastAsia="zh-CN" w:bidi="ar"/>
              </w:rPr>
              <w:t>数量</w:t>
            </w:r>
          </w:p>
        </w:tc>
      </w:tr>
      <w:tr w14:paraId="2B790D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2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04D8B">
            <w:pPr>
              <w:keepNext w:val="0"/>
              <w:keepLines w:val="0"/>
              <w:pageBreakBefore w:val="0"/>
              <w:kinsoku/>
              <w:wordWrap/>
              <w:overflowPunct/>
              <w:topLinePunct w:val="0"/>
              <w:autoSpaceDE/>
              <w:autoSpaceDN/>
              <w:bidi w:val="0"/>
              <w:adjustRightInd/>
              <w:snapToGrid/>
              <w:jc w:val="center"/>
              <w:rPr>
                <w:rFonts w:hint="eastAsia" w:ascii="宋体" w:hAnsi="宋体" w:eastAsia="宋体" w:cs="宋体"/>
                <w:b/>
                <w:i w:val="0"/>
                <w:color w:val="000000"/>
                <w:sz w:val="21"/>
                <w:szCs w:val="21"/>
                <w:u w:val="none"/>
              </w:rPr>
            </w:pPr>
          </w:p>
        </w:tc>
        <w:tc>
          <w:tcPr>
            <w:tcW w:w="79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BC7DC">
            <w:pPr>
              <w:keepNext w:val="0"/>
              <w:keepLines w:val="0"/>
              <w:pageBreakBefore w:val="0"/>
              <w:kinsoku/>
              <w:wordWrap/>
              <w:overflowPunct/>
              <w:topLinePunct w:val="0"/>
              <w:autoSpaceDE/>
              <w:autoSpaceDN/>
              <w:bidi w:val="0"/>
              <w:adjustRightInd/>
              <w:snapToGrid/>
              <w:jc w:val="center"/>
              <w:rPr>
                <w:rFonts w:hint="eastAsia" w:ascii="宋体" w:hAnsi="宋体" w:eastAsia="宋体" w:cs="宋体"/>
                <w:b/>
                <w:i w:val="0"/>
                <w:color w:val="000000"/>
                <w:sz w:val="21"/>
                <w:szCs w:val="21"/>
                <w:u w:val="none"/>
              </w:rPr>
            </w:pPr>
          </w:p>
        </w:tc>
        <w:tc>
          <w:tcPr>
            <w:tcW w:w="330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206E5">
            <w:pPr>
              <w:keepNext w:val="0"/>
              <w:keepLines w:val="0"/>
              <w:pageBreakBefore w:val="0"/>
              <w:kinsoku/>
              <w:wordWrap/>
              <w:overflowPunct/>
              <w:topLinePunct w:val="0"/>
              <w:autoSpaceDE/>
              <w:autoSpaceDN/>
              <w:bidi w:val="0"/>
              <w:adjustRightInd/>
              <w:snapToGrid/>
              <w:jc w:val="center"/>
              <w:rPr>
                <w:rFonts w:hint="eastAsia" w:ascii="宋体" w:hAnsi="宋体" w:eastAsia="宋体" w:cs="宋体"/>
                <w:b/>
                <w:i w:val="0"/>
                <w:color w:val="000000"/>
                <w:sz w:val="21"/>
                <w:szCs w:val="21"/>
                <w:u w:val="none"/>
              </w:rPr>
            </w:pPr>
          </w:p>
        </w:tc>
        <w:tc>
          <w:tcPr>
            <w:tcW w:w="2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46FC5">
            <w:pPr>
              <w:keepNext w:val="0"/>
              <w:keepLines w:val="0"/>
              <w:pageBreakBefore w:val="0"/>
              <w:kinsoku/>
              <w:wordWrap/>
              <w:overflowPunct/>
              <w:topLinePunct w:val="0"/>
              <w:autoSpaceDE/>
              <w:autoSpaceDN/>
              <w:bidi w:val="0"/>
              <w:adjustRightInd/>
              <w:snapToGrid/>
              <w:jc w:val="center"/>
              <w:rPr>
                <w:rFonts w:hint="eastAsia" w:ascii="宋体" w:hAnsi="宋体" w:eastAsia="宋体" w:cs="宋体"/>
                <w:b/>
                <w:i w:val="0"/>
                <w:color w:val="000000"/>
                <w:sz w:val="21"/>
                <w:szCs w:val="21"/>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EA5D1">
            <w:pPr>
              <w:keepNext w:val="0"/>
              <w:keepLines w:val="0"/>
              <w:pageBreakBefore w:val="0"/>
              <w:kinsoku/>
              <w:wordWrap/>
              <w:overflowPunct/>
              <w:topLinePunct w:val="0"/>
              <w:autoSpaceDE/>
              <w:autoSpaceDN/>
              <w:bidi w:val="0"/>
              <w:adjustRightInd/>
              <w:snapToGrid/>
              <w:jc w:val="center"/>
              <w:rPr>
                <w:rFonts w:hint="eastAsia" w:ascii="宋体" w:hAnsi="宋体" w:eastAsia="宋体" w:cs="宋体"/>
                <w:b/>
                <w:i w:val="0"/>
                <w:color w:val="000000"/>
                <w:sz w:val="21"/>
                <w:szCs w:val="21"/>
                <w:u w:val="none"/>
              </w:rPr>
            </w:pPr>
          </w:p>
        </w:tc>
      </w:tr>
      <w:tr w14:paraId="5F6129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2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944D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w:t>
            </w:r>
          </w:p>
        </w:tc>
        <w:tc>
          <w:tcPr>
            <w:tcW w:w="7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3E6C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抓拍单元</w:t>
            </w:r>
          </w:p>
        </w:tc>
        <w:tc>
          <w:tcPr>
            <w:tcW w:w="33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FE452">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highlight w:val="none"/>
                <w:u w:val="none"/>
                <w:lang w:val="en-US" w:eastAsia="zh-CN" w:bidi="ar"/>
              </w:rPr>
            </w:pPr>
            <w:r>
              <w:rPr>
                <w:rFonts w:hint="eastAsia" w:ascii="宋体" w:hAnsi="宋体" w:eastAsia="宋体" w:cs="宋体"/>
                <w:i w:val="0"/>
                <w:color w:val="000000"/>
                <w:kern w:val="0"/>
                <w:sz w:val="21"/>
                <w:szCs w:val="21"/>
                <w:highlight w:val="none"/>
                <w:u w:val="none"/>
                <w:lang w:val="en-US" w:eastAsia="zh-CN" w:bidi="ar"/>
              </w:rPr>
              <w:t>1、像素不低于</w:t>
            </w:r>
            <w:r>
              <w:rPr>
                <w:rFonts w:hint="eastAsia" w:ascii="宋体" w:hAnsi="宋体" w:cs="宋体"/>
                <w:i w:val="0"/>
                <w:color w:val="000000"/>
                <w:kern w:val="0"/>
                <w:sz w:val="21"/>
                <w:szCs w:val="21"/>
                <w:highlight w:val="none"/>
                <w:u w:val="none"/>
                <w:lang w:val="en-US" w:eastAsia="zh-CN" w:bidi="ar"/>
              </w:rPr>
              <w:t>1200</w:t>
            </w:r>
            <w:r>
              <w:rPr>
                <w:rFonts w:hint="eastAsia" w:ascii="宋体" w:hAnsi="宋体" w:eastAsia="宋体" w:cs="宋体"/>
                <w:i w:val="0"/>
                <w:color w:val="000000"/>
                <w:kern w:val="0"/>
                <w:sz w:val="21"/>
                <w:szCs w:val="21"/>
                <w:highlight w:val="none"/>
                <w:u w:val="none"/>
                <w:lang w:val="en-US" w:eastAsia="zh-CN" w:bidi="ar"/>
              </w:rPr>
              <w:t xml:space="preserve">万； </w:t>
            </w:r>
          </w:p>
          <w:p w14:paraId="30CCC7FD">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highlight w:val="none"/>
                <w:u w:val="none"/>
                <w:lang w:val="en-US" w:eastAsia="zh-CN" w:bidi="ar"/>
              </w:rPr>
            </w:pPr>
            <w:r>
              <w:rPr>
                <w:rFonts w:hint="eastAsia" w:ascii="宋体" w:hAnsi="宋体" w:eastAsia="宋体" w:cs="宋体"/>
                <w:i w:val="0"/>
                <w:color w:val="000000"/>
                <w:kern w:val="0"/>
                <w:sz w:val="21"/>
                <w:szCs w:val="21"/>
                <w:highlight w:val="none"/>
                <w:u w:val="none"/>
                <w:lang w:val="en-US" w:eastAsia="zh-CN" w:bidi="ar"/>
              </w:rPr>
              <w:t xml:space="preserve">2、支持同时预览两路视频； </w:t>
            </w:r>
          </w:p>
          <w:p w14:paraId="0247166D">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highlight w:val="none"/>
                <w:u w:val="none"/>
                <w:lang w:val="en-US" w:eastAsia="zh-CN" w:bidi="ar"/>
              </w:rPr>
            </w:pPr>
            <w:r>
              <w:rPr>
                <w:rFonts w:hint="eastAsia" w:ascii="宋体" w:hAnsi="宋体" w:eastAsia="宋体" w:cs="宋体"/>
                <w:i w:val="0"/>
                <w:color w:val="000000"/>
                <w:kern w:val="0"/>
                <w:sz w:val="21"/>
                <w:szCs w:val="21"/>
                <w:highlight w:val="none"/>
                <w:u w:val="none"/>
                <w:lang w:val="en-US" w:eastAsia="zh-CN" w:bidi="ar"/>
              </w:rPr>
              <w:t xml:space="preserve">3、内置不小于1英寸高帧率彩色全局曝光CMOS高清智能摄像机； </w:t>
            </w:r>
          </w:p>
          <w:p w14:paraId="24501E6D">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highlight w:val="none"/>
                <w:u w:val="none"/>
                <w:lang w:val="en-US" w:eastAsia="zh-CN" w:bidi="ar"/>
              </w:rPr>
            </w:pPr>
            <w:r>
              <w:rPr>
                <w:rFonts w:hint="eastAsia" w:ascii="宋体" w:hAnsi="宋体" w:eastAsia="宋体" w:cs="宋体"/>
                <w:i w:val="0"/>
                <w:color w:val="000000"/>
                <w:kern w:val="0"/>
                <w:sz w:val="21"/>
                <w:szCs w:val="21"/>
                <w:highlight w:val="none"/>
                <w:u w:val="none"/>
                <w:lang w:val="en-US" w:eastAsia="zh-CN" w:bidi="ar"/>
              </w:rPr>
              <w:t xml:space="preserve">4、抓拍单元防护罩前面板具有防尘、防水功能，支持网络防雷、防浪涌，宽温宽压等； </w:t>
            </w:r>
          </w:p>
          <w:p w14:paraId="468D77D1">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highlight w:val="none"/>
                <w:u w:val="none"/>
                <w:lang w:val="en-US" w:eastAsia="zh-CN" w:bidi="ar"/>
              </w:rPr>
            </w:pPr>
            <w:r>
              <w:rPr>
                <w:rFonts w:hint="eastAsia" w:ascii="宋体" w:hAnsi="宋体" w:eastAsia="宋体" w:cs="宋体"/>
                <w:i w:val="0"/>
                <w:color w:val="000000"/>
                <w:kern w:val="0"/>
                <w:sz w:val="21"/>
                <w:szCs w:val="21"/>
                <w:highlight w:val="none"/>
                <w:u w:val="none"/>
                <w:lang w:val="en-US" w:eastAsia="zh-CN" w:bidi="ar"/>
              </w:rPr>
              <w:t>5、视频压缩标准：H.265/H.264/MJPEG;图像输出格式:JPEG ；</w:t>
            </w:r>
          </w:p>
          <w:p w14:paraId="334FE3D1">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highlight w:val="none"/>
                <w:u w:val="none"/>
                <w:lang w:val="en-US" w:eastAsia="zh-CN" w:bidi="ar"/>
              </w:rPr>
            </w:pPr>
            <w:r>
              <w:rPr>
                <w:rFonts w:hint="eastAsia" w:ascii="宋体" w:hAnsi="宋体" w:eastAsia="宋体" w:cs="宋体"/>
                <w:i w:val="0"/>
                <w:color w:val="000000"/>
                <w:kern w:val="0"/>
                <w:sz w:val="21"/>
                <w:szCs w:val="21"/>
                <w:highlight w:val="none"/>
                <w:u w:val="none"/>
                <w:lang w:val="en-US" w:eastAsia="zh-CN" w:bidi="ar"/>
              </w:rPr>
              <w:t xml:space="preserve">6、工作电压：(100~240)VAC；频率：(48~52)Hz；功耗：≤20W； </w:t>
            </w:r>
          </w:p>
          <w:p w14:paraId="1DA1EC73">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highlight w:val="none"/>
                <w:u w:val="none"/>
                <w:lang w:val="en-US" w:eastAsia="zh-CN" w:bidi="ar"/>
              </w:rPr>
            </w:pPr>
            <w:r>
              <w:rPr>
                <w:rFonts w:hint="eastAsia" w:ascii="宋体" w:hAnsi="宋体" w:eastAsia="宋体" w:cs="宋体"/>
                <w:i w:val="0"/>
                <w:color w:val="000000"/>
                <w:kern w:val="0"/>
                <w:sz w:val="21"/>
                <w:szCs w:val="21"/>
                <w:highlight w:val="none"/>
                <w:u w:val="none"/>
                <w:lang w:val="en-US" w:eastAsia="zh-CN" w:bidi="ar"/>
              </w:rPr>
              <w:t xml:space="preserve">7、支持智能识别功能：内置视频识别功能，支持车牌识别、视频触发、车身颜色识别、车型识别，通行车辆信息捕获和骑车道线、压车道线等违法行驶行为的违法检测等功能。支持检测并跟踪指定区域内机动车、非机动车以及行人等目标； </w:t>
            </w:r>
          </w:p>
          <w:p w14:paraId="750546DB">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highlight w:val="none"/>
                <w:u w:val="none"/>
                <w:lang w:val="en-US" w:eastAsia="zh-CN" w:bidi="ar"/>
              </w:rPr>
            </w:pPr>
            <w:r>
              <w:rPr>
                <w:rFonts w:hint="eastAsia" w:ascii="宋体" w:hAnsi="宋体" w:eastAsia="宋体" w:cs="宋体"/>
                <w:i w:val="0"/>
                <w:color w:val="000000"/>
                <w:kern w:val="0"/>
                <w:sz w:val="21"/>
                <w:szCs w:val="21"/>
                <w:highlight w:val="none"/>
                <w:u w:val="none"/>
                <w:lang w:val="en-US" w:eastAsia="zh-CN" w:bidi="ar"/>
              </w:rPr>
              <w:t xml:space="preserve">8、自动完成对包括标准民用车牌照、新能源电动汽车专用牌照和军、警、港澳式等各种格式汽车号牌、车牌颜色、车身颜色的实时快速检测，支持识别多种车身颜色； </w:t>
            </w:r>
          </w:p>
          <w:p w14:paraId="16A27219">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highlight w:val="none"/>
                <w:u w:val="none"/>
                <w:lang w:val="en-US" w:eastAsia="zh-CN" w:bidi="ar"/>
              </w:rPr>
            </w:pPr>
            <w:r>
              <w:rPr>
                <w:rFonts w:hint="eastAsia" w:ascii="宋体" w:hAnsi="宋体" w:eastAsia="宋体" w:cs="宋体"/>
                <w:i w:val="0"/>
                <w:color w:val="000000"/>
                <w:kern w:val="0"/>
                <w:sz w:val="21"/>
                <w:szCs w:val="21"/>
                <w:highlight w:val="none"/>
                <w:u w:val="none"/>
                <w:lang w:val="en-US" w:eastAsia="zh-CN" w:bidi="ar"/>
              </w:rPr>
              <w:t xml:space="preserve">9、车型识别、车身颜色识别等准确率应符合现行JT/T604-2024《汽车号牌视频自动识别系统》：车牌识别准确率、有效汽车号牌识别准确率、车牌颜色识别准确率日间≥95%，夜间≥90%，单台抓拍机同时识别抓拍车道≤3 车道；支持存储通行车辆的号牌图像1张和车辆正面图像1张； </w:t>
            </w:r>
          </w:p>
          <w:p w14:paraId="69E401FC">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highlight w:val="none"/>
                <w:u w:val="none"/>
                <w:lang w:val="en-US" w:eastAsia="zh-CN" w:bidi="ar"/>
              </w:rPr>
            </w:pPr>
            <w:r>
              <w:rPr>
                <w:rFonts w:hint="eastAsia" w:ascii="宋体" w:hAnsi="宋体" w:eastAsia="宋体" w:cs="宋体"/>
                <w:i w:val="0"/>
                <w:color w:val="000000"/>
                <w:kern w:val="0"/>
                <w:sz w:val="21"/>
                <w:szCs w:val="21"/>
                <w:highlight w:val="none"/>
                <w:u w:val="none"/>
                <w:lang w:val="en-US" w:eastAsia="zh-CN" w:bidi="ar"/>
              </w:rPr>
              <w:t xml:space="preserve">10、支持故障自动检测功能，抓拍机平均无故障时间≥20000h； </w:t>
            </w:r>
          </w:p>
          <w:p w14:paraId="50AD6111">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highlight w:val="none"/>
                <w:u w:val="none"/>
                <w:lang w:val="en-US" w:eastAsia="zh-CN" w:bidi="ar"/>
              </w:rPr>
            </w:pPr>
            <w:r>
              <w:rPr>
                <w:rFonts w:hint="eastAsia" w:ascii="宋体" w:hAnsi="宋体" w:eastAsia="宋体" w:cs="宋体"/>
                <w:i w:val="0"/>
                <w:color w:val="000000"/>
                <w:kern w:val="0"/>
                <w:sz w:val="21"/>
                <w:szCs w:val="21"/>
                <w:highlight w:val="none"/>
                <w:u w:val="none"/>
                <w:lang w:val="en-US" w:eastAsia="zh-CN" w:bidi="ar"/>
              </w:rPr>
              <w:t xml:space="preserve">11、能清晰辨别车辆车牌区域、驾驶室、车身、颜色、运输货物细节等特征； </w:t>
            </w:r>
          </w:p>
          <w:p w14:paraId="4C2E4A4F">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highlight w:val="none"/>
                <w:u w:val="none"/>
                <w:lang w:val="en-US" w:eastAsia="zh-CN" w:bidi="ar"/>
              </w:rPr>
            </w:pPr>
            <w:r>
              <w:rPr>
                <w:rFonts w:hint="eastAsia" w:ascii="宋体" w:hAnsi="宋体" w:eastAsia="宋体" w:cs="宋体"/>
                <w:i w:val="0"/>
                <w:color w:val="000000"/>
                <w:kern w:val="0"/>
                <w:sz w:val="21"/>
                <w:szCs w:val="21"/>
                <w:highlight w:val="none"/>
                <w:u w:val="none"/>
                <w:lang w:val="en-US" w:eastAsia="zh-CN" w:bidi="ar"/>
              </w:rPr>
              <w:t xml:space="preserve">12、抓拍图片应支持叠加字符； </w:t>
            </w:r>
          </w:p>
          <w:p w14:paraId="169239CA">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highlight w:val="none"/>
                <w:u w:val="none"/>
                <w:lang w:val="en-US" w:eastAsia="zh-CN" w:bidi="ar"/>
              </w:rPr>
            </w:pPr>
            <w:r>
              <w:rPr>
                <w:rFonts w:hint="eastAsia" w:ascii="宋体" w:hAnsi="宋体" w:eastAsia="宋体" w:cs="宋体"/>
                <w:i w:val="0"/>
                <w:color w:val="000000"/>
                <w:kern w:val="0"/>
                <w:sz w:val="21"/>
                <w:szCs w:val="21"/>
                <w:highlight w:val="none"/>
                <w:u w:val="none"/>
                <w:lang w:val="en-US" w:eastAsia="zh-CN" w:bidi="ar"/>
              </w:rPr>
              <w:t xml:space="preserve">13、工作温湿度：-30℃~60℃，湿度小于 95%（无凝结）； </w:t>
            </w:r>
          </w:p>
          <w:p w14:paraId="3D2F2834">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highlight w:val="none"/>
                <w:u w:val="none"/>
                <w:lang w:val="en-US" w:eastAsia="zh-CN" w:bidi="ar"/>
              </w:rPr>
            </w:pPr>
            <w:r>
              <w:rPr>
                <w:rFonts w:hint="eastAsia" w:ascii="宋体" w:hAnsi="宋体" w:eastAsia="宋体" w:cs="宋体"/>
                <w:i w:val="0"/>
                <w:color w:val="000000"/>
                <w:kern w:val="0"/>
                <w:sz w:val="21"/>
                <w:szCs w:val="21"/>
                <w:highlight w:val="none"/>
                <w:u w:val="none"/>
                <w:lang w:val="en-US" w:eastAsia="zh-CN" w:bidi="ar"/>
              </w:rPr>
              <w:t xml:space="preserve">14、设备防护等级应不低于 IP66； </w:t>
            </w:r>
          </w:p>
          <w:p w14:paraId="3C18CFE2">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highlight w:val="none"/>
                <w:u w:val="none"/>
                <w:lang w:val="en-US" w:eastAsia="zh-CN" w:bidi="ar"/>
              </w:rPr>
            </w:pPr>
            <w:r>
              <w:rPr>
                <w:rFonts w:hint="eastAsia" w:ascii="宋体" w:hAnsi="宋体" w:eastAsia="宋体" w:cs="宋体"/>
                <w:i w:val="0"/>
                <w:color w:val="000000"/>
                <w:kern w:val="0"/>
                <w:sz w:val="21"/>
                <w:szCs w:val="21"/>
                <w:highlight w:val="none"/>
                <w:u w:val="none"/>
                <w:lang w:val="en-US" w:eastAsia="zh-CN" w:bidi="ar"/>
              </w:rPr>
              <w:t xml:space="preserve">15、支持自动对时，24 小时内计时误差≤1.0s； </w:t>
            </w:r>
          </w:p>
          <w:p w14:paraId="4C0781BE">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highlight w:val="none"/>
                <w:u w:val="none"/>
                <w:lang w:val="en-US" w:eastAsia="zh-CN" w:bidi="ar"/>
              </w:rPr>
            </w:pPr>
            <w:r>
              <w:rPr>
                <w:rFonts w:hint="eastAsia" w:ascii="宋体" w:hAnsi="宋体" w:eastAsia="宋体" w:cs="宋体"/>
                <w:i w:val="0"/>
                <w:color w:val="000000"/>
                <w:kern w:val="0"/>
                <w:sz w:val="21"/>
                <w:szCs w:val="21"/>
                <w:highlight w:val="none"/>
                <w:u w:val="none"/>
                <w:lang w:val="en-US" w:eastAsia="zh-CN" w:bidi="ar"/>
              </w:rPr>
              <w:t>16、支持远程访问、系统维护。</w:t>
            </w:r>
          </w:p>
          <w:p w14:paraId="5BD1219F">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(包含设备安装、调试、检验验收)</w:t>
            </w:r>
          </w:p>
        </w:tc>
        <w:tc>
          <w:tcPr>
            <w:tcW w:w="2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7A4D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台</w:t>
            </w:r>
          </w:p>
        </w:tc>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157A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46</w:t>
            </w:r>
          </w:p>
        </w:tc>
      </w:tr>
      <w:tr w14:paraId="442A31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2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7F76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w:t>
            </w:r>
          </w:p>
        </w:tc>
        <w:tc>
          <w:tcPr>
            <w:tcW w:w="7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7773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电力电缆</w:t>
            </w:r>
          </w:p>
        </w:tc>
        <w:tc>
          <w:tcPr>
            <w:tcW w:w="33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5A42A">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1.WDZN-BVV-3*2.5电力电缆(包含设备安装、调试、检验验收)。</w:t>
            </w:r>
          </w:p>
        </w:tc>
        <w:tc>
          <w:tcPr>
            <w:tcW w:w="2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5CF1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米</w:t>
            </w:r>
          </w:p>
        </w:tc>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7DD3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1180</w:t>
            </w:r>
          </w:p>
        </w:tc>
      </w:tr>
      <w:tr w14:paraId="0D11E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2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3F04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3</w:t>
            </w:r>
          </w:p>
        </w:tc>
        <w:tc>
          <w:tcPr>
            <w:tcW w:w="7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F29B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6类屏蔽双绞线</w:t>
            </w:r>
          </w:p>
        </w:tc>
        <w:tc>
          <w:tcPr>
            <w:tcW w:w="33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B8E445">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1.6类屏蔽双绞线(包含设备安装、调试、检验验收)</w:t>
            </w:r>
          </w:p>
        </w:tc>
        <w:tc>
          <w:tcPr>
            <w:tcW w:w="2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B676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米</w:t>
            </w:r>
          </w:p>
        </w:tc>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C155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1180</w:t>
            </w:r>
          </w:p>
        </w:tc>
      </w:tr>
      <w:tr w14:paraId="77C5AF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2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F66A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4</w:t>
            </w:r>
          </w:p>
        </w:tc>
        <w:tc>
          <w:tcPr>
            <w:tcW w:w="7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C619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多合一补光灯</w:t>
            </w:r>
          </w:p>
        </w:tc>
        <w:tc>
          <w:tcPr>
            <w:tcW w:w="33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6BDC0">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 xml:space="preserve">1、采用符合 JT/T1531-2024《公路汽车号牌视频自动识别补光装置》要求。每车道布设 1 台； </w:t>
            </w:r>
          </w:p>
          <w:p w14:paraId="50B28D86">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 xml:space="preserve">2、补光装置光源包括 LED 光源（一级频闪）、气体放电光源（二级脉冲）和红外光源； </w:t>
            </w:r>
          </w:p>
          <w:p w14:paraId="7C389F0F">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 xml:space="preserve">3、支持红外和白光补光切换； </w:t>
            </w:r>
          </w:p>
          <w:p w14:paraId="033469B1">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 xml:space="preserve">4、支持 LED 频闪、LED 爆闪、白光气体爆闪及红外气体爆闪四种补光方式，支持通过远程控制切换； </w:t>
            </w:r>
          </w:p>
          <w:p w14:paraId="4CD843C2">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 xml:space="preserve">5、外壳防护等级不低于 IP66 要求； </w:t>
            </w:r>
          </w:p>
          <w:p w14:paraId="67AF0A87">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 xml:space="preserve">6、支持远程升级维护； </w:t>
            </w:r>
          </w:p>
          <w:p w14:paraId="7C9B9B21">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7、支持记录闪光灯闪光次数，具有峰值抑制功能，能有效减少周边光污染。</w:t>
            </w:r>
          </w:p>
          <w:p w14:paraId="603A13C4">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(包含设备安装、调试、检验验收)</w:t>
            </w:r>
          </w:p>
        </w:tc>
        <w:tc>
          <w:tcPr>
            <w:tcW w:w="2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2382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台</w:t>
            </w:r>
          </w:p>
        </w:tc>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A516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46</w:t>
            </w:r>
          </w:p>
        </w:tc>
      </w:tr>
      <w:tr w14:paraId="3243ED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2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93F9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5</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0758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边缘计算单元(含软件)</w:t>
            </w:r>
          </w:p>
        </w:tc>
        <w:tc>
          <w:tcPr>
            <w:tcW w:w="33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C3FB56">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 xml:space="preserve">1、自主可控操作系统，支持 7×24 小时稳定运行； </w:t>
            </w:r>
          </w:p>
          <w:p w14:paraId="232726A5">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 xml:space="preserve">2、内存不低于 12G，支持灵活扩展； </w:t>
            </w:r>
          </w:p>
          <w:p w14:paraId="5F13E658">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 xml:space="preserve">3、存储不小于 4T，支持扩容； </w:t>
            </w:r>
          </w:p>
          <w:p w14:paraId="4B141865">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 xml:space="preserve">4、支持北斗或 GPS 授时，24 小时同步误差≤1s； </w:t>
            </w:r>
          </w:p>
          <w:p w14:paraId="25A1AE1B">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 xml:space="preserve">5、具有双网卡，支持物理双网络； </w:t>
            </w:r>
          </w:p>
          <w:p w14:paraId="4017CFC8">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 xml:space="preserve">6、支持 CIF、D1、720P、1080P、2K、4K 等多种分辨率的网络视频接入； </w:t>
            </w:r>
          </w:p>
          <w:p w14:paraId="21CD6EC9">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 xml:space="preserve">7、具有完善的视频处理功能，支持解码 H.265、H.264 等主流图像压缩格式； </w:t>
            </w:r>
          </w:p>
          <w:p w14:paraId="50B5AC4C">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8、支持在图片上叠加车牌、车道、时间、地点等字符信息 ；</w:t>
            </w:r>
          </w:p>
          <w:p w14:paraId="5ABDA1FC">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9、支持对多张图片进行合成 ；</w:t>
            </w:r>
          </w:p>
          <w:p w14:paraId="3102AD5D">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10、支持 iSCSI 块直存录像，支持秒级检索，秒级回放 ；</w:t>
            </w:r>
          </w:p>
          <w:p w14:paraId="5EC5E6F6">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 xml:space="preserve">11、支持图片的存储、检索、查看、导出、上传等； </w:t>
            </w:r>
          </w:p>
          <w:p w14:paraId="59E4336F">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 xml:space="preserve">12、支持通过串口获取数据； </w:t>
            </w:r>
          </w:p>
          <w:p w14:paraId="145B05F6">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 xml:space="preserve">13、支持硬盘 S.M.A.R.T.属性检测； </w:t>
            </w:r>
          </w:p>
          <w:p w14:paraId="681AA2A6">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 xml:space="preserve">14、支持通讯中断重登录能力和数据断点续传功能，通讯中断后其数据在本机储存时间不少于 30 天； </w:t>
            </w:r>
          </w:p>
          <w:p w14:paraId="1CAB8565">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15、车牌识别数据与交调数据融合软件，车辆通行数据匹配正确率应不小于 95%，可输出符合交通部要求格式的数据。</w:t>
            </w:r>
          </w:p>
          <w:p w14:paraId="5E2E4100">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(包含设备安装、调试、检验验收)</w:t>
            </w:r>
          </w:p>
        </w:tc>
        <w:tc>
          <w:tcPr>
            <w:tcW w:w="2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15EA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台</w:t>
            </w:r>
          </w:p>
        </w:tc>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2DC3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23</w:t>
            </w:r>
          </w:p>
        </w:tc>
      </w:tr>
      <w:tr w14:paraId="73C53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2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8991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6</w:t>
            </w:r>
          </w:p>
        </w:tc>
        <w:tc>
          <w:tcPr>
            <w:tcW w:w="7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2B5A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快球摄像机</w:t>
            </w:r>
          </w:p>
        </w:tc>
        <w:tc>
          <w:tcPr>
            <w:tcW w:w="33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4D4AA5">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 xml:space="preserve">1、像素不小于 400 万； </w:t>
            </w:r>
          </w:p>
          <w:p w14:paraId="20BF33D5">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 xml:space="preserve">2、摄像机内置镜头，支持不低于 30 倍光学变倍； </w:t>
            </w:r>
          </w:p>
          <w:p w14:paraId="125A8D17">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 xml:space="preserve">3、视频分辨率不低于 2560×1440；帧率不低于 25fps； </w:t>
            </w:r>
          </w:p>
          <w:p w14:paraId="3A99A6AB">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 xml:space="preserve">4、混合补光；补光距离红外最远可达 150m；白光最远可达30m； </w:t>
            </w:r>
          </w:p>
          <w:p w14:paraId="0F3176F0">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 xml:space="preserve">5、云台转动：水平 360°连续旋转，垂直方向-15°~90°； </w:t>
            </w:r>
          </w:p>
          <w:p w14:paraId="3B39D419">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 xml:space="preserve">6、具备本机存储功能，自带容量不小于 256GB 的存储； </w:t>
            </w:r>
          </w:p>
          <w:p w14:paraId="346471A9">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 xml:space="preserve">7、防护等级不低于 IP66； </w:t>
            </w:r>
          </w:p>
          <w:p w14:paraId="36A865F8">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 xml:space="preserve">8、主码流、第三码流同时支持 1920×1080@60fps，1280×720@60fps； </w:t>
            </w:r>
          </w:p>
          <w:p w14:paraId="400C1FE9">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 xml:space="preserve">9、视频压缩标准：H.265/H.264/MJPEG； </w:t>
            </w:r>
          </w:p>
          <w:p w14:paraId="1E99BDC1">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 xml:space="preserve">10、支持透雾、强光抑制、防抖、数字降噪功能； </w:t>
            </w:r>
          </w:p>
          <w:p w14:paraId="126AA4EF">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 xml:space="preserve">11、工作温度：-30℃~60℃；工作湿度：湿度小于 95%（无凝结）； </w:t>
            </w:r>
          </w:p>
          <w:p w14:paraId="3E092E21">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 xml:space="preserve">12、供电：AC24V 或 AC220V； </w:t>
            </w:r>
          </w:p>
          <w:p w14:paraId="759D44A2">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13、支持 SMART 识别功能：抛洒物检测、拥堵检测、路障检测、交通事故检测等。</w:t>
            </w:r>
          </w:p>
          <w:p w14:paraId="2C7BA3C9">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(包含设备安装、调试、检验验收)</w:t>
            </w:r>
          </w:p>
        </w:tc>
        <w:tc>
          <w:tcPr>
            <w:tcW w:w="2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94AC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台</w:t>
            </w:r>
          </w:p>
        </w:tc>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09F6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23</w:t>
            </w:r>
          </w:p>
        </w:tc>
      </w:tr>
      <w:tr w14:paraId="2C89A0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2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1845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7</w:t>
            </w:r>
          </w:p>
        </w:tc>
        <w:tc>
          <w:tcPr>
            <w:tcW w:w="7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D529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控制箱</w:t>
            </w:r>
          </w:p>
        </w:tc>
        <w:tc>
          <w:tcPr>
            <w:tcW w:w="33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94FB2">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highlight w:val="none"/>
                <w:u w:val="none"/>
                <w:lang w:val="en-US" w:eastAsia="zh-CN" w:bidi="ar"/>
              </w:rPr>
            </w:pPr>
            <w:r>
              <w:rPr>
                <w:rFonts w:hint="eastAsia" w:ascii="宋体" w:hAnsi="宋体" w:eastAsia="宋体" w:cs="宋体"/>
                <w:i w:val="0"/>
                <w:color w:val="000000"/>
                <w:kern w:val="0"/>
                <w:sz w:val="21"/>
                <w:szCs w:val="21"/>
                <w:highlight w:val="none"/>
                <w:u w:val="none"/>
                <w:lang w:val="en-US" w:eastAsia="zh-CN" w:bidi="ar"/>
              </w:rPr>
              <w:t>含空气开关、浪涌抑制器、漏电保护、接线端子、接地端子、安装导轨等，线缆按国家规定颜色标识，开关有清晰的标志，安装空间足够并留有扩容余量。                                                  1、材质：1.5mm镀锌钢板，表面喷塑；采用连杆锁止；正面喷涂文字及警示标志；</w:t>
            </w:r>
          </w:p>
          <w:p w14:paraId="2DF47242">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highlight w:val="none"/>
                <w:u w:val="none"/>
                <w:lang w:val="en-US" w:eastAsia="zh-CN" w:bidi="ar"/>
              </w:rPr>
            </w:pPr>
            <w:r>
              <w:rPr>
                <w:rFonts w:hint="eastAsia" w:ascii="宋体" w:hAnsi="宋体" w:eastAsia="宋体" w:cs="宋体"/>
                <w:i w:val="0"/>
                <w:color w:val="000000"/>
                <w:kern w:val="0"/>
                <w:sz w:val="21"/>
                <w:szCs w:val="21"/>
                <w:highlight w:val="none"/>
                <w:u w:val="none"/>
                <w:lang w:val="en-US" w:eastAsia="zh-CN" w:bidi="ar"/>
              </w:rPr>
              <w:t>2、通信接口：网口：1个，RS485：1个；</w:t>
            </w:r>
          </w:p>
          <w:p w14:paraId="2B9BAADD">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highlight w:val="none"/>
                <w:u w:val="none"/>
                <w:lang w:val="en-US" w:eastAsia="zh-CN" w:bidi="ar"/>
              </w:rPr>
            </w:pPr>
            <w:r>
              <w:rPr>
                <w:rFonts w:hint="eastAsia" w:ascii="宋体" w:hAnsi="宋体" w:eastAsia="宋体" w:cs="宋体"/>
                <w:i w:val="0"/>
                <w:color w:val="000000"/>
                <w:kern w:val="0"/>
                <w:sz w:val="21"/>
                <w:szCs w:val="21"/>
                <w:highlight w:val="none"/>
                <w:u w:val="none"/>
                <w:lang w:val="en-US" w:eastAsia="zh-CN" w:bidi="ar"/>
              </w:rPr>
              <w:t>3、防护等级：≥IP</w:t>
            </w:r>
            <w:r>
              <w:rPr>
                <w:rFonts w:hint="eastAsia" w:ascii="宋体" w:hAnsi="宋体" w:cs="宋体"/>
                <w:i w:val="0"/>
                <w:color w:val="000000"/>
                <w:kern w:val="0"/>
                <w:sz w:val="21"/>
                <w:szCs w:val="21"/>
                <w:highlight w:val="none"/>
                <w:u w:val="none"/>
                <w:lang w:val="en-US" w:eastAsia="zh-CN" w:bidi="ar"/>
              </w:rPr>
              <w:t>67</w:t>
            </w:r>
            <w:r>
              <w:rPr>
                <w:rFonts w:hint="eastAsia" w:ascii="宋体" w:hAnsi="宋体" w:eastAsia="宋体" w:cs="宋体"/>
                <w:i w:val="0"/>
                <w:color w:val="000000"/>
                <w:kern w:val="0"/>
                <w:sz w:val="21"/>
                <w:szCs w:val="21"/>
                <w:highlight w:val="none"/>
                <w:u w:val="none"/>
                <w:lang w:val="en-US" w:eastAsia="zh-CN" w:bidi="ar"/>
              </w:rPr>
              <w:t>；</w:t>
            </w:r>
          </w:p>
          <w:p w14:paraId="2EB5D28D">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highlight w:val="none"/>
                <w:u w:val="none"/>
                <w:lang w:val="en-US" w:eastAsia="zh-CN" w:bidi="ar"/>
              </w:rPr>
            </w:pPr>
            <w:r>
              <w:rPr>
                <w:rFonts w:hint="eastAsia" w:ascii="宋体" w:hAnsi="宋体" w:eastAsia="宋体" w:cs="宋体"/>
                <w:i w:val="0"/>
                <w:color w:val="000000"/>
                <w:kern w:val="0"/>
                <w:sz w:val="21"/>
                <w:szCs w:val="21"/>
                <w:highlight w:val="none"/>
                <w:u w:val="none"/>
                <w:lang w:val="en-US" w:eastAsia="zh-CN" w:bidi="ar"/>
              </w:rPr>
              <w:t>4、安装方式：抱箍杆装；</w:t>
            </w:r>
          </w:p>
          <w:p w14:paraId="5C8F5D18">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highlight w:val="none"/>
                <w:u w:val="none"/>
                <w:lang w:val="en-US" w:eastAsia="zh-CN" w:bidi="ar"/>
              </w:rPr>
            </w:pPr>
            <w:r>
              <w:rPr>
                <w:rFonts w:hint="eastAsia" w:ascii="宋体" w:hAnsi="宋体" w:eastAsia="宋体" w:cs="宋体"/>
                <w:i w:val="0"/>
                <w:color w:val="000000"/>
                <w:kern w:val="0"/>
                <w:sz w:val="21"/>
                <w:szCs w:val="21"/>
                <w:highlight w:val="none"/>
                <w:u w:val="none"/>
                <w:lang w:val="en-US" w:eastAsia="zh-CN" w:bidi="ar"/>
              </w:rPr>
              <w:t>5、电源监测 。</w:t>
            </w:r>
          </w:p>
          <w:p w14:paraId="335CFE23">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(包含设备安装、调试、检验验收)</w:t>
            </w:r>
          </w:p>
        </w:tc>
        <w:tc>
          <w:tcPr>
            <w:tcW w:w="2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340E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套</w:t>
            </w:r>
          </w:p>
        </w:tc>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AA1D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23</w:t>
            </w:r>
          </w:p>
        </w:tc>
      </w:tr>
      <w:tr w14:paraId="057324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2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B36A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8</w:t>
            </w:r>
          </w:p>
        </w:tc>
        <w:tc>
          <w:tcPr>
            <w:tcW w:w="7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5401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交调标志牌</w:t>
            </w:r>
          </w:p>
        </w:tc>
        <w:tc>
          <w:tcPr>
            <w:tcW w:w="33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06D333">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1.交调标志牌符合GB 5766.2和JTG D82规定要求(包含设备安装、调试、检验验收)。</w:t>
            </w:r>
          </w:p>
        </w:tc>
        <w:tc>
          <w:tcPr>
            <w:tcW w:w="2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7D6D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套</w:t>
            </w:r>
          </w:p>
        </w:tc>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CF8B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17</w:t>
            </w:r>
          </w:p>
        </w:tc>
      </w:tr>
      <w:tr w14:paraId="68A18F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2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62AE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9</w:t>
            </w:r>
          </w:p>
        </w:tc>
        <w:tc>
          <w:tcPr>
            <w:tcW w:w="7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3A2E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单悬臂标杆</w:t>
            </w:r>
          </w:p>
        </w:tc>
        <w:tc>
          <w:tcPr>
            <w:tcW w:w="33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878876">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1.钢制L型7m（柱）×8m（梁）；</w:t>
            </w:r>
          </w:p>
          <w:p w14:paraId="0AC8FF42">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2.1300×1300×1900mm，C30钢筋混凝土基础(包含基础土方开挖、回填及弃置)；</w:t>
            </w:r>
          </w:p>
          <w:p w14:paraId="4CF090A7">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3.交调标志牌(符合GB 5766.2和JTG D82规定要求)；</w:t>
            </w:r>
          </w:p>
          <w:p w14:paraId="30A9CAE2">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4.接地极∠50×5.0×2500mm；</w:t>
            </w:r>
          </w:p>
          <w:p w14:paraId="27143C8C">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5.接地扁钢-40×4(包含设备安装、调试、检验验收)。</w:t>
            </w:r>
          </w:p>
        </w:tc>
        <w:tc>
          <w:tcPr>
            <w:tcW w:w="2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786A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套</w:t>
            </w:r>
          </w:p>
        </w:tc>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45AC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15</w:t>
            </w:r>
          </w:p>
        </w:tc>
      </w:tr>
      <w:tr w14:paraId="7ED46D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2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D4B7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10</w:t>
            </w:r>
          </w:p>
        </w:tc>
        <w:tc>
          <w:tcPr>
            <w:tcW w:w="7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5F14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单悬臂标杆</w:t>
            </w:r>
          </w:p>
        </w:tc>
        <w:tc>
          <w:tcPr>
            <w:tcW w:w="33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18D58">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1.钢制L型7m（柱）×12m（粱）；</w:t>
            </w:r>
          </w:p>
          <w:p w14:paraId="05253B88">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2.1500×1500×2100mm，C30钢筋混凝土基础(包含基础土方开挖、回填及弃置)；</w:t>
            </w:r>
          </w:p>
          <w:p w14:paraId="475BD0DC">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3.交调标志牌(符合GB 5766.2和JTG D82规定要求)；</w:t>
            </w:r>
          </w:p>
          <w:p w14:paraId="50C451EA">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4.接地极∠50×5.0×2500mm；</w:t>
            </w:r>
          </w:p>
          <w:p w14:paraId="39023B78">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5.接地扁钢-40×4(包含设备安装、调试、检验验收)。</w:t>
            </w:r>
          </w:p>
        </w:tc>
        <w:tc>
          <w:tcPr>
            <w:tcW w:w="2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DDCD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套</w:t>
            </w:r>
          </w:p>
        </w:tc>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CED3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8</w:t>
            </w:r>
          </w:p>
        </w:tc>
      </w:tr>
      <w:tr w14:paraId="7BE96C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2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65D8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11</w:t>
            </w:r>
          </w:p>
        </w:tc>
        <w:tc>
          <w:tcPr>
            <w:tcW w:w="7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5DA3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钢绞线</w:t>
            </w:r>
          </w:p>
        </w:tc>
        <w:tc>
          <w:tcPr>
            <w:tcW w:w="33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40811">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1.φ8(包含设备安装、调试、检验验收)。</w:t>
            </w:r>
          </w:p>
        </w:tc>
        <w:tc>
          <w:tcPr>
            <w:tcW w:w="2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A970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米</w:t>
            </w:r>
          </w:p>
        </w:tc>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0368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1120</w:t>
            </w:r>
          </w:p>
        </w:tc>
      </w:tr>
      <w:tr w14:paraId="05415B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2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A260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12</w:t>
            </w:r>
          </w:p>
        </w:tc>
        <w:tc>
          <w:tcPr>
            <w:tcW w:w="7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597C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水泥电杆</w:t>
            </w:r>
          </w:p>
        </w:tc>
        <w:tc>
          <w:tcPr>
            <w:tcW w:w="33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776A2E">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1.水泥电杆φ150*8-I(包含设备安装、调试、检验验收)。</w:t>
            </w:r>
          </w:p>
        </w:tc>
        <w:tc>
          <w:tcPr>
            <w:tcW w:w="2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B023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根</w:t>
            </w:r>
          </w:p>
        </w:tc>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5AF1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35</w:t>
            </w:r>
          </w:p>
        </w:tc>
      </w:tr>
      <w:tr w14:paraId="39E063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2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273E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13</w:t>
            </w:r>
          </w:p>
        </w:tc>
        <w:tc>
          <w:tcPr>
            <w:tcW w:w="7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3F45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电力电缆</w:t>
            </w:r>
          </w:p>
        </w:tc>
        <w:tc>
          <w:tcPr>
            <w:tcW w:w="33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34238">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1.YJY22-3×4电力电缆(包含设备安装、调试、检验验收)。</w:t>
            </w:r>
          </w:p>
        </w:tc>
        <w:tc>
          <w:tcPr>
            <w:tcW w:w="2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FA6F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米</w:t>
            </w:r>
          </w:p>
        </w:tc>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A4F3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1150</w:t>
            </w:r>
          </w:p>
        </w:tc>
      </w:tr>
      <w:tr w14:paraId="349960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2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9A45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14</w:t>
            </w:r>
          </w:p>
        </w:tc>
        <w:tc>
          <w:tcPr>
            <w:tcW w:w="7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8DF4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接电</w:t>
            </w:r>
          </w:p>
        </w:tc>
        <w:tc>
          <w:tcPr>
            <w:tcW w:w="33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6ECC0">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1.220V市电接入。</w:t>
            </w:r>
          </w:p>
        </w:tc>
        <w:tc>
          <w:tcPr>
            <w:tcW w:w="2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DF5B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项</w:t>
            </w:r>
          </w:p>
        </w:tc>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4E3C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23</w:t>
            </w:r>
          </w:p>
        </w:tc>
      </w:tr>
      <w:tr w14:paraId="34DB49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2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3BD2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15</w:t>
            </w:r>
          </w:p>
        </w:tc>
        <w:tc>
          <w:tcPr>
            <w:tcW w:w="7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5B5E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入网</w:t>
            </w:r>
          </w:p>
        </w:tc>
        <w:tc>
          <w:tcPr>
            <w:tcW w:w="33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D62B0">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1.光纤宽带接入。</w:t>
            </w:r>
          </w:p>
        </w:tc>
        <w:tc>
          <w:tcPr>
            <w:tcW w:w="2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724A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项</w:t>
            </w:r>
          </w:p>
        </w:tc>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DFA1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23</w:t>
            </w:r>
          </w:p>
        </w:tc>
      </w:tr>
      <w:tr w14:paraId="1EB76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2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AB4E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16</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AE737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VPN网关路由交换一体机</w:t>
            </w:r>
          </w:p>
        </w:tc>
        <w:tc>
          <w:tcPr>
            <w:tcW w:w="33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E70606">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1、全千兆企业级防火墙VPN网关路由器；</w:t>
            </w:r>
          </w:p>
          <w:p w14:paraId="30CD9A99">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2、2×千兆光口；16×千兆电口；</w:t>
            </w:r>
          </w:p>
          <w:p w14:paraId="155CFBD3">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3、防火墙：安全区域划分，防御分片报文地址扫描、端口扫描，防御恶意攻击、访问控制列表、应用报文过滤、静态和动态黑名单功能；</w:t>
            </w:r>
          </w:p>
          <w:p w14:paraId="2922E9E0">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4、病毒防护；</w:t>
            </w:r>
          </w:p>
          <w:p w14:paraId="1DE7EA58">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5、深度入侵防御；</w:t>
            </w:r>
          </w:p>
          <w:p w14:paraId="3275A1BD">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6、支持多个内部地址映射到同一个公司地址；支持多个内部地址映射到多个公司地址；</w:t>
            </w:r>
          </w:p>
          <w:p w14:paraId="19BA306A">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7、VPN：L2TP VPN、IPSes VPN、GRE VPN SSL VPN</w:t>
            </w:r>
          </w:p>
          <w:p w14:paraId="1094817B">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8、支持带宽管理，确保网络稳定性；</w:t>
            </w:r>
          </w:p>
          <w:p w14:paraId="15E5D159">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9、电源或端口故障可通过继电器输出报警；</w:t>
            </w:r>
          </w:p>
          <w:p w14:paraId="50A9618B">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10、支持掉电报警(IPA)功能；</w:t>
            </w:r>
          </w:p>
          <w:p w14:paraId="4AFBE49E">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11、工作温度：-20℃～+65℃（宽温型号）；</w:t>
            </w:r>
          </w:p>
          <w:p w14:paraId="19E23092">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12、工作湿度5～95%（无凝露）；</w:t>
            </w:r>
          </w:p>
          <w:p w14:paraId="21F919DC">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13、电源需求 输入电压：12/24/48 VDC（9.6 ~ 60 VDC）或220 VAC双冗余输入(包含设备安装、调试、检验验收)。</w:t>
            </w:r>
          </w:p>
        </w:tc>
        <w:tc>
          <w:tcPr>
            <w:tcW w:w="2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7184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台</w:t>
            </w:r>
          </w:p>
        </w:tc>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B7B2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23</w:t>
            </w:r>
          </w:p>
        </w:tc>
      </w:tr>
      <w:tr w14:paraId="369165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2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56A9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17</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992C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VPN网关路由交换一体机</w:t>
            </w:r>
          </w:p>
        </w:tc>
        <w:tc>
          <w:tcPr>
            <w:tcW w:w="33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42127">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1、全千兆企业级防火墙VPN网关路由器；</w:t>
            </w:r>
          </w:p>
          <w:p w14:paraId="1C5727A5">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2、2×千兆光口；24×千兆电口；</w:t>
            </w:r>
          </w:p>
          <w:p w14:paraId="13C22778">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3、防火墙：安全区域划分，防御分片报文地址扫描、端口扫描，防御恶意攻击、访问控制列表、应用报文过滤、静态和动态黑名单功能；；</w:t>
            </w:r>
          </w:p>
          <w:p w14:paraId="035568CB">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4、病毒防护；</w:t>
            </w:r>
          </w:p>
          <w:p w14:paraId="095E6895">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5、深度入侵防御；</w:t>
            </w:r>
          </w:p>
          <w:p w14:paraId="22EBB1A6">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6、支持多个内部地址映射到同一个公司地址；支持多个内部地址映射到多个公司地址；</w:t>
            </w:r>
          </w:p>
          <w:p w14:paraId="724CBF49">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7、VPN：L2TP VPN、IPSes VPN、GRE VPN SSL VPN</w:t>
            </w:r>
          </w:p>
          <w:p w14:paraId="68E4C6C2">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8、支持带宽管理，确保网络稳定性；</w:t>
            </w:r>
          </w:p>
          <w:p w14:paraId="1F067E6F">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9、电源或端口故障可通过继电器输出报警；</w:t>
            </w:r>
          </w:p>
          <w:p w14:paraId="50059102">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10、支持掉电报警(IPA)功能；</w:t>
            </w:r>
          </w:p>
          <w:p w14:paraId="3A1D9C66">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11、工作温度：-20℃～+65℃（宽温型号）；</w:t>
            </w:r>
          </w:p>
          <w:p w14:paraId="3612696E">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12、工作湿度5～95%（无凝露）；</w:t>
            </w:r>
          </w:p>
          <w:p w14:paraId="6277DAFF">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13、电源需求 输入电压：12/24/48 VDC（9.6 ~ 60 VDC）或220 VAC双冗余输入(包含设备安装、调试、检验验收)。</w:t>
            </w:r>
          </w:p>
        </w:tc>
        <w:tc>
          <w:tcPr>
            <w:tcW w:w="2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F3A3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台</w:t>
            </w:r>
          </w:p>
        </w:tc>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3CA6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w:t>
            </w:r>
          </w:p>
        </w:tc>
      </w:tr>
      <w:tr w14:paraId="66DC3B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2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A64B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18</w:t>
            </w:r>
          </w:p>
        </w:tc>
        <w:tc>
          <w:tcPr>
            <w:tcW w:w="7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9DBB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拼接屏</w:t>
            </w:r>
          </w:p>
        </w:tc>
        <w:tc>
          <w:tcPr>
            <w:tcW w:w="33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2C701">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LED 1.7mm，55”(包含设备安装、调试、检验验收)；                屏幕尺寸：55inch（对角线）；16：9 ；</w:t>
            </w:r>
          </w:p>
          <w:p w14:paraId="42A7353B">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拼缝：BtoB≤1.7mm；AtoA≤2.5mm ；</w:t>
            </w:r>
          </w:p>
          <w:p w14:paraId="1EB035C3">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分辨率：1920×1080（FHD），60Hz；</w:t>
            </w:r>
          </w:p>
          <w:p w14:paraId="0235023B">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点距：0.210×0.630mm；</w:t>
            </w:r>
          </w:p>
          <w:p w14:paraId="03443533">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亮度：≥500cd/m²；</w:t>
            </w:r>
          </w:p>
          <w:p w14:paraId="61AA3141">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对比度：3500：1</w:t>
            </w:r>
          </w:p>
          <w:p w14:paraId="70D08552">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色彩：16.7M；</w:t>
            </w:r>
          </w:p>
          <w:p w14:paraId="3AEF2AE8">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响应时间：≤8ms；</w:t>
            </w:r>
          </w:p>
          <w:p w14:paraId="375B5E45">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视频输入：HDMI、DVI、VGA、CVBS/BNC、USB；</w:t>
            </w:r>
          </w:p>
          <w:p w14:paraId="42EB512E">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电源：AC100～240V，50/60Hz。</w:t>
            </w:r>
          </w:p>
        </w:tc>
        <w:tc>
          <w:tcPr>
            <w:tcW w:w="2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1C93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台</w:t>
            </w:r>
          </w:p>
        </w:tc>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FD99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6</w:t>
            </w:r>
          </w:p>
        </w:tc>
      </w:tr>
      <w:tr w14:paraId="2B968A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2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423A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19</w:t>
            </w:r>
          </w:p>
        </w:tc>
        <w:tc>
          <w:tcPr>
            <w:tcW w:w="7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AF0A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拼接控制器</w:t>
            </w:r>
          </w:p>
        </w:tc>
        <w:tc>
          <w:tcPr>
            <w:tcW w:w="33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B75FB">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单屏显示、画面拼接、画面分割；(包含设备安装、调试、检验验收)输入输出接口：HDMI、DVI、VGA、CVBS/BNC；</w:t>
            </w:r>
          </w:p>
          <w:p w14:paraId="091FFD74">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单口输出分辨率：1920×1080（FHD），60Hz；</w:t>
            </w:r>
          </w:p>
          <w:p w14:paraId="4052EFB1">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整机带载像素：≥6×（1920×1080）×1.2 ；</w:t>
            </w:r>
          </w:p>
          <w:p w14:paraId="1F066C05">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处理性能：10bit色深、4：4：4采样。</w:t>
            </w:r>
          </w:p>
        </w:tc>
        <w:tc>
          <w:tcPr>
            <w:tcW w:w="2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1725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台</w:t>
            </w:r>
          </w:p>
        </w:tc>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EEC6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w:t>
            </w:r>
          </w:p>
        </w:tc>
      </w:tr>
      <w:tr w14:paraId="3D27E6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2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EF70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20</w:t>
            </w:r>
          </w:p>
        </w:tc>
        <w:tc>
          <w:tcPr>
            <w:tcW w:w="7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44D4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拼接屏支架</w:t>
            </w:r>
          </w:p>
        </w:tc>
        <w:tc>
          <w:tcPr>
            <w:tcW w:w="33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410BA">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1.3.2×6机柜式 冷轧钢板（或高强度铝合金）配套定制；2.可根据房间大小布局采用壁挂式(包含设备安装、调试、检验验收)。</w:t>
            </w:r>
          </w:p>
        </w:tc>
        <w:tc>
          <w:tcPr>
            <w:tcW w:w="2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E63F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台</w:t>
            </w:r>
          </w:p>
        </w:tc>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2C70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w:t>
            </w:r>
          </w:p>
        </w:tc>
      </w:tr>
      <w:tr w14:paraId="297F61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2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A87F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21</w:t>
            </w:r>
          </w:p>
        </w:tc>
        <w:tc>
          <w:tcPr>
            <w:tcW w:w="7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4A27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视频编解码器</w:t>
            </w:r>
          </w:p>
        </w:tc>
        <w:tc>
          <w:tcPr>
            <w:tcW w:w="33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69227F">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1.16路视频编解码器(包含设备安装、调试、检验验收)。</w:t>
            </w:r>
          </w:p>
        </w:tc>
        <w:tc>
          <w:tcPr>
            <w:tcW w:w="2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0212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台</w:t>
            </w:r>
          </w:p>
        </w:tc>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A25E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w:t>
            </w:r>
          </w:p>
        </w:tc>
      </w:tr>
      <w:tr w14:paraId="3FBB1C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2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F739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22</w:t>
            </w:r>
          </w:p>
        </w:tc>
        <w:tc>
          <w:tcPr>
            <w:tcW w:w="7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582A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机柜</w:t>
            </w:r>
          </w:p>
        </w:tc>
        <w:tc>
          <w:tcPr>
            <w:tcW w:w="33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6A354D">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1.42U、19”标准机柜，(包含设备安装、调试、检验验收)。</w:t>
            </w:r>
          </w:p>
        </w:tc>
        <w:tc>
          <w:tcPr>
            <w:tcW w:w="2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3B01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台</w:t>
            </w:r>
          </w:p>
        </w:tc>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0D17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w:t>
            </w:r>
          </w:p>
        </w:tc>
      </w:tr>
      <w:tr w14:paraId="5E2F95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2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CE92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23</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96C8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视频管理服务器及软件</w:t>
            </w:r>
          </w:p>
        </w:tc>
        <w:tc>
          <w:tcPr>
            <w:tcW w:w="33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4CE31A">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1.机架式，国产处理器，2.2GHZ以上，内存：≥DDR4 DIMM ECC 8G，硬盘：2×2T，16X DVD-ROM，集成双千兆以太网网卡(包含设备安装、调试、检验验收)。</w:t>
            </w:r>
          </w:p>
        </w:tc>
        <w:tc>
          <w:tcPr>
            <w:tcW w:w="2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E9B7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台</w:t>
            </w:r>
          </w:p>
        </w:tc>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EB43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w:t>
            </w:r>
          </w:p>
        </w:tc>
      </w:tr>
      <w:tr w14:paraId="5F98DE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2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10EA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24</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60E79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视频管理计算机及软件</w:t>
            </w:r>
          </w:p>
        </w:tc>
        <w:tc>
          <w:tcPr>
            <w:tcW w:w="33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11A8C">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1.国产处理器，2.4GHZ以上 内存≥16GB 1TBSSD 接口：音频、网口、VGA、HDMI PS/2 USB 显示器27” 预装办公软件(包含设备安装、调试、检验验收)</w:t>
            </w:r>
          </w:p>
        </w:tc>
        <w:tc>
          <w:tcPr>
            <w:tcW w:w="2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A79C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台</w:t>
            </w:r>
          </w:p>
        </w:tc>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F87A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w:t>
            </w:r>
          </w:p>
        </w:tc>
      </w:tr>
      <w:tr w14:paraId="66D1BF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2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C601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25</w:t>
            </w:r>
          </w:p>
        </w:tc>
        <w:tc>
          <w:tcPr>
            <w:tcW w:w="7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7BFF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防火墙</w:t>
            </w:r>
          </w:p>
        </w:tc>
        <w:tc>
          <w:tcPr>
            <w:tcW w:w="33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2CBBB">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1、千兆电口、光口；USB接口；</w:t>
            </w:r>
          </w:p>
          <w:p w14:paraId="090FDDF5">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2、内存：≥8G；</w:t>
            </w:r>
          </w:p>
          <w:p w14:paraId="23E45A74">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3、网络吞吐量：≥12G；</w:t>
            </w:r>
          </w:p>
          <w:p w14:paraId="3791F406">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4、应用层吞吐量：≥4G；</w:t>
            </w:r>
          </w:p>
          <w:p w14:paraId="4EA9DD36">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5、IPS吞吐量：≥8G；</w:t>
            </w:r>
          </w:p>
          <w:p w14:paraId="3D76A5FA">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6、AV吞吐量：≥4G；</w:t>
            </w:r>
          </w:p>
          <w:p w14:paraId="2298E553">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7、最大并发连接数：≥180万</w:t>
            </w:r>
          </w:p>
          <w:p w14:paraId="050DA846">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(包含设备安装、调试、检验验收)。</w:t>
            </w:r>
          </w:p>
        </w:tc>
        <w:tc>
          <w:tcPr>
            <w:tcW w:w="2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A2C5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台</w:t>
            </w:r>
          </w:p>
        </w:tc>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79B6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w:t>
            </w:r>
          </w:p>
        </w:tc>
      </w:tr>
      <w:tr w14:paraId="34E2FD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2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F357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26</w:t>
            </w:r>
          </w:p>
        </w:tc>
        <w:tc>
          <w:tcPr>
            <w:tcW w:w="7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977E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高清视频线</w:t>
            </w:r>
          </w:p>
        </w:tc>
        <w:tc>
          <w:tcPr>
            <w:tcW w:w="33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D8C92">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HDMI2.0 (包含设备安装、调试、检验验收)</w:t>
            </w:r>
          </w:p>
          <w:p w14:paraId="093DE34C">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1.最大带宽：18Gbps</w:t>
            </w:r>
          </w:p>
          <w:p w14:paraId="70301BCB">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2.分辨率：3840×2160/4096×2160@60hz</w:t>
            </w:r>
          </w:p>
          <w:p w14:paraId="7EC91570">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3.信令方式：TMDS；</w:t>
            </w:r>
          </w:p>
          <w:p w14:paraId="6621BDF5">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4.接口：Type-A。</w:t>
            </w:r>
          </w:p>
        </w:tc>
        <w:tc>
          <w:tcPr>
            <w:tcW w:w="2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77A9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米</w:t>
            </w:r>
          </w:p>
        </w:tc>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7BFE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60</w:t>
            </w:r>
          </w:p>
        </w:tc>
      </w:tr>
      <w:tr w14:paraId="1BF303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2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663D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27</w:t>
            </w:r>
          </w:p>
        </w:tc>
        <w:tc>
          <w:tcPr>
            <w:tcW w:w="7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F826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网线</w:t>
            </w:r>
          </w:p>
        </w:tc>
        <w:tc>
          <w:tcPr>
            <w:tcW w:w="33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349B7">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1.CAT6 STP 500MHz 23AWG(包含设备安装、调试、检验验收)</w:t>
            </w:r>
          </w:p>
        </w:tc>
        <w:tc>
          <w:tcPr>
            <w:tcW w:w="2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61C3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米</w:t>
            </w:r>
          </w:p>
        </w:tc>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EBC0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100</w:t>
            </w:r>
          </w:p>
        </w:tc>
      </w:tr>
      <w:tr w14:paraId="321C6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2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4325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28</w:t>
            </w:r>
          </w:p>
        </w:tc>
        <w:tc>
          <w:tcPr>
            <w:tcW w:w="7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9876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交调传感器</w:t>
            </w:r>
          </w:p>
        </w:tc>
        <w:tc>
          <w:tcPr>
            <w:tcW w:w="33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72A170">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1、扫描角度：≥270°；</w:t>
            </w:r>
          </w:p>
          <w:p w14:paraId="2D7C01F2">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 xml:space="preserve">2、频率：≥100Hz； </w:t>
            </w:r>
          </w:p>
          <w:p w14:paraId="49EA066F">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 xml:space="preserve">3、角度分辨率：≤0.5°； </w:t>
            </w:r>
          </w:p>
          <w:p w14:paraId="60ACC1BE">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 xml:space="preserve">4、测距范围：0.5~30m； </w:t>
            </w:r>
          </w:p>
          <w:p w14:paraId="00024492">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 xml:space="preserve">5、测距误差：±30mm； </w:t>
            </w:r>
          </w:p>
          <w:p w14:paraId="241436DC">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 xml:space="preserve">6、功耗：＜20W； </w:t>
            </w:r>
          </w:p>
          <w:p w14:paraId="78707409">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 xml:space="preserve">7、防护等级：≥IP67； </w:t>
            </w:r>
          </w:p>
          <w:p w14:paraId="5A2DD2E2">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8、激光等级：I 级人眼安全</w:t>
            </w:r>
          </w:p>
          <w:p w14:paraId="63B0A2AC">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9、支持中小型客车、大型客车、小型货车、中型货车、大型货 车、特大型货车、集装箱货车、拖拉机、摩托车等九类车型识别功能。机动车车型分类数据采集精度：相对误差不大于 10%。</w:t>
            </w:r>
          </w:p>
          <w:p w14:paraId="50AD95E4">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 xml:space="preserve">10、支持流量数据采集功能，采集精度：相对误差不大于 5%； </w:t>
            </w:r>
          </w:p>
          <w:p w14:paraId="732630F6">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 xml:space="preserve">11、支持地点车速采集功能，采集精度L相对误差不大于 8%； </w:t>
            </w:r>
          </w:p>
          <w:p w14:paraId="62EB3DE0">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12、工作温度：-55℃~80℃。</w:t>
            </w:r>
          </w:p>
          <w:p w14:paraId="363417DC">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(包含设备安装、调试、检验验收)</w:t>
            </w:r>
          </w:p>
        </w:tc>
        <w:tc>
          <w:tcPr>
            <w:tcW w:w="2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8848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台</w:t>
            </w:r>
          </w:p>
        </w:tc>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05DC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11</w:t>
            </w:r>
          </w:p>
        </w:tc>
      </w:tr>
    </w:tbl>
    <w:p w14:paraId="7DA3280C">
      <w:pPr>
        <w:keepNext w:val="0"/>
        <w:keepLines w:val="0"/>
        <w:pageBreakBefore w:val="0"/>
        <w:widowControl w:val="0"/>
        <w:kinsoku/>
        <w:wordWrap/>
        <w:overflowPunct/>
        <w:topLinePunct w:val="0"/>
        <w:autoSpaceDE w:val="0"/>
        <w:autoSpaceDN w:val="0"/>
        <w:bidi w:val="0"/>
        <w:adjustRightInd/>
        <w:snapToGrid/>
        <w:spacing w:before="0" w:line="360" w:lineRule="auto"/>
        <w:ind w:right="0"/>
        <w:textAlignment w:val="auto"/>
        <w:outlineLvl w:val="9"/>
        <w:rPr>
          <w:rFonts w:hint="eastAsia" w:ascii="宋体" w:hAnsi="宋体" w:eastAsia="宋体" w:cs="宋体"/>
          <w:b/>
          <w:bCs/>
          <w:spacing w:val="0"/>
          <w:w w:val="100"/>
          <w:kern w:val="21"/>
          <w:sz w:val="21"/>
          <w:szCs w:val="21"/>
        </w:rPr>
      </w:pPr>
    </w:p>
    <w:p w14:paraId="50838BCF">
      <w:pPr>
        <w:keepNext w:val="0"/>
        <w:keepLines w:val="0"/>
        <w:pageBreakBefore w:val="0"/>
        <w:widowControl w:val="0"/>
        <w:kinsoku/>
        <w:wordWrap/>
        <w:overflowPunct/>
        <w:topLinePunct w:val="0"/>
        <w:autoSpaceDE w:val="0"/>
        <w:autoSpaceDN w:val="0"/>
        <w:bidi w:val="0"/>
        <w:adjustRightInd/>
        <w:snapToGrid/>
        <w:spacing w:before="0" w:line="360" w:lineRule="auto"/>
        <w:ind w:right="0"/>
        <w:textAlignment w:val="auto"/>
        <w:outlineLvl w:val="9"/>
        <w:rPr>
          <w:rFonts w:hint="eastAsia" w:ascii="宋体" w:hAnsi="宋体" w:eastAsia="宋体" w:cs="宋体"/>
          <w:b/>
          <w:bCs/>
          <w:spacing w:val="0"/>
          <w:w w:val="100"/>
          <w:kern w:val="21"/>
          <w:sz w:val="21"/>
          <w:szCs w:val="21"/>
        </w:rPr>
      </w:pPr>
      <w:r>
        <w:rPr>
          <w:rFonts w:hint="eastAsia" w:ascii="宋体" w:hAnsi="宋体" w:eastAsia="宋体" w:cs="宋体"/>
          <w:b/>
          <w:bCs/>
          <w:spacing w:val="0"/>
          <w:w w:val="100"/>
          <w:kern w:val="21"/>
          <w:sz w:val="21"/>
          <w:szCs w:val="21"/>
        </w:rPr>
        <w:t>六、设备性能</w:t>
      </w:r>
    </w:p>
    <w:p w14:paraId="04D1A097">
      <w:pPr>
        <w:pStyle w:val="7"/>
        <w:keepNext w:val="0"/>
        <w:keepLines w:val="0"/>
        <w:pageBreakBefore w:val="0"/>
        <w:widowControl w:val="0"/>
        <w:numPr>
          <w:ilvl w:val="1"/>
          <w:numId w:val="0"/>
        </w:numPr>
        <w:tabs>
          <w:tab w:val="left" w:pos="888"/>
        </w:tabs>
        <w:kinsoku/>
        <w:wordWrap/>
        <w:overflowPunct/>
        <w:topLinePunct w:val="0"/>
        <w:autoSpaceDE w:val="0"/>
        <w:autoSpaceDN w:val="0"/>
        <w:bidi w:val="0"/>
        <w:adjustRightInd/>
        <w:snapToGrid/>
        <w:spacing w:before="0" w:after="0" w:line="360" w:lineRule="auto"/>
        <w:ind w:left="0" w:leftChars="0" w:right="0" w:rightChars="0" w:firstLine="422" w:firstLineChars="200"/>
        <w:jc w:val="left"/>
        <w:textAlignment w:val="auto"/>
        <w:outlineLvl w:val="9"/>
        <w:rPr>
          <w:rFonts w:hint="eastAsia" w:ascii="宋体" w:hAnsi="宋体" w:eastAsia="宋体" w:cs="宋体"/>
          <w:b/>
          <w:bCs/>
          <w:spacing w:val="0"/>
          <w:w w:val="100"/>
          <w:kern w:val="21"/>
          <w:sz w:val="21"/>
          <w:szCs w:val="21"/>
        </w:rPr>
      </w:pPr>
      <w:r>
        <w:rPr>
          <w:rFonts w:hint="eastAsia" w:ascii="宋体" w:hAnsi="宋体" w:eastAsia="宋体" w:cs="宋体"/>
          <w:b/>
          <w:bCs/>
          <w:i w:val="0"/>
          <w:iCs w:val="0"/>
          <w:spacing w:val="0"/>
          <w:w w:val="100"/>
          <w:kern w:val="21"/>
          <w:sz w:val="21"/>
          <w:szCs w:val="21"/>
          <w:lang w:val="en-US" w:eastAsia="zh-CN" w:bidi="ar-SA"/>
        </w:rPr>
        <w:t>6.1</w:t>
      </w:r>
      <w:r>
        <w:rPr>
          <w:rFonts w:hint="eastAsia" w:ascii="宋体" w:hAnsi="宋体" w:eastAsia="宋体" w:cs="宋体"/>
          <w:b/>
          <w:bCs/>
          <w:spacing w:val="0"/>
          <w:w w:val="100"/>
          <w:kern w:val="21"/>
          <w:sz w:val="21"/>
          <w:szCs w:val="21"/>
        </w:rPr>
        <w:t>外观质量</w:t>
      </w:r>
    </w:p>
    <w:p w14:paraId="3698153F">
      <w:pPr>
        <w:pStyle w:val="7"/>
        <w:keepNext w:val="0"/>
        <w:keepLines w:val="0"/>
        <w:pageBreakBefore w:val="0"/>
        <w:widowControl w:val="0"/>
        <w:numPr>
          <w:ilvl w:val="2"/>
          <w:numId w:val="0"/>
        </w:numPr>
        <w:tabs>
          <w:tab w:val="left" w:pos="1488"/>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i w:val="0"/>
          <w:iCs w:val="0"/>
          <w:spacing w:val="0"/>
          <w:w w:val="100"/>
          <w:kern w:val="21"/>
          <w:sz w:val="21"/>
          <w:szCs w:val="21"/>
          <w:lang w:val="en-US" w:eastAsia="zh-CN" w:bidi="ar-SA"/>
        </w:rPr>
        <w:t>6.1.1</w:t>
      </w:r>
      <w:r>
        <w:rPr>
          <w:rFonts w:hint="eastAsia" w:ascii="宋体" w:hAnsi="宋体" w:eastAsia="宋体" w:cs="宋体"/>
          <w:b w:val="0"/>
          <w:bCs w:val="0"/>
          <w:spacing w:val="0"/>
          <w:w w:val="100"/>
          <w:kern w:val="21"/>
          <w:sz w:val="21"/>
          <w:szCs w:val="21"/>
        </w:rPr>
        <w:t>设备应构建完整、装配牢固、结构稳定，边角过渡圆滑，无飞边、毛刺。</w:t>
      </w:r>
    </w:p>
    <w:p w14:paraId="74F442FD">
      <w:pPr>
        <w:pStyle w:val="7"/>
        <w:keepNext w:val="0"/>
        <w:keepLines w:val="0"/>
        <w:pageBreakBefore w:val="0"/>
        <w:widowControl w:val="0"/>
        <w:numPr>
          <w:ilvl w:val="2"/>
          <w:numId w:val="0"/>
        </w:numPr>
        <w:tabs>
          <w:tab w:val="left" w:pos="1488"/>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i w:val="0"/>
          <w:iCs w:val="0"/>
          <w:spacing w:val="0"/>
          <w:w w:val="100"/>
          <w:kern w:val="21"/>
          <w:sz w:val="21"/>
          <w:szCs w:val="21"/>
          <w:lang w:val="en-US" w:eastAsia="zh-CN" w:bidi="ar-SA"/>
        </w:rPr>
        <w:t>6.1.2</w:t>
      </w:r>
      <w:r>
        <w:rPr>
          <w:rFonts w:hint="eastAsia" w:ascii="宋体" w:hAnsi="宋体" w:eastAsia="宋体" w:cs="宋体"/>
          <w:b w:val="0"/>
          <w:bCs w:val="0"/>
          <w:spacing w:val="0"/>
          <w:w w:val="100"/>
          <w:kern w:val="21"/>
          <w:sz w:val="21"/>
          <w:szCs w:val="21"/>
        </w:rPr>
        <w:t>需要以一定角度安装传感器设备，其安装连接件应能调节角度。活动部件应灵活、无卡滞现象，机壳及安装连接件无明显变形、凹凸等缺陷。</w:t>
      </w:r>
    </w:p>
    <w:p w14:paraId="6D5A35A2">
      <w:pPr>
        <w:pStyle w:val="7"/>
        <w:keepNext w:val="0"/>
        <w:keepLines w:val="0"/>
        <w:pageBreakBefore w:val="0"/>
        <w:widowControl w:val="0"/>
        <w:numPr>
          <w:ilvl w:val="2"/>
          <w:numId w:val="0"/>
        </w:numPr>
        <w:tabs>
          <w:tab w:val="left" w:pos="1488"/>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i w:val="0"/>
          <w:iCs w:val="0"/>
          <w:spacing w:val="0"/>
          <w:w w:val="100"/>
          <w:kern w:val="21"/>
          <w:sz w:val="21"/>
          <w:szCs w:val="21"/>
          <w:lang w:val="en-US" w:eastAsia="zh-CN" w:bidi="ar-SA"/>
        </w:rPr>
        <w:t>6.1.3</w:t>
      </w:r>
      <w:r>
        <w:rPr>
          <w:rFonts w:hint="eastAsia" w:ascii="宋体" w:hAnsi="宋体" w:eastAsia="宋体" w:cs="宋体"/>
          <w:b w:val="0"/>
          <w:bCs w:val="0"/>
          <w:spacing w:val="0"/>
          <w:w w:val="100"/>
          <w:kern w:val="21"/>
          <w:sz w:val="21"/>
          <w:szCs w:val="21"/>
        </w:rPr>
        <w:t>机箱与连接件的防护层色泽应均匀，无划伤、裂痕、基体裸露等缺陷。</w:t>
      </w:r>
    </w:p>
    <w:p w14:paraId="76050C89">
      <w:pPr>
        <w:pStyle w:val="7"/>
        <w:keepNext w:val="0"/>
        <w:keepLines w:val="0"/>
        <w:pageBreakBefore w:val="0"/>
        <w:widowControl w:val="0"/>
        <w:numPr>
          <w:ilvl w:val="2"/>
          <w:numId w:val="0"/>
        </w:numPr>
        <w:tabs>
          <w:tab w:val="left" w:pos="1488"/>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i w:val="0"/>
          <w:iCs w:val="0"/>
          <w:spacing w:val="0"/>
          <w:w w:val="100"/>
          <w:kern w:val="21"/>
          <w:sz w:val="21"/>
          <w:szCs w:val="21"/>
          <w:lang w:val="en-US" w:eastAsia="zh-CN" w:bidi="ar-SA"/>
        </w:rPr>
        <w:t>6.1.4</w:t>
      </w:r>
      <w:r>
        <w:rPr>
          <w:rFonts w:hint="eastAsia" w:ascii="宋体" w:hAnsi="宋体" w:eastAsia="宋体" w:cs="宋体"/>
          <w:b w:val="0"/>
          <w:bCs w:val="0"/>
          <w:spacing w:val="0"/>
          <w:w w:val="100"/>
          <w:kern w:val="21"/>
          <w:sz w:val="21"/>
          <w:szCs w:val="21"/>
        </w:rPr>
        <w:t>箱体出线孔应开口合适、切口整齐、出线管与箱体连接密封良好；箱内应接线整齐，标识清楚；箱体应设置锁具，且采取防水、防腐措施。箱门开闭应灵活轻便，逼疯良好。</w:t>
      </w:r>
    </w:p>
    <w:p w14:paraId="27FADF78">
      <w:pPr>
        <w:keepNext w:val="0"/>
        <w:keepLines w:val="0"/>
        <w:pageBreakBefore w:val="0"/>
        <w:widowControl w:val="0"/>
        <w:numPr>
          <w:ilvl w:val="1"/>
          <w:numId w:val="0"/>
        </w:numPr>
        <w:tabs>
          <w:tab w:val="left" w:pos="888"/>
        </w:tabs>
        <w:kinsoku/>
        <w:wordWrap/>
        <w:overflowPunct/>
        <w:topLinePunct w:val="0"/>
        <w:autoSpaceDE w:val="0"/>
        <w:autoSpaceDN w:val="0"/>
        <w:bidi w:val="0"/>
        <w:adjustRightInd/>
        <w:snapToGrid/>
        <w:spacing w:before="0" w:after="0" w:line="360" w:lineRule="auto"/>
        <w:ind w:left="0" w:leftChars="0" w:right="0" w:rightChars="0" w:firstLine="422" w:firstLineChars="200"/>
        <w:jc w:val="left"/>
        <w:textAlignment w:val="auto"/>
        <w:outlineLvl w:val="9"/>
        <w:rPr>
          <w:rFonts w:hint="eastAsia" w:ascii="宋体" w:hAnsi="宋体" w:eastAsia="宋体" w:cs="宋体"/>
          <w:b/>
          <w:bCs/>
          <w:spacing w:val="0"/>
          <w:w w:val="100"/>
          <w:kern w:val="21"/>
          <w:sz w:val="21"/>
          <w:szCs w:val="21"/>
        </w:rPr>
      </w:pPr>
      <w:r>
        <w:rPr>
          <w:rFonts w:hint="eastAsia" w:ascii="宋体" w:hAnsi="宋体" w:eastAsia="宋体" w:cs="宋体"/>
          <w:b/>
          <w:bCs/>
          <w:i w:val="0"/>
          <w:iCs w:val="0"/>
          <w:spacing w:val="0"/>
          <w:w w:val="100"/>
          <w:kern w:val="21"/>
          <w:sz w:val="21"/>
          <w:szCs w:val="21"/>
          <w:lang w:val="en-US" w:eastAsia="zh-CN" w:bidi="ar-SA"/>
        </w:rPr>
        <w:t>6.2</w:t>
      </w:r>
      <w:r>
        <w:rPr>
          <w:rFonts w:hint="eastAsia" w:ascii="宋体" w:hAnsi="宋体" w:eastAsia="宋体" w:cs="宋体"/>
          <w:b/>
          <w:bCs/>
          <w:spacing w:val="0"/>
          <w:w w:val="100"/>
          <w:kern w:val="21"/>
          <w:sz w:val="21"/>
          <w:szCs w:val="21"/>
        </w:rPr>
        <w:t>环境适应性能</w:t>
      </w:r>
    </w:p>
    <w:p w14:paraId="05B2E36F">
      <w:pPr>
        <w:pStyle w:val="4"/>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0" w:firstLineChars="200"/>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设备各部件的耐低温工作性能、耐高温工作性能、耐湿热工作性能、耐低温存储性能、耐温度交变性能、耐机械振动性能、耐盐雾腐蚀性能、耐候性能应符合JT/T817的规定。</w:t>
      </w:r>
    </w:p>
    <w:p w14:paraId="5A532C9F">
      <w:pPr>
        <w:keepNext w:val="0"/>
        <w:keepLines w:val="0"/>
        <w:pageBreakBefore w:val="0"/>
        <w:widowControl w:val="0"/>
        <w:numPr>
          <w:ilvl w:val="1"/>
          <w:numId w:val="0"/>
        </w:numPr>
        <w:tabs>
          <w:tab w:val="left" w:pos="888"/>
        </w:tabs>
        <w:kinsoku/>
        <w:wordWrap/>
        <w:overflowPunct/>
        <w:topLinePunct w:val="0"/>
        <w:autoSpaceDE w:val="0"/>
        <w:autoSpaceDN w:val="0"/>
        <w:bidi w:val="0"/>
        <w:adjustRightInd/>
        <w:snapToGrid/>
        <w:spacing w:before="0" w:after="0" w:line="360" w:lineRule="auto"/>
        <w:ind w:left="0" w:leftChars="0" w:right="0" w:rightChars="0" w:firstLine="422" w:firstLineChars="200"/>
        <w:jc w:val="left"/>
        <w:textAlignment w:val="auto"/>
        <w:outlineLvl w:val="9"/>
        <w:rPr>
          <w:rFonts w:hint="eastAsia" w:ascii="宋体" w:hAnsi="宋体" w:eastAsia="宋体" w:cs="宋体"/>
          <w:b/>
          <w:bCs/>
          <w:spacing w:val="0"/>
          <w:w w:val="100"/>
          <w:kern w:val="21"/>
          <w:sz w:val="21"/>
          <w:szCs w:val="21"/>
        </w:rPr>
      </w:pPr>
      <w:r>
        <w:rPr>
          <w:rFonts w:hint="eastAsia" w:ascii="宋体" w:hAnsi="宋体" w:eastAsia="宋体" w:cs="宋体"/>
          <w:b/>
          <w:bCs/>
          <w:i w:val="0"/>
          <w:iCs w:val="0"/>
          <w:spacing w:val="0"/>
          <w:w w:val="100"/>
          <w:kern w:val="21"/>
          <w:sz w:val="21"/>
          <w:szCs w:val="21"/>
          <w:lang w:val="en-US" w:eastAsia="zh-CN" w:bidi="ar-SA"/>
        </w:rPr>
        <w:t>6.3</w:t>
      </w:r>
      <w:r>
        <w:rPr>
          <w:rFonts w:hint="eastAsia" w:ascii="宋体" w:hAnsi="宋体" w:eastAsia="宋体" w:cs="宋体"/>
          <w:b/>
          <w:bCs/>
          <w:spacing w:val="0"/>
          <w:w w:val="100"/>
          <w:kern w:val="21"/>
          <w:sz w:val="21"/>
          <w:szCs w:val="21"/>
        </w:rPr>
        <w:t>安全防护性能</w:t>
      </w:r>
    </w:p>
    <w:p w14:paraId="7AE8D2BD">
      <w:pPr>
        <w:pStyle w:val="7"/>
        <w:keepNext w:val="0"/>
        <w:keepLines w:val="0"/>
        <w:pageBreakBefore w:val="0"/>
        <w:widowControl w:val="0"/>
        <w:numPr>
          <w:ilvl w:val="2"/>
          <w:numId w:val="0"/>
        </w:numPr>
        <w:tabs>
          <w:tab w:val="left" w:pos="1488"/>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i w:val="0"/>
          <w:iCs w:val="0"/>
          <w:spacing w:val="0"/>
          <w:w w:val="100"/>
          <w:kern w:val="21"/>
          <w:sz w:val="21"/>
          <w:szCs w:val="21"/>
          <w:lang w:val="en-US" w:eastAsia="zh-CN" w:bidi="ar-SA"/>
        </w:rPr>
        <w:t>6.3.1</w:t>
      </w:r>
      <w:r>
        <w:rPr>
          <w:rFonts w:hint="eastAsia" w:ascii="宋体" w:hAnsi="宋体" w:eastAsia="宋体" w:cs="宋体"/>
          <w:b w:val="0"/>
          <w:bCs w:val="0"/>
          <w:spacing w:val="0"/>
          <w:w w:val="100"/>
          <w:kern w:val="21"/>
          <w:sz w:val="21"/>
          <w:szCs w:val="21"/>
        </w:rPr>
        <w:t>设备个部件的电气安全性能、电磁兼容性能应符合JT/T817的规定</w:t>
      </w:r>
    </w:p>
    <w:p w14:paraId="0C6C0D8B">
      <w:pPr>
        <w:pStyle w:val="7"/>
        <w:keepNext w:val="0"/>
        <w:keepLines w:val="0"/>
        <w:pageBreakBefore w:val="0"/>
        <w:widowControl w:val="0"/>
        <w:numPr>
          <w:ilvl w:val="2"/>
          <w:numId w:val="0"/>
        </w:numPr>
        <w:tabs>
          <w:tab w:val="left" w:pos="1488"/>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i w:val="0"/>
          <w:iCs w:val="0"/>
          <w:spacing w:val="0"/>
          <w:w w:val="100"/>
          <w:kern w:val="21"/>
          <w:sz w:val="21"/>
          <w:szCs w:val="21"/>
          <w:lang w:val="en-US" w:eastAsia="zh-CN" w:bidi="ar-SA"/>
        </w:rPr>
        <w:t>6.3.2</w:t>
      </w:r>
      <w:r>
        <w:rPr>
          <w:rFonts w:hint="eastAsia" w:ascii="宋体" w:hAnsi="宋体" w:eastAsia="宋体" w:cs="宋体"/>
          <w:b w:val="0"/>
          <w:bCs w:val="0"/>
          <w:spacing w:val="0"/>
          <w:w w:val="100"/>
          <w:kern w:val="21"/>
          <w:sz w:val="21"/>
          <w:szCs w:val="21"/>
        </w:rPr>
        <w:t>设备个部件的防护等级应符合JT/T817的规定。</w:t>
      </w:r>
    </w:p>
    <w:p w14:paraId="2E3C315C">
      <w:pPr>
        <w:keepNext w:val="0"/>
        <w:keepLines w:val="0"/>
        <w:pageBreakBefore w:val="0"/>
        <w:widowControl w:val="0"/>
        <w:kinsoku/>
        <w:wordWrap/>
        <w:overflowPunct/>
        <w:topLinePunct w:val="0"/>
        <w:autoSpaceDE w:val="0"/>
        <w:autoSpaceDN w:val="0"/>
        <w:bidi w:val="0"/>
        <w:adjustRightInd/>
        <w:snapToGrid/>
        <w:spacing w:before="0" w:line="360" w:lineRule="auto"/>
        <w:ind w:right="0"/>
        <w:textAlignment w:val="auto"/>
        <w:outlineLvl w:val="9"/>
        <w:rPr>
          <w:rFonts w:hint="eastAsia" w:ascii="宋体" w:hAnsi="宋体" w:eastAsia="宋体" w:cs="宋体"/>
          <w:b/>
          <w:bCs/>
          <w:spacing w:val="0"/>
          <w:w w:val="100"/>
          <w:kern w:val="21"/>
          <w:sz w:val="21"/>
          <w:szCs w:val="21"/>
        </w:rPr>
      </w:pPr>
      <w:r>
        <w:rPr>
          <w:rFonts w:hint="eastAsia" w:ascii="宋体" w:hAnsi="宋体" w:eastAsia="宋体" w:cs="宋体"/>
          <w:b/>
          <w:bCs/>
          <w:spacing w:val="0"/>
          <w:w w:val="100"/>
          <w:kern w:val="21"/>
          <w:sz w:val="21"/>
          <w:szCs w:val="21"/>
        </w:rPr>
        <w:t>七、防雷接地</w:t>
      </w:r>
    </w:p>
    <w:p w14:paraId="6E64C7F1">
      <w:pPr>
        <w:pStyle w:val="4"/>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0" w:firstLineChars="200"/>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严格执行国家的有关标准和规范，立杆防雷接地电阻≦10Ω，接地网布置依据地形进行设计。</w:t>
      </w:r>
    </w:p>
    <w:p w14:paraId="210EE48C">
      <w:pPr>
        <w:pStyle w:val="4"/>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0" w:firstLineChars="200"/>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接地施工时如站点附近有符合要求的良好接地体，需将站点设备接地点与其连接，增强接地效果。</w:t>
      </w:r>
    </w:p>
    <w:p w14:paraId="7F7C865A">
      <w:pPr>
        <w:pStyle w:val="4"/>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0" w:firstLineChars="200"/>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防雷器采用电源、信号防雷器，能防止系统设备被雷击或工业噪声等产生的感应过电压、过电流现象或其它瞬间浪涌电压对系统或设备造成的永久性损坏和瞬间中断等危害。</w:t>
      </w:r>
    </w:p>
    <w:p w14:paraId="676D71F9">
      <w:pPr>
        <w:pStyle w:val="4"/>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0" w:firstLineChars="200"/>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绝缘电阻、安全接地、防雷电性能和电源适应性等应符合现行《公路机电系统设备通用技术要求及检测方法》(JT/T817)的有关规定,电磁兼容应符合现行《电磁兼容、试验和测量技术》(GB/T17626)的有关规定。</w:t>
      </w:r>
    </w:p>
    <w:p w14:paraId="5A0E65D7">
      <w:pPr>
        <w:keepNext w:val="0"/>
        <w:keepLines w:val="0"/>
        <w:pageBreakBefore w:val="0"/>
        <w:widowControl w:val="0"/>
        <w:numPr>
          <w:ilvl w:val="1"/>
          <w:numId w:val="0"/>
        </w:numPr>
        <w:tabs>
          <w:tab w:val="left" w:pos="811"/>
        </w:tabs>
        <w:kinsoku/>
        <w:wordWrap/>
        <w:overflowPunct/>
        <w:topLinePunct w:val="0"/>
        <w:autoSpaceDE w:val="0"/>
        <w:autoSpaceDN w:val="0"/>
        <w:bidi w:val="0"/>
        <w:adjustRightInd/>
        <w:snapToGrid/>
        <w:spacing w:before="0" w:after="0" w:line="360" w:lineRule="auto"/>
        <w:ind w:left="0" w:leftChars="0" w:right="0" w:rightChars="0" w:firstLine="422" w:firstLineChars="200"/>
        <w:jc w:val="left"/>
        <w:textAlignment w:val="auto"/>
        <w:outlineLvl w:val="9"/>
        <w:rPr>
          <w:rFonts w:hint="eastAsia" w:ascii="宋体" w:hAnsi="宋体" w:eastAsia="宋体" w:cs="宋体"/>
          <w:b/>
          <w:bCs/>
          <w:spacing w:val="0"/>
          <w:w w:val="100"/>
          <w:kern w:val="21"/>
          <w:sz w:val="21"/>
          <w:szCs w:val="21"/>
          <w:highlight w:val="none"/>
        </w:rPr>
      </w:pPr>
      <w:r>
        <w:rPr>
          <w:rFonts w:hint="eastAsia" w:ascii="宋体" w:hAnsi="宋体" w:eastAsia="宋体" w:cs="宋体"/>
          <w:b/>
          <w:bCs/>
          <w:i w:val="0"/>
          <w:iCs w:val="0"/>
          <w:spacing w:val="0"/>
          <w:w w:val="100"/>
          <w:kern w:val="21"/>
          <w:sz w:val="21"/>
          <w:szCs w:val="21"/>
          <w:highlight w:val="none"/>
          <w:lang w:val="en-US" w:eastAsia="zh-CN" w:bidi="ar-SA"/>
        </w:rPr>
        <w:t>7.1</w:t>
      </w:r>
      <w:r>
        <w:rPr>
          <w:rFonts w:hint="eastAsia" w:ascii="宋体" w:hAnsi="宋体" w:eastAsia="宋体" w:cs="宋体"/>
          <w:b/>
          <w:bCs/>
          <w:spacing w:val="0"/>
          <w:w w:val="100"/>
          <w:kern w:val="21"/>
          <w:sz w:val="21"/>
          <w:szCs w:val="21"/>
          <w:highlight w:val="none"/>
        </w:rPr>
        <w:t>单相复合式电源防雷器</w:t>
      </w:r>
    </w:p>
    <w:p w14:paraId="3E0990A8">
      <w:pPr>
        <w:pStyle w:val="7"/>
        <w:keepNext w:val="0"/>
        <w:keepLines w:val="0"/>
        <w:pageBreakBefore w:val="0"/>
        <w:widowControl w:val="0"/>
        <w:numPr>
          <w:ilvl w:val="2"/>
          <w:numId w:val="0"/>
        </w:numPr>
        <w:tabs>
          <w:tab w:val="left" w:pos="1126"/>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highlight w:val="none"/>
        </w:rPr>
      </w:pPr>
      <w:r>
        <w:rPr>
          <w:rFonts w:hint="eastAsia" w:ascii="宋体" w:hAnsi="宋体" w:eastAsia="宋体" w:cs="宋体"/>
          <w:b w:val="0"/>
          <w:bCs w:val="0"/>
          <w:i w:val="0"/>
          <w:iCs w:val="0"/>
          <w:spacing w:val="0"/>
          <w:w w:val="100"/>
          <w:kern w:val="21"/>
          <w:sz w:val="21"/>
          <w:szCs w:val="21"/>
          <w:highlight w:val="none"/>
          <w:lang w:val="en-US" w:eastAsia="zh-CN" w:bidi="ar-SA"/>
        </w:rPr>
        <w:t>1）</w:t>
      </w:r>
      <w:r>
        <w:rPr>
          <w:rFonts w:hint="eastAsia" w:ascii="宋体" w:hAnsi="宋体" w:eastAsia="宋体" w:cs="宋体"/>
          <w:b w:val="0"/>
          <w:bCs w:val="0"/>
          <w:spacing w:val="0"/>
          <w:w w:val="100"/>
          <w:kern w:val="21"/>
          <w:sz w:val="21"/>
          <w:szCs w:val="21"/>
          <w:highlight w:val="none"/>
        </w:rPr>
        <w:t>每一只开关型防雷器可以抵御和吸收10/350微秒的直击雷电流35kA；每一只限压型防雷器可以抵御和吸收8/20微秒的最大放电电流40kA；</w:t>
      </w:r>
    </w:p>
    <w:p w14:paraId="43723FDF">
      <w:pPr>
        <w:pStyle w:val="7"/>
        <w:keepNext w:val="0"/>
        <w:keepLines w:val="0"/>
        <w:pageBreakBefore w:val="0"/>
        <w:widowControl w:val="0"/>
        <w:numPr>
          <w:ilvl w:val="2"/>
          <w:numId w:val="0"/>
        </w:numPr>
        <w:tabs>
          <w:tab w:val="left" w:pos="1126"/>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highlight w:val="none"/>
        </w:rPr>
      </w:pPr>
      <w:r>
        <w:rPr>
          <w:rFonts w:hint="eastAsia" w:ascii="宋体" w:hAnsi="宋体" w:eastAsia="宋体" w:cs="宋体"/>
          <w:b w:val="0"/>
          <w:bCs w:val="0"/>
          <w:i w:val="0"/>
          <w:iCs w:val="0"/>
          <w:spacing w:val="0"/>
          <w:w w:val="100"/>
          <w:kern w:val="21"/>
          <w:sz w:val="21"/>
          <w:szCs w:val="21"/>
          <w:highlight w:val="none"/>
          <w:lang w:val="en-US" w:eastAsia="zh-CN" w:bidi="ar-SA"/>
        </w:rPr>
        <w:t>2）</w:t>
      </w:r>
      <w:r>
        <w:rPr>
          <w:rFonts w:hint="eastAsia" w:ascii="宋体" w:hAnsi="宋体" w:eastAsia="宋体" w:cs="宋体"/>
          <w:b w:val="0"/>
          <w:bCs w:val="0"/>
          <w:spacing w:val="0"/>
          <w:w w:val="100"/>
          <w:kern w:val="21"/>
          <w:sz w:val="21"/>
          <w:szCs w:val="21"/>
          <w:highlight w:val="none"/>
        </w:rPr>
        <w:t>SPD防雷器可以抵御相线及中性线对地排70kA的直击雷（L-PE/35kA；N-PE/35kA）；</w:t>
      </w:r>
    </w:p>
    <w:p w14:paraId="72C3C900">
      <w:pPr>
        <w:pStyle w:val="7"/>
        <w:keepNext w:val="0"/>
        <w:keepLines w:val="0"/>
        <w:pageBreakBefore w:val="0"/>
        <w:widowControl w:val="0"/>
        <w:numPr>
          <w:ilvl w:val="2"/>
          <w:numId w:val="0"/>
        </w:numPr>
        <w:tabs>
          <w:tab w:val="left" w:pos="1126"/>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highlight w:val="none"/>
        </w:rPr>
      </w:pPr>
      <w:r>
        <w:rPr>
          <w:rFonts w:hint="eastAsia" w:ascii="宋体" w:hAnsi="宋体" w:eastAsia="宋体" w:cs="宋体"/>
          <w:b w:val="0"/>
          <w:bCs w:val="0"/>
          <w:i w:val="0"/>
          <w:iCs w:val="0"/>
          <w:spacing w:val="0"/>
          <w:w w:val="100"/>
          <w:kern w:val="21"/>
          <w:sz w:val="21"/>
          <w:szCs w:val="21"/>
          <w:highlight w:val="none"/>
          <w:lang w:val="en-US" w:eastAsia="zh-CN" w:bidi="ar-SA"/>
        </w:rPr>
        <w:t>3）</w:t>
      </w:r>
      <w:r>
        <w:rPr>
          <w:rFonts w:hint="eastAsia" w:ascii="宋体" w:hAnsi="宋体" w:eastAsia="宋体" w:cs="宋体"/>
          <w:b w:val="0"/>
          <w:bCs w:val="0"/>
          <w:spacing w:val="0"/>
          <w:w w:val="100"/>
          <w:kern w:val="21"/>
          <w:sz w:val="21"/>
          <w:szCs w:val="21"/>
          <w:highlight w:val="none"/>
        </w:rPr>
        <w:t>SPD为具有能量配合型的防雷器，电压保护水平≤1.5kV；</w:t>
      </w:r>
    </w:p>
    <w:p w14:paraId="64211CE3">
      <w:pPr>
        <w:pStyle w:val="7"/>
        <w:keepNext w:val="0"/>
        <w:keepLines w:val="0"/>
        <w:pageBreakBefore w:val="0"/>
        <w:widowControl w:val="0"/>
        <w:numPr>
          <w:ilvl w:val="2"/>
          <w:numId w:val="0"/>
        </w:numPr>
        <w:tabs>
          <w:tab w:val="left" w:pos="1126"/>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highlight w:val="none"/>
        </w:rPr>
      </w:pPr>
      <w:r>
        <w:rPr>
          <w:rFonts w:hint="eastAsia" w:ascii="宋体" w:hAnsi="宋体" w:eastAsia="宋体" w:cs="宋体"/>
          <w:b w:val="0"/>
          <w:bCs w:val="0"/>
          <w:i w:val="0"/>
          <w:iCs w:val="0"/>
          <w:spacing w:val="0"/>
          <w:w w:val="100"/>
          <w:kern w:val="21"/>
          <w:sz w:val="21"/>
          <w:szCs w:val="21"/>
          <w:highlight w:val="none"/>
          <w:lang w:val="en-US" w:eastAsia="zh-CN" w:bidi="ar-SA"/>
        </w:rPr>
        <w:t>4）</w:t>
      </w:r>
      <w:r>
        <w:rPr>
          <w:rFonts w:hint="eastAsia" w:ascii="宋体" w:hAnsi="宋体" w:eastAsia="宋体" w:cs="宋体"/>
          <w:b w:val="0"/>
          <w:bCs w:val="0"/>
          <w:spacing w:val="0"/>
          <w:w w:val="100"/>
          <w:kern w:val="21"/>
          <w:sz w:val="21"/>
          <w:szCs w:val="21"/>
          <w:highlight w:val="none"/>
        </w:rPr>
        <w:t>SPD具备失效指示窗口和遥信端口；</w:t>
      </w:r>
    </w:p>
    <w:p w14:paraId="7C83F811">
      <w:pPr>
        <w:pStyle w:val="7"/>
        <w:keepNext w:val="0"/>
        <w:keepLines w:val="0"/>
        <w:pageBreakBefore w:val="0"/>
        <w:widowControl w:val="0"/>
        <w:numPr>
          <w:ilvl w:val="2"/>
          <w:numId w:val="0"/>
        </w:numPr>
        <w:tabs>
          <w:tab w:val="left" w:pos="1126"/>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highlight w:val="none"/>
        </w:rPr>
      </w:pPr>
      <w:r>
        <w:rPr>
          <w:rFonts w:hint="eastAsia" w:ascii="宋体" w:hAnsi="宋体" w:eastAsia="宋体" w:cs="宋体"/>
          <w:b w:val="0"/>
          <w:bCs w:val="0"/>
          <w:i w:val="0"/>
          <w:iCs w:val="0"/>
          <w:spacing w:val="0"/>
          <w:w w:val="100"/>
          <w:kern w:val="21"/>
          <w:sz w:val="21"/>
          <w:szCs w:val="21"/>
          <w:highlight w:val="none"/>
          <w:lang w:val="en-US" w:eastAsia="zh-CN" w:bidi="ar-SA"/>
        </w:rPr>
        <w:t>5）</w:t>
      </w:r>
      <w:r>
        <w:rPr>
          <w:rFonts w:hint="eastAsia" w:ascii="宋体" w:hAnsi="宋体" w:eastAsia="宋体" w:cs="宋体"/>
          <w:b w:val="0"/>
          <w:bCs w:val="0"/>
          <w:spacing w:val="0"/>
          <w:w w:val="100"/>
          <w:kern w:val="21"/>
          <w:sz w:val="21"/>
          <w:szCs w:val="21"/>
          <w:highlight w:val="none"/>
        </w:rPr>
        <w:t>漏电流：≤20μA；</w:t>
      </w:r>
    </w:p>
    <w:p w14:paraId="1D558A2D">
      <w:pPr>
        <w:pStyle w:val="7"/>
        <w:keepNext w:val="0"/>
        <w:keepLines w:val="0"/>
        <w:pageBreakBefore w:val="0"/>
        <w:widowControl w:val="0"/>
        <w:numPr>
          <w:ilvl w:val="2"/>
          <w:numId w:val="0"/>
        </w:numPr>
        <w:tabs>
          <w:tab w:val="left" w:pos="1126"/>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highlight w:val="none"/>
        </w:rPr>
      </w:pPr>
      <w:r>
        <w:rPr>
          <w:rFonts w:hint="eastAsia" w:ascii="宋体" w:hAnsi="宋体" w:eastAsia="宋体" w:cs="宋体"/>
          <w:b w:val="0"/>
          <w:bCs w:val="0"/>
          <w:i w:val="0"/>
          <w:iCs w:val="0"/>
          <w:spacing w:val="0"/>
          <w:w w:val="100"/>
          <w:kern w:val="21"/>
          <w:sz w:val="21"/>
          <w:szCs w:val="21"/>
          <w:highlight w:val="none"/>
          <w:lang w:val="en-US" w:eastAsia="zh-CN" w:bidi="ar-SA"/>
        </w:rPr>
        <w:t>6）</w:t>
      </w:r>
      <w:r>
        <w:rPr>
          <w:rFonts w:hint="eastAsia" w:ascii="宋体" w:hAnsi="宋体" w:eastAsia="宋体" w:cs="宋体"/>
          <w:b w:val="0"/>
          <w:bCs w:val="0"/>
          <w:spacing w:val="0"/>
          <w:w w:val="100"/>
          <w:kern w:val="21"/>
          <w:sz w:val="21"/>
          <w:szCs w:val="21"/>
          <w:highlight w:val="none"/>
        </w:rPr>
        <w:t>相应时间：≤25ns；</w:t>
      </w:r>
    </w:p>
    <w:p w14:paraId="4FE94CC5">
      <w:pPr>
        <w:pStyle w:val="7"/>
        <w:keepNext w:val="0"/>
        <w:keepLines w:val="0"/>
        <w:pageBreakBefore w:val="0"/>
        <w:widowControl w:val="0"/>
        <w:numPr>
          <w:ilvl w:val="2"/>
          <w:numId w:val="0"/>
        </w:numPr>
        <w:tabs>
          <w:tab w:val="left" w:pos="1126"/>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highlight w:val="none"/>
        </w:rPr>
      </w:pPr>
      <w:r>
        <w:rPr>
          <w:rFonts w:hint="eastAsia" w:ascii="宋体" w:hAnsi="宋体" w:eastAsia="宋体" w:cs="宋体"/>
          <w:b w:val="0"/>
          <w:bCs w:val="0"/>
          <w:i w:val="0"/>
          <w:iCs w:val="0"/>
          <w:spacing w:val="0"/>
          <w:w w:val="100"/>
          <w:kern w:val="21"/>
          <w:sz w:val="21"/>
          <w:szCs w:val="21"/>
          <w:highlight w:val="none"/>
          <w:lang w:val="en-US" w:eastAsia="zh-CN" w:bidi="ar-SA"/>
        </w:rPr>
        <w:t>7）</w:t>
      </w:r>
      <w:r>
        <w:rPr>
          <w:rFonts w:hint="eastAsia" w:ascii="宋体" w:hAnsi="宋体" w:eastAsia="宋体" w:cs="宋体"/>
          <w:b w:val="0"/>
          <w:bCs w:val="0"/>
          <w:spacing w:val="0"/>
          <w:w w:val="100"/>
          <w:kern w:val="21"/>
          <w:sz w:val="21"/>
          <w:szCs w:val="21"/>
          <w:highlight w:val="none"/>
        </w:rPr>
        <w:t>稳定工作电压：220V；</w:t>
      </w:r>
    </w:p>
    <w:p w14:paraId="4A723453">
      <w:pPr>
        <w:pStyle w:val="7"/>
        <w:keepNext w:val="0"/>
        <w:keepLines w:val="0"/>
        <w:pageBreakBefore w:val="0"/>
        <w:widowControl w:val="0"/>
        <w:numPr>
          <w:ilvl w:val="2"/>
          <w:numId w:val="0"/>
        </w:numPr>
        <w:tabs>
          <w:tab w:val="left" w:pos="1126"/>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highlight w:val="none"/>
        </w:rPr>
      </w:pPr>
      <w:r>
        <w:rPr>
          <w:rFonts w:hint="eastAsia" w:ascii="宋体" w:hAnsi="宋体" w:eastAsia="宋体" w:cs="宋体"/>
          <w:b w:val="0"/>
          <w:bCs w:val="0"/>
          <w:i w:val="0"/>
          <w:iCs w:val="0"/>
          <w:spacing w:val="0"/>
          <w:w w:val="100"/>
          <w:kern w:val="21"/>
          <w:sz w:val="21"/>
          <w:szCs w:val="21"/>
          <w:highlight w:val="none"/>
          <w:lang w:val="en-US" w:eastAsia="zh-CN" w:bidi="ar-SA"/>
        </w:rPr>
        <w:t>8）</w:t>
      </w:r>
      <w:r>
        <w:rPr>
          <w:rFonts w:hint="eastAsia" w:ascii="宋体" w:hAnsi="宋体" w:eastAsia="宋体" w:cs="宋体"/>
          <w:b w:val="0"/>
          <w:bCs w:val="0"/>
          <w:spacing w:val="0"/>
          <w:w w:val="100"/>
          <w:kern w:val="21"/>
          <w:sz w:val="21"/>
          <w:szCs w:val="21"/>
          <w:highlight w:val="none"/>
        </w:rPr>
        <w:t>持续最大工作电流：385V；</w:t>
      </w:r>
    </w:p>
    <w:p w14:paraId="37DC3691">
      <w:pPr>
        <w:pStyle w:val="7"/>
        <w:keepNext w:val="0"/>
        <w:keepLines w:val="0"/>
        <w:pageBreakBefore w:val="0"/>
        <w:widowControl w:val="0"/>
        <w:numPr>
          <w:ilvl w:val="2"/>
          <w:numId w:val="0"/>
        </w:numPr>
        <w:tabs>
          <w:tab w:val="left" w:pos="1126"/>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highlight w:val="none"/>
        </w:rPr>
      </w:pPr>
      <w:r>
        <w:rPr>
          <w:rFonts w:hint="eastAsia" w:ascii="宋体" w:hAnsi="宋体" w:eastAsia="宋体" w:cs="宋体"/>
          <w:b w:val="0"/>
          <w:bCs w:val="0"/>
          <w:i w:val="0"/>
          <w:iCs w:val="0"/>
          <w:spacing w:val="0"/>
          <w:w w:val="100"/>
          <w:kern w:val="21"/>
          <w:sz w:val="21"/>
          <w:szCs w:val="21"/>
          <w:highlight w:val="none"/>
          <w:lang w:val="en-US" w:eastAsia="zh-CN" w:bidi="ar-SA"/>
        </w:rPr>
        <w:t>9）</w:t>
      </w:r>
      <w:r>
        <w:rPr>
          <w:rFonts w:hint="eastAsia" w:ascii="宋体" w:hAnsi="宋体" w:eastAsia="宋体" w:cs="宋体"/>
          <w:b w:val="0"/>
          <w:bCs w:val="0"/>
          <w:spacing w:val="0"/>
          <w:w w:val="100"/>
          <w:kern w:val="21"/>
          <w:sz w:val="21"/>
          <w:szCs w:val="21"/>
          <w:highlight w:val="none"/>
        </w:rPr>
        <w:t>工作温度：-40°～75°；</w:t>
      </w:r>
    </w:p>
    <w:p w14:paraId="5BF2CF8F">
      <w:pPr>
        <w:pStyle w:val="4"/>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0" w:firstLineChars="200"/>
        <w:textAlignment w:val="auto"/>
        <w:outlineLvl w:val="9"/>
        <w:rPr>
          <w:rFonts w:hint="eastAsia" w:ascii="宋体" w:hAnsi="宋体" w:eastAsia="宋体" w:cs="宋体"/>
          <w:b w:val="0"/>
          <w:bCs w:val="0"/>
          <w:spacing w:val="0"/>
          <w:w w:val="100"/>
          <w:kern w:val="21"/>
          <w:sz w:val="21"/>
          <w:szCs w:val="21"/>
          <w:highlight w:val="none"/>
        </w:rPr>
      </w:pPr>
      <w:r>
        <w:rPr>
          <w:rFonts w:hint="eastAsia" w:ascii="宋体" w:hAnsi="宋体" w:eastAsia="宋体" w:cs="宋体"/>
          <w:b w:val="0"/>
          <w:bCs w:val="0"/>
          <w:spacing w:val="0"/>
          <w:w w:val="100"/>
          <w:kern w:val="21"/>
          <w:sz w:val="21"/>
          <w:szCs w:val="21"/>
          <w:highlight w:val="none"/>
        </w:rPr>
        <w:t>10）工作湿度：0～90%（无凝露）</w:t>
      </w:r>
    </w:p>
    <w:p w14:paraId="16D165E7">
      <w:pPr>
        <w:keepNext w:val="0"/>
        <w:keepLines w:val="0"/>
        <w:pageBreakBefore w:val="0"/>
        <w:widowControl w:val="0"/>
        <w:numPr>
          <w:ilvl w:val="1"/>
          <w:numId w:val="0"/>
        </w:numPr>
        <w:tabs>
          <w:tab w:val="left" w:pos="888"/>
        </w:tabs>
        <w:kinsoku/>
        <w:wordWrap/>
        <w:overflowPunct/>
        <w:topLinePunct w:val="0"/>
        <w:autoSpaceDE w:val="0"/>
        <w:autoSpaceDN w:val="0"/>
        <w:bidi w:val="0"/>
        <w:adjustRightInd/>
        <w:snapToGrid/>
        <w:spacing w:before="0" w:after="0" w:line="360" w:lineRule="auto"/>
        <w:ind w:left="0" w:leftChars="0" w:right="0" w:rightChars="0" w:firstLine="422" w:firstLineChars="200"/>
        <w:jc w:val="left"/>
        <w:textAlignment w:val="auto"/>
        <w:outlineLvl w:val="9"/>
        <w:rPr>
          <w:rFonts w:hint="eastAsia" w:ascii="宋体" w:hAnsi="宋体" w:eastAsia="宋体" w:cs="宋体"/>
          <w:b/>
          <w:bCs/>
          <w:spacing w:val="0"/>
          <w:w w:val="100"/>
          <w:kern w:val="21"/>
          <w:sz w:val="21"/>
          <w:szCs w:val="21"/>
          <w:highlight w:val="none"/>
        </w:rPr>
      </w:pPr>
      <w:r>
        <w:rPr>
          <w:rFonts w:hint="eastAsia" w:ascii="宋体" w:hAnsi="宋体" w:eastAsia="宋体" w:cs="宋体"/>
          <w:b/>
          <w:bCs/>
          <w:i w:val="0"/>
          <w:iCs w:val="0"/>
          <w:spacing w:val="0"/>
          <w:w w:val="100"/>
          <w:kern w:val="21"/>
          <w:sz w:val="21"/>
          <w:szCs w:val="21"/>
          <w:highlight w:val="none"/>
          <w:lang w:val="en-US" w:eastAsia="zh-CN" w:bidi="ar-SA"/>
        </w:rPr>
        <w:t>7.2</w:t>
      </w:r>
      <w:r>
        <w:rPr>
          <w:rFonts w:hint="eastAsia" w:ascii="宋体" w:hAnsi="宋体" w:eastAsia="宋体" w:cs="宋体"/>
          <w:b/>
          <w:bCs/>
          <w:spacing w:val="0"/>
          <w:w w:val="100"/>
          <w:kern w:val="21"/>
          <w:sz w:val="21"/>
          <w:szCs w:val="21"/>
          <w:highlight w:val="none"/>
        </w:rPr>
        <w:t>网络信号防雷器</w:t>
      </w:r>
    </w:p>
    <w:p w14:paraId="14ABF473">
      <w:pPr>
        <w:pStyle w:val="7"/>
        <w:keepNext w:val="0"/>
        <w:keepLines w:val="0"/>
        <w:pageBreakBefore w:val="0"/>
        <w:widowControl w:val="0"/>
        <w:numPr>
          <w:ilvl w:val="2"/>
          <w:numId w:val="0"/>
        </w:numPr>
        <w:tabs>
          <w:tab w:val="left" w:pos="1126"/>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highlight w:val="none"/>
          <w:lang w:eastAsia="zh-CN"/>
        </w:rPr>
      </w:pPr>
      <w:r>
        <w:rPr>
          <w:rFonts w:hint="eastAsia" w:ascii="宋体" w:hAnsi="宋体" w:eastAsia="宋体" w:cs="宋体"/>
          <w:b w:val="0"/>
          <w:bCs w:val="0"/>
          <w:i w:val="0"/>
          <w:iCs w:val="0"/>
          <w:spacing w:val="0"/>
          <w:w w:val="100"/>
          <w:kern w:val="21"/>
          <w:sz w:val="21"/>
          <w:szCs w:val="21"/>
          <w:highlight w:val="none"/>
          <w:lang w:val="en-US" w:eastAsia="zh-CN" w:bidi="ar-SA"/>
        </w:rPr>
        <w:t>1）</w:t>
      </w:r>
      <w:r>
        <w:rPr>
          <w:rFonts w:hint="eastAsia" w:ascii="宋体" w:hAnsi="宋体" w:eastAsia="宋体" w:cs="宋体"/>
          <w:b w:val="0"/>
          <w:bCs w:val="0"/>
          <w:spacing w:val="0"/>
          <w:w w:val="100"/>
          <w:kern w:val="21"/>
          <w:sz w:val="21"/>
          <w:szCs w:val="21"/>
          <w:highlight w:val="none"/>
        </w:rPr>
        <w:t>额定工作电压Un：5V</w:t>
      </w:r>
      <w:r>
        <w:rPr>
          <w:rFonts w:hint="eastAsia" w:cs="宋体"/>
          <w:b w:val="0"/>
          <w:bCs w:val="0"/>
          <w:spacing w:val="0"/>
          <w:w w:val="100"/>
          <w:kern w:val="21"/>
          <w:sz w:val="21"/>
          <w:szCs w:val="21"/>
          <w:highlight w:val="none"/>
          <w:lang w:eastAsia="zh-CN"/>
        </w:rPr>
        <w:t>；</w:t>
      </w:r>
    </w:p>
    <w:p w14:paraId="7CCA6A43">
      <w:pPr>
        <w:pStyle w:val="7"/>
        <w:keepNext w:val="0"/>
        <w:keepLines w:val="0"/>
        <w:pageBreakBefore w:val="0"/>
        <w:widowControl w:val="0"/>
        <w:numPr>
          <w:ilvl w:val="2"/>
          <w:numId w:val="0"/>
        </w:numPr>
        <w:tabs>
          <w:tab w:val="left" w:pos="1126"/>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highlight w:val="none"/>
          <w:lang w:eastAsia="zh-CN"/>
        </w:rPr>
      </w:pPr>
      <w:r>
        <w:rPr>
          <w:rFonts w:hint="eastAsia" w:ascii="宋体" w:hAnsi="宋体" w:eastAsia="宋体" w:cs="宋体"/>
          <w:b w:val="0"/>
          <w:bCs w:val="0"/>
          <w:i w:val="0"/>
          <w:iCs w:val="0"/>
          <w:spacing w:val="0"/>
          <w:w w:val="100"/>
          <w:kern w:val="21"/>
          <w:sz w:val="21"/>
          <w:szCs w:val="21"/>
          <w:highlight w:val="none"/>
          <w:lang w:val="en-US" w:eastAsia="zh-CN" w:bidi="ar-SA"/>
        </w:rPr>
        <w:t>2）</w:t>
      </w:r>
      <w:r>
        <w:rPr>
          <w:rFonts w:hint="eastAsia" w:ascii="宋体" w:hAnsi="宋体" w:eastAsia="宋体" w:cs="宋体"/>
          <w:b w:val="0"/>
          <w:bCs w:val="0"/>
          <w:spacing w:val="0"/>
          <w:w w:val="100"/>
          <w:kern w:val="21"/>
          <w:sz w:val="21"/>
          <w:szCs w:val="21"/>
          <w:highlight w:val="none"/>
        </w:rPr>
        <w:t>最大持续运行电压：8V</w:t>
      </w:r>
      <w:r>
        <w:rPr>
          <w:rFonts w:hint="eastAsia" w:cs="宋体"/>
          <w:b w:val="0"/>
          <w:bCs w:val="0"/>
          <w:spacing w:val="0"/>
          <w:w w:val="100"/>
          <w:kern w:val="21"/>
          <w:sz w:val="21"/>
          <w:szCs w:val="21"/>
          <w:highlight w:val="none"/>
          <w:lang w:eastAsia="zh-CN"/>
        </w:rPr>
        <w:t>；</w:t>
      </w:r>
    </w:p>
    <w:p w14:paraId="35E61216">
      <w:pPr>
        <w:pStyle w:val="7"/>
        <w:keepNext w:val="0"/>
        <w:keepLines w:val="0"/>
        <w:pageBreakBefore w:val="0"/>
        <w:widowControl w:val="0"/>
        <w:numPr>
          <w:ilvl w:val="2"/>
          <w:numId w:val="0"/>
        </w:numPr>
        <w:tabs>
          <w:tab w:val="left" w:pos="1126"/>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highlight w:val="none"/>
          <w:lang w:eastAsia="zh-CN"/>
        </w:rPr>
      </w:pPr>
      <w:r>
        <w:rPr>
          <w:rFonts w:hint="eastAsia" w:ascii="宋体" w:hAnsi="宋体" w:eastAsia="宋体" w:cs="宋体"/>
          <w:b w:val="0"/>
          <w:bCs w:val="0"/>
          <w:i w:val="0"/>
          <w:iCs w:val="0"/>
          <w:spacing w:val="0"/>
          <w:w w:val="100"/>
          <w:kern w:val="21"/>
          <w:sz w:val="21"/>
          <w:szCs w:val="21"/>
          <w:highlight w:val="none"/>
          <w:lang w:val="en-US" w:eastAsia="zh-CN" w:bidi="ar-SA"/>
        </w:rPr>
        <w:t>3）</w:t>
      </w:r>
      <w:r>
        <w:rPr>
          <w:rFonts w:hint="eastAsia" w:ascii="宋体" w:hAnsi="宋体" w:eastAsia="宋体" w:cs="宋体"/>
          <w:b w:val="0"/>
          <w:bCs w:val="0"/>
          <w:spacing w:val="0"/>
          <w:w w:val="100"/>
          <w:kern w:val="21"/>
          <w:sz w:val="21"/>
          <w:szCs w:val="21"/>
          <w:highlight w:val="none"/>
        </w:rPr>
        <w:t>标称放电电流In（8/20μs）：2.5kA</w:t>
      </w:r>
      <w:r>
        <w:rPr>
          <w:rFonts w:hint="eastAsia" w:cs="宋体"/>
          <w:b w:val="0"/>
          <w:bCs w:val="0"/>
          <w:spacing w:val="0"/>
          <w:w w:val="100"/>
          <w:kern w:val="21"/>
          <w:sz w:val="21"/>
          <w:szCs w:val="21"/>
          <w:highlight w:val="none"/>
          <w:lang w:eastAsia="zh-CN"/>
        </w:rPr>
        <w:t>；</w:t>
      </w:r>
    </w:p>
    <w:p w14:paraId="2D134FCF">
      <w:pPr>
        <w:pStyle w:val="7"/>
        <w:keepNext w:val="0"/>
        <w:keepLines w:val="0"/>
        <w:pageBreakBefore w:val="0"/>
        <w:widowControl w:val="0"/>
        <w:numPr>
          <w:ilvl w:val="2"/>
          <w:numId w:val="0"/>
        </w:numPr>
        <w:tabs>
          <w:tab w:val="left" w:pos="1126"/>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highlight w:val="none"/>
          <w:lang w:eastAsia="zh-CN"/>
        </w:rPr>
      </w:pPr>
      <w:r>
        <w:rPr>
          <w:rFonts w:hint="eastAsia" w:ascii="宋体" w:hAnsi="宋体" w:eastAsia="宋体" w:cs="宋体"/>
          <w:b w:val="0"/>
          <w:bCs w:val="0"/>
          <w:i w:val="0"/>
          <w:iCs w:val="0"/>
          <w:spacing w:val="0"/>
          <w:w w:val="100"/>
          <w:kern w:val="21"/>
          <w:sz w:val="21"/>
          <w:szCs w:val="21"/>
          <w:highlight w:val="none"/>
          <w:lang w:val="en-US" w:eastAsia="zh-CN" w:bidi="ar-SA"/>
        </w:rPr>
        <w:t>4）</w:t>
      </w:r>
      <w:r>
        <w:rPr>
          <w:rFonts w:hint="eastAsia" w:ascii="宋体" w:hAnsi="宋体" w:eastAsia="宋体" w:cs="宋体"/>
          <w:b w:val="0"/>
          <w:bCs w:val="0"/>
          <w:spacing w:val="0"/>
          <w:w w:val="100"/>
          <w:kern w:val="21"/>
          <w:sz w:val="21"/>
          <w:szCs w:val="21"/>
          <w:highlight w:val="none"/>
        </w:rPr>
        <w:t>最大放电电流Imax（8/20μs）：5kA</w:t>
      </w:r>
      <w:r>
        <w:rPr>
          <w:rFonts w:hint="eastAsia" w:cs="宋体"/>
          <w:b w:val="0"/>
          <w:bCs w:val="0"/>
          <w:spacing w:val="0"/>
          <w:w w:val="100"/>
          <w:kern w:val="21"/>
          <w:sz w:val="21"/>
          <w:szCs w:val="21"/>
          <w:highlight w:val="none"/>
          <w:lang w:eastAsia="zh-CN"/>
        </w:rPr>
        <w:t>；</w:t>
      </w:r>
    </w:p>
    <w:p w14:paraId="629A639F">
      <w:pPr>
        <w:pStyle w:val="4"/>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0" w:firstLineChars="200"/>
        <w:textAlignment w:val="auto"/>
        <w:outlineLvl w:val="9"/>
        <w:rPr>
          <w:rFonts w:hint="eastAsia" w:ascii="宋体" w:hAnsi="宋体" w:eastAsia="宋体" w:cs="宋体"/>
          <w:b w:val="0"/>
          <w:bCs w:val="0"/>
          <w:spacing w:val="0"/>
          <w:w w:val="100"/>
          <w:kern w:val="21"/>
          <w:sz w:val="21"/>
          <w:szCs w:val="21"/>
          <w:highlight w:val="none"/>
        </w:rPr>
      </w:pPr>
      <w:r>
        <w:rPr>
          <w:rFonts w:hint="eastAsia" w:ascii="宋体" w:hAnsi="宋体" w:eastAsia="宋体" w:cs="宋体"/>
          <w:b w:val="0"/>
          <w:bCs w:val="0"/>
          <w:spacing w:val="0"/>
          <w:w w:val="100"/>
          <w:kern w:val="21"/>
          <w:sz w:val="21"/>
          <w:szCs w:val="21"/>
          <w:highlight w:val="none"/>
        </w:rPr>
        <w:t>5)相应时间：＜5ns；</w:t>
      </w:r>
    </w:p>
    <w:p w14:paraId="2FDFD644">
      <w:pPr>
        <w:pStyle w:val="7"/>
        <w:keepNext w:val="0"/>
        <w:keepLines w:val="0"/>
        <w:pageBreakBefore w:val="0"/>
        <w:widowControl w:val="0"/>
        <w:numPr>
          <w:ilvl w:val="0"/>
          <w:numId w:val="0"/>
        </w:numPr>
        <w:tabs>
          <w:tab w:val="left" w:pos="1126"/>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highlight w:val="none"/>
        </w:rPr>
      </w:pPr>
      <w:r>
        <w:rPr>
          <w:rFonts w:hint="eastAsia" w:ascii="宋体" w:hAnsi="宋体" w:eastAsia="宋体" w:cs="宋体"/>
          <w:b w:val="0"/>
          <w:bCs w:val="0"/>
          <w:i w:val="0"/>
          <w:iCs w:val="0"/>
          <w:spacing w:val="0"/>
          <w:w w:val="100"/>
          <w:kern w:val="21"/>
          <w:sz w:val="21"/>
          <w:szCs w:val="21"/>
          <w:highlight w:val="none"/>
          <w:lang w:val="en-US" w:eastAsia="zh-CN" w:bidi="ar-SA"/>
        </w:rPr>
        <w:t>6）</w:t>
      </w:r>
      <w:r>
        <w:rPr>
          <w:rFonts w:hint="eastAsia" w:ascii="宋体" w:hAnsi="宋体" w:eastAsia="宋体" w:cs="宋体"/>
          <w:b w:val="0"/>
          <w:bCs w:val="0"/>
          <w:spacing w:val="0"/>
          <w:w w:val="100"/>
          <w:kern w:val="21"/>
          <w:sz w:val="21"/>
          <w:szCs w:val="21"/>
          <w:highlight w:val="none"/>
        </w:rPr>
        <w:t>接口型式：RJ45</w:t>
      </w:r>
    </w:p>
    <w:p w14:paraId="4EC32AAD">
      <w:pPr>
        <w:pStyle w:val="7"/>
        <w:keepNext w:val="0"/>
        <w:keepLines w:val="0"/>
        <w:pageBreakBefore w:val="0"/>
        <w:widowControl w:val="0"/>
        <w:numPr>
          <w:ilvl w:val="0"/>
          <w:numId w:val="0"/>
        </w:numPr>
        <w:tabs>
          <w:tab w:val="left" w:pos="1126"/>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highlight w:val="none"/>
        </w:rPr>
      </w:pPr>
      <w:r>
        <w:rPr>
          <w:rFonts w:hint="eastAsia" w:ascii="宋体" w:hAnsi="宋体" w:eastAsia="宋体" w:cs="宋体"/>
          <w:b w:val="0"/>
          <w:bCs w:val="0"/>
          <w:i w:val="0"/>
          <w:iCs w:val="0"/>
          <w:spacing w:val="0"/>
          <w:w w:val="100"/>
          <w:kern w:val="21"/>
          <w:sz w:val="21"/>
          <w:szCs w:val="21"/>
          <w:highlight w:val="none"/>
          <w:lang w:val="en-US" w:eastAsia="zh-CN" w:bidi="ar-SA"/>
        </w:rPr>
        <w:t>7）</w:t>
      </w:r>
      <w:r>
        <w:rPr>
          <w:rFonts w:hint="eastAsia" w:ascii="宋体" w:hAnsi="宋体" w:eastAsia="宋体" w:cs="宋体"/>
          <w:b w:val="0"/>
          <w:bCs w:val="0"/>
          <w:spacing w:val="0"/>
          <w:w w:val="100"/>
          <w:kern w:val="21"/>
          <w:sz w:val="21"/>
          <w:szCs w:val="21"/>
          <w:highlight w:val="none"/>
        </w:rPr>
        <w:t>工作温度：-40°～75°；</w:t>
      </w:r>
    </w:p>
    <w:p w14:paraId="16992A00">
      <w:pPr>
        <w:pStyle w:val="7"/>
        <w:keepNext w:val="0"/>
        <w:keepLines w:val="0"/>
        <w:pageBreakBefore w:val="0"/>
        <w:widowControl w:val="0"/>
        <w:numPr>
          <w:ilvl w:val="0"/>
          <w:numId w:val="0"/>
        </w:numPr>
        <w:tabs>
          <w:tab w:val="left" w:pos="1126"/>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highlight w:val="none"/>
        </w:rPr>
      </w:pPr>
      <w:r>
        <w:rPr>
          <w:rFonts w:hint="eastAsia" w:ascii="宋体" w:hAnsi="宋体" w:eastAsia="宋体" w:cs="宋体"/>
          <w:b w:val="0"/>
          <w:bCs w:val="0"/>
          <w:i w:val="0"/>
          <w:iCs w:val="0"/>
          <w:spacing w:val="0"/>
          <w:w w:val="100"/>
          <w:kern w:val="21"/>
          <w:sz w:val="21"/>
          <w:szCs w:val="21"/>
          <w:highlight w:val="none"/>
          <w:lang w:val="en-US" w:eastAsia="zh-CN" w:bidi="ar-SA"/>
        </w:rPr>
        <w:t>8）</w:t>
      </w:r>
      <w:r>
        <w:rPr>
          <w:rFonts w:hint="eastAsia" w:ascii="宋体" w:hAnsi="宋体" w:eastAsia="宋体" w:cs="宋体"/>
          <w:b w:val="0"/>
          <w:bCs w:val="0"/>
          <w:spacing w:val="0"/>
          <w:w w:val="100"/>
          <w:kern w:val="21"/>
          <w:sz w:val="21"/>
          <w:szCs w:val="21"/>
          <w:highlight w:val="none"/>
        </w:rPr>
        <w:t>工作湿度：0～90%（无凝露）</w:t>
      </w:r>
    </w:p>
    <w:p w14:paraId="1CB2C7E9">
      <w:pPr>
        <w:keepNext w:val="0"/>
        <w:keepLines w:val="0"/>
        <w:pageBreakBefore w:val="0"/>
        <w:widowControl w:val="0"/>
        <w:kinsoku/>
        <w:wordWrap/>
        <w:overflowPunct/>
        <w:topLinePunct w:val="0"/>
        <w:autoSpaceDE w:val="0"/>
        <w:autoSpaceDN w:val="0"/>
        <w:bidi w:val="0"/>
        <w:adjustRightInd/>
        <w:snapToGrid/>
        <w:spacing w:before="0" w:line="360" w:lineRule="auto"/>
        <w:ind w:right="0"/>
        <w:textAlignment w:val="auto"/>
        <w:outlineLvl w:val="9"/>
        <w:rPr>
          <w:rFonts w:hint="eastAsia" w:ascii="宋体" w:hAnsi="宋体" w:eastAsia="宋体" w:cs="宋体"/>
          <w:b/>
          <w:bCs/>
          <w:spacing w:val="0"/>
          <w:w w:val="100"/>
          <w:kern w:val="21"/>
          <w:sz w:val="21"/>
          <w:szCs w:val="21"/>
        </w:rPr>
      </w:pPr>
      <w:r>
        <w:rPr>
          <w:rFonts w:hint="eastAsia" w:ascii="宋体" w:hAnsi="宋体" w:eastAsia="宋体" w:cs="宋体"/>
          <w:b/>
          <w:bCs/>
          <w:spacing w:val="0"/>
          <w:w w:val="100"/>
          <w:kern w:val="21"/>
          <w:sz w:val="21"/>
          <w:szCs w:val="21"/>
        </w:rPr>
        <w:t>八、设备选型与检验</w:t>
      </w:r>
    </w:p>
    <w:p w14:paraId="2265143F">
      <w:pPr>
        <w:pStyle w:val="4"/>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0" w:firstLineChars="200"/>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设备选型需选取主流的产品，本着实用性、可靠性及经济性，选取技术成熟且具有一定先进性，在多功能交调站工程中广泛应用的产品，并易于维护及升级。</w:t>
      </w:r>
    </w:p>
    <w:p w14:paraId="1C90E421">
      <w:pPr>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0" w:firstLineChars="200"/>
        <w:jc w:val="left"/>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选取的交调设备</w:t>
      </w:r>
      <w:r>
        <w:rPr>
          <w:rFonts w:hint="eastAsia" w:ascii="宋体" w:hAnsi="宋体" w:eastAsia="宋体" w:cs="宋体"/>
          <w:b/>
          <w:bCs/>
          <w:spacing w:val="0"/>
          <w:w w:val="100"/>
          <w:kern w:val="21"/>
          <w:sz w:val="21"/>
          <w:szCs w:val="21"/>
        </w:rPr>
        <w:t>必须具有国家认证的相应资质检测机构出具的检测报告</w:t>
      </w:r>
      <w:r>
        <w:rPr>
          <w:rFonts w:hint="eastAsia" w:ascii="宋体" w:hAnsi="宋体" w:eastAsia="宋体" w:cs="宋体"/>
          <w:b w:val="0"/>
          <w:bCs w:val="0"/>
          <w:spacing w:val="0"/>
          <w:w w:val="100"/>
          <w:kern w:val="21"/>
          <w:sz w:val="21"/>
          <w:szCs w:val="21"/>
        </w:rPr>
        <w:t>，设备的各项检测项目，必须满足《公路交通情况调查设备第1部分：技术条件》（JT/T1008.1-2015）、《公路交通情况调查设备第2部分：通信协议》（JT/T1008.1-2015）、《普通国省道多功能交通调查站技术指南》等规范标准的要求。</w:t>
      </w:r>
    </w:p>
    <w:p w14:paraId="655D5F0A">
      <w:pPr>
        <w:pStyle w:val="4"/>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0" w:firstLineChars="200"/>
        <w:jc w:val="both"/>
        <w:textAlignment w:val="auto"/>
        <w:outlineLvl w:val="9"/>
        <w:rPr>
          <w:rFonts w:hint="eastAsia" w:ascii="宋体" w:hAnsi="宋体" w:eastAsia="宋体" w:cs="宋体"/>
          <w:b w:val="0"/>
          <w:bCs w:val="0"/>
          <w:spacing w:val="0"/>
          <w:w w:val="100"/>
          <w:kern w:val="21"/>
          <w:sz w:val="21"/>
          <w:szCs w:val="21"/>
          <w:highlight w:val="none"/>
        </w:rPr>
      </w:pPr>
      <w:r>
        <w:rPr>
          <w:rFonts w:hint="eastAsia" w:ascii="宋体" w:hAnsi="宋体" w:eastAsia="宋体" w:cs="宋体"/>
          <w:b w:val="0"/>
          <w:bCs w:val="0"/>
          <w:spacing w:val="0"/>
          <w:w w:val="100"/>
          <w:kern w:val="21"/>
          <w:sz w:val="21"/>
          <w:szCs w:val="21"/>
        </w:rPr>
        <w:t>选取设备的外观质量、电气安全性能（绝缘强度、电气强度、安全接地、电源适应性）；环境适应性</w:t>
      </w:r>
      <w:r>
        <w:rPr>
          <w:rFonts w:hint="eastAsia" w:ascii="宋体" w:hAnsi="宋体" w:eastAsia="宋体" w:cs="宋体"/>
          <w:b w:val="0"/>
          <w:bCs w:val="0"/>
          <w:spacing w:val="0"/>
          <w:w w:val="100"/>
          <w:kern w:val="21"/>
          <w:sz w:val="21"/>
          <w:szCs w:val="21"/>
          <w:highlight w:val="none"/>
        </w:rPr>
        <w:t>（耐低温、耐高温、耐湿热性、温度变化、机械振动、盐雾腐蚀、耐候性能）；电磁兼容性（静电放电抗扰度、电快速瞬变脉冲群抗扰度、辐射电磁场抗扰度）；来电恢复；可靠性等需满足《公路机电系统设备通用技术要求》JT/T817-2011的各项要求。</w:t>
      </w:r>
    </w:p>
    <w:p w14:paraId="25FA4582">
      <w:pPr>
        <w:pStyle w:val="4"/>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0" w:firstLineChars="200"/>
        <w:jc w:val="both"/>
        <w:textAlignment w:val="auto"/>
        <w:outlineLvl w:val="9"/>
        <w:rPr>
          <w:rFonts w:hint="eastAsia" w:ascii="宋体" w:hAnsi="宋体" w:eastAsia="宋体" w:cs="宋体"/>
          <w:i w:val="0"/>
          <w:color w:val="000000"/>
          <w:kern w:val="0"/>
          <w:sz w:val="21"/>
          <w:szCs w:val="21"/>
          <w:highlight w:val="none"/>
          <w:u w:val="none"/>
          <w:lang w:val="en-US" w:eastAsia="zh-CN" w:bidi="ar"/>
        </w:rPr>
      </w:pPr>
      <w:r>
        <w:rPr>
          <w:rFonts w:hint="eastAsia" w:ascii="宋体" w:hAnsi="宋体" w:eastAsia="宋体" w:cs="宋体"/>
          <w:i w:val="0"/>
          <w:color w:val="000000"/>
          <w:kern w:val="0"/>
          <w:sz w:val="21"/>
          <w:szCs w:val="21"/>
          <w:highlight w:val="none"/>
          <w:u w:val="none"/>
          <w:lang w:val="en-US" w:eastAsia="zh-CN" w:bidi="ar"/>
        </w:rPr>
        <w:t>抓拍单元制造商获评国家级科学技术类奖励证书（提供证书复印件）。</w:t>
      </w:r>
    </w:p>
    <w:p w14:paraId="1AE8CD94">
      <w:pPr>
        <w:pStyle w:val="4"/>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0" w:firstLineChars="200"/>
        <w:jc w:val="both"/>
        <w:textAlignment w:val="auto"/>
        <w:outlineLvl w:val="9"/>
        <w:rPr>
          <w:rFonts w:hint="eastAsia" w:ascii="宋体" w:hAnsi="宋体" w:eastAsia="宋体" w:cs="宋体"/>
          <w:i w:val="0"/>
          <w:color w:val="000000"/>
          <w:kern w:val="0"/>
          <w:sz w:val="21"/>
          <w:szCs w:val="21"/>
          <w:highlight w:val="none"/>
          <w:u w:val="none"/>
          <w:lang w:val="en-US" w:eastAsia="zh-CN" w:bidi="ar"/>
        </w:rPr>
      </w:pPr>
      <w:r>
        <w:rPr>
          <w:rFonts w:hint="eastAsia" w:ascii="宋体" w:hAnsi="宋体" w:eastAsia="宋体" w:cs="宋体"/>
          <w:i w:val="0"/>
          <w:color w:val="000000"/>
          <w:kern w:val="0"/>
          <w:sz w:val="21"/>
          <w:szCs w:val="21"/>
          <w:highlight w:val="none"/>
          <w:u w:val="none"/>
          <w:lang w:val="en-US" w:eastAsia="zh-CN" w:bidi="ar"/>
        </w:rPr>
        <w:t>边缘计算单元设备制造商具有CCC现场检测实验室资质证书（提供证书复印件）。</w:t>
      </w:r>
    </w:p>
    <w:p w14:paraId="01AFAA62">
      <w:pPr>
        <w:pStyle w:val="4"/>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0" w:firstLineChars="200"/>
        <w:jc w:val="both"/>
        <w:textAlignment w:val="auto"/>
        <w:outlineLvl w:val="9"/>
        <w:rPr>
          <w:rFonts w:hint="eastAsia" w:ascii="宋体" w:hAnsi="宋体" w:eastAsia="宋体" w:cs="宋体"/>
          <w:i w:val="0"/>
          <w:color w:val="000000"/>
          <w:kern w:val="0"/>
          <w:sz w:val="21"/>
          <w:szCs w:val="21"/>
          <w:highlight w:val="none"/>
          <w:u w:val="none"/>
          <w:lang w:val="en-US" w:eastAsia="zh-CN" w:bidi="ar"/>
        </w:rPr>
      </w:pPr>
      <w:r>
        <w:rPr>
          <w:rFonts w:hint="eastAsia" w:ascii="宋体" w:hAnsi="宋体" w:eastAsia="宋体" w:cs="宋体"/>
          <w:i w:val="0"/>
          <w:color w:val="000000"/>
          <w:kern w:val="0"/>
          <w:sz w:val="21"/>
          <w:szCs w:val="21"/>
          <w:highlight w:val="none"/>
          <w:u w:val="none"/>
          <w:lang w:val="en-US" w:eastAsia="zh-CN" w:bidi="ar"/>
        </w:rPr>
        <w:t>快球摄像机制造商依据国家标准《数据管理能力成熟度评估模型》，通过DCMM数据管理能力成熟度评估达到稳健级（3级）级以上（提供证书复印件）。</w:t>
      </w:r>
    </w:p>
    <w:p w14:paraId="713DA2FE">
      <w:pPr>
        <w:pStyle w:val="4"/>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0" w:firstLineChars="200"/>
        <w:jc w:val="both"/>
        <w:textAlignment w:val="auto"/>
        <w:outlineLvl w:val="9"/>
        <w:rPr>
          <w:rFonts w:hint="default" w:ascii="宋体" w:hAnsi="宋体" w:eastAsia="宋体" w:cs="宋体"/>
          <w:i w:val="0"/>
          <w:color w:val="000000"/>
          <w:kern w:val="0"/>
          <w:sz w:val="21"/>
          <w:szCs w:val="21"/>
          <w:highlight w:val="none"/>
          <w:u w:val="none"/>
          <w:lang w:val="en-US" w:eastAsia="zh-CN" w:bidi="ar"/>
        </w:rPr>
      </w:pPr>
      <w:r>
        <w:rPr>
          <w:rFonts w:hint="eastAsia" w:cs="宋体"/>
          <w:i w:val="0"/>
          <w:color w:val="000000"/>
          <w:kern w:val="0"/>
          <w:sz w:val="21"/>
          <w:szCs w:val="21"/>
          <w:highlight w:val="none"/>
          <w:u w:val="none"/>
          <w:lang w:val="en-US" w:eastAsia="zh-CN" w:bidi="ar"/>
        </w:rPr>
        <w:t>防火墙产品制造商具备覆盖产品生命周期的安全研发、安全支付与安全事件快速响应能力，具有信息安全服务资质认证证书，且软件安全开发服务资质及信息安全应急处理服务资质须符合一级要求（提供有效证书复印件及国家市场监督管理总局全国认证认可信息公共服务平台查询截图）</w:t>
      </w:r>
      <w:r>
        <w:rPr>
          <w:rFonts w:hint="eastAsia" w:ascii="宋体" w:hAnsi="宋体" w:eastAsia="宋体" w:cs="宋体"/>
          <w:i w:val="0"/>
          <w:color w:val="000000"/>
          <w:kern w:val="0"/>
          <w:sz w:val="21"/>
          <w:szCs w:val="21"/>
          <w:highlight w:val="none"/>
          <w:u w:val="none"/>
          <w:lang w:val="en-US" w:eastAsia="zh-CN" w:bidi="ar"/>
        </w:rPr>
        <w:t>。</w:t>
      </w:r>
    </w:p>
    <w:p w14:paraId="68D02EA3">
      <w:pPr>
        <w:keepNext w:val="0"/>
        <w:keepLines w:val="0"/>
        <w:pageBreakBefore w:val="0"/>
        <w:widowControl w:val="0"/>
        <w:kinsoku/>
        <w:wordWrap/>
        <w:overflowPunct/>
        <w:topLinePunct w:val="0"/>
        <w:autoSpaceDE w:val="0"/>
        <w:autoSpaceDN w:val="0"/>
        <w:bidi w:val="0"/>
        <w:adjustRightInd/>
        <w:snapToGrid/>
        <w:spacing w:before="0" w:line="360" w:lineRule="auto"/>
        <w:ind w:right="0"/>
        <w:textAlignment w:val="auto"/>
        <w:outlineLvl w:val="9"/>
        <w:rPr>
          <w:rFonts w:hint="eastAsia" w:ascii="宋体" w:hAnsi="宋体" w:eastAsia="宋体" w:cs="宋体"/>
          <w:b/>
          <w:bCs/>
          <w:spacing w:val="0"/>
          <w:w w:val="100"/>
          <w:kern w:val="21"/>
          <w:sz w:val="21"/>
          <w:szCs w:val="21"/>
          <w:highlight w:val="none"/>
        </w:rPr>
      </w:pPr>
      <w:r>
        <w:rPr>
          <w:rFonts w:hint="eastAsia" w:ascii="宋体" w:hAnsi="宋体" w:eastAsia="宋体" w:cs="宋体"/>
          <w:b/>
          <w:bCs/>
          <w:spacing w:val="0"/>
          <w:w w:val="100"/>
          <w:kern w:val="21"/>
          <w:sz w:val="21"/>
          <w:szCs w:val="21"/>
          <w:highlight w:val="none"/>
        </w:rPr>
        <w:t>九、施工工艺及要求</w:t>
      </w:r>
    </w:p>
    <w:p w14:paraId="0C442263">
      <w:pPr>
        <w:keepNext w:val="0"/>
        <w:keepLines w:val="0"/>
        <w:pageBreakBefore w:val="0"/>
        <w:widowControl w:val="0"/>
        <w:numPr>
          <w:ilvl w:val="1"/>
          <w:numId w:val="0"/>
        </w:numPr>
        <w:tabs>
          <w:tab w:val="left" w:pos="777"/>
        </w:tabs>
        <w:kinsoku/>
        <w:wordWrap/>
        <w:overflowPunct/>
        <w:topLinePunct w:val="0"/>
        <w:autoSpaceDE w:val="0"/>
        <w:autoSpaceDN w:val="0"/>
        <w:bidi w:val="0"/>
        <w:adjustRightInd/>
        <w:snapToGrid/>
        <w:spacing w:before="0" w:after="0" w:line="360" w:lineRule="auto"/>
        <w:ind w:left="0" w:leftChars="0" w:right="0" w:rightChars="0" w:firstLine="422" w:firstLineChars="200"/>
        <w:jc w:val="left"/>
        <w:textAlignment w:val="auto"/>
        <w:outlineLvl w:val="9"/>
        <w:rPr>
          <w:rFonts w:hint="eastAsia" w:ascii="宋体" w:hAnsi="宋体" w:eastAsia="宋体" w:cs="宋体"/>
          <w:b/>
          <w:bCs/>
          <w:spacing w:val="0"/>
          <w:w w:val="100"/>
          <w:kern w:val="21"/>
          <w:sz w:val="21"/>
          <w:szCs w:val="21"/>
        </w:rPr>
      </w:pPr>
      <w:r>
        <w:rPr>
          <w:rFonts w:hint="eastAsia" w:ascii="宋体" w:hAnsi="宋体" w:eastAsia="宋体" w:cs="宋体"/>
          <w:b/>
          <w:bCs/>
          <w:i w:val="0"/>
          <w:iCs w:val="0"/>
          <w:spacing w:val="0"/>
          <w:w w:val="100"/>
          <w:kern w:val="21"/>
          <w:sz w:val="21"/>
          <w:szCs w:val="21"/>
          <w:lang w:val="en-US" w:eastAsia="zh-CN" w:bidi="ar-SA"/>
        </w:rPr>
        <w:t>9.1</w:t>
      </w:r>
      <w:r>
        <w:rPr>
          <w:rFonts w:hint="eastAsia" w:ascii="宋体" w:hAnsi="宋体" w:eastAsia="宋体" w:cs="宋体"/>
          <w:b/>
          <w:bCs/>
          <w:spacing w:val="0"/>
          <w:w w:val="100"/>
          <w:kern w:val="21"/>
          <w:sz w:val="21"/>
          <w:szCs w:val="21"/>
        </w:rPr>
        <w:t>基础施工工艺</w:t>
      </w:r>
    </w:p>
    <w:p w14:paraId="289723C6">
      <w:pPr>
        <w:pStyle w:val="4"/>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0" w:firstLineChars="200"/>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基础采用明挖法施工，基底应先整平、夯实，基底允许承载力不低于150kPa，控制好标高。基础浇捣后，表面应以水泥砂浆摸平，修整。施工完毕后，基础应分层回填夯实，夯实度与路基相同。</w:t>
      </w:r>
    </w:p>
    <w:p w14:paraId="423F41DD">
      <w:pPr>
        <w:pStyle w:val="4"/>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0" w:firstLineChars="200"/>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基础采用混凝土现场浇筑，基础顶面应预埋Q235钢地脚螺栓，地脚下面为标准弯钩，法兰盘为Q235钢制作，基础法兰地脚螺栓应热浸镀锌处理。</w:t>
      </w:r>
    </w:p>
    <w:p w14:paraId="0552F2F0">
      <w:pPr>
        <w:pStyle w:val="4"/>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0" w:firstLineChars="200"/>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在浇筑混凝土时，应注意使底座法兰盘与基础对中，并将其嵌进基础，其上表面与基础顶面齐平，同时保持其顶面水平，顶面预埋的地脚螺栓与其保持垂直。</w:t>
      </w:r>
    </w:p>
    <w:p w14:paraId="44467A24">
      <w:pPr>
        <w:pStyle w:val="4"/>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0" w:firstLineChars="200"/>
        <w:jc w:val="both"/>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路侧基础中内设两根Φ90PVC管用于穿线，弯曲半径为120°，预埋PVC管，一端上伸出基础法兰50mm，另一端深入手孔50mm，其弯曲半径不应小于250mm，管口内部应倒角，并以木楔堵塞。</w:t>
      </w:r>
    </w:p>
    <w:p w14:paraId="1499D2F4">
      <w:pPr>
        <w:pStyle w:val="7"/>
        <w:keepNext w:val="0"/>
        <w:keepLines w:val="0"/>
        <w:pageBreakBefore w:val="0"/>
        <w:widowControl w:val="0"/>
        <w:numPr>
          <w:ilvl w:val="2"/>
          <w:numId w:val="0"/>
        </w:numPr>
        <w:tabs>
          <w:tab w:val="left" w:pos="1126"/>
        </w:tabs>
        <w:kinsoku/>
        <w:wordWrap/>
        <w:overflowPunct/>
        <w:topLinePunct w:val="0"/>
        <w:autoSpaceDE w:val="0"/>
        <w:autoSpaceDN w:val="0"/>
        <w:bidi w:val="0"/>
        <w:adjustRightInd/>
        <w:snapToGrid/>
        <w:spacing w:before="0" w:after="0" w:line="360" w:lineRule="auto"/>
        <w:ind w:left="0" w:leftChars="0" w:right="0" w:rightChars="0" w:firstLine="420" w:firstLineChars="200"/>
        <w:jc w:val="both"/>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i w:val="0"/>
          <w:iCs w:val="0"/>
          <w:spacing w:val="0"/>
          <w:w w:val="100"/>
          <w:kern w:val="21"/>
          <w:sz w:val="21"/>
          <w:szCs w:val="21"/>
          <w:lang w:val="en-US" w:eastAsia="zh-CN" w:bidi="ar-SA"/>
        </w:rPr>
        <w:t>1）</w:t>
      </w:r>
      <w:r>
        <w:rPr>
          <w:rFonts w:hint="eastAsia" w:ascii="宋体" w:hAnsi="宋体" w:eastAsia="宋体" w:cs="宋体"/>
          <w:b w:val="0"/>
          <w:bCs w:val="0"/>
          <w:spacing w:val="0"/>
          <w:w w:val="100"/>
          <w:kern w:val="21"/>
          <w:sz w:val="21"/>
          <w:szCs w:val="21"/>
        </w:rPr>
        <w:t>设备机柜下沿高度距地面高度不小于2米。</w:t>
      </w:r>
    </w:p>
    <w:p w14:paraId="3A546C70">
      <w:pPr>
        <w:pStyle w:val="7"/>
        <w:keepNext w:val="0"/>
        <w:keepLines w:val="0"/>
        <w:pageBreakBefore w:val="0"/>
        <w:widowControl w:val="0"/>
        <w:numPr>
          <w:ilvl w:val="2"/>
          <w:numId w:val="0"/>
        </w:numPr>
        <w:tabs>
          <w:tab w:val="left" w:pos="1126"/>
        </w:tabs>
        <w:kinsoku/>
        <w:wordWrap/>
        <w:overflowPunct/>
        <w:topLinePunct w:val="0"/>
        <w:autoSpaceDE w:val="0"/>
        <w:autoSpaceDN w:val="0"/>
        <w:bidi w:val="0"/>
        <w:adjustRightInd/>
        <w:snapToGrid/>
        <w:spacing w:before="0" w:after="0" w:line="360" w:lineRule="auto"/>
        <w:ind w:left="0" w:leftChars="0" w:right="0" w:rightChars="0" w:firstLine="420" w:firstLineChars="200"/>
        <w:jc w:val="both"/>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i w:val="0"/>
          <w:iCs w:val="0"/>
          <w:spacing w:val="0"/>
          <w:w w:val="100"/>
          <w:kern w:val="21"/>
          <w:sz w:val="21"/>
          <w:szCs w:val="21"/>
          <w:lang w:val="en-US" w:eastAsia="zh-CN" w:bidi="ar-SA"/>
        </w:rPr>
        <w:t>2）</w:t>
      </w:r>
      <w:r>
        <w:rPr>
          <w:rFonts w:hint="eastAsia" w:ascii="宋体" w:hAnsi="宋体" w:eastAsia="宋体" w:cs="宋体"/>
          <w:b w:val="0"/>
          <w:bCs w:val="0"/>
          <w:spacing w:val="0"/>
          <w:w w:val="100"/>
          <w:kern w:val="21"/>
          <w:sz w:val="21"/>
          <w:szCs w:val="21"/>
        </w:rPr>
        <w:t>交调标识牌下沿距地面高度不小于3.3米。</w:t>
      </w:r>
    </w:p>
    <w:p w14:paraId="25240959">
      <w:pPr>
        <w:keepNext w:val="0"/>
        <w:keepLines w:val="0"/>
        <w:pageBreakBefore w:val="0"/>
        <w:widowControl w:val="0"/>
        <w:numPr>
          <w:ilvl w:val="1"/>
          <w:numId w:val="0"/>
        </w:numPr>
        <w:tabs>
          <w:tab w:val="left" w:pos="777"/>
        </w:tabs>
        <w:kinsoku/>
        <w:wordWrap/>
        <w:overflowPunct/>
        <w:topLinePunct w:val="0"/>
        <w:autoSpaceDE w:val="0"/>
        <w:autoSpaceDN w:val="0"/>
        <w:bidi w:val="0"/>
        <w:adjustRightInd/>
        <w:snapToGrid/>
        <w:spacing w:before="0" w:after="0" w:line="360" w:lineRule="auto"/>
        <w:ind w:left="0" w:leftChars="0" w:right="0" w:rightChars="0" w:firstLine="422" w:firstLineChars="200"/>
        <w:jc w:val="left"/>
        <w:textAlignment w:val="auto"/>
        <w:outlineLvl w:val="9"/>
        <w:rPr>
          <w:rFonts w:hint="eastAsia" w:ascii="宋体" w:hAnsi="宋体" w:eastAsia="宋体" w:cs="宋体"/>
          <w:b/>
          <w:bCs/>
          <w:spacing w:val="0"/>
          <w:w w:val="100"/>
          <w:kern w:val="21"/>
          <w:sz w:val="21"/>
          <w:szCs w:val="21"/>
        </w:rPr>
      </w:pPr>
      <w:r>
        <w:rPr>
          <w:rFonts w:hint="eastAsia" w:ascii="宋体" w:hAnsi="宋体" w:eastAsia="宋体" w:cs="宋体"/>
          <w:b/>
          <w:bCs/>
          <w:i w:val="0"/>
          <w:iCs w:val="0"/>
          <w:spacing w:val="0"/>
          <w:w w:val="100"/>
          <w:kern w:val="21"/>
          <w:sz w:val="21"/>
          <w:szCs w:val="21"/>
          <w:lang w:val="en-US" w:eastAsia="zh-CN" w:bidi="ar-SA"/>
        </w:rPr>
        <w:t>9.2</w:t>
      </w:r>
      <w:r>
        <w:rPr>
          <w:rFonts w:hint="eastAsia" w:ascii="宋体" w:hAnsi="宋体" w:eastAsia="宋体" w:cs="宋体"/>
          <w:b/>
          <w:bCs/>
          <w:spacing w:val="0"/>
          <w:w w:val="100"/>
          <w:kern w:val="21"/>
          <w:sz w:val="21"/>
          <w:szCs w:val="21"/>
        </w:rPr>
        <w:t>设备电力电缆工艺</w:t>
      </w:r>
    </w:p>
    <w:p w14:paraId="35B3F3F3">
      <w:pPr>
        <w:pStyle w:val="7"/>
        <w:keepNext w:val="0"/>
        <w:keepLines w:val="0"/>
        <w:pageBreakBefore w:val="0"/>
        <w:widowControl w:val="0"/>
        <w:numPr>
          <w:ilvl w:val="2"/>
          <w:numId w:val="0"/>
        </w:numPr>
        <w:tabs>
          <w:tab w:val="left" w:pos="1126"/>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i w:val="0"/>
          <w:iCs w:val="0"/>
          <w:spacing w:val="0"/>
          <w:w w:val="100"/>
          <w:kern w:val="21"/>
          <w:sz w:val="21"/>
          <w:szCs w:val="21"/>
          <w:lang w:val="en-US" w:eastAsia="zh-CN" w:bidi="ar-SA"/>
        </w:rPr>
        <w:t>1）</w:t>
      </w:r>
      <w:r>
        <w:rPr>
          <w:rFonts w:hint="eastAsia" w:ascii="宋体" w:hAnsi="宋体" w:eastAsia="宋体" w:cs="宋体"/>
          <w:b w:val="0"/>
          <w:bCs w:val="0"/>
          <w:spacing w:val="0"/>
          <w:w w:val="100"/>
          <w:kern w:val="21"/>
          <w:sz w:val="21"/>
          <w:szCs w:val="21"/>
        </w:rPr>
        <w:t>应确保24小时不断电，并对供电情况进行实时监测；</w:t>
      </w:r>
    </w:p>
    <w:p w14:paraId="10167893">
      <w:pPr>
        <w:pStyle w:val="7"/>
        <w:keepNext w:val="0"/>
        <w:keepLines w:val="0"/>
        <w:pageBreakBefore w:val="0"/>
        <w:widowControl w:val="0"/>
        <w:numPr>
          <w:ilvl w:val="2"/>
          <w:numId w:val="0"/>
        </w:numPr>
        <w:tabs>
          <w:tab w:val="left" w:pos="1126"/>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i w:val="0"/>
          <w:iCs w:val="0"/>
          <w:spacing w:val="0"/>
          <w:w w:val="100"/>
          <w:kern w:val="21"/>
          <w:sz w:val="21"/>
          <w:szCs w:val="21"/>
          <w:lang w:val="en-US" w:eastAsia="zh-CN" w:bidi="ar-SA"/>
        </w:rPr>
        <w:t>2）</w:t>
      </w:r>
      <w:r>
        <w:rPr>
          <w:rFonts w:hint="eastAsia" w:ascii="宋体" w:hAnsi="宋体" w:eastAsia="宋体" w:cs="宋体"/>
          <w:b w:val="0"/>
          <w:bCs w:val="0"/>
          <w:spacing w:val="0"/>
          <w:w w:val="100"/>
          <w:kern w:val="21"/>
          <w:sz w:val="21"/>
          <w:szCs w:val="21"/>
        </w:rPr>
        <w:t>工作环境温度：-40℃～+70℃）；</w:t>
      </w:r>
    </w:p>
    <w:p w14:paraId="62B9D159">
      <w:pPr>
        <w:pStyle w:val="7"/>
        <w:keepNext w:val="0"/>
        <w:keepLines w:val="0"/>
        <w:pageBreakBefore w:val="0"/>
        <w:widowControl w:val="0"/>
        <w:numPr>
          <w:ilvl w:val="2"/>
          <w:numId w:val="0"/>
        </w:numPr>
        <w:tabs>
          <w:tab w:val="left" w:pos="1126"/>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i w:val="0"/>
          <w:iCs w:val="0"/>
          <w:spacing w:val="0"/>
          <w:w w:val="100"/>
          <w:kern w:val="21"/>
          <w:sz w:val="21"/>
          <w:szCs w:val="21"/>
          <w:lang w:val="en-US" w:eastAsia="zh-CN" w:bidi="ar-SA"/>
        </w:rPr>
        <w:t>3）</w:t>
      </w:r>
      <w:r>
        <w:rPr>
          <w:rFonts w:hint="eastAsia" w:ascii="宋体" w:hAnsi="宋体" w:eastAsia="宋体" w:cs="宋体"/>
          <w:b w:val="0"/>
          <w:bCs w:val="0"/>
          <w:spacing w:val="0"/>
          <w:w w:val="100"/>
          <w:kern w:val="21"/>
          <w:sz w:val="21"/>
          <w:szCs w:val="21"/>
        </w:rPr>
        <w:t>供电功率需求为：1kW</w:t>
      </w:r>
    </w:p>
    <w:p w14:paraId="4521F1B8">
      <w:pPr>
        <w:pStyle w:val="7"/>
        <w:keepNext w:val="0"/>
        <w:keepLines w:val="0"/>
        <w:pageBreakBefore w:val="0"/>
        <w:widowControl w:val="0"/>
        <w:numPr>
          <w:ilvl w:val="2"/>
          <w:numId w:val="0"/>
        </w:numPr>
        <w:tabs>
          <w:tab w:val="left" w:pos="1126"/>
        </w:tabs>
        <w:kinsoku/>
        <w:wordWrap/>
        <w:overflowPunct/>
        <w:topLinePunct w:val="0"/>
        <w:autoSpaceDE w:val="0"/>
        <w:autoSpaceDN w:val="0"/>
        <w:bidi w:val="0"/>
        <w:adjustRightInd/>
        <w:snapToGrid/>
        <w:spacing w:before="0" w:after="0" w:line="360" w:lineRule="auto"/>
        <w:ind w:left="0" w:leftChars="0" w:right="0" w:rightChars="0" w:firstLine="420" w:firstLineChars="200"/>
        <w:jc w:val="both"/>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i w:val="0"/>
          <w:iCs w:val="0"/>
          <w:spacing w:val="0"/>
          <w:w w:val="100"/>
          <w:kern w:val="21"/>
          <w:sz w:val="21"/>
          <w:szCs w:val="21"/>
          <w:lang w:val="en-US" w:eastAsia="zh-CN" w:bidi="ar-SA"/>
        </w:rPr>
        <w:t>4）</w:t>
      </w:r>
      <w:r>
        <w:rPr>
          <w:rFonts w:hint="eastAsia" w:ascii="宋体" w:hAnsi="宋体" w:eastAsia="宋体" w:cs="宋体"/>
          <w:b w:val="0"/>
          <w:bCs w:val="0"/>
          <w:spacing w:val="0"/>
          <w:w w:val="100"/>
          <w:kern w:val="21"/>
          <w:sz w:val="21"/>
          <w:szCs w:val="21"/>
        </w:rPr>
        <w:t>供电系统MTBF：≥10,000小时。</w:t>
      </w:r>
    </w:p>
    <w:p w14:paraId="207A9EDB">
      <w:pPr>
        <w:pStyle w:val="7"/>
        <w:keepNext w:val="0"/>
        <w:keepLines w:val="0"/>
        <w:pageBreakBefore w:val="0"/>
        <w:widowControl w:val="0"/>
        <w:numPr>
          <w:ilvl w:val="2"/>
          <w:numId w:val="0"/>
        </w:numPr>
        <w:tabs>
          <w:tab w:val="left" w:pos="1126"/>
        </w:tabs>
        <w:kinsoku/>
        <w:wordWrap/>
        <w:overflowPunct/>
        <w:topLinePunct w:val="0"/>
        <w:autoSpaceDE w:val="0"/>
        <w:autoSpaceDN w:val="0"/>
        <w:bidi w:val="0"/>
        <w:adjustRightInd/>
        <w:snapToGrid/>
        <w:spacing w:before="0" w:after="0" w:line="360" w:lineRule="auto"/>
        <w:ind w:left="0" w:leftChars="0" w:right="0" w:rightChars="0" w:firstLine="420" w:firstLineChars="200"/>
        <w:jc w:val="both"/>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i w:val="0"/>
          <w:iCs w:val="0"/>
          <w:spacing w:val="0"/>
          <w:w w:val="100"/>
          <w:kern w:val="21"/>
          <w:sz w:val="21"/>
          <w:szCs w:val="21"/>
          <w:lang w:val="en-US" w:eastAsia="zh-CN" w:bidi="ar-SA"/>
        </w:rPr>
        <w:t>5）</w:t>
      </w:r>
      <w:r>
        <w:rPr>
          <w:rFonts w:hint="eastAsia" w:ascii="宋体" w:hAnsi="宋体" w:eastAsia="宋体" w:cs="宋体"/>
          <w:b w:val="0"/>
          <w:bCs w:val="0"/>
          <w:spacing w:val="0"/>
          <w:w w:val="100"/>
          <w:kern w:val="21"/>
          <w:sz w:val="21"/>
          <w:szCs w:val="21"/>
        </w:rPr>
        <w:t>铜芯电力电缆指标需满足《电缆的导体》GB/T3956-2008、《额定电压1kV(Um=1.2kV)到35kV(Um=40.5kV)挤包绝缘电力电缆及附件》GB/T12706.1-2020及其他国家相关标准和规范的要求。</w:t>
      </w:r>
    </w:p>
    <w:p w14:paraId="3E1F3568">
      <w:pPr>
        <w:pStyle w:val="7"/>
        <w:keepNext w:val="0"/>
        <w:keepLines w:val="0"/>
        <w:pageBreakBefore w:val="0"/>
        <w:widowControl w:val="0"/>
        <w:numPr>
          <w:ilvl w:val="2"/>
          <w:numId w:val="0"/>
        </w:numPr>
        <w:tabs>
          <w:tab w:val="left" w:pos="1097"/>
        </w:tabs>
        <w:kinsoku/>
        <w:wordWrap/>
        <w:overflowPunct/>
        <w:topLinePunct w:val="0"/>
        <w:autoSpaceDE w:val="0"/>
        <w:autoSpaceDN w:val="0"/>
        <w:bidi w:val="0"/>
        <w:adjustRightInd/>
        <w:snapToGrid/>
        <w:spacing w:before="0" w:after="0" w:line="360" w:lineRule="auto"/>
        <w:ind w:left="0" w:leftChars="0" w:right="0" w:rightChars="0" w:firstLine="420" w:firstLineChars="200"/>
        <w:jc w:val="both"/>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i w:val="0"/>
          <w:iCs w:val="0"/>
          <w:spacing w:val="0"/>
          <w:w w:val="100"/>
          <w:kern w:val="21"/>
          <w:sz w:val="21"/>
          <w:szCs w:val="21"/>
          <w:lang w:val="en-US" w:eastAsia="zh-CN" w:bidi="ar-SA"/>
        </w:rPr>
        <w:t>6）</w:t>
      </w:r>
      <w:r>
        <w:rPr>
          <w:rFonts w:hint="eastAsia" w:ascii="宋体" w:hAnsi="宋体" w:eastAsia="宋体" w:cs="宋体"/>
          <w:b w:val="0"/>
          <w:bCs w:val="0"/>
          <w:spacing w:val="0"/>
          <w:w w:val="100"/>
          <w:kern w:val="21"/>
          <w:sz w:val="21"/>
          <w:szCs w:val="21"/>
        </w:rPr>
        <w:t>电力电缆敷设完后，其芯线之间、芯线对地之间的绝缘电阻用1000V兆欧表测，应保证温度在20℃时，不小于50兆欧/公里。</w:t>
      </w:r>
    </w:p>
    <w:p w14:paraId="08E0A125">
      <w:pPr>
        <w:keepNext w:val="0"/>
        <w:keepLines w:val="0"/>
        <w:pageBreakBefore w:val="0"/>
        <w:widowControl w:val="0"/>
        <w:numPr>
          <w:ilvl w:val="1"/>
          <w:numId w:val="0"/>
        </w:numPr>
        <w:tabs>
          <w:tab w:val="left" w:pos="777"/>
        </w:tabs>
        <w:kinsoku/>
        <w:wordWrap/>
        <w:overflowPunct/>
        <w:topLinePunct w:val="0"/>
        <w:autoSpaceDE w:val="0"/>
        <w:autoSpaceDN w:val="0"/>
        <w:bidi w:val="0"/>
        <w:adjustRightInd/>
        <w:snapToGrid/>
        <w:spacing w:before="0" w:after="0" w:line="360" w:lineRule="auto"/>
        <w:ind w:left="0" w:leftChars="0" w:right="0" w:rightChars="0" w:firstLine="422" w:firstLineChars="200"/>
        <w:jc w:val="left"/>
        <w:textAlignment w:val="auto"/>
        <w:outlineLvl w:val="9"/>
        <w:rPr>
          <w:rFonts w:hint="eastAsia" w:ascii="宋体" w:hAnsi="宋体" w:eastAsia="宋体" w:cs="宋体"/>
          <w:b/>
          <w:bCs/>
          <w:spacing w:val="0"/>
          <w:w w:val="100"/>
          <w:kern w:val="21"/>
          <w:sz w:val="21"/>
          <w:szCs w:val="21"/>
        </w:rPr>
      </w:pPr>
      <w:r>
        <w:rPr>
          <w:rFonts w:hint="eastAsia" w:ascii="宋体" w:hAnsi="宋体" w:eastAsia="宋体" w:cs="宋体"/>
          <w:b/>
          <w:bCs/>
          <w:i w:val="0"/>
          <w:iCs w:val="0"/>
          <w:spacing w:val="0"/>
          <w:w w:val="100"/>
          <w:kern w:val="21"/>
          <w:sz w:val="21"/>
          <w:szCs w:val="21"/>
          <w:lang w:val="en-US" w:eastAsia="zh-CN" w:bidi="ar-SA"/>
        </w:rPr>
        <w:t>9.3</w:t>
      </w:r>
      <w:r>
        <w:rPr>
          <w:rFonts w:hint="eastAsia" w:ascii="宋体" w:hAnsi="宋体" w:eastAsia="宋体" w:cs="宋体"/>
          <w:b/>
          <w:bCs/>
          <w:spacing w:val="0"/>
          <w:w w:val="100"/>
          <w:kern w:val="21"/>
          <w:sz w:val="21"/>
          <w:szCs w:val="21"/>
        </w:rPr>
        <w:t>设备杆件安装要求</w:t>
      </w:r>
    </w:p>
    <w:p w14:paraId="1A915E33">
      <w:pPr>
        <w:pStyle w:val="4"/>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0" w:firstLineChars="200"/>
        <w:jc w:val="both"/>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根据所需监测的范围、角度、场景以及现场条件来选择监测设备的安装方法，监测设备的安装固定以L杆为主。设备箱固定在监控杆离地2米高处，所有的电源、交调主机、防雷器及其它设备都安装在设备箱内。L杆基础规格详见设计图纸。</w:t>
      </w:r>
    </w:p>
    <w:p w14:paraId="0BD94F0F">
      <w:pPr>
        <w:pStyle w:val="4"/>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0" w:firstLineChars="200"/>
        <w:jc w:val="both"/>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杆底端焊接固定法兰盘，根据现场安装点的地质的实际情况，调整相应的尺寸，预留穿线孔。杆件的安装应牢固，不得歪斜，建设时应用水平仪来测定；制作要美观，其顶部应做防水帽。杆件应有较高强度，抗台风、防摄像机抖动、防攀爬、防腐。</w:t>
      </w:r>
    </w:p>
    <w:p w14:paraId="336F901D">
      <w:pPr>
        <w:pStyle w:val="7"/>
        <w:keepNext w:val="0"/>
        <w:keepLines w:val="0"/>
        <w:pageBreakBefore w:val="0"/>
        <w:widowControl w:val="0"/>
        <w:numPr>
          <w:ilvl w:val="2"/>
          <w:numId w:val="0"/>
        </w:numPr>
        <w:tabs>
          <w:tab w:val="left" w:pos="1306"/>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i w:val="0"/>
          <w:iCs w:val="0"/>
          <w:spacing w:val="0"/>
          <w:w w:val="100"/>
          <w:kern w:val="21"/>
          <w:sz w:val="21"/>
          <w:szCs w:val="21"/>
          <w:lang w:val="en-US" w:eastAsia="zh-CN" w:bidi="ar-SA"/>
        </w:rPr>
        <w:t>1）</w:t>
      </w:r>
      <w:r>
        <w:rPr>
          <w:rFonts w:hint="eastAsia" w:ascii="宋体" w:hAnsi="宋体" w:eastAsia="宋体" w:cs="宋体"/>
          <w:b w:val="0"/>
          <w:bCs w:val="0"/>
          <w:spacing w:val="0"/>
          <w:w w:val="100"/>
          <w:kern w:val="21"/>
          <w:sz w:val="21"/>
          <w:szCs w:val="21"/>
        </w:rPr>
        <w:t>立杆采用钢结构材料，由竖杆加横杆组成，根据所安装位置的不同采用不同的规格。</w:t>
      </w:r>
    </w:p>
    <w:p w14:paraId="4A5D616A">
      <w:pPr>
        <w:pStyle w:val="4"/>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0" w:firstLineChars="200"/>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杆体规格结构详见设计图纸。</w:t>
      </w:r>
    </w:p>
    <w:p w14:paraId="52B44F2F">
      <w:pPr>
        <w:pStyle w:val="7"/>
        <w:keepNext w:val="0"/>
        <w:keepLines w:val="0"/>
        <w:pageBreakBefore w:val="0"/>
        <w:widowControl w:val="0"/>
        <w:numPr>
          <w:ilvl w:val="2"/>
          <w:numId w:val="0"/>
        </w:numPr>
        <w:tabs>
          <w:tab w:val="left" w:pos="867"/>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i w:val="0"/>
          <w:iCs w:val="0"/>
          <w:spacing w:val="0"/>
          <w:w w:val="100"/>
          <w:kern w:val="21"/>
          <w:sz w:val="21"/>
          <w:szCs w:val="21"/>
          <w:lang w:val="en-US" w:eastAsia="zh-CN" w:bidi="ar-SA"/>
        </w:rPr>
        <w:t>2）</w:t>
      </w:r>
      <w:r>
        <w:rPr>
          <w:rFonts w:hint="eastAsia" w:ascii="宋体" w:hAnsi="宋体" w:eastAsia="宋体" w:cs="宋体"/>
          <w:b w:val="0"/>
          <w:bCs w:val="0"/>
          <w:spacing w:val="0"/>
          <w:w w:val="100"/>
          <w:kern w:val="21"/>
          <w:sz w:val="21"/>
          <w:szCs w:val="21"/>
        </w:rPr>
        <w:t>根据监测的范围、角度以及现场条件来选择立杆的安装位置和横杆方向。设备箱安装在竖杆位置，参见杆体结构示意图，固定应牢靠美观。</w:t>
      </w:r>
    </w:p>
    <w:p w14:paraId="3C09E938">
      <w:pPr>
        <w:pStyle w:val="7"/>
        <w:keepNext w:val="0"/>
        <w:keepLines w:val="0"/>
        <w:pageBreakBefore w:val="0"/>
        <w:widowControl w:val="0"/>
        <w:numPr>
          <w:ilvl w:val="2"/>
          <w:numId w:val="0"/>
        </w:numPr>
        <w:tabs>
          <w:tab w:val="left" w:pos="886"/>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i w:val="0"/>
          <w:iCs w:val="0"/>
          <w:spacing w:val="0"/>
          <w:w w:val="100"/>
          <w:kern w:val="21"/>
          <w:sz w:val="21"/>
          <w:szCs w:val="21"/>
          <w:lang w:val="en-US" w:eastAsia="zh-CN" w:bidi="ar-SA"/>
        </w:rPr>
        <w:t>3）</w:t>
      </w:r>
      <w:r>
        <w:rPr>
          <w:rFonts w:hint="eastAsia" w:ascii="宋体" w:hAnsi="宋体" w:eastAsia="宋体" w:cs="宋体"/>
          <w:b w:val="0"/>
          <w:bCs w:val="0"/>
          <w:spacing w:val="0"/>
          <w:w w:val="100"/>
          <w:kern w:val="21"/>
          <w:sz w:val="21"/>
          <w:szCs w:val="21"/>
        </w:rPr>
        <w:t>前端设备的电源、网络传输设备、防雷器等辅助设备都安装在一个金属设备箱内，</w:t>
      </w:r>
    </w:p>
    <w:p w14:paraId="3FB3EEF7">
      <w:pPr>
        <w:pStyle w:val="7"/>
        <w:keepNext w:val="0"/>
        <w:keepLines w:val="0"/>
        <w:pageBreakBefore w:val="0"/>
        <w:widowControl w:val="0"/>
        <w:numPr>
          <w:ilvl w:val="2"/>
          <w:numId w:val="0"/>
        </w:numPr>
        <w:tabs>
          <w:tab w:val="left" w:pos="886"/>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i w:val="0"/>
          <w:iCs w:val="0"/>
          <w:spacing w:val="0"/>
          <w:w w:val="100"/>
          <w:kern w:val="21"/>
          <w:sz w:val="21"/>
          <w:szCs w:val="21"/>
          <w:lang w:val="en-US" w:eastAsia="zh-CN" w:bidi="ar-SA"/>
        </w:rPr>
        <w:t>4）</w:t>
      </w:r>
      <w:r>
        <w:rPr>
          <w:rFonts w:hint="eastAsia" w:ascii="宋体" w:hAnsi="宋体" w:eastAsia="宋体" w:cs="宋体"/>
          <w:b w:val="0"/>
          <w:bCs w:val="0"/>
          <w:spacing w:val="0"/>
          <w:w w:val="100"/>
          <w:kern w:val="21"/>
          <w:sz w:val="21"/>
          <w:szCs w:val="21"/>
        </w:rPr>
        <w:t>监控杆体一般要求：</w:t>
      </w:r>
    </w:p>
    <w:p w14:paraId="5F242BFA">
      <w:pPr>
        <w:pStyle w:val="7"/>
        <w:keepNext w:val="0"/>
        <w:keepLines w:val="0"/>
        <w:pageBreakBefore w:val="0"/>
        <w:widowControl w:val="0"/>
        <w:numPr>
          <w:ilvl w:val="2"/>
          <w:numId w:val="0"/>
        </w:numPr>
        <w:tabs>
          <w:tab w:val="left" w:pos="886"/>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i w:val="0"/>
          <w:iCs w:val="0"/>
          <w:spacing w:val="0"/>
          <w:w w:val="100"/>
          <w:kern w:val="21"/>
          <w:sz w:val="21"/>
          <w:szCs w:val="21"/>
          <w:lang w:val="en-US" w:eastAsia="zh-CN" w:bidi="ar-SA"/>
        </w:rPr>
        <w:t>5）</w:t>
      </w:r>
      <w:r>
        <w:rPr>
          <w:rFonts w:hint="eastAsia" w:ascii="宋体" w:hAnsi="宋体" w:eastAsia="宋体" w:cs="宋体"/>
          <w:b w:val="0"/>
          <w:bCs w:val="0"/>
          <w:spacing w:val="0"/>
          <w:w w:val="100"/>
          <w:kern w:val="21"/>
          <w:sz w:val="21"/>
          <w:szCs w:val="21"/>
        </w:rPr>
        <w:t>杆体应采用八角锥形结构；</w:t>
      </w:r>
    </w:p>
    <w:p w14:paraId="1D084D93">
      <w:pPr>
        <w:pStyle w:val="7"/>
        <w:keepNext w:val="0"/>
        <w:keepLines w:val="0"/>
        <w:pageBreakBefore w:val="0"/>
        <w:widowControl w:val="0"/>
        <w:numPr>
          <w:ilvl w:val="2"/>
          <w:numId w:val="0"/>
        </w:numPr>
        <w:tabs>
          <w:tab w:val="left" w:pos="886"/>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i w:val="0"/>
          <w:iCs w:val="0"/>
          <w:spacing w:val="0"/>
          <w:w w:val="100"/>
          <w:kern w:val="21"/>
          <w:sz w:val="21"/>
          <w:szCs w:val="21"/>
          <w:lang w:val="en-US" w:eastAsia="zh-CN" w:bidi="ar-SA"/>
        </w:rPr>
        <w:t>6）</w:t>
      </w:r>
      <w:r>
        <w:rPr>
          <w:rFonts w:hint="eastAsia" w:ascii="宋体" w:hAnsi="宋体" w:eastAsia="宋体" w:cs="宋体"/>
          <w:b w:val="0"/>
          <w:bCs w:val="0"/>
          <w:spacing w:val="0"/>
          <w:w w:val="100"/>
          <w:kern w:val="21"/>
          <w:sz w:val="21"/>
          <w:szCs w:val="21"/>
        </w:rPr>
        <w:t>抗震设防烈度按7度设计；</w:t>
      </w:r>
    </w:p>
    <w:p w14:paraId="6258F1F2">
      <w:pPr>
        <w:pStyle w:val="7"/>
        <w:keepNext w:val="0"/>
        <w:keepLines w:val="0"/>
        <w:pageBreakBefore w:val="0"/>
        <w:widowControl w:val="0"/>
        <w:numPr>
          <w:ilvl w:val="2"/>
          <w:numId w:val="0"/>
        </w:numPr>
        <w:tabs>
          <w:tab w:val="left" w:pos="886"/>
        </w:tabs>
        <w:kinsoku/>
        <w:wordWrap/>
        <w:overflowPunct/>
        <w:topLinePunct w:val="0"/>
        <w:autoSpaceDE w:val="0"/>
        <w:autoSpaceDN w:val="0"/>
        <w:bidi w:val="0"/>
        <w:adjustRightInd/>
        <w:snapToGrid/>
        <w:spacing w:before="0" w:after="0" w:line="360" w:lineRule="auto"/>
        <w:ind w:left="0" w:leftChars="0" w:right="0" w:rightChars="0" w:firstLine="420" w:firstLineChars="200"/>
        <w:jc w:val="both"/>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i w:val="0"/>
          <w:iCs w:val="0"/>
          <w:spacing w:val="0"/>
          <w:w w:val="100"/>
          <w:kern w:val="21"/>
          <w:sz w:val="21"/>
          <w:szCs w:val="21"/>
          <w:lang w:val="en-US" w:eastAsia="zh-CN" w:bidi="ar-SA"/>
        </w:rPr>
        <w:t>7）</w:t>
      </w:r>
      <w:r>
        <w:rPr>
          <w:rFonts w:hint="eastAsia" w:ascii="宋体" w:hAnsi="宋体" w:eastAsia="宋体" w:cs="宋体"/>
          <w:b w:val="0"/>
          <w:bCs w:val="0"/>
          <w:spacing w:val="0"/>
          <w:w w:val="100"/>
          <w:kern w:val="21"/>
          <w:sz w:val="21"/>
          <w:szCs w:val="21"/>
        </w:rPr>
        <w:t>杆体的使用期设计不小于30年；</w:t>
      </w:r>
    </w:p>
    <w:p w14:paraId="5132749E">
      <w:pPr>
        <w:pStyle w:val="7"/>
        <w:keepNext w:val="0"/>
        <w:keepLines w:val="0"/>
        <w:pageBreakBefore w:val="0"/>
        <w:widowControl w:val="0"/>
        <w:numPr>
          <w:ilvl w:val="2"/>
          <w:numId w:val="0"/>
        </w:numPr>
        <w:tabs>
          <w:tab w:val="left" w:pos="886"/>
        </w:tabs>
        <w:kinsoku/>
        <w:wordWrap/>
        <w:overflowPunct/>
        <w:topLinePunct w:val="0"/>
        <w:autoSpaceDE w:val="0"/>
        <w:autoSpaceDN w:val="0"/>
        <w:bidi w:val="0"/>
        <w:adjustRightInd/>
        <w:snapToGrid/>
        <w:spacing w:before="0" w:after="0" w:line="360" w:lineRule="auto"/>
        <w:ind w:left="0" w:leftChars="0" w:right="0" w:rightChars="0" w:firstLine="420" w:firstLineChars="200"/>
        <w:jc w:val="both"/>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i w:val="0"/>
          <w:iCs w:val="0"/>
          <w:spacing w:val="0"/>
          <w:w w:val="100"/>
          <w:kern w:val="21"/>
          <w:sz w:val="21"/>
          <w:szCs w:val="21"/>
          <w:lang w:val="en-US" w:eastAsia="zh-CN" w:bidi="ar-SA"/>
        </w:rPr>
        <w:t>8）</w:t>
      </w:r>
      <w:r>
        <w:rPr>
          <w:rFonts w:hint="eastAsia" w:ascii="宋体" w:hAnsi="宋体" w:eastAsia="宋体" w:cs="宋体"/>
          <w:b w:val="0"/>
          <w:bCs w:val="0"/>
          <w:spacing w:val="0"/>
          <w:w w:val="100"/>
          <w:kern w:val="21"/>
          <w:sz w:val="21"/>
          <w:szCs w:val="21"/>
        </w:rPr>
        <w:t>杆体所承受的风荷载计算方法按GB50009-2001《建筑结构荷载规范》的相关规定执行。整个立杆应有较高的安装强度，抗风等级为11级；在风速25M/S时，立杆最高处摆动幅度＜16MM，震动频率f＜0.2次/秒，在摄像机用高倍数镜头拍摄时，不会因为立杆的晃动而引起画面的抖动。</w:t>
      </w:r>
    </w:p>
    <w:p w14:paraId="47E1655E">
      <w:pPr>
        <w:pStyle w:val="7"/>
        <w:keepNext w:val="0"/>
        <w:keepLines w:val="0"/>
        <w:pageBreakBefore w:val="0"/>
        <w:widowControl w:val="0"/>
        <w:numPr>
          <w:ilvl w:val="2"/>
          <w:numId w:val="0"/>
        </w:numPr>
        <w:tabs>
          <w:tab w:val="left" w:pos="867"/>
        </w:tabs>
        <w:kinsoku/>
        <w:wordWrap/>
        <w:overflowPunct/>
        <w:topLinePunct w:val="0"/>
        <w:autoSpaceDE w:val="0"/>
        <w:autoSpaceDN w:val="0"/>
        <w:bidi w:val="0"/>
        <w:adjustRightInd/>
        <w:snapToGrid/>
        <w:spacing w:before="0" w:after="0" w:line="360" w:lineRule="auto"/>
        <w:ind w:left="0" w:leftChars="0" w:right="0" w:rightChars="0" w:firstLine="420" w:firstLineChars="200"/>
        <w:jc w:val="both"/>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i w:val="0"/>
          <w:iCs w:val="0"/>
          <w:spacing w:val="0"/>
          <w:w w:val="100"/>
          <w:kern w:val="21"/>
          <w:sz w:val="21"/>
          <w:szCs w:val="21"/>
          <w:lang w:val="en-US" w:eastAsia="zh-CN" w:bidi="ar-SA"/>
        </w:rPr>
        <w:t>9）</w:t>
      </w:r>
      <w:r>
        <w:rPr>
          <w:rFonts w:hint="eastAsia" w:ascii="宋体" w:hAnsi="宋体" w:eastAsia="宋体" w:cs="宋体"/>
          <w:b w:val="0"/>
          <w:bCs w:val="0"/>
          <w:spacing w:val="0"/>
          <w:w w:val="100"/>
          <w:kern w:val="21"/>
          <w:sz w:val="21"/>
          <w:szCs w:val="21"/>
        </w:rPr>
        <w:t>杆体所用的钢材，采用Q235普通碳素结构钢，其质量应符合国家标准GB/T700-1988《碳素结构钢》。</w:t>
      </w:r>
    </w:p>
    <w:p w14:paraId="0A078D6D">
      <w:pPr>
        <w:pStyle w:val="7"/>
        <w:keepNext w:val="0"/>
        <w:keepLines w:val="0"/>
        <w:pageBreakBefore w:val="0"/>
        <w:widowControl w:val="0"/>
        <w:numPr>
          <w:ilvl w:val="2"/>
          <w:numId w:val="0"/>
        </w:numPr>
        <w:tabs>
          <w:tab w:val="left" w:pos="1006"/>
        </w:tabs>
        <w:kinsoku/>
        <w:wordWrap/>
        <w:overflowPunct/>
        <w:topLinePunct w:val="0"/>
        <w:autoSpaceDE w:val="0"/>
        <w:autoSpaceDN w:val="0"/>
        <w:bidi w:val="0"/>
        <w:adjustRightInd/>
        <w:snapToGrid/>
        <w:spacing w:before="0" w:after="0" w:line="360" w:lineRule="auto"/>
        <w:ind w:left="0" w:leftChars="0" w:right="0" w:rightChars="0" w:firstLine="420" w:firstLineChars="200"/>
        <w:jc w:val="both"/>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i w:val="0"/>
          <w:iCs w:val="0"/>
          <w:spacing w:val="0"/>
          <w:w w:val="100"/>
          <w:kern w:val="21"/>
          <w:sz w:val="21"/>
          <w:szCs w:val="21"/>
          <w:lang w:val="en-US" w:eastAsia="zh-CN" w:bidi="ar-SA"/>
        </w:rPr>
        <w:t>10）</w:t>
      </w:r>
      <w:r>
        <w:rPr>
          <w:rFonts w:hint="eastAsia" w:ascii="宋体" w:hAnsi="宋体" w:eastAsia="宋体" w:cs="宋体"/>
          <w:b w:val="0"/>
          <w:bCs w:val="0"/>
          <w:spacing w:val="0"/>
          <w:w w:val="100"/>
          <w:kern w:val="21"/>
          <w:sz w:val="21"/>
          <w:szCs w:val="21"/>
        </w:rPr>
        <w:t>前端设备安装紧固螺栓采用C级螺栓，性能等级为4.8级以上。</w:t>
      </w:r>
    </w:p>
    <w:p w14:paraId="5E959FC2">
      <w:pPr>
        <w:pStyle w:val="7"/>
        <w:keepNext w:val="0"/>
        <w:keepLines w:val="0"/>
        <w:pageBreakBefore w:val="0"/>
        <w:widowControl w:val="0"/>
        <w:numPr>
          <w:ilvl w:val="2"/>
          <w:numId w:val="0"/>
        </w:numPr>
        <w:tabs>
          <w:tab w:val="left" w:pos="1006"/>
        </w:tabs>
        <w:kinsoku/>
        <w:wordWrap/>
        <w:overflowPunct/>
        <w:topLinePunct w:val="0"/>
        <w:autoSpaceDE w:val="0"/>
        <w:autoSpaceDN w:val="0"/>
        <w:bidi w:val="0"/>
        <w:adjustRightInd/>
        <w:snapToGrid/>
        <w:spacing w:before="0" w:after="0" w:line="360" w:lineRule="auto"/>
        <w:ind w:left="0" w:leftChars="0" w:right="0" w:rightChars="0" w:firstLine="420" w:firstLineChars="200"/>
        <w:jc w:val="both"/>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i w:val="0"/>
          <w:iCs w:val="0"/>
          <w:spacing w:val="0"/>
          <w:w w:val="100"/>
          <w:kern w:val="21"/>
          <w:sz w:val="21"/>
          <w:szCs w:val="21"/>
          <w:lang w:val="en-US" w:eastAsia="zh-CN" w:bidi="ar-SA"/>
        </w:rPr>
        <w:t>11）</w:t>
      </w:r>
      <w:r>
        <w:rPr>
          <w:rFonts w:hint="eastAsia" w:ascii="宋体" w:hAnsi="宋体" w:eastAsia="宋体" w:cs="宋体"/>
          <w:b w:val="0"/>
          <w:bCs w:val="0"/>
          <w:spacing w:val="0"/>
          <w:w w:val="100"/>
          <w:kern w:val="21"/>
          <w:sz w:val="21"/>
          <w:szCs w:val="21"/>
        </w:rPr>
        <w:t>地脚锚栓采用Q235钢或Q345钢。</w:t>
      </w:r>
    </w:p>
    <w:p w14:paraId="3C7E9190">
      <w:pPr>
        <w:pStyle w:val="7"/>
        <w:keepNext w:val="0"/>
        <w:keepLines w:val="0"/>
        <w:pageBreakBefore w:val="0"/>
        <w:widowControl w:val="0"/>
        <w:numPr>
          <w:ilvl w:val="2"/>
          <w:numId w:val="0"/>
        </w:numPr>
        <w:tabs>
          <w:tab w:val="left" w:pos="1006"/>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i w:val="0"/>
          <w:iCs w:val="0"/>
          <w:spacing w:val="0"/>
          <w:w w:val="100"/>
          <w:kern w:val="21"/>
          <w:sz w:val="21"/>
          <w:szCs w:val="21"/>
          <w:lang w:val="en-US" w:eastAsia="zh-CN" w:bidi="ar-SA"/>
        </w:rPr>
        <w:t>12）</w:t>
      </w:r>
      <w:r>
        <w:rPr>
          <w:rFonts w:hint="eastAsia" w:ascii="宋体" w:hAnsi="宋体" w:eastAsia="宋体" w:cs="宋体"/>
          <w:b w:val="0"/>
          <w:bCs w:val="0"/>
          <w:spacing w:val="0"/>
          <w:w w:val="100"/>
          <w:kern w:val="21"/>
          <w:sz w:val="21"/>
          <w:szCs w:val="21"/>
        </w:rPr>
        <w:t>杆体焊接符合下列要求：</w:t>
      </w:r>
    </w:p>
    <w:p w14:paraId="6BAB519E">
      <w:pPr>
        <w:pStyle w:val="7"/>
        <w:keepNext w:val="0"/>
        <w:keepLines w:val="0"/>
        <w:pageBreakBefore w:val="0"/>
        <w:widowControl w:val="0"/>
        <w:numPr>
          <w:ilvl w:val="2"/>
          <w:numId w:val="0"/>
        </w:numPr>
        <w:tabs>
          <w:tab w:val="left" w:pos="1006"/>
        </w:tabs>
        <w:kinsoku/>
        <w:wordWrap/>
        <w:overflowPunct/>
        <w:topLinePunct w:val="0"/>
        <w:autoSpaceDE w:val="0"/>
        <w:autoSpaceDN w:val="0"/>
        <w:bidi w:val="0"/>
        <w:adjustRightInd/>
        <w:snapToGrid/>
        <w:spacing w:before="0" w:after="0" w:line="360" w:lineRule="auto"/>
        <w:ind w:left="0" w:leftChars="0" w:right="0" w:rightChars="0" w:firstLine="420" w:firstLineChars="200"/>
        <w:jc w:val="both"/>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i w:val="0"/>
          <w:iCs w:val="0"/>
          <w:spacing w:val="0"/>
          <w:w w:val="100"/>
          <w:kern w:val="21"/>
          <w:sz w:val="21"/>
          <w:szCs w:val="21"/>
          <w:lang w:val="en-US" w:eastAsia="zh-CN" w:bidi="ar-SA"/>
        </w:rPr>
        <w:t>13）</w:t>
      </w:r>
      <w:r>
        <w:rPr>
          <w:rFonts w:hint="eastAsia" w:ascii="宋体" w:hAnsi="宋体" w:eastAsia="宋体" w:cs="宋体"/>
          <w:b w:val="0"/>
          <w:bCs w:val="0"/>
          <w:spacing w:val="0"/>
          <w:w w:val="100"/>
          <w:kern w:val="21"/>
          <w:sz w:val="21"/>
          <w:szCs w:val="21"/>
        </w:rPr>
        <w:t>主杆一次性焊接成型，中间不得驳接（底板、横臂除外），杆形流畅美观，采用自动氩气保护焊接成型或自动埋弧焊接成形，焊缝表面应均匀光滑，焊缝宽度约为4～6mm，熔透深度不小于3/4板厚，无堆焊、无气孔、无咬边，无影响强度的裂纹、夹渣、焊瘤、毛刺、漏焊、烧穿及褶皱现象，底板法兰盘与主杆间采用上下两条焊缝的焊接方式，焊缝应均匀饱满。</w:t>
      </w:r>
    </w:p>
    <w:p w14:paraId="7E297378">
      <w:pPr>
        <w:pStyle w:val="7"/>
        <w:keepNext w:val="0"/>
        <w:keepLines w:val="0"/>
        <w:pageBreakBefore w:val="0"/>
        <w:widowControl w:val="0"/>
        <w:numPr>
          <w:ilvl w:val="2"/>
          <w:numId w:val="0"/>
        </w:numPr>
        <w:tabs>
          <w:tab w:val="left" w:pos="1006"/>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i w:val="0"/>
          <w:iCs w:val="0"/>
          <w:spacing w:val="0"/>
          <w:w w:val="100"/>
          <w:kern w:val="21"/>
          <w:sz w:val="21"/>
          <w:szCs w:val="21"/>
          <w:lang w:val="en-US" w:eastAsia="zh-CN" w:bidi="ar-SA"/>
        </w:rPr>
        <w:t>14）</w:t>
      </w:r>
      <w:r>
        <w:rPr>
          <w:rFonts w:hint="eastAsia" w:ascii="宋体" w:hAnsi="宋体" w:eastAsia="宋体" w:cs="宋体"/>
          <w:b w:val="0"/>
          <w:bCs w:val="0"/>
          <w:spacing w:val="0"/>
          <w:w w:val="100"/>
          <w:kern w:val="21"/>
          <w:sz w:val="21"/>
          <w:szCs w:val="21"/>
        </w:rPr>
        <w:t>角焊缝连接时，构件端部的焊缝采用围焊，所有围焊的转角处必须连续施焊，焊条采用E43。</w:t>
      </w:r>
    </w:p>
    <w:p w14:paraId="4E32F65F">
      <w:pPr>
        <w:pStyle w:val="7"/>
        <w:keepNext w:val="0"/>
        <w:keepLines w:val="0"/>
        <w:pageBreakBefore w:val="0"/>
        <w:widowControl w:val="0"/>
        <w:numPr>
          <w:ilvl w:val="2"/>
          <w:numId w:val="0"/>
        </w:numPr>
        <w:tabs>
          <w:tab w:val="left" w:pos="987"/>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i w:val="0"/>
          <w:iCs w:val="0"/>
          <w:spacing w:val="0"/>
          <w:w w:val="100"/>
          <w:kern w:val="21"/>
          <w:sz w:val="21"/>
          <w:szCs w:val="21"/>
          <w:lang w:val="en-US" w:eastAsia="zh-CN" w:bidi="ar-SA"/>
        </w:rPr>
        <w:t>15）</w:t>
      </w:r>
      <w:r>
        <w:rPr>
          <w:rFonts w:hint="eastAsia" w:ascii="宋体" w:hAnsi="宋体" w:eastAsia="宋体" w:cs="宋体"/>
          <w:b w:val="0"/>
          <w:bCs w:val="0"/>
          <w:spacing w:val="0"/>
          <w:w w:val="100"/>
          <w:kern w:val="21"/>
          <w:sz w:val="21"/>
          <w:szCs w:val="21"/>
        </w:rPr>
        <w:t>焊接质量符合GB/T12469-1990《焊接质量保证钢熔化焊接头的要求和缺陷分级》及GB/T985-1998《气焊、手工电弧焊及气体保护焊条缝破口的基本形式与尺寸》的相关要求。</w:t>
      </w:r>
    </w:p>
    <w:p w14:paraId="79C675E2">
      <w:pPr>
        <w:pStyle w:val="7"/>
        <w:keepNext w:val="0"/>
        <w:keepLines w:val="0"/>
        <w:pageBreakBefore w:val="0"/>
        <w:widowControl w:val="0"/>
        <w:numPr>
          <w:ilvl w:val="2"/>
          <w:numId w:val="0"/>
        </w:numPr>
        <w:tabs>
          <w:tab w:val="left" w:pos="1066"/>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i w:val="0"/>
          <w:iCs w:val="0"/>
          <w:spacing w:val="0"/>
          <w:w w:val="100"/>
          <w:kern w:val="21"/>
          <w:sz w:val="21"/>
          <w:szCs w:val="21"/>
          <w:lang w:val="en-US" w:eastAsia="zh-CN" w:bidi="ar-SA"/>
        </w:rPr>
        <w:t>16）</w:t>
      </w:r>
      <w:r>
        <w:rPr>
          <w:rFonts w:hint="eastAsia" w:ascii="宋体" w:hAnsi="宋体" w:eastAsia="宋体" w:cs="宋体"/>
          <w:b w:val="0"/>
          <w:bCs w:val="0"/>
          <w:spacing w:val="0"/>
          <w:w w:val="100"/>
          <w:kern w:val="21"/>
          <w:sz w:val="21"/>
          <w:szCs w:val="21"/>
        </w:rPr>
        <w:t>杆体防腐处理符合下列要求：</w:t>
      </w:r>
    </w:p>
    <w:p w14:paraId="1D793EAB">
      <w:pPr>
        <w:pStyle w:val="7"/>
        <w:keepNext w:val="0"/>
        <w:keepLines w:val="0"/>
        <w:pageBreakBefore w:val="0"/>
        <w:widowControl w:val="0"/>
        <w:numPr>
          <w:ilvl w:val="0"/>
          <w:numId w:val="0"/>
        </w:numPr>
        <w:tabs>
          <w:tab w:val="left" w:pos="1126"/>
        </w:tabs>
        <w:kinsoku/>
        <w:wordWrap/>
        <w:overflowPunct/>
        <w:topLinePunct w:val="0"/>
        <w:autoSpaceDE w:val="0"/>
        <w:autoSpaceDN w:val="0"/>
        <w:bidi w:val="0"/>
        <w:adjustRightInd/>
        <w:snapToGrid/>
        <w:spacing w:before="0" w:after="0" w:line="360" w:lineRule="auto"/>
        <w:ind w:left="0" w:leftChars="0" w:right="0" w:rightChars="0" w:firstLine="420" w:firstLineChars="200"/>
        <w:jc w:val="both"/>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i w:val="0"/>
          <w:iCs w:val="0"/>
          <w:spacing w:val="0"/>
          <w:w w:val="100"/>
          <w:kern w:val="21"/>
          <w:sz w:val="21"/>
          <w:szCs w:val="21"/>
          <w:lang w:val="en-US" w:eastAsia="zh-CN" w:bidi="ar-SA"/>
        </w:rPr>
        <w:t>（1）</w:t>
      </w:r>
      <w:r>
        <w:rPr>
          <w:rFonts w:hint="eastAsia" w:ascii="宋体" w:hAnsi="宋体" w:eastAsia="宋体" w:cs="宋体"/>
          <w:b w:val="0"/>
          <w:bCs w:val="0"/>
          <w:spacing w:val="0"/>
          <w:w w:val="100"/>
          <w:kern w:val="21"/>
          <w:sz w:val="21"/>
          <w:szCs w:val="21"/>
        </w:rPr>
        <w:t>防腐质量应符合GB/T9790-1988《金属覆盖层及其他有关覆盖层维氏和努氏显微硬度试验》、GB/T36011-1989《钢铁热浸铝工艺及质量检验》和GB/T11373-1989《热喷涂金属件表面预处理通则》的相关要求。</w:t>
      </w:r>
    </w:p>
    <w:p w14:paraId="4C72247F">
      <w:pPr>
        <w:pStyle w:val="7"/>
        <w:keepNext w:val="0"/>
        <w:keepLines w:val="0"/>
        <w:pageBreakBefore w:val="0"/>
        <w:widowControl w:val="0"/>
        <w:numPr>
          <w:ilvl w:val="0"/>
          <w:numId w:val="0"/>
        </w:numPr>
        <w:tabs>
          <w:tab w:val="left" w:pos="1546"/>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i w:val="0"/>
          <w:iCs w:val="0"/>
          <w:spacing w:val="0"/>
          <w:w w:val="100"/>
          <w:kern w:val="21"/>
          <w:sz w:val="21"/>
          <w:szCs w:val="21"/>
          <w:lang w:val="en-US" w:eastAsia="zh-CN" w:bidi="ar-SA"/>
        </w:rPr>
        <w:t>（2）</w:t>
      </w:r>
      <w:r>
        <w:rPr>
          <w:rFonts w:hint="eastAsia" w:ascii="宋体" w:hAnsi="宋体" w:eastAsia="宋体" w:cs="宋体"/>
          <w:b w:val="0"/>
          <w:bCs w:val="0"/>
          <w:spacing w:val="0"/>
          <w:w w:val="100"/>
          <w:kern w:val="21"/>
          <w:sz w:val="21"/>
          <w:szCs w:val="21"/>
        </w:rPr>
        <w:t>构件热镀锌之前必须进行酸洗除锈处理。</w:t>
      </w:r>
    </w:p>
    <w:p w14:paraId="3E35E12E">
      <w:pPr>
        <w:pStyle w:val="7"/>
        <w:keepNext w:val="0"/>
        <w:keepLines w:val="0"/>
        <w:pageBreakBefore w:val="0"/>
        <w:widowControl w:val="0"/>
        <w:numPr>
          <w:ilvl w:val="0"/>
          <w:numId w:val="0"/>
        </w:numPr>
        <w:tabs>
          <w:tab w:val="left" w:pos="1546"/>
        </w:tabs>
        <w:kinsoku/>
        <w:wordWrap/>
        <w:overflowPunct/>
        <w:topLinePunct w:val="0"/>
        <w:autoSpaceDE w:val="0"/>
        <w:autoSpaceDN w:val="0"/>
        <w:bidi w:val="0"/>
        <w:adjustRightInd/>
        <w:snapToGrid/>
        <w:spacing w:before="0" w:after="0" w:line="360" w:lineRule="auto"/>
        <w:ind w:left="0" w:leftChars="0" w:right="0" w:rightChars="0" w:firstLine="420" w:firstLineChars="200"/>
        <w:jc w:val="both"/>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i w:val="0"/>
          <w:iCs w:val="0"/>
          <w:spacing w:val="0"/>
          <w:w w:val="100"/>
          <w:kern w:val="21"/>
          <w:sz w:val="21"/>
          <w:szCs w:val="21"/>
          <w:lang w:val="en-US" w:eastAsia="zh-CN" w:bidi="ar-SA"/>
        </w:rPr>
        <w:t>（3）</w:t>
      </w:r>
      <w:r>
        <w:rPr>
          <w:rFonts w:hint="eastAsia" w:ascii="宋体" w:hAnsi="宋体" w:eastAsia="宋体" w:cs="宋体"/>
          <w:b w:val="0"/>
          <w:bCs w:val="0"/>
          <w:spacing w:val="0"/>
          <w:w w:val="100"/>
          <w:kern w:val="21"/>
          <w:sz w:val="21"/>
          <w:szCs w:val="21"/>
        </w:rPr>
        <w:t>镀件厚度小于5mm时，镀锌厚度不小于65μm；镀件厚度大于或等于5mm时，镀锌厚度不小于80μm；镀锌厚度偏差应小于10μm，表面无发黑、粗糙、流痕、锌粒、锌渣等现象。</w:t>
      </w:r>
    </w:p>
    <w:p w14:paraId="7EF2D8CF">
      <w:pPr>
        <w:pStyle w:val="7"/>
        <w:keepNext w:val="0"/>
        <w:keepLines w:val="0"/>
        <w:pageBreakBefore w:val="0"/>
        <w:widowControl w:val="0"/>
        <w:numPr>
          <w:ilvl w:val="0"/>
          <w:numId w:val="0"/>
        </w:numPr>
        <w:tabs>
          <w:tab w:val="left" w:pos="1507"/>
        </w:tabs>
        <w:kinsoku/>
        <w:wordWrap/>
        <w:overflowPunct/>
        <w:topLinePunct w:val="0"/>
        <w:autoSpaceDE w:val="0"/>
        <w:autoSpaceDN w:val="0"/>
        <w:bidi w:val="0"/>
        <w:adjustRightInd/>
        <w:snapToGrid/>
        <w:spacing w:before="0" w:after="0" w:line="360" w:lineRule="auto"/>
        <w:ind w:left="0" w:leftChars="0" w:right="0" w:rightChars="0" w:firstLine="420" w:firstLineChars="200"/>
        <w:jc w:val="both"/>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i w:val="0"/>
          <w:iCs w:val="0"/>
          <w:spacing w:val="0"/>
          <w:w w:val="100"/>
          <w:kern w:val="21"/>
          <w:sz w:val="21"/>
          <w:szCs w:val="21"/>
          <w:lang w:val="en-US" w:eastAsia="zh-CN" w:bidi="ar-SA"/>
        </w:rPr>
        <w:t>（4）</w:t>
      </w:r>
      <w:r>
        <w:rPr>
          <w:rFonts w:hint="eastAsia" w:ascii="宋体" w:hAnsi="宋体" w:eastAsia="宋体" w:cs="宋体"/>
          <w:b w:val="0"/>
          <w:bCs w:val="0"/>
          <w:spacing w:val="0"/>
          <w:w w:val="100"/>
          <w:kern w:val="21"/>
          <w:sz w:val="21"/>
          <w:szCs w:val="21"/>
        </w:rPr>
        <w:t>外表面宜采用室外耐候性纯聚酯粉末，经高压静电喷涂，涂层平均厚度在70μｍ以上。杆体表面颜色一致、光滑、无微粒、无橘皮现象。喷涂质量应符合GB/T5210-1985《涂层附着力的测定法拉开法》和GB/T6739-1996《涂膜硬度铅笔测定法》的相关要求。</w:t>
      </w:r>
    </w:p>
    <w:p w14:paraId="2BDA1F2A">
      <w:pPr>
        <w:pStyle w:val="4"/>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0" w:firstLineChars="200"/>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17)杆体外形设计采用简洁、流畅的线条，做到美观大方，具有现代感；杆体颜色应与现场环境相协调，应采用浅灰色。</w:t>
      </w:r>
    </w:p>
    <w:p w14:paraId="1C804EE3">
      <w:pPr>
        <w:keepNext w:val="0"/>
        <w:keepLines w:val="0"/>
        <w:pageBreakBefore w:val="0"/>
        <w:widowControl w:val="0"/>
        <w:numPr>
          <w:ilvl w:val="1"/>
          <w:numId w:val="0"/>
        </w:numPr>
        <w:tabs>
          <w:tab w:val="left" w:pos="847"/>
        </w:tabs>
        <w:kinsoku/>
        <w:wordWrap/>
        <w:overflowPunct/>
        <w:topLinePunct w:val="0"/>
        <w:autoSpaceDE w:val="0"/>
        <w:autoSpaceDN w:val="0"/>
        <w:bidi w:val="0"/>
        <w:adjustRightInd/>
        <w:snapToGrid/>
        <w:spacing w:before="0" w:after="0" w:line="360" w:lineRule="auto"/>
        <w:ind w:left="0" w:leftChars="0" w:right="0" w:rightChars="0" w:firstLine="422" w:firstLineChars="200"/>
        <w:jc w:val="left"/>
        <w:textAlignment w:val="auto"/>
        <w:outlineLvl w:val="9"/>
        <w:rPr>
          <w:rFonts w:hint="eastAsia" w:ascii="宋体" w:hAnsi="宋体" w:eastAsia="宋体" w:cs="宋体"/>
          <w:b/>
          <w:bCs/>
          <w:spacing w:val="0"/>
          <w:w w:val="100"/>
          <w:kern w:val="21"/>
          <w:sz w:val="21"/>
          <w:szCs w:val="21"/>
        </w:rPr>
      </w:pPr>
      <w:r>
        <w:rPr>
          <w:rFonts w:hint="eastAsia" w:ascii="宋体" w:hAnsi="宋体" w:eastAsia="宋体" w:cs="宋体"/>
          <w:b/>
          <w:bCs/>
          <w:i w:val="0"/>
          <w:iCs w:val="0"/>
          <w:spacing w:val="0"/>
          <w:w w:val="100"/>
          <w:kern w:val="21"/>
          <w:sz w:val="21"/>
          <w:szCs w:val="21"/>
          <w:lang w:val="en-US" w:eastAsia="zh-CN" w:bidi="ar-SA"/>
        </w:rPr>
        <w:t>9.4</w:t>
      </w:r>
      <w:r>
        <w:rPr>
          <w:rFonts w:hint="eastAsia" w:ascii="宋体" w:hAnsi="宋体" w:eastAsia="宋体" w:cs="宋体"/>
          <w:b/>
          <w:bCs/>
          <w:spacing w:val="0"/>
          <w:w w:val="100"/>
          <w:kern w:val="21"/>
          <w:sz w:val="21"/>
          <w:szCs w:val="21"/>
        </w:rPr>
        <w:t>杆件选型</w:t>
      </w:r>
    </w:p>
    <w:p w14:paraId="5D457ED4">
      <w:pPr>
        <w:pStyle w:val="7"/>
        <w:keepNext w:val="0"/>
        <w:keepLines w:val="0"/>
        <w:pageBreakBefore w:val="0"/>
        <w:widowControl w:val="0"/>
        <w:numPr>
          <w:ilvl w:val="2"/>
          <w:numId w:val="0"/>
        </w:numPr>
        <w:tabs>
          <w:tab w:val="left" w:pos="1306"/>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i w:val="0"/>
          <w:iCs w:val="0"/>
          <w:spacing w:val="0"/>
          <w:w w:val="100"/>
          <w:kern w:val="21"/>
          <w:sz w:val="21"/>
          <w:szCs w:val="21"/>
          <w:lang w:val="en-US" w:eastAsia="zh-CN" w:bidi="ar-SA"/>
        </w:rPr>
        <w:t>1）</w:t>
      </w:r>
      <w:r>
        <w:rPr>
          <w:rFonts w:hint="eastAsia" w:ascii="宋体" w:hAnsi="宋体" w:eastAsia="宋体" w:cs="宋体"/>
          <w:b w:val="0"/>
          <w:bCs w:val="0"/>
          <w:spacing w:val="0"/>
          <w:w w:val="100"/>
          <w:kern w:val="21"/>
          <w:sz w:val="21"/>
          <w:szCs w:val="21"/>
        </w:rPr>
        <w:t>应根据监测要求及现场实际环境，选择适当规格的结构杆件；</w:t>
      </w:r>
    </w:p>
    <w:p w14:paraId="2D4A510F">
      <w:pPr>
        <w:pStyle w:val="7"/>
        <w:keepNext w:val="0"/>
        <w:keepLines w:val="0"/>
        <w:pageBreakBefore w:val="0"/>
        <w:widowControl w:val="0"/>
        <w:numPr>
          <w:ilvl w:val="2"/>
          <w:numId w:val="0"/>
        </w:numPr>
        <w:tabs>
          <w:tab w:val="left" w:pos="1292"/>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i w:val="0"/>
          <w:iCs w:val="0"/>
          <w:spacing w:val="0"/>
          <w:w w:val="100"/>
          <w:kern w:val="21"/>
          <w:sz w:val="21"/>
          <w:szCs w:val="21"/>
          <w:lang w:val="en-US" w:eastAsia="zh-CN" w:bidi="ar-SA"/>
        </w:rPr>
        <w:t>2）</w:t>
      </w:r>
      <w:r>
        <w:rPr>
          <w:rFonts w:hint="eastAsia" w:ascii="宋体" w:hAnsi="宋体" w:eastAsia="宋体" w:cs="宋体"/>
          <w:b w:val="0"/>
          <w:bCs w:val="0"/>
          <w:spacing w:val="0"/>
          <w:w w:val="100"/>
          <w:kern w:val="21"/>
          <w:sz w:val="21"/>
          <w:szCs w:val="21"/>
        </w:rPr>
        <w:t>同一个广场、同一条道路或者同一个区域应安装同一类型杆体。特殊情况下，应按照需要监视的范围及避免摄像机被遮挡的原则选用合适杆体。</w:t>
      </w:r>
    </w:p>
    <w:p w14:paraId="4F869C61">
      <w:pPr>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2" w:firstLineChars="200"/>
        <w:textAlignment w:val="auto"/>
        <w:outlineLvl w:val="9"/>
        <w:rPr>
          <w:rFonts w:hint="eastAsia" w:ascii="宋体" w:hAnsi="宋体" w:eastAsia="宋体" w:cs="宋体"/>
          <w:b/>
          <w:bCs/>
          <w:spacing w:val="0"/>
          <w:w w:val="100"/>
          <w:kern w:val="21"/>
          <w:sz w:val="21"/>
          <w:szCs w:val="21"/>
        </w:rPr>
      </w:pPr>
      <w:r>
        <w:rPr>
          <w:rFonts w:hint="eastAsia" w:ascii="宋体" w:hAnsi="宋体" w:eastAsia="宋体" w:cs="宋体"/>
          <w:b/>
          <w:bCs/>
          <w:spacing w:val="0"/>
          <w:w w:val="100"/>
          <w:kern w:val="21"/>
          <w:sz w:val="21"/>
          <w:szCs w:val="21"/>
        </w:rPr>
        <w:t>9.4杆件的安装</w:t>
      </w:r>
    </w:p>
    <w:p w14:paraId="161D75AB">
      <w:pPr>
        <w:pStyle w:val="7"/>
        <w:keepNext w:val="0"/>
        <w:keepLines w:val="0"/>
        <w:pageBreakBefore w:val="0"/>
        <w:widowControl w:val="0"/>
        <w:numPr>
          <w:ilvl w:val="0"/>
          <w:numId w:val="0"/>
        </w:numPr>
        <w:tabs>
          <w:tab w:val="left" w:pos="1306"/>
        </w:tabs>
        <w:kinsoku/>
        <w:wordWrap/>
        <w:overflowPunct/>
        <w:topLinePunct w:val="0"/>
        <w:autoSpaceDE w:val="0"/>
        <w:autoSpaceDN w:val="0"/>
        <w:bidi w:val="0"/>
        <w:adjustRightInd/>
        <w:snapToGrid/>
        <w:spacing w:before="0" w:after="0" w:line="360" w:lineRule="auto"/>
        <w:ind w:left="0" w:leftChars="0" w:right="0" w:rightChars="0" w:firstLine="420" w:firstLineChars="200"/>
        <w:jc w:val="both"/>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i w:val="0"/>
          <w:iCs w:val="0"/>
          <w:spacing w:val="0"/>
          <w:w w:val="100"/>
          <w:kern w:val="21"/>
          <w:sz w:val="21"/>
          <w:szCs w:val="21"/>
          <w:lang w:val="en-US" w:eastAsia="zh-CN" w:bidi="ar-SA"/>
        </w:rPr>
        <w:t>1）</w:t>
      </w:r>
      <w:r>
        <w:rPr>
          <w:rFonts w:hint="eastAsia" w:ascii="宋体" w:hAnsi="宋体" w:eastAsia="宋体" w:cs="宋体"/>
          <w:b w:val="0"/>
          <w:bCs w:val="0"/>
          <w:spacing w:val="0"/>
          <w:w w:val="100"/>
          <w:kern w:val="21"/>
          <w:sz w:val="21"/>
          <w:szCs w:val="21"/>
        </w:rPr>
        <w:t>结构杆件采用混凝土基础，基础应落在坚实土层上，要求地基承载力特征值fak≥100kPa。持力层以下如有软弱土层或地基承载力达不到设计要求时采用基础底人工施打松木桩。施打松木桩后夯实底土再做基础，基础开挖后应回填不少于200mm厚的砂石，要求处理后的地基承载力特征值达到设计要求。</w:t>
      </w:r>
    </w:p>
    <w:p w14:paraId="29974297">
      <w:pPr>
        <w:pStyle w:val="7"/>
        <w:keepNext w:val="0"/>
        <w:keepLines w:val="0"/>
        <w:pageBreakBefore w:val="0"/>
        <w:widowControl w:val="0"/>
        <w:numPr>
          <w:ilvl w:val="0"/>
          <w:numId w:val="0"/>
        </w:numPr>
        <w:tabs>
          <w:tab w:val="left" w:pos="1246"/>
        </w:tabs>
        <w:kinsoku/>
        <w:wordWrap/>
        <w:overflowPunct/>
        <w:topLinePunct w:val="0"/>
        <w:autoSpaceDE w:val="0"/>
        <w:autoSpaceDN w:val="0"/>
        <w:bidi w:val="0"/>
        <w:adjustRightInd/>
        <w:snapToGrid/>
        <w:spacing w:before="0" w:after="0" w:line="360" w:lineRule="auto"/>
        <w:ind w:left="0" w:leftChars="0" w:right="0" w:rightChars="0" w:firstLine="420" w:firstLineChars="200"/>
        <w:jc w:val="both"/>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i w:val="0"/>
          <w:iCs w:val="0"/>
          <w:spacing w:val="0"/>
          <w:w w:val="100"/>
          <w:kern w:val="21"/>
          <w:sz w:val="21"/>
          <w:szCs w:val="21"/>
          <w:lang w:val="en-US" w:eastAsia="zh-CN" w:bidi="ar-SA"/>
        </w:rPr>
        <w:t>2）</w:t>
      </w:r>
      <w:r>
        <w:rPr>
          <w:rFonts w:hint="eastAsia" w:ascii="宋体" w:hAnsi="宋体" w:eastAsia="宋体" w:cs="宋体"/>
          <w:b w:val="0"/>
          <w:bCs w:val="0"/>
          <w:spacing w:val="0"/>
          <w:w w:val="100"/>
          <w:kern w:val="21"/>
          <w:sz w:val="21"/>
          <w:szCs w:val="21"/>
        </w:rPr>
        <w:t>建筑基础时应与接地线的埋设同时进行，基础的大小应根据表4.2-1选择与杆体规格相应的尺寸。</w:t>
      </w:r>
    </w:p>
    <w:p w14:paraId="40D6CF14">
      <w:pPr>
        <w:pStyle w:val="7"/>
        <w:keepNext w:val="0"/>
        <w:keepLines w:val="0"/>
        <w:pageBreakBefore w:val="0"/>
        <w:widowControl w:val="0"/>
        <w:numPr>
          <w:ilvl w:val="0"/>
          <w:numId w:val="0"/>
        </w:numPr>
        <w:tabs>
          <w:tab w:val="left" w:pos="1306"/>
        </w:tabs>
        <w:kinsoku/>
        <w:wordWrap/>
        <w:overflowPunct/>
        <w:topLinePunct w:val="0"/>
        <w:autoSpaceDE w:val="0"/>
        <w:autoSpaceDN w:val="0"/>
        <w:bidi w:val="0"/>
        <w:adjustRightInd/>
        <w:snapToGrid/>
        <w:spacing w:before="0" w:after="0" w:line="360" w:lineRule="auto"/>
        <w:ind w:left="0" w:leftChars="0" w:right="0" w:rightChars="0" w:firstLine="420" w:firstLineChars="200"/>
        <w:jc w:val="both"/>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i w:val="0"/>
          <w:iCs w:val="0"/>
          <w:spacing w:val="0"/>
          <w:w w:val="100"/>
          <w:kern w:val="21"/>
          <w:sz w:val="21"/>
          <w:szCs w:val="21"/>
          <w:lang w:val="en-US" w:eastAsia="zh-CN" w:bidi="ar-SA"/>
        </w:rPr>
        <w:t>3）</w:t>
      </w:r>
      <w:r>
        <w:rPr>
          <w:rFonts w:hint="eastAsia" w:ascii="宋体" w:hAnsi="宋体" w:eastAsia="宋体" w:cs="宋体"/>
          <w:b w:val="0"/>
          <w:bCs w:val="0"/>
          <w:spacing w:val="0"/>
          <w:w w:val="100"/>
          <w:kern w:val="21"/>
          <w:sz w:val="21"/>
          <w:szCs w:val="21"/>
        </w:rPr>
        <w:t>杆件地脚锚栓采用不小于40mm×4mm镀锌扁钢互焊连通，并引出与接地体焊接。</w:t>
      </w:r>
    </w:p>
    <w:p w14:paraId="321F4EFA">
      <w:pPr>
        <w:pStyle w:val="7"/>
        <w:keepNext w:val="0"/>
        <w:keepLines w:val="0"/>
        <w:pageBreakBefore w:val="0"/>
        <w:widowControl w:val="0"/>
        <w:numPr>
          <w:ilvl w:val="0"/>
          <w:numId w:val="0"/>
        </w:numPr>
        <w:tabs>
          <w:tab w:val="left" w:pos="1306"/>
        </w:tabs>
        <w:kinsoku/>
        <w:wordWrap/>
        <w:overflowPunct/>
        <w:topLinePunct w:val="0"/>
        <w:autoSpaceDE w:val="0"/>
        <w:autoSpaceDN w:val="0"/>
        <w:bidi w:val="0"/>
        <w:adjustRightInd/>
        <w:snapToGrid/>
        <w:spacing w:before="0" w:after="0" w:line="360" w:lineRule="auto"/>
        <w:ind w:left="0" w:leftChars="0" w:right="0" w:rightChars="0" w:firstLine="420" w:firstLineChars="200"/>
        <w:jc w:val="both"/>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i w:val="0"/>
          <w:iCs w:val="0"/>
          <w:spacing w:val="0"/>
          <w:w w:val="100"/>
          <w:kern w:val="21"/>
          <w:sz w:val="21"/>
          <w:szCs w:val="21"/>
          <w:lang w:val="en-US" w:eastAsia="zh-CN" w:bidi="ar-SA"/>
        </w:rPr>
        <w:t>4）</w:t>
      </w:r>
      <w:r>
        <w:rPr>
          <w:rFonts w:hint="eastAsia" w:ascii="宋体" w:hAnsi="宋体" w:eastAsia="宋体" w:cs="宋体"/>
          <w:b w:val="0"/>
          <w:bCs w:val="0"/>
          <w:spacing w:val="0"/>
          <w:w w:val="100"/>
          <w:kern w:val="21"/>
          <w:sz w:val="21"/>
          <w:szCs w:val="21"/>
        </w:rPr>
        <w:t>基础采用C25混凝土；必须在基础混凝土强度达到100%后才可以安装上部杆件。</w:t>
      </w:r>
    </w:p>
    <w:p w14:paraId="5022CA32">
      <w:pPr>
        <w:pStyle w:val="7"/>
        <w:keepNext w:val="0"/>
        <w:keepLines w:val="0"/>
        <w:pageBreakBefore w:val="0"/>
        <w:widowControl w:val="0"/>
        <w:numPr>
          <w:ilvl w:val="0"/>
          <w:numId w:val="0"/>
        </w:numPr>
        <w:tabs>
          <w:tab w:val="left" w:pos="1306"/>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i w:val="0"/>
          <w:iCs w:val="0"/>
          <w:spacing w:val="0"/>
          <w:w w:val="100"/>
          <w:kern w:val="21"/>
          <w:sz w:val="21"/>
          <w:szCs w:val="21"/>
          <w:lang w:val="en-US" w:eastAsia="zh-CN" w:bidi="ar-SA"/>
        </w:rPr>
        <w:t>5）</w:t>
      </w:r>
      <w:r>
        <w:rPr>
          <w:rFonts w:hint="eastAsia" w:ascii="宋体" w:hAnsi="宋体" w:eastAsia="宋体" w:cs="宋体"/>
          <w:b w:val="0"/>
          <w:bCs w:val="0"/>
          <w:spacing w:val="0"/>
          <w:w w:val="100"/>
          <w:kern w:val="21"/>
          <w:sz w:val="21"/>
          <w:szCs w:val="21"/>
        </w:rPr>
        <w:t>主杆与横臂的连接应采用螺栓固定。</w:t>
      </w:r>
    </w:p>
    <w:p w14:paraId="2C02D544">
      <w:pPr>
        <w:pStyle w:val="7"/>
        <w:keepNext w:val="0"/>
        <w:keepLines w:val="0"/>
        <w:pageBreakBefore w:val="0"/>
        <w:widowControl w:val="0"/>
        <w:numPr>
          <w:ilvl w:val="0"/>
          <w:numId w:val="0"/>
        </w:numPr>
        <w:tabs>
          <w:tab w:val="left" w:pos="1306"/>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i w:val="0"/>
          <w:iCs w:val="0"/>
          <w:spacing w:val="0"/>
          <w:w w:val="100"/>
          <w:kern w:val="21"/>
          <w:sz w:val="21"/>
          <w:szCs w:val="21"/>
          <w:lang w:val="en-US" w:eastAsia="zh-CN" w:bidi="ar-SA"/>
        </w:rPr>
        <w:t>6）</w:t>
      </w:r>
      <w:r>
        <w:rPr>
          <w:rFonts w:hint="eastAsia" w:ascii="宋体" w:hAnsi="宋体" w:eastAsia="宋体" w:cs="宋体"/>
          <w:b w:val="0"/>
          <w:bCs w:val="0"/>
          <w:spacing w:val="0"/>
          <w:w w:val="100"/>
          <w:kern w:val="21"/>
          <w:sz w:val="21"/>
          <w:szCs w:val="21"/>
        </w:rPr>
        <w:t>杆体上所有预留出线孔的开口上部应做防水倒角。</w:t>
      </w:r>
    </w:p>
    <w:p w14:paraId="13742FED">
      <w:pPr>
        <w:pStyle w:val="7"/>
        <w:keepNext w:val="0"/>
        <w:keepLines w:val="0"/>
        <w:pageBreakBefore w:val="0"/>
        <w:widowControl w:val="0"/>
        <w:numPr>
          <w:ilvl w:val="0"/>
          <w:numId w:val="0"/>
        </w:numPr>
        <w:tabs>
          <w:tab w:val="left" w:pos="1306"/>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i w:val="0"/>
          <w:iCs w:val="0"/>
          <w:spacing w:val="0"/>
          <w:w w:val="100"/>
          <w:kern w:val="21"/>
          <w:sz w:val="21"/>
          <w:szCs w:val="21"/>
          <w:lang w:val="en-US" w:eastAsia="zh-CN" w:bidi="ar-SA"/>
        </w:rPr>
        <w:t>7）</w:t>
      </w:r>
      <w:r>
        <w:rPr>
          <w:rFonts w:hint="eastAsia" w:ascii="宋体" w:hAnsi="宋体" w:eastAsia="宋体" w:cs="宋体"/>
          <w:b w:val="0"/>
          <w:bCs w:val="0"/>
          <w:spacing w:val="0"/>
          <w:w w:val="100"/>
          <w:kern w:val="21"/>
          <w:sz w:val="21"/>
          <w:szCs w:val="21"/>
        </w:rPr>
        <w:t>各线缆出线口要保证光滑，以防线缆刮伤；线缆安装后应用胶垫封闭，防止进水。</w:t>
      </w:r>
    </w:p>
    <w:p w14:paraId="73BE56EC">
      <w:pPr>
        <w:pStyle w:val="7"/>
        <w:keepNext w:val="0"/>
        <w:keepLines w:val="0"/>
        <w:pageBreakBefore w:val="0"/>
        <w:widowControl w:val="0"/>
        <w:numPr>
          <w:ilvl w:val="0"/>
          <w:numId w:val="0"/>
        </w:numPr>
        <w:tabs>
          <w:tab w:val="left" w:pos="1306"/>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i w:val="0"/>
          <w:iCs w:val="0"/>
          <w:spacing w:val="0"/>
          <w:w w:val="100"/>
          <w:kern w:val="21"/>
          <w:sz w:val="21"/>
          <w:szCs w:val="21"/>
          <w:lang w:val="en-US" w:eastAsia="zh-CN" w:bidi="ar-SA"/>
        </w:rPr>
        <w:t>8）</w:t>
      </w:r>
      <w:r>
        <w:rPr>
          <w:rFonts w:hint="eastAsia" w:ascii="宋体" w:hAnsi="宋体" w:eastAsia="宋体" w:cs="宋体"/>
          <w:b w:val="0"/>
          <w:bCs w:val="0"/>
          <w:spacing w:val="0"/>
          <w:w w:val="100"/>
          <w:kern w:val="21"/>
          <w:sz w:val="21"/>
          <w:szCs w:val="21"/>
        </w:rPr>
        <w:t>各突出槽线孔未使用时应加盖盖板，上下两端用螺栓固定。</w:t>
      </w:r>
    </w:p>
    <w:p w14:paraId="7F64A11E">
      <w:pPr>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0" w:firstLineChars="200"/>
        <w:jc w:val="left"/>
        <w:textAlignment w:val="auto"/>
        <w:outlineLvl w:val="9"/>
        <w:rPr>
          <w:rFonts w:hint="eastAsia" w:ascii="宋体" w:hAnsi="宋体" w:eastAsia="宋体" w:cs="宋体"/>
          <w:b w:val="0"/>
          <w:bCs w:val="0"/>
          <w:spacing w:val="0"/>
          <w:w w:val="100"/>
          <w:kern w:val="21"/>
          <w:sz w:val="21"/>
          <w:szCs w:val="21"/>
        </w:rPr>
      </w:pPr>
      <w:r>
        <w:rPr>
          <w:rFonts w:hint="eastAsia" w:cs="宋体"/>
          <w:b w:val="0"/>
          <w:bCs w:val="0"/>
          <w:spacing w:val="0"/>
          <w:w w:val="100"/>
          <w:kern w:val="21"/>
          <w:sz w:val="21"/>
          <w:szCs w:val="21"/>
          <w:lang w:val="en-US" w:eastAsia="zh-CN"/>
        </w:rPr>
        <w:t>9）</w:t>
      </w:r>
      <w:r>
        <w:rPr>
          <w:rFonts w:hint="eastAsia" w:ascii="宋体" w:hAnsi="宋体" w:eastAsia="宋体" w:cs="宋体"/>
          <w:b w:val="0"/>
          <w:bCs w:val="0"/>
          <w:spacing w:val="0"/>
          <w:w w:val="100"/>
          <w:kern w:val="21"/>
          <w:sz w:val="21"/>
          <w:szCs w:val="21"/>
        </w:rPr>
        <w:t>杆上配电线引入口设计应合理，地线穿孔大小应合适，且在穿孔处需要有额外的加固措施。</w:t>
      </w:r>
    </w:p>
    <w:p w14:paraId="04DCE897">
      <w:pPr>
        <w:keepNext w:val="0"/>
        <w:keepLines w:val="0"/>
        <w:pageBreakBefore w:val="0"/>
        <w:widowControl w:val="0"/>
        <w:kinsoku/>
        <w:wordWrap/>
        <w:overflowPunct/>
        <w:topLinePunct w:val="0"/>
        <w:autoSpaceDE w:val="0"/>
        <w:autoSpaceDN w:val="0"/>
        <w:bidi w:val="0"/>
        <w:adjustRightInd/>
        <w:snapToGrid/>
        <w:spacing w:before="0" w:line="360" w:lineRule="auto"/>
        <w:ind w:right="0"/>
        <w:textAlignment w:val="auto"/>
        <w:outlineLvl w:val="9"/>
        <w:rPr>
          <w:rFonts w:hint="eastAsia" w:ascii="宋体" w:hAnsi="宋体" w:eastAsia="宋体" w:cs="宋体"/>
          <w:b/>
          <w:bCs/>
          <w:spacing w:val="0"/>
          <w:w w:val="100"/>
          <w:kern w:val="21"/>
          <w:sz w:val="21"/>
          <w:szCs w:val="21"/>
        </w:rPr>
      </w:pPr>
      <w:r>
        <w:rPr>
          <w:rFonts w:hint="eastAsia" w:ascii="宋体" w:hAnsi="宋体" w:eastAsia="宋体" w:cs="宋体"/>
          <w:b/>
          <w:bCs/>
          <w:spacing w:val="0"/>
          <w:w w:val="100"/>
          <w:kern w:val="21"/>
          <w:sz w:val="21"/>
          <w:szCs w:val="21"/>
        </w:rPr>
        <w:t>十、系统接入及调试</w:t>
      </w:r>
    </w:p>
    <w:p w14:paraId="3C7FAC80">
      <w:pPr>
        <w:pStyle w:val="4"/>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0" w:firstLineChars="200"/>
        <w:jc w:val="both"/>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系统建设完成、调试后，供应商应按照《公路工程质量检验评定标准第二册机电工程》JTG2182-20204.6进行自测，自测除满足国家行业通用要求之外，还应该达到如下技术要求方可接入平台：</w:t>
      </w:r>
    </w:p>
    <w:p w14:paraId="3076CD66">
      <w:pPr>
        <w:pStyle w:val="7"/>
        <w:keepNext w:val="0"/>
        <w:keepLines w:val="0"/>
        <w:pageBreakBefore w:val="0"/>
        <w:widowControl w:val="0"/>
        <w:numPr>
          <w:ilvl w:val="0"/>
          <w:numId w:val="0"/>
        </w:numPr>
        <w:tabs>
          <w:tab w:val="left" w:pos="1304"/>
        </w:tabs>
        <w:kinsoku/>
        <w:wordWrap/>
        <w:overflowPunct/>
        <w:topLinePunct w:val="0"/>
        <w:autoSpaceDE w:val="0"/>
        <w:autoSpaceDN w:val="0"/>
        <w:bidi w:val="0"/>
        <w:adjustRightInd/>
        <w:snapToGrid/>
        <w:spacing w:before="0" w:after="0" w:line="360" w:lineRule="auto"/>
        <w:ind w:left="0" w:leftChars="0" w:right="0" w:rightChars="0" w:firstLine="420" w:firstLineChars="200"/>
        <w:jc w:val="both"/>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i w:val="0"/>
          <w:iCs w:val="0"/>
          <w:spacing w:val="0"/>
          <w:w w:val="100"/>
          <w:kern w:val="21"/>
          <w:sz w:val="21"/>
          <w:szCs w:val="21"/>
          <w:lang w:val="en-US" w:eastAsia="zh-CN" w:bidi="ar-SA"/>
        </w:rPr>
        <w:t>1）</w:t>
      </w:r>
      <w:r>
        <w:rPr>
          <w:rFonts w:hint="eastAsia" w:ascii="宋体" w:hAnsi="宋体" w:eastAsia="宋体" w:cs="宋体"/>
          <w:b w:val="0"/>
          <w:bCs w:val="0"/>
          <w:spacing w:val="0"/>
          <w:w w:val="100"/>
          <w:kern w:val="21"/>
          <w:sz w:val="21"/>
          <w:szCs w:val="21"/>
        </w:rPr>
        <w:t>交调指标需满足JT/1008.2-2015技术要求；</w:t>
      </w:r>
    </w:p>
    <w:p w14:paraId="294BAB58">
      <w:pPr>
        <w:pStyle w:val="7"/>
        <w:keepNext w:val="0"/>
        <w:keepLines w:val="0"/>
        <w:pageBreakBefore w:val="0"/>
        <w:widowControl w:val="0"/>
        <w:numPr>
          <w:ilvl w:val="0"/>
          <w:numId w:val="0"/>
        </w:numPr>
        <w:tabs>
          <w:tab w:val="left" w:pos="1304"/>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i w:val="0"/>
          <w:iCs w:val="0"/>
          <w:spacing w:val="0"/>
          <w:w w:val="100"/>
          <w:kern w:val="21"/>
          <w:sz w:val="21"/>
          <w:szCs w:val="21"/>
          <w:lang w:val="en-US" w:eastAsia="zh-CN" w:bidi="ar-SA"/>
        </w:rPr>
        <w:t>2）</w:t>
      </w:r>
      <w:r>
        <w:rPr>
          <w:rFonts w:hint="eastAsia" w:ascii="宋体" w:hAnsi="宋体" w:eastAsia="宋体" w:cs="宋体"/>
          <w:b w:val="0"/>
          <w:bCs w:val="0"/>
          <w:spacing w:val="0"/>
          <w:w w:val="100"/>
          <w:kern w:val="21"/>
          <w:sz w:val="21"/>
          <w:szCs w:val="21"/>
        </w:rPr>
        <w:t>车牌抓拍白天夜间需满足《普通国省道多功能交通调查站技术指南》技术要求；</w:t>
      </w:r>
    </w:p>
    <w:p w14:paraId="2E249067">
      <w:pPr>
        <w:pStyle w:val="7"/>
        <w:keepNext w:val="0"/>
        <w:keepLines w:val="0"/>
        <w:pageBreakBefore w:val="0"/>
        <w:widowControl w:val="0"/>
        <w:numPr>
          <w:ilvl w:val="0"/>
          <w:numId w:val="0"/>
        </w:numPr>
        <w:tabs>
          <w:tab w:val="left" w:pos="1304"/>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i w:val="0"/>
          <w:iCs w:val="0"/>
          <w:spacing w:val="0"/>
          <w:w w:val="100"/>
          <w:kern w:val="21"/>
          <w:sz w:val="21"/>
          <w:szCs w:val="21"/>
          <w:lang w:val="en-US" w:eastAsia="zh-CN" w:bidi="ar-SA"/>
        </w:rPr>
        <w:t>3）</w:t>
      </w:r>
      <w:r>
        <w:rPr>
          <w:rFonts w:hint="eastAsia" w:ascii="宋体" w:hAnsi="宋体" w:eastAsia="宋体" w:cs="宋体"/>
          <w:b w:val="0"/>
          <w:bCs w:val="0"/>
          <w:spacing w:val="0"/>
          <w:w w:val="100"/>
          <w:kern w:val="21"/>
          <w:sz w:val="21"/>
          <w:szCs w:val="21"/>
        </w:rPr>
        <w:t>车牌和车型关联需满足设计要求；</w:t>
      </w:r>
    </w:p>
    <w:p w14:paraId="3636C9F0">
      <w:pPr>
        <w:pStyle w:val="7"/>
        <w:keepNext w:val="0"/>
        <w:keepLines w:val="0"/>
        <w:pageBreakBefore w:val="0"/>
        <w:widowControl w:val="0"/>
        <w:numPr>
          <w:ilvl w:val="0"/>
          <w:numId w:val="0"/>
        </w:numPr>
        <w:tabs>
          <w:tab w:val="left" w:pos="1304"/>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outlineLvl w:val="9"/>
        <w:rPr>
          <w:rFonts w:hint="eastAsia" w:ascii="宋体" w:hAnsi="宋体" w:eastAsia="宋体" w:cs="宋体"/>
          <w:b w:val="0"/>
          <w:bCs w:val="0"/>
          <w:spacing w:val="0"/>
          <w:w w:val="100"/>
          <w:kern w:val="21"/>
          <w:sz w:val="21"/>
          <w:szCs w:val="21"/>
        </w:rPr>
      </w:pPr>
      <w:r>
        <w:rPr>
          <w:rFonts w:hint="eastAsia" w:ascii="宋体" w:hAnsi="宋体" w:eastAsia="宋体" w:cs="宋体"/>
          <w:b w:val="0"/>
          <w:bCs w:val="0"/>
          <w:i w:val="0"/>
          <w:iCs w:val="0"/>
          <w:spacing w:val="0"/>
          <w:w w:val="100"/>
          <w:kern w:val="21"/>
          <w:sz w:val="21"/>
          <w:szCs w:val="21"/>
          <w:lang w:val="en-US" w:eastAsia="zh-CN" w:bidi="ar-SA"/>
        </w:rPr>
        <w:t>4）</w:t>
      </w:r>
      <w:r>
        <w:rPr>
          <w:rFonts w:hint="eastAsia" w:ascii="宋体" w:hAnsi="宋体" w:eastAsia="宋体" w:cs="宋体"/>
          <w:b w:val="0"/>
          <w:bCs w:val="0"/>
          <w:spacing w:val="0"/>
          <w:w w:val="100"/>
          <w:kern w:val="21"/>
          <w:sz w:val="21"/>
          <w:szCs w:val="21"/>
        </w:rPr>
        <w:t>字符叠加需满足工艺设计要求。</w:t>
      </w:r>
    </w:p>
    <w:p w14:paraId="57598290">
      <w:pPr>
        <w:rPr>
          <w:rFonts w:hint="eastAsia" w:ascii="黑体" w:hAnsi="黑体" w:eastAsia="黑体" w:cs="Times New Roman"/>
          <w:b/>
          <w:bCs/>
          <w:color w:val="auto"/>
          <w:kern w:val="2"/>
          <w:sz w:val="28"/>
          <w:szCs w:val="28"/>
          <w:highlight w:val="none"/>
          <w:lang w:val="en-US" w:eastAsia="zh-CN" w:bidi="ar-SA"/>
        </w:rPr>
      </w:pPr>
      <w:r>
        <w:rPr>
          <w:rFonts w:hint="eastAsia" w:ascii="黑体" w:hAnsi="黑体" w:eastAsia="黑体" w:cs="Times New Roman"/>
          <w:b/>
          <w:bCs/>
          <w:color w:val="auto"/>
          <w:kern w:val="2"/>
          <w:sz w:val="28"/>
          <w:szCs w:val="28"/>
          <w:highlight w:val="none"/>
          <w:lang w:val="en-US" w:eastAsia="zh-CN" w:bidi="ar-SA"/>
        </w:rPr>
        <w:br w:type="page"/>
      </w:r>
    </w:p>
    <w:p w14:paraId="35D85556">
      <w:pPr>
        <w:keepNext w:val="0"/>
        <w:keepLines w:val="0"/>
        <w:pageBreakBefore w:val="0"/>
        <w:widowControl w:val="0"/>
        <w:kinsoku/>
        <w:wordWrap/>
        <w:overflowPunct/>
        <w:topLinePunct w:val="0"/>
        <w:bidi w:val="0"/>
        <w:adjustRightInd/>
        <w:snapToGrid/>
        <w:spacing w:line="360" w:lineRule="auto"/>
        <w:ind w:left="0" w:firstLine="562" w:firstLineChars="200"/>
        <w:jc w:val="center"/>
        <w:rPr>
          <w:rFonts w:hint="eastAsia" w:ascii="黑体" w:hAnsi="黑体" w:eastAsia="黑体" w:cs="Times New Roman"/>
          <w:b/>
          <w:bCs/>
          <w:color w:val="auto"/>
          <w:kern w:val="2"/>
          <w:sz w:val="28"/>
          <w:szCs w:val="28"/>
          <w:highlight w:val="none"/>
          <w:lang w:val="en-US" w:eastAsia="zh-CN" w:bidi="ar-SA"/>
        </w:rPr>
      </w:pPr>
      <w:r>
        <w:rPr>
          <w:rFonts w:hint="eastAsia" w:ascii="黑体" w:hAnsi="黑体" w:eastAsia="黑体" w:cs="Times New Roman"/>
          <w:b/>
          <w:bCs/>
          <w:color w:val="auto"/>
          <w:kern w:val="2"/>
          <w:sz w:val="28"/>
          <w:szCs w:val="28"/>
          <w:highlight w:val="none"/>
          <w:lang w:val="en-US" w:eastAsia="zh-CN" w:bidi="ar-SA"/>
        </w:rPr>
        <w:t>第三节 商务要求</w:t>
      </w:r>
    </w:p>
    <w:p w14:paraId="69CA1569">
      <w:pPr>
        <w:keepNext w:val="0"/>
        <w:keepLines w:val="0"/>
        <w:pageBreakBefore w:val="0"/>
        <w:widowControl w:val="0"/>
        <w:kinsoku/>
        <w:wordWrap/>
        <w:overflowPunct/>
        <w:topLinePunct w:val="0"/>
        <w:bidi w:val="0"/>
        <w:adjustRightInd/>
        <w:snapToGrid/>
        <w:spacing w:line="360" w:lineRule="auto"/>
        <w:ind w:left="0" w:firstLine="420" w:firstLineChars="200"/>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一、包装、运输、保管及保险</w:t>
      </w:r>
    </w:p>
    <w:p w14:paraId="1B13970A">
      <w:pPr>
        <w:keepNext w:val="0"/>
        <w:keepLines w:val="0"/>
        <w:pageBreakBefore w:val="0"/>
        <w:widowControl w:val="0"/>
        <w:kinsoku/>
        <w:wordWrap/>
        <w:overflowPunct/>
        <w:topLinePunct w:val="0"/>
        <w:bidi w:val="0"/>
        <w:adjustRightInd/>
        <w:snapToGrid/>
        <w:spacing w:line="360" w:lineRule="auto"/>
        <w:ind w:left="0" w:firstLine="420" w:firstLineChars="200"/>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1、中标人所供货物必须为制造商全新原厂未拆封包装，包装质量符合国家、行业相关标准，具备防湿、防锈、防潮、防雨、防腐、防碰撞保护措施，确保货物安全运输至各施工点位现场。因包装防护不当造成的货物损坏、锈蚀、缺失、返工、二次运输等一切损失及费用，均由中标人自行承担。</w:t>
      </w:r>
    </w:p>
    <w:p w14:paraId="3411CB2C">
      <w:pPr>
        <w:keepNext w:val="0"/>
        <w:keepLines w:val="0"/>
        <w:pageBreakBefore w:val="0"/>
        <w:widowControl w:val="0"/>
        <w:kinsoku/>
        <w:wordWrap/>
        <w:overflowPunct/>
        <w:topLinePunct w:val="0"/>
        <w:bidi w:val="0"/>
        <w:adjustRightInd/>
        <w:snapToGrid/>
        <w:spacing w:line="360" w:lineRule="auto"/>
        <w:ind w:left="0" w:firstLine="420" w:firstLineChars="200"/>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2、中标人负责本项目多站点分散供货，承担全部货物分点配送、装卸、现场搬运、堆码就位等全部工作及所有费用。</w:t>
      </w:r>
    </w:p>
    <w:p w14:paraId="06DC5096">
      <w:pPr>
        <w:keepNext w:val="0"/>
        <w:keepLines w:val="0"/>
        <w:pageBreakBefore w:val="0"/>
        <w:widowControl w:val="0"/>
        <w:kinsoku/>
        <w:wordWrap/>
        <w:overflowPunct/>
        <w:topLinePunct w:val="0"/>
        <w:bidi w:val="0"/>
        <w:adjustRightInd/>
        <w:snapToGrid/>
        <w:spacing w:line="360" w:lineRule="auto"/>
        <w:ind w:left="0" w:firstLine="420" w:firstLineChars="200"/>
        <w:rPr>
          <w:rFonts w:hint="eastAsia" w:ascii="宋体" w:hAnsi="宋体" w:eastAsia="宋体" w:cs="宋体"/>
          <w:b w:val="0"/>
          <w:bCs w:val="0"/>
          <w:spacing w:val="0"/>
          <w:w w:val="100"/>
          <w:kern w:val="21"/>
          <w:sz w:val="21"/>
          <w:szCs w:val="21"/>
          <w:highlight w:val="none"/>
        </w:rPr>
      </w:pPr>
      <w:r>
        <w:rPr>
          <w:rFonts w:hint="eastAsia" w:ascii="宋体" w:hAnsi="宋体" w:eastAsia="宋体" w:cs="宋体"/>
          <w:b w:val="0"/>
          <w:bCs w:val="0"/>
          <w:spacing w:val="0"/>
          <w:w w:val="100"/>
          <w:kern w:val="21"/>
          <w:sz w:val="21"/>
          <w:szCs w:val="21"/>
        </w:rPr>
        <w:t>3、所有货物到货须随货提供完整原厂装箱清单、合格证、出厂资料、配件清单，采购人按清单逐项清点验收</w:t>
      </w:r>
      <w:r>
        <w:rPr>
          <w:rFonts w:hint="eastAsia" w:ascii="宋体" w:hAnsi="宋体" w:eastAsia="宋体" w:cs="宋体"/>
          <w:b w:val="0"/>
          <w:bCs w:val="0"/>
          <w:spacing w:val="0"/>
          <w:w w:val="100"/>
          <w:kern w:val="21"/>
          <w:sz w:val="21"/>
          <w:szCs w:val="21"/>
          <w:highlight w:val="none"/>
        </w:rPr>
        <w:t>，资料不全、数量不符、配件缺失不予验收。</w:t>
      </w:r>
    </w:p>
    <w:p w14:paraId="5A15AB52">
      <w:pPr>
        <w:keepNext w:val="0"/>
        <w:keepLines w:val="0"/>
        <w:pageBreakBefore w:val="0"/>
        <w:widowControl w:val="0"/>
        <w:kinsoku/>
        <w:wordWrap/>
        <w:overflowPunct/>
        <w:topLinePunct w:val="0"/>
        <w:bidi w:val="0"/>
        <w:adjustRightInd/>
        <w:snapToGrid/>
        <w:spacing w:line="360" w:lineRule="auto"/>
        <w:ind w:left="0" w:firstLine="420" w:firstLineChars="200"/>
        <w:rPr>
          <w:rFonts w:hint="eastAsia" w:ascii="宋体" w:hAnsi="宋体" w:eastAsia="宋体" w:cs="宋体"/>
          <w:b w:val="0"/>
          <w:bCs w:val="0"/>
          <w:spacing w:val="0"/>
          <w:w w:val="100"/>
          <w:kern w:val="21"/>
          <w:sz w:val="21"/>
          <w:szCs w:val="21"/>
          <w:highlight w:val="none"/>
        </w:rPr>
      </w:pPr>
      <w:r>
        <w:rPr>
          <w:rFonts w:hint="eastAsia" w:ascii="宋体" w:hAnsi="宋体" w:eastAsia="宋体" w:cs="宋体"/>
          <w:b w:val="0"/>
          <w:bCs w:val="0"/>
          <w:spacing w:val="0"/>
          <w:w w:val="100"/>
          <w:kern w:val="21"/>
          <w:sz w:val="21"/>
          <w:szCs w:val="21"/>
          <w:highlight w:val="none"/>
        </w:rPr>
        <w:t>4、货物进场后至项目整体</w:t>
      </w:r>
      <w:r>
        <w:rPr>
          <w:rFonts w:hint="eastAsia"/>
          <w:highlight w:val="none"/>
          <w:lang w:eastAsia="zh-CN"/>
        </w:rPr>
        <w:t>终验</w:t>
      </w:r>
      <w:r>
        <w:rPr>
          <w:rFonts w:hint="eastAsia"/>
          <w:highlight w:val="none"/>
        </w:rPr>
        <w:t>验收</w:t>
      </w:r>
      <w:r>
        <w:rPr>
          <w:rFonts w:hint="eastAsia" w:ascii="宋体" w:hAnsi="宋体" w:eastAsia="宋体" w:cs="宋体"/>
          <w:b w:val="0"/>
          <w:bCs w:val="0"/>
          <w:spacing w:val="0"/>
          <w:w w:val="100"/>
          <w:kern w:val="21"/>
          <w:sz w:val="21"/>
          <w:szCs w:val="21"/>
          <w:highlight w:val="none"/>
        </w:rPr>
        <w:t>、资料归档、正式移交前，全部设备、材料、配件的现场保管、看护、防盗、防损责任由中标人全权承担，期间产生的一切损耗、丢失、损坏由中标人无偿补齐更换。</w:t>
      </w:r>
    </w:p>
    <w:p w14:paraId="31CB692A">
      <w:pPr>
        <w:keepNext w:val="0"/>
        <w:keepLines w:val="0"/>
        <w:pageBreakBefore w:val="0"/>
        <w:widowControl w:val="0"/>
        <w:kinsoku/>
        <w:wordWrap/>
        <w:overflowPunct/>
        <w:topLinePunct w:val="0"/>
        <w:bidi w:val="0"/>
        <w:adjustRightInd/>
        <w:snapToGrid/>
        <w:spacing w:line="360" w:lineRule="auto"/>
        <w:ind w:left="0" w:firstLine="420" w:firstLineChars="200"/>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5、设备安装、调试、验收移交前的全部设备风险、财产保险由中标人负责。中标人须为所有进场施工、技术服务人员购买足额有效的人身意外伤害保险及工伤保险，施工期间发生的一切安全事故、人身财产损失由中标人全责承担。</w:t>
      </w:r>
    </w:p>
    <w:p w14:paraId="723E5FB9">
      <w:pPr>
        <w:keepNext w:val="0"/>
        <w:keepLines w:val="0"/>
        <w:pageBreakBefore w:val="0"/>
        <w:widowControl w:val="0"/>
        <w:kinsoku/>
        <w:wordWrap/>
        <w:overflowPunct/>
        <w:topLinePunct w:val="0"/>
        <w:bidi w:val="0"/>
        <w:adjustRightInd/>
        <w:snapToGrid/>
        <w:spacing w:line="360" w:lineRule="auto"/>
        <w:ind w:left="0" w:firstLine="420" w:firstLineChars="200"/>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二、安装、调试及施工要求</w:t>
      </w:r>
    </w:p>
    <w:p w14:paraId="18EFA672">
      <w:pPr>
        <w:keepNext w:val="0"/>
        <w:keepLines w:val="0"/>
        <w:pageBreakBefore w:val="0"/>
        <w:widowControl w:val="0"/>
        <w:kinsoku/>
        <w:wordWrap/>
        <w:overflowPunct/>
        <w:topLinePunct w:val="0"/>
        <w:bidi w:val="0"/>
        <w:adjustRightInd/>
        <w:snapToGrid/>
        <w:spacing w:line="360" w:lineRule="auto"/>
        <w:ind w:left="0" w:firstLine="420" w:firstLineChars="200"/>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1、中标人须委派经验丰富、持证上岗的专业技术及施工团队驻场实施，完成全部设备安装、立杆、基础施工、接地、线缆敷设、路面开挖恢复、设备调试、系统联调、省级平台对接入网等全部工作，直至系统功能全部达标、数据稳定上传。所有施工、调试、人工、辅材、机具费用全部包含在投标总价内。施工全过程须遵守文明施工、安全施工、属地管理规定，所有岗位人员持证上岗。</w:t>
      </w:r>
    </w:p>
    <w:p w14:paraId="5E9BAFD9">
      <w:pPr>
        <w:keepNext w:val="0"/>
        <w:keepLines w:val="0"/>
        <w:pageBreakBefore w:val="0"/>
        <w:widowControl w:val="0"/>
        <w:kinsoku/>
        <w:wordWrap/>
        <w:overflowPunct/>
        <w:topLinePunct w:val="0"/>
        <w:bidi w:val="0"/>
        <w:adjustRightInd/>
        <w:snapToGrid/>
        <w:spacing w:line="360" w:lineRule="auto"/>
        <w:ind w:left="0" w:firstLine="420" w:firstLineChars="200"/>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2、投标人须根据本项目多站点施工特点配置足额稳定的项目实施团队，自行配备全部施工工具、调试仪器、安全防护设备、辅材耗材，采购人不另行计费。</w:t>
      </w:r>
    </w:p>
    <w:p w14:paraId="4FC4CE15">
      <w:pPr>
        <w:keepNext w:val="0"/>
        <w:keepLines w:val="0"/>
        <w:pageBreakBefore w:val="0"/>
        <w:widowControl w:val="0"/>
        <w:kinsoku/>
        <w:wordWrap/>
        <w:overflowPunct/>
        <w:topLinePunct w:val="0"/>
        <w:bidi w:val="0"/>
        <w:adjustRightInd/>
        <w:snapToGrid/>
        <w:spacing w:line="360" w:lineRule="auto"/>
        <w:ind w:left="0" w:firstLine="420" w:firstLineChars="200"/>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3、施工、安装、调试期间发现设备质量缺陷、参数不符、功能缺失、施工质量问题的，中标人须无条件免费更换、整改、重做，全部费用自理，不得申请加价、顺延工期、索赔。</w:t>
      </w:r>
    </w:p>
    <w:p w14:paraId="77515209">
      <w:pPr>
        <w:keepNext w:val="0"/>
        <w:keepLines w:val="0"/>
        <w:pageBreakBefore w:val="0"/>
        <w:widowControl w:val="0"/>
        <w:kinsoku/>
        <w:wordWrap/>
        <w:overflowPunct/>
        <w:topLinePunct w:val="0"/>
        <w:bidi w:val="0"/>
        <w:adjustRightInd/>
        <w:snapToGrid/>
        <w:spacing w:line="360" w:lineRule="auto"/>
        <w:ind w:left="0" w:firstLine="420" w:firstLineChars="200"/>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4、中标人须严格遵守施工现场安保、防火、用电、交通管制及属地管理规定，违规施工造成的场地损毁、设施损坏、安全事故由中标人全权负责。</w:t>
      </w:r>
    </w:p>
    <w:p w14:paraId="36218160">
      <w:pPr>
        <w:keepNext w:val="0"/>
        <w:keepLines w:val="0"/>
        <w:pageBreakBefore w:val="0"/>
        <w:widowControl w:val="0"/>
        <w:kinsoku/>
        <w:wordWrap/>
        <w:overflowPunct/>
        <w:topLinePunct w:val="0"/>
        <w:bidi w:val="0"/>
        <w:adjustRightInd/>
        <w:snapToGrid/>
        <w:spacing w:line="360" w:lineRule="auto"/>
        <w:ind w:left="0" w:firstLine="420" w:firstLineChars="200"/>
        <w:rPr>
          <w:rFonts w:hint="eastAsia" w:ascii="宋体" w:hAnsi="宋体" w:eastAsia="宋体" w:cs="宋体"/>
          <w:b w:val="0"/>
          <w:bCs w:val="0"/>
          <w:spacing w:val="0"/>
          <w:w w:val="100"/>
          <w:kern w:val="21"/>
          <w:sz w:val="21"/>
          <w:szCs w:val="21"/>
          <w:highlight w:val="none"/>
        </w:rPr>
      </w:pPr>
      <w:r>
        <w:rPr>
          <w:rFonts w:hint="eastAsia" w:ascii="宋体" w:hAnsi="宋体" w:eastAsia="宋体" w:cs="宋体"/>
          <w:b w:val="0"/>
          <w:bCs w:val="0"/>
          <w:spacing w:val="0"/>
          <w:w w:val="100"/>
          <w:kern w:val="21"/>
          <w:sz w:val="21"/>
          <w:szCs w:val="21"/>
        </w:rPr>
        <w:t>5、中标人全权负责设备及系统调试、联调、入网测试、平台对接调试，免费向采购人管理人员、运维人员开展技术交底、系统原理、操作方法、调试技巧、故障排查等技术培训，全程解决调试及试运行阶段全部</w:t>
      </w:r>
      <w:r>
        <w:rPr>
          <w:rFonts w:hint="eastAsia" w:ascii="宋体" w:hAnsi="宋体" w:eastAsia="宋体" w:cs="宋体"/>
          <w:b w:val="0"/>
          <w:bCs w:val="0"/>
          <w:spacing w:val="0"/>
          <w:w w:val="100"/>
          <w:kern w:val="21"/>
          <w:sz w:val="21"/>
          <w:szCs w:val="21"/>
          <w:highlight w:val="none"/>
        </w:rPr>
        <w:t>技术问题。</w:t>
      </w:r>
    </w:p>
    <w:p w14:paraId="68E9714A">
      <w:pPr>
        <w:keepNext w:val="0"/>
        <w:keepLines w:val="0"/>
        <w:pageBreakBefore w:val="0"/>
        <w:widowControl w:val="0"/>
        <w:kinsoku/>
        <w:wordWrap/>
        <w:overflowPunct/>
        <w:topLinePunct w:val="0"/>
        <w:bidi w:val="0"/>
        <w:adjustRightInd/>
        <w:snapToGrid/>
        <w:spacing w:line="360" w:lineRule="auto"/>
        <w:ind w:left="0" w:firstLine="420" w:firstLineChars="200"/>
        <w:rPr>
          <w:rFonts w:hint="eastAsia" w:ascii="宋体" w:hAnsi="宋体" w:eastAsia="宋体" w:cs="宋体"/>
          <w:b w:val="0"/>
          <w:bCs w:val="0"/>
          <w:spacing w:val="0"/>
          <w:w w:val="100"/>
          <w:kern w:val="21"/>
          <w:sz w:val="21"/>
          <w:szCs w:val="21"/>
          <w:highlight w:val="none"/>
        </w:rPr>
      </w:pPr>
      <w:r>
        <w:rPr>
          <w:rFonts w:hint="eastAsia" w:ascii="宋体" w:hAnsi="宋体" w:eastAsia="宋体" w:cs="宋体"/>
          <w:b w:val="0"/>
          <w:bCs w:val="0"/>
          <w:spacing w:val="0"/>
          <w:w w:val="100"/>
          <w:kern w:val="21"/>
          <w:sz w:val="21"/>
          <w:szCs w:val="21"/>
          <w:highlight w:val="none"/>
        </w:rPr>
        <w:t>6、项目完工后，中标人须完整提交全套</w:t>
      </w:r>
      <w:r>
        <w:rPr>
          <w:rFonts w:hint="eastAsia"/>
          <w:highlight w:val="none"/>
          <w:lang w:eastAsia="zh-CN"/>
        </w:rPr>
        <w:t>终验</w:t>
      </w:r>
      <w:r>
        <w:rPr>
          <w:rFonts w:hint="eastAsia"/>
          <w:highlight w:val="none"/>
        </w:rPr>
        <w:t>验收</w:t>
      </w:r>
      <w:r>
        <w:rPr>
          <w:rFonts w:hint="eastAsia" w:ascii="宋体" w:hAnsi="宋体" w:eastAsia="宋体" w:cs="宋体"/>
          <w:b w:val="0"/>
          <w:bCs w:val="0"/>
          <w:spacing w:val="0"/>
          <w:w w:val="100"/>
          <w:kern w:val="21"/>
          <w:sz w:val="21"/>
          <w:szCs w:val="21"/>
          <w:highlight w:val="none"/>
        </w:rPr>
        <w:t>资料、设备资料、技术文档、测试报告、对接证明、归档资料，满足省级档案规范及采购人归档要求。</w:t>
      </w:r>
    </w:p>
    <w:p w14:paraId="3E504754">
      <w:pPr>
        <w:keepNext w:val="0"/>
        <w:keepLines w:val="0"/>
        <w:pageBreakBefore w:val="0"/>
        <w:widowControl w:val="0"/>
        <w:kinsoku/>
        <w:wordWrap/>
        <w:overflowPunct/>
        <w:topLinePunct w:val="0"/>
        <w:bidi w:val="0"/>
        <w:adjustRightInd/>
        <w:snapToGrid/>
        <w:spacing w:line="360" w:lineRule="auto"/>
        <w:ind w:left="0" w:firstLine="420" w:firstLineChars="200"/>
        <w:rPr>
          <w:rFonts w:hint="default" w:ascii="宋体" w:hAnsi="宋体" w:eastAsia="宋体" w:cs="宋体"/>
          <w:b w:val="0"/>
          <w:bCs w:val="0"/>
          <w:spacing w:val="0"/>
          <w:w w:val="100"/>
          <w:kern w:val="21"/>
          <w:sz w:val="21"/>
          <w:szCs w:val="21"/>
          <w:highlight w:val="none"/>
          <w:lang w:val="en-US" w:eastAsia="zh-CN"/>
        </w:rPr>
      </w:pPr>
      <w:r>
        <w:rPr>
          <w:rFonts w:hint="eastAsia" w:ascii="宋体" w:hAnsi="宋体" w:cs="宋体"/>
          <w:b w:val="0"/>
          <w:bCs w:val="0"/>
          <w:spacing w:val="0"/>
          <w:w w:val="100"/>
          <w:kern w:val="21"/>
          <w:sz w:val="21"/>
          <w:szCs w:val="21"/>
          <w:highlight w:val="none"/>
          <w:lang w:val="en-US" w:eastAsia="zh-CN"/>
        </w:rPr>
        <w:t>7、</w:t>
      </w:r>
      <w:r>
        <w:rPr>
          <w:rFonts w:hint="eastAsia"/>
          <w:highlight w:val="none"/>
          <w:lang w:val="en-US" w:eastAsia="zh-CN"/>
        </w:rPr>
        <w:t>设备进场验收前，采购人可要求中标人将产品送至采购人认可的检测机构进行抽检，抽检费用含在总报价中，不另计，如抽检不合格禁止进场使用，所造成的一切损失及后果由中标人自行承担。</w:t>
      </w:r>
    </w:p>
    <w:p w14:paraId="3218A343">
      <w:pPr>
        <w:keepNext w:val="0"/>
        <w:keepLines w:val="0"/>
        <w:pageBreakBefore w:val="0"/>
        <w:widowControl w:val="0"/>
        <w:kinsoku/>
        <w:wordWrap/>
        <w:overflowPunct/>
        <w:topLinePunct w:val="0"/>
        <w:bidi w:val="0"/>
        <w:adjustRightInd/>
        <w:snapToGrid/>
        <w:spacing w:line="360" w:lineRule="auto"/>
        <w:ind w:left="0" w:firstLine="420" w:firstLineChars="200"/>
        <w:rPr>
          <w:rFonts w:hint="eastAsia" w:ascii="宋体" w:hAnsi="宋体" w:eastAsia="宋体" w:cs="宋体"/>
          <w:b w:val="0"/>
          <w:bCs w:val="0"/>
          <w:spacing w:val="0"/>
          <w:w w:val="100"/>
          <w:kern w:val="21"/>
          <w:sz w:val="21"/>
          <w:szCs w:val="21"/>
          <w:highlight w:val="none"/>
        </w:rPr>
      </w:pPr>
      <w:r>
        <w:rPr>
          <w:rFonts w:hint="eastAsia" w:ascii="宋体" w:hAnsi="宋体" w:eastAsia="宋体" w:cs="宋体"/>
          <w:b w:val="0"/>
          <w:bCs w:val="0"/>
          <w:spacing w:val="0"/>
          <w:w w:val="100"/>
          <w:kern w:val="21"/>
          <w:sz w:val="21"/>
          <w:szCs w:val="21"/>
          <w:highlight w:val="none"/>
        </w:rPr>
        <w:t>三、项目工期</w:t>
      </w:r>
    </w:p>
    <w:p w14:paraId="1874B712">
      <w:pPr>
        <w:keepNext w:val="0"/>
        <w:keepLines w:val="0"/>
        <w:pageBreakBefore w:val="0"/>
        <w:widowControl w:val="0"/>
        <w:kinsoku/>
        <w:wordWrap/>
        <w:overflowPunct/>
        <w:topLinePunct w:val="0"/>
        <w:bidi w:val="0"/>
        <w:adjustRightInd/>
        <w:snapToGrid/>
        <w:spacing w:line="360" w:lineRule="auto"/>
        <w:ind w:left="0" w:firstLine="420" w:firstLineChars="200"/>
        <w:rPr>
          <w:rFonts w:hint="eastAsia" w:ascii="宋体" w:hAnsi="宋体" w:eastAsia="宋体" w:cs="宋体"/>
          <w:b w:val="0"/>
          <w:bCs w:val="0"/>
          <w:spacing w:val="0"/>
          <w:w w:val="100"/>
          <w:kern w:val="21"/>
          <w:sz w:val="21"/>
          <w:szCs w:val="21"/>
          <w:highlight w:val="none"/>
        </w:rPr>
      </w:pPr>
      <w:r>
        <w:rPr>
          <w:rFonts w:hint="eastAsia" w:ascii="宋体" w:hAnsi="宋体" w:eastAsia="宋体" w:cs="宋体"/>
          <w:b w:val="0"/>
          <w:bCs w:val="0"/>
          <w:spacing w:val="0"/>
          <w:w w:val="100"/>
          <w:kern w:val="21"/>
          <w:sz w:val="21"/>
          <w:szCs w:val="21"/>
          <w:highlight w:val="none"/>
        </w:rPr>
        <w:t>★1、</w:t>
      </w:r>
      <w:r>
        <w:rPr>
          <w:rFonts w:hint="eastAsia" w:ascii="宋体" w:hAnsi="宋体" w:cs="宋体"/>
          <w:b w:val="0"/>
          <w:bCs w:val="0"/>
          <w:spacing w:val="0"/>
          <w:w w:val="100"/>
          <w:kern w:val="21"/>
          <w:sz w:val="21"/>
          <w:szCs w:val="21"/>
          <w:highlight w:val="none"/>
          <w:lang w:val="en-US" w:eastAsia="zh-CN"/>
        </w:rPr>
        <w:t>建设工期</w:t>
      </w:r>
      <w:r>
        <w:rPr>
          <w:rFonts w:hint="eastAsia" w:ascii="宋体" w:hAnsi="宋体" w:eastAsia="宋体" w:cs="宋体"/>
          <w:b w:val="0"/>
          <w:bCs w:val="0"/>
          <w:spacing w:val="0"/>
          <w:w w:val="100"/>
          <w:kern w:val="21"/>
          <w:sz w:val="21"/>
          <w:szCs w:val="21"/>
          <w:highlight w:val="none"/>
        </w:rPr>
        <w:t>：自合同签订</w:t>
      </w:r>
      <w:r>
        <w:rPr>
          <w:rFonts w:hint="eastAsia" w:ascii="宋体" w:hAnsi="宋体" w:eastAsia="宋体" w:cs="宋体"/>
          <w:b w:val="0"/>
          <w:bCs w:val="0"/>
          <w:color w:val="auto"/>
          <w:spacing w:val="0"/>
          <w:w w:val="100"/>
          <w:kern w:val="21"/>
          <w:sz w:val="21"/>
          <w:szCs w:val="21"/>
          <w:highlight w:val="none"/>
        </w:rPr>
        <w:t>生效之日起 60日历天内</w:t>
      </w:r>
      <w:r>
        <w:rPr>
          <w:rFonts w:hint="eastAsia" w:ascii="宋体" w:hAnsi="宋体" w:eastAsia="宋体" w:cs="宋体"/>
          <w:b w:val="0"/>
          <w:bCs w:val="0"/>
          <w:spacing w:val="0"/>
          <w:w w:val="100"/>
          <w:kern w:val="21"/>
          <w:sz w:val="21"/>
          <w:szCs w:val="21"/>
          <w:highlight w:val="none"/>
        </w:rPr>
        <w:t xml:space="preserve"> 完成全部设备供货、基础施工、安装、调试、站点自测、省级平台联调、数据上传、整改完善，达到整体</w:t>
      </w:r>
      <w:r>
        <w:rPr>
          <w:rFonts w:hint="eastAsia"/>
          <w:color w:val="auto"/>
          <w:highlight w:val="none"/>
          <w:lang w:val="en-US" w:eastAsia="zh-CN"/>
        </w:rPr>
        <w:t>初验</w:t>
      </w:r>
      <w:r>
        <w:rPr>
          <w:rFonts w:hint="eastAsia"/>
          <w:color w:val="auto"/>
          <w:highlight w:val="none"/>
        </w:rPr>
        <w:t>验收</w:t>
      </w:r>
      <w:r>
        <w:rPr>
          <w:rFonts w:hint="eastAsia" w:ascii="宋体" w:hAnsi="宋体" w:eastAsia="宋体" w:cs="宋体"/>
          <w:b w:val="0"/>
          <w:bCs w:val="0"/>
          <w:spacing w:val="0"/>
          <w:w w:val="100"/>
          <w:kern w:val="21"/>
          <w:sz w:val="21"/>
          <w:szCs w:val="21"/>
          <w:highlight w:val="none"/>
        </w:rPr>
        <w:t>标准。工期为固定锁定期，除采购人书面正式重大变更外，一律不予顺延。</w:t>
      </w:r>
    </w:p>
    <w:p w14:paraId="7D12644F">
      <w:pPr>
        <w:keepNext w:val="0"/>
        <w:keepLines w:val="0"/>
        <w:pageBreakBefore w:val="0"/>
        <w:widowControl w:val="0"/>
        <w:kinsoku/>
        <w:wordWrap/>
        <w:overflowPunct/>
        <w:topLinePunct w:val="0"/>
        <w:bidi w:val="0"/>
        <w:adjustRightInd/>
        <w:snapToGrid/>
        <w:spacing w:line="360" w:lineRule="auto"/>
        <w:ind w:left="0" w:firstLine="420" w:firstLineChars="200"/>
        <w:rPr>
          <w:rFonts w:hint="eastAsia" w:ascii="宋体" w:hAnsi="宋体" w:eastAsia="宋体" w:cs="宋体"/>
          <w:b w:val="0"/>
          <w:bCs w:val="0"/>
          <w:color w:val="auto"/>
          <w:spacing w:val="0"/>
          <w:w w:val="100"/>
          <w:kern w:val="21"/>
          <w:sz w:val="21"/>
          <w:szCs w:val="21"/>
          <w:highlight w:val="none"/>
        </w:rPr>
      </w:pPr>
      <w:r>
        <w:rPr>
          <w:rFonts w:hint="eastAsia" w:ascii="宋体" w:hAnsi="宋体" w:eastAsia="宋体" w:cs="宋体"/>
          <w:b w:val="0"/>
          <w:bCs w:val="0"/>
          <w:color w:val="auto"/>
          <w:spacing w:val="0"/>
          <w:w w:val="100"/>
          <w:kern w:val="21"/>
          <w:sz w:val="21"/>
          <w:szCs w:val="21"/>
          <w:highlight w:val="none"/>
        </w:rPr>
        <w:t>2.合同签订之日起</w:t>
      </w:r>
      <w:r>
        <w:rPr>
          <w:rFonts w:hint="eastAsia" w:ascii="宋体" w:hAnsi="宋体" w:cs="宋体"/>
          <w:b w:val="0"/>
          <w:bCs w:val="0"/>
          <w:color w:val="auto"/>
          <w:spacing w:val="0"/>
          <w:w w:val="100"/>
          <w:kern w:val="21"/>
          <w:sz w:val="21"/>
          <w:szCs w:val="21"/>
          <w:highlight w:val="none"/>
          <w:lang w:val="en-US" w:eastAsia="zh-CN"/>
        </w:rPr>
        <w:t>60日历天</w:t>
      </w:r>
      <w:r>
        <w:rPr>
          <w:rFonts w:hint="eastAsia" w:ascii="宋体" w:hAnsi="宋体" w:eastAsia="宋体" w:cs="宋体"/>
          <w:b w:val="0"/>
          <w:bCs w:val="0"/>
          <w:color w:val="auto"/>
          <w:spacing w:val="0"/>
          <w:w w:val="100"/>
          <w:kern w:val="21"/>
          <w:sz w:val="21"/>
          <w:szCs w:val="21"/>
          <w:highlight w:val="none"/>
        </w:rPr>
        <w:t>内，中标人应当完成</w:t>
      </w:r>
      <w:r>
        <w:rPr>
          <w:rFonts w:hint="eastAsia" w:ascii="宋体" w:hAnsi="宋体" w:cs="宋体"/>
          <w:b w:val="0"/>
          <w:bCs w:val="0"/>
          <w:color w:val="auto"/>
          <w:spacing w:val="0"/>
          <w:w w:val="100"/>
          <w:kern w:val="21"/>
          <w:sz w:val="21"/>
          <w:szCs w:val="21"/>
          <w:highlight w:val="none"/>
          <w:lang w:eastAsia="zh-CN"/>
        </w:rPr>
        <w:t>建设并进行</w:t>
      </w:r>
      <w:r>
        <w:rPr>
          <w:rFonts w:hint="eastAsia" w:ascii="宋体" w:hAnsi="宋体" w:eastAsia="宋体" w:cs="宋体"/>
          <w:b w:val="0"/>
          <w:bCs w:val="0"/>
          <w:color w:val="auto"/>
          <w:spacing w:val="0"/>
          <w:w w:val="100"/>
          <w:kern w:val="21"/>
          <w:sz w:val="21"/>
          <w:szCs w:val="21"/>
          <w:highlight w:val="none"/>
        </w:rPr>
        <w:t>系统试运行。由采购人组织项目</w:t>
      </w:r>
      <w:r>
        <w:rPr>
          <w:rFonts w:hint="eastAsia" w:ascii="宋体" w:hAnsi="宋体" w:cs="宋体"/>
          <w:b w:val="0"/>
          <w:bCs w:val="0"/>
          <w:color w:val="auto"/>
          <w:spacing w:val="0"/>
          <w:w w:val="100"/>
          <w:kern w:val="21"/>
          <w:sz w:val="21"/>
          <w:szCs w:val="21"/>
          <w:highlight w:val="none"/>
          <w:lang w:eastAsia="zh-CN"/>
        </w:rPr>
        <w:t>初验</w:t>
      </w:r>
      <w:r>
        <w:rPr>
          <w:rFonts w:hint="eastAsia" w:ascii="宋体" w:hAnsi="宋体" w:eastAsia="宋体" w:cs="宋体"/>
          <w:b w:val="0"/>
          <w:bCs w:val="0"/>
          <w:color w:val="auto"/>
          <w:spacing w:val="0"/>
          <w:w w:val="100"/>
          <w:kern w:val="21"/>
          <w:sz w:val="21"/>
          <w:szCs w:val="21"/>
          <w:highlight w:val="none"/>
        </w:rPr>
        <w:t>验收，相关系统进入正式运行</w:t>
      </w:r>
      <w:r>
        <w:rPr>
          <w:rFonts w:hint="eastAsia" w:ascii="宋体" w:hAnsi="宋体" w:cs="宋体"/>
          <w:b w:val="0"/>
          <w:bCs w:val="0"/>
          <w:color w:val="auto"/>
          <w:spacing w:val="0"/>
          <w:w w:val="100"/>
          <w:kern w:val="21"/>
          <w:sz w:val="21"/>
          <w:szCs w:val="21"/>
          <w:highlight w:val="none"/>
          <w:lang w:eastAsia="zh-CN"/>
        </w:rPr>
        <w:t>及维护期</w:t>
      </w:r>
      <w:r>
        <w:rPr>
          <w:rFonts w:hint="eastAsia" w:ascii="宋体" w:hAnsi="宋体" w:eastAsia="宋体" w:cs="宋体"/>
          <w:b w:val="0"/>
          <w:bCs w:val="0"/>
          <w:color w:val="auto"/>
          <w:spacing w:val="0"/>
          <w:w w:val="100"/>
          <w:kern w:val="21"/>
          <w:sz w:val="21"/>
          <w:szCs w:val="21"/>
          <w:highlight w:val="none"/>
        </w:rPr>
        <w:t>。</w:t>
      </w:r>
    </w:p>
    <w:p w14:paraId="7A455C72">
      <w:pPr>
        <w:keepNext w:val="0"/>
        <w:keepLines w:val="0"/>
        <w:pageBreakBefore w:val="0"/>
        <w:widowControl w:val="0"/>
        <w:kinsoku/>
        <w:wordWrap/>
        <w:overflowPunct/>
        <w:topLinePunct w:val="0"/>
        <w:bidi w:val="0"/>
        <w:adjustRightInd/>
        <w:snapToGrid/>
        <w:spacing w:line="360" w:lineRule="auto"/>
        <w:ind w:left="0" w:firstLine="420" w:firstLineChars="200"/>
        <w:rPr>
          <w:rFonts w:hint="eastAsia" w:ascii="宋体" w:hAnsi="宋体" w:eastAsia="宋体" w:cs="宋体"/>
          <w:b w:val="0"/>
          <w:bCs w:val="0"/>
          <w:color w:val="auto"/>
          <w:spacing w:val="0"/>
          <w:w w:val="100"/>
          <w:kern w:val="21"/>
          <w:sz w:val="21"/>
          <w:szCs w:val="21"/>
          <w:highlight w:val="none"/>
        </w:rPr>
      </w:pPr>
      <w:r>
        <w:rPr>
          <w:rFonts w:hint="eastAsia" w:ascii="宋体" w:hAnsi="宋体" w:eastAsia="宋体" w:cs="宋体"/>
          <w:b w:val="0"/>
          <w:bCs w:val="0"/>
          <w:color w:val="auto"/>
          <w:spacing w:val="0"/>
          <w:w w:val="100"/>
          <w:kern w:val="21"/>
          <w:sz w:val="21"/>
          <w:szCs w:val="21"/>
          <w:highlight w:val="none"/>
        </w:rPr>
        <w:t>3.系统</w:t>
      </w:r>
      <w:r>
        <w:rPr>
          <w:rFonts w:hint="eastAsia" w:ascii="宋体" w:hAnsi="宋体" w:cs="宋体"/>
          <w:b w:val="0"/>
          <w:bCs w:val="0"/>
          <w:color w:val="auto"/>
          <w:spacing w:val="0"/>
          <w:w w:val="100"/>
          <w:kern w:val="21"/>
          <w:sz w:val="21"/>
          <w:szCs w:val="21"/>
          <w:highlight w:val="none"/>
          <w:lang w:eastAsia="zh-CN"/>
        </w:rPr>
        <w:t>初验</w:t>
      </w:r>
      <w:r>
        <w:rPr>
          <w:rFonts w:hint="eastAsia" w:ascii="宋体" w:hAnsi="宋体" w:eastAsia="宋体" w:cs="宋体"/>
          <w:b w:val="0"/>
          <w:bCs w:val="0"/>
          <w:color w:val="auto"/>
          <w:spacing w:val="0"/>
          <w:w w:val="100"/>
          <w:kern w:val="21"/>
          <w:sz w:val="21"/>
          <w:szCs w:val="21"/>
          <w:highlight w:val="none"/>
        </w:rPr>
        <w:t>验收合格且正常运行</w:t>
      </w:r>
      <w:r>
        <w:rPr>
          <w:rFonts w:hint="eastAsia" w:ascii="宋体" w:hAnsi="宋体" w:cs="宋体"/>
          <w:b w:val="0"/>
          <w:bCs w:val="0"/>
          <w:color w:val="auto"/>
          <w:spacing w:val="0"/>
          <w:w w:val="100"/>
          <w:kern w:val="21"/>
          <w:sz w:val="21"/>
          <w:szCs w:val="21"/>
          <w:highlight w:val="none"/>
          <w:lang w:val="en-US" w:eastAsia="zh-CN"/>
        </w:rPr>
        <w:t>3</w:t>
      </w:r>
      <w:r>
        <w:rPr>
          <w:rFonts w:hint="eastAsia" w:ascii="宋体" w:hAnsi="宋体" w:eastAsia="宋体" w:cs="宋体"/>
          <w:b w:val="0"/>
          <w:bCs w:val="0"/>
          <w:color w:val="auto"/>
          <w:spacing w:val="0"/>
          <w:w w:val="100"/>
          <w:kern w:val="21"/>
          <w:sz w:val="21"/>
          <w:szCs w:val="21"/>
          <w:highlight w:val="none"/>
        </w:rPr>
        <w:t>个月，项目达到</w:t>
      </w:r>
      <w:r>
        <w:rPr>
          <w:rFonts w:hint="eastAsia"/>
          <w:color w:val="auto"/>
          <w:highlight w:val="none"/>
          <w:lang w:eastAsia="zh-CN"/>
        </w:rPr>
        <w:t>终验</w:t>
      </w:r>
      <w:r>
        <w:rPr>
          <w:rFonts w:hint="eastAsia"/>
          <w:color w:val="auto"/>
          <w:highlight w:val="none"/>
        </w:rPr>
        <w:t>验收</w:t>
      </w:r>
      <w:r>
        <w:rPr>
          <w:rFonts w:hint="eastAsia" w:ascii="宋体" w:hAnsi="宋体" w:eastAsia="宋体" w:cs="宋体"/>
          <w:b w:val="0"/>
          <w:bCs w:val="0"/>
          <w:color w:val="auto"/>
          <w:spacing w:val="0"/>
          <w:w w:val="100"/>
          <w:kern w:val="21"/>
          <w:sz w:val="21"/>
          <w:szCs w:val="21"/>
          <w:highlight w:val="none"/>
        </w:rPr>
        <w:t>要求后，由中标人提交书面</w:t>
      </w:r>
      <w:r>
        <w:rPr>
          <w:rFonts w:hint="eastAsia"/>
          <w:highlight w:val="none"/>
          <w:lang w:eastAsia="zh-CN"/>
        </w:rPr>
        <w:t>终验</w:t>
      </w:r>
      <w:r>
        <w:rPr>
          <w:rFonts w:hint="eastAsia"/>
          <w:highlight w:val="none"/>
        </w:rPr>
        <w:t>验收</w:t>
      </w:r>
      <w:r>
        <w:rPr>
          <w:rFonts w:hint="eastAsia" w:ascii="宋体" w:hAnsi="宋体" w:eastAsia="宋体" w:cs="宋体"/>
          <w:b w:val="0"/>
          <w:bCs w:val="0"/>
          <w:color w:val="auto"/>
          <w:spacing w:val="0"/>
          <w:w w:val="100"/>
          <w:kern w:val="21"/>
          <w:sz w:val="21"/>
          <w:szCs w:val="21"/>
          <w:highlight w:val="none"/>
        </w:rPr>
        <w:t>申请，由采购人相关主管部门组织</w:t>
      </w:r>
      <w:r>
        <w:rPr>
          <w:rFonts w:hint="eastAsia"/>
          <w:highlight w:val="none"/>
          <w:lang w:eastAsia="zh-CN"/>
        </w:rPr>
        <w:t>终验</w:t>
      </w:r>
      <w:r>
        <w:rPr>
          <w:rFonts w:hint="eastAsia"/>
          <w:highlight w:val="none"/>
        </w:rPr>
        <w:t>验收</w:t>
      </w:r>
      <w:r>
        <w:rPr>
          <w:rFonts w:hint="eastAsia" w:ascii="宋体" w:hAnsi="宋体" w:eastAsia="宋体" w:cs="宋体"/>
          <w:b w:val="0"/>
          <w:bCs w:val="0"/>
          <w:color w:val="auto"/>
          <w:spacing w:val="0"/>
          <w:w w:val="100"/>
          <w:kern w:val="21"/>
          <w:sz w:val="21"/>
          <w:szCs w:val="21"/>
          <w:highlight w:val="none"/>
        </w:rPr>
        <w:t>，中标人应当交付项目所有技术文档资料。</w:t>
      </w:r>
    </w:p>
    <w:p w14:paraId="3BE949F5">
      <w:pPr>
        <w:keepNext w:val="0"/>
        <w:keepLines w:val="0"/>
        <w:pageBreakBefore w:val="0"/>
        <w:widowControl w:val="0"/>
        <w:kinsoku/>
        <w:wordWrap/>
        <w:overflowPunct/>
        <w:topLinePunct w:val="0"/>
        <w:bidi w:val="0"/>
        <w:adjustRightInd/>
        <w:snapToGrid/>
        <w:spacing w:line="360" w:lineRule="auto"/>
        <w:ind w:left="0" w:firstLine="420" w:firstLineChars="200"/>
        <w:rPr>
          <w:rFonts w:hint="default" w:ascii="宋体" w:hAnsi="宋体" w:eastAsia="宋体" w:cs="宋体"/>
          <w:b w:val="0"/>
          <w:bCs w:val="0"/>
          <w:spacing w:val="0"/>
          <w:w w:val="100"/>
          <w:kern w:val="21"/>
          <w:sz w:val="21"/>
          <w:szCs w:val="21"/>
          <w:highlight w:val="none"/>
          <w:lang w:val="en-US" w:eastAsia="zh-CN"/>
        </w:rPr>
      </w:pPr>
      <w:r>
        <w:rPr>
          <w:rFonts w:hint="eastAsia" w:ascii="宋体" w:hAnsi="宋体" w:cs="宋体"/>
          <w:b w:val="0"/>
          <w:bCs w:val="0"/>
          <w:spacing w:val="0"/>
          <w:w w:val="100"/>
          <w:kern w:val="21"/>
          <w:sz w:val="21"/>
          <w:szCs w:val="21"/>
          <w:highlight w:val="none"/>
          <w:lang w:eastAsia="zh-CN"/>
        </w:rPr>
        <w:t>本项目中初验验收是指：</w:t>
      </w:r>
      <w:r>
        <w:rPr>
          <w:rFonts w:hint="eastAsia" w:ascii="宋体" w:hAnsi="宋体" w:eastAsia="宋体" w:cs="宋体"/>
          <w:b w:val="0"/>
          <w:bCs w:val="0"/>
          <w:color w:val="auto"/>
          <w:spacing w:val="0"/>
          <w:w w:val="100"/>
          <w:kern w:val="21"/>
          <w:sz w:val="21"/>
          <w:szCs w:val="21"/>
          <w:highlight w:val="none"/>
        </w:rPr>
        <w:t>中标人完成</w:t>
      </w:r>
      <w:r>
        <w:rPr>
          <w:rFonts w:hint="eastAsia" w:ascii="宋体" w:hAnsi="宋体" w:cs="宋体"/>
          <w:b w:val="0"/>
          <w:bCs w:val="0"/>
          <w:color w:val="auto"/>
          <w:spacing w:val="0"/>
          <w:w w:val="100"/>
          <w:kern w:val="21"/>
          <w:sz w:val="21"/>
          <w:szCs w:val="21"/>
          <w:highlight w:val="none"/>
          <w:lang w:val="en-US" w:eastAsia="zh-CN"/>
        </w:rPr>
        <w:t>全部</w:t>
      </w:r>
      <w:r>
        <w:rPr>
          <w:rFonts w:hint="eastAsia" w:ascii="宋体" w:hAnsi="宋体" w:cs="宋体"/>
          <w:b w:val="0"/>
          <w:bCs w:val="0"/>
          <w:color w:val="auto"/>
          <w:spacing w:val="0"/>
          <w:w w:val="100"/>
          <w:kern w:val="21"/>
          <w:sz w:val="21"/>
          <w:szCs w:val="21"/>
          <w:highlight w:val="none"/>
          <w:lang w:eastAsia="zh-CN"/>
        </w:rPr>
        <w:t>建设</w:t>
      </w:r>
      <w:r>
        <w:rPr>
          <w:rFonts w:hint="eastAsia" w:ascii="宋体" w:hAnsi="宋体" w:cs="宋体"/>
          <w:b w:val="0"/>
          <w:bCs w:val="0"/>
          <w:color w:val="auto"/>
          <w:spacing w:val="0"/>
          <w:w w:val="100"/>
          <w:kern w:val="21"/>
          <w:sz w:val="21"/>
          <w:szCs w:val="21"/>
          <w:highlight w:val="none"/>
          <w:lang w:val="en-US" w:eastAsia="zh-CN"/>
        </w:rPr>
        <w:t>内容</w:t>
      </w:r>
      <w:r>
        <w:rPr>
          <w:rFonts w:hint="eastAsia" w:ascii="宋体" w:hAnsi="宋体" w:cs="宋体"/>
          <w:b w:val="0"/>
          <w:bCs w:val="0"/>
          <w:color w:val="auto"/>
          <w:spacing w:val="0"/>
          <w:w w:val="100"/>
          <w:kern w:val="21"/>
          <w:sz w:val="21"/>
          <w:szCs w:val="21"/>
          <w:highlight w:val="none"/>
          <w:lang w:eastAsia="zh-CN"/>
        </w:rPr>
        <w:t>并</w:t>
      </w:r>
      <w:r>
        <w:rPr>
          <w:rFonts w:hint="eastAsia" w:ascii="宋体" w:hAnsi="宋体" w:cs="宋体"/>
          <w:b w:val="0"/>
          <w:bCs w:val="0"/>
          <w:color w:val="auto"/>
          <w:spacing w:val="0"/>
          <w:w w:val="100"/>
          <w:kern w:val="21"/>
          <w:sz w:val="21"/>
          <w:szCs w:val="21"/>
          <w:highlight w:val="none"/>
          <w:lang w:val="en-US" w:eastAsia="zh-CN"/>
        </w:rPr>
        <w:t>达到</w:t>
      </w:r>
      <w:r>
        <w:rPr>
          <w:rFonts w:hint="eastAsia" w:ascii="宋体" w:hAnsi="宋体" w:eastAsia="宋体" w:cs="宋体"/>
          <w:b w:val="0"/>
          <w:bCs w:val="0"/>
          <w:color w:val="auto"/>
          <w:spacing w:val="0"/>
          <w:w w:val="100"/>
          <w:kern w:val="21"/>
          <w:sz w:val="21"/>
          <w:szCs w:val="21"/>
          <w:highlight w:val="none"/>
        </w:rPr>
        <w:t>系统试运行</w:t>
      </w:r>
      <w:r>
        <w:rPr>
          <w:rFonts w:hint="eastAsia" w:ascii="宋体" w:hAnsi="宋体" w:cs="宋体"/>
          <w:b w:val="0"/>
          <w:bCs w:val="0"/>
          <w:color w:val="auto"/>
          <w:spacing w:val="0"/>
          <w:w w:val="100"/>
          <w:kern w:val="21"/>
          <w:sz w:val="21"/>
          <w:szCs w:val="21"/>
          <w:highlight w:val="none"/>
          <w:lang w:val="en-US" w:eastAsia="zh-CN"/>
        </w:rPr>
        <w:t>要求</w:t>
      </w:r>
      <w:r>
        <w:rPr>
          <w:rFonts w:hint="eastAsia" w:ascii="宋体" w:hAnsi="宋体" w:cs="宋体"/>
          <w:b w:val="0"/>
          <w:bCs w:val="0"/>
          <w:spacing w:val="0"/>
          <w:w w:val="100"/>
          <w:kern w:val="21"/>
          <w:sz w:val="21"/>
          <w:szCs w:val="21"/>
          <w:highlight w:val="none"/>
          <w:lang w:eastAsia="zh-CN"/>
        </w:rPr>
        <w:t>；终验验收是指：</w:t>
      </w:r>
      <w:r>
        <w:rPr>
          <w:rFonts w:hint="eastAsia" w:ascii="宋体" w:hAnsi="宋体" w:eastAsia="宋体" w:cs="宋体"/>
          <w:b w:val="0"/>
          <w:bCs w:val="0"/>
          <w:color w:val="auto"/>
          <w:spacing w:val="0"/>
          <w:w w:val="100"/>
          <w:kern w:val="21"/>
          <w:sz w:val="21"/>
          <w:szCs w:val="21"/>
          <w:highlight w:val="none"/>
        </w:rPr>
        <w:t>系统</w:t>
      </w:r>
      <w:r>
        <w:rPr>
          <w:rFonts w:hint="eastAsia" w:ascii="宋体" w:hAnsi="宋体" w:cs="宋体"/>
          <w:b w:val="0"/>
          <w:bCs w:val="0"/>
          <w:color w:val="auto"/>
          <w:spacing w:val="0"/>
          <w:w w:val="100"/>
          <w:kern w:val="21"/>
          <w:sz w:val="21"/>
          <w:szCs w:val="21"/>
          <w:highlight w:val="none"/>
          <w:lang w:eastAsia="zh-CN"/>
        </w:rPr>
        <w:t>初验</w:t>
      </w:r>
      <w:r>
        <w:rPr>
          <w:rFonts w:hint="eastAsia" w:ascii="宋体" w:hAnsi="宋体" w:eastAsia="宋体" w:cs="宋体"/>
          <w:b w:val="0"/>
          <w:bCs w:val="0"/>
          <w:color w:val="auto"/>
          <w:spacing w:val="0"/>
          <w:w w:val="100"/>
          <w:kern w:val="21"/>
          <w:sz w:val="21"/>
          <w:szCs w:val="21"/>
          <w:highlight w:val="none"/>
        </w:rPr>
        <w:t>验收合格且正常运行</w:t>
      </w:r>
      <w:r>
        <w:rPr>
          <w:rFonts w:hint="eastAsia" w:ascii="宋体" w:hAnsi="宋体" w:cs="宋体"/>
          <w:b w:val="0"/>
          <w:bCs w:val="0"/>
          <w:color w:val="auto"/>
          <w:spacing w:val="0"/>
          <w:w w:val="100"/>
          <w:kern w:val="21"/>
          <w:sz w:val="21"/>
          <w:szCs w:val="21"/>
          <w:highlight w:val="none"/>
          <w:lang w:val="en-US" w:eastAsia="zh-CN"/>
        </w:rPr>
        <w:t>3</w:t>
      </w:r>
      <w:r>
        <w:rPr>
          <w:rFonts w:hint="eastAsia" w:ascii="宋体" w:hAnsi="宋体" w:eastAsia="宋体" w:cs="宋体"/>
          <w:b w:val="0"/>
          <w:bCs w:val="0"/>
          <w:color w:val="auto"/>
          <w:spacing w:val="0"/>
          <w:w w:val="100"/>
          <w:kern w:val="21"/>
          <w:sz w:val="21"/>
          <w:szCs w:val="21"/>
          <w:highlight w:val="none"/>
        </w:rPr>
        <w:t>个月</w:t>
      </w:r>
      <w:r>
        <w:rPr>
          <w:rFonts w:hint="eastAsia" w:ascii="宋体" w:hAnsi="宋体" w:cs="宋体"/>
          <w:b w:val="0"/>
          <w:bCs w:val="0"/>
          <w:color w:val="auto"/>
          <w:spacing w:val="0"/>
          <w:w w:val="100"/>
          <w:kern w:val="21"/>
          <w:sz w:val="21"/>
          <w:szCs w:val="21"/>
          <w:highlight w:val="none"/>
          <w:lang w:eastAsia="zh-CN"/>
        </w:rPr>
        <w:t>。</w:t>
      </w:r>
      <w:r>
        <w:rPr>
          <w:rFonts w:hint="eastAsia" w:ascii="宋体" w:hAnsi="宋体" w:cs="宋体"/>
          <w:b w:val="0"/>
          <w:bCs w:val="0"/>
          <w:spacing w:val="0"/>
          <w:w w:val="100"/>
          <w:kern w:val="21"/>
          <w:sz w:val="21"/>
          <w:szCs w:val="21"/>
          <w:highlight w:val="none"/>
          <w:lang w:val="en-US" w:eastAsia="zh-CN"/>
        </w:rPr>
        <w:t xml:space="preserve"> </w:t>
      </w:r>
    </w:p>
    <w:p w14:paraId="5AEDC4CD">
      <w:pPr>
        <w:keepNext w:val="0"/>
        <w:keepLines w:val="0"/>
        <w:pageBreakBefore w:val="0"/>
        <w:widowControl w:val="0"/>
        <w:kinsoku/>
        <w:wordWrap/>
        <w:overflowPunct/>
        <w:topLinePunct w:val="0"/>
        <w:bidi w:val="0"/>
        <w:adjustRightInd/>
        <w:snapToGrid/>
        <w:spacing w:line="360" w:lineRule="auto"/>
        <w:ind w:left="0" w:firstLine="420" w:firstLineChars="200"/>
        <w:rPr>
          <w:rFonts w:hint="eastAsia" w:ascii="宋体" w:hAnsi="宋体" w:eastAsia="宋体" w:cs="宋体"/>
          <w:b w:val="0"/>
          <w:bCs w:val="0"/>
          <w:spacing w:val="0"/>
          <w:w w:val="100"/>
          <w:kern w:val="21"/>
          <w:sz w:val="21"/>
          <w:szCs w:val="21"/>
          <w:highlight w:val="none"/>
        </w:rPr>
      </w:pPr>
      <w:r>
        <w:rPr>
          <w:rFonts w:hint="eastAsia" w:ascii="宋体" w:hAnsi="宋体" w:eastAsia="宋体" w:cs="宋体"/>
          <w:b w:val="0"/>
          <w:bCs w:val="0"/>
          <w:spacing w:val="0"/>
          <w:w w:val="100"/>
          <w:kern w:val="21"/>
          <w:sz w:val="21"/>
          <w:szCs w:val="21"/>
          <w:highlight w:val="none"/>
        </w:rPr>
        <w:t>四、结算与付款方式</w:t>
      </w:r>
    </w:p>
    <w:p w14:paraId="04E61E0C">
      <w:pPr>
        <w:keepNext w:val="0"/>
        <w:keepLines w:val="0"/>
        <w:pageBreakBefore w:val="0"/>
        <w:widowControl w:val="0"/>
        <w:kinsoku/>
        <w:wordWrap/>
        <w:overflowPunct/>
        <w:topLinePunct w:val="0"/>
        <w:bidi w:val="0"/>
        <w:adjustRightInd/>
        <w:snapToGrid/>
        <w:spacing w:line="360" w:lineRule="auto"/>
        <w:ind w:left="0" w:firstLine="420" w:firstLineChars="200"/>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1、本项目为固定总价合同，投标报价包含完成本项目全部建设内容的所有费用，包含但不限于：设备、主材、辅材、立杆基础、接地、线缆敷设、路面开挖及恢复、设备安装调试、系统联调、省级平台接口开发及对接、接电</w:t>
      </w:r>
      <w:r>
        <w:rPr>
          <w:rFonts w:hint="eastAsia" w:ascii="宋体" w:hAnsi="宋体" w:eastAsia="宋体" w:cs="宋体"/>
          <w:b w:val="0"/>
          <w:bCs w:val="0"/>
          <w:color w:val="auto"/>
          <w:spacing w:val="0"/>
          <w:w w:val="100"/>
          <w:kern w:val="21"/>
          <w:sz w:val="21"/>
          <w:szCs w:val="21"/>
        </w:rPr>
        <w:t>入网、电报装、电表开户、</w:t>
      </w:r>
      <w:r>
        <w:rPr>
          <w:rFonts w:hint="eastAsia" w:ascii="宋体" w:hAnsi="宋体" w:cs="宋体"/>
          <w:b w:val="0"/>
          <w:bCs w:val="0"/>
          <w:color w:val="auto"/>
          <w:spacing w:val="0"/>
          <w:w w:val="100"/>
          <w:kern w:val="21"/>
          <w:sz w:val="21"/>
          <w:szCs w:val="21"/>
          <w:lang w:eastAsia="zh-CN"/>
        </w:rPr>
        <w:t>电费</w:t>
      </w:r>
      <w:r>
        <w:rPr>
          <w:rFonts w:hint="default" w:ascii="宋体" w:hAnsi="宋体" w:cs="宋体"/>
          <w:b w:val="0"/>
          <w:bCs w:val="0"/>
          <w:color w:val="auto"/>
          <w:spacing w:val="0"/>
          <w:w w:val="100"/>
          <w:kern w:val="21"/>
          <w:sz w:val="21"/>
          <w:szCs w:val="21"/>
          <w:lang w:val="en"/>
        </w:rPr>
        <w:t>(</w:t>
      </w:r>
      <w:r>
        <w:rPr>
          <w:rFonts w:hint="eastAsia" w:ascii="宋体" w:hAnsi="宋体" w:cs="宋体"/>
          <w:b w:val="0"/>
          <w:bCs w:val="0"/>
          <w:color w:val="auto"/>
          <w:spacing w:val="0"/>
          <w:w w:val="100"/>
          <w:kern w:val="21"/>
          <w:sz w:val="21"/>
          <w:szCs w:val="21"/>
          <w:lang w:val="en" w:eastAsia="zh-CN"/>
        </w:rPr>
        <w:t>含质保期</w:t>
      </w:r>
      <w:r>
        <w:rPr>
          <w:rFonts w:hint="eastAsia" w:ascii="宋体" w:hAnsi="宋体" w:cs="宋体"/>
          <w:b w:val="0"/>
          <w:bCs w:val="0"/>
          <w:color w:val="auto"/>
          <w:spacing w:val="0"/>
          <w:w w:val="100"/>
          <w:kern w:val="21"/>
          <w:sz w:val="21"/>
          <w:szCs w:val="21"/>
          <w:lang w:val="en-US" w:eastAsia="zh-CN"/>
        </w:rPr>
        <w:t>3年）、</w:t>
      </w:r>
      <w:r>
        <w:rPr>
          <w:rFonts w:hint="eastAsia" w:ascii="宋体" w:hAnsi="宋体" w:eastAsia="宋体" w:cs="宋体"/>
          <w:b w:val="0"/>
          <w:bCs w:val="0"/>
          <w:color w:val="auto"/>
          <w:spacing w:val="0"/>
          <w:w w:val="100"/>
          <w:kern w:val="21"/>
          <w:sz w:val="21"/>
          <w:szCs w:val="21"/>
        </w:rPr>
        <w:t>光纤宽带报装开户、通信月租</w:t>
      </w:r>
      <w:r>
        <w:rPr>
          <w:rFonts w:hint="default" w:ascii="宋体" w:hAnsi="宋体" w:cs="宋体"/>
          <w:b w:val="0"/>
          <w:bCs w:val="0"/>
          <w:color w:val="auto"/>
          <w:spacing w:val="0"/>
          <w:w w:val="100"/>
          <w:kern w:val="21"/>
          <w:sz w:val="21"/>
          <w:szCs w:val="21"/>
          <w:lang w:val="en"/>
        </w:rPr>
        <w:t>(</w:t>
      </w:r>
      <w:r>
        <w:rPr>
          <w:rFonts w:hint="eastAsia" w:ascii="宋体" w:hAnsi="宋体" w:cs="宋体"/>
          <w:b w:val="0"/>
          <w:bCs w:val="0"/>
          <w:color w:val="auto"/>
          <w:spacing w:val="0"/>
          <w:w w:val="100"/>
          <w:kern w:val="21"/>
          <w:sz w:val="21"/>
          <w:szCs w:val="21"/>
          <w:lang w:val="en" w:eastAsia="zh-CN"/>
        </w:rPr>
        <w:t>含质保期</w:t>
      </w:r>
      <w:r>
        <w:rPr>
          <w:rFonts w:hint="eastAsia" w:ascii="宋体" w:hAnsi="宋体" w:cs="宋体"/>
          <w:b w:val="0"/>
          <w:bCs w:val="0"/>
          <w:color w:val="auto"/>
          <w:spacing w:val="0"/>
          <w:w w:val="100"/>
          <w:kern w:val="21"/>
          <w:sz w:val="21"/>
          <w:szCs w:val="21"/>
          <w:lang w:val="en-US" w:eastAsia="zh-CN"/>
        </w:rPr>
        <w:t>3年）</w:t>
      </w:r>
      <w:r>
        <w:rPr>
          <w:rFonts w:hint="eastAsia" w:ascii="宋体" w:hAnsi="宋体" w:eastAsia="宋体" w:cs="宋体"/>
          <w:b w:val="0"/>
          <w:bCs w:val="0"/>
          <w:color w:val="auto"/>
          <w:spacing w:val="0"/>
          <w:w w:val="100"/>
          <w:kern w:val="21"/>
          <w:sz w:val="21"/>
          <w:szCs w:val="21"/>
        </w:rPr>
        <w:t>、现场协调、安全文明施工、培训、资料归档、8年质保运维、备品备件、现场踏勘风险、政</w:t>
      </w:r>
      <w:r>
        <w:rPr>
          <w:rFonts w:hint="eastAsia" w:ascii="宋体" w:hAnsi="宋体" w:eastAsia="宋体" w:cs="宋体"/>
          <w:b w:val="0"/>
          <w:bCs w:val="0"/>
          <w:spacing w:val="0"/>
          <w:w w:val="100"/>
          <w:kern w:val="21"/>
          <w:sz w:val="21"/>
          <w:szCs w:val="21"/>
        </w:rPr>
        <w:t>策规范升级适配、人工、机械、运输、税金、利润、风险包干等全部费用。</w:t>
      </w:r>
    </w:p>
    <w:p w14:paraId="46174B2C">
      <w:pPr>
        <w:keepNext w:val="0"/>
        <w:keepLines w:val="0"/>
        <w:pageBreakBefore w:val="0"/>
        <w:widowControl w:val="0"/>
        <w:kinsoku/>
        <w:wordWrap/>
        <w:overflowPunct/>
        <w:topLinePunct w:val="0"/>
        <w:bidi w:val="0"/>
        <w:adjustRightInd/>
        <w:snapToGrid/>
        <w:spacing w:line="360" w:lineRule="auto"/>
        <w:ind w:left="0" w:firstLine="420" w:firstLineChars="200"/>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2、投标人已充分自行踏勘全部站点现场，充分知悉施工环境、施工难度、外部制约、场地条件。因投标人踏勘不足、预判偏差、方案漏项、预估不足产生的一切工程量增加、费用增加、施工难度增加，全部由投标人自行承担，合同价款不作任何调增。</w:t>
      </w:r>
    </w:p>
    <w:p w14:paraId="3F57C08B">
      <w:pPr>
        <w:keepNext w:val="0"/>
        <w:keepLines w:val="0"/>
        <w:pageBreakBefore w:val="0"/>
        <w:widowControl w:val="0"/>
        <w:kinsoku/>
        <w:wordWrap/>
        <w:overflowPunct/>
        <w:topLinePunct w:val="0"/>
        <w:bidi w:val="0"/>
        <w:adjustRightInd/>
        <w:snapToGrid/>
        <w:spacing w:line="360" w:lineRule="auto"/>
        <w:ind w:left="0" w:firstLine="420" w:firstLineChars="200"/>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3、除采购人书面盖章确认的站点点位重大变更外，现场施工过程中线缆、辅材、开挖工程量10%以内增量属于投标人包干风险范围，不予调价。</w:t>
      </w:r>
    </w:p>
    <w:p w14:paraId="1C1EDA82">
      <w:pPr>
        <w:keepNext w:val="0"/>
        <w:keepLines w:val="0"/>
        <w:pageBreakBefore w:val="0"/>
        <w:widowControl w:val="0"/>
        <w:kinsoku/>
        <w:wordWrap/>
        <w:overflowPunct/>
        <w:topLinePunct w:val="0"/>
        <w:bidi w:val="0"/>
        <w:adjustRightInd/>
        <w:snapToGrid/>
        <w:spacing w:line="360" w:lineRule="auto"/>
        <w:ind w:left="0" w:firstLine="420" w:firstLineChars="200"/>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4、付款节点：</w:t>
      </w:r>
    </w:p>
    <w:p w14:paraId="6ED5EEC1">
      <w:pPr>
        <w:keepNext w:val="0"/>
        <w:keepLines w:val="0"/>
        <w:pageBreakBefore w:val="0"/>
        <w:widowControl w:val="0"/>
        <w:kinsoku/>
        <w:wordWrap/>
        <w:overflowPunct/>
        <w:topLinePunct w:val="0"/>
        <w:bidi w:val="0"/>
        <w:adjustRightInd/>
        <w:snapToGrid/>
        <w:spacing w:line="360" w:lineRule="auto"/>
        <w:ind w:left="0" w:firstLine="420" w:firstLineChars="200"/>
        <w:rPr>
          <w:rFonts w:hint="eastAsia" w:ascii="宋体" w:hAnsi="宋体" w:eastAsia="宋体" w:cs="宋体"/>
          <w:b w:val="0"/>
          <w:bCs w:val="0"/>
          <w:color w:val="auto"/>
          <w:spacing w:val="0"/>
          <w:w w:val="100"/>
          <w:kern w:val="21"/>
          <w:sz w:val="21"/>
          <w:szCs w:val="21"/>
          <w:highlight w:val="none"/>
        </w:rPr>
      </w:pPr>
      <w:r>
        <w:rPr>
          <w:rFonts w:hint="eastAsia" w:ascii="宋体" w:hAnsi="宋体" w:eastAsia="宋体" w:cs="宋体"/>
          <w:b w:val="0"/>
          <w:bCs w:val="0"/>
          <w:color w:val="auto"/>
          <w:spacing w:val="0"/>
          <w:w w:val="100"/>
          <w:kern w:val="21"/>
          <w:sz w:val="21"/>
          <w:szCs w:val="21"/>
        </w:rPr>
        <w:t>①设备全部到货开箱检验合</w:t>
      </w:r>
      <w:r>
        <w:rPr>
          <w:rFonts w:hint="eastAsia" w:ascii="宋体" w:hAnsi="宋体" w:eastAsia="宋体" w:cs="宋体"/>
          <w:b w:val="0"/>
          <w:bCs w:val="0"/>
          <w:color w:val="auto"/>
          <w:spacing w:val="0"/>
          <w:w w:val="100"/>
          <w:kern w:val="21"/>
          <w:sz w:val="21"/>
          <w:szCs w:val="21"/>
          <w:highlight w:val="none"/>
        </w:rPr>
        <w:t>格，提交到货开箱检验证明、对应合法增值税发票，支付50%；</w:t>
      </w:r>
    </w:p>
    <w:p w14:paraId="6D3B05C9">
      <w:pPr>
        <w:keepNext w:val="0"/>
        <w:keepLines w:val="0"/>
        <w:pageBreakBefore w:val="0"/>
        <w:widowControl w:val="0"/>
        <w:kinsoku/>
        <w:wordWrap/>
        <w:overflowPunct/>
        <w:topLinePunct w:val="0"/>
        <w:bidi w:val="0"/>
        <w:adjustRightInd/>
        <w:snapToGrid/>
        <w:spacing w:line="360" w:lineRule="auto"/>
        <w:ind w:left="0" w:firstLine="420" w:firstLineChars="200"/>
        <w:rPr>
          <w:rFonts w:hint="eastAsia" w:ascii="宋体" w:hAnsi="宋体" w:eastAsia="宋体" w:cs="宋体"/>
          <w:b w:val="0"/>
          <w:bCs w:val="0"/>
          <w:spacing w:val="0"/>
          <w:w w:val="100"/>
          <w:kern w:val="21"/>
          <w:sz w:val="21"/>
          <w:szCs w:val="21"/>
        </w:rPr>
      </w:pPr>
      <w:r>
        <w:rPr>
          <w:rFonts w:hint="eastAsia" w:ascii="宋体" w:hAnsi="宋体" w:eastAsia="宋体" w:cs="宋体"/>
          <w:b w:val="0"/>
          <w:bCs w:val="0"/>
          <w:color w:val="auto"/>
          <w:spacing w:val="0"/>
          <w:w w:val="100"/>
          <w:kern w:val="21"/>
          <w:sz w:val="21"/>
          <w:szCs w:val="21"/>
          <w:highlight w:val="none"/>
        </w:rPr>
        <w:t>②全部站点完工、完成省级平台联调测试合格，</w:t>
      </w:r>
      <w:r>
        <w:rPr>
          <w:rFonts w:hint="eastAsia"/>
          <w:color w:val="auto"/>
          <w:highlight w:val="none"/>
          <w:lang w:eastAsia="zh-CN"/>
        </w:rPr>
        <w:t>终验</w:t>
      </w:r>
      <w:r>
        <w:rPr>
          <w:rFonts w:hint="eastAsia"/>
          <w:color w:val="auto"/>
          <w:highlight w:val="none"/>
        </w:rPr>
        <w:t>验收</w:t>
      </w:r>
      <w:r>
        <w:rPr>
          <w:rFonts w:hint="eastAsia" w:ascii="宋体" w:hAnsi="宋体" w:eastAsia="宋体" w:cs="宋体"/>
          <w:b w:val="0"/>
          <w:bCs w:val="0"/>
          <w:color w:val="auto"/>
          <w:spacing w:val="0"/>
          <w:w w:val="100"/>
          <w:kern w:val="21"/>
          <w:sz w:val="21"/>
          <w:szCs w:val="21"/>
          <w:highlight w:val="none"/>
        </w:rPr>
        <w:t>合格后完成结算，</w:t>
      </w:r>
      <w:r>
        <w:rPr>
          <w:rFonts w:hint="eastAsia" w:ascii="宋体" w:hAnsi="宋体" w:cs="宋体"/>
          <w:b w:val="0"/>
          <w:bCs w:val="0"/>
          <w:color w:val="auto"/>
          <w:spacing w:val="0"/>
          <w:w w:val="100"/>
          <w:kern w:val="21"/>
          <w:sz w:val="21"/>
          <w:szCs w:val="21"/>
          <w:highlight w:val="none"/>
          <w:lang w:eastAsia="zh-CN"/>
        </w:rPr>
        <w:t>同时</w:t>
      </w:r>
      <w:r>
        <w:rPr>
          <w:rFonts w:hint="eastAsia"/>
          <w:highlight w:val="none"/>
          <w:lang w:eastAsia="zh-CN"/>
        </w:rPr>
        <w:t>中标人提供合同</w:t>
      </w:r>
      <w:r>
        <w:rPr>
          <w:rFonts w:hint="eastAsia"/>
          <w:color w:val="auto"/>
          <w:highlight w:val="none"/>
          <w:lang w:eastAsia="zh-CN"/>
        </w:rPr>
        <w:t>价款</w:t>
      </w:r>
      <w:r>
        <w:rPr>
          <w:rFonts w:hint="eastAsia"/>
          <w:color w:val="auto"/>
          <w:highlight w:val="none"/>
          <w:lang w:val="en-US" w:eastAsia="zh-CN"/>
        </w:rPr>
        <w:t>5%的运维期履约保函（运维期履约保函有效期需覆盖整个运维期，</w:t>
      </w:r>
      <w:r>
        <w:rPr>
          <w:rFonts w:hint="eastAsia"/>
          <w:color w:val="auto"/>
          <w:highlight w:val="none"/>
        </w:rPr>
        <w:t>8年</w:t>
      </w:r>
      <w:r>
        <w:rPr>
          <w:rFonts w:hint="eastAsia"/>
          <w:color w:val="auto"/>
          <w:highlight w:val="none"/>
          <w:lang w:eastAsia="zh-CN"/>
        </w:rPr>
        <w:t>运维</w:t>
      </w:r>
      <w:r>
        <w:rPr>
          <w:rFonts w:hint="eastAsia"/>
          <w:color w:val="auto"/>
          <w:highlight w:val="none"/>
        </w:rPr>
        <w:t>期满，无质量问题、无</w:t>
      </w:r>
      <w:r>
        <w:rPr>
          <w:rFonts w:hint="eastAsia"/>
          <w:highlight w:val="none"/>
        </w:rPr>
        <w:t>违约行为</w:t>
      </w:r>
      <w:r>
        <w:rPr>
          <w:rFonts w:hint="eastAsia"/>
          <w:highlight w:val="none"/>
          <w:lang w:eastAsia="zh-CN"/>
        </w:rPr>
        <w:t>，</w:t>
      </w:r>
      <w:r>
        <w:rPr>
          <w:rFonts w:hint="eastAsia"/>
          <w:highlight w:val="none"/>
          <w:lang w:val="en-US" w:eastAsia="zh-CN"/>
        </w:rPr>
        <w:t>运维期履约</w:t>
      </w:r>
      <w:r>
        <w:rPr>
          <w:rFonts w:hint="eastAsia"/>
          <w:highlight w:val="none"/>
          <w:lang w:eastAsia="zh-CN"/>
        </w:rPr>
        <w:t>保函自动失效</w:t>
      </w:r>
      <w:r>
        <w:rPr>
          <w:rFonts w:hint="eastAsia"/>
          <w:highlight w:val="none"/>
          <w:lang w:val="en-US" w:eastAsia="zh-CN"/>
        </w:rPr>
        <w:t>）后，</w:t>
      </w:r>
      <w:r>
        <w:rPr>
          <w:rFonts w:hint="eastAsia" w:ascii="宋体" w:hAnsi="宋体" w:eastAsia="宋体" w:cs="宋体"/>
          <w:b w:val="0"/>
          <w:bCs w:val="0"/>
          <w:color w:val="auto"/>
          <w:spacing w:val="0"/>
          <w:w w:val="100"/>
          <w:kern w:val="21"/>
          <w:sz w:val="21"/>
          <w:szCs w:val="21"/>
          <w:highlight w:val="none"/>
        </w:rPr>
        <w:t>支付至合同结算价</w:t>
      </w:r>
      <w:r>
        <w:rPr>
          <w:rFonts w:hint="eastAsia" w:ascii="宋体" w:hAnsi="宋体" w:cs="宋体"/>
          <w:b w:val="0"/>
          <w:bCs w:val="0"/>
          <w:color w:val="auto"/>
          <w:spacing w:val="0"/>
          <w:w w:val="100"/>
          <w:kern w:val="21"/>
          <w:sz w:val="21"/>
          <w:szCs w:val="21"/>
          <w:highlight w:val="none"/>
          <w:lang w:val="en-US" w:eastAsia="zh-CN"/>
        </w:rPr>
        <w:t>100</w:t>
      </w:r>
      <w:r>
        <w:rPr>
          <w:rFonts w:hint="eastAsia" w:ascii="宋体" w:hAnsi="宋体" w:eastAsia="宋体" w:cs="宋体"/>
          <w:b w:val="0"/>
          <w:bCs w:val="0"/>
          <w:color w:val="auto"/>
          <w:spacing w:val="0"/>
          <w:w w:val="100"/>
          <w:kern w:val="21"/>
          <w:sz w:val="21"/>
          <w:szCs w:val="21"/>
          <w:highlight w:val="none"/>
        </w:rPr>
        <w:t>%</w:t>
      </w:r>
      <w:r>
        <w:rPr>
          <w:rFonts w:hint="eastAsia" w:ascii="宋体" w:hAnsi="宋体" w:cs="宋体"/>
          <w:b w:val="0"/>
          <w:bCs w:val="0"/>
          <w:color w:val="auto"/>
          <w:spacing w:val="0"/>
          <w:w w:val="100"/>
          <w:kern w:val="21"/>
          <w:sz w:val="21"/>
          <w:szCs w:val="21"/>
          <w:highlight w:val="none"/>
          <w:lang w:eastAsia="zh-CN"/>
        </w:rPr>
        <w:t>。</w:t>
      </w:r>
      <w:r>
        <w:rPr>
          <w:rFonts w:hint="eastAsia" w:ascii="宋体" w:hAnsi="宋体" w:eastAsia="宋体" w:cs="宋体"/>
          <w:b w:val="0"/>
          <w:bCs w:val="0"/>
          <w:spacing w:val="0"/>
          <w:w w:val="100"/>
          <w:kern w:val="21"/>
          <w:sz w:val="21"/>
          <w:szCs w:val="21"/>
          <w:highlight w:val="none"/>
        </w:rPr>
        <w:t>5、财政资金特别约定：本项目资金为财政资金，采购人所有付款义务均以财政资金实际到位、财政审核及审计流程完成为前置条件。因财政预算下达、资金拨付、审计流程等非采购人原因造成付款延迟的，付款期限相应顺延，采购人</w:t>
      </w:r>
      <w:r>
        <w:rPr>
          <w:rFonts w:hint="eastAsia" w:ascii="宋体" w:hAnsi="宋体" w:eastAsia="宋体" w:cs="宋体"/>
          <w:b w:val="0"/>
          <w:bCs w:val="0"/>
          <w:spacing w:val="0"/>
          <w:w w:val="100"/>
          <w:kern w:val="21"/>
          <w:sz w:val="21"/>
          <w:szCs w:val="21"/>
        </w:rPr>
        <w:t>不承担逾期付款违约金、利息及任何违约责任。</w:t>
      </w:r>
    </w:p>
    <w:p w14:paraId="31DA2C67">
      <w:pPr>
        <w:keepNext w:val="0"/>
        <w:keepLines w:val="0"/>
        <w:pageBreakBefore w:val="0"/>
        <w:widowControl w:val="0"/>
        <w:kinsoku/>
        <w:wordWrap/>
        <w:overflowPunct/>
        <w:topLinePunct w:val="0"/>
        <w:bidi w:val="0"/>
        <w:adjustRightInd/>
        <w:snapToGrid/>
        <w:spacing w:line="360" w:lineRule="auto"/>
        <w:ind w:left="0" w:firstLine="420" w:firstLineChars="200"/>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五、站点建设与调整管控规则</w:t>
      </w:r>
    </w:p>
    <w:p w14:paraId="32E5D3F8">
      <w:pPr>
        <w:keepNext w:val="0"/>
        <w:keepLines w:val="0"/>
        <w:pageBreakBefore w:val="0"/>
        <w:widowControl w:val="0"/>
        <w:kinsoku/>
        <w:wordWrap/>
        <w:overflowPunct/>
        <w:topLinePunct w:val="0"/>
        <w:bidi w:val="0"/>
        <w:adjustRightInd/>
        <w:snapToGrid/>
        <w:spacing w:line="360" w:lineRule="auto"/>
        <w:ind w:left="0" w:firstLine="420" w:firstLineChars="200"/>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1、采购人负责提供规划桩号点位、协调属地进场基本条件，施工过程中产生的一切占地、损毁、施工赔偿、协调费用由中标人承担，包含在合同总价内。</w:t>
      </w:r>
    </w:p>
    <w:p w14:paraId="05D11853">
      <w:pPr>
        <w:keepNext w:val="0"/>
        <w:keepLines w:val="0"/>
        <w:pageBreakBefore w:val="0"/>
        <w:widowControl w:val="0"/>
        <w:kinsoku/>
        <w:wordWrap/>
        <w:overflowPunct/>
        <w:topLinePunct w:val="0"/>
        <w:bidi w:val="0"/>
        <w:adjustRightInd/>
        <w:snapToGrid/>
        <w:spacing w:line="360" w:lineRule="auto"/>
        <w:ind w:left="0" w:firstLine="420" w:firstLineChars="200"/>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2、项目电报装、电表开户、光纤宽带开户、通信运营商月租等全部费用由中标人包干承担，包含在投标总价中。</w:t>
      </w:r>
    </w:p>
    <w:p w14:paraId="54B1D956">
      <w:pPr>
        <w:keepNext w:val="0"/>
        <w:keepLines w:val="0"/>
        <w:pageBreakBefore w:val="0"/>
        <w:widowControl w:val="0"/>
        <w:kinsoku/>
        <w:wordWrap/>
        <w:overflowPunct/>
        <w:topLinePunct w:val="0"/>
        <w:bidi w:val="0"/>
        <w:adjustRightInd/>
        <w:snapToGrid/>
        <w:spacing w:line="360" w:lineRule="auto"/>
        <w:ind w:left="0" w:firstLine="420" w:firstLineChars="200"/>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3、站点调整仅限现场客观条件（征地冲突、管线冲突、重大安全隐患）导致的必要调整，严格执行同类互换原则（Ⅰ类换Ⅰ类、Ⅱ类换Ⅱ类），不得提高建设标准、不得增加站点数量、不得新增点位。所有调整必须取得采购人书面盖章正式文件，不增加合同总价。</w:t>
      </w:r>
    </w:p>
    <w:p w14:paraId="0B87C984">
      <w:pPr>
        <w:keepNext w:val="0"/>
        <w:keepLines w:val="0"/>
        <w:pageBreakBefore w:val="0"/>
        <w:widowControl w:val="0"/>
        <w:kinsoku/>
        <w:wordWrap/>
        <w:overflowPunct/>
        <w:topLinePunct w:val="0"/>
        <w:bidi w:val="0"/>
        <w:adjustRightInd/>
        <w:snapToGrid/>
        <w:spacing w:line="360" w:lineRule="auto"/>
        <w:ind w:left="0" w:firstLine="420" w:firstLineChars="200"/>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4、中标人未经采购人书面同意擅自变更点位、数量、类型、建设标准的，视为严重违约，采购人有权扣减合同价款、责令恢复原状、追究违约责任。</w:t>
      </w:r>
    </w:p>
    <w:p w14:paraId="2463CF52">
      <w:pPr>
        <w:keepNext w:val="0"/>
        <w:keepLines w:val="0"/>
        <w:pageBreakBefore w:val="0"/>
        <w:widowControl w:val="0"/>
        <w:kinsoku/>
        <w:wordWrap/>
        <w:overflowPunct/>
        <w:topLinePunct w:val="0"/>
        <w:bidi w:val="0"/>
        <w:adjustRightInd/>
        <w:snapToGrid/>
        <w:spacing w:line="360" w:lineRule="auto"/>
        <w:ind w:left="0" w:firstLine="420" w:firstLineChars="200"/>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六、验收标准及验收规则</w:t>
      </w:r>
    </w:p>
    <w:p w14:paraId="7D30395B">
      <w:pPr>
        <w:keepNext w:val="0"/>
        <w:keepLines w:val="0"/>
        <w:pageBreakBefore w:val="0"/>
        <w:widowControl w:val="0"/>
        <w:kinsoku/>
        <w:wordWrap/>
        <w:overflowPunct/>
        <w:topLinePunct w:val="0"/>
        <w:bidi w:val="0"/>
        <w:adjustRightInd/>
        <w:snapToGrid/>
        <w:spacing w:line="360" w:lineRule="auto"/>
        <w:ind w:left="0" w:firstLine="420" w:firstLineChars="200"/>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★1、平台对接硬性验收条件：本项目所有</w:t>
      </w:r>
      <w:r>
        <w:rPr>
          <w:rFonts w:hint="eastAsia" w:ascii="宋体" w:hAnsi="宋体" w:eastAsia="宋体" w:cs="宋体"/>
          <w:b w:val="0"/>
          <w:bCs w:val="0"/>
          <w:spacing w:val="0"/>
          <w:w w:val="100"/>
          <w:kern w:val="21"/>
          <w:sz w:val="21"/>
          <w:szCs w:val="21"/>
          <w:highlight w:val="none"/>
        </w:rPr>
        <w:t>设备通信必须完全满足JT/T1008.2-2015通信协议，数据格式100%符合湖南省交通运输厅科技信息中心平台接口规范。所有设备</w:t>
      </w:r>
      <w:r>
        <w:rPr>
          <w:rFonts w:hint="eastAsia" w:ascii="宋体" w:hAnsi="宋体" w:cs="宋体"/>
          <w:b w:val="0"/>
          <w:bCs w:val="0"/>
          <w:spacing w:val="0"/>
          <w:w w:val="100"/>
          <w:kern w:val="21"/>
          <w:sz w:val="21"/>
          <w:szCs w:val="21"/>
          <w:highlight w:val="none"/>
          <w:lang w:val="en-US" w:eastAsia="zh-CN"/>
        </w:rPr>
        <w:t>的检定标准必须符合JT/T 1008.1-2015《公路交通情况调查设备 第 1 部分：技术条件》要求。</w:t>
      </w:r>
      <w:r>
        <w:rPr>
          <w:rFonts w:hint="eastAsia" w:ascii="宋体" w:hAnsi="宋体" w:eastAsia="宋体" w:cs="宋体"/>
          <w:b w:val="0"/>
          <w:bCs w:val="0"/>
          <w:spacing w:val="0"/>
          <w:w w:val="100"/>
          <w:kern w:val="21"/>
          <w:sz w:val="21"/>
          <w:szCs w:val="21"/>
          <w:highlight w:val="none"/>
        </w:rPr>
        <w:t>与省级平台联调成功、交调数据、车牌识别数据稳定完整上传是项目履约验收、付款的必要前置条件，未完成联调、数据上传不稳定的，项目</w:t>
      </w:r>
      <w:r>
        <w:rPr>
          <w:rFonts w:hint="eastAsia" w:ascii="宋体" w:hAnsi="宋体" w:eastAsia="宋体" w:cs="宋体"/>
          <w:b w:val="0"/>
          <w:bCs w:val="0"/>
          <w:spacing w:val="0"/>
          <w:w w:val="100"/>
          <w:kern w:val="21"/>
          <w:sz w:val="21"/>
          <w:szCs w:val="21"/>
        </w:rPr>
        <w:t>不予验收、不予付款。因乙方软硬件、接口、施工原因导致无法对接、数据异常的，由乙方无偿整改、免费优化，不得索赔、不得加价、不得顺延工期。</w:t>
      </w:r>
    </w:p>
    <w:p w14:paraId="0AA03288">
      <w:pPr>
        <w:keepNext w:val="0"/>
        <w:keepLines w:val="0"/>
        <w:pageBreakBefore w:val="0"/>
        <w:widowControl w:val="0"/>
        <w:kinsoku/>
        <w:wordWrap/>
        <w:overflowPunct/>
        <w:topLinePunct w:val="0"/>
        <w:bidi w:val="0"/>
        <w:adjustRightInd/>
        <w:snapToGrid/>
        <w:spacing w:line="360" w:lineRule="auto"/>
        <w:ind w:left="0" w:firstLine="420" w:firstLineChars="200"/>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2、项目验收依据：招标文件、投标文件、采购合同、国家及行业标准、省级平台规范、株洲市政府采购验收管理规定。验收须提供出厂合格证、出厂检验报告、权威第三方检测报告、生产许可资料。</w:t>
      </w:r>
    </w:p>
    <w:p w14:paraId="3D44E8B3">
      <w:pPr>
        <w:keepNext w:val="0"/>
        <w:keepLines w:val="0"/>
        <w:pageBreakBefore w:val="0"/>
        <w:widowControl w:val="0"/>
        <w:kinsoku/>
        <w:wordWrap/>
        <w:overflowPunct/>
        <w:topLinePunct w:val="0"/>
        <w:bidi w:val="0"/>
        <w:adjustRightInd/>
        <w:snapToGrid/>
        <w:spacing w:line="360" w:lineRule="auto"/>
        <w:ind w:left="0" w:firstLine="420" w:firstLineChars="200"/>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3、验收争议由具备资质的第三方检测机构检测判定，检测结果为中标人质量、施工、设备问题的，全部检测费用、整改费用、损失费用由中标人承担。</w:t>
      </w:r>
    </w:p>
    <w:p w14:paraId="7A0B07F6">
      <w:pPr>
        <w:keepNext w:val="0"/>
        <w:keepLines w:val="0"/>
        <w:pageBreakBefore w:val="0"/>
        <w:widowControl w:val="0"/>
        <w:kinsoku/>
        <w:wordWrap/>
        <w:overflowPunct/>
        <w:topLinePunct w:val="0"/>
        <w:bidi w:val="0"/>
        <w:adjustRightInd/>
        <w:snapToGrid/>
        <w:spacing w:line="360" w:lineRule="auto"/>
        <w:ind w:left="0" w:firstLine="420" w:firstLineChars="200"/>
        <w:rPr>
          <w:rFonts w:hint="eastAsia" w:ascii="宋体" w:hAnsi="宋体" w:eastAsia="宋体" w:cs="宋体"/>
          <w:b w:val="0"/>
          <w:bCs w:val="0"/>
          <w:spacing w:val="0"/>
          <w:w w:val="100"/>
          <w:kern w:val="21"/>
          <w:sz w:val="21"/>
          <w:szCs w:val="21"/>
          <w:highlight w:val="none"/>
        </w:rPr>
      </w:pPr>
      <w:r>
        <w:rPr>
          <w:rFonts w:hint="eastAsia" w:ascii="宋体" w:hAnsi="宋体" w:eastAsia="宋体" w:cs="宋体"/>
          <w:b w:val="0"/>
          <w:bCs w:val="0"/>
          <w:spacing w:val="0"/>
          <w:w w:val="100"/>
          <w:kern w:val="21"/>
          <w:sz w:val="21"/>
          <w:szCs w:val="21"/>
        </w:rPr>
        <w:t>4、项目实</w:t>
      </w:r>
      <w:r>
        <w:rPr>
          <w:rFonts w:hint="eastAsia" w:ascii="宋体" w:hAnsi="宋体" w:eastAsia="宋体" w:cs="宋体"/>
          <w:b w:val="0"/>
          <w:bCs w:val="0"/>
          <w:color w:val="auto"/>
          <w:spacing w:val="0"/>
          <w:w w:val="100"/>
          <w:kern w:val="21"/>
          <w:sz w:val="21"/>
          <w:szCs w:val="21"/>
        </w:rPr>
        <w:t>行分阶段节点验收机制：</w:t>
      </w:r>
      <w:r>
        <w:rPr>
          <w:rFonts w:hint="eastAsia" w:ascii="宋体" w:hAnsi="宋体" w:eastAsia="宋体" w:cs="宋体"/>
          <w:b w:val="0"/>
          <w:bCs w:val="0"/>
          <w:color w:val="auto"/>
          <w:spacing w:val="0"/>
          <w:w w:val="100"/>
          <w:kern w:val="21"/>
          <w:sz w:val="21"/>
          <w:szCs w:val="21"/>
          <w:highlight w:val="none"/>
        </w:rPr>
        <w:t>到货开箱验收→单点安装调试验收→全部站点完工自测验收→省级平台联调验收</w:t>
      </w:r>
      <w:r>
        <w:rPr>
          <w:rFonts w:hint="eastAsia" w:ascii="宋体" w:hAnsi="宋体" w:cs="宋体"/>
          <w:b w:val="0"/>
          <w:bCs w:val="0"/>
          <w:color w:val="auto"/>
          <w:spacing w:val="0"/>
          <w:w w:val="100"/>
          <w:kern w:val="21"/>
          <w:sz w:val="21"/>
          <w:szCs w:val="21"/>
          <w:highlight w:val="none"/>
          <w:lang w:eastAsia="zh-CN"/>
        </w:rPr>
        <w:t>（初验</w:t>
      </w:r>
      <w:r>
        <w:rPr>
          <w:rFonts w:hint="eastAsia" w:ascii="宋体" w:hAnsi="宋体" w:eastAsia="宋体" w:cs="宋体"/>
          <w:b w:val="0"/>
          <w:bCs w:val="0"/>
          <w:color w:val="auto"/>
          <w:spacing w:val="0"/>
          <w:w w:val="100"/>
          <w:kern w:val="21"/>
          <w:sz w:val="21"/>
          <w:szCs w:val="21"/>
          <w:highlight w:val="none"/>
        </w:rPr>
        <w:t>验收</w:t>
      </w:r>
      <w:r>
        <w:rPr>
          <w:rFonts w:hint="eastAsia" w:ascii="宋体" w:hAnsi="宋体" w:cs="宋体"/>
          <w:b w:val="0"/>
          <w:bCs w:val="0"/>
          <w:color w:val="auto"/>
          <w:spacing w:val="0"/>
          <w:w w:val="100"/>
          <w:kern w:val="21"/>
          <w:sz w:val="21"/>
          <w:szCs w:val="21"/>
          <w:highlight w:val="none"/>
          <w:lang w:eastAsia="zh-CN"/>
        </w:rPr>
        <w:t>）</w:t>
      </w:r>
      <w:r>
        <w:rPr>
          <w:rFonts w:hint="eastAsia" w:ascii="宋体" w:hAnsi="宋体" w:eastAsia="宋体" w:cs="宋体"/>
          <w:b w:val="0"/>
          <w:bCs w:val="0"/>
          <w:color w:val="auto"/>
          <w:spacing w:val="0"/>
          <w:w w:val="100"/>
          <w:kern w:val="21"/>
          <w:sz w:val="21"/>
          <w:szCs w:val="21"/>
          <w:highlight w:val="none"/>
        </w:rPr>
        <w:t>→资料归档验收</w:t>
      </w:r>
      <w:r>
        <w:rPr>
          <w:rFonts w:hint="eastAsia" w:ascii="宋体" w:hAnsi="宋体" w:cs="宋体"/>
          <w:b w:val="0"/>
          <w:bCs w:val="0"/>
          <w:color w:val="auto"/>
          <w:spacing w:val="0"/>
          <w:w w:val="100"/>
          <w:kern w:val="21"/>
          <w:sz w:val="21"/>
          <w:szCs w:val="21"/>
          <w:highlight w:val="none"/>
          <w:lang w:eastAsia="zh-CN"/>
        </w:rPr>
        <w:t>（终验</w:t>
      </w:r>
      <w:r>
        <w:rPr>
          <w:rFonts w:hint="eastAsia" w:ascii="宋体" w:hAnsi="宋体" w:eastAsia="宋体" w:cs="宋体"/>
          <w:b w:val="0"/>
          <w:bCs w:val="0"/>
          <w:color w:val="auto"/>
          <w:spacing w:val="0"/>
          <w:w w:val="100"/>
          <w:kern w:val="21"/>
          <w:sz w:val="21"/>
          <w:szCs w:val="21"/>
          <w:highlight w:val="none"/>
        </w:rPr>
        <w:t>验收</w:t>
      </w:r>
      <w:r>
        <w:rPr>
          <w:rFonts w:hint="eastAsia" w:ascii="宋体" w:hAnsi="宋体" w:cs="宋体"/>
          <w:b w:val="0"/>
          <w:bCs w:val="0"/>
          <w:color w:val="auto"/>
          <w:spacing w:val="0"/>
          <w:w w:val="100"/>
          <w:kern w:val="21"/>
          <w:sz w:val="21"/>
          <w:szCs w:val="21"/>
          <w:highlight w:val="none"/>
          <w:lang w:eastAsia="zh-CN"/>
        </w:rPr>
        <w:t>）</w:t>
      </w:r>
      <w:r>
        <w:rPr>
          <w:rFonts w:hint="eastAsia" w:ascii="宋体" w:hAnsi="宋体" w:eastAsia="宋体" w:cs="宋体"/>
          <w:b w:val="0"/>
          <w:bCs w:val="0"/>
          <w:color w:val="auto"/>
          <w:spacing w:val="0"/>
          <w:w w:val="100"/>
          <w:kern w:val="21"/>
          <w:sz w:val="21"/>
          <w:szCs w:val="21"/>
          <w:highlight w:val="none"/>
        </w:rPr>
        <w:t>，全部节点合格方可视为最终履</w:t>
      </w:r>
      <w:r>
        <w:rPr>
          <w:rFonts w:hint="eastAsia" w:ascii="宋体" w:hAnsi="宋体" w:eastAsia="宋体" w:cs="宋体"/>
          <w:b w:val="0"/>
          <w:bCs w:val="0"/>
          <w:spacing w:val="0"/>
          <w:w w:val="100"/>
          <w:kern w:val="21"/>
          <w:sz w:val="21"/>
          <w:szCs w:val="21"/>
          <w:highlight w:val="none"/>
        </w:rPr>
        <w:t>约验收通过。</w:t>
      </w:r>
    </w:p>
    <w:p w14:paraId="536833EB">
      <w:pPr>
        <w:keepNext w:val="0"/>
        <w:keepLines w:val="0"/>
        <w:pageBreakBefore w:val="0"/>
        <w:widowControl w:val="0"/>
        <w:kinsoku/>
        <w:wordWrap/>
        <w:overflowPunct/>
        <w:topLinePunct w:val="0"/>
        <w:bidi w:val="0"/>
        <w:adjustRightInd/>
        <w:snapToGrid/>
        <w:spacing w:line="360" w:lineRule="auto"/>
        <w:ind w:left="0" w:firstLine="420" w:firstLineChars="200"/>
        <w:rPr>
          <w:rFonts w:hint="eastAsia" w:ascii="宋体" w:hAnsi="宋体" w:eastAsia="宋体" w:cs="宋体"/>
          <w:b w:val="0"/>
          <w:bCs w:val="0"/>
          <w:spacing w:val="0"/>
          <w:w w:val="100"/>
          <w:kern w:val="21"/>
          <w:sz w:val="21"/>
          <w:szCs w:val="21"/>
          <w:highlight w:val="none"/>
        </w:rPr>
      </w:pPr>
      <w:r>
        <w:rPr>
          <w:rFonts w:hint="eastAsia" w:ascii="宋体" w:hAnsi="宋体" w:eastAsia="宋体" w:cs="宋体"/>
          <w:b w:val="0"/>
          <w:bCs w:val="0"/>
          <w:spacing w:val="0"/>
          <w:w w:val="100"/>
          <w:kern w:val="21"/>
          <w:sz w:val="21"/>
          <w:szCs w:val="21"/>
          <w:highlight w:val="none"/>
        </w:rPr>
        <w:t>5、单次验收不合格由中标人无偿限期整改；连续两次验收不合格，采购人有权终止合同、另行采购，全部损失由中标人承担。</w:t>
      </w:r>
    </w:p>
    <w:p w14:paraId="6464884B">
      <w:pPr>
        <w:keepNext w:val="0"/>
        <w:keepLines w:val="0"/>
        <w:pageBreakBefore w:val="0"/>
        <w:widowControl w:val="0"/>
        <w:kinsoku/>
        <w:wordWrap/>
        <w:overflowPunct/>
        <w:topLinePunct w:val="0"/>
        <w:bidi w:val="0"/>
        <w:adjustRightInd/>
        <w:snapToGrid/>
        <w:spacing w:line="360" w:lineRule="auto"/>
        <w:ind w:left="0" w:firstLine="420" w:firstLineChars="200"/>
        <w:rPr>
          <w:rFonts w:hint="eastAsia" w:ascii="宋体" w:hAnsi="宋体" w:eastAsia="宋体" w:cs="宋体"/>
          <w:b w:val="0"/>
          <w:bCs w:val="0"/>
          <w:spacing w:val="0"/>
          <w:w w:val="100"/>
          <w:kern w:val="21"/>
          <w:sz w:val="21"/>
          <w:szCs w:val="21"/>
          <w:highlight w:val="none"/>
        </w:rPr>
      </w:pPr>
      <w:r>
        <w:rPr>
          <w:rFonts w:hint="eastAsia" w:ascii="宋体" w:hAnsi="宋体" w:eastAsia="宋体" w:cs="宋体"/>
          <w:b w:val="0"/>
          <w:bCs w:val="0"/>
          <w:spacing w:val="0"/>
          <w:w w:val="100"/>
          <w:kern w:val="21"/>
          <w:sz w:val="21"/>
          <w:szCs w:val="21"/>
          <w:highlight w:val="none"/>
        </w:rPr>
        <w:t>6、项目全过程纸质、电子档案由中标人负责收集、整理、归档，必须满足湖南省政务信息化项目档案管理规范，档案验收合格为项目最终验收通过的必要条件。</w:t>
      </w:r>
    </w:p>
    <w:p w14:paraId="31E8AFD1">
      <w:pPr>
        <w:keepNext w:val="0"/>
        <w:keepLines w:val="0"/>
        <w:pageBreakBefore w:val="0"/>
        <w:widowControl w:val="0"/>
        <w:kinsoku/>
        <w:wordWrap/>
        <w:overflowPunct/>
        <w:topLinePunct w:val="0"/>
        <w:bidi w:val="0"/>
        <w:adjustRightInd/>
        <w:snapToGrid/>
        <w:spacing w:line="360" w:lineRule="auto"/>
        <w:ind w:left="0" w:firstLine="420" w:firstLineChars="200"/>
        <w:rPr>
          <w:rFonts w:hint="eastAsia" w:ascii="宋体" w:hAnsi="宋体" w:eastAsia="宋体" w:cs="宋体"/>
          <w:b w:val="0"/>
          <w:bCs w:val="0"/>
          <w:spacing w:val="0"/>
          <w:w w:val="100"/>
          <w:kern w:val="21"/>
          <w:sz w:val="21"/>
          <w:szCs w:val="21"/>
          <w:highlight w:val="none"/>
        </w:rPr>
      </w:pPr>
      <w:r>
        <w:rPr>
          <w:rFonts w:hint="eastAsia" w:ascii="宋体" w:hAnsi="宋体" w:eastAsia="宋体" w:cs="宋体"/>
          <w:b w:val="0"/>
          <w:bCs w:val="0"/>
          <w:spacing w:val="0"/>
          <w:w w:val="100"/>
          <w:kern w:val="21"/>
          <w:sz w:val="21"/>
          <w:szCs w:val="21"/>
          <w:highlight w:val="none"/>
        </w:rPr>
        <w:t>七、设备运维及售后服务</w:t>
      </w:r>
    </w:p>
    <w:p w14:paraId="7A1B2A70">
      <w:pPr>
        <w:keepNext w:val="0"/>
        <w:keepLines w:val="0"/>
        <w:pageBreakBefore w:val="0"/>
        <w:widowControl w:val="0"/>
        <w:kinsoku/>
        <w:wordWrap/>
        <w:overflowPunct/>
        <w:topLinePunct w:val="0"/>
        <w:bidi w:val="0"/>
        <w:adjustRightInd/>
        <w:snapToGrid/>
        <w:spacing w:line="360" w:lineRule="auto"/>
        <w:ind w:left="0" w:firstLine="420" w:firstLineChars="200"/>
        <w:rPr>
          <w:rFonts w:hint="eastAsia" w:ascii="宋体" w:hAnsi="宋体" w:eastAsia="宋体" w:cs="宋体"/>
          <w:b w:val="0"/>
          <w:bCs w:val="0"/>
          <w:spacing w:val="0"/>
          <w:w w:val="100"/>
          <w:kern w:val="21"/>
          <w:sz w:val="21"/>
          <w:szCs w:val="21"/>
          <w:highlight w:val="none"/>
        </w:rPr>
      </w:pPr>
      <w:r>
        <w:rPr>
          <w:rFonts w:hint="eastAsia" w:ascii="宋体" w:hAnsi="宋体" w:eastAsia="宋体" w:cs="宋体"/>
          <w:b w:val="0"/>
          <w:bCs w:val="0"/>
          <w:spacing w:val="0"/>
          <w:w w:val="100"/>
          <w:kern w:val="21"/>
          <w:sz w:val="21"/>
          <w:szCs w:val="21"/>
          <w:highlight w:val="none"/>
        </w:rPr>
        <w:t>★1、质保期限：本项目整体质保期自项目</w:t>
      </w:r>
      <w:r>
        <w:rPr>
          <w:rFonts w:hint="eastAsia"/>
          <w:highlight w:val="none"/>
          <w:lang w:eastAsia="zh-CN"/>
        </w:rPr>
        <w:t>终验</w:t>
      </w:r>
      <w:r>
        <w:rPr>
          <w:rFonts w:hint="eastAsia"/>
          <w:highlight w:val="none"/>
        </w:rPr>
        <w:t>验收</w:t>
      </w:r>
      <w:r>
        <w:rPr>
          <w:rFonts w:hint="eastAsia" w:ascii="宋体" w:hAnsi="宋体" w:eastAsia="宋体" w:cs="宋体"/>
          <w:b w:val="0"/>
          <w:bCs w:val="0"/>
          <w:spacing w:val="0"/>
          <w:w w:val="100"/>
          <w:kern w:val="21"/>
          <w:sz w:val="21"/>
          <w:szCs w:val="21"/>
          <w:highlight w:val="none"/>
        </w:rPr>
        <w:t>合格之日起不少于8年。厂家承诺质保期高于本要求的，从其更优承诺。</w:t>
      </w:r>
    </w:p>
    <w:p w14:paraId="024E8705">
      <w:pPr>
        <w:keepNext w:val="0"/>
        <w:keepLines w:val="0"/>
        <w:pageBreakBefore w:val="0"/>
        <w:widowControl w:val="0"/>
        <w:kinsoku/>
        <w:wordWrap/>
        <w:overflowPunct/>
        <w:topLinePunct w:val="0"/>
        <w:bidi w:val="0"/>
        <w:adjustRightInd/>
        <w:snapToGrid/>
        <w:spacing w:line="360" w:lineRule="auto"/>
        <w:ind w:left="0" w:firstLine="420" w:firstLineChars="200"/>
        <w:rPr>
          <w:rFonts w:hint="eastAsia" w:ascii="宋体" w:hAnsi="宋体" w:eastAsia="宋体" w:cs="宋体"/>
          <w:b w:val="0"/>
          <w:bCs w:val="0"/>
          <w:spacing w:val="0"/>
          <w:w w:val="100"/>
          <w:kern w:val="21"/>
          <w:sz w:val="21"/>
          <w:szCs w:val="21"/>
          <w:highlight w:val="none"/>
        </w:rPr>
      </w:pPr>
      <w:r>
        <w:rPr>
          <w:rFonts w:hint="eastAsia" w:ascii="宋体" w:hAnsi="宋体" w:eastAsia="宋体" w:cs="宋体"/>
          <w:b w:val="0"/>
          <w:bCs w:val="0"/>
          <w:spacing w:val="0"/>
          <w:w w:val="100"/>
          <w:kern w:val="21"/>
          <w:sz w:val="21"/>
          <w:szCs w:val="21"/>
          <w:highlight w:val="none"/>
        </w:rPr>
        <w:t>2、质保期内全部免费服务内容：免费软件升级、免费精度校准、免费定期保养、免费年度巡检、免费故障维修、免费零部件更换、免费技术优化，产生的人工费、差旅费、材料费、配件费、管理费全部由中标人承担。</w:t>
      </w:r>
    </w:p>
    <w:p w14:paraId="5F06A1A7">
      <w:pPr>
        <w:keepNext w:val="0"/>
        <w:keepLines w:val="0"/>
        <w:pageBreakBefore w:val="0"/>
        <w:widowControl w:val="0"/>
        <w:kinsoku/>
        <w:wordWrap/>
        <w:overflowPunct/>
        <w:topLinePunct w:val="0"/>
        <w:bidi w:val="0"/>
        <w:adjustRightInd/>
        <w:snapToGrid/>
        <w:spacing w:line="360" w:lineRule="auto"/>
        <w:ind w:left="0" w:firstLine="420" w:firstLineChars="200"/>
        <w:rPr>
          <w:rFonts w:hint="eastAsia" w:ascii="宋体" w:hAnsi="宋体" w:eastAsia="宋体" w:cs="宋体"/>
          <w:b w:val="0"/>
          <w:bCs w:val="0"/>
          <w:spacing w:val="0"/>
          <w:w w:val="100"/>
          <w:kern w:val="21"/>
          <w:sz w:val="21"/>
          <w:szCs w:val="21"/>
          <w:highlight w:val="none"/>
        </w:rPr>
      </w:pPr>
      <w:r>
        <w:rPr>
          <w:rFonts w:hint="eastAsia" w:ascii="宋体" w:hAnsi="宋体" w:eastAsia="宋体" w:cs="宋体"/>
          <w:b w:val="0"/>
          <w:bCs w:val="0"/>
          <w:spacing w:val="0"/>
          <w:w w:val="100"/>
          <w:kern w:val="21"/>
          <w:sz w:val="21"/>
          <w:szCs w:val="21"/>
          <w:highlight w:val="none"/>
        </w:rPr>
        <w:t>3、售后响应时效：提供7×24小时全天候技术咨询、故障受理服务；故障报修后24小时内到达现场；一级故障（站点完全离线、无任何数据上传）：1 小时内远程响应；4 小时内到达现场；力争 24 小时内恢复数据采集与上传。二级故障（数据失真、部分参数异常、偶发断传）：1 小时远程响应；24 小时内到达现场；48 小时内修复。三级故障（非采集类次要缺陷，机箱锈蚀、标识损坏等）：72 小时到场处置，5日内完成更换修复。</w:t>
      </w:r>
    </w:p>
    <w:p w14:paraId="45FEA4E7">
      <w:pPr>
        <w:keepNext w:val="0"/>
        <w:keepLines w:val="0"/>
        <w:pageBreakBefore w:val="0"/>
        <w:widowControl w:val="0"/>
        <w:kinsoku/>
        <w:wordWrap/>
        <w:overflowPunct/>
        <w:topLinePunct w:val="0"/>
        <w:bidi w:val="0"/>
        <w:adjustRightInd/>
        <w:snapToGrid/>
        <w:spacing w:line="360" w:lineRule="auto"/>
        <w:ind w:left="0" w:firstLine="420" w:firstLineChars="200"/>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4、质保期满后，中标人须持续提供优惠备品备件及技术支持，供货价格不高于本次投标对应单价，不得以任何理由拒供、涨价、停服。</w:t>
      </w:r>
    </w:p>
    <w:p w14:paraId="14D410E4">
      <w:pPr>
        <w:keepNext w:val="0"/>
        <w:keepLines w:val="0"/>
        <w:pageBreakBefore w:val="0"/>
        <w:widowControl w:val="0"/>
        <w:kinsoku/>
        <w:wordWrap/>
        <w:overflowPunct/>
        <w:topLinePunct w:val="0"/>
        <w:bidi w:val="0"/>
        <w:adjustRightInd/>
        <w:snapToGrid/>
        <w:spacing w:line="360" w:lineRule="auto"/>
        <w:ind w:left="0" w:firstLine="420" w:firstLineChars="200"/>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八、培训要求</w:t>
      </w:r>
    </w:p>
    <w:p w14:paraId="25FB3E37">
      <w:pPr>
        <w:keepNext w:val="0"/>
        <w:keepLines w:val="0"/>
        <w:pageBreakBefore w:val="0"/>
        <w:widowControl w:val="0"/>
        <w:kinsoku/>
        <w:wordWrap/>
        <w:overflowPunct/>
        <w:topLinePunct w:val="0"/>
        <w:bidi w:val="0"/>
        <w:adjustRightInd/>
        <w:snapToGrid/>
        <w:spacing w:line="360" w:lineRule="auto"/>
        <w:ind w:left="0" w:firstLine="420" w:firstLineChars="200"/>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1、中标人须针对本项目设备操作、日常运维、故障排查、系统管理、平台数据查看等内容，对采购人运维人员、管理人员开展完整技术培训，实现知识完全转移。</w:t>
      </w:r>
    </w:p>
    <w:p w14:paraId="1D911FCA">
      <w:pPr>
        <w:keepNext w:val="0"/>
        <w:keepLines w:val="0"/>
        <w:pageBreakBefore w:val="0"/>
        <w:widowControl w:val="0"/>
        <w:kinsoku/>
        <w:wordWrap/>
        <w:overflowPunct/>
        <w:topLinePunct w:val="0"/>
        <w:bidi w:val="0"/>
        <w:adjustRightInd/>
        <w:snapToGrid/>
        <w:spacing w:line="360" w:lineRule="auto"/>
        <w:ind w:left="0" w:firstLine="420" w:firstLineChars="200"/>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2、培训教员不少于1人，须熟悉本项目全部设备及平台对接业务，具备成熟授课能力。</w:t>
      </w:r>
    </w:p>
    <w:p w14:paraId="0F3E100E">
      <w:pPr>
        <w:keepNext w:val="0"/>
        <w:keepLines w:val="0"/>
        <w:pageBreakBefore w:val="0"/>
        <w:widowControl w:val="0"/>
        <w:kinsoku/>
        <w:wordWrap/>
        <w:overflowPunct/>
        <w:topLinePunct w:val="0"/>
        <w:bidi w:val="0"/>
        <w:adjustRightInd/>
        <w:snapToGrid/>
        <w:spacing w:line="360" w:lineRule="auto"/>
        <w:ind w:left="0" w:firstLine="420" w:firstLineChars="200"/>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3、中标人须免费提供全套中文培训资料、操作讲义、用户手册，供采购人人员日常查阅学习，全部费用包含在投标总价中。</w:t>
      </w:r>
    </w:p>
    <w:p w14:paraId="2CF2B83A">
      <w:pPr>
        <w:keepNext w:val="0"/>
        <w:keepLines w:val="0"/>
        <w:pageBreakBefore w:val="0"/>
        <w:widowControl w:val="0"/>
        <w:kinsoku/>
        <w:wordWrap/>
        <w:overflowPunct/>
        <w:topLinePunct w:val="0"/>
        <w:bidi w:val="0"/>
        <w:adjustRightInd/>
        <w:snapToGrid/>
        <w:spacing w:line="360" w:lineRule="auto"/>
        <w:ind w:left="0" w:firstLine="420" w:firstLineChars="200"/>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九、项目团队人员要求</w:t>
      </w:r>
    </w:p>
    <w:p w14:paraId="01963186">
      <w:pPr>
        <w:keepNext w:val="0"/>
        <w:keepLines w:val="0"/>
        <w:pageBreakBefore w:val="0"/>
        <w:widowControl w:val="0"/>
        <w:kinsoku/>
        <w:wordWrap/>
        <w:overflowPunct/>
        <w:topLinePunct w:val="0"/>
        <w:bidi w:val="0"/>
        <w:adjustRightInd/>
        <w:snapToGrid/>
        <w:spacing w:line="360" w:lineRule="auto"/>
        <w:ind w:left="0" w:firstLine="420" w:firstLineChars="200"/>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1、人员锁定实质性条款：本项目项目负责人、主要技术人员为项目履约实质性固定人员，投标文件填报人员即为现场履约人员。未经采购人书面盖章同意，中标人不得擅自更换、顶替、调离。擅自更换人员视为严重违约，采购人有权扣除违约金、扣除履约保证金、追责履约损失。</w:t>
      </w:r>
    </w:p>
    <w:p w14:paraId="6EC59C88">
      <w:pPr>
        <w:keepNext w:val="0"/>
        <w:keepLines w:val="0"/>
        <w:pageBreakBefore w:val="0"/>
        <w:widowControl w:val="0"/>
        <w:kinsoku/>
        <w:wordWrap/>
        <w:overflowPunct/>
        <w:topLinePunct w:val="0"/>
        <w:bidi w:val="0"/>
        <w:adjustRightInd/>
        <w:snapToGrid/>
        <w:spacing w:line="360" w:lineRule="auto"/>
        <w:ind w:left="0" w:firstLine="420" w:firstLineChars="200"/>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十、数据安全与保密要求</w:t>
      </w:r>
    </w:p>
    <w:p w14:paraId="06B41002">
      <w:pPr>
        <w:keepNext w:val="0"/>
        <w:keepLines w:val="0"/>
        <w:pageBreakBefore w:val="0"/>
        <w:widowControl w:val="0"/>
        <w:kinsoku/>
        <w:wordWrap/>
        <w:overflowPunct/>
        <w:topLinePunct w:val="0"/>
        <w:bidi w:val="0"/>
        <w:adjustRightInd/>
        <w:snapToGrid/>
        <w:spacing w:line="360" w:lineRule="auto"/>
        <w:ind w:left="0" w:firstLine="420" w:firstLineChars="200"/>
        <w:rPr>
          <w:rFonts w:hint="eastAsia" w:ascii="宋体" w:hAnsi="宋体" w:eastAsia="宋体" w:cs="宋体"/>
          <w:b w:val="0"/>
          <w:bCs w:val="0"/>
          <w:spacing w:val="0"/>
          <w:w w:val="100"/>
          <w:kern w:val="21"/>
          <w:sz w:val="21"/>
          <w:szCs w:val="21"/>
          <w:highlight w:val="none"/>
        </w:rPr>
      </w:pPr>
      <w:r>
        <w:rPr>
          <w:rFonts w:hint="eastAsia" w:ascii="宋体" w:hAnsi="宋体" w:eastAsia="宋体" w:cs="宋体"/>
          <w:b w:val="0"/>
          <w:bCs w:val="0"/>
          <w:spacing w:val="0"/>
          <w:w w:val="100"/>
          <w:kern w:val="21"/>
          <w:sz w:val="21"/>
          <w:szCs w:val="21"/>
        </w:rPr>
        <w:t>1、本项目设备采集交通流量、车型</w:t>
      </w:r>
      <w:r>
        <w:rPr>
          <w:rFonts w:hint="eastAsia" w:ascii="宋体" w:hAnsi="宋体" w:eastAsia="宋体" w:cs="宋体"/>
          <w:b w:val="0"/>
          <w:bCs w:val="0"/>
          <w:spacing w:val="0"/>
          <w:w w:val="100"/>
          <w:kern w:val="21"/>
          <w:sz w:val="21"/>
          <w:szCs w:val="21"/>
          <w:highlight w:val="none"/>
        </w:rPr>
        <w:t>识别、车辆轨迹、视频图像等交通敏感数据及公民个人信息，属于重要行业数据。投标人须具备有效保密管理体系认证</w:t>
      </w:r>
      <w:r>
        <w:rPr>
          <w:rFonts w:hint="eastAsia" w:ascii="宋体" w:hAnsi="宋体" w:cs="宋体"/>
          <w:b w:val="0"/>
          <w:bCs w:val="0"/>
          <w:spacing w:val="0"/>
          <w:w w:val="100"/>
          <w:kern w:val="21"/>
          <w:sz w:val="21"/>
          <w:szCs w:val="21"/>
          <w:highlight w:val="none"/>
          <w:lang w:eastAsia="zh-CN"/>
        </w:rPr>
        <w:t>（</w:t>
      </w:r>
      <w:r>
        <w:rPr>
          <w:rFonts w:hint="eastAsia" w:ascii="宋体" w:hAnsi="宋体" w:cs="宋体"/>
          <w:b w:val="0"/>
          <w:bCs w:val="0"/>
          <w:spacing w:val="0"/>
          <w:w w:val="100"/>
          <w:kern w:val="21"/>
          <w:sz w:val="21"/>
          <w:szCs w:val="21"/>
          <w:highlight w:val="none"/>
          <w:lang w:val="en-US" w:eastAsia="zh-CN"/>
        </w:rPr>
        <w:t>提供有效的证书复印件</w:t>
      </w:r>
      <w:r>
        <w:rPr>
          <w:rFonts w:hint="eastAsia" w:ascii="宋体" w:hAnsi="宋体" w:cs="宋体"/>
          <w:b w:val="0"/>
          <w:bCs w:val="0"/>
          <w:spacing w:val="0"/>
          <w:w w:val="100"/>
          <w:kern w:val="21"/>
          <w:sz w:val="21"/>
          <w:szCs w:val="21"/>
          <w:highlight w:val="none"/>
          <w:lang w:eastAsia="zh-CN"/>
        </w:rPr>
        <w:t>）</w:t>
      </w:r>
      <w:r>
        <w:rPr>
          <w:rFonts w:hint="eastAsia" w:ascii="宋体" w:hAnsi="宋体" w:eastAsia="宋体" w:cs="宋体"/>
          <w:b w:val="0"/>
          <w:bCs w:val="0"/>
          <w:spacing w:val="0"/>
          <w:w w:val="100"/>
          <w:kern w:val="21"/>
          <w:sz w:val="21"/>
          <w:szCs w:val="21"/>
          <w:highlight w:val="none"/>
        </w:rPr>
        <w:t>，提供完整的数据安全与保密管理方案，包含体系管理、人员保密、设备安全、供应链安全、网络传输安全、数据存储安全、权限管控、操作审计、风险评估、应急处置机制。</w:t>
      </w:r>
    </w:p>
    <w:p w14:paraId="5C28728F">
      <w:pPr>
        <w:keepNext w:val="0"/>
        <w:keepLines w:val="0"/>
        <w:pageBreakBefore w:val="0"/>
        <w:widowControl w:val="0"/>
        <w:kinsoku/>
        <w:wordWrap/>
        <w:overflowPunct/>
        <w:topLinePunct w:val="0"/>
        <w:bidi w:val="0"/>
        <w:adjustRightInd/>
        <w:snapToGrid/>
        <w:spacing w:line="360" w:lineRule="auto"/>
        <w:ind w:left="0" w:firstLine="420" w:firstLineChars="200"/>
        <w:rPr>
          <w:rFonts w:hint="eastAsia" w:ascii="宋体" w:hAnsi="宋体" w:eastAsia="宋体" w:cs="宋体"/>
          <w:b w:val="0"/>
          <w:bCs w:val="0"/>
          <w:spacing w:val="0"/>
          <w:w w:val="100"/>
          <w:kern w:val="21"/>
          <w:sz w:val="21"/>
          <w:szCs w:val="21"/>
          <w:highlight w:val="none"/>
        </w:rPr>
      </w:pPr>
      <w:r>
        <w:rPr>
          <w:rFonts w:hint="eastAsia" w:ascii="宋体" w:hAnsi="宋体" w:eastAsia="宋体" w:cs="宋体"/>
          <w:b w:val="0"/>
          <w:bCs w:val="0"/>
          <w:spacing w:val="0"/>
          <w:w w:val="100"/>
          <w:kern w:val="21"/>
          <w:sz w:val="21"/>
          <w:szCs w:val="21"/>
          <w:highlight w:val="none"/>
        </w:rPr>
        <w:t>2、中标人须严格防范设备非法篡改、固件后门、数据泄露、违规外传等安全风险，违规造成的安全事故、泄密事件、行政处罚、民事赔偿全部由中标人承担。</w:t>
      </w:r>
    </w:p>
    <w:p w14:paraId="4749E97F">
      <w:pPr>
        <w:keepNext w:val="0"/>
        <w:keepLines w:val="0"/>
        <w:pageBreakBefore w:val="0"/>
        <w:widowControl w:val="0"/>
        <w:kinsoku/>
        <w:wordWrap/>
        <w:overflowPunct/>
        <w:topLinePunct w:val="0"/>
        <w:bidi w:val="0"/>
        <w:adjustRightInd/>
        <w:snapToGrid/>
        <w:spacing w:line="360" w:lineRule="auto"/>
        <w:ind w:left="0" w:firstLine="420" w:firstLineChars="200"/>
        <w:rPr>
          <w:rFonts w:hint="eastAsia" w:ascii="宋体" w:hAnsi="宋体" w:eastAsia="宋体" w:cs="宋体"/>
          <w:b w:val="0"/>
          <w:bCs w:val="0"/>
          <w:spacing w:val="0"/>
          <w:w w:val="100"/>
          <w:kern w:val="21"/>
          <w:sz w:val="21"/>
          <w:szCs w:val="21"/>
          <w:highlight w:val="none"/>
        </w:rPr>
      </w:pPr>
      <w:r>
        <w:rPr>
          <w:rFonts w:hint="eastAsia" w:ascii="宋体" w:hAnsi="宋体" w:eastAsia="宋体" w:cs="宋体"/>
          <w:b w:val="0"/>
          <w:bCs w:val="0"/>
          <w:spacing w:val="0"/>
          <w:w w:val="100"/>
          <w:kern w:val="21"/>
          <w:sz w:val="21"/>
          <w:szCs w:val="21"/>
          <w:highlight w:val="none"/>
        </w:rPr>
        <w:t>十一、履约、报价、真实性承诺</w:t>
      </w:r>
    </w:p>
    <w:p w14:paraId="402E09F5">
      <w:pPr>
        <w:keepNext w:val="0"/>
        <w:keepLines w:val="0"/>
        <w:pageBreakBefore w:val="0"/>
        <w:widowControl w:val="0"/>
        <w:kinsoku/>
        <w:wordWrap/>
        <w:overflowPunct/>
        <w:topLinePunct w:val="0"/>
        <w:bidi w:val="0"/>
        <w:adjustRightInd/>
        <w:snapToGrid/>
        <w:spacing w:line="360" w:lineRule="auto"/>
        <w:ind w:left="0" w:firstLine="422" w:firstLineChars="200"/>
        <w:rPr>
          <w:rFonts w:hint="eastAsia" w:ascii="宋体" w:hAnsi="宋体" w:eastAsia="宋体" w:cs="宋体"/>
          <w:b w:val="0"/>
          <w:bCs w:val="0"/>
          <w:spacing w:val="0"/>
          <w:w w:val="100"/>
          <w:kern w:val="21"/>
          <w:sz w:val="21"/>
          <w:szCs w:val="21"/>
        </w:rPr>
      </w:pPr>
      <w:r>
        <w:rPr>
          <w:rFonts w:hint="eastAsia" w:ascii="宋体" w:hAnsi="宋体" w:eastAsia="宋体" w:cs="宋体"/>
          <w:b/>
          <w:bCs/>
          <w:spacing w:val="0"/>
          <w:w w:val="100"/>
          <w:kern w:val="21"/>
          <w:sz w:val="21"/>
          <w:szCs w:val="21"/>
          <w:highlight w:val="none"/>
        </w:rPr>
        <w:t>★1、禁止转包承诺：</w:t>
      </w:r>
      <w:r>
        <w:rPr>
          <w:rFonts w:hint="eastAsia" w:ascii="宋体" w:hAnsi="宋体" w:eastAsia="宋体" w:cs="宋体"/>
          <w:b w:val="0"/>
          <w:bCs w:val="0"/>
          <w:spacing w:val="0"/>
          <w:w w:val="100"/>
          <w:kern w:val="21"/>
          <w:sz w:val="21"/>
          <w:szCs w:val="21"/>
          <w:highlight w:val="none"/>
        </w:rPr>
        <w:t>本项目必须由中标人主</w:t>
      </w:r>
      <w:r>
        <w:rPr>
          <w:rFonts w:hint="eastAsia" w:ascii="宋体" w:hAnsi="宋体" w:eastAsia="宋体" w:cs="宋体"/>
          <w:b w:val="0"/>
          <w:bCs w:val="0"/>
          <w:spacing w:val="0"/>
          <w:w w:val="100"/>
          <w:kern w:val="21"/>
          <w:sz w:val="21"/>
          <w:szCs w:val="21"/>
        </w:rPr>
        <w:t>体自行履约，严禁转包、违法分包、挂靠、授权第三方履约。违约采购人可解除合同、没收保证金、追责损失。</w:t>
      </w:r>
    </w:p>
    <w:p w14:paraId="3E3F9D8D">
      <w:pPr>
        <w:keepNext w:val="0"/>
        <w:keepLines w:val="0"/>
        <w:pageBreakBefore w:val="0"/>
        <w:widowControl w:val="0"/>
        <w:kinsoku/>
        <w:wordWrap/>
        <w:overflowPunct/>
        <w:topLinePunct w:val="0"/>
        <w:bidi w:val="0"/>
        <w:adjustRightInd/>
        <w:snapToGrid/>
        <w:spacing w:line="360" w:lineRule="auto"/>
        <w:ind w:left="0" w:firstLine="420" w:firstLineChars="200"/>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w:t>
      </w:r>
      <w:r>
        <w:rPr>
          <w:rFonts w:hint="eastAsia" w:ascii="宋体" w:hAnsi="宋体" w:eastAsia="宋体" w:cs="宋体"/>
          <w:b/>
          <w:bCs/>
          <w:spacing w:val="0"/>
          <w:w w:val="100"/>
          <w:kern w:val="21"/>
          <w:sz w:val="21"/>
          <w:szCs w:val="21"/>
        </w:rPr>
        <w:t>2、资料真实性及现场演示承诺：</w:t>
      </w:r>
      <w:r>
        <w:rPr>
          <w:rFonts w:hint="eastAsia" w:ascii="宋体" w:hAnsi="宋体" w:eastAsia="宋体" w:cs="宋体"/>
          <w:b w:val="0"/>
          <w:bCs w:val="0"/>
          <w:spacing w:val="0"/>
          <w:w w:val="100"/>
          <w:kern w:val="21"/>
          <w:sz w:val="21"/>
          <w:szCs w:val="21"/>
        </w:rPr>
        <w:t>投标人对全部投标资料、参数、证书、检测报告真实性负责。中标后采购人有权核查原件、要求产品实物现场逐条演示参数，任意参数不符、资料虚假、拒不配合的，直接取消中标资格、上报监管部门追责。</w:t>
      </w:r>
    </w:p>
    <w:p w14:paraId="189F0635">
      <w:pPr>
        <w:keepNext w:val="0"/>
        <w:keepLines w:val="0"/>
        <w:pageBreakBefore w:val="0"/>
        <w:widowControl w:val="0"/>
        <w:kinsoku/>
        <w:wordWrap/>
        <w:overflowPunct/>
        <w:topLinePunct w:val="0"/>
        <w:bidi w:val="0"/>
        <w:adjustRightInd/>
        <w:snapToGrid/>
        <w:spacing w:line="360" w:lineRule="auto"/>
        <w:ind w:left="0" w:firstLine="420" w:firstLineChars="200"/>
        <w:rPr>
          <w:rFonts w:hint="eastAsia" w:ascii="宋体" w:hAnsi="宋体" w:eastAsia="宋体" w:cs="宋体"/>
          <w:b w:val="0"/>
          <w:bCs w:val="0"/>
          <w:spacing w:val="0"/>
          <w:w w:val="100"/>
          <w:kern w:val="21"/>
          <w:sz w:val="21"/>
          <w:szCs w:val="21"/>
          <w:highlight w:val="none"/>
        </w:rPr>
      </w:pPr>
      <w:r>
        <w:rPr>
          <w:rFonts w:hint="eastAsia" w:ascii="宋体" w:hAnsi="宋体" w:eastAsia="宋体" w:cs="宋体"/>
          <w:b w:val="0"/>
          <w:bCs w:val="0"/>
          <w:spacing w:val="0"/>
          <w:w w:val="100"/>
          <w:kern w:val="21"/>
          <w:sz w:val="21"/>
          <w:szCs w:val="21"/>
        </w:rPr>
        <w:t>★</w:t>
      </w:r>
      <w:r>
        <w:rPr>
          <w:rFonts w:hint="eastAsia" w:ascii="宋体" w:hAnsi="宋体" w:eastAsia="宋体" w:cs="宋体"/>
          <w:b/>
          <w:bCs/>
          <w:spacing w:val="0"/>
          <w:w w:val="100"/>
          <w:kern w:val="21"/>
          <w:sz w:val="21"/>
          <w:szCs w:val="21"/>
        </w:rPr>
        <w:t>3、报价固定包干承诺：</w:t>
      </w:r>
      <w:r>
        <w:rPr>
          <w:rFonts w:hint="eastAsia" w:ascii="宋体" w:hAnsi="宋体" w:eastAsia="宋体" w:cs="宋体"/>
          <w:b w:val="0"/>
          <w:bCs w:val="0"/>
          <w:spacing w:val="0"/>
          <w:w w:val="100"/>
          <w:kern w:val="21"/>
          <w:sz w:val="21"/>
          <w:szCs w:val="21"/>
        </w:rPr>
        <w:t>投标报价包含全部清单内容及风险范围，中标后不得以市场涨价、施工难度、现场变化等任何理由调价、拒履约、索赔。仅采购人书面重大变更可据实调整</w:t>
      </w:r>
      <w:r>
        <w:rPr>
          <w:rFonts w:hint="eastAsia" w:ascii="宋体" w:hAnsi="宋体" w:eastAsia="宋体" w:cs="宋体"/>
          <w:b w:val="0"/>
          <w:bCs w:val="0"/>
          <w:spacing w:val="0"/>
          <w:w w:val="100"/>
          <w:kern w:val="21"/>
          <w:sz w:val="21"/>
          <w:szCs w:val="21"/>
          <w:highlight w:val="none"/>
        </w:rPr>
        <w:t>。</w:t>
      </w:r>
    </w:p>
    <w:p w14:paraId="58B3A4CD">
      <w:pPr>
        <w:keepNext w:val="0"/>
        <w:keepLines w:val="0"/>
        <w:pageBreakBefore w:val="0"/>
        <w:widowControl w:val="0"/>
        <w:kinsoku/>
        <w:wordWrap/>
        <w:overflowPunct/>
        <w:topLinePunct w:val="0"/>
        <w:bidi w:val="0"/>
        <w:adjustRightInd/>
        <w:snapToGrid/>
        <w:spacing w:line="360" w:lineRule="auto"/>
        <w:ind w:left="0" w:firstLine="420" w:firstLineChars="200"/>
        <w:rPr>
          <w:rFonts w:hint="eastAsia" w:ascii="宋体" w:hAnsi="宋体" w:eastAsia="宋体" w:cs="宋体"/>
          <w:b w:val="0"/>
          <w:bCs w:val="0"/>
          <w:spacing w:val="0"/>
          <w:w w:val="100"/>
          <w:kern w:val="21"/>
          <w:sz w:val="21"/>
          <w:szCs w:val="21"/>
          <w:highlight w:val="none"/>
          <w:lang w:eastAsia="zh-CN"/>
        </w:rPr>
      </w:pPr>
      <w:r>
        <w:rPr>
          <w:rFonts w:hint="eastAsia" w:ascii="宋体" w:hAnsi="宋体" w:eastAsia="宋体" w:cs="宋体"/>
          <w:b w:val="0"/>
          <w:bCs w:val="0"/>
          <w:spacing w:val="0"/>
          <w:w w:val="100"/>
          <w:kern w:val="21"/>
          <w:sz w:val="21"/>
          <w:szCs w:val="21"/>
          <w:highlight w:val="none"/>
        </w:rPr>
        <w:t>★</w:t>
      </w:r>
      <w:r>
        <w:rPr>
          <w:rFonts w:hint="eastAsia" w:ascii="宋体" w:hAnsi="宋体" w:cs="宋体"/>
          <w:b w:val="0"/>
          <w:bCs w:val="0"/>
          <w:spacing w:val="0"/>
          <w:w w:val="100"/>
          <w:kern w:val="21"/>
          <w:sz w:val="21"/>
          <w:szCs w:val="21"/>
          <w:highlight w:val="none"/>
          <w:lang w:val="en-US" w:eastAsia="zh-CN"/>
        </w:rPr>
        <w:t>4、提供</w:t>
      </w:r>
      <w:r>
        <w:rPr>
          <w:rFonts w:hint="eastAsia" w:ascii="宋体" w:hAnsi="宋体" w:eastAsia="宋体" w:cs="宋体"/>
          <w:b w:val="0"/>
          <w:bCs w:val="0"/>
          <w:spacing w:val="0"/>
          <w:w w:val="100"/>
          <w:kern w:val="21"/>
          <w:sz w:val="21"/>
          <w:szCs w:val="21"/>
          <w:highlight w:val="none"/>
        </w:rPr>
        <w:t>书面盖章承诺（8年备件供应、软件持续升级、不锁芯片、不停产替代方案）</w:t>
      </w:r>
      <w:r>
        <w:rPr>
          <w:rFonts w:hint="eastAsia" w:ascii="宋体" w:hAnsi="宋体" w:cs="宋体"/>
          <w:b w:val="0"/>
          <w:bCs w:val="0"/>
          <w:spacing w:val="0"/>
          <w:w w:val="100"/>
          <w:kern w:val="21"/>
          <w:sz w:val="21"/>
          <w:szCs w:val="21"/>
          <w:highlight w:val="none"/>
          <w:lang w:eastAsia="zh-CN"/>
        </w:rPr>
        <w:t>。</w:t>
      </w:r>
    </w:p>
    <w:p w14:paraId="57FCEE6A">
      <w:pPr>
        <w:keepNext w:val="0"/>
        <w:keepLines w:val="0"/>
        <w:pageBreakBefore w:val="0"/>
        <w:widowControl w:val="0"/>
        <w:kinsoku/>
        <w:wordWrap/>
        <w:overflowPunct/>
        <w:topLinePunct w:val="0"/>
        <w:bidi w:val="0"/>
        <w:adjustRightInd/>
        <w:snapToGrid/>
        <w:spacing w:line="360" w:lineRule="auto"/>
        <w:ind w:left="0" w:firstLine="420" w:firstLineChars="200"/>
        <w:rPr>
          <w:rFonts w:hint="eastAsia" w:ascii="宋体" w:hAnsi="宋体" w:eastAsia="宋体" w:cs="宋体"/>
          <w:b w:val="0"/>
          <w:bCs w:val="0"/>
          <w:spacing w:val="0"/>
          <w:w w:val="100"/>
          <w:kern w:val="21"/>
          <w:sz w:val="21"/>
          <w:szCs w:val="21"/>
          <w:highlight w:val="none"/>
        </w:rPr>
      </w:pPr>
      <w:r>
        <w:rPr>
          <w:rFonts w:hint="eastAsia" w:ascii="宋体" w:hAnsi="宋体" w:eastAsia="宋体" w:cs="宋体"/>
          <w:b w:val="0"/>
          <w:bCs w:val="0"/>
          <w:spacing w:val="0"/>
          <w:w w:val="100"/>
          <w:kern w:val="21"/>
          <w:sz w:val="21"/>
          <w:szCs w:val="21"/>
          <w:highlight w:val="none"/>
        </w:rPr>
        <w:t>十二、通用重要说明</w:t>
      </w:r>
    </w:p>
    <w:p w14:paraId="7F7EE1EB">
      <w:pPr>
        <w:keepNext w:val="0"/>
        <w:keepLines w:val="0"/>
        <w:pageBreakBefore w:val="0"/>
        <w:widowControl w:val="0"/>
        <w:kinsoku/>
        <w:wordWrap/>
        <w:overflowPunct/>
        <w:topLinePunct w:val="0"/>
        <w:bidi w:val="0"/>
        <w:adjustRightInd/>
        <w:snapToGrid/>
        <w:spacing w:line="360" w:lineRule="auto"/>
        <w:ind w:left="0" w:firstLine="420" w:firstLineChars="200"/>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highlight w:val="none"/>
        </w:rPr>
        <w:t>1、投标人自行踏勘现场</w:t>
      </w:r>
      <w:r>
        <w:rPr>
          <w:rFonts w:hint="eastAsia" w:ascii="宋体" w:hAnsi="宋体" w:eastAsia="宋体" w:cs="宋体"/>
          <w:b w:val="0"/>
          <w:bCs w:val="0"/>
          <w:spacing w:val="0"/>
          <w:w w:val="100"/>
          <w:kern w:val="21"/>
          <w:sz w:val="21"/>
          <w:szCs w:val="21"/>
        </w:rPr>
        <w:t>，充分预判所有施工风险、场地风险、外部协调风险，中标后不得以不完全了解现场为由申请加价、索赔、顺延工期。</w:t>
      </w:r>
    </w:p>
    <w:p w14:paraId="12CFA780">
      <w:pPr>
        <w:keepNext w:val="0"/>
        <w:keepLines w:val="0"/>
        <w:pageBreakBefore w:val="0"/>
        <w:widowControl w:val="0"/>
        <w:kinsoku/>
        <w:wordWrap/>
        <w:overflowPunct/>
        <w:topLinePunct w:val="0"/>
        <w:bidi w:val="0"/>
        <w:adjustRightInd/>
        <w:snapToGrid/>
        <w:spacing w:line="360" w:lineRule="auto"/>
        <w:ind w:left="0" w:firstLine="420" w:firstLineChars="200"/>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2、本招标文件所有带★条款为</w:t>
      </w:r>
      <w:r>
        <w:rPr>
          <w:rFonts w:hint="eastAsia" w:ascii="宋体" w:hAnsi="宋体" w:eastAsia="宋体" w:cs="宋体"/>
          <w:b/>
          <w:bCs/>
          <w:spacing w:val="0"/>
          <w:w w:val="100"/>
          <w:kern w:val="21"/>
          <w:sz w:val="21"/>
          <w:szCs w:val="21"/>
        </w:rPr>
        <w:t>实质性、不可偏离条款</w:t>
      </w:r>
      <w:r>
        <w:rPr>
          <w:rFonts w:hint="eastAsia" w:ascii="宋体" w:hAnsi="宋体" w:eastAsia="宋体" w:cs="宋体"/>
          <w:b w:val="0"/>
          <w:bCs w:val="0"/>
          <w:spacing w:val="0"/>
          <w:w w:val="100"/>
          <w:kern w:val="21"/>
          <w:sz w:val="21"/>
          <w:szCs w:val="21"/>
        </w:rPr>
        <w:t>，任意负偏离、不响应、缺漏直接作无效投标处理。</w:t>
      </w:r>
    </w:p>
    <w:p w14:paraId="25EAA731">
      <w:pPr>
        <w:keepNext w:val="0"/>
        <w:keepLines w:val="0"/>
        <w:pageBreakBefore w:val="0"/>
        <w:widowControl w:val="0"/>
        <w:kinsoku/>
        <w:wordWrap/>
        <w:overflowPunct/>
        <w:topLinePunct w:val="0"/>
        <w:bidi w:val="0"/>
        <w:adjustRightInd/>
        <w:snapToGrid/>
        <w:spacing w:line="360" w:lineRule="auto"/>
        <w:ind w:left="0" w:firstLine="420" w:firstLineChars="200"/>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3、投标人存在隐瞒事实、弄虚作假、资料不实、虚假谋取中标的，评标阶段作废标处理，中标后查实的取消中标资格、终止合同、上报财政监管部门追究法律及信用责任。</w:t>
      </w:r>
    </w:p>
    <w:p w14:paraId="5C68B3A3">
      <w:pPr>
        <w:keepNext w:val="0"/>
        <w:keepLines w:val="0"/>
        <w:pageBreakBefore w:val="0"/>
        <w:widowControl w:val="0"/>
        <w:kinsoku/>
        <w:wordWrap/>
        <w:overflowPunct/>
        <w:topLinePunct w:val="0"/>
        <w:bidi w:val="0"/>
        <w:adjustRightInd/>
        <w:snapToGrid/>
        <w:spacing w:line="360" w:lineRule="auto"/>
        <w:ind w:left="0" w:firstLine="420" w:firstLineChars="200"/>
        <w:rPr>
          <w:rFonts w:hint="eastAsia" w:ascii="宋体" w:hAnsi="宋体" w:eastAsia="宋体" w:cs="宋体"/>
          <w:b w:val="0"/>
          <w:bCs w:val="0"/>
          <w:spacing w:val="0"/>
          <w:w w:val="100"/>
          <w:kern w:val="21"/>
          <w:sz w:val="21"/>
          <w:szCs w:val="21"/>
        </w:rPr>
      </w:pPr>
      <w:r>
        <w:rPr>
          <w:rFonts w:hint="eastAsia" w:ascii="宋体" w:hAnsi="宋体" w:eastAsia="宋体" w:cs="宋体"/>
          <w:b w:val="0"/>
          <w:bCs w:val="0"/>
          <w:spacing w:val="0"/>
          <w:w w:val="100"/>
          <w:kern w:val="21"/>
          <w:sz w:val="21"/>
          <w:szCs w:val="21"/>
        </w:rPr>
        <w:t>4、本条款未尽事宜，按照国家法律法规、省级交通行业规范、株洲市政府采购管理规定、合同约定执行。</w:t>
      </w:r>
    </w:p>
    <w:p w14:paraId="7F175F3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Times New Roman" w:hAnsi="Times New Roman" w:eastAsia="Times New Roman" w:cs="Times New Roman"/>
          <w:highlight w:val="none"/>
        </w:rPr>
      </w:pPr>
      <w:r>
        <w:rPr>
          <w:rFonts w:hint="eastAsia" w:ascii="宋体" w:hAnsi="宋体" w:eastAsia="宋体" w:cs="宋体"/>
          <w:b w:val="0"/>
          <w:bCs w:val="0"/>
          <w:spacing w:val="0"/>
          <w:w w:val="100"/>
          <w:kern w:val="21"/>
          <w:sz w:val="21"/>
          <w:szCs w:val="21"/>
          <w:highlight w:val="none"/>
        </w:rPr>
        <w:t>★</w:t>
      </w:r>
      <w:r>
        <w:rPr>
          <w:rFonts w:ascii="宋体" w:hAnsi="宋体" w:eastAsia="宋体" w:cs="宋体"/>
          <w:b/>
          <w:bCs/>
          <w:highlight w:val="none"/>
        </w:rPr>
        <w:t>施工关键节点工期要求</w:t>
      </w:r>
    </w:p>
    <w:tbl>
      <w:tblPr>
        <w:tblStyle w:val="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24"/>
        <w:gridCol w:w="2671"/>
        <w:gridCol w:w="2593"/>
        <w:gridCol w:w="2231"/>
      </w:tblGrid>
      <w:tr w14:paraId="689E9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495" w:type="pct"/>
            <w:noWrap w:val="0"/>
            <w:tcMar>
              <w:top w:w="8" w:type="dxa"/>
              <w:left w:w="8" w:type="dxa"/>
              <w:bottom w:w="8" w:type="dxa"/>
              <w:right w:w="8" w:type="dxa"/>
            </w:tcMar>
            <w:vAlign w:val="center"/>
          </w:tcPr>
          <w:p w14:paraId="474C64C5">
            <w:pPr>
              <w:jc w:val="center"/>
              <w:rPr>
                <w:rFonts w:ascii="Times New Roman" w:hAnsi="Times New Roman" w:eastAsia="Times New Roman" w:cs="Times New Roman"/>
                <w:b w:val="0"/>
                <w:bCs w:val="0"/>
                <w:i w:val="0"/>
                <w:iCs w:val="0"/>
                <w:smallCaps w:val="0"/>
                <w:color w:val="000000"/>
                <w:sz w:val="21"/>
                <w:szCs w:val="21"/>
                <w:highlight w:val="none"/>
              </w:rPr>
            </w:pPr>
            <w:r>
              <w:rPr>
                <w:rFonts w:ascii="宋体" w:hAnsi="宋体" w:eastAsia="宋体" w:cs="宋体"/>
                <w:b w:val="0"/>
                <w:bCs w:val="0"/>
                <w:i w:val="0"/>
                <w:iCs w:val="0"/>
                <w:smallCaps w:val="0"/>
                <w:color w:val="000000"/>
                <w:sz w:val="21"/>
                <w:szCs w:val="21"/>
                <w:highlight w:val="none"/>
              </w:rPr>
              <w:t>序号</w:t>
            </w:r>
          </w:p>
        </w:tc>
        <w:tc>
          <w:tcPr>
            <w:tcW w:w="1605" w:type="pct"/>
            <w:noWrap w:val="0"/>
            <w:tcMar>
              <w:top w:w="8" w:type="dxa"/>
              <w:left w:w="5" w:type="dxa"/>
              <w:bottom w:w="8" w:type="dxa"/>
              <w:right w:w="8" w:type="dxa"/>
            </w:tcMar>
            <w:vAlign w:val="center"/>
          </w:tcPr>
          <w:p w14:paraId="32D33B29">
            <w:pPr>
              <w:jc w:val="center"/>
              <w:rPr>
                <w:rFonts w:ascii="Times New Roman" w:hAnsi="Times New Roman" w:eastAsia="Times New Roman" w:cs="Times New Roman"/>
                <w:b w:val="0"/>
                <w:bCs w:val="0"/>
                <w:i w:val="0"/>
                <w:iCs w:val="0"/>
                <w:smallCaps w:val="0"/>
                <w:color w:val="000000"/>
                <w:sz w:val="21"/>
                <w:szCs w:val="21"/>
                <w:highlight w:val="none"/>
              </w:rPr>
            </w:pPr>
            <w:r>
              <w:rPr>
                <w:rFonts w:ascii="宋体" w:hAnsi="宋体" w:eastAsia="宋体" w:cs="宋体"/>
                <w:b w:val="0"/>
                <w:bCs w:val="0"/>
                <w:i w:val="0"/>
                <w:iCs w:val="0"/>
                <w:smallCaps w:val="0"/>
                <w:color w:val="000000"/>
                <w:sz w:val="21"/>
                <w:szCs w:val="21"/>
                <w:highlight w:val="none"/>
              </w:rPr>
              <w:t>施工节点</w:t>
            </w:r>
          </w:p>
        </w:tc>
        <w:tc>
          <w:tcPr>
            <w:tcW w:w="1558" w:type="pct"/>
            <w:noWrap w:val="0"/>
            <w:tcMar>
              <w:top w:w="8" w:type="dxa"/>
              <w:left w:w="5" w:type="dxa"/>
              <w:bottom w:w="8" w:type="dxa"/>
              <w:right w:w="8" w:type="dxa"/>
            </w:tcMar>
            <w:vAlign w:val="center"/>
          </w:tcPr>
          <w:p w14:paraId="75CF0B15">
            <w:pPr>
              <w:jc w:val="center"/>
              <w:rPr>
                <w:rFonts w:ascii="Times New Roman" w:hAnsi="Times New Roman" w:eastAsia="Times New Roman" w:cs="Times New Roman"/>
                <w:b w:val="0"/>
                <w:bCs w:val="0"/>
                <w:i w:val="0"/>
                <w:iCs w:val="0"/>
                <w:smallCaps w:val="0"/>
                <w:color w:val="000000"/>
                <w:sz w:val="21"/>
                <w:szCs w:val="21"/>
                <w:highlight w:val="none"/>
              </w:rPr>
            </w:pPr>
            <w:r>
              <w:rPr>
                <w:rFonts w:ascii="宋体" w:hAnsi="宋体" w:eastAsia="宋体" w:cs="宋体"/>
                <w:b w:val="0"/>
                <w:bCs w:val="0"/>
                <w:i w:val="0"/>
                <w:iCs w:val="0"/>
                <w:smallCaps w:val="0"/>
                <w:color w:val="000000"/>
                <w:sz w:val="21"/>
                <w:szCs w:val="21"/>
                <w:highlight w:val="none"/>
              </w:rPr>
              <w:t>工期（</w:t>
            </w:r>
            <w:r>
              <w:rPr>
                <w:rFonts w:hint="eastAsia" w:ascii="宋体" w:hAnsi="宋体" w:eastAsia="宋体" w:cs="宋体"/>
                <w:b w:val="0"/>
                <w:bCs w:val="0"/>
                <w:i w:val="0"/>
                <w:iCs w:val="0"/>
                <w:smallCaps w:val="0"/>
                <w:color w:val="000000"/>
                <w:sz w:val="21"/>
                <w:szCs w:val="21"/>
                <w:highlight w:val="none"/>
                <w:lang w:val="en-US" w:eastAsia="zh-CN"/>
              </w:rPr>
              <w:t>日历</w:t>
            </w:r>
            <w:r>
              <w:rPr>
                <w:rFonts w:ascii="宋体" w:hAnsi="宋体" w:eastAsia="宋体" w:cs="宋体"/>
                <w:b w:val="0"/>
                <w:bCs w:val="0"/>
                <w:i w:val="0"/>
                <w:iCs w:val="0"/>
                <w:smallCaps w:val="0"/>
                <w:color w:val="000000"/>
                <w:sz w:val="21"/>
                <w:szCs w:val="21"/>
                <w:highlight w:val="none"/>
              </w:rPr>
              <w:t>天）</w:t>
            </w:r>
          </w:p>
        </w:tc>
        <w:tc>
          <w:tcPr>
            <w:tcW w:w="1340" w:type="pct"/>
            <w:noWrap w:val="0"/>
            <w:tcMar>
              <w:top w:w="8" w:type="dxa"/>
              <w:left w:w="5" w:type="dxa"/>
              <w:bottom w:w="8" w:type="dxa"/>
              <w:right w:w="8" w:type="dxa"/>
            </w:tcMar>
            <w:vAlign w:val="center"/>
          </w:tcPr>
          <w:p w14:paraId="4677941A">
            <w:pPr>
              <w:jc w:val="center"/>
              <w:rPr>
                <w:rFonts w:ascii="Times New Roman" w:hAnsi="Times New Roman" w:eastAsia="Times New Roman" w:cs="Times New Roman"/>
                <w:b w:val="0"/>
                <w:bCs w:val="0"/>
                <w:i w:val="0"/>
                <w:iCs w:val="0"/>
                <w:smallCaps w:val="0"/>
                <w:color w:val="000000"/>
                <w:sz w:val="21"/>
                <w:szCs w:val="21"/>
                <w:highlight w:val="none"/>
              </w:rPr>
            </w:pPr>
            <w:r>
              <w:rPr>
                <w:rFonts w:ascii="宋体" w:hAnsi="宋体" w:eastAsia="宋体" w:cs="宋体"/>
                <w:b w:val="0"/>
                <w:bCs w:val="0"/>
                <w:i w:val="0"/>
                <w:iCs w:val="0"/>
                <w:smallCaps w:val="0"/>
                <w:color w:val="000000"/>
                <w:sz w:val="21"/>
                <w:szCs w:val="21"/>
                <w:highlight w:val="none"/>
              </w:rPr>
              <w:t>备注</w:t>
            </w:r>
          </w:p>
        </w:tc>
      </w:tr>
      <w:tr w14:paraId="15526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495" w:type="pct"/>
            <w:noWrap w:val="0"/>
            <w:tcMar>
              <w:top w:w="5" w:type="dxa"/>
              <w:left w:w="8" w:type="dxa"/>
              <w:bottom w:w="8" w:type="dxa"/>
              <w:right w:w="8" w:type="dxa"/>
            </w:tcMar>
            <w:vAlign w:val="center"/>
          </w:tcPr>
          <w:p w14:paraId="26545ED7">
            <w:pPr>
              <w:jc w:val="center"/>
              <w:rPr>
                <w:rFonts w:ascii="Times New Roman" w:hAnsi="Times New Roman" w:eastAsia="Times New Roman" w:cs="Times New Roman"/>
                <w:b w:val="0"/>
                <w:bCs w:val="0"/>
                <w:i w:val="0"/>
                <w:iCs w:val="0"/>
                <w:smallCaps w:val="0"/>
                <w:color w:val="000000"/>
                <w:sz w:val="21"/>
                <w:szCs w:val="21"/>
                <w:highlight w:val="none"/>
              </w:rPr>
            </w:pPr>
            <w:r>
              <w:rPr>
                <w:rFonts w:ascii="宋体" w:hAnsi="宋体" w:eastAsia="宋体" w:cs="宋体"/>
                <w:b w:val="0"/>
                <w:bCs w:val="0"/>
                <w:i w:val="0"/>
                <w:iCs w:val="0"/>
                <w:smallCaps w:val="0"/>
                <w:color w:val="000000"/>
                <w:sz w:val="21"/>
                <w:szCs w:val="21"/>
                <w:highlight w:val="none"/>
              </w:rPr>
              <w:t>1</w:t>
            </w:r>
          </w:p>
        </w:tc>
        <w:tc>
          <w:tcPr>
            <w:tcW w:w="1605" w:type="pct"/>
            <w:noWrap w:val="0"/>
            <w:tcMar>
              <w:top w:w="5" w:type="dxa"/>
              <w:left w:w="5" w:type="dxa"/>
              <w:bottom w:w="8" w:type="dxa"/>
              <w:right w:w="8" w:type="dxa"/>
            </w:tcMar>
            <w:vAlign w:val="center"/>
          </w:tcPr>
          <w:p w14:paraId="1DD48816">
            <w:pPr>
              <w:jc w:val="center"/>
              <w:rPr>
                <w:rFonts w:hint="default" w:ascii="Times New Roman" w:hAnsi="Times New Roman" w:eastAsia="宋体" w:cs="Times New Roman"/>
                <w:b w:val="0"/>
                <w:bCs w:val="0"/>
                <w:i w:val="0"/>
                <w:iCs w:val="0"/>
                <w:smallCaps w:val="0"/>
                <w:color w:val="000000"/>
                <w:sz w:val="21"/>
                <w:szCs w:val="21"/>
                <w:highlight w:val="none"/>
                <w:lang w:val="en-US" w:eastAsia="zh-CN"/>
              </w:rPr>
            </w:pPr>
            <w:r>
              <w:rPr>
                <w:rFonts w:hint="eastAsia" w:ascii="Times New Roman" w:hAnsi="Times New Roman" w:eastAsia="宋体" w:cs="Times New Roman"/>
                <w:b w:val="0"/>
                <w:bCs w:val="0"/>
                <w:i w:val="0"/>
                <w:iCs w:val="0"/>
                <w:smallCaps w:val="0"/>
                <w:color w:val="000000"/>
                <w:sz w:val="21"/>
                <w:szCs w:val="21"/>
                <w:highlight w:val="none"/>
                <w:lang w:val="en-US" w:eastAsia="zh-CN"/>
              </w:rPr>
              <w:t>施工准备</w:t>
            </w:r>
          </w:p>
        </w:tc>
        <w:tc>
          <w:tcPr>
            <w:tcW w:w="1558" w:type="pct"/>
            <w:noWrap w:val="0"/>
            <w:tcMar>
              <w:top w:w="5" w:type="dxa"/>
              <w:left w:w="5" w:type="dxa"/>
              <w:bottom w:w="8" w:type="dxa"/>
              <w:right w:w="8" w:type="dxa"/>
            </w:tcMar>
            <w:vAlign w:val="center"/>
          </w:tcPr>
          <w:p w14:paraId="0A220249">
            <w:pPr>
              <w:jc w:val="center"/>
              <w:rPr>
                <w:rFonts w:hint="default" w:ascii="Times New Roman" w:hAnsi="Times New Roman" w:eastAsia="宋体" w:cs="Times New Roman"/>
                <w:b w:val="0"/>
                <w:bCs w:val="0"/>
                <w:i w:val="0"/>
                <w:iCs w:val="0"/>
                <w:smallCaps w:val="0"/>
                <w:color w:val="000000"/>
                <w:sz w:val="21"/>
                <w:szCs w:val="21"/>
                <w:highlight w:val="none"/>
                <w:lang w:val="en-US" w:eastAsia="zh-CN"/>
              </w:rPr>
            </w:pPr>
            <w:r>
              <w:rPr>
                <w:rFonts w:hint="eastAsia" w:ascii="宋体" w:hAnsi="宋体" w:eastAsia="宋体" w:cs="宋体"/>
                <w:b w:val="0"/>
                <w:bCs w:val="0"/>
                <w:i w:val="0"/>
                <w:iCs w:val="0"/>
                <w:smallCaps w:val="0"/>
                <w:color w:val="000000"/>
                <w:sz w:val="21"/>
                <w:szCs w:val="21"/>
                <w:highlight w:val="none"/>
                <w:lang w:val="en-US" w:eastAsia="zh-CN"/>
              </w:rPr>
              <w:t>10</w:t>
            </w:r>
          </w:p>
        </w:tc>
        <w:tc>
          <w:tcPr>
            <w:tcW w:w="1340" w:type="pct"/>
            <w:vMerge w:val="restart"/>
            <w:noWrap w:val="0"/>
            <w:tcMar>
              <w:top w:w="5" w:type="dxa"/>
              <w:left w:w="5" w:type="dxa"/>
              <w:bottom w:w="8" w:type="dxa"/>
              <w:right w:w="8" w:type="dxa"/>
            </w:tcMar>
            <w:vAlign w:val="center"/>
          </w:tcPr>
          <w:p w14:paraId="428A6791">
            <w:pPr>
              <w:rPr>
                <w:rFonts w:ascii="Times New Roman" w:hAnsi="Times New Roman" w:eastAsia="Times New Roman" w:cs="Times New Roman"/>
                <w:b w:val="0"/>
                <w:bCs w:val="0"/>
                <w:i w:val="0"/>
                <w:iCs w:val="0"/>
                <w:smallCaps w:val="0"/>
                <w:color w:val="000000"/>
                <w:sz w:val="21"/>
                <w:szCs w:val="21"/>
                <w:highlight w:val="none"/>
              </w:rPr>
            </w:pPr>
            <w:r>
              <w:rPr>
                <w:rFonts w:ascii="宋体" w:hAnsi="宋体" w:eastAsia="宋体" w:cs="宋体"/>
                <w:b w:val="0"/>
                <w:bCs w:val="0"/>
                <w:i w:val="0"/>
                <w:iCs w:val="0"/>
                <w:smallCaps w:val="0"/>
                <w:color w:val="000000"/>
                <w:sz w:val="21"/>
                <w:szCs w:val="21"/>
                <w:highlight w:val="none"/>
              </w:rPr>
              <w:t>本项目</w:t>
            </w:r>
            <w:r>
              <w:rPr>
                <w:rFonts w:hint="eastAsia" w:ascii="宋体" w:hAnsi="宋体" w:eastAsia="宋体" w:cs="宋体"/>
                <w:b w:val="0"/>
                <w:bCs w:val="0"/>
                <w:i w:val="0"/>
                <w:iCs w:val="0"/>
                <w:smallCaps w:val="0"/>
                <w:color w:val="000000"/>
                <w:sz w:val="21"/>
                <w:szCs w:val="21"/>
                <w:highlight w:val="none"/>
              </w:rPr>
              <w:t>建设工期</w:t>
            </w:r>
            <w:r>
              <w:rPr>
                <w:rFonts w:hint="eastAsia" w:ascii="宋体" w:hAnsi="宋体" w:eastAsia="宋体" w:cs="宋体"/>
                <w:b w:val="0"/>
                <w:bCs w:val="0"/>
                <w:i w:val="0"/>
                <w:iCs w:val="0"/>
                <w:smallCaps w:val="0"/>
                <w:color w:val="000000"/>
                <w:sz w:val="21"/>
                <w:szCs w:val="21"/>
                <w:highlight w:val="none"/>
                <w:lang w:val="en-US" w:eastAsia="zh-CN"/>
              </w:rPr>
              <w:t>60日历</w:t>
            </w:r>
            <w:r>
              <w:rPr>
                <w:rFonts w:ascii="宋体" w:hAnsi="宋体" w:eastAsia="宋体" w:cs="宋体"/>
                <w:b w:val="0"/>
                <w:bCs w:val="0"/>
                <w:i w:val="0"/>
                <w:iCs w:val="0"/>
                <w:smallCaps w:val="0"/>
                <w:color w:val="000000"/>
                <w:sz w:val="21"/>
                <w:szCs w:val="21"/>
                <w:highlight w:val="none"/>
              </w:rPr>
              <w:t>天，合同签订后10日内完成前期各项准备工作下发开工令</w:t>
            </w:r>
            <w:r>
              <w:rPr>
                <w:rFonts w:hint="eastAsia" w:ascii="宋体" w:hAnsi="宋体" w:cs="宋体"/>
                <w:highlight w:val="none"/>
                <w:lang w:eastAsia="zh-CN"/>
              </w:rPr>
              <w:t>（</w:t>
            </w:r>
            <w:r>
              <w:rPr>
                <w:rFonts w:hint="eastAsia" w:ascii="宋体" w:hAnsi="宋体" w:cs="宋体"/>
                <w:highlight w:val="none"/>
                <w:lang w:val="en-US" w:eastAsia="zh-CN"/>
              </w:rPr>
              <w:t>施工准备期的10日不计算在建设工期内</w:t>
            </w:r>
            <w:r>
              <w:rPr>
                <w:rFonts w:hint="eastAsia" w:ascii="宋体" w:hAnsi="宋体" w:cs="宋体"/>
                <w:highlight w:val="none"/>
                <w:lang w:eastAsia="zh-CN"/>
              </w:rPr>
              <w:t>）</w:t>
            </w:r>
            <w:r>
              <w:rPr>
                <w:rFonts w:ascii="宋体" w:hAnsi="宋体" w:eastAsia="宋体" w:cs="宋体"/>
                <w:b w:val="0"/>
                <w:bCs w:val="0"/>
                <w:i w:val="0"/>
                <w:iCs w:val="0"/>
                <w:smallCaps w:val="0"/>
                <w:color w:val="000000"/>
                <w:sz w:val="21"/>
                <w:szCs w:val="21"/>
                <w:highlight w:val="none"/>
              </w:rPr>
              <w:t>。各施工关键节点工期在项目</w:t>
            </w:r>
            <w:r>
              <w:rPr>
                <w:rFonts w:hint="eastAsia" w:ascii="宋体" w:hAnsi="宋体" w:eastAsia="宋体" w:cs="宋体"/>
                <w:b w:val="0"/>
                <w:bCs w:val="0"/>
                <w:i w:val="0"/>
                <w:iCs w:val="0"/>
                <w:smallCaps w:val="0"/>
                <w:color w:val="000000"/>
                <w:sz w:val="21"/>
                <w:szCs w:val="21"/>
                <w:highlight w:val="none"/>
              </w:rPr>
              <w:t>建设工期</w:t>
            </w:r>
            <w:r>
              <w:rPr>
                <w:rFonts w:ascii="宋体" w:hAnsi="宋体" w:eastAsia="宋体" w:cs="宋体"/>
                <w:b w:val="0"/>
                <w:bCs w:val="0"/>
                <w:i w:val="0"/>
                <w:iCs w:val="0"/>
                <w:smallCaps w:val="0"/>
                <w:color w:val="000000"/>
                <w:sz w:val="21"/>
                <w:szCs w:val="21"/>
                <w:highlight w:val="none"/>
              </w:rPr>
              <w:t>范围之内。</w:t>
            </w:r>
          </w:p>
        </w:tc>
      </w:tr>
      <w:tr w14:paraId="4861D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495" w:type="pct"/>
            <w:noWrap w:val="0"/>
            <w:tcMar>
              <w:top w:w="5" w:type="dxa"/>
              <w:left w:w="8" w:type="dxa"/>
              <w:bottom w:w="8" w:type="dxa"/>
              <w:right w:w="8" w:type="dxa"/>
            </w:tcMar>
            <w:vAlign w:val="center"/>
          </w:tcPr>
          <w:p w14:paraId="14503AA7">
            <w:pPr>
              <w:jc w:val="center"/>
              <w:rPr>
                <w:rFonts w:ascii="Times New Roman" w:hAnsi="Times New Roman" w:eastAsia="Times New Roman" w:cs="Times New Roman"/>
                <w:b w:val="0"/>
                <w:bCs w:val="0"/>
                <w:i w:val="0"/>
                <w:iCs w:val="0"/>
                <w:smallCaps w:val="0"/>
                <w:color w:val="000000"/>
                <w:sz w:val="21"/>
                <w:szCs w:val="21"/>
                <w:highlight w:val="none"/>
              </w:rPr>
            </w:pPr>
            <w:r>
              <w:rPr>
                <w:rFonts w:ascii="宋体" w:hAnsi="宋体" w:eastAsia="宋体" w:cs="宋体"/>
                <w:b w:val="0"/>
                <w:bCs w:val="0"/>
                <w:i w:val="0"/>
                <w:iCs w:val="0"/>
                <w:smallCaps w:val="0"/>
                <w:color w:val="000000"/>
                <w:sz w:val="21"/>
                <w:szCs w:val="21"/>
                <w:highlight w:val="none"/>
              </w:rPr>
              <w:t>2</w:t>
            </w:r>
          </w:p>
        </w:tc>
        <w:tc>
          <w:tcPr>
            <w:tcW w:w="1605" w:type="pct"/>
            <w:noWrap w:val="0"/>
            <w:tcMar>
              <w:top w:w="5" w:type="dxa"/>
              <w:left w:w="5" w:type="dxa"/>
              <w:bottom w:w="8" w:type="dxa"/>
              <w:right w:w="8" w:type="dxa"/>
            </w:tcMar>
            <w:vAlign w:val="center"/>
          </w:tcPr>
          <w:p w14:paraId="5B1398D9">
            <w:pPr>
              <w:jc w:val="center"/>
              <w:rPr>
                <w:rFonts w:hint="eastAsia" w:ascii="Times New Roman" w:hAnsi="Times New Roman" w:eastAsia="宋体" w:cs="Times New Roman"/>
                <w:b w:val="0"/>
                <w:bCs w:val="0"/>
                <w:i w:val="0"/>
                <w:iCs w:val="0"/>
                <w:smallCaps w:val="0"/>
                <w:color w:val="000000"/>
                <w:sz w:val="21"/>
                <w:szCs w:val="21"/>
                <w:highlight w:val="none"/>
                <w:lang w:eastAsia="zh-CN"/>
              </w:rPr>
            </w:pPr>
            <w:r>
              <w:rPr>
                <w:rFonts w:hint="eastAsia" w:cs="Times New Roman"/>
                <w:b w:val="0"/>
                <w:bCs w:val="0"/>
                <w:i w:val="0"/>
                <w:iCs w:val="0"/>
                <w:smallCaps w:val="0"/>
                <w:color w:val="000000"/>
                <w:sz w:val="21"/>
                <w:szCs w:val="21"/>
                <w:highlight w:val="none"/>
                <w:lang w:eastAsia="zh-CN"/>
              </w:rPr>
              <w:t>基础施工及杆件安装</w:t>
            </w:r>
          </w:p>
        </w:tc>
        <w:tc>
          <w:tcPr>
            <w:tcW w:w="1558" w:type="pct"/>
            <w:noWrap w:val="0"/>
            <w:tcMar>
              <w:top w:w="5" w:type="dxa"/>
              <w:left w:w="5" w:type="dxa"/>
              <w:bottom w:w="8" w:type="dxa"/>
              <w:right w:w="8" w:type="dxa"/>
            </w:tcMar>
            <w:vAlign w:val="center"/>
          </w:tcPr>
          <w:p w14:paraId="62F397EB">
            <w:pPr>
              <w:jc w:val="center"/>
              <w:rPr>
                <w:rFonts w:hint="default" w:ascii="宋体" w:hAnsi="宋体" w:eastAsia="宋体" w:cs="宋体"/>
                <w:b w:val="0"/>
                <w:bCs w:val="0"/>
                <w:i w:val="0"/>
                <w:iCs w:val="0"/>
                <w:smallCaps w:val="0"/>
                <w:color w:val="000000"/>
                <w:sz w:val="21"/>
                <w:szCs w:val="21"/>
                <w:highlight w:val="none"/>
                <w:lang w:val="en-US" w:eastAsia="zh-CN"/>
              </w:rPr>
            </w:pPr>
            <w:r>
              <w:rPr>
                <w:rFonts w:hint="eastAsia" w:ascii="宋体" w:hAnsi="宋体" w:cs="宋体"/>
                <w:b w:val="0"/>
                <w:bCs w:val="0"/>
                <w:i w:val="0"/>
                <w:iCs w:val="0"/>
                <w:smallCaps w:val="0"/>
                <w:color w:val="000000"/>
                <w:sz w:val="21"/>
                <w:szCs w:val="21"/>
                <w:highlight w:val="none"/>
                <w:lang w:val="en-US" w:eastAsia="zh-CN"/>
              </w:rPr>
              <w:t>25</w:t>
            </w:r>
          </w:p>
        </w:tc>
        <w:tc>
          <w:tcPr>
            <w:tcW w:w="1340" w:type="pct"/>
            <w:vMerge w:val="continue"/>
            <w:noWrap w:val="0"/>
            <w:vAlign w:val="center"/>
          </w:tcPr>
          <w:p w14:paraId="22FC63AD">
            <w:pPr>
              <w:rPr>
                <w:rFonts w:ascii="宋体" w:hAnsi="宋体" w:eastAsia="宋体" w:cs="宋体"/>
                <w:b w:val="0"/>
                <w:bCs w:val="0"/>
                <w:i w:val="0"/>
                <w:iCs w:val="0"/>
                <w:smallCaps w:val="0"/>
                <w:color w:val="000000"/>
                <w:sz w:val="21"/>
                <w:szCs w:val="21"/>
                <w:highlight w:val="none"/>
              </w:rPr>
            </w:pPr>
          </w:p>
        </w:tc>
      </w:tr>
      <w:tr w14:paraId="31DD3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495" w:type="pct"/>
            <w:noWrap w:val="0"/>
            <w:tcMar>
              <w:top w:w="5" w:type="dxa"/>
              <w:left w:w="8" w:type="dxa"/>
              <w:bottom w:w="8" w:type="dxa"/>
              <w:right w:w="8" w:type="dxa"/>
            </w:tcMar>
            <w:vAlign w:val="center"/>
          </w:tcPr>
          <w:p w14:paraId="389D53CF">
            <w:pPr>
              <w:jc w:val="center"/>
              <w:rPr>
                <w:rFonts w:ascii="Times New Roman" w:hAnsi="Times New Roman" w:eastAsia="Times New Roman" w:cs="Times New Roman"/>
                <w:b w:val="0"/>
                <w:bCs w:val="0"/>
                <w:i w:val="0"/>
                <w:iCs w:val="0"/>
                <w:smallCaps w:val="0"/>
                <w:color w:val="000000"/>
                <w:sz w:val="21"/>
                <w:szCs w:val="21"/>
                <w:highlight w:val="none"/>
              </w:rPr>
            </w:pPr>
            <w:r>
              <w:rPr>
                <w:rFonts w:ascii="宋体" w:hAnsi="宋体" w:eastAsia="宋体" w:cs="宋体"/>
                <w:b w:val="0"/>
                <w:bCs w:val="0"/>
                <w:i w:val="0"/>
                <w:iCs w:val="0"/>
                <w:smallCaps w:val="0"/>
                <w:color w:val="000000"/>
                <w:sz w:val="21"/>
                <w:szCs w:val="21"/>
                <w:highlight w:val="none"/>
              </w:rPr>
              <w:t>3</w:t>
            </w:r>
          </w:p>
        </w:tc>
        <w:tc>
          <w:tcPr>
            <w:tcW w:w="1605" w:type="pct"/>
            <w:noWrap w:val="0"/>
            <w:tcMar>
              <w:top w:w="5" w:type="dxa"/>
              <w:left w:w="5" w:type="dxa"/>
              <w:bottom w:w="8" w:type="dxa"/>
              <w:right w:w="8" w:type="dxa"/>
            </w:tcMar>
            <w:vAlign w:val="center"/>
          </w:tcPr>
          <w:p w14:paraId="0AD7C0B6">
            <w:pPr>
              <w:jc w:val="center"/>
              <w:rPr>
                <w:rFonts w:hint="eastAsia" w:ascii="Times New Roman" w:hAnsi="Times New Roman" w:eastAsia="宋体" w:cs="Times New Roman"/>
                <w:b w:val="0"/>
                <w:bCs w:val="0"/>
                <w:i w:val="0"/>
                <w:iCs w:val="0"/>
                <w:smallCaps w:val="0"/>
                <w:color w:val="000000"/>
                <w:sz w:val="21"/>
                <w:szCs w:val="21"/>
                <w:highlight w:val="none"/>
                <w:lang w:eastAsia="zh-CN"/>
              </w:rPr>
            </w:pPr>
            <w:r>
              <w:rPr>
                <w:rFonts w:hint="eastAsia" w:cs="Times New Roman"/>
                <w:b w:val="0"/>
                <w:bCs w:val="0"/>
                <w:i w:val="0"/>
                <w:iCs w:val="0"/>
                <w:smallCaps w:val="0"/>
                <w:color w:val="000000"/>
                <w:sz w:val="21"/>
                <w:szCs w:val="21"/>
                <w:highlight w:val="none"/>
                <w:lang w:eastAsia="zh-CN"/>
              </w:rPr>
              <w:t>设备安装及调试（通电、通网、含监控室建设）</w:t>
            </w:r>
          </w:p>
        </w:tc>
        <w:tc>
          <w:tcPr>
            <w:tcW w:w="1558" w:type="pct"/>
            <w:noWrap w:val="0"/>
            <w:tcMar>
              <w:top w:w="5" w:type="dxa"/>
              <w:left w:w="5" w:type="dxa"/>
              <w:bottom w:w="8" w:type="dxa"/>
              <w:right w:w="8" w:type="dxa"/>
            </w:tcMar>
            <w:vAlign w:val="center"/>
          </w:tcPr>
          <w:p w14:paraId="500955EB">
            <w:pPr>
              <w:jc w:val="center"/>
              <w:rPr>
                <w:rFonts w:hint="default" w:ascii="宋体" w:hAnsi="宋体" w:eastAsia="宋体" w:cs="宋体"/>
                <w:b w:val="0"/>
                <w:bCs w:val="0"/>
                <w:i w:val="0"/>
                <w:iCs w:val="0"/>
                <w:smallCaps w:val="0"/>
                <w:color w:val="000000"/>
                <w:sz w:val="21"/>
                <w:szCs w:val="21"/>
                <w:highlight w:val="none"/>
                <w:lang w:val="en-US" w:eastAsia="zh-CN"/>
              </w:rPr>
            </w:pPr>
            <w:r>
              <w:rPr>
                <w:rFonts w:hint="eastAsia" w:ascii="宋体" w:hAnsi="宋体" w:cs="宋体"/>
                <w:b w:val="0"/>
                <w:bCs w:val="0"/>
                <w:i w:val="0"/>
                <w:iCs w:val="0"/>
                <w:smallCaps w:val="0"/>
                <w:color w:val="000000"/>
                <w:sz w:val="21"/>
                <w:szCs w:val="21"/>
                <w:highlight w:val="none"/>
                <w:lang w:val="en-US" w:eastAsia="zh-CN"/>
              </w:rPr>
              <w:t>25</w:t>
            </w:r>
          </w:p>
        </w:tc>
        <w:tc>
          <w:tcPr>
            <w:tcW w:w="1340" w:type="pct"/>
            <w:vMerge w:val="continue"/>
            <w:noWrap w:val="0"/>
            <w:vAlign w:val="center"/>
          </w:tcPr>
          <w:p w14:paraId="226EE154">
            <w:pPr>
              <w:rPr>
                <w:rFonts w:ascii="宋体" w:hAnsi="宋体" w:eastAsia="宋体" w:cs="宋体"/>
                <w:b w:val="0"/>
                <w:bCs w:val="0"/>
                <w:i w:val="0"/>
                <w:iCs w:val="0"/>
                <w:smallCaps w:val="0"/>
                <w:color w:val="000000"/>
                <w:sz w:val="21"/>
                <w:szCs w:val="21"/>
                <w:highlight w:val="none"/>
              </w:rPr>
            </w:pPr>
          </w:p>
        </w:tc>
      </w:tr>
      <w:tr w14:paraId="24A18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0" w:hRule="atLeast"/>
          <w:jc w:val="center"/>
        </w:trPr>
        <w:tc>
          <w:tcPr>
            <w:tcW w:w="495" w:type="pct"/>
            <w:noWrap w:val="0"/>
            <w:tcMar>
              <w:top w:w="5" w:type="dxa"/>
              <w:left w:w="8" w:type="dxa"/>
              <w:bottom w:w="8" w:type="dxa"/>
              <w:right w:w="8" w:type="dxa"/>
            </w:tcMar>
            <w:vAlign w:val="center"/>
          </w:tcPr>
          <w:p w14:paraId="4ABC6CD1">
            <w:pPr>
              <w:jc w:val="center"/>
              <w:rPr>
                <w:rFonts w:ascii="Times New Roman" w:hAnsi="Times New Roman" w:eastAsia="Times New Roman" w:cs="Times New Roman"/>
                <w:b w:val="0"/>
                <w:bCs w:val="0"/>
                <w:i w:val="0"/>
                <w:iCs w:val="0"/>
                <w:smallCaps w:val="0"/>
                <w:color w:val="000000"/>
                <w:sz w:val="21"/>
                <w:szCs w:val="21"/>
                <w:highlight w:val="none"/>
              </w:rPr>
            </w:pPr>
            <w:r>
              <w:rPr>
                <w:rFonts w:ascii="宋体" w:hAnsi="宋体" w:eastAsia="宋体" w:cs="宋体"/>
                <w:b w:val="0"/>
                <w:bCs w:val="0"/>
                <w:i w:val="0"/>
                <w:iCs w:val="0"/>
                <w:smallCaps w:val="0"/>
                <w:color w:val="000000"/>
                <w:sz w:val="21"/>
                <w:szCs w:val="21"/>
                <w:highlight w:val="none"/>
              </w:rPr>
              <w:t>4</w:t>
            </w:r>
          </w:p>
        </w:tc>
        <w:tc>
          <w:tcPr>
            <w:tcW w:w="1605" w:type="pct"/>
            <w:noWrap w:val="0"/>
            <w:tcMar>
              <w:top w:w="5" w:type="dxa"/>
              <w:left w:w="5" w:type="dxa"/>
              <w:bottom w:w="8" w:type="dxa"/>
              <w:right w:w="8" w:type="dxa"/>
            </w:tcMar>
            <w:vAlign w:val="center"/>
          </w:tcPr>
          <w:p w14:paraId="688CAA19">
            <w:pPr>
              <w:ind w:firstLine="210" w:firstLineChars="100"/>
              <w:jc w:val="center"/>
              <w:rPr>
                <w:rFonts w:hint="default" w:ascii="Times New Roman" w:hAnsi="Times New Roman" w:eastAsia="宋体" w:cs="Times New Roman"/>
                <w:b w:val="0"/>
                <w:bCs w:val="0"/>
                <w:i w:val="0"/>
                <w:iCs w:val="0"/>
                <w:smallCaps w:val="0"/>
                <w:color w:val="auto"/>
                <w:sz w:val="21"/>
                <w:szCs w:val="21"/>
                <w:highlight w:val="none"/>
                <w:lang w:val="en-US" w:eastAsia="zh-CN"/>
              </w:rPr>
            </w:pPr>
            <w:r>
              <w:rPr>
                <w:rFonts w:hint="eastAsia" w:ascii="宋体" w:hAnsi="宋体" w:eastAsia="宋体" w:cs="宋体"/>
                <w:b w:val="0"/>
                <w:bCs w:val="0"/>
                <w:color w:val="auto"/>
                <w:spacing w:val="0"/>
                <w:w w:val="100"/>
                <w:kern w:val="21"/>
                <w:sz w:val="21"/>
                <w:szCs w:val="21"/>
                <w:highlight w:val="none"/>
              </w:rPr>
              <w:t>省级平台联调验收</w:t>
            </w:r>
          </w:p>
        </w:tc>
        <w:tc>
          <w:tcPr>
            <w:tcW w:w="1558" w:type="pct"/>
            <w:noWrap w:val="0"/>
            <w:tcMar>
              <w:top w:w="5" w:type="dxa"/>
              <w:left w:w="5" w:type="dxa"/>
              <w:bottom w:w="8" w:type="dxa"/>
              <w:right w:w="8" w:type="dxa"/>
            </w:tcMar>
            <w:vAlign w:val="center"/>
          </w:tcPr>
          <w:p w14:paraId="3EA980AC">
            <w:pPr>
              <w:jc w:val="center"/>
              <w:rPr>
                <w:rFonts w:hint="default" w:ascii="宋体" w:hAnsi="宋体" w:eastAsia="宋体" w:cs="宋体"/>
                <w:b w:val="0"/>
                <w:bCs w:val="0"/>
                <w:i w:val="0"/>
                <w:iCs w:val="0"/>
                <w:smallCaps w:val="0"/>
                <w:color w:val="auto"/>
                <w:sz w:val="21"/>
                <w:szCs w:val="21"/>
                <w:highlight w:val="none"/>
                <w:lang w:val="en-US" w:eastAsia="zh-CN"/>
              </w:rPr>
            </w:pPr>
            <w:r>
              <w:rPr>
                <w:rFonts w:hint="eastAsia" w:ascii="宋体" w:hAnsi="宋体" w:eastAsia="宋体" w:cs="宋体"/>
                <w:b w:val="0"/>
                <w:bCs w:val="0"/>
                <w:i w:val="0"/>
                <w:iCs w:val="0"/>
                <w:smallCaps w:val="0"/>
                <w:color w:val="auto"/>
                <w:sz w:val="21"/>
                <w:szCs w:val="21"/>
                <w:highlight w:val="none"/>
                <w:lang w:val="en-US" w:eastAsia="zh-CN"/>
              </w:rPr>
              <w:t>10</w:t>
            </w:r>
          </w:p>
        </w:tc>
        <w:tc>
          <w:tcPr>
            <w:tcW w:w="1340" w:type="pct"/>
            <w:vMerge w:val="continue"/>
            <w:noWrap w:val="0"/>
            <w:vAlign w:val="center"/>
          </w:tcPr>
          <w:p w14:paraId="76C52C37">
            <w:pPr>
              <w:rPr>
                <w:rFonts w:ascii="宋体" w:hAnsi="宋体" w:eastAsia="宋体" w:cs="宋体"/>
                <w:b w:val="0"/>
                <w:bCs w:val="0"/>
                <w:i w:val="0"/>
                <w:iCs w:val="0"/>
                <w:smallCaps w:val="0"/>
                <w:color w:val="000000"/>
                <w:sz w:val="21"/>
                <w:szCs w:val="21"/>
                <w:highlight w:val="none"/>
              </w:rPr>
            </w:pPr>
          </w:p>
        </w:tc>
      </w:tr>
    </w:tbl>
    <w:p w14:paraId="0BF7131A">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Times New Roman" w:hAnsi="Times New Roman" w:eastAsia="Times New Roman" w:cs="Times New Roman"/>
          <w:highlight w:val="none"/>
        </w:rPr>
      </w:pPr>
      <w:r>
        <w:rPr>
          <w:rFonts w:ascii="宋体" w:hAnsi="宋体" w:eastAsia="宋体" w:cs="宋体"/>
          <w:highlight w:val="none"/>
        </w:rPr>
        <w:t>要求：</w:t>
      </w:r>
    </w:p>
    <w:p w14:paraId="7DF11723">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Times New Roman" w:hAnsi="Times New Roman" w:eastAsia="Times New Roman" w:cs="Times New Roman"/>
        </w:rPr>
      </w:pPr>
      <w:r>
        <w:rPr>
          <w:rFonts w:ascii="宋体" w:hAnsi="宋体" w:eastAsia="宋体" w:cs="宋体"/>
        </w:rPr>
        <w:t>1、上述关键节点完成的必须是完全合格的工程。</w:t>
      </w:r>
    </w:p>
    <w:p w14:paraId="122A2C18">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Times New Roman" w:hAnsi="Times New Roman" w:eastAsia="Times New Roman" w:cs="Times New Roman"/>
        </w:rPr>
      </w:pPr>
      <w:r>
        <w:rPr>
          <w:rFonts w:ascii="宋体" w:hAnsi="宋体" w:eastAsia="宋体" w:cs="宋体"/>
        </w:rPr>
        <w:t>1.1项目</w:t>
      </w:r>
      <w:r>
        <w:rPr>
          <w:rFonts w:hint="eastAsia" w:ascii="宋体" w:hAnsi="宋体" w:eastAsia="宋体" w:cs="宋体"/>
        </w:rPr>
        <w:t>建设工期</w:t>
      </w:r>
      <w:r>
        <w:rPr>
          <w:rFonts w:hint="eastAsia" w:ascii="宋体" w:hAnsi="宋体" w:eastAsia="宋体" w:cs="宋体"/>
          <w:lang w:val="en-US" w:eastAsia="zh-CN"/>
        </w:rPr>
        <w:t>60</w:t>
      </w:r>
      <w:r>
        <w:rPr>
          <w:rFonts w:ascii="宋体" w:hAnsi="宋体" w:eastAsia="宋体" w:cs="宋体"/>
        </w:rPr>
        <w:t>天，合同签</w:t>
      </w:r>
      <w:r>
        <w:rPr>
          <w:rFonts w:ascii="宋体" w:hAnsi="宋体" w:eastAsia="宋体" w:cs="宋体"/>
          <w:highlight w:val="none"/>
        </w:rPr>
        <w:t>订后10日内完成开工报告等各项前期工作下发开工令</w:t>
      </w:r>
      <w:r>
        <w:rPr>
          <w:rFonts w:hint="eastAsia" w:ascii="宋体" w:hAnsi="宋体" w:cs="宋体"/>
          <w:highlight w:val="none"/>
          <w:lang w:eastAsia="zh-CN"/>
        </w:rPr>
        <w:t>（</w:t>
      </w:r>
      <w:r>
        <w:rPr>
          <w:rFonts w:hint="eastAsia" w:ascii="宋体" w:hAnsi="宋体" w:cs="宋体"/>
          <w:highlight w:val="none"/>
          <w:lang w:val="en-US" w:eastAsia="zh-CN"/>
        </w:rPr>
        <w:t>施工准备期的10日不计算在建设工期内</w:t>
      </w:r>
      <w:r>
        <w:rPr>
          <w:rFonts w:hint="eastAsia" w:ascii="宋体" w:hAnsi="宋体" w:cs="宋体"/>
          <w:highlight w:val="none"/>
          <w:lang w:eastAsia="zh-CN"/>
        </w:rPr>
        <w:t>）</w:t>
      </w:r>
      <w:r>
        <w:rPr>
          <w:rFonts w:ascii="宋体" w:hAnsi="宋体" w:eastAsia="宋体" w:cs="宋体"/>
          <w:highlight w:val="none"/>
        </w:rPr>
        <w:t>。</w:t>
      </w:r>
    </w:p>
    <w:p w14:paraId="53D2A315">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Times New Roman" w:hAnsi="Times New Roman" w:eastAsia="Times New Roman" w:cs="Times New Roman"/>
        </w:rPr>
      </w:pPr>
      <w:r>
        <w:rPr>
          <w:rFonts w:ascii="宋体" w:hAnsi="宋体" w:eastAsia="宋体" w:cs="宋体"/>
        </w:rPr>
        <w:t>2、实际开工日期以监理人发出的开工通知中载明的开工日期为准。</w:t>
      </w:r>
    </w:p>
    <w:p w14:paraId="19D7BBE1">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Times New Roman" w:hAnsi="Times New Roman" w:eastAsia="Times New Roman" w:cs="Times New Roman"/>
          <w:highlight w:val="none"/>
        </w:rPr>
      </w:pPr>
      <w:r>
        <w:rPr>
          <w:rFonts w:ascii="宋体" w:hAnsi="宋体" w:eastAsia="宋体" w:cs="宋体"/>
        </w:rPr>
        <w:t>3、投标人在投标文件中可根据企业实际情况进行关键节点工期承诺，承诺的关键节点工期可以少于本项目</w:t>
      </w:r>
      <w:r>
        <w:rPr>
          <w:rFonts w:ascii="宋体" w:hAnsi="宋体" w:eastAsia="宋体" w:cs="宋体"/>
          <w:highlight w:val="none"/>
        </w:rPr>
        <w:t>的关键节点工期。</w:t>
      </w:r>
    </w:p>
    <w:p w14:paraId="53D22349">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Times New Roman" w:hAnsi="Times New Roman" w:eastAsia="Times New Roman" w:cs="Times New Roman"/>
          <w:highlight w:val="none"/>
        </w:rPr>
      </w:pPr>
      <w:r>
        <w:rPr>
          <w:rFonts w:ascii="宋体" w:hAnsi="宋体" w:eastAsia="宋体" w:cs="宋体"/>
          <w:highlight w:val="none"/>
        </w:rPr>
        <w:t>4、关键节点工期即为合同工期。</w:t>
      </w:r>
    </w:p>
    <w:p w14:paraId="4DC078C6">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1"/>
          <w:szCs w:val="21"/>
          <w:highlight w:val="none"/>
        </w:rPr>
      </w:pPr>
      <w:r>
        <w:rPr>
          <w:rFonts w:ascii="宋体" w:hAnsi="宋体" w:eastAsia="宋体" w:cs="宋体"/>
          <w:highlight w:val="none"/>
        </w:rPr>
        <w:t>5、投标文件中承诺的关键节点工期不得超过本项目的关键节点工期</w:t>
      </w:r>
      <w:r>
        <w:rPr>
          <w:rFonts w:hint="eastAsia" w:ascii="宋体" w:hAnsi="宋体" w:cs="宋体"/>
          <w:color w:val="auto"/>
          <w:highlight w:val="none"/>
          <w:lang w:eastAsia="zh-CN"/>
        </w:rPr>
        <w:t>，每超过关键节点工期</w:t>
      </w:r>
      <w:r>
        <w:rPr>
          <w:rFonts w:hint="eastAsia" w:ascii="宋体" w:hAnsi="宋体" w:cs="宋体"/>
          <w:color w:val="auto"/>
          <w:highlight w:val="none"/>
          <w:lang w:val="en-US" w:eastAsia="zh-CN"/>
        </w:rPr>
        <w:t>1天，按合同价款的0.5%扣减合同款，扣款金额最高不超过合同价款的10%</w:t>
      </w:r>
      <w:r>
        <w:rPr>
          <w:rFonts w:ascii="宋体" w:hAnsi="宋体" w:eastAsia="宋体" w:cs="宋体"/>
          <w:highlight w:val="none"/>
        </w:rPr>
        <w:t>。</w:t>
      </w:r>
    </w:p>
    <w:p w14:paraId="5D02CA39">
      <w:pPr>
        <w:keepNext w:val="0"/>
        <w:keepLines w:val="0"/>
        <w:pageBreakBefore w:val="0"/>
        <w:widowControl w:val="0"/>
        <w:kinsoku/>
        <w:wordWrap/>
        <w:overflowPunct/>
        <w:topLinePunct w:val="0"/>
        <w:bidi w:val="0"/>
        <w:adjustRightInd/>
        <w:snapToGrid/>
        <w:spacing w:line="360" w:lineRule="auto"/>
        <w:ind w:left="0" w:firstLine="420" w:firstLineChars="200"/>
        <w:rPr>
          <w:rFonts w:hint="eastAsia" w:ascii="宋体" w:hAnsi="宋体" w:eastAsia="宋体" w:cs="宋体"/>
          <w:sz w:val="21"/>
          <w:szCs w:val="21"/>
        </w:rPr>
      </w:pPr>
      <w:r>
        <w:rPr>
          <w:rFonts w:hint="eastAsia" w:ascii="宋体" w:hAnsi="宋体" w:eastAsia="宋体" w:cs="宋体"/>
          <w:sz w:val="21"/>
          <w:szCs w:val="21"/>
        </w:rPr>
        <w:br w:type="page"/>
      </w:r>
    </w:p>
    <w:p w14:paraId="2AB3AD11">
      <w:pPr>
        <w:keepNext w:val="0"/>
        <w:keepLines w:val="0"/>
        <w:pageBreakBefore w:val="0"/>
        <w:widowControl w:val="0"/>
        <w:kinsoku/>
        <w:wordWrap/>
        <w:overflowPunct/>
        <w:topLinePunct w:val="0"/>
        <w:autoSpaceDE w:val="0"/>
        <w:autoSpaceDN w:val="0"/>
        <w:bidi w:val="0"/>
        <w:adjustRightInd/>
        <w:snapToGrid/>
        <w:spacing w:before="0" w:after="0"/>
        <w:ind w:left="0" w:leftChars="0" w:right="0" w:rightChars="0" w:firstLine="0" w:firstLineChars="0"/>
        <w:jc w:val="center"/>
        <w:textAlignment w:val="auto"/>
        <w:outlineLvl w:val="9"/>
        <w:rPr>
          <w:sz w:val="32"/>
        </w:rPr>
      </w:pPr>
      <w:r>
        <w:rPr>
          <w:spacing w:val="-4"/>
          <w:sz w:val="32"/>
        </w:rPr>
        <w:t>株洲市普通省道（三级及以上）</w:t>
      </w:r>
      <w:r>
        <w:rPr>
          <w:spacing w:val="-5"/>
          <w:sz w:val="32"/>
        </w:rPr>
        <w:t>多功能交通调查站点一览表</w:t>
      </w:r>
    </w:p>
    <w:tbl>
      <w:tblPr>
        <w:tblStyle w:val="5"/>
        <w:tblW w:w="4998" w:type="pct"/>
        <w:tblInd w:w="0" w:type="dxa"/>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Layout w:type="autofit"/>
        <w:tblCellMar>
          <w:top w:w="0" w:type="dxa"/>
          <w:left w:w="0" w:type="dxa"/>
          <w:bottom w:w="0" w:type="dxa"/>
          <w:right w:w="0" w:type="dxa"/>
        </w:tblCellMar>
      </w:tblPr>
      <w:tblGrid>
        <w:gridCol w:w="569"/>
        <w:gridCol w:w="980"/>
        <w:gridCol w:w="975"/>
        <w:gridCol w:w="535"/>
        <w:gridCol w:w="493"/>
        <w:gridCol w:w="688"/>
        <w:gridCol w:w="829"/>
        <w:gridCol w:w="991"/>
        <w:gridCol w:w="1096"/>
        <w:gridCol w:w="1193"/>
      </w:tblGrid>
      <w:tr w14:paraId="0D1AFF4D">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23" w:hRule="atLeast"/>
        </w:trPr>
        <w:tc>
          <w:tcPr>
            <w:tcW w:w="341" w:type="pct"/>
            <w:vMerge w:val="restart"/>
            <w:tcBorders>
              <w:bottom w:val="single" w:color="000000" w:sz="8" w:space="0"/>
              <w:right w:val="single" w:color="000000" w:sz="8" w:space="0"/>
            </w:tcBorders>
            <w:vAlign w:val="center"/>
          </w:tcPr>
          <w:p w14:paraId="5AB700FF">
            <w:pPr>
              <w:pStyle w:val="8"/>
              <w:keepNext w:val="0"/>
              <w:keepLines w:val="0"/>
              <w:pageBreakBefore w:val="0"/>
              <w:widowControl w:val="0"/>
              <w:kinsoku/>
              <w:wordWrap/>
              <w:overflowPunct/>
              <w:topLinePunct w:val="0"/>
              <w:autoSpaceDE w:val="0"/>
              <w:autoSpaceDN w:val="0"/>
              <w:bidi w:val="0"/>
              <w:adjustRightInd/>
              <w:snapToGrid/>
              <w:spacing w:before="0"/>
              <w:ind w:left="0" w:leftChars="0" w:right="0" w:rightChars="0" w:firstLine="0" w:firstLineChars="0"/>
              <w:jc w:val="center"/>
              <w:textAlignment w:val="auto"/>
              <w:outlineLvl w:val="9"/>
              <w:rPr>
                <w:rFonts w:hint="eastAsia" w:ascii="宋体" w:hAnsi="宋体" w:eastAsia="宋体" w:cs="宋体"/>
                <w:sz w:val="21"/>
                <w:szCs w:val="21"/>
              </w:rPr>
            </w:pPr>
            <w:r>
              <w:rPr>
                <w:rFonts w:hint="eastAsia" w:ascii="宋体" w:hAnsi="宋体" w:eastAsia="宋体" w:cs="宋体"/>
                <w:spacing w:val="-5"/>
                <w:sz w:val="21"/>
                <w:szCs w:val="21"/>
              </w:rPr>
              <w:t>序号</w:t>
            </w:r>
          </w:p>
        </w:tc>
        <w:tc>
          <w:tcPr>
            <w:tcW w:w="1171" w:type="pct"/>
            <w:gridSpan w:val="2"/>
            <w:tcBorders>
              <w:left w:val="single" w:color="000000" w:sz="8" w:space="0"/>
              <w:bottom w:val="single" w:color="000000" w:sz="8" w:space="0"/>
              <w:right w:val="single" w:color="000000" w:sz="8" w:space="0"/>
            </w:tcBorders>
            <w:vAlign w:val="center"/>
          </w:tcPr>
          <w:p w14:paraId="07B98C73">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3"/>
                <w:sz w:val="21"/>
                <w:szCs w:val="21"/>
              </w:rPr>
              <w:t>行政区划</w:t>
            </w:r>
          </w:p>
        </w:tc>
        <w:tc>
          <w:tcPr>
            <w:tcW w:w="1027" w:type="pct"/>
            <w:gridSpan w:val="3"/>
            <w:tcBorders>
              <w:left w:val="single" w:color="000000" w:sz="8" w:space="0"/>
              <w:bottom w:val="single" w:color="000000" w:sz="8" w:space="0"/>
              <w:right w:val="single" w:color="000000" w:sz="8" w:space="0"/>
            </w:tcBorders>
            <w:vAlign w:val="center"/>
          </w:tcPr>
          <w:p w14:paraId="497C79A4">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3"/>
                <w:sz w:val="21"/>
                <w:szCs w:val="21"/>
              </w:rPr>
              <w:t>所属路线</w:t>
            </w:r>
          </w:p>
        </w:tc>
        <w:tc>
          <w:tcPr>
            <w:tcW w:w="2459" w:type="pct"/>
            <w:gridSpan w:val="4"/>
            <w:tcBorders>
              <w:left w:val="single" w:color="000000" w:sz="8" w:space="0"/>
              <w:bottom w:val="single" w:color="000000" w:sz="8" w:space="0"/>
            </w:tcBorders>
            <w:vAlign w:val="center"/>
          </w:tcPr>
          <w:p w14:paraId="07A385B6">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3"/>
                <w:sz w:val="21"/>
                <w:szCs w:val="21"/>
              </w:rPr>
              <w:t>站点信息</w:t>
            </w:r>
          </w:p>
        </w:tc>
      </w:tr>
      <w:tr w14:paraId="247CC122">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23" w:hRule="atLeast"/>
        </w:trPr>
        <w:tc>
          <w:tcPr>
            <w:tcW w:w="341" w:type="pct"/>
            <w:vMerge w:val="continue"/>
            <w:tcBorders>
              <w:top w:val="nil"/>
              <w:bottom w:val="single" w:color="000000" w:sz="8" w:space="0"/>
              <w:right w:val="single" w:color="000000" w:sz="8" w:space="0"/>
            </w:tcBorders>
            <w:vAlign w:val="center"/>
          </w:tcPr>
          <w:p w14:paraId="70456012">
            <w:pPr>
              <w:keepNext w:val="0"/>
              <w:keepLines w:val="0"/>
              <w:pageBreakBefore w:val="0"/>
              <w:widowControl w:val="0"/>
              <w:kinsoku/>
              <w:wordWrap/>
              <w:overflowPunct/>
              <w:topLinePunct w:val="0"/>
              <w:autoSpaceDE w:val="0"/>
              <w:autoSpaceDN w:val="0"/>
              <w:bidi w:val="0"/>
              <w:adjustRightInd/>
              <w:snapToGrid/>
              <w:spacing w:before="0"/>
              <w:ind w:left="0" w:right="0"/>
              <w:textAlignment w:val="auto"/>
              <w:outlineLvl w:val="9"/>
              <w:rPr>
                <w:rFonts w:hint="eastAsia" w:ascii="宋体" w:hAnsi="宋体" w:eastAsia="宋体" w:cs="宋体"/>
                <w:sz w:val="21"/>
                <w:szCs w:val="21"/>
              </w:rPr>
            </w:pPr>
          </w:p>
        </w:tc>
        <w:tc>
          <w:tcPr>
            <w:tcW w:w="587" w:type="pct"/>
            <w:tcBorders>
              <w:top w:val="single" w:color="000000" w:sz="8" w:space="0"/>
              <w:left w:val="single" w:color="000000" w:sz="8" w:space="0"/>
              <w:bottom w:val="single" w:color="000000" w:sz="8" w:space="0"/>
              <w:right w:val="single" w:color="000000" w:sz="8" w:space="0"/>
            </w:tcBorders>
            <w:vAlign w:val="center"/>
          </w:tcPr>
          <w:p w14:paraId="2765ACB3">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5"/>
                <w:sz w:val="21"/>
                <w:szCs w:val="21"/>
              </w:rPr>
              <w:t>市州</w:t>
            </w:r>
          </w:p>
        </w:tc>
        <w:tc>
          <w:tcPr>
            <w:tcW w:w="584" w:type="pct"/>
            <w:tcBorders>
              <w:top w:val="single" w:color="000000" w:sz="8" w:space="0"/>
              <w:left w:val="single" w:color="000000" w:sz="8" w:space="0"/>
              <w:bottom w:val="single" w:color="000000" w:sz="8" w:space="0"/>
              <w:right w:val="single" w:color="000000" w:sz="8" w:space="0"/>
            </w:tcBorders>
            <w:vAlign w:val="center"/>
          </w:tcPr>
          <w:p w14:paraId="1EBB719D">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5"/>
                <w:sz w:val="21"/>
                <w:szCs w:val="21"/>
              </w:rPr>
              <w:t>区县</w:t>
            </w:r>
          </w:p>
        </w:tc>
        <w:tc>
          <w:tcPr>
            <w:tcW w:w="320" w:type="pct"/>
            <w:tcBorders>
              <w:top w:val="single" w:color="000000" w:sz="8" w:space="0"/>
              <w:left w:val="single" w:color="000000" w:sz="8" w:space="0"/>
              <w:bottom w:val="single" w:color="000000" w:sz="8" w:space="0"/>
              <w:right w:val="single" w:color="000000" w:sz="8" w:space="0"/>
            </w:tcBorders>
            <w:vAlign w:val="center"/>
          </w:tcPr>
          <w:p w14:paraId="6C5F83F9">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3"/>
                <w:sz w:val="21"/>
                <w:szCs w:val="21"/>
              </w:rPr>
              <w:t>路线编号</w:t>
            </w:r>
          </w:p>
        </w:tc>
        <w:tc>
          <w:tcPr>
            <w:tcW w:w="295" w:type="pct"/>
            <w:tcBorders>
              <w:top w:val="single" w:color="000000" w:sz="8" w:space="0"/>
              <w:left w:val="single" w:color="000000" w:sz="8" w:space="0"/>
              <w:bottom w:val="single" w:color="000000" w:sz="8" w:space="0"/>
              <w:right w:val="single" w:color="000000" w:sz="8" w:space="0"/>
            </w:tcBorders>
            <w:vAlign w:val="center"/>
          </w:tcPr>
          <w:p w14:paraId="147BAB41">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4"/>
                <w:sz w:val="21"/>
                <w:szCs w:val="21"/>
              </w:rPr>
              <w:t>车道数</w:t>
            </w:r>
          </w:p>
        </w:tc>
        <w:tc>
          <w:tcPr>
            <w:tcW w:w="412" w:type="pct"/>
            <w:tcBorders>
              <w:top w:val="single" w:color="000000" w:sz="8" w:space="0"/>
              <w:left w:val="single" w:color="000000" w:sz="8" w:space="0"/>
              <w:bottom w:val="single" w:color="000000" w:sz="8" w:space="0"/>
              <w:right w:val="single" w:color="000000" w:sz="8" w:space="0"/>
            </w:tcBorders>
            <w:vAlign w:val="center"/>
          </w:tcPr>
          <w:p w14:paraId="41E37FCE">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2"/>
                <w:sz w:val="21"/>
                <w:szCs w:val="21"/>
              </w:rPr>
              <w:t>路线技术等级</w:t>
            </w:r>
          </w:p>
        </w:tc>
        <w:tc>
          <w:tcPr>
            <w:tcW w:w="496" w:type="pct"/>
            <w:tcBorders>
              <w:top w:val="single" w:color="000000" w:sz="8" w:space="0"/>
              <w:left w:val="single" w:color="000000" w:sz="8" w:space="0"/>
              <w:bottom w:val="single" w:color="000000" w:sz="8" w:space="0"/>
              <w:right w:val="single" w:color="000000" w:sz="8" w:space="0"/>
            </w:tcBorders>
            <w:vAlign w:val="center"/>
          </w:tcPr>
          <w:p w14:paraId="2E9DC58D">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3"/>
                <w:sz w:val="21"/>
                <w:szCs w:val="21"/>
              </w:rPr>
              <w:t>站点桩号</w:t>
            </w:r>
          </w:p>
        </w:tc>
        <w:tc>
          <w:tcPr>
            <w:tcW w:w="593" w:type="pct"/>
            <w:tcBorders>
              <w:top w:val="single" w:color="000000" w:sz="8" w:space="0"/>
              <w:left w:val="single" w:color="000000" w:sz="8" w:space="0"/>
              <w:bottom w:val="single" w:color="000000" w:sz="8" w:space="0"/>
              <w:right w:val="single" w:color="000000" w:sz="8" w:space="0"/>
            </w:tcBorders>
            <w:vAlign w:val="center"/>
          </w:tcPr>
          <w:p w14:paraId="0166AB6D">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3"/>
                <w:sz w:val="21"/>
                <w:szCs w:val="21"/>
              </w:rPr>
              <w:t>建设方案</w:t>
            </w:r>
          </w:p>
        </w:tc>
        <w:tc>
          <w:tcPr>
            <w:tcW w:w="656" w:type="pct"/>
            <w:tcBorders>
              <w:top w:val="single" w:color="000000" w:sz="8" w:space="0"/>
              <w:left w:val="single" w:color="000000" w:sz="8" w:space="0"/>
              <w:bottom w:val="single" w:color="000000" w:sz="8" w:space="0"/>
              <w:right w:val="single" w:color="000000" w:sz="8" w:space="0"/>
            </w:tcBorders>
            <w:vAlign w:val="center"/>
          </w:tcPr>
          <w:p w14:paraId="009526C0">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3"/>
                <w:sz w:val="21"/>
                <w:szCs w:val="21"/>
              </w:rPr>
              <w:t>桩号经度</w:t>
            </w:r>
          </w:p>
        </w:tc>
        <w:tc>
          <w:tcPr>
            <w:tcW w:w="711" w:type="pct"/>
            <w:tcBorders>
              <w:top w:val="single" w:color="000000" w:sz="8" w:space="0"/>
              <w:left w:val="single" w:color="000000" w:sz="8" w:space="0"/>
              <w:bottom w:val="single" w:color="000000" w:sz="8" w:space="0"/>
            </w:tcBorders>
            <w:vAlign w:val="center"/>
          </w:tcPr>
          <w:p w14:paraId="7FD7B961">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3"/>
                <w:sz w:val="21"/>
                <w:szCs w:val="21"/>
              </w:rPr>
              <w:t>桩号纬度</w:t>
            </w:r>
          </w:p>
        </w:tc>
      </w:tr>
      <w:tr w14:paraId="21E11B50">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23" w:hRule="atLeast"/>
        </w:trPr>
        <w:tc>
          <w:tcPr>
            <w:tcW w:w="341" w:type="pct"/>
            <w:tcBorders>
              <w:top w:val="single" w:color="000000" w:sz="8" w:space="0"/>
              <w:bottom w:val="single" w:color="000000" w:sz="8" w:space="0"/>
              <w:right w:val="single" w:color="000000" w:sz="8" w:space="0"/>
            </w:tcBorders>
            <w:vAlign w:val="center"/>
          </w:tcPr>
          <w:p w14:paraId="58BB6F45">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5"/>
                <w:sz w:val="21"/>
                <w:szCs w:val="21"/>
              </w:rPr>
              <w:t>283</w:t>
            </w:r>
          </w:p>
        </w:tc>
        <w:tc>
          <w:tcPr>
            <w:tcW w:w="587" w:type="pct"/>
            <w:tcBorders>
              <w:top w:val="single" w:color="000000" w:sz="8" w:space="0"/>
              <w:left w:val="single" w:color="000000" w:sz="8" w:space="0"/>
              <w:bottom w:val="single" w:color="000000" w:sz="8" w:space="0"/>
              <w:right w:val="single" w:color="000000" w:sz="8" w:space="0"/>
            </w:tcBorders>
            <w:vAlign w:val="center"/>
          </w:tcPr>
          <w:p w14:paraId="49573D96">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4"/>
                <w:sz w:val="21"/>
                <w:szCs w:val="21"/>
              </w:rPr>
              <w:t>株洲市</w:t>
            </w:r>
          </w:p>
        </w:tc>
        <w:tc>
          <w:tcPr>
            <w:tcW w:w="584" w:type="pct"/>
            <w:tcBorders>
              <w:top w:val="single" w:color="000000" w:sz="8" w:space="0"/>
              <w:left w:val="single" w:color="000000" w:sz="8" w:space="0"/>
              <w:bottom w:val="single" w:color="000000" w:sz="8" w:space="0"/>
              <w:right w:val="single" w:color="000000" w:sz="8" w:space="0"/>
            </w:tcBorders>
            <w:vAlign w:val="center"/>
          </w:tcPr>
          <w:p w14:paraId="1A735867">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4"/>
                <w:sz w:val="21"/>
                <w:szCs w:val="21"/>
              </w:rPr>
              <w:t>茶陵县</w:t>
            </w:r>
          </w:p>
        </w:tc>
        <w:tc>
          <w:tcPr>
            <w:tcW w:w="320" w:type="pct"/>
            <w:tcBorders>
              <w:top w:val="single" w:color="000000" w:sz="8" w:space="0"/>
              <w:left w:val="single" w:color="000000" w:sz="8" w:space="0"/>
              <w:bottom w:val="single" w:color="000000" w:sz="8" w:space="0"/>
              <w:right w:val="single" w:color="000000" w:sz="8" w:space="0"/>
            </w:tcBorders>
            <w:vAlign w:val="center"/>
          </w:tcPr>
          <w:p w14:paraId="47CB1577">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4"/>
                <w:sz w:val="21"/>
                <w:szCs w:val="21"/>
              </w:rPr>
              <w:t>S204</w:t>
            </w:r>
          </w:p>
        </w:tc>
        <w:tc>
          <w:tcPr>
            <w:tcW w:w="295" w:type="pct"/>
            <w:tcBorders>
              <w:top w:val="single" w:color="000000" w:sz="8" w:space="0"/>
              <w:left w:val="single" w:color="000000" w:sz="8" w:space="0"/>
              <w:bottom w:val="single" w:color="000000" w:sz="8" w:space="0"/>
              <w:right w:val="single" w:color="000000" w:sz="8" w:space="0"/>
            </w:tcBorders>
            <w:vAlign w:val="center"/>
          </w:tcPr>
          <w:p w14:paraId="68C56208">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10"/>
                <w:sz w:val="21"/>
                <w:szCs w:val="21"/>
              </w:rPr>
              <w:t>2</w:t>
            </w:r>
          </w:p>
        </w:tc>
        <w:tc>
          <w:tcPr>
            <w:tcW w:w="412" w:type="pct"/>
            <w:tcBorders>
              <w:top w:val="single" w:color="000000" w:sz="8" w:space="0"/>
              <w:left w:val="single" w:color="000000" w:sz="8" w:space="0"/>
              <w:bottom w:val="single" w:color="000000" w:sz="8" w:space="0"/>
              <w:right w:val="single" w:color="000000" w:sz="8" w:space="0"/>
            </w:tcBorders>
            <w:vAlign w:val="center"/>
          </w:tcPr>
          <w:p w14:paraId="12E164F0">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pacing w:val="-10"/>
                <w:sz w:val="21"/>
                <w:szCs w:val="21"/>
              </w:rPr>
              <w:t>级</w:t>
            </w:r>
          </w:p>
        </w:tc>
        <w:tc>
          <w:tcPr>
            <w:tcW w:w="496" w:type="pct"/>
            <w:tcBorders>
              <w:top w:val="single" w:color="000000" w:sz="8" w:space="0"/>
              <w:left w:val="single" w:color="000000" w:sz="8" w:space="0"/>
              <w:bottom w:val="single" w:color="000000" w:sz="8" w:space="0"/>
              <w:right w:val="single" w:color="000000" w:sz="8" w:space="0"/>
            </w:tcBorders>
            <w:vAlign w:val="center"/>
          </w:tcPr>
          <w:p w14:paraId="4DC01D7B">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2"/>
                <w:sz w:val="21"/>
                <w:szCs w:val="21"/>
              </w:rPr>
              <w:t>281.903</w:t>
            </w:r>
          </w:p>
        </w:tc>
        <w:tc>
          <w:tcPr>
            <w:tcW w:w="593" w:type="pct"/>
            <w:tcBorders>
              <w:top w:val="single" w:color="000000" w:sz="8" w:space="0"/>
              <w:left w:val="single" w:color="000000" w:sz="8" w:space="0"/>
              <w:bottom w:val="single" w:color="000000" w:sz="8" w:space="0"/>
              <w:right w:val="single" w:color="000000" w:sz="8" w:space="0"/>
            </w:tcBorders>
            <w:vAlign w:val="center"/>
          </w:tcPr>
          <w:p w14:paraId="623A6362">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z w:val="21"/>
                <w:szCs w:val="21"/>
              </w:rPr>
              <w:t>新建I</w:t>
            </w:r>
            <w:r>
              <w:rPr>
                <w:rFonts w:hint="eastAsia" w:ascii="宋体" w:hAnsi="宋体" w:eastAsia="宋体" w:cs="宋体"/>
                <w:spacing w:val="-3"/>
                <w:sz w:val="21"/>
                <w:szCs w:val="21"/>
              </w:rPr>
              <w:t>类站路段</w:t>
            </w:r>
          </w:p>
        </w:tc>
        <w:tc>
          <w:tcPr>
            <w:tcW w:w="656" w:type="pct"/>
            <w:tcBorders>
              <w:top w:val="single" w:color="000000" w:sz="8" w:space="0"/>
              <w:left w:val="single" w:color="000000" w:sz="8" w:space="0"/>
              <w:bottom w:val="single" w:color="000000" w:sz="8" w:space="0"/>
              <w:right w:val="single" w:color="000000" w:sz="8" w:space="0"/>
            </w:tcBorders>
            <w:vAlign w:val="center"/>
          </w:tcPr>
          <w:p w14:paraId="31649AC7">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2"/>
                <w:sz w:val="21"/>
                <w:szCs w:val="21"/>
              </w:rPr>
              <w:t>113.656046</w:t>
            </w:r>
          </w:p>
        </w:tc>
        <w:tc>
          <w:tcPr>
            <w:tcW w:w="711" w:type="pct"/>
            <w:tcBorders>
              <w:top w:val="single" w:color="000000" w:sz="8" w:space="0"/>
              <w:left w:val="single" w:color="000000" w:sz="8" w:space="0"/>
              <w:bottom w:val="single" w:color="000000" w:sz="8" w:space="0"/>
            </w:tcBorders>
            <w:vAlign w:val="center"/>
          </w:tcPr>
          <w:p w14:paraId="3800BD90">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2"/>
                <w:sz w:val="21"/>
                <w:szCs w:val="21"/>
              </w:rPr>
              <w:t>26.834689</w:t>
            </w:r>
          </w:p>
        </w:tc>
      </w:tr>
      <w:tr w14:paraId="0715010F">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23" w:hRule="atLeast"/>
        </w:trPr>
        <w:tc>
          <w:tcPr>
            <w:tcW w:w="341" w:type="pct"/>
            <w:tcBorders>
              <w:top w:val="single" w:color="000000" w:sz="8" w:space="0"/>
              <w:bottom w:val="single" w:color="000000" w:sz="8" w:space="0"/>
              <w:right w:val="single" w:color="000000" w:sz="8" w:space="0"/>
            </w:tcBorders>
            <w:vAlign w:val="center"/>
          </w:tcPr>
          <w:p w14:paraId="34A976EE">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5"/>
                <w:sz w:val="21"/>
                <w:szCs w:val="21"/>
              </w:rPr>
              <w:t>284</w:t>
            </w:r>
          </w:p>
        </w:tc>
        <w:tc>
          <w:tcPr>
            <w:tcW w:w="587" w:type="pct"/>
            <w:tcBorders>
              <w:top w:val="single" w:color="000000" w:sz="8" w:space="0"/>
              <w:left w:val="single" w:color="000000" w:sz="8" w:space="0"/>
              <w:bottom w:val="single" w:color="000000" w:sz="8" w:space="0"/>
              <w:right w:val="single" w:color="000000" w:sz="8" w:space="0"/>
            </w:tcBorders>
            <w:vAlign w:val="center"/>
          </w:tcPr>
          <w:p w14:paraId="0B09A37E">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4"/>
                <w:sz w:val="21"/>
                <w:szCs w:val="21"/>
              </w:rPr>
              <w:t>株洲市</w:t>
            </w:r>
          </w:p>
        </w:tc>
        <w:tc>
          <w:tcPr>
            <w:tcW w:w="584" w:type="pct"/>
            <w:tcBorders>
              <w:top w:val="single" w:color="000000" w:sz="8" w:space="0"/>
              <w:left w:val="single" w:color="000000" w:sz="8" w:space="0"/>
              <w:bottom w:val="single" w:color="000000" w:sz="8" w:space="0"/>
              <w:right w:val="single" w:color="000000" w:sz="8" w:space="0"/>
            </w:tcBorders>
            <w:vAlign w:val="center"/>
          </w:tcPr>
          <w:p w14:paraId="52F4187E">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4"/>
                <w:sz w:val="21"/>
                <w:szCs w:val="21"/>
              </w:rPr>
              <w:t>茶陵县</w:t>
            </w:r>
          </w:p>
        </w:tc>
        <w:tc>
          <w:tcPr>
            <w:tcW w:w="320" w:type="pct"/>
            <w:tcBorders>
              <w:top w:val="single" w:color="000000" w:sz="8" w:space="0"/>
              <w:left w:val="single" w:color="000000" w:sz="8" w:space="0"/>
              <w:bottom w:val="single" w:color="000000" w:sz="8" w:space="0"/>
              <w:right w:val="single" w:color="000000" w:sz="8" w:space="0"/>
            </w:tcBorders>
            <w:vAlign w:val="center"/>
          </w:tcPr>
          <w:p w14:paraId="020B47D0">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4"/>
                <w:sz w:val="21"/>
                <w:szCs w:val="21"/>
              </w:rPr>
              <w:t>S337</w:t>
            </w:r>
          </w:p>
        </w:tc>
        <w:tc>
          <w:tcPr>
            <w:tcW w:w="295" w:type="pct"/>
            <w:tcBorders>
              <w:top w:val="single" w:color="000000" w:sz="8" w:space="0"/>
              <w:left w:val="single" w:color="000000" w:sz="8" w:space="0"/>
              <w:bottom w:val="single" w:color="000000" w:sz="8" w:space="0"/>
              <w:right w:val="single" w:color="000000" w:sz="8" w:space="0"/>
            </w:tcBorders>
            <w:vAlign w:val="center"/>
          </w:tcPr>
          <w:p w14:paraId="493A9DFB">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10"/>
                <w:sz w:val="21"/>
                <w:szCs w:val="21"/>
              </w:rPr>
              <w:t>2</w:t>
            </w:r>
          </w:p>
        </w:tc>
        <w:tc>
          <w:tcPr>
            <w:tcW w:w="412" w:type="pct"/>
            <w:tcBorders>
              <w:top w:val="single" w:color="000000" w:sz="8" w:space="0"/>
              <w:left w:val="single" w:color="000000" w:sz="8" w:space="0"/>
              <w:bottom w:val="single" w:color="000000" w:sz="8" w:space="0"/>
              <w:right w:val="single" w:color="000000" w:sz="8" w:space="0"/>
            </w:tcBorders>
            <w:vAlign w:val="center"/>
          </w:tcPr>
          <w:p w14:paraId="76333D3E">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pacing w:val="-10"/>
                <w:sz w:val="21"/>
                <w:szCs w:val="21"/>
              </w:rPr>
              <w:t>级</w:t>
            </w:r>
          </w:p>
        </w:tc>
        <w:tc>
          <w:tcPr>
            <w:tcW w:w="496" w:type="pct"/>
            <w:tcBorders>
              <w:top w:val="single" w:color="000000" w:sz="8" w:space="0"/>
              <w:left w:val="single" w:color="000000" w:sz="8" w:space="0"/>
              <w:bottom w:val="single" w:color="000000" w:sz="8" w:space="0"/>
              <w:right w:val="single" w:color="000000" w:sz="8" w:space="0"/>
            </w:tcBorders>
            <w:vAlign w:val="center"/>
          </w:tcPr>
          <w:p w14:paraId="6F520D06">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2"/>
                <w:sz w:val="21"/>
                <w:szCs w:val="21"/>
              </w:rPr>
              <w:t>61.774</w:t>
            </w:r>
          </w:p>
        </w:tc>
        <w:tc>
          <w:tcPr>
            <w:tcW w:w="593" w:type="pct"/>
            <w:tcBorders>
              <w:top w:val="single" w:color="000000" w:sz="8" w:space="0"/>
              <w:left w:val="single" w:color="000000" w:sz="8" w:space="0"/>
              <w:bottom w:val="single" w:color="000000" w:sz="8" w:space="0"/>
              <w:right w:val="single" w:color="000000" w:sz="8" w:space="0"/>
            </w:tcBorders>
            <w:vAlign w:val="center"/>
          </w:tcPr>
          <w:p w14:paraId="2E45B52A">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z w:val="21"/>
                <w:szCs w:val="21"/>
              </w:rPr>
              <w:t>新建I</w:t>
            </w:r>
            <w:r>
              <w:rPr>
                <w:rFonts w:hint="eastAsia" w:ascii="宋体" w:hAnsi="宋体" w:eastAsia="宋体" w:cs="宋体"/>
                <w:spacing w:val="-3"/>
                <w:sz w:val="21"/>
                <w:szCs w:val="21"/>
              </w:rPr>
              <w:t>类站路段</w:t>
            </w:r>
          </w:p>
        </w:tc>
        <w:tc>
          <w:tcPr>
            <w:tcW w:w="656" w:type="pct"/>
            <w:tcBorders>
              <w:top w:val="single" w:color="000000" w:sz="8" w:space="0"/>
              <w:left w:val="single" w:color="000000" w:sz="8" w:space="0"/>
              <w:bottom w:val="single" w:color="000000" w:sz="8" w:space="0"/>
              <w:right w:val="single" w:color="000000" w:sz="8" w:space="0"/>
            </w:tcBorders>
            <w:vAlign w:val="center"/>
          </w:tcPr>
          <w:p w14:paraId="407C5B55">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2"/>
                <w:sz w:val="21"/>
                <w:szCs w:val="21"/>
              </w:rPr>
              <w:t>113.436537</w:t>
            </w:r>
          </w:p>
        </w:tc>
        <w:tc>
          <w:tcPr>
            <w:tcW w:w="711" w:type="pct"/>
            <w:tcBorders>
              <w:top w:val="single" w:color="000000" w:sz="8" w:space="0"/>
              <w:left w:val="single" w:color="000000" w:sz="8" w:space="0"/>
              <w:bottom w:val="single" w:color="000000" w:sz="8" w:space="0"/>
            </w:tcBorders>
            <w:vAlign w:val="center"/>
          </w:tcPr>
          <w:p w14:paraId="12A6B252">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2"/>
                <w:sz w:val="21"/>
                <w:szCs w:val="21"/>
              </w:rPr>
              <w:t>26.864828</w:t>
            </w:r>
          </w:p>
        </w:tc>
      </w:tr>
      <w:tr w14:paraId="71E4F295">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23" w:hRule="atLeast"/>
        </w:trPr>
        <w:tc>
          <w:tcPr>
            <w:tcW w:w="341" w:type="pct"/>
            <w:tcBorders>
              <w:top w:val="single" w:color="000000" w:sz="8" w:space="0"/>
              <w:bottom w:val="single" w:color="000000" w:sz="8" w:space="0"/>
              <w:right w:val="single" w:color="000000" w:sz="8" w:space="0"/>
            </w:tcBorders>
            <w:vAlign w:val="center"/>
          </w:tcPr>
          <w:p w14:paraId="5A794FAE">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5"/>
                <w:sz w:val="21"/>
                <w:szCs w:val="21"/>
              </w:rPr>
              <w:t>285</w:t>
            </w:r>
          </w:p>
        </w:tc>
        <w:tc>
          <w:tcPr>
            <w:tcW w:w="587" w:type="pct"/>
            <w:tcBorders>
              <w:top w:val="single" w:color="000000" w:sz="8" w:space="0"/>
              <w:left w:val="single" w:color="000000" w:sz="8" w:space="0"/>
              <w:bottom w:val="single" w:color="000000" w:sz="8" w:space="0"/>
              <w:right w:val="single" w:color="000000" w:sz="8" w:space="0"/>
            </w:tcBorders>
            <w:vAlign w:val="center"/>
          </w:tcPr>
          <w:p w14:paraId="2F4A7ADF">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4"/>
                <w:sz w:val="21"/>
                <w:szCs w:val="21"/>
              </w:rPr>
              <w:t>株洲市</w:t>
            </w:r>
          </w:p>
        </w:tc>
        <w:tc>
          <w:tcPr>
            <w:tcW w:w="584" w:type="pct"/>
            <w:tcBorders>
              <w:top w:val="single" w:color="000000" w:sz="8" w:space="0"/>
              <w:left w:val="single" w:color="000000" w:sz="8" w:space="0"/>
              <w:bottom w:val="single" w:color="000000" w:sz="8" w:space="0"/>
              <w:right w:val="single" w:color="000000" w:sz="8" w:space="0"/>
            </w:tcBorders>
            <w:vAlign w:val="center"/>
          </w:tcPr>
          <w:p w14:paraId="10D7428F">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4"/>
                <w:sz w:val="21"/>
                <w:szCs w:val="21"/>
              </w:rPr>
              <w:t>醴陵市</w:t>
            </w:r>
          </w:p>
        </w:tc>
        <w:tc>
          <w:tcPr>
            <w:tcW w:w="320" w:type="pct"/>
            <w:tcBorders>
              <w:top w:val="single" w:color="000000" w:sz="8" w:space="0"/>
              <w:left w:val="single" w:color="000000" w:sz="8" w:space="0"/>
              <w:bottom w:val="single" w:color="000000" w:sz="8" w:space="0"/>
              <w:right w:val="single" w:color="000000" w:sz="8" w:space="0"/>
            </w:tcBorders>
            <w:vAlign w:val="center"/>
          </w:tcPr>
          <w:p w14:paraId="139D2E49">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4"/>
                <w:sz w:val="21"/>
                <w:szCs w:val="21"/>
              </w:rPr>
              <w:t>S104</w:t>
            </w:r>
          </w:p>
        </w:tc>
        <w:tc>
          <w:tcPr>
            <w:tcW w:w="295" w:type="pct"/>
            <w:tcBorders>
              <w:top w:val="single" w:color="000000" w:sz="8" w:space="0"/>
              <w:left w:val="single" w:color="000000" w:sz="8" w:space="0"/>
              <w:bottom w:val="single" w:color="000000" w:sz="8" w:space="0"/>
              <w:right w:val="single" w:color="000000" w:sz="8" w:space="0"/>
            </w:tcBorders>
            <w:vAlign w:val="center"/>
          </w:tcPr>
          <w:p w14:paraId="1B0C7AEB">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10"/>
                <w:sz w:val="21"/>
                <w:szCs w:val="21"/>
              </w:rPr>
              <w:t>2</w:t>
            </w:r>
          </w:p>
        </w:tc>
        <w:tc>
          <w:tcPr>
            <w:tcW w:w="412" w:type="pct"/>
            <w:tcBorders>
              <w:top w:val="single" w:color="000000" w:sz="8" w:space="0"/>
              <w:left w:val="single" w:color="000000" w:sz="8" w:space="0"/>
              <w:bottom w:val="single" w:color="000000" w:sz="8" w:space="0"/>
              <w:right w:val="single" w:color="000000" w:sz="8" w:space="0"/>
            </w:tcBorders>
            <w:vAlign w:val="center"/>
          </w:tcPr>
          <w:p w14:paraId="44ABB882">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pacing w:val="-10"/>
                <w:sz w:val="21"/>
                <w:szCs w:val="21"/>
              </w:rPr>
              <w:t>级</w:t>
            </w:r>
          </w:p>
        </w:tc>
        <w:tc>
          <w:tcPr>
            <w:tcW w:w="496" w:type="pct"/>
            <w:tcBorders>
              <w:top w:val="single" w:color="000000" w:sz="8" w:space="0"/>
              <w:left w:val="single" w:color="000000" w:sz="8" w:space="0"/>
              <w:bottom w:val="single" w:color="000000" w:sz="8" w:space="0"/>
              <w:right w:val="single" w:color="000000" w:sz="8" w:space="0"/>
            </w:tcBorders>
            <w:vAlign w:val="center"/>
          </w:tcPr>
          <w:p w14:paraId="34EAED5B">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2"/>
                <w:sz w:val="21"/>
                <w:szCs w:val="21"/>
              </w:rPr>
              <w:t>61.800</w:t>
            </w:r>
          </w:p>
        </w:tc>
        <w:tc>
          <w:tcPr>
            <w:tcW w:w="593" w:type="pct"/>
            <w:tcBorders>
              <w:top w:val="single" w:color="000000" w:sz="8" w:space="0"/>
              <w:left w:val="single" w:color="000000" w:sz="8" w:space="0"/>
              <w:bottom w:val="single" w:color="000000" w:sz="8" w:space="0"/>
              <w:right w:val="single" w:color="000000" w:sz="8" w:space="0"/>
            </w:tcBorders>
            <w:vAlign w:val="center"/>
          </w:tcPr>
          <w:p w14:paraId="65B96DF9">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z w:val="21"/>
                <w:szCs w:val="21"/>
              </w:rPr>
              <w:t>新建II</w:t>
            </w:r>
            <w:r>
              <w:rPr>
                <w:rFonts w:hint="eastAsia" w:ascii="宋体" w:hAnsi="宋体" w:eastAsia="宋体" w:cs="宋体"/>
                <w:spacing w:val="-3"/>
                <w:sz w:val="21"/>
                <w:szCs w:val="21"/>
              </w:rPr>
              <w:t>类站路段</w:t>
            </w:r>
          </w:p>
        </w:tc>
        <w:tc>
          <w:tcPr>
            <w:tcW w:w="656" w:type="pct"/>
            <w:tcBorders>
              <w:top w:val="single" w:color="000000" w:sz="8" w:space="0"/>
              <w:left w:val="single" w:color="000000" w:sz="8" w:space="0"/>
              <w:bottom w:val="single" w:color="000000" w:sz="8" w:space="0"/>
              <w:right w:val="single" w:color="000000" w:sz="8" w:space="0"/>
            </w:tcBorders>
            <w:vAlign w:val="center"/>
          </w:tcPr>
          <w:p w14:paraId="39AF5336">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2"/>
                <w:sz w:val="21"/>
                <w:szCs w:val="21"/>
              </w:rPr>
              <w:t>113.401492</w:t>
            </w:r>
          </w:p>
        </w:tc>
        <w:tc>
          <w:tcPr>
            <w:tcW w:w="711" w:type="pct"/>
            <w:tcBorders>
              <w:top w:val="single" w:color="000000" w:sz="8" w:space="0"/>
              <w:left w:val="single" w:color="000000" w:sz="8" w:space="0"/>
              <w:bottom w:val="single" w:color="000000" w:sz="8" w:space="0"/>
            </w:tcBorders>
            <w:vAlign w:val="center"/>
          </w:tcPr>
          <w:p w14:paraId="3F9F4C47">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2"/>
                <w:sz w:val="21"/>
                <w:szCs w:val="21"/>
              </w:rPr>
              <w:t>27.843383</w:t>
            </w:r>
          </w:p>
        </w:tc>
      </w:tr>
      <w:tr w14:paraId="58695D0D">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23" w:hRule="atLeast"/>
        </w:trPr>
        <w:tc>
          <w:tcPr>
            <w:tcW w:w="341" w:type="pct"/>
            <w:tcBorders>
              <w:top w:val="single" w:color="000000" w:sz="8" w:space="0"/>
              <w:bottom w:val="single" w:color="000000" w:sz="8" w:space="0"/>
              <w:right w:val="single" w:color="000000" w:sz="8" w:space="0"/>
            </w:tcBorders>
            <w:vAlign w:val="center"/>
          </w:tcPr>
          <w:p w14:paraId="4A1D5C04">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5"/>
                <w:sz w:val="21"/>
                <w:szCs w:val="21"/>
              </w:rPr>
              <w:t>286</w:t>
            </w:r>
          </w:p>
        </w:tc>
        <w:tc>
          <w:tcPr>
            <w:tcW w:w="587" w:type="pct"/>
            <w:tcBorders>
              <w:top w:val="single" w:color="000000" w:sz="8" w:space="0"/>
              <w:left w:val="single" w:color="000000" w:sz="8" w:space="0"/>
              <w:bottom w:val="single" w:color="000000" w:sz="8" w:space="0"/>
              <w:right w:val="single" w:color="000000" w:sz="8" w:space="0"/>
            </w:tcBorders>
            <w:vAlign w:val="center"/>
          </w:tcPr>
          <w:p w14:paraId="3C25E263">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4"/>
                <w:sz w:val="21"/>
                <w:szCs w:val="21"/>
              </w:rPr>
              <w:t>株洲市</w:t>
            </w:r>
          </w:p>
        </w:tc>
        <w:tc>
          <w:tcPr>
            <w:tcW w:w="584" w:type="pct"/>
            <w:tcBorders>
              <w:top w:val="single" w:color="000000" w:sz="8" w:space="0"/>
              <w:left w:val="single" w:color="000000" w:sz="8" w:space="0"/>
              <w:bottom w:val="single" w:color="000000" w:sz="8" w:space="0"/>
              <w:right w:val="single" w:color="000000" w:sz="8" w:space="0"/>
            </w:tcBorders>
            <w:vAlign w:val="center"/>
          </w:tcPr>
          <w:p w14:paraId="63607385">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4"/>
                <w:sz w:val="21"/>
                <w:szCs w:val="21"/>
              </w:rPr>
              <w:t>醴陵市</w:t>
            </w:r>
          </w:p>
        </w:tc>
        <w:tc>
          <w:tcPr>
            <w:tcW w:w="320" w:type="pct"/>
            <w:tcBorders>
              <w:top w:val="single" w:color="000000" w:sz="8" w:space="0"/>
              <w:left w:val="single" w:color="000000" w:sz="8" w:space="0"/>
              <w:bottom w:val="single" w:color="000000" w:sz="8" w:space="0"/>
              <w:right w:val="single" w:color="000000" w:sz="8" w:space="0"/>
            </w:tcBorders>
            <w:vAlign w:val="center"/>
          </w:tcPr>
          <w:p w14:paraId="5CECD693">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4"/>
                <w:sz w:val="21"/>
                <w:szCs w:val="21"/>
              </w:rPr>
              <w:t>S104</w:t>
            </w:r>
          </w:p>
        </w:tc>
        <w:tc>
          <w:tcPr>
            <w:tcW w:w="295" w:type="pct"/>
            <w:tcBorders>
              <w:top w:val="single" w:color="000000" w:sz="8" w:space="0"/>
              <w:left w:val="single" w:color="000000" w:sz="8" w:space="0"/>
              <w:bottom w:val="single" w:color="000000" w:sz="8" w:space="0"/>
              <w:right w:val="single" w:color="000000" w:sz="8" w:space="0"/>
            </w:tcBorders>
            <w:vAlign w:val="center"/>
          </w:tcPr>
          <w:p w14:paraId="7F1A028D">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10"/>
                <w:sz w:val="21"/>
                <w:szCs w:val="21"/>
              </w:rPr>
              <w:t>2</w:t>
            </w:r>
          </w:p>
        </w:tc>
        <w:tc>
          <w:tcPr>
            <w:tcW w:w="412" w:type="pct"/>
            <w:tcBorders>
              <w:top w:val="single" w:color="000000" w:sz="8" w:space="0"/>
              <w:left w:val="single" w:color="000000" w:sz="8" w:space="0"/>
              <w:bottom w:val="single" w:color="000000" w:sz="8" w:space="0"/>
              <w:right w:val="single" w:color="000000" w:sz="8" w:space="0"/>
            </w:tcBorders>
            <w:vAlign w:val="center"/>
          </w:tcPr>
          <w:p w14:paraId="6363F096">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pacing w:val="-10"/>
                <w:sz w:val="21"/>
                <w:szCs w:val="21"/>
              </w:rPr>
              <w:t>级</w:t>
            </w:r>
          </w:p>
        </w:tc>
        <w:tc>
          <w:tcPr>
            <w:tcW w:w="496" w:type="pct"/>
            <w:tcBorders>
              <w:top w:val="single" w:color="000000" w:sz="8" w:space="0"/>
              <w:left w:val="single" w:color="000000" w:sz="8" w:space="0"/>
              <w:bottom w:val="single" w:color="000000" w:sz="8" w:space="0"/>
              <w:right w:val="single" w:color="000000" w:sz="8" w:space="0"/>
            </w:tcBorders>
            <w:vAlign w:val="center"/>
          </w:tcPr>
          <w:p w14:paraId="1ED70788">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2"/>
                <w:sz w:val="21"/>
                <w:szCs w:val="21"/>
              </w:rPr>
              <w:t>70.223</w:t>
            </w:r>
          </w:p>
        </w:tc>
        <w:tc>
          <w:tcPr>
            <w:tcW w:w="593" w:type="pct"/>
            <w:tcBorders>
              <w:top w:val="single" w:color="000000" w:sz="8" w:space="0"/>
              <w:left w:val="single" w:color="000000" w:sz="8" w:space="0"/>
              <w:bottom w:val="single" w:color="000000" w:sz="8" w:space="0"/>
              <w:right w:val="single" w:color="000000" w:sz="8" w:space="0"/>
            </w:tcBorders>
            <w:vAlign w:val="center"/>
          </w:tcPr>
          <w:p w14:paraId="0A3BE0F3">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z w:val="21"/>
                <w:szCs w:val="21"/>
              </w:rPr>
              <w:t>新建I</w:t>
            </w:r>
            <w:r>
              <w:rPr>
                <w:rFonts w:hint="eastAsia" w:ascii="宋体" w:hAnsi="宋体" w:eastAsia="宋体" w:cs="宋体"/>
                <w:spacing w:val="-3"/>
                <w:sz w:val="21"/>
                <w:szCs w:val="21"/>
              </w:rPr>
              <w:t>类站路段</w:t>
            </w:r>
          </w:p>
        </w:tc>
        <w:tc>
          <w:tcPr>
            <w:tcW w:w="656" w:type="pct"/>
            <w:tcBorders>
              <w:top w:val="single" w:color="000000" w:sz="8" w:space="0"/>
              <w:left w:val="single" w:color="000000" w:sz="8" w:space="0"/>
              <w:bottom w:val="single" w:color="000000" w:sz="8" w:space="0"/>
              <w:right w:val="single" w:color="000000" w:sz="8" w:space="0"/>
            </w:tcBorders>
            <w:vAlign w:val="center"/>
          </w:tcPr>
          <w:p w14:paraId="781CEB0F">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2"/>
                <w:sz w:val="21"/>
                <w:szCs w:val="21"/>
              </w:rPr>
              <w:t>113.437854</w:t>
            </w:r>
          </w:p>
        </w:tc>
        <w:tc>
          <w:tcPr>
            <w:tcW w:w="711" w:type="pct"/>
            <w:tcBorders>
              <w:top w:val="single" w:color="000000" w:sz="8" w:space="0"/>
              <w:left w:val="single" w:color="000000" w:sz="8" w:space="0"/>
              <w:bottom w:val="single" w:color="000000" w:sz="8" w:space="0"/>
            </w:tcBorders>
            <w:vAlign w:val="center"/>
          </w:tcPr>
          <w:p w14:paraId="78EE337F">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2"/>
                <w:sz w:val="21"/>
                <w:szCs w:val="21"/>
              </w:rPr>
              <w:t>27.868304</w:t>
            </w:r>
          </w:p>
        </w:tc>
      </w:tr>
      <w:tr w14:paraId="0BEC4A37">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23" w:hRule="atLeast"/>
        </w:trPr>
        <w:tc>
          <w:tcPr>
            <w:tcW w:w="341" w:type="pct"/>
            <w:tcBorders>
              <w:top w:val="single" w:color="000000" w:sz="8" w:space="0"/>
              <w:bottom w:val="single" w:color="000000" w:sz="8" w:space="0"/>
              <w:right w:val="single" w:color="000000" w:sz="8" w:space="0"/>
            </w:tcBorders>
            <w:vAlign w:val="center"/>
          </w:tcPr>
          <w:p w14:paraId="7883355E">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5"/>
                <w:sz w:val="21"/>
                <w:szCs w:val="21"/>
              </w:rPr>
              <w:t>287</w:t>
            </w:r>
          </w:p>
        </w:tc>
        <w:tc>
          <w:tcPr>
            <w:tcW w:w="587" w:type="pct"/>
            <w:tcBorders>
              <w:top w:val="single" w:color="000000" w:sz="8" w:space="0"/>
              <w:left w:val="single" w:color="000000" w:sz="8" w:space="0"/>
              <w:bottom w:val="single" w:color="000000" w:sz="8" w:space="0"/>
              <w:right w:val="single" w:color="000000" w:sz="8" w:space="0"/>
            </w:tcBorders>
            <w:vAlign w:val="center"/>
          </w:tcPr>
          <w:p w14:paraId="64AFCF55">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4"/>
                <w:sz w:val="21"/>
                <w:szCs w:val="21"/>
              </w:rPr>
              <w:t>株洲市</w:t>
            </w:r>
          </w:p>
        </w:tc>
        <w:tc>
          <w:tcPr>
            <w:tcW w:w="584" w:type="pct"/>
            <w:tcBorders>
              <w:top w:val="single" w:color="000000" w:sz="8" w:space="0"/>
              <w:left w:val="single" w:color="000000" w:sz="8" w:space="0"/>
              <w:bottom w:val="single" w:color="000000" w:sz="8" w:space="0"/>
              <w:right w:val="single" w:color="000000" w:sz="8" w:space="0"/>
            </w:tcBorders>
            <w:vAlign w:val="center"/>
          </w:tcPr>
          <w:p w14:paraId="03DAE9FD">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4"/>
                <w:sz w:val="21"/>
                <w:szCs w:val="21"/>
              </w:rPr>
              <w:t>醴陵市</w:t>
            </w:r>
          </w:p>
        </w:tc>
        <w:tc>
          <w:tcPr>
            <w:tcW w:w="320" w:type="pct"/>
            <w:tcBorders>
              <w:top w:val="single" w:color="000000" w:sz="8" w:space="0"/>
              <w:left w:val="single" w:color="000000" w:sz="8" w:space="0"/>
              <w:bottom w:val="single" w:color="000000" w:sz="8" w:space="0"/>
              <w:right w:val="single" w:color="000000" w:sz="8" w:space="0"/>
            </w:tcBorders>
            <w:vAlign w:val="center"/>
          </w:tcPr>
          <w:p w14:paraId="56F42E92">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4"/>
                <w:sz w:val="21"/>
                <w:szCs w:val="21"/>
              </w:rPr>
              <w:t>S204</w:t>
            </w:r>
          </w:p>
        </w:tc>
        <w:tc>
          <w:tcPr>
            <w:tcW w:w="295" w:type="pct"/>
            <w:tcBorders>
              <w:top w:val="single" w:color="000000" w:sz="8" w:space="0"/>
              <w:left w:val="single" w:color="000000" w:sz="8" w:space="0"/>
              <w:bottom w:val="single" w:color="000000" w:sz="8" w:space="0"/>
              <w:right w:val="single" w:color="000000" w:sz="8" w:space="0"/>
            </w:tcBorders>
            <w:vAlign w:val="center"/>
          </w:tcPr>
          <w:p w14:paraId="0DCF29B2">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10"/>
                <w:sz w:val="21"/>
                <w:szCs w:val="21"/>
              </w:rPr>
              <w:t>2</w:t>
            </w:r>
          </w:p>
        </w:tc>
        <w:tc>
          <w:tcPr>
            <w:tcW w:w="412" w:type="pct"/>
            <w:tcBorders>
              <w:top w:val="single" w:color="000000" w:sz="8" w:space="0"/>
              <w:left w:val="single" w:color="000000" w:sz="8" w:space="0"/>
              <w:bottom w:val="single" w:color="000000" w:sz="8" w:space="0"/>
              <w:right w:val="single" w:color="000000" w:sz="8" w:space="0"/>
            </w:tcBorders>
            <w:vAlign w:val="center"/>
          </w:tcPr>
          <w:p w14:paraId="7A33D355">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pacing w:val="-10"/>
                <w:sz w:val="21"/>
                <w:szCs w:val="21"/>
              </w:rPr>
              <w:t>级</w:t>
            </w:r>
          </w:p>
        </w:tc>
        <w:tc>
          <w:tcPr>
            <w:tcW w:w="496" w:type="pct"/>
            <w:tcBorders>
              <w:top w:val="single" w:color="000000" w:sz="8" w:space="0"/>
              <w:left w:val="single" w:color="000000" w:sz="8" w:space="0"/>
              <w:bottom w:val="single" w:color="000000" w:sz="8" w:space="0"/>
              <w:right w:val="single" w:color="000000" w:sz="8" w:space="0"/>
            </w:tcBorders>
            <w:vAlign w:val="center"/>
          </w:tcPr>
          <w:p w14:paraId="270651D1">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2"/>
                <w:sz w:val="21"/>
                <w:szCs w:val="21"/>
              </w:rPr>
              <w:t>116.500</w:t>
            </w:r>
          </w:p>
        </w:tc>
        <w:tc>
          <w:tcPr>
            <w:tcW w:w="593" w:type="pct"/>
            <w:tcBorders>
              <w:top w:val="single" w:color="000000" w:sz="8" w:space="0"/>
              <w:left w:val="single" w:color="000000" w:sz="8" w:space="0"/>
              <w:bottom w:val="single" w:color="000000" w:sz="8" w:space="0"/>
              <w:right w:val="single" w:color="000000" w:sz="8" w:space="0"/>
            </w:tcBorders>
            <w:vAlign w:val="center"/>
          </w:tcPr>
          <w:p w14:paraId="323DAC73">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z w:val="21"/>
                <w:szCs w:val="21"/>
              </w:rPr>
              <w:t>新建II</w:t>
            </w:r>
            <w:r>
              <w:rPr>
                <w:rFonts w:hint="eastAsia" w:ascii="宋体" w:hAnsi="宋体" w:eastAsia="宋体" w:cs="宋体"/>
                <w:spacing w:val="-3"/>
                <w:sz w:val="21"/>
                <w:szCs w:val="21"/>
              </w:rPr>
              <w:t>类站路段</w:t>
            </w:r>
          </w:p>
        </w:tc>
        <w:tc>
          <w:tcPr>
            <w:tcW w:w="656" w:type="pct"/>
            <w:tcBorders>
              <w:top w:val="single" w:color="000000" w:sz="8" w:space="0"/>
              <w:left w:val="single" w:color="000000" w:sz="8" w:space="0"/>
              <w:bottom w:val="single" w:color="000000" w:sz="8" w:space="0"/>
              <w:right w:val="single" w:color="000000" w:sz="8" w:space="0"/>
            </w:tcBorders>
            <w:vAlign w:val="center"/>
          </w:tcPr>
          <w:p w14:paraId="103ED8D6">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2"/>
                <w:sz w:val="21"/>
                <w:szCs w:val="21"/>
              </w:rPr>
              <w:t>113.438473</w:t>
            </w:r>
          </w:p>
        </w:tc>
        <w:tc>
          <w:tcPr>
            <w:tcW w:w="711" w:type="pct"/>
            <w:tcBorders>
              <w:top w:val="single" w:color="000000" w:sz="8" w:space="0"/>
              <w:left w:val="single" w:color="000000" w:sz="8" w:space="0"/>
              <w:bottom w:val="single" w:color="000000" w:sz="8" w:space="0"/>
            </w:tcBorders>
            <w:vAlign w:val="center"/>
          </w:tcPr>
          <w:p w14:paraId="78381E26">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2"/>
                <w:sz w:val="21"/>
                <w:szCs w:val="21"/>
              </w:rPr>
              <w:t>27.769050</w:t>
            </w:r>
          </w:p>
        </w:tc>
      </w:tr>
      <w:tr w14:paraId="0271086A">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23" w:hRule="atLeast"/>
        </w:trPr>
        <w:tc>
          <w:tcPr>
            <w:tcW w:w="341" w:type="pct"/>
            <w:tcBorders>
              <w:top w:val="single" w:color="000000" w:sz="8" w:space="0"/>
              <w:bottom w:val="single" w:color="000000" w:sz="8" w:space="0"/>
              <w:right w:val="single" w:color="000000" w:sz="8" w:space="0"/>
            </w:tcBorders>
            <w:vAlign w:val="center"/>
          </w:tcPr>
          <w:p w14:paraId="052E9219">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5"/>
                <w:sz w:val="21"/>
                <w:szCs w:val="21"/>
              </w:rPr>
              <w:t>288</w:t>
            </w:r>
          </w:p>
        </w:tc>
        <w:tc>
          <w:tcPr>
            <w:tcW w:w="587" w:type="pct"/>
            <w:tcBorders>
              <w:top w:val="single" w:color="000000" w:sz="8" w:space="0"/>
              <w:left w:val="single" w:color="000000" w:sz="8" w:space="0"/>
              <w:bottom w:val="single" w:color="000000" w:sz="8" w:space="0"/>
              <w:right w:val="single" w:color="000000" w:sz="8" w:space="0"/>
            </w:tcBorders>
            <w:vAlign w:val="center"/>
          </w:tcPr>
          <w:p w14:paraId="5725B454">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4"/>
                <w:sz w:val="21"/>
                <w:szCs w:val="21"/>
              </w:rPr>
              <w:t>株洲市</w:t>
            </w:r>
          </w:p>
        </w:tc>
        <w:tc>
          <w:tcPr>
            <w:tcW w:w="584" w:type="pct"/>
            <w:tcBorders>
              <w:top w:val="single" w:color="000000" w:sz="8" w:space="0"/>
              <w:left w:val="single" w:color="000000" w:sz="8" w:space="0"/>
              <w:bottom w:val="single" w:color="000000" w:sz="8" w:space="0"/>
              <w:right w:val="single" w:color="000000" w:sz="8" w:space="0"/>
            </w:tcBorders>
            <w:vAlign w:val="center"/>
          </w:tcPr>
          <w:p w14:paraId="6ABBF475">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4"/>
                <w:sz w:val="21"/>
                <w:szCs w:val="21"/>
              </w:rPr>
              <w:t>醴陵市</w:t>
            </w:r>
          </w:p>
        </w:tc>
        <w:tc>
          <w:tcPr>
            <w:tcW w:w="320" w:type="pct"/>
            <w:tcBorders>
              <w:top w:val="single" w:color="000000" w:sz="8" w:space="0"/>
              <w:left w:val="single" w:color="000000" w:sz="8" w:space="0"/>
              <w:bottom w:val="single" w:color="000000" w:sz="8" w:space="0"/>
              <w:right w:val="single" w:color="000000" w:sz="8" w:space="0"/>
            </w:tcBorders>
            <w:vAlign w:val="center"/>
          </w:tcPr>
          <w:p w14:paraId="4D84F5E4">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4"/>
                <w:sz w:val="21"/>
                <w:szCs w:val="21"/>
              </w:rPr>
              <w:t>S204</w:t>
            </w:r>
          </w:p>
        </w:tc>
        <w:tc>
          <w:tcPr>
            <w:tcW w:w="295" w:type="pct"/>
            <w:tcBorders>
              <w:top w:val="single" w:color="000000" w:sz="8" w:space="0"/>
              <w:left w:val="single" w:color="000000" w:sz="8" w:space="0"/>
              <w:bottom w:val="single" w:color="000000" w:sz="8" w:space="0"/>
              <w:right w:val="single" w:color="000000" w:sz="8" w:space="0"/>
            </w:tcBorders>
            <w:vAlign w:val="center"/>
          </w:tcPr>
          <w:p w14:paraId="166A6A19">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10"/>
                <w:sz w:val="21"/>
                <w:szCs w:val="21"/>
              </w:rPr>
              <w:t>2</w:t>
            </w:r>
          </w:p>
        </w:tc>
        <w:tc>
          <w:tcPr>
            <w:tcW w:w="412" w:type="pct"/>
            <w:tcBorders>
              <w:top w:val="single" w:color="000000" w:sz="8" w:space="0"/>
              <w:left w:val="single" w:color="000000" w:sz="8" w:space="0"/>
              <w:bottom w:val="single" w:color="000000" w:sz="8" w:space="0"/>
              <w:right w:val="single" w:color="000000" w:sz="8" w:space="0"/>
            </w:tcBorders>
            <w:vAlign w:val="center"/>
          </w:tcPr>
          <w:p w14:paraId="361FA885">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pacing w:val="-10"/>
                <w:sz w:val="21"/>
                <w:szCs w:val="21"/>
              </w:rPr>
              <w:t>级</w:t>
            </w:r>
          </w:p>
        </w:tc>
        <w:tc>
          <w:tcPr>
            <w:tcW w:w="496" w:type="pct"/>
            <w:tcBorders>
              <w:top w:val="single" w:color="000000" w:sz="8" w:space="0"/>
              <w:left w:val="single" w:color="000000" w:sz="8" w:space="0"/>
              <w:bottom w:val="single" w:color="000000" w:sz="8" w:space="0"/>
              <w:right w:val="single" w:color="000000" w:sz="8" w:space="0"/>
            </w:tcBorders>
            <w:vAlign w:val="center"/>
          </w:tcPr>
          <w:p w14:paraId="4AE64851">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2"/>
                <w:sz w:val="21"/>
                <w:szCs w:val="21"/>
              </w:rPr>
              <w:t>140.169</w:t>
            </w:r>
          </w:p>
        </w:tc>
        <w:tc>
          <w:tcPr>
            <w:tcW w:w="593" w:type="pct"/>
            <w:tcBorders>
              <w:top w:val="single" w:color="000000" w:sz="8" w:space="0"/>
              <w:left w:val="single" w:color="000000" w:sz="8" w:space="0"/>
              <w:bottom w:val="single" w:color="000000" w:sz="8" w:space="0"/>
              <w:right w:val="single" w:color="000000" w:sz="8" w:space="0"/>
            </w:tcBorders>
            <w:vAlign w:val="center"/>
          </w:tcPr>
          <w:p w14:paraId="76B963F2">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z w:val="21"/>
                <w:szCs w:val="21"/>
              </w:rPr>
              <w:t>新建I</w:t>
            </w:r>
            <w:r>
              <w:rPr>
                <w:rFonts w:hint="eastAsia" w:ascii="宋体" w:hAnsi="宋体" w:eastAsia="宋体" w:cs="宋体"/>
                <w:spacing w:val="-3"/>
                <w:sz w:val="21"/>
                <w:szCs w:val="21"/>
              </w:rPr>
              <w:t>类站路段</w:t>
            </w:r>
          </w:p>
        </w:tc>
        <w:tc>
          <w:tcPr>
            <w:tcW w:w="656" w:type="pct"/>
            <w:tcBorders>
              <w:top w:val="single" w:color="000000" w:sz="8" w:space="0"/>
              <w:left w:val="single" w:color="000000" w:sz="8" w:space="0"/>
              <w:bottom w:val="single" w:color="000000" w:sz="8" w:space="0"/>
              <w:right w:val="single" w:color="000000" w:sz="8" w:space="0"/>
            </w:tcBorders>
            <w:vAlign w:val="center"/>
          </w:tcPr>
          <w:p w14:paraId="32318C3C">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2"/>
                <w:sz w:val="21"/>
                <w:szCs w:val="21"/>
              </w:rPr>
              <w:t>113.493876</w:t>
            </w:r>
          </w:p>
        </w:tc>
        <w:tc>
          <w:tcPr>
            <w:tcW w:w="711" w:type="pct"/>
            <w:tcBorders>
              <w:top w:val="single" w:color="000000" w:sz="8" w:space="0"/>
              <w:left w:val="single" w:color="000000" w:sz="8" w:space="0"/>
              <w:bottom w:val="single" w:color="000000" w:sz="8" w:space="0"/>
            </w:tcBorders>
            <w:vAlign w:val="center"/>
          </w:tcPr>
          <w:p w14:paraId="64577186">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2"/>
                <w:sz w:val="21"/>
                <w:szCs w:val="21"/>
              </w:rPr>
              <w:t>27.616256</w:t>
            </w:r>
          </w:p>
        </w:tc>
      </w:tr>
      <w:tr w14:paraId="0DAB712B">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23" w:hRule="atLeast"/>
        </w:trPr>
        <w:tc>
          <w:tcPr>
            <w:tcW w:w="341" w:type="pct"/>
            <w:tcBorders>
              <w:top w:val="single" w:color="000000" w:sz="8" w:space="0"/>
              <w:bottom w:val="single" w:color="000000" w:sz="8" w:space="0"/>
              <w:right w:val="single" w:color="000000" w:sz="8" w:space="0"/>
            </w:tcBorders>
            <w:vAlign w:val="center"/>
          </w:tcPr>
          <w:p w14:paraId="42068E02">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5"/>
                <w:sz w:val="21"/>
                <w:szCs w:val="21"/>
              </w:rPr>
              <w:t>289</w:t>
            </w:r>
          </w:p>
        </w:tc>
        <w:tc>
          <w:tcPr>
            <w:tcW w:w="587" w:type="pct"/>
            <w:tcBorders>
              <w:top w:val="single" w:color="000000" w:sz="8" w:space="0"/>
              <w:left w:val="single" w:color="000000" w:sz="8" w:space="0"/>
              <w:bottom w:val="single" w:color="000000" w:sz="8" w:space="0"/>
              <w:right w:val="single" w:color="000000" w:sz="8" w:space="0"/>
            </w:tcBorders>
            <w:vAlign w:val="center"/>
          </w:tcPr>
          <w:p w14:paraId="7F40269A">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4"/>
                <w:sz w:val="21"/>
                <w:szCs w:val="21"/>
              </w:rPr>
              <w:t>株洲市</w:t>
            </w:r>
          </w:p>
        </w:tc>
        <w:tc>
          <w:tcPr>
            <w:tcW w:w="584" w:type="pct"/>
            <w:tcBorders>
              <w:top w:val="single" w:color="000000" w:sz="8" w:space="0"/>
              <w:left w:val="single" w:color="000000" w:sz="8" w:space="0"/>
              <w:bottom w:val="single" w:color="000000" w:sz="8" w:space="0"/>
              <w:right w:val="single" w:color="000000" w:sz="8" w:space="0"/>
            </w:tcBorders>
            <w:vAlign w:val="center"/>
          </w:tcPr>
          <w:p w14:paraId="332C65D7">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4"/>
                <w:sz w:val="21"/>
                <w:szCs w:val="21"/>
              </w:rPr>
              <w:t>醴陵市</w:t>
            </w:r>
          </w:p>
        </w:tc>
        <w:tc>
          <w:tcPr>
            <w:tcW w:w="320" w:type="pct"/>
            <w:tcBorders>
              <w:top w:val="single" w:color="000000" w:sz="8" w:space="0"/>
              <w:left w:val="single" w:color="000000" w:sz="8" w:space="0"/>
              <w:bottom w:val="single" w:color="000000" w:sz="8" w:space="0"/>
              <w:right w:val="single" w:color="000000" w:sz="8" w:space="0"/>
            </w:tcBorders>
            <w:vAlign w:val="center"/>
          </w:tcPr>
          <w:p w14:paraId="7D46E5DE">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4"/>
                <w:sz w:val="21"/>
                <w:szCs w:val="21"/>
              </w:rPr>
              <w:t>S204</w:t>
            </w:r>
          </w:p>
        </w:tc>
        <w:tc>
          <w:tcPr>
            <w:tcW w:w="295" w:type="pct"/>
            <w:tcBorders>
              <w:top w:val="single" w:color="000000" w:sz="8" w:space="0"/>
              <w:left w:val="single" w:color="000000" w:sz="8" w:space="0"/>
              <w:bottom w:val="single" w:color="000000" w:sz="8" w:space="0"/>
              <w:right w:val="single" w:color="000000" w:sz="8" w:space="0"/>
            </w:tcBorders>
            <w:vAlign w:val="center"/>
          </w:tcPr>
          <w:p w14:paraId="296276BD">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10"/>
                <w:sz w:val="21"/>
                <w:szCs w:val="21"/>
              </w:rPr>
              <w:t>2</w:t>
            </w:r>
          </w:p>
        </w:tc>
        <w:tc>
          <w:tcPr>
            <w:tcW w:w="412" w:type="pct"/>
            <w:tcBorders>
              <w:top w:val="single" w:color="000000" w:sz="8" w:space="0"/>
              <w:left w:val="single" w:color="000000" w:sz="8" w:space="0"/>
              <w:bottom w:val="single" w:color="000000" w:sz="8" w:space="0"/>
              <w:right w:val="single" w:color="000000" w:sz="8" w:space="0"/>
            </w:tcBorders>
            <w:vAlign w:val="center"/>
          </w:tcPr>
          <w:p w14:paraId="523F622B">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pacing w:val="-10"/>
                <w:sz w:val="21"/>
                <w:szCs w:val="21"/>
              </w:rPr>
              <w:t>级</w:t>
            </w:r>
          </w:p>
        </w:tc>
        <w:tc>
          <w:tcPr>
            <w:tcW w:w="496" w:type="pct"/>
            <w:tcBorders>
              <w:top w:val="single" w:color="000000" w:sz="8" w:space="0"/>
              <w:left w:val="single" w:color="000000" w:sz="8" w:space="0"/>
              <w:bottom w:val="single" w:color="000000" w:sz="8" w:space="0"/>
              <w:right w:val="single" w:color="000000" w:sz="8" w:space="0"/>
            </w:tcBorders>
            <w:vAlign w:val="center"/>
          </w:tcPr>
          <w:p w14:paraId="63FFCAC1">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2"/>
                <w:sz w:val="21"/>
                <w:szCs w:val="21"/>
              </w:rPr>
              <w:t>168.170</w:t>
            </w:r>
          </w:p>
        </w:tc>
        <w:tc>
          <w:tcPr>
            <w:tcW w:w="593" w:type="pct"/>
            <w:tcBorders>
              <w:top w:val="single" w:color="000000" w:sz="8" w:space="0"/>
              <w:left w:val="single" w:color="000000" w:sz="8" w:space="0"/>
              <w:bottom w:val="single" w:color="000000" w:sz="8" w:space="0"/>
              <w:right w:val="single" w:color="000000" w:sz="8" w:space="0"/>
            </w:tcBorders>
            <w:vAlign w:val="center"/>
          </w:tcPr>
          <w:p w14:paraId="4E088E1C">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z w:val="21"/>
                <w:szCs w:val="21"/>
              </w:rPr>
              <w:t>新建I</w:t>
            </w:r>
            <w:r>
              <w:rPr>
                <w:rFonts w:hint="eastAsia" w:ascii="宋体" w:hAnsi="宋体" w:eastAsia="宋体" w:cs="宋体"/>
                <w:spacing w:val="-3"/>
                <w:sz w:val="21"/>
                <w:szCs w:val="21"/>
              </w:rPr>
              <w:t>类站路段</w:t>
            </w:r>
          </w:p>
        </w:tc>
        <w:tc>
          <w:tcPr>
            <w:tcW w:w="656" w:type="pct"/>
            <w:tcBorders>
              <w:top w:val="single" w:color="000000" w:sz="8" w:space="0"/>
              <w:left w:val="single" w:color="000000" w:sz="8" w:space="0"/>
              <w:bottom w:val="single" w:color="000000" w:sz="8" w:space="0"/>
              <w:right w:val="single" w:color="000000" w:sz="8" w:space="0"/>
            </w:tcBorders>
            <w:vAlign w:val="center"/>
          </w:tcPr>
          <w:p w14:paraId="2C2585B5">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2"/>
                <w:sz w:val="21"/>
                <w:szCs w:val="21"/>
              </w:rPr>
              <w:t>113.389291</w:t>
            </w:r>
          </w:p>
        </w:tc>
        <w:tc>
          <w:tcPr>
            <w:tcW w:w="711" w:type="pct"/>
            <w:tcBorders>
              <w:top w:val="single" w:color="000000" w:sz="8" w:space="0"/>
              <w:left w:val="single" w:color="000000" w:sz="8" w:space="0"/>
              <w:bottom w:val="single" w:color="000000" w:sz="8" w:space="0"/>
            </w:tcBorders>
            <w:vAlign w:val="center"/>
          </w:tcPr>
          <w:p w14:paraId="7C4818B5">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2"/>
                <w:sz w:val="21"/>
                <w:szCs w:val="21"/>
              </w:rPr>
              <w:t>27.442161</w:t>
            </w:r>
          </w:p>
        </w:tc>
      </w:tr>
      <w:tr w14:paraId="75A4F764">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23" w:hRule="atLeast"/>
        </w:trPr>
        <w:tc>
          <w:tcPr>
            <w:tcW w:w="341" w:type="pct"/>
            <w:tcBorders>
              <w:top w:val="single" w:color="000000" w:sz="8" w:space="0"/>
              <w:bottom w:val="single" w:color="000000" w:sz="8" w:space="0"/>
              <w:right w:val="single" w:color="000000" w:sz="8" w:space="0"/>
            </w:tcBorders>
            <w:vAlign w:val="center"/>
          </w:tcPr>
          <w:p w14:paraId="7CAC8644">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5"/>
                <w:sz w:val="21"/>
                <w:szCs w:val="21"/>
              </w:rPr>
              <w:t>290</w:t>
            </w:r>
          </w:p>
        </w:tc>
        <w:tc>
          <w:tcPr>
            <w:tcW w:w="587" w:type="pct"/>
            <w:tcBorders>
              <w:top w:val="single" w:color="000000" w:sz="8" w:space="0"/>
              <w:left w:val="single" w:color="000000" w:sz="8" w:space="0"/>
              <w:bottom w:val="single" w:color="000000" w:sz="8" w:space="0"/>
              <w:right w:val="single" w:color="000000" w:sz="8" w:space="0"/>
            </w:tcBorders>
            <w:vAlign w:val="center"/>
          </w:tcPr>
          <w:p w14:paraId="1C0480D9">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4"/>
                <w:sz w:val="21"/>
                <w:szCs w:val="21"/>
              </w:rPr>
              <w:t>株洲市</w:t>
            </w:r>
          </w:p>
        </w:tc>
        <w:tc>
          <w:tcPr>
            <w:tcW w:w="584" w:type="pct"/>
            <w:tcBorders>
              <w:top w:val="single" w:color="000000" w:sz="8" w:space="0"/>
              <w:left w:val="single" w:color="000000" w:sz="8" w:space="0"/>
              <w:bottom w:val="single" w:color="000000" w:sz="8" w:space="0"/>
              <w:right w:val="single" w:color="000000" w:sz="8" w:space="0"/>
            </w:tcBorders>
            <w:vAlign w:val="center"/>
          </w:tcPr>
          <w:p w14:paraId="43DD9E1C">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4"/>
                <w:sz w:val="21"/>
                <w:szCs w:val="21"/>
              </w:rPr>
              <w:t>醴陵市</w:t>
            </w:r>
          </w:p>
        </w:tc>
        <w:tc>
          <w:tcPr>
            <w:tcW w:w="320" w:type="pct"/>
            <w:tcBorders>
              <w:top w:val="single" w:color="000000" w:sz="8" w:space="0"/>
              <w:left w:val="single" w:color="000000" w:sz="8" w:space="0"/>
              <w:bottom w:val="single" w:color="000000" w:sz="8" w:space="0"/>
              <w:right w:val="single" w:color="000000" w:sz="8" w:space="0"/>
            </w:tcBorders>
            <w:vAlign w:val="center"/>
          </w:tcPr>
          <w:p w14:paraId="7B3A27AB">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4"/>
                <w:sz w:val="21"/>
                <w:szCs w:val="21"/>
              </w:rPr>
              <w:t>S327</w:t>
            </w:r>
          </w:p>
        </w:tc>
        <w:tc>
          <w:tcPr>
            <w:tcW w:w="295" w:type="pct"/>
            <w:tcBorders>
              <w:top w:val="single" w:color="000000" w:sz="8" w:space="0"/>
              <w:left w:val="single" w:color="000000" w:sz="8" w:space="0"/>
              <w:bottom w:val="single" w:color="000000" w:sz="8" w:space="0"/>
              <w:right w:val="single" w:color="000000" w:sz="8" w:space="0"/>
            </w:tcBorders>
            <w:vAlign w:val="center"/>
          </w:tcPr>
          <w:p w14:paraId="24B3689A">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10"/>
                <w:sz w:val="21"/>
                <w:szCs w:val="21"/>
              </w:rPr>
              <w:t>8</w:t>
            </w:r>
          </w:p>
        </w:tc>
        <w:tc>
          <w:tcPr>
            <w:tcW w:w="412" w:type="pct"/>
            <w:tcBorders>
              <w:top w:val="single" w:color="000000" w:sz="8" w:space="0"/>
              <w:left w:val="single" w:color="000000" w:sz="8" w:space="0"/>
              <w:bottom w:val="single" w:color="000000" w:sz="8" w:space="0"/>
              <w:right w:val="single" w:color="000000" w:sz="8" w:space="0"/>
            </w:tcBorders>
            <w:vAlign w:val="center"/>
          </w:tcPr>
          <w:p w14:paraId="2EBB306B">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pacing w:val="-10"/>
                <w:sz w:val="21"/>
                <w:szCs w:val="21"/>
              </w:rPr>
              <w:t>级</w:t>
            </w:r>
          </w:p>
        </w:tc>
        <w:tc>
          <w:tcPr>
            <w:tcW w:w="496" w:type="pct"/>
            <w:tcBorders>
              <w:top w:val="single" w:color="000000" w:sz="8" w:space="0"/>
              <w:left w:val="single" w:color="000000" w:sz="8" w:space="0"/>
              <w:bottom w:val="single" w:color="000000" w:sz="8" w:space="0"/>
              <w:right w:val="single" w:color="000000" w:sz="8" w:space="0"/>
            </w:tcBorders>
            <w:vAlign w:val="center"/>
          </w:tcPr>
          <w:p w14:paraId="0D5C165B">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2"/>
                <w:sz w:val="21"/>
                <w:szCs w:val="21"/>
              </w:rPr>
              <w:t>40.846</w:t>
            </w:r>
          </w:p>
        </w:tc>
        <w:tc>
          <w:tcPr>
            <w:tcW w:w="593" w:type="pct"/>
            <w:tcBorders>
              <w:top w:val="single" w:color="000000" w:sz="8" w:space="0"/>
              <w:left w:val="single" w:color="000000" w:sz="8" w:space="0"/>
              <w:bottom w:val="single" w:color="000000" w:sz="8" w:space="0"/>
              <w:right w:val="single" w:color="000000" w:sz="8" w:space="0"/>
            </w:tcBorders>
            <w:vAlign w:val="center"/>
          </w:tcPr>
          <w:p w14:paraId="5E035E7E">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z w:val="21"/>
                <w:szCs w:val="21"/>
              </w:rPr>
              <w:t>新建II</w:t>
            </w:r>
            <w:r>
              <w:rPr>
                <w:rFonts w:hint="eastAsia" w:ascii="宋体" w:hAnsi="宋体" w:eastAsia="宋体" w:cs="宋体"/>
                <w:spacing w:val="-3"/>
                <w:sz w:val="21"/>
                <w:szCs w:val="21"/>
              </w:rPr>
              <w:t>类站路段</w:t>
            </w:r>
          </w:p>
        </w:tc>
        <w:tc>
          <w:tcPr>
            <w:tcW w:w="656" w:type="pct"/>
            <w:tcBorders>
              <w:top w:val="single" w:color="000000" w:sz="8" w:space="0"/>
              <w:left w:val="single" w:color="000000" w:sz="8" w:space="0"/>
              <w:bottom w:val="single" w:color="000000" w:sz="8" w:space="0"/>
              <w:right w:val="single" w:color="000000" w:sz="8" w:space="0"/>
            </w:tcBorders>
            <w:vAlign w:val="center"/>
          </w:tcPr>
          <w:p w14:paraId="170E9CF7">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2"/>
                <w:sz w:val="21"/>
                <w:szCs w:val="21"/>
              </w:rPr>
              <w:t>113.280889</w:t>
            </w:r>
          </w:p>
        </w:tc>
        <w:tc>
          <w:tcPr>
            <w:tcW w:w="711" w:type="pct"/>
            <w:tcBorders>
              <w:top w:val="single" w:color="000000" w:sz="8" w:space="0"/>
              <w:left w:val="single" w:color="000000" w:sz="8" w:space="0"/>
              <w:bottom w:val="single" w:color="000000" w:sz="8" w:space="0"/>
            </w:tcBorders>
            <w:vAlign w:val="center"/>
          </w:tcPr>
          <w:p w14:paraId="4D2F8B67">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2"/>
                <w:sz w:val="21"/>
                <w:szCs w:val="21"/>
              </w:rPr>
              <w:t>27.736312</w:t>
            </w:r>
          </w:p>
        </w:tc>
      </w:tr>
      <w:tr w14:paraId="188B8C01">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23" w:hRule="atLeast"/>
        </w:trPr>
        <w:tc>
          <w:tcPr>
            <w:tcW w:w="341" w:type="pct"/>
            <w:tcBorders>
              <w:top w:val="single" w:color="000000" w:sz="8" w:space="0"/>
              <w:bottom w:val="single" w:color="000000" w:sz="8" w:space="0"/>
              <w:right w:val="single" w:color="000000" w:sz="8" w:space="0"/>
            </w:tcBorders>
            <w:vAlign w:val="center"/>
          </w:tcPr>
          <w:p w14:paraId="4827E78F">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5"/>
                <w:sz w:val="21"/>
                <w:szCs w:val="21"/>
              </w:rPr>
              <w:t>291</w:t>
            </w:r>
          </w:p>
        </w:tc>
        <w:tc>
          <w:tcPr>
            <w:tcW w:w="587" w:type="pct"/>
            <w:tcBorders>
              <w:top w:val="single" w:color="000000" w:sz="8" w:space="0"/>
              <w:left w:val="single" w:color="000000" w:sz="8" w:space="0"/>
              <w:bottom w:val="single" w:color="000000" w:sz="8" w:space="0"/>
              <w:right w:val="single" w:color="000000" w:sz="8" w:space="0"/>
            </w:tcBorders>
            <w:vAlign w:val="center"/>
          </w:tcPr>
          <w:p w14:paraId="2E970D7E">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4"/>
                <w:sz w:val="21"/>
                <w:szCs w:val="21"/>
              </w:rPr>
              <w:t>株洲市</w:t>
            </w:r>
          </w:p>
        </w:tc>
        <w:tc>
          <w:tcPr>
            <w:tcW w:w="584" w:type="pct"/>
            <w:tcBorders>
              <w:top w:val="single" w:color="000000" w:sz="8" w:space="0"/>
              <w:left w:val="single" w:color="000000" w:sz="8" w:space="0"/>
              <w:bottom w:val="single" w:color="000000" w:sz="8" w:space="0"/>
              <w:right w:val="single" w:color="000000" w:sz="8" w:space="0"/>
            </w:tcBorders>
            <w:vAlign w:val="center"/>
          </w:tcPr>
          <w:p w14:paraId="7CB94BEE">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4"/>
                <w:sz w:val="21"/>
                <w:szCs w:val="21"/>
              </w:rPr>
              <w:t>醴陵市</w:t>
            </w:r>
          </w:p>
        </w:tc>
        <w:tc>
          <w:tcPr>
            <w:tcW w:w="320" w:type="pct"/>
            <w:tcBorders>
              <w:top w:val="single" w:color="000000" w:sz="8" w:space="0"/>
              <w:left w:val="single" w:color="000000" w:sz="8" w:space="0"/>
              <w:bottom w:val="single" w:color="000000" w:sz="8" w:space="0"/>
              <w:right w:val="single" w:color="000000" w:sz="8" w:space="0"/>
            </w:tcBorders>
            <w:vAlign w:val="center"/>
          </w:tcPr>
          <w:p w14:paraId="597D5633">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4"/>
                <w:sz w:val="21"/>
                <w:szCs w:val="21"/>
              </w:rPr>
              <w:t>S330</w:t>
            </w:r>
          </w:p>
        </w:tc>
        <w:tc>
          <w:tcPr>
            <w:tcW w:w="295" w:type="pct"/>
            <w:tcBorders>
              <w:top w:val="single" w:color="000000" w:sz="8" w:space="0"/>
              <w:left w:val="single" w:color="000000" w:sz="8" w:space="0"/>
              <w:bottom w:val="single" w:color="000000" w:sz="8" w:space="0"/>
              <w:right w:val="single" w:color="000000" w:sz="8" w:space="0"/>
            </w:tcBorders>
            <w:vAlign w:val="center"/>
          </w:tcPr>
          <w:p w14:paraId="16D244FB">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10"/>
                <w:sz w:val="21"/>
                <w:szCs w:val="21"/>
              </w:rPr>
              <w:t>2</w:t>
            </w:r>
          </w:p>
        </w:tc>
        <w:tc>
          <w:tcPr>
            <w:tcW w:w="412" w:type="pct"/>
            <w:tcBorders>
              <w:top w:val="single" w:color="000000" w:sz="8" w:space="0"/>
              <w:left w:val="single" w:color="000000" w:sz="8" w:space="0"/>
              <w:bottom w:val="single" w:color="000000" w:sz="8" w:space="0"/>
              <w:right w:val="single" w:color="000000" w:sz="8" w:space="0"/>
            </w:tcBorders>
            <w:vAlign w:val="center"/>
          </w:tcPr>
          <w:p w14:paraId="4F2590F5">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pacing w:val="-10"/>
                <w:sz w:val="21"/>
                <w:szCs w:val="21"/>
              </w:rPr>
              <w:t>级</w:t>
            </w:r>
          </w:p>
        </w:tc>
        <w:tc>
          <w:tcPr>
            <w:tcW w:w="496" w:type="pct"/>
            <w:tcBorders>
              <w:top w:val="single" w:color="000000" w:sz="8" w:space="0"/>
              <w:left w:val="single" w:color="000000" w:sz="8" w:space="0"/>
              <w:bottom w:val="single" w:color="000000" w:sz="8" w:space="0"/>
              <w:right w:val="single" w:color="000000" w:sz="8" w:space="0"/>
            </w:tcBorders>
            <w:vAlign w:val="center"/>
          </w:tcPr>
          <w:p w14:paraId="579D1E9C">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2"/>
                <w:sz w:val="21"/>
                <w:szCs w:val="21"/>
              </w:rPr>
              <w:t>18.918</w:t>
            </w:r>
          </w:p>
        </w:tc>
        <w:tc>
          <w:tcPr>
            <w:tcW w:w="593" w:type="pct"/>
            <w:tcBorders>
              <w:top w:val="single" w:color="000000" w:sz="8" w:space="0"/>
              <w:left w:val="single" w:color="000000" w:sz="8" w:space="0"/>
              <w:bottom w:val="single" w:color="000000" w:sz="8" w:space="0"/>
              <w:right w:val="single" w:color="000000" w:sz="8" w:space="0"/>
            </w:tcBorders>
            <w:vAlign w:val="center"/>
          </w:tcPr>
          <w:p w14:paraId="41CA6431">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z w:val="21"/>
                <w:szCs w:val="21"/>
              </w:rPr>
              <w:t>新建II</w:t>
            </w:r>
            <w:r>
              <w:rPr>
                <w:rFonts w:hint="eastAsia" w:ascii="宋体" w:hAnsi="宋体" w:eastAsia="宋体" w:cs="宋体"/>
                <w:spacing w:val="-3"/>
                <w:sz w:val="21"/>
                <w:szCs w:val="21"/>
              </w:rPr>
              <w:t>类站路段</w:t>
            </w:r>
          </w:p>
        </w:tc>
        <w:tc>
          <w:tcPr>
            <w:tcW w:w="656" w:type="pct"/>
            <w:tcBorders>
              <w:top w:val="single" w:color="000000" w:sz="8" w:space="0"/>
              <w:left w:val="single" w:color="000000" w:sz="8" w:space="0"/>
              <w:bottom w:val="single" w:color="000000" w:sz="8" w:space="0"/>
              <w:right w:val="single" w:color="000000" w:sz="8" w:space="0"/>
            </w:tcBorders>
            <w:vAlign w:val="center"/>
          </w:tcPr>
          <w:p w14:paraId="76229773">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2"/>
                <w:sz w:val="21"/>
                <w:szCs w:val="21"/>
              </w:rPr>
              <w:t>113.476505</w:t>
            </w:r>
          </w:p>
        </w:tc>
        <w:tc>
          <w:tcPr>
            <w:tcW w:w="711" w:type="pct"/>
            <w:tcBorders>
              <w:top w:val="single" w:color="000000" w:sz="8" w:space="0"/>
              <w:left w:val="single" w:color="000000" w:sz="8" w:space="0"/>
              <w:bottom w:val="single" w:color="000000" w:sz="8" w:space="0"/>
            </w:tcBorders>
            <w:vAlign w:val="center"/>
          </w:tcPr>
          <w:p w14:paraId="40FA5055">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2"/>
                <w:sz w:val="21"/>
                <w:szCs w:val="21"/>
              </w:rPr>
              <w:t>27.474761</w:t>
            </w:r>
          </w:p>
        </w:tc>
      </w:tr>
      <w:tr w14:paraId="227E1D7E">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23" w:hRule="atLeast"/>
        </w:trPr>
        <w:tc>
          <w:tcPr>
            <w:tcW w:w="341" w:type="pct"/>
            <w:tcBorders>
              <w:top w:val="single" w:color="000000" w:sz="8" w:space="0"/>
              <w:bottom w:val="single" w:color="000000" w:sz="8" w:space="0"/>
              <w:right w:val="single" w:color="000000" w:sz="8" w:space="0"/>
            </w:tcBorders>
            <w:vAlign w:val="center"/>
          </w:tcPr>
          <w:p w14:paraId="6B7228B2">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5"/>
                <w:sz w:val="21"/>
                <w:szCs w:val="21"/>
              </w:rPr>
              <w:t>292</w:t>
            </w:r>
          </w:p>
        </w:tc>
        <w:tc>
          <w:tcPr>
            <w:tcW w:w="587" w:type="pct"/>
            <w:tcBorders>
              <w:top w:val="single" w:color="000000" w:sz="8" w:space="0"/>
              <w:left w:val="single" w:color="000000" w:sz="8" w:space="0"/>
              <w:bottom w:val="single" w:color="000000" w:sz="8" w:space="0"/>
              <w:right w:val="single" w:color="000000" w:sz="8" w:space="0"/>
            </w:tcBorders>
            <w:vAlign w:val="center"/>
          </w:tcPr>
          <w:p w14:paraId="12C1CBF4">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4"/>
                <w:sz w:val="21"/>
                <w:szCs w:val="21"/>
              </w:rPr>
              <w:t>株洲市</w:t>
            </w:r>
          </w:p>
        </w:tc>
        <w:tc>
          <w:tcPr>
            <w:tcW w:w="584" w:type="pct"/>
            <w:tcBorders>
              <w:top w:val="single" w:color="000000" w:sz="8" w:space="0"/>
              <w:left w:val="single" w:color="000000" w:sz="8" w:space="0"/>
              <w:bottom w:val="single" w:color="000000" w:sz="8" w:space="0"/>
              <w:right w:val="single" w:color="000000" w:sz="8" w:space="0"/>
            </w:tcBorders>
            <w:vAlign w:val="center"/>
          </w:tcPr>
          <w:p w14:paraId="4734EF44">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4"/>
                <w:sz w:val="21"/>
                <w:szCs w:val="21"/>
              </w:rPr>
              <w:t>渌口区</w:t>
            </w:r>
          </w:p>
        </w:tc>
        <w:tc>
          <w:tcPr>
            <w:tcW w:w="320" w:type="pct"/>
            <w:tcBorders>
              <w:top w:val="single" w:color="000000" w:sz="8" w:space="0"/>
              <w:left w:val="single" w:color="000000" w:sz="8" w:space="0"/>
              <w:bottom w:val="single" w:color="000000" w:sz="8" w:space="0"/>
              <w:right w:val="single" w:color="000000" w:sz="8" w:space="0"/>
            </w:tcBorders>
            <w:vAlign w:val="center"/>
          </w:tcPr>
          <w:p w14:paraId="09913042">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4"/>
                <w:sz w:val="21"/>
                <w:szCs w:val="21"/>
              </w:rPr>
              <w:t>S207</w:t>
            </w:r>
          </w:p>
        </w:tc>
        <w:tc>
          <w:tcPr>
            <w:tcW w:w="295" w:type="pct"/>
            <w:tcBorders>
              <w:top w:val="single" w:color="000000" w:sz="8" w:space="0"/>
              <w:left w:val="single" w:color="000000" w:sz="8" w:space="0"/>
              <w:bottom w:val="single" w:color="000000" w:sz="8" w:space="0"/>
              <w:right w:val="single" w:color="000000" w:sz="8" w:space="0"/>
            </w:tcBorders>
            <w:vAlign w:val="center"/>
          </w:tcPr>
          <w:p w14:paraId="0FA4C4C9">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10"/>
                <w:sz w:val="21"/>
                <w:szCs w:val="21"/>
              </w:rPr>
              <w:t>2</w:t>
            </w:r>
          </w:p>
        </w:tc>
        <w:tc>
          <w:tcPr>
            <w:tcW w:w="412" w:type="pct"/>
            <w:tcBorders>
              <w:top w:val="single" w:color="000000" w:sz="8" w:space="0"/>
              <w:left w:val="single" w:color="000000" w:sz="8" w:space="0"/>
              <w:bottom w:val="single" w:color="000000" w:sz="8" w:space="0"/>
              <w:right w:val="single" w:color="000000" w:sz="8" w:space="0"/>
            </w:tcBorders>
            <w:vAlign w:val="center"/>
          </w:tcPr>
          <w:p w14:paraId="3251593D">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pacing w:val="-10"/>
                <w:sz w:val="21"/>
                <w:szCs w:val="21"/>
              </w:rPr>
              <w:t>级</w:t>
            </w:r>
          </w:p>
        </w:tc>
        <w:tc>
          <w:tcPr>
            <w:tcW w:w="496" w:type="pct"/>
            <w:tcBorders>
              <w:top w:val="single" w:color="000000" w:sz="8" w:space="0"/>
              <w:left w:val="single" w:color="000000" w:sz="8" w:space="0"/>
              <w:bottom w:val="single" w:color="000000" w:sz="8" w:space="0"/>
              <w:right w:val="single" w:color="000000" w:sz="8" w:space="0"/>
            </w:tcBorders>
            <w:vAlign w:val="center"/>
          </w:tcPr>
          <w:p w14:paraId="76DCA61F">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2"/>
                <w:sz w:val="21"/>
                <w:szCs w:val="21"/>
              </w:rPr>
              <w:t>113.510</w:t>
            </w:r>
          </w:p>
        </w:tc>
        <w:tc>
          <w:tcPr>
            <w:tcW w:w="593" w:type="pct"/>
            <w:tcBorders>
              <w:top w:val="single" w:color="000000" w:sz="8" w:space="0"/>
              <w:left w:val="single" w:color="000000" w:sz="8" w:space="0"/>
              <w:bottom w:val="single" w:color="000000" w:sz="8" w:space="0"/>
              <w:right w:val="single" w:color="000000" w:sz="8" w:space="0"/>
            </w:tcBorders>
            <w:vAlign w:val="center"/>
          </w:tcPr>
          <w:p w14:paraId="7EDF66DA">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z w:val="21"/>
                <w:szCs w:val="21"/>
              </w:rPr>
              <w:t>新建II</w:t>
            </w:r>
            <w:r>
              <w:rPr>
                <w:rFonts w:hint="eastAsia" w:ascii="宋体" w:hAnsi="宋体" w:eastAsia="宋体" w:cs="宋体"/>
                <w:spacing w:val="-3"/>
                <w:sz w:val="21"/>
                <w:szCs w:val="21"/>
              </w:rPr>
              <w:t>类站路段</w:t>
            </w:r>
          </w:p>
        </w:tc>
        <w:tc>
          <w:tcPr>
            <w:tcW w:w="656" w:type="pct"/>
            <w:tcBorders>
              <w:top w:val="single" w:color="000000" w:sz="8" w:space="0"/>
              <w:left w:val="single" w:color="000000" w:sz="8" w:space="0"/>
              <w:bottom w:val="single" w:color="000000" w:sz="8" w:space="0"/>
              <w:right w:val="single" w:color="000000" w:sz="8" w:space="0"/>
            </w:tcBorders>
            <w:vAlign w:val="center"/>
          </w:tcPr>
          <w:p w14:paraId="1BEAAD14">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2"/>
                <w:sz w:val="21"/>
                <w:szCs w:val="21"/>
              </w:rPr>
              <w:t>113.143867</w:t>
            </w:r>
          </w:p>
        </w:tc>
        <w:tc>
          <w:tcPr>
            <w:tcW w:w="711" w:type="pct"/>
            <w:tcBorders>
              <w:top w:val="single" w:color="000000" w:sz="8" w:space="0"/>
              <w:left w:val="single" w:color="000000" w:sz="8" w:space="0"/>
              <w:bottom w:val="single" w:color="000000" w:sz="8" w:space="0"/>
            </w:tcBorders>
            <w:vAlign w:val="center"/>
          </w:tcPr>
          <w:p w14:paraId="4B21A359">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2"/>
                <w:sz w:val="21"/>
                <w:szCs w:val="21"/>
              </w:rPr>
              <w:t>27.486772</w:t>
            </w:r>
          </w:p>
        </w:tc>
      </w:tr>
      <w:tr w14:paraId="2C7D0A77">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23" w:hRule="atLeast"/>
        </w:trPr>
        <w:tc>
          <w:tcPr>
            <w:tcW w:w="341" w:type="pct"/>
            <w:tcBorders>
              <w:top w:val="single" w:color="000000" w:sz="8" w:space="0"/>
              <w:bottom w:val="single" w:color="000000" w:sz="8" w:space="0"/>
              <w:right w:val="single" w:color="000000" w:sz="8" w:space="0"/>
            </w:tcBorders>
            <w:vAlign w:val="center"/>
          </w:tcPr>
          <w:p w14:paraId="367F03B9">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5"/>
                <w:sz w:val="21"/>
                <w:szCs w:val="21"/>
              </w:rPr>
              <w:t>293</w:t>
            </w:r>
          </w:p>
        </w:tc>
        <w:tc>
          <w:tcPr>
            <w:tcW w:w="587" w:type="pct"/>
            <w:tcBorders>
              <w:top w:val="single" w:color="000000" w:sz="8" w:space="0"/>
              <w:left w:val="single" w:color="000000" w:sz="8" w:space="0"/>
              <w:bottom w:val="single" w:color="000000" w:sz="8" w:space="0"/>
              <w:right w:val="single" w:color="000000" w:sz="8" w:space="0"/>
            </w:tcBorders>
            <w:vAlign w:val="center"/>
          </w:tcPr>
          <w:p w14:paraId="3E7F5A3F">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4"/>
                <w:sz w:val="21"/>
                <w:szCs w:val="21"/>
              </w:rPr>
              <w:t>株洲市</w:t>
            </w:r>
          </w:p>
        </w:tc>
        <w:tc>
          <w:tcPr>
            <w:tcW w:w="584" w:type="pct"/>
            <w:tcBorders>
              <w:top w:val="single" w:color="000000" w:sz="8" w:space="0"/>
              <w:left w:val="single" w:color="000000" w:sz="8" w:space="0"/>
              <w:bottom w:val="single" w:color="000000" w:sz="8" w:space="0"/>
              <w:right w:val="single" w:color="000000" w:sz="8" w:space="0"/>
            </w:tcBorders>
            <w:vAlign w:val="center"/>
          </w:tcPr>
          <w:p w14:paraId="156D2884">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4"/>
                <w:sz w:val="21"/>
                <w:szCs w:val="21"/>
              </w:rPr>
              <w:t>炎陵县</w:t>
            </w:r>
          </w:p>
        </w:tc>
        <w:tc>
          <w:tcPr>
            <w:tcW w:w="320" w:type="pct"/>
            <w:tcBorders>
              <w:top w:val="single" w:color="000000" w:sz="8" w:space="0"/>
              <w:left w:val="single" w:color="000000" w:sz="8" w:space="0"/>
              <w:bottom w:val="single" w:color="000000" w:sz="8" w:space="0"/>
              <w:right w:val="single" w:color="000000" w:sz="8" w:space="0"/>
            </w:tcBorders>
            <w:vAlign w:val="center"/>
          </w:tcPr>
          <w:p w14:paraId="2EAA7315">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4"/>
                <w:sz w:val="21"/>
                <w:szCs w:val="21"/>
              </w:rPr>
              <w:t>S204</w:t>
            </w:r>
          </w:p>
        </w:tc>
        <w:tc>
          <w:tcPr>
            <w:tcW w:w="295" w:type="pct"/>
            <w:tcBorders>
              <w:top w:val="single" w:color="000000" w:sz="8" w:space="0"/>
              <w:left w:val="single" w:color="000000" w:sz="8" w:space="0"/>
              <w:bottom w:val="single" w:color="000000" w:sz="8" w:space="0"/>
              <w:right w:val="single" w:color="000000" w:sz="8" w:space="0"/>
            </w:tcBorders>
            <w:vAlign w:val="center"/>
          </w:tcPr>
          <w:p w14:paraId="1DDF6D12">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10"/>
                <w:sz w:val="21"/>
                <w:szCs w:val="21"/>
              </w:rPr>
              <w:t>2</w:t>
            </w:r>
          </w:p>
        </w:tc>
        <w:tc>
          <w:tcPr>
            <w:tcW w:w="412" w:type="pct"/>
            <w:tcBorders>
              <w:top w:val="single" w:color="000000" w:sz="8" w:space="0"/>
              <w:left w:val="single" w:color="000000" w:sz="8" w:space="0"/>
              <w:bottom w:val="single" w:color="000000" w:sz="8" w:space="0"/>
              <w:right w:val="single" w:color="000000" w:sz="8" w:space="0"/>
            </w:tcBorders>
            <w:vAlign w:val="center"/>
          </w:tcPr>
          <w:p w14:paraId="56C388A1">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pacing w:val="-10"/>
                <w:sz w:val="21"/>
                <w:szCs w:val="21"/>
              </w:rPr>
              <w:t>级</w:t>
            </w:r>
          </w:p>
        </w:tc>
        <w:tc>
          <w:tcPr>
            <w:tcW w:w="496" w:type="pct"/>
            <w:tcBorders>
              <w:top w:val="single" w:color="000000" w:sz="8" w:space="0"/>
              <w:left w:val="single" w:color="000000" w:sz="8" w:space="0"/>
              <w:bottom w:val="single" w:color="000000" w:sz="8" w:space="0"/>
              <w:right w:val="single" w:color="000000" w:sz="8" w:space="0"/>
            </w:tcBorders>
            <w:vAlign w:val="center"/>
          </w:tcPr>
          <w:p w14:paraId="01B27F07">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2"/>
                <w:sz w:val="21"/>
                <w:szCs w:val="21"/>
              </w:rPr>
              <w:t>462.400</w:t>
            </w:r>
          </w:p>
        </w:tc>
        <w:tc>
          <w:tcPr>
            <w:tcW w:w="593" w:type="pct"/>
            <w:tcBorders>
              <w:top w:val="single" w:color="000000" w:sz="8" w:space="0"/>
              <w:left w:val="single" w:color="000000" w:sz="8" w:space="0"/>
              <w:bottom w:val="single" w:color="000000" w:sz="8" w:space="0"/>
              <w:right w:val="single" w:color="000000" w:sz="8" w:space="0"/>
            </w:tcBorders>
            <w:vAlign w:val="center"/>
          </w:tcPr>
          <w:p w14:paraId="58274F35">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z w:val="21"/>
                <w:szCs w:val="21"/>
              </w:rPr>
              <w:t>新建I</w:t>
            </w:r>
            <w:r>
              <w:rPr>
                <w:rFonts w:hint="eastAsia" w:ascii="宋体" w:hAnsi="宋体" w:eastAsia="宋体" w:cs="宋体"/>
                <w:spacing w:val="-3"/>
                <w:sz w:val="21"/>
                <w:szCs w:val="21"/>
              </w:rPr>
              <w:t>类站路段</w:t>
            </w:r>
          </w:p>
        </w:tc>
        <w:tc>
          <w:tcPr>
            <w:tcW w:w="656" w:type="pct"/>
            <w:tcBorders>
              <w:top w:val="single" w:color="000000" w:sz="8" w:space="0"/>
              <w:left w:val="single" w:color="000000" w:sz="8" w:space="0"/>
              <w:bottom w:val="single" w:color="000000" w:sz="8" w:space="0"/>
              <w:right w:val="single" w:color="000000" w:sz="8" w:space="0"/>
            </w:tcBorders>
            <w:vAlign w:val="center"/>
          </w:tcPr>
          <w:p w14:paraId="1BDED304">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2"/>
                <w:sz w:val="21"/>
                <w:szCs w:val="21"/>
              </w:rPr>
              <w:t>113.761557</w:t>
            </w:r>
          </w:p>
        </w:tc>
        <w:tc>
          <w:tcPr>
            <w:tcW w:w="711" w:type="pct"/>
            <w:tcBorders>
              <w:top w:val="single" w:color="000000" w:sz="8" w:space="0"/>
              <w:left w:val="single" w:color="000000" w:sz="8" w:space="0"/>
              <w:bottom w:val="single" w:color="000000" w:sz="8" w:space="0"/>
            </w:tcBorders>
            <w:vAlign w:val="center"/>
          </w:tcPr>
          <w:p w14:paraId="7A23C125">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2"/>
                <w:sz w:val="21"/>
                <w:szCs w:val="21"/>
              </w:rPr>
              <w:t>26.254572</w:t>
            </w:r>
          </w:p>
        </w:tc>
      </w:tr>
      <w:tr w14:paraId="59767542">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23" w:hRule="atLeast"/>
        </w:trPr>
        <w:tc>
          <w:tcPr>
            <w:tcW w:w="341" w:type="pct"/>
            <w:tcBorders>
              <w:top w:val="single" w:color="000000" w:sz="8" w:space="0"/>
              <w:bottom w:val="single" w:color="000000" w:sz="8" w:space="0"/>
              <w:right w:val="single" w:color="000000" w:sz="8" w:space="0"/>
            </w:tcBorders>
            <w:vAlign w:val="center"/>
          </w:tcPr>
          <w:p w14:paraId="3C773F5F">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5"/>
                <w:sz w:val="21"/>
                <w:szCs w:val="21"/>
              </w:rPr>
              <w:t>294</w:t>
            </w:r>
          </w:p>
        </w:tc>
        <w:tc>
          <w:tcPr>
            <w:tcW w:w="587" w:type="pct"/>
            <w:tcBorders>
              <w:top w:val="single" w:color="000000" w:sz="8" w:space="0"/>
              <w:left w:val="single" w:color="000000" w:sz="8" w:space="0"/>
              <w:bottom w:val="single" w:color="000000" w:sz="8" w:space="0"/>
              <w:right w:val="single" w:color="000000" w:sz="8" w:space="0"/>
            </w:tcBorders>
            <w:vAlign w:val="center"/>
          </w:tcPr>
          <w:p w14:paraId="4542F154">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4"/>
                <w:sz w:val="21"/>
                <w:szCs w:val="21"/>
              </w:rPr>
              <w:t>株洲市</w:t>
            </w:r>
          </w:p>
        </w:tc>
        <w:tc>
          <w:tcPr>
            <w:tcW w:w="584" w:type="pct"/>
            <w:tcBorders>
              <w:top w:val="single" w:color="000000" w:sz="8" w:space="0"/>
              <w:left w:val="single" w:color="000000" w:sz="8" w:space="0"/>
              <w:bottom w:val="single" w:color="000000" w:sz="8" w:space="0"/>
              <w:right w:val="single" w:color="000000" w:sz="8" w:space="0"/>
            </w:tcBorders>
            <w:vAlign w:val="center"/>
          </w:tcPr>
          <w:p w14:paraId="6DFC8E27">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4"/>
                <w:sz w:val="21"/>
                <w:szCs w:val="21"/>
              </w:rPr>
              <w:t>炎陵县</w:t>
            </w:r>
          </w:p>
        </w:tc>
        <w:tc>
          <w:tcPr>
            <w:tcW w:w="320" w:type="pct"/>
            <w:tcBorders>
              <w:top w:val="single" w:color="000000" w:sz="8" w:space="0"/>
              <w:left w:val="single" w:color="000000" w:sz="8" w:space="0"/>
              <w:bottom w:val="single" w:color="000000" w:sz="8" w:space="0"/>
              <w:right w:val="single" w:color="000000" w:sz="8" w:space="0"/>
            </w:tcBorders>
            <w:vAlign w:val="center"/>
          </w:tcPr>
          <w:p w14:paraId="35F53753">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4"/>
                <w:sz w:val="21"/>
                <w:szCs w:val="21"/>
              </w:rPr>
              <w:t>S563</w:t>
            </w:r>
          </w:p>
        </w:tc>
        <w:tc>
          <w:tcPr>
            <w:tcW w:w="295" w:type="pct"/>
            <w:tcBorders>
              <w:top w:val="single" w:color="000000" w:sz="8" w:space="0"/>
              <w:left w:val="single" w:color="000000" w:sz="8" w:space="0"/>
              <w:bottom w:val="single" w:color="000000" w:sz="8" w:space="0"/>
              <w:right w:val="single" w:color="000000" w:sz="8" w:space="0"/>
            </w:tcBorders>
            <w:vAlign w:val="center"/>
          </w:tcPr>
          <w:p w14:paraId="46BAD27C">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10"/>
                <w:sz w:val="21"/>
                <w:szCs w:val="21"/>
              </w:rPr>
              <w:t>2</w:t>
            </w:r>
          </w:p>
        </w:tc>
        <w:tc>
          <w:tcPr>
            <w:tcW w:w="412" w:type="pct"/>
            <w:tcBorders>
              <w:top w:val="single" w:color="000000" w:sz="8" w:space="0"/>
              <w:left w:val="single" w:color="000000" w:sz="8" w:space="0"/>
              <w:bottom w:val="single" w:color="000000" w:sz="8" w:space="0"/>
              <w:right w:val="single" w:color="000000" w:sz="8" w:space="0"/>
            </w:tcBorders>
            <w:vAlign w:val="center"/>
          </w:tcPr>
          <w:p w14:paraId="7951EB60">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pacing w:val="-10"/>
                <w:sz w:val="21"/>
                <w:szCs w:val="21"/>
              </w:rPr>
              <w:t>级</w:t>
            </w:r>
          </w:p>
        </w:tc>
        <w:tc>
          <w:tcPr>
            <w:tcW w:w="496" w:type="pct"/>
            <w:tcBorders>
              <w:top w:val="single" w:color="000000" w:sz="8" w:space="0"/>
              <w:left w:val="single" w:color="000000" w:sz="8" w:space="0"/>
              <w:bottom w:val="single" w:color="000000" w:sz="8" w:space="0"/>
              <w:right w:val="single" w:color="000000" w:sz="8" w:space="0"/>
            </w:tcBorders>
            <w:vAlign w:val="center"/>
          </w:tcPr>
          <w:p w14:paraId="767F4998">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2"/>
                <w:sz w:val="21"/>
                <w:szCs w:val="21"/>
              </w:rPr>
              <w:t>3.557</w:t>
            </w:r>
          </w:p>
        </w:tc>
        <w:tc>
          <w:tcPr>
            <w:tcW w:w="593" w:type="pct"/>
            <w:tcBorders>
              <w:top w:val="single" w:color="000000" w:sz="8" w:space="0"/>
              <w:left w:val="single" w:color="000000" w:sz="8" w:space="0"/>
              <w:bottom w:val="single" w:color="000000" w:sz="8" w:space="0"/>
              <w:right w:val="single" w:color="000000" w:sz="8" w:space="0"/>
            </w:tcBorders>
            <w:vAlign w:val="center"/>
          </w:tcPr>
          <w:p w14:paraId="72BF4C7D">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z w:val="21"/>
                <w:szCs w:val="21"/>
              </w:rPr>
              <w:t>新建II</w:t>
            </w:r>
            <w:r>
              <w:rPr>
                <w:rFonts w:hint="eastAsia" w:ascii="宋体" w:hAnsi="宋体" w:eastAsia="宋体" w:cs="宋体"/>
                <w:spacing w:val="-3"/>
                <w:sz w:val="21"/>
                <w:szCs w:val="21"/>
              </w:rPr>
              <w:t>类站路段</w:t>
            </w:r>
          </w:p>
        </w:tc>
        <w:tc>
          <w:tcPr>
            <w:tcW w:w="656" w:type="pct"/>
            <w:tcBorders>
              <w:top w:val="single" w:color="000000" w:sz="8" w:space="0"/>
              <w:left w:val="single" w:color="000000" w:sz="8" w:space="0"/>
              <w:bottom w:val="single" w:color="000000" w:sz="8" w:space="0"/>
              <w:right w:val="single" w:color="000000" w:sz="8" w:space="0"/>
            </w:tcBorders>
            <w:vAlign w:val="center"/>
          </w:tcPr>
          <w:p w14:paraId="611D031D">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2"/>
                <w:sz w:val="21"/>
                <w:szCs w:val="21"/>
              </w:rPr>
              <w:t>113.637489</w:t>
            </w:r>
          </w:p>
        </w:tc>
        <w:tc>
          <w:tcPr>
            <w:tcW w:w="711" w:type="pct"/>
            <w:tcBorders>
              <w:top w:val="single" w:color="000000" w:sz="8" w:space="0"/>
              <w:left w:val="single" w:color="000000" w:sz="8" w:space="0"/>
              <w:bottom w:val="single" w:color="000000" w:sz="8" w:space="0"/>
            </w:tcBorders>
            <w:vAlign w:val="center"/>
          </w:tcPr>
          <w:p w14:paraId="766525D4">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2"/>
                <w:sz w:val="21"/>
                <w:szCs w:val="21"/>
              </w:rPr>
              <w:t>26.403003</w:t>
            </w:r>
          </w:p>
        </w:tc>
      </w:tr>
      <w:tr w14:paraId="5C4C34E2">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23" w:hRule="atLeast"/>
        </w:trPr>
        <w:tc>
          <w:tcPr>
            <w:tcW w:w="341" w:type="pct"/>
            <w:tcBorders>
              <w:top w:val="single" w:color="000000" w:sz="8" w:space="0"/>
              <w:bottom w:val="single" w:color="000000" w:sz="8" w:space="0"/>
              <w:right w:val="single" w:color="000000" w:sz="8" w:space="0"/>
            </w:tcBorders>
            <w:vAlign w:val="center"/>
          </w:tcPr>
          <w:p w14:paraId="43BB4624">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5"/>
                <w:sz w:val="21"/>
                <w:szCs w:val="21"/>
              </w:rPr>
              <w:t>295</w:t>
            </w:r>
          </w:p>
        </w:tc>
        <w:tc>
          <w:tcPr>
            <w:tcW w:w="587" w:type="pct"/>
            <w:tcBorders>
              <w:top w:val="single" w:color="000000" w:sz="8" w:space="0"/>
              <w:left w:val="single" w:color="000000" w:sz="8" w:space="0"/>
              <w:bottom w:val="single" w:color="000000" w:sz="8" w:space="0"/>
              <w:right w:val="single" w:color="000000" w:sz="8" w:space="0"/>
            </w:tcBorders>
            <w:vAlign w:val="center"/>
          </w:tcPr>
          <w:p w14:paraId="7C4B672C">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4"/>
                <w:sz w:val="21"/>
                <w:szCs w:val="21"/>
              </w:rPr>
              <w:t>株洲市</w:t>
            </w:r>
          </w:p>
        </w:tc>
        <w:tc>
          <w:tcPr>
            <w:tcW w:w="584" w:type="pct"/>
            <w:tcBorders>
              <w:top w:val="single" w:color="000000" w:sz="8" w:space="0"/>
              <w:left w:val="single" w:color="000000" w:sz="8" w:space="0"/>
              <w:bottom w:val="single" w:color="000000" w:sz="8" w:space="0"/>
              <w:right w:val="single" w:color="000000" w:sz="8" w:space="0"/>
            </w:tcBorders>
            <w:vAlign w:val="center"/>
          </w:tcPr>
          <w:p w14:paraId="7C594555">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5"/>
                <w:sz w:val="21"/>
                <w:szCs w:val="21"/>
              </w:rPr>
              <w:t>攸县</w:t>
            </w:r>
          </w:p>
        </w:tc>
        <w:tc>
          <w:tcPr>
            <w:tcW w:w="320" w:type="pct"/>
            <w:tcBorders>
              <w:top w:val="single" w:color="000000" w:sz="8" w:space="0"/>
              <w:left w:val="single" w:color="000000" w:sz="8" w:space="0"/>
              <w:bottom w:val="single" w:color="000000" w:sz="8" w:space="0"/>
              <w:right w:val="single" w:color="000000" w:sz="8" w:space="0"/>
            </w:tcBorders>
            <w:vAlign w:val="center"/>
          </w:tcPr>
          <w:p w14:paraId="302E311C">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4"/>
                <w:sz w:val="21"/>
                <w:szCs w:val="21"/>
              </w:rPr>
              <w:t>S204</w:t>
            </w:r>
          </w:p>
        </w:tc>
        <w:tc>
          <w:tcPr>
            <w:tcW w:w="295" w:type="pct"/>
            <w:tcBorders>
              <w:top w:val="single" w:color="000000" w:sz="8" w:space="0"/>
              <w:left w:val="single" w:color="000000" w:sz="8" w:space="0"/>
              <w:bottom w:val="single" w:color="000000" w:sz="8" w:space="0"/>
              <w:right w:val="single" w:color="000000" w:sz="8" w:space="0"/>
            </w:tcBorders>
            <w:vAlign w:val="center"/>
          </w:tcPr>
          <w:p w14:paraId="18F6BD39">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10"/>
                <w:sz w:val="21"/>
                <w:szCs w:val="21"/>
              </w:rPr>
              <w:t>2</w:t>
            </w:r>
          </w:p>
        </w:tc>
        <w:tc>
          <w:tcPr>
            <w:tcW w:w="412" w:type="pct"/>
            <w:tcBorders>
              <w:top w:val="single" w:color="000000" w:sz="8" w:space="0"/>
              <w:left w:val="single" w:color="000000" w:sz="8" w:space="0"/>
              <w:bottom w:val="single" w:color="000000" w:sz="8" w:space="0"/>
              <w:right w:val="single" w:color="000000" w:sz="8" w:space="0"/>
            </w:tcBorders>
            <w:vAlign w:val="center"/>
          </w:tcPr>
          <w:p w14:paraId="5AD3D9D2">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z w:val="21"/>
                <w:szCs w:val="21"/>
              </w:rPr>
              <w:t>3</w:t>
            </w:r>
            <w:r>
              <w:rPr>
                <w:rFonts w:hint="eastAsia" w:ascii="宋体" w:hAnsi="宋体" w:eastAsia="宋体" w:cs="宋体"/>
                <w:spacing w:val="-10"/>
                <w:sz w:val="21"/>
                <w:szCs w:val="21"/>
              </w:rPr>
              <w:t>级</w:t>
            </w:r>
          </w:p>
        </w:tc>
        <w:tc>
          <w:tcPr>
            <w:tcW w:w="496" w:type="pct"/>
            <w:tcBorders>
              <w:top w:val="single" w:color="000000" w:sz="8" w:space="0"/>
              <w:left w:val="single" w:color="000000" w:sz="8" w:space="0"/>
              <w:bottom w:val="single" w:color="000000" w:sz="8" w:space="0"/>
              <w:right w:val="single" w:color="000000" w:sz="8" w:space="0"/>
            </w:tcBorders>
            <w:vAlign w:val="center"/>
          </w:tcPr>
          <w:p w14:paraId="0D3B1059">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2"/>
                <w:sz w:val="21"/>
                <w:szCs w:val="21"/>
              </w:rPr>
              <w:t>202.468</w:t>
            </w:r>
          </w:p>
        </w:tc>
        <w:tc>
          <w:tcPr>
            <w:tcW w:w="593" w:type="pct"/>
            <w:tcBorders>
              <w:top w:val="single" w:color="000000" w:sz="8" w:space="0"/>
              <w:left w:val="single" w:color="000000" w:sz="8" w:space="0"/>
              <w:bottom w:val="single" w:color="000000" w:sz="8" w:space="0"/>
              <w:right w:val="single" w:color="000000" w:sz="8" w:space="0"/>
            </w:tcBorders>
            <w:vAlign w:val="center"/>
          </w:tcPr>
          <w:p w14:paraId="50F74307">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z w:val="21"/>
                <w:szCs w:val="21"/>
              </w:rPr>
              <w:t>新建I</w:t>
            </w:r>
            <w:r>
              <w:rPr>
                <w:rFonts w:hint="eastAsia" w:ascii="宋体" w:hAnsi="宋体" w:eastAsia="宋体" w:cs="宋体"/>
                <w:spacing w:val="-3"/>
                <w:sz w:val="21"/>
                <w:szCs w:val="21"/>
              </w:rPr>
              <w:t>类站路段</w:t>
            </w:r>
          </w:p>
        </w:tc>
        <w:tc>
          <w:tcPr>
            <w:tcW w:w="656" w:type="pct"/>
            <w:tcBorders>
              <w:top w:val="single" w:color="000000" w:sz="8" w:space="0"/>
              <w:left w:val="single" w:color="000000" w:sz="8" w:space="0"/>
              <w:bottom w:val="single" w:color="000000" w:sz="8" w:space="0"/>
              <w:right w:val="single" w:color="000000" w:sz="8" w:space="0"/>
            </w:tcBorders>
            <w:vAlign w:val="center"/>
          </w:tcPr>
          <w:p w14:paraId="33248505">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2"/>
                <w:sz w:val="21"/>
                <w:szCs w:val="21"/>
              </w:rPr>
              <w:t>113.368692</w:t>
            </w:r>
          </w:p>
        </w:tc>
        <w:tc>
          <w:tcPr>
            <w:tcW w:w="711" w:type="pct"/>
            <w:tcBorders>
              <w:top w:val="single" w:color="000000" w:sz="8" w:space="0"/>
              <w:left w:val="single" w:color="000000" w:sz="8" w:space="0"/>
              <w:bottom w:val="single" w:color="000000" w:sz="8" w:space="0"/>
            </w:tcBorders>
            <w:vAlign w:val="center"/>
          </w:tcPr>
          <w:p w14:paraId="2D1C0D56">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2"/>
                <w:sz w:val="21"/>
                <w:szCs w:val="21"/>
              </w:rPr>
              <w:t>27.218439</w:t>
            </w:r>
          </w:p>
        </w:tc>
      </w:tr>
      <w:tr w14:paraId="15D5B159">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23" w:hRule="atLeast"/>
        </w:trPr>
        <w:tc>
          <w:tcPr>
            <w:tcW w:w="341" w:type="pct"/>
            <w:tcBorders>
              <w:top w:val="single" w:color="000000" w:sz="8" w:space="0"/>
              <w:bottom w:val="single" w:color="000000" w:sz="8" w:space="0"/>
              <w:right w:val="single" w:color="000000" w:sz="8" w:space="0"/>
            </w:tcBorders>
            <w:vAlign w:val="center"/>
          </w:tcPr>
          <w:p w14:paraId="51F5A412">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5"/>
                <w:sz w:val="21"/>
                <w:szCs w:val="21"/>
              </w:rPr>
              <w:t>296</w:t>
            </w:r>
          </w:p>
        </w:tc>
        <w:tc>
          <w:tcPr>
            <w:tcW w:w="587" w:type="pct"/>
            <w:tcBorders>
              <w:top w:val="single" w:color="000000" w:sz="8" w:space="0"/>
              <w:left w:val="single" w:color="000000" w:sz="8" w:space="0"/>
              <w:bottom w:val="single" w:color="000000" w:sz="8" w:space="0"/>
              <w:right w:val="single" w:color="000000" w:sz="8" w:space="0"/>
            </w:tcBorders>
            <w:vAlign w:val="center"/>
          </w:tcPr>
          <w:p w14:paraId="084ED092">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4"/>
                <w:sz w:val="21"/>
                <w:szCs w:val="21"/>
              </w:rPr>
              <w:t>株洲市</w:t>
            </w:r>
          </w:p>
        </w:tc>
        <w:tc>
          <w:tcPr>
            <w:tcW w:w="584" w:type="pct"/>
            <w:tcBorders>
              <w:top w:val="single" w:color="000000" w:sz="8" w:space="0"/>
              <w:left w:val="single" w:color="000000" w:sz="8" w:space="0"/>
              <w:bottom w:val="single" w:color="000000" w:sz="8" w:space="0"/>
              <w:right w:val="single" w:color="000000" w:sz="8" w:space="0"/>
            </w:tcBorders>
            <w:vAlign w:val="center"/>
          </w:tcPr>
          <w:p w14:paraId="72416D8B">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5"/>
                <w:sz w:val="21"/>
                <w:szCs w:val="21"/>
              </w:rPr>
              <w:t>攸县</w:t>
            </w:r>
          </w:p>
        </w:tc>
        <w:tc>
          <w:tcPr>
            <w:tcW w:w="320" w:type="pct"/>
            <w:tcBorders>
              <w:top w:val="single" w:color="000000" w:sz="8" w:space="0"/>
              <w:left w:val="single" w:color="000000" w:sz="8" w:space="0"/>
              <w:bottom w:val="single" w:color="000000" w:sz="8" w:space="0"/>
              <w:right w:val="single" w:color="000000" w:sz="8" w:space="0"/>
            </w:tcBorders>
            <w:vAlign w:val="center"/>
          </w:tcPr>
          <w:p w14:paraId="2CCCF8F9">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4"/>
                <w:sz w:val="21"/>
                <w:szCs w:val="21"/>
              </w:rPr>
              <w:t>S211</w:t>
            </w:r>
          </w:p>
        </w:tc>
        <w:tc>
          <w:tcPr>
            <w:tcW w:w="295" w:type="pct"/>
            <w:tcBorders>
              <w:top w:val="single" w:color="000000" w:sz="8" w:space="0"/>
              <w:left w:val="single" w:color="000000" w:sz="8" w:space="0"/>
              <w:bottom w:val="single" w:color="000000" w:sz="8" w:space="0"/>
              <w:right w:val="single" w:color="000000" w:sz="8" w:space="0"/>
            </w:tcBorders>
            <w:vAlign w:val="center"/>
          </w:tcPr>
          <w:p w14:paraId="1FF7CD86">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10"/>
                <w:sz w:val="21"/>
                <w:szCs w:val="21"/>
              </w:rPr>
              <w:t>2</w:t>
            </w:r>
          </w:p>
        </w:tc>
        <w:tc>
          <w:tcPr>
            <w:tcW w:w="412" w:type="pct"/>
            <w:tcBorders>
              <w:top w:val="single" w:color="000000" w:sz="8" w:space="0"/>
              <w:left w:val="single" w:color="000000" w:sz="8" w:space="0"/>
              <w:bottom w:val="single" w:color="000000" w:sz="8" w:space="0"/>
              <w:right w:val="single" w:color="000000" w:sz="8" w:space="0"/>
            </w:tcBorders>
            <w:vAlign w:val="center"/>
          </w:tcPr>
          <w:p w14:paraId="054BE135">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pacing w:val="-10"/>
                <w:sz w:val="21"/>
                <w:szCs w:val="21"/>
              </w:rPr>
              <w:t>级</w:t>
            </w:r>
          </w:p>
        </w:tc>
        <w:tc>
          <w:tcPr>
            <w:tcW w:w="496" w:type="pct"/>
            <w:tcBorders>
              <w:top w:val="single" w:color="000000" w:sz="8" w:space="0"/>
              <w:left w:val="single" w:color="000000" w:sz="8" w:space="0"/>
              <w:bottom w:val="single" w:color="000000" w:sz="8" w:space="0"/>
              <w:right w:val="single" w:color="000000" w:sz="8" w:space="0"/>
            </w:tcBorders>
            <w:vAlign w:val="center"/>
          </w:tcPr>
          <w:p w14:paraId="4EBBC857">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2"/>
                <w:sz w:val="21"/>
                <w:szCs w:val="21"/>
              </w:rPr>
              <w:t>5.713</w:t>
            </w:r>
          </w:p>
        </w:tc>
        <w:tc>
          <w:tcPr>
            <w:tcW w:w="593" w:type="pct"/>
            <w:tcBorders>
              <w:top w:val="single" w:color="000000" w:sz="8" w:space="0"/>
              <w:left w:val="single" w:color="000000" w:sz="8" w:space="0"/>
              <w:bottom w:val="single" w:color="000000" w:sz="8" w:space="0"/>
              <w:right w:val="single" w:color="000000" w:sz="8" w:space="0"/>
            </w:tcBorders>
            <w:vAlign w:val="center"/>
          </w:tcPr>
          <w:p w14:paraId="785AB1B7">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z w:val="21"/>
                <w:szCs w:val="21"/>
              </w:rPr>
              <w:t>新建II</w:t>
            </w:r>
            <w:r>
              <w:rPr>
                <w:rFonts w:hint="eastAsia" w:ascii="宋体" w:hAnsi="宋体" w:eastAsia="宋体" w:cs="宋体"/>
                <w:spacing w:val="-3"/>
                <w:sz w:val="21"/>
                <w:szCs w:val="21"/>
              </w:rPr>
              <w:t>类站路段</w:t>
            </w:r>
          </w:p>
        </w:tc>
        <w:tc>
          <w:tcPr>
            <w:tcW w:w="656" w:type="pct"/>
            <w:tcBorders>
              <w:top w:val="single" w:color="000000" w:sz="8" w:space="0"/>
              <w:left w:val="single" w:color="000000" w:sz="8" w:space="0"/>
              <w:bottom w:val="single" w:color="000000" w:sz="8" w:space="0"/>
              <w:right w:val="single" w:color="000000" w:sz="8" w:space="0"/>
            </w:tcBorders>
            <w:vAlign w:val="center"/>
          </w:tcPr>
          <w:p w14:paraId="09E402F7">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2"/>
                <w:sz w:val="21"/>
                <w:szCs w:val="21"/>
              </w:rPr>
              <w:t>113.321300</w:t>
            </w:r>
          </w:p>
        </w:tc>
        <w:tc>
          <w:tcPr>
            <w:tcW w:w="711" w:type="pct"/>
            <w:tcBorders>
              <w:top w:val="single" w:color="000000" w:sz="8" w:space="0"/>
              <w:left w:val="single" w:color="000000" w:sz="8" w:space="0"/>
              <w:bottom w:val="single" w:color="000000" w:sz="8" w:space="0"/>
            </w:tcBorders>
            <w:vAlign w:val="center"/>
          </w:tcPr>
          <w:p w14:paraId="3D2A52E3">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2"/>
                <w:sz w:val="21"/>
                <w:szCs w:val="21"/>
              </w:rPr>
              <w:t>26.938131</w:t>
            </w:r>
          </w:p>
        </w:tc>
      </w:tr>
      <w:tr w14:paraId="00928A5A">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23" w:hRule="atLeast"/>
        </w:trPr>
        <w:tc>
          <w:tcPr>
            <w:tcW w:w="341" w:type="pct"/>
            <w:tcBorders>
              <w:top w:val="single" w:color="000000" w:sz="8" w:space="0"/>
              <w:bottom w:val="single" w:color="000000" w:sz="8" w:space="0"/>
              <w:right w:val="single" w:color="000000" w:sz="8" w:space="0"/>
            </w:tcBorders>
            <w:vAlign w:val="center"/>
          </w:tcPr>
          <w:p w14:paraId="12D3C709">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5"/>
                <w:sz w:val="21"/>
                <w:szCs w:val="21"/>
              </w:rPr>
              <w:t>297</w:t>
            </w:r>
          </w:p>
        </w:tc>
        <w:tc>
          <w:tcPr>
            <w:tcW w:w="587" w:type="pct"/>
            <w:tcBorders>
              <w:top w:val="single" w:color="000000" w:sz="8" w:space="0"/>
              <w:left w:val="single" w:color="000000" w:sz="8" w:space="0"/>
              <w:bottom w:val="single" w:color="000000" w:sz="8" w:space="0"/>
              <w:right w:val="single" w:color="000000" w:sz="8" w:space="0"/>
            </w:tcBorders>
            <w:vAlign w:val="center"/>
          </w:tcPr>
          <w:p w14:paraId="674B6697">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4"/>
                <w:sz w:val="21"/>
                <w:szCs w:val="21"/>
              </w:rPr>
              <w:t>株洲市</w:t>
            </w:r>
          </w:p>
        </w:tc>
        <w:tc>
          <w:tcPr>
            <w:tcW w:w="584" w:type="pct"/>
            <w:tcBorders>
              <w:top w:val="single" w:color="000000" w:sz="8" w:space="0"/>
              <w:left w:val="single" w:color="000000" w:sz="8" w:space="0"/>
              <w:bottom w:val="single" w:color="000000" w:sz="8" w:space="0"/>
              <w:right w:val="single" w:color="000000" w:sz="8" w:space="0"/>
            </w:tcBorders>
            <w:vAlign w:val="center"/>
          </w:tcPr>
          <w:p w14:paraId="5876B513">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5"/>
                <w:sz w:val="21"/>
                <w:szCs w:val="21"/>
              </w:rPr>
              <w:t>攸县</w:t>
            </w:r>
          </w:p>
        </w:tc>
        <w:tc>
          <w:tcPr>
            <w:tcW w:w="320" w:type="pct"/>
            <w:tcBorders>
              <w:top w:val="single" w:color="000000" w:sz="8" w:space="0"/>
              <w:left w:val="single" w:color="000000" w:sz="8" w:space="0"/>
              <w:bottom w:val="single" w:color="000000" w:sz="8" w:space="0"/>
              <w:right w:val="single" w:color="000000" w:sz="8" w:space="0"/>
            </w:tcBorders>
            <w:vAlign w:val="center"/>
          </w:tcPr>
          <w:p w14:paraId="01A65FC8">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4"/>
                <w:sz w:val="21"/>
                <w:szCs w:val="21"/>
              </w:rPr>
              <w:t>S333</w:t>
            </w:r>
          </w:p>
        </w:tc>
        <w:tc>
          <w:tcPr>
            <w:tcW w:w="295" w:type="pct"/>
            <w:tcBorders>
              <w:top w:val="single" w:color="000000" w:sz="8" w:space="0"/>
              <w:left w:val="single" w:color="000000" w:sz="8" w:space="0"/>
              <w:bottom w:val="single" w:color="000000" w:sz="8" w:space="0"/>
              <w:right w:val="single" w:color="000000" w:sz="8" w:space="0"/>
            </w:tcBorders>
            <w:vAlign w:val="center"/>
          </w:tcPr>
          <w:p w14:paraId="15A0F7F2">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10"/>
                <w:sz w:val="21"/>
                <w:szCs w:val="21"/>
              </w:rPr>
              <w:t>2</w:t>
            </w:r>
          </w:p>
        </w:tc>
        <w:tc>
          <w:tcPr>
            <w:tcW w:w="412" w:type="pct"/>
            <w:tcBorders>
              <w:top w:val="single" w:color="000000" w:sz="8" w:space="0"/>
              <w:left w:val="single" w:color="000000" w:sz="8" w:space="0"/>
              <w:bottom w:val="single" w:color="000000" w:sz="8" w:space="0"/>
              <w:right w:val="single" w:color="000000" w:sz="8" w:space="0"/>
            </w:tcBorders>
            <w:vAlign w:val="center"/>
          </w:tcPr>
          <w:p w14:paraId="77C2683F">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pacing w:val="-10"/>
                <w:sz w:val="21"/>
                <w:szCs w:val="21"/>
              </w:rPr>
              <w:t>级</w:t>
            </w:r>
          </w:p>
        </w:tc>
        <w:tc>
          <w:tcPr>
            <w:tcW w:w="496" w:type="pct"/>
            <w:tcBorders>
              <w:top w:val="single" w:color="000000" w:sz="8" w:space="0"/>
              <w:left w:val="single" w:color="000000" w:sz="8" w:space="0"/>
              <w:bottom w:val="single" w:color="000000" w:sz="8" w:space="0"/>
              <w:right w:val="single" w:color="000000" w:sz="8" w:space="0"/>
            </w:tcBorders>
            <w:vAlign w:val="center"/>
          </w:tcPr>
          <w:p w14:paraId="4C387522">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2"/>
                <w:sz w:val="21"/>
                <w:szCs w:val="21"/>
              </w:rPr>
              <w:t>71.686</w:t>
            </w:r>
          </w:p>
        </w:tc>
        <w:tc>
          <w:tcPr>
            <w:tcW w:w="593" w:type="pct"/>
            <w:tcBorders>
              <w:top w:val="single" w:color="000000" w:sz="8" w:space="0"/>
              <w:left w:val="single" w:color="000000" w:sz="8" w:space="0"/>
              <w:bottom w:val="single" w:color="000000" w:sz="8" w:space="0"/>
              <w:right w:val="single" w:color="000000" w:sz="8" w:space="0"/>
            </w:tcBorders>
            <w:vAlign w:val="center"/>
          </w:tcPr>
          <w:p w14:paraId="504115FD">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z w:val="21"/>
                <w:szCs w:val="21"/>
              </w:rPr>
              <w:t>新建I</w:t>
            </w:r>
            <w:r>
              <w:rPr>
                <w:rFonts w:hint="eastAsia" w:ascii="宋体" w:hAnsi="宋体" w:eastAsia="宋体" w:cs="宋体"/>
                <w:spacing w:val="-3"/>
                <w:sz w:val="21"/>
                <w:szCs w:val="21"/>
              </w:rPr>
              <w:t>类站路段</w:t>
            </w:r>
          </w:p>
        </w:tc>
        <w:tc>
          <w:tcPr>
            <w:tcW w:w="656" w:type="pct"/>
            <w:tcBorders>
              <w:top w:val="single" w:color="000000" w:sz="8" w:space="0"/>
              <w:left w:val="single" w:color="000000" w:sz="8" w:space="0"/>
              <w:bottom w:val="single" w:color="000000" w:sz="8" w:space="0"/>
              <w:right w:val="single" w:color="000000" w:sz="8" w:space="0"/>
            </w:tcBorders>
            <w:vAlign w:val="center"/>
          </w:tcPr>
          <w:p w14:paraId="545CE530">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2"/>
                <w:sz w:val="21"/>
                <w:szCs w:val="21"/>
              </w:rPr>
              <w:t>113.382634</w:t>
            </w:r>
          </w:p>
        </w:tc>
        <w:tc>
          <w:tcPr>
            <w:tcW w:w="711" w:type="pct"/>
            <w:tcBorders>
              <w:top w:val="single" w:color="000000" w:sz="8" w:space="0"/>
              <w:left w:val="single" w:color="000000" w:sz="8" w:space="0"/>
              <w:bottom w:val="single" w:color="000000" w:sz="8" w:space="0"/>
            </w:tcBorders>
            <w:vAlign w:val="center"/>
          </w:tcPr>
          <w:p w14:paraId="22818401">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2"/>
                <w:sz w:val="21"/>
                <w:szCs w:val="21"/>
              </w:rPr>
              <w:t>27.236048</w:t>
            </w:r>
          </w:p>
        </w:tc>
      </w:tr>
      <w:tr w14:paraId="747BBD11">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23" w:hRule="atLeast"/>
        </w:trPr>
        <w:tc>
          <w:tcPr>
            <w:tcW w:w="341" w:type="pct"/>
            <w:tcBorders>
              <w:top w:val="single" w:color="000000" w:sz="8" w:space="0"/>
              <w:bottom w:val="single" w:color="000000" w:sz="8" w:space="0"/>
              <w:right w:val="single" w:color="000000" w:sz="8" w:space="0"/>
            </w:tcBorders>
            <w:vAlign w:val="center"/>
          </w:tcPr>
          <w:p w14:paraId="74A8DBF8">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5"/>
                <w:sz w:val="21"/>
                <w:szCs w:val="21"/>
              </w:rPr>
              <w:t>298</w:t>
            </w:r>
          </w:p>
        </w:tc>
        <w:tc>
          <w:tcPr>
            <w:tcW w:w="587" w:type="pct"/>
            <w:tcBorders>
              <w:top w:val="single" w:color="000000" w:sz="8" w:space="0"/>
              <w:left w:val="single" w:color="000000" w:sz="8" w:space="0"/>
              <w:bottom w:val="single" w:color="000000" w:sz="8" w:space="0"/>
              <w:right w:val="single" w:color="000000" w:sz="8" w:space="0"/>
            </w:tcBorders>
            <w:vAlign w:val="center"/>
          </w:tcPr>
          <w:p w14:paraId="7B236033">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4"/>
                <w:sz w:val="21"/>
                <w:szCs w:val="21"/>
              </w:rPr>
              <w:t>株洲市</w:t>
            </w:r>
          </w:p>
        </w:tc>
        <w:tc>
          <w:tcPr>
            <w:tcW w:w="584" w:type="pct"/>
            <w:tcBorders>
              <w:top w:val="single" w:color="000000" w:sz="8" w:space="0"/>
              <w:left w:val="single" w:color="000000" w:sz="8" w:space="0"/>
              <w:bottom w:val="single" w:color="000000" w:sz="8" w:space="0"/>
              <w:right w:val="single" w:color="000000" w:sz="8" w:space="0"/>
            </w:tcBorders>
            <w:vAlign w:val="center"/>
          </w:tcPr>
          <w:p w14:paraId="395C36C3">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5"/>
                <w:sz w:val="21"/>
                <w:szCs w:val="21"/>
              </w:rPr>
              <w:t>攸县</w:t>
            </w:r>
          </w:p>
        </w:tc>
        <w:tc>
          <w:tcPr>
            <w:tcW w:w="320" w:type="pct"/>
            <w:tcBorders>
              <w:top w:val="single" w:color="000000" w:sz="8" w:space="0"/>
              <w:left w:val="single" w:color="000000" w:sz="8" w:space="0"/>
              <w:bottom w:val="single" w:color="000000" w:sz="8" w:space="0"/>
              <w:right w:val="single" w:color="000000" w:sz="8" w:space="0"/>
            </w:tcBorders>
            <w:vAlign w:val="center"/>
          </w:tcPr>
          <w:p w14:paraId="2CA2C6CF">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4"/>
                <w:sz w:val="21"/>
                <w:szCs w:val="21"/>
              </w:rPr>
              <w:t>S336</w:t>
            </w:r>
          </w:p>
        </w:tc>
        <w:tc>
          <w:tcPr>
            <w:tcW w:w="295" w:type="pct"/>
            <w:tcBorders>
              <w:top w:val="single" w:color="000000" w:sz="8" w:space="0"/>
              <w:left w:val="single" w:color="000000" w:sz="8" w:space="0"/>
              <w:bottom w:val="single" w:color="000000" w:sz="8" w:space="0"/>
              <w:right w:val="single" w:color="000000" w:sz="8" w:space="0"/>
            </w:tcBorders>
            <w:vAlign w:val="center"/>
          </w:tcPr>
          <w:p w14:paraId="013B16B0">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10"/>
                <w:sz w:val="21"/>
                <w:szCs w:val="21"/>
              </w:rPr>
              <w:t>2</w:t>
            </w:r>
          </w:p>
        </w:tc>
        <w:tc>
          <w:tcPr>
            <w:tcW w:w="412" w:type="pct"/>
            <w:tcBorders>
              <w:top w:val="single" w:color="000000" w:sz="8" w:space="0"/>
              <w:left w:val="single" w:color="000000" w:sz="8" w:space="0"/>
              <w:bottom w:val="single" w:color="000000" w:sz="8" w:space="0"/>
              <w:right w:val="single" w:color="000000" w:sz="8" w:space="0"/>
            </w:tcBorders>
            <w:vAlign w:val="center"/>
          </w:tcPr>
          <w:p w14:paraId="11006235">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pacing w:val="-10"/>
                <w:sz w:val="21"/>
                <w:szCs w:val="21"/>
              </w:rPr>
              <w:t>级</w:t>
            </w:r>
          </w:p>
        </w:tc>
        <w:tc>
          <w:tcPr>
            <w:tcW w:w="496" w:type="pct"/>
            <w:tcBorders>
              <w:top w:val="single" w:color="000000" w:sz="8" w:space="0"/>
              <w:left w:val="single" w:color="000000" w:sz="8" w:space="0"/>
              <w:bottom w:val="single" w:color="000000" w:sz="8" w:space="0"/>
              <w:right w:val="single" w:color="000000" w:sz="8" w:space="0"/>
            </w:tcBorders>
            <w:vAlign w:val="center"/>
          </w:tcPr>
          <w:p w14:paraId="58C171B6">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2"/>
                <w:sz w:val="21"/>
                <w:szCs w:val="21"/>
              </w:rPr>
              <w:t>30.908</w:t>
            </w:r>
          </w:p>
        </w:tc>
        <w:tc>
          <w:tcPr>
            <w:tcW w:w="593" w:type="pct"/>
            <w:tcBorders>
              <w:top w:val="single" w:color="000000" w:sz="8" w:space="0"/>
              <w:left w:val="single" w:color="000000" w:sz="8" w:space="0"/>
              <w:bottom w:val="single" w:color="000000" w:sz="8" w:space="0"/>
              <w:right w:val="single" w:color="000000" w:sz="8" w:space="0"/>
            </w:tcBorders>
            <w:vAlign w:val="center"/>
          </w:tcPr>
          <w:p w14:paraId="180B8365">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z w:val="21"/>
                <w:szCs w:val="21"/>
              </w:rPr>
              <w:t>新建II</w:t>
            </w:r>
            <w:r>
              <w:rPr>
                <w:rFonts w:hint="eastAsia" w:ascii="宋体" w:hAnsi="宋体" w:eastAsia="宋体" w:cs="宋体"/>
                <w:spacing w:val="-3"/>
                <w:sz w:val="21"/>
                <w:szCs w:val="21"/>
              </w:rPr>
              <w:t>类站路段</w:t>
            </w:r>
          </w:p>
        </w:tc>
        <w:tc>
          <w:tcPr>
            <w:tcW w:w="656" w:type="pct"/>
            <w:tcBorders>
              <w:top w:val="single" w:color="000000" w:sz="8" w:space="0"/>
              <w:left w:val="single" w:color="000000" w:sz="8" w:space="0"/>
              <w:bottom w:val="single" w:color="000000" w:sz="8" w:space="0"/>
              <w:right w:val="single" w:color="000000" w:sz="8" w:space="0"/>
            </w:tcBorders>
            <w:vAlign w:val="center"/>
          </w:tcPr>
          <w:p w14:paraId="6C2496BD">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2"/>
                <w:sz w:val="21"/>
                <w:szCs w:val="21"/>
              </w:rPr>
              <w:t>113.642229</w:t>
            </w:r>
          </w:p>
        </w:tc>
        <w:tc>
          <w:tcPr>
            <w:tcW w:w="711" w:type="pct"/>
            <w:tcBorders>
              <w:top w:val="single" w:color="000000" w:sz="8" w:space="0"/>
              <w:left w:val="single" w:color="000000" w:sz="8" w:space="0"/>
              <w:bottom w:val="single" w:color="000000" w:sz="8" w:space="0"/>
            </w:tcBorders>
            <w:vAlign w:val="center"/>
          </w:tcPr>
          <w:p w14:paraId="67ABD12C">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2"/>
                <w:sz w:val="21"/>
                <w:szCs w:val="21"/>
              </w:rPr>
              <w:t>27.231966</w:t>
            </w:r>
          </w:p>
        </w:tc>
      </w:tr>
      <w:tr w14:paraId="799A9D72">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23" w:hRule="atLeast"/>
        </w:trPr>
        <w:tc>
          <w:tcPr>
            <w:tcW w:w="341" w:type="pct"/>
            <w:tcBorders>
              <w:top w:val="single" w:color="000000" w:sz="8" w:space="0"/>
              <w:bottom w:val="single" w:color="000000" w:sz="8" w:space="0"/>
              <w:right w:val="single" w:color="000000" w:sz="8" w:space="0"/>
            </w:tcBorders>
            <w:vAlign w:val="center"/>
          </w:tcPr>
          <w:p w14:paraId="6429344A">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5"/>
                <w:sz w:val="21"/>
                <w:szCs w:val="21"/>
              </w:rPr>
              <w:t>299</w:t>
            </w:r>
          </w:p>
        </w:tc>
        <w:tc>
          <w:tcPr>
            <w:tcW w:w="587" w:type="pct"/>
            <w:tcBorders>
              <w:top w:val="single" w:color="000000" w:sz="8" w:space="0"/>
              <w:left w:val="single" w:color="000000" w:sz="8" w:space="0"/>
              <w:bottom w:val="single" w:color="000000" w:sz="8" w:space="0"/>
              <w:right w:val="single" w:color="000000" w:sz="8" w:space="0"/>
            </w:tcBorders>
            <w:vAlign w:val="center"/>
          </w:tcPr>
          <w:p w14:paraId="1974BF25">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4"/>
                <w:sz w:val="21"/>
                <w:szCs w:val="21"/>
              </w:rPr>
              <w:t>株洲市</w:t>
            </w:r>
          </w:p>
        </w:tc>
        <w:tc>
          <w:tcPr>
            <w:tcW w:w="584" w:type="pct"/>
            <w:tcBorders>
              <w:top w:val="single" w:color="000000" w:sz="8" w:space="0"/>
              <w:left w:val="single" w:color="000000" w:sz="8" w:space="0"/>
              <w:bottom w:val="single" w:color="000000" w:sz="8" w:space="0"/>
              <w:right w:val="single" w:color="000000" w:sz="8" w:space="0"/>
            </w:tcBorders>
            <w:vAlign w:val="center"/>
          </w:tcPr>
          <w:p w14:paraId="5B49735C">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5"/>
                <w:sz w:val="21"/>
                <w:szCs w:val="21"/>
              </w:rPr>
              <w:t>攸县</w:t>
            </w:r>
          </w:p>
        </w:tc>
        <w:tc>
          <w:tcPr>
            <w:tcW w:w="320" w:type="pct"/>
            <w:tcBorders>
              <w:top w:val="single" w:color="000000" w:sz="8" w:space="0"/>
              <w:left w:val="single" w:color="000000" w:sz="8" w:space="0"/>
              <w:bottom w:val="single" w:color="000000" w:sz="8" w:space="0"/>
              <w:right w:val="single" w:color="000000" w:sz="8" w:space="0"/>
            </w:tcBorders>
            <w:vAlign w:val="center"/>
          </w:tcPr>
          <w:p w14:paraId="666C71FD">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4"/>
                <w:sz w:val="21"/>
                <w:szCs w:val="21"/>
              </w:rPr>
              <w:t>S336</w:t>
            </w:r>
          </w:p>
        </w:tc>
        <w:tc>
          <w:tcPr>
            <w:tcW w:w="295" w:type="pct"/>
            <w:tcBorders>
              <w:top w:val="single" w:color="000000" w:sz="8" w:space="0"/>
              <w:left w:val="single" w:color="000000" w:sz="8" w:space="0"/>
              <w:bottom w:val="single" w:color="000000" w:sz="8" w:space="0"/>
              <w:right w:val="single" w:color="000000" w:sz="8" w:space="0"/>
            </w:tcBorders>
            <w:vAlign w:val="center"/>
          </w:tcPr>
          <w:p w14:paraId="5C16DD78">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10"/>
                <w:sz w:val="21"/>
                <w:szCs w:val="21"/>
              </w:rPr>
              <w:t>2</w:t>
            </w:r>
          </w:p>
        </w:tc>
        <w:tc>
          <w:tcPr>
            <w:tcW w:w="412" w:type="pct"/>
            <w:tcBorders>
              <w:top w:val="single" w:color="000000" w:sz="8" w:space="0"/>
              <w:left w:val="single" w:color="000000" w:sz="8" w:space="0"/>
              <w:bottom w:val="single" w:color="000000" w:sz="8" w:space="0"/>
              <w:right w:val="single" w:color="000000" w:sz="8" w:space="0"/>
            </w:tcBorders>
            <w:vAlign w:val="center"/>
          </w:tcPr>
          <w:p w14:paraId="7461A7CE">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pacing w:val="-10"/>
                <w:sz w:val="21"/>
                <w:szCs w:val="21"/>
              </w:rPr>
              <w:t>级</w:t>
            </w:r>
          </w:p>
        </w:tc>
        <w:tc>
          <w:tcPr>
            <w:tcW w:w="496" w:type="pct"/>
            <w:tcBorders>
              <w:top w:val="single" w:color="000000" w:sz="8" w:space="0"/>
              <w:left w:val="single" w:color="000000" w:sz="8" w:space="0"/>
              <w:bottom w:val="single" w:color="000000" w:sz="8" w:space="0"/>
              <w:right w:val="single" w:color="000000" w:sz="8" w:space="0"/>
            </w:tcBorders>
            <w:vAlign w:val="center"/>
          </w:tcPr>
          <w:p w14:paraId="502CAFD9">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2"/>
                <w:sz w:val="21"/>
                <w:szCs w:val="21"/>
              </w:rPr>
              <w:t>56.375</w:t>
            </w:r>
          </w:p>
        </w:tc>
        <w:tc>
          <w:tcPr>
            <w:tcW w:w="593" w:type="pct"/>
            <w:tcBorders>
              <w:top w:val="single" w:color="000000" w:sz="8" w:space="0"/>
              <w:left w:val="single" w:color="000000" w:sz="8" w:space="0"/>
              <w:bottom w:val="single" w:color="000000" w:sz="8" w:space="0"/>
              <w:right w:val="single" w:color="000000" w:sz="8" w:space="0"/>
            </w:tcBorders>
            <w:vAlign w:val="center"/>
          </w:tcPr>
          <w:p w14:paraId="06EF15D6">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z w:val="21"/>
                <w:szCs w:val="21"/>
              </w:rPr>
              <w:t>新建I</w:t>
            </w:r>
            <w:r>
              <w:rPr>
                <w:rFonts w:hint="eastAsia" w:ascii="宋体" w:hAnsi="宋体" w:eastAsia="宋体" w:cs="宋体"/>
                <w:spacing w:val="-3"/>
                <w:sz w:val="21"/>
                <w:szCs w:val="21"/>
              </w:rPr>
              <w:t>类站路段</w:t>
            </w:r>
          </w:p>
        </w:tc>
        <w:tc>
          <w:tcPr>
            <w:tcW w:w="656" w:type="pct"/>
            <w:tcBorders>
              <w:top w:val="single" w:color="000000" w:sz="8" w:space="0"/>
              <w:left w:val="single" w:color="000000" w:sz="8" w:space="0"/>
              <w:bottom w:val="single" w:color="000000" w:sz="8" w:space="0"/>
              <w:right w:val="single" w:color="000000" w:sz="8" w:space="0"/>
            </w:tcBorders>
            <w:vAlign w:val="center"/>
          </w:tcPr>
          <w:p w14:paraId="37DDC6C1">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2"/>
                <w:sz w:val="21"/>
                <w:szCs w:val="21"/>
              </w:rPr>
              <w:t>113.475647</w:t>
            </w:r>
          </w:p>
        </w:tc>
        <w:tc>
          <w:tcPr>
            <w:tcW w:w="711" w:type="pct"/>
            <w:tcBorders>
              <w:top w:val="single" w:color="000000" w:sz="8" w:space="0"/>
              <w:left w:val="single" w:color="000000" w:sz="8" w:space="0"/>
              <w:bottom w:val="single" w:color="000000" w:sz="8" w:space="0"/>
            </w:tcBorders>
            <w:vAlign w:val="center"/>
          </w:tcPr>
          <w:p w14:paraId="30259729">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2"/>
                <w:sz w:val="21"/>
                <w:szCs w:val="21"/>
              </w:rPr>
              <w:t>27.139336</w:t>
            </w:r>
          </w:p>
        </w:tc>
      </w:tr>
      <w:tr w14:paraId="17F17C15">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23" w:hRule="atLeast"/>
        </w:trPr>
        <w:tc>
          <w:tcPr>
            <w:tcW w:w="341" w:type="pct"/>
            <w:tcBorders>
              <w:top w:val="single" w:color="000000" w:sz="8" w:space="0"/>
              <w:bottom w:val="single" w:color="000000" w:sz="8" w:space="0"/>
              <w:right w:val="single" w:color="000000" w:sz="8" w:space="0"/>
            </w:tcBorders>
            <w:vAlign w:val="center"/>
          </w:tcPr>
          <w:p w14:paraId="0A2ECB88">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5"/>
                <w:sz w:val="21"/>
                <w:szCs w:val="21"/>
              </w:rPr>
              <w:t>300</w:t>
            </w:r>
          </w:p>
        </w:tc>
        <w:tc>
          <w:tcPr>
            <w:tcW w:w="587" w:type="pct"/>
            <w:tcBorders>
              <w:top w:val="single" w:color="000000" w:sz="8" w:space="0"/>
              <w:left w:val="single" w:color="000000" w:sz="8" w:space="0"/>
              <w:bottom w:val="single" w:color="000000" w:sz="8" w:space="0"/>
              <w:right w:val="single" w:color="000000" w:sz="8" w:space="0"/>
            </w:tcBorders>
            <w:vAlign w:val="center"/>
          </w:tcPr>
          <w:p w14:paraId="4D4EB783">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4"/>
                <w:sz w:val="21"/>
                <w:szCs w:val="21"/>
              </w:rPr>
              <w:t>株洲市</w:t>
            </w:r>
          </w:p>
        </w:tc>
        <w:tc>
          <w:tcPr>
            <w:tcW w:w="584" w:type="pct"/>
            <w:tcBorders>
              <w:top w:val="single" w:color="000000" w:sz="8" w:space="0"/>
              <w:left w:val="single" w:color="000000" w:sz="8" w:space="0"/>
              <w:bottom w:val="single" w:color="000000" w:sz="8" w:space="0"/>
              <w:right w:val="single" w:color="000000" w:sz="8" w:space="0"/>
            </w:tcBorders>
            <w:vAlign w:val="center"/>
          </w:tcPr>
          <w:p w14:paraId="57159314">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5"/>
                <w:sz w:val="21"/>
                <w:szCs w:val="21"/>
              </w:rPr>
              <w:t>攸县</w:t>
            </w:r>
          </w:p>
        </w:tc>
        <w:tc>
          <w:tcPr>
            <w:tcW w:w="320" w:type="pct"/>
            <w:tcBorders>
              <w:top w:val="single" w:color="000000" w:sz="8" w:space="0"/>
              <w:left w:val="single" w:color="000000" w:sz="8" w:space="0"/>
              <w:bottom w:val="single" w:color="000000" w:sz="8" w:space="0"/>
              <w:right w:val="single" w:color="000000" w:sz="8" w:space="0"/>
            </w:tcBorders>
            <w:vAlign w:val="center"/>
          </w:tcPr>
          <w:p w14:paraId="027A6AFA">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4"/>
                <w:sz w:val="21"/>
                <w:szCs w:val="21"/>
              </w:rPr>
              <w:t>S336</w:t>
            </w:r>
          </w:p>
        </w:tc>
        <w:tc>
          <w:tcPr>
            <w:tcW w:w="295" w:type="pct"/>
            <w:tcBorders>
              <w:top w:val="single" w:color="000000" w:sz="8" w:space="0"/>
              <w:left w:val="single" w:color="000000" w:sz="8" w:space="0"/>
              <w:bottom w:val="single" w:color="000000" w:sz="8" w:space="0"/>
              <w:right w:val="single" w:color="000000" w:sz="8" w:space="0"/>
            </w:tcBorders>
            <w:vAlign w:val="center"/>
          </w:tcPr>
          <w:p w14:paraId="6AE85495">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10"/>
                <w:sz w:val="21"/>
                <w:szCs w:val="21"/>
              </w:rPr>
              <w:t>2</w:t>
            </w:r>
          </w:p>
        </w:tc>
        <w:tc>
          <w:tcPr>
            <w:tcW w:w="412" w:type="pct"/>
            <w:tcBorders>
              <w:top w:val="single" w:color="000000" w:sz="8" w:space="0"/>
              <w:left w:val="single" w:color="000000" w:sz="8" w:space="0"/>
              <w:bottom w:val="single" w:color="000000" w:sz="8" w:space="0"/>
              <w:right w:val="single" w:color="000000" w:sz="8" w:space="0"/>
            </w:tcBorders>
            <w:vAlign w:val="center"/>
          </w:tcPr>
          <w:p w14:paraId="4569F2D9">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pacing w:val="-10"/>
                <w:sz w:val="21"/>
                <w:szCs w:val="21"/>
              </w:rPr>
              <w:t>级</w:t>
            </w:r>
          </w:p>
        </w:tc>
        <w:tc>
          <w:tcPr>
            <w:tcW w:w="496" w:type="pct"/>
            <w:tcBorders>
              <w:top w:val="single" w:color="000000" w:sz="8" w:space="0"/>
              <w:left w:val="single" w:color="000000" w:sz="8" w:space="0"/>
              <w:bottom w:val="single" w:color="000000" w:sz="8" w:space="0"/>
              <w:right w:val="single" w:color="000000" w:sz="8" w:space="0"/>
            </w:tcBorders>
            <w:vAlign w:val="center"/>
          </w:tcPr>
          <w:p w14:paraId="387FF201">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2"/>
                <w:sz w:val="21"/>
                <w:szCs w:val="21"/>
              </w:rPr>
              <w:t>66.577</w:t>
            </w:r>
          </w:p>
        </w:tc>
        <w:tc>
          <w:tcPr>
            <w:tcW w:w="593" w:type="pct"/>
            <w:tcBorders>
              <w:top w:val="single" w:color="000000" w:sz="8" w:space="0"/>
              <w:left w:val="single" w:color="000000" w:sz="8" w:space="0"/>
              <w:bottom w:val="single" w:color="000000" w:sz="8" w:space="0"/>
              <w:right w:val="single" w:color="000000" w:sz="8" w:space="0"/>
            </w:tcBorders>
            <w:vAlign w:val="center"/>
          </w:tcPr>
          <w:p w14:paraId="27682708">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z w:val="21"/>
                <w:szCs w:val="21"/>
              </w:rPr>
              <w:t>新建II</w:t>
            </w:r>
            <w:r>
              <w:rPr>
                <w:rFonts w:hint="eastAsia" w:ascii="宋体" w:hAnsi="宋体" w:eastAsia="宋体" w:cs="宋体"/>
                <w:spacing w:val="-3"/>
                <w:sz w:val="21"/>
                <w:szCs w:val="21"/>
              </w:rPr>
              <w:t>类站路段</w:t>
            </w:r>
          </w:p>
        </w:tc>
        <w:tc>
          <w:tcPr>
            <w:tcW w:w="656" w:type="pct"/>
            <w:tcBorders>
              <w:top w:val="single" w:color="000000" w:sz="8" w:space="0"/>
              <w:left w:val="single" w:color="000000" w:sz="8" w:space="0"/>
              <w:bottom w:val="single" w:color="000000" w:sz="8" w:space="0"/>
              <w:right w:val="single" w:color="000000" w:sz="8" w:space="0"/>
            </w:tcBorders>
            <w:vAlign w:val="center"/>
          </w:tcPr>
          <w:p w14:paraId="7B37B18E">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2"/>
                <w:sz w:val="21"/>
                <w:szCs w:val="21"/>
              </w:rPr>
              <w:t>113.391033</w:t>
            </w:r>
          </w:p>
        </w:tc>
        <w:tc>
          <w:tcPr>
            <w:tcW w:w="711" w:type="pct"/>
            <w:tcBorders>
              <w:top w:val="single" w:color="000000" w:sz="8" w:space="0"/>
              <w:left w:val="single" w:color="000000" w:sz="8" w:space="0"/>
              <w:bottom w:val="single" w:color="000000" w:sz="8" w:space="0"/>
            </w:tcBorders>
            <w:vAlign w:val="center"/>
          </w:tcPr>
          <w:p w14:paraId="2BEB3A1C">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2"/>
                <w:sz w:val="21"/>
                <w:szCs w:val="21"/>
              </w:rPr>
              <w:t>27.098614</w:t>
            </w:r>
          </w:p>
        </w:tc>
      </w:tr>
      <w:tr w14:paraId="0BA85A11">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23" w:hRule="atLeast"/>
        </w:trPr>
        <w:tc>
          <w:tcPr>
            <w:tcW w:w="341" w:type="pct"/>
            <w:tcBorders>
              <w:top w:val="single" w:color="000000" w:sz="8" w:space="0"/>
              <w:bottom w:val="single" w:color="000000" w:sz="8" w:space="0"/>
              <w:right w:val="single" w:color="000000" w:sz="8" w:space="0"/>
            </w:tcBorders>
            <w:vAlign w:val="center"/>
          </w:tcPr>
          <w:p w14:paraId="2780399A">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5"/>
                <w:sz w:val="21"/>
                <w:szCs w:val="21"/>
              </w:rPr>
              <w:t>301</w:t>
            </w:r>
          </w:p>
        </w:tc>
        <w:tc>
          <w:tcPr>
            <w:tcW w:w="587" w:type="pct"/>
            <w:tcBorders>
              <w:top w:val="single" w:color="000000" w:sz="8" w:space="0"/>
              <w:left w:val="single" w:color="000000" w:sz="8" w:space="0"/>
              <w:bottom w:val="single" w:color="000000" w:sz="8" w:space="0"/>
              <w:right w:val="single" w:color="000000" w:sz="8" w:space="0"/>
            </w:tcBorders>
            <w:vAlign w:val="center"/>
          </w:tcPr>
          <w:p w14:paraId="43292995">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4"/>
                <w:sz w:val="21"/>
                <w:szCs w:val="21"/>
              </w:rPr>
              <w:t>株洲市</w:t>
            </w:r>
          </w:p>
        </w:tc>
        <w:tc>
          <w:tcPr>
            <w:tcW w:w="584" w:type="pct"/>
            <w:tcBorders>
              <w:top w:val="single" w:color="000000" w:sz="8" w:space="0"/>
              <w:left w:val="single" w:color="000000" w:sz="8" w:space="0"/>
              <w:bottom w:val="single" w:color="000000" w:sz="8" w:space="0"/>
              <w:right w:val="single" w:color="000000" w:sz="8" w:space="0"/>
            </w:tcBorders>
            <w:vAlign w:val="center"/>
          </w:tcPr>
          <w:p w14:paraId="6072F0E8">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5"/>
                <w:sz w:val="21"/>
                <w:szCs w:val="21"/>
              </w:rPr>
              <w:t>攸县</w:t>
            </w:r>
          </w:p>
        </w:tc>
        <w:tc>
          <w:tcPr>
            <w:tcW w:w="320" w:type="pct"/>
            <w:tcBorders>
              <w:top w:val="single" w:color="000000" w:sz="8" w:space="0"/>
              <w:left w:val="single" w:color="000000" w:sz="8" w:space="0"/>
              <w:bottom w:val="single" w:color="000000" w:sz="8" w:space="0"/>
              <w:right w:val="single" w:color="000000" w:sz="8" w:space="0"/>
            </w:tcBorders>
            <w:vAlign w:val="center"/>
          </w:tcPr>
          <w:p w14:paraId="7241EEC9">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4"/>
                <w:sz w:val="21"/>
                <w:szCs w:val="21"/>
              </w:rPr>
              <w:t>S336</w:t>
            </w:r>
          </w:p>
        </w:tc>
        <w:tc>
          <w:tcPr>
            <w:tcW w:w="295" w:type="pct"/>
            <w:tcBorders>
              <w:top w:val="single" w:color="000000" w:sz="8" w:space="0"/>
              <w:left w:val="single" w:color="000000" w:sz="8" w:space="0"/>
              <w:bottom w:val="single" w:color="000000" w:sz="8" w:space="0"/>
              <w:right w:val="single" w:color="000000" w:sz="8" w:space="0"/>
            </w:tcBorders>
            <w:vAlign w:val="center"/>
          </w:tcPr>
          <w:p w14:paraId="7384AACE">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10"/>
                <w:sz w:val="21"/>
                <w:szCs w:val="21"/>
              </w:rPr>
              <w:t>2</w:t>
            </w:r>
          </w:p>
        </w:tc>
        <w:tc>
          <w:tcPr>
            <w:tcW w:w="412" w:type="pct"/>
            <w:tcBorders>
              <w:top w:val="single" w:color="000000" w:sz="8" w:space="0"/>
              <w:left w:val="single" w:color="000000" w:sz="8" w:space="0"/>
              <w:bottom w:val="single" w:color="000000" w:sz="8" w:space="0"/>
              <w:right w:val="single" w:color="000000" w:sz="8" w:space="0"/>
            </w:tcBorders>
            <w:vAlign w:val="center"/>
          </w:tcPr>
          <w:p w14:paraId="345143ED">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pacing w:val="-10"/>
                <w:sz w:val="21"/>
                <w:szCs w:val="21"/>
              </w:rPr>
              <w:t>级</w:t>
            </w:r>
          </w:p>
        </w:tc>
        <w:tc>
          <w:tcPr>
            <w:tcW w:w="496" w:type="pct"/>
            <w:tcBorders>
              <w:top w:val="single" w:color="000000" w:sz="8" w:space="0"/>
              <w:left w:val="single" w:color="000000" w:sz="8" w:space="0"/>
              <w:bottom w:val="single" w:color="000000" w:sz="8" w:space="0"/>
              <w:right w:val="single" w:color="000000" w:sz="8" w:space="0"/>
            </w:tcBorders>
            <w:vAlign w:val="center"/>
          </w:tcPr>
          <w:p w14:paraId="043DC8CE">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2"/>
                <w:sz w:val="21"/>
                <w:szCs w:val="21"/>
              </w:rPr>
              <w:t>89.761</w:t>
            </w:r>
          </w:p>
        </w:tc>
        <w:tc>
          <w:tcPr>
            <w:tcW w:w="593" w:type="pct"/>
            <w:tcBorders>
              <w:top w:val="single" w:color="000000" w:sz="8" w:space="0"/>
              <w:left w:val="single" w:color="000000" w:sz="8" w:space="0"/>
              <w:bottom w:val="single" w:color="000000" w:sz="8" w:space="0"/>
              <w:right w:val="single" w:color="000000" w:sz="8" w:space="0"/>
            </w:tcBorders>
            <w:vAlign w:val="center"/>
          </w:tcPr>
          <w:p w14:paraId="6AC5B87D">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z w:val="21"/>
                <w:szCs w:val="21"/>
              </w:rPr>
              <w:t>新建I</w:t>
            </w:r>
            <w:r>
              <w:rPr>
                <w:rFonts w:hint="eastAsia" w:ascii="宋体" w:hAnsi="宋体" w:eastAsia="宋体" w:cs="宋体"/>
                <w:spacing w:val="-3"/>
                <w:sz w:val="21"/>
                <w:szCs w:val="21"/>
              </w:rPr>
              <w:t>类站路段</w:t>
            </w:r>
          </w:p>
        </w:tc>
        <w:tc>
          <w:tcPr>
            <w:tcW w:w="656" w:type="pct"/>
            <w:tcBorders>
              <w:top w:val="single" w:color="000000" w:sz="8" w:space="0"/>
              <w:left w:val="single" w:color="000000" w:sz="8" w:space="0"/>
              <w:bottom w:val="single" w:color="000000" w:sz="8" w:space="0"/>
              <w:right w:val="single" w:color="000000" w:sz="8" w:space="0"/>
            </w:tcBorders>
            <w:vAlign w:val="center"/>
          </w:tcPr>
          <w:p w14:paraId="3B9EC1C2">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2"/>
                <w:sz w:val="21"/>
                <w:szCs w:val="21"/>
              </w:rPr>
              <w:t>113.271411</w:t>
            </w:r>
          </w:p>
        </w:tc>
        <w:tc>
          <w:tcPr>
            <w:tcW w:w="711" w:type="pct"/>
            <w:tcBorders>
              <w:top w:val="single" w:color="000000" w:sz="8" w:space="0"/>
              <w:left w:val="single" w:color="000000" w:sz="8" w:space="0"/>
              <w:bottom w:val="single" w:color="000000" w:sz="8" w:space="0"/>
            </w:tcBorders>
            <w:vAlign w:val="center"/>
          </w:tcPr>
          <w:p w14:paraId="369D2EBD">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2"/>
                <w:sz w:val="21"/>
                <w:szCs w:val="21"/>
              </w:rPr>
              <w:t>27.066165</w:t>
            </w:r>
          </w:p>
        </w:tc>
      </w:tr>
      <w:tr w14:paraId="4B9A7F8A">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23" w:hRule="atLeast"/>
        </w:trPr>
        <w:tc>
          <w:tcPr>
            <w:tcW w:w="341" w:type="pct"/>
            <w:tcBorders>
              <w:top w:val="single" w:color="000000" w:sz="8" w:space="0"/>
              <w:bottom w:val="single" w:color="000000" w:sz="8" w:space="0"/>
              <w:right w:val="single" w:color="000000" w:sz="8" w:space="0"/>
            </w:tcBorders>
            <w:vAlign w:val="center"/>
          </w:tcPr>
          <w:p w14:paraId="572A350A">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5"/>
                <w:sz w:val="21"/>
                <w:szCs w:val="21"/>
              </w:rPr>
              <w:t>302</w:t>
            </w:r>
          </w:p>
        </w:tc>
        <w:tc>
          <w:tcPr>
            <w:tcW w:w="587" w:type="pct"/>
            <w:tcBorders>
              <w:top w:val="single" w:color="000000" w:sz="8" w:space="0"/>
              <w:left w:val="single" w:color="000000" w:sz="8" w:space="0"/>
              <w:bottom w:val="single" w:color="000000" w:sz="8" w:space="0"/>
              <w:right w:val="single" w:color="000000" w:sz="8" w:space="0"/>
            </w:tcBorders>
            <w:vAlign w:val="center"/>
          </w:tcPr>
          <w:p w14:paraId="7B30EC5E">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4"/>
                <w:sz w:val="21"/>
                <w:szCs w:val="21"/>
              </w:rPr>
              <w:t>株洲市</w:t>
            </w:r>
          </w:p>
        </w:tc>
        <w:tc>
          <w:tcPr>
            <w:tcW w:w="584" w:type="pct"/>
            <w:tcBorders>
              <w:top w:val="single" w:color="000000" w:sz="8" w:space="0"/>
              <w:left w:val="single" w:color="000000" w:sz="8" w:space="0"/>
              <w:bottom w:val="single" w:color="000000" w:sz="8" w:space="0"/>
              <w:right w:val="single" w:color="000000" w:sz="8" w:space="0"/>
            </w:tcBorders>
            <w:vAlign w:val="center"/>
          </w:tcPr>
          <w:p w14:paraId="36B559EB">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5"/>
                <w:sz w:val="21"/>
                <w:szCs w:val="21"/>
              </w:rPr>
              <w:t>攸县</w:t>
            </w:r>
          </w:p>
        </w:tc>
        <w:tc>
          <w:tcPr>
            <w:tcW w:w="320" w:type="pct"/>
            <w:tcBorders>
              <w:top w:val="single" w:color="000000" w:sz="8" w:space="0"/>
              <w:left w:val="single" w:color="000000" w:sz="8" w:space="0"/>
              <w:bottom w:val="single" w:color="000000" w:sz="8" w:space="0"/>
              <w:right w:val="single" w:color="000000" w:sz="8" w:space="0"/>
            </w:tcBorders>
            <w:vAlign w:val="center"/>
          </w:tcPr>
          <w:p w14:paraId="3D00DD7D">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4"/>
                <w:sz w:val="21"/>
                <w:szCs w:val="21"/>
              </w:rPr>
              <w:t>S534</w:t>
            </w:r>
          </w:p>
        </w:tc>
        <w:tc>
          <w:tcPr>
            <w:tcW w:w="295" w:type="pct"/>
            <w:tcBorders>
              <w:top w:val="single" w:color="000000" w:sz="8" w:space="0"/>
              <w:left w:val="single" w:color="000000" w:sz="8" w:space="0"/>
              <w:bottom w:val="single" w:color="000000" w:sz="8" w:space="0"/>
              <w:right w:val="single" w:color="000000" w:sz="8" w:space="0"/>
            </w:tcBorders>
            <w:vAlign w:val="center"/>
          </w:tcPr>
          <w:p w14:paraId="6D648DDD">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10"/>
                <w:sz w:val="21"/>
                <w:szCs w:val="21"/>
              </w:rPr>
              <w:t>2</w:t>
            </w:r>
          </w:p>
        </w:tc>
        <w:tc>
          <w:tcPr>
            <w:tcW w:w="412" w:type="pct"/>
            <w:tcBorders>
              <w:top w:val="single" w:color="000000" w:sz="8" w:space="0"/>
              <w:left w:val="single" w:color="000000" w:sz="8" w:space="0"/>
              <w:bottom w:val="single" w:color="000000" w:sz="8" w:space="0"/>
              <w:right w:val="single" w:color="000000" w:sz="8" w:space="0"/>
            </w:tcBorders>
            <w:vAlign w:val="center"/>
          </w:tcPr>
          <w:p w14:paraId="4A5B088C">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pacing w:val="-10"/>
                <w:sz w:val="21"/>
                <w:szCs w:val="21"/>
              </w:rPr>
              <w:t>级</w:t>
            </w:r>
          </w:p>
        </w:tc>
        <w:tc>
          <w:tcPr>
            <w:tcW w:w="496" w:type="pct"/>
            <w:tcBorders>
              <w:top w:val="single" w:color="000000" w:sz="8" w:space="0"/>
              <w:left w:val="single" w:color="000000" w:sz="8" w:space="0"/>
              <w:bottom w:val="single" w:color="000000" w:sz="8" w:space="0"/>
              <w:right w:val="single" w:color="000000" w:sz="8" w:space="0"/>
            </w:tcBorders>
            <w:vAlign w:val="center"/>
          </w:tcPr>
          <w:p w14:paraId="3FEA48FE">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2"/>
                <w:sz w:val="21"/>
                <w:szCs w:val="21"/>
              </w:rPr>
              <w:t>36.068</w:t>
            </w:r>
          </w:p>
        </w:tc>
        <w:tc>
          <w:tcPr>
            <w:tcW w:w="593" w:type="pct"/>
            <w:tcBorders>
              <w:top w:val="single" w:color="000000" w:sz="8" w:space="0"/>
              <w:left w:val="single" w:color="000000" w:sz="8" w:space="0"/>
              <w:bottom w:val="single" w:color="000000" w:sz="8" w:space="0"/>
              <w:right w:val="single" w:color="000000" w:sz="8" w:space="0"/>
            </w:tcBorders>
            <w:vAlign w:val="center"/>
          </w:tcPr>
          <w:p w14:paraId="07196412">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z w:val="21"/>
                <w:szCs w:val="21"/>
              </w:rPr>
              <w:t>新建II</w:t>
            </w:r>
            <w:r>
              <w:rPr>
                <w:rFonts w:hint="eastAsia" w:ascii="宋体" w:hAnsi="宋体" w:eastAsia="宋体" w:cs="宋体"/>
                <w:spacing w:val="-3"/>
                <w:sz w:val="21"/>
                <w:szCs w:val="21"/>
              </w:rPr>
              <w:t>类站路段</w:t>
            </w:r>
          </w:p>
        </w:tc>
        <w:tc>
          <w:tcPr>
            <w:tcW w:w="656" w:type="pct"/>
            <w:tcBorders>
              <w:top w:val="single" w:color="000000" w:sz="8" w:space="0"/>
              <w:left w:val="single" w:color="000000" w:sz="8" w:space="0"/>
              <w:bottom w:val="single" w:color="000000" w:sz="8" w:space="0"/>
              <w:right w:val="single" w:color="000000" w:sz="8" w:space="0"/>
            </w:tcBorders>
            <w:vAlign w:val="center"/>
          </w:tcPr>
          <w:p w14:paraId="4F40FE06">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2"/>
                <w:sz w:val="21"/>
                <w:szCs w:val="21"/>
              </w:rPr>
              <w:t>113.673487</w:t>
            </w:r>
          </w:p>
        </w:tc>
        <w:tc>
          <w:tcPr>
            <w:tcW w:w="711" w:type="pct"/>
            <w:tcBorders>
              <w:top w:val="single" w:color="000000" w:sz="8" w:space="0"/>
              <w:left w:val="single" w:color="000000" w:sz="8" w:space="0"/>
              <w:bottom w:val="single" w:color="000000" w:sz="8" w:space="0"/>
            </w:tcBorders>
            <w:vAlign w:val="center"/>
          </w:tcPr>
          <w:p w14:paraId="0B5559A3">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2"/>
                <w:sz w:val="21"/>
                <w:szCs w:val="21"/>
              </w:rPr>
              <w:t>27.292854</w:t>
            </w:r>
          </w:p>
        </w:tc>
      </w:tr>
      <w:tr w14:paraId="314A575C">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23" w:hRule="atLeast"/>
        </w:trPr>
        <w:tc>
          <w:tcPr>
            <w:tcW w:w="341" w:type="pct"/>
            <w:tcBorders>
              <w:top w:val="single" w:color="000000" w:sz="8" w:space="0"/>
              <w:bottom w:val="single" w:color="000000" w:sz="8" w:space="0"/>
              <w:right w:val="single" w:color="000000" w:sz="8" w:space="0"/>
            </w:tcBorders>
            <w:vAlign w:val="center"/>
          </w:tcPr>
          <w:p w14:paraId="4BC71780">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5"/>
                <w:sz w:val="21"/>
                <w:szCs w:val="21"/>
              </w:rPr>
              <w:t>303</w:t>
            </w:r>
          </w:p>
        </w:tc>
        <w:tc>
          <w:tcPr>
            <w:tcW w:w="587" w:type="pct"/>
            <w:tcBorders>
              <w:top w:val="single" w:color="000000" w:sz="8" w:space="0"/>
              <w:left w:val="single" w:color="000000" w:sz="8" w:space="0"/>
              <w:bottom w:val="single" w:color="000000" w:sz="8" w:space="0"/>
              <w:right w:val="single" w:color="000000" w:sz="8" w:space="0"/>
            </w:tcBorders>
            <w:vAlign w:val="center"/>
          </w:tcPr>
          <w:p w14:paraId="3BABA51C">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4"/>
                <w:sz w:val="21"/>
                <w:szCs w:val="21"/>
              </w:rPr>
              <w:t>株洲市</w:t>
            </w:r>
          </w:p>
        </w:tc>
        <w:tc>
          <w:tcPr>
            <w:tcW w:w="584" w:type="pct"/>
            <w:tcBorders>
              <w:top w:val="single" w:color="000000" w:sz="8" w:space="0"/>
              <w:left w:val="single" w:color="000000" w:sz="8" w:space="0"/>
              <w:bottom w:val="single" w:color="000000" w:sz="8" w:space="0"/>
              <w:right w:val="single" w:color="000000" w:sz="8" w:space="0"/>
            </w:tcBorders>
            <w:vAlign w:val="center"/>
          </w:tcPr>
          <w:p w14:paraId="28927C73">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5"/>
                <w:sz w:val="21"/>
                <w:szCs w:val="21"/>
              </w:rPr>
              <w:t>攸县</w:t>
            </w:r>
          </w:p>
        </w:tc>
        <w:tc>
          <w:tcPr>
            <w:tcW w:w="320" w:type="pct"/>
            <w:tcBorders>
              <w:top w:val="single" w:color="000000" w:sz="8" w:space="0"/>
              <w:left w:val="single" w:color="000000" w:sz="8" w:space="0"/>
              <w:bottom w:val="single" w:color="000000" w:sz="8" w:space="0"/>
              <w:right w:val="single" w:color="000000" w:sz="8" w:space="0"/>
            </w:tcBorders>
            <w:vAlign w:val="center"/>
          </w:tcPr>
          <w:p w14:paraId="1E01FC95">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4"/>
                <w:sz w:val="21"/>
                <w:szCs w:val="21"/>
              </w:rPr>
              <w:t>S534</w:t>
            </w:r>
          </w:p>
        </w:tc>
        <w:tc>
          <w:tcPr>
            <w:tcW w:w="295" w:type="pct"/>
            <w:tcBorders>
              <w:top w:val="single" w:color="000000" w:sz="8" w:space="0"/>
              <w:left w:val="single" w:color="000000" w:sz="8" w:space="0"/>
              <w:bottom w:val="single" w:color="000000" w:sz="8" w:space="0"/>
              <w:right w:val="single" w:color="000000" w:sz="8" w:space="0"/>
            </w:tcBorders>
            <w:vAlign w:val="center"/>
          </w:tcPr>
          <w:p w14:paraId="79B2FE8E">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10"/>
                <w:sz w:val="21"/>
                <w:szCs w:val="21"/>
              </w:rPr>
              <w:t>2</w:t>
            </w:r>
          </w:p>
        </w:tc>
        <w:tc>
          <w:tcPr>
            <w:tcW w:w="412" w:type="pct"/>
            <w:tcBorders>
              <w:top w:val="single" w:color="000000" w:sz="8" w:space="0"/>
              <w:left w:val="single" w:color="000000" w:sz="8" w:space="0"/>
              <w:bottom w:val="single" w:color="000000" w:sz="8" w:space="0"/>
              <w:right w:val="single" w:color="000000" w:sz="8" w:space="0"/>
            </w:tcBorders>
            <w:vAlign w:val="center"/>
          </w:tcPr>
          <w:p w14:paraId="5E02E40A">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pacing w:val="-10"/>
                <w:sz w:val="21"/>
                <w:szCs w:val="21"/>
              </w:rPr>
              <w:t>级</w:t>
            </w:r>
          </w:p>
        </w:tc>
        <w:tc>
          <w:tcPr>
            <w:tcW w:w="496" w:type="pct"/>
            <w:tcBorders>
              <w:top w:val="single" w:color="000000" w:sz="8" w:space="0"/>
              <w:left w:val="single" w:color="000000" w:sz="8" w:space="0"/>
              <w:bottom w:val="single" w:color="000000" w:sz="8" w:space="0"/>
              <w:right w:val="single" w:color="000000" w:sz="8" w:space="0"/>
            </w:tcBorders>
            <w:vAlign w:val="center"/>
          </w:tcPr>
          <w:p w14:paraId="2B3CA4BC">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2"/>
                <w:sz w:val="21"/>
                <w:szCs w:val="21"/>
              </w:rPr>
              <w:t>39.271</w:t>
            </w:r>
          </w:p>
        </w:tc>
        <w:tc>
          <w:tcPr>
            <w:tcW w:w="593" w:type="pct"/>
            <w:tcBorders>
              <w:top w:val="single" w:color="000000" w:sz="8" w:space="0"/>
              <w:left w:val="single" w:color="000000" w:sz="8" w:space="0"/>
              <w:bottom w:val="single" w:color="000000" w:sz="8" w:space="0"/>
              <w:right w:val="single" w:color="000000" w:sz="8" w:space="0"/>
            </w:tcBorders>
            <w:vAlign w:val="center"/>
          </w:tcPr>
          <w:p w14:paraId="4DC4FEBA">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z w:val="21"/>
                <w:szCs w:val="21"/>
              </w:rPr>
              <w:t>新建I</w:t>
            </w:r>
            <w:r>
              <w:rPr>
                <w:rFonts w:hint="eastAsia" w:ascii="宋体" w:hAnsi="宋体" w:eastAsia="宋体" w:cs="宋体"/>
                <w:spacing w:val="-3"/>
                <w:sz w:val="21"/>
                <w:szCs w:val="21"/>
              </w:rPr>
              <w:t>类站路段</w:t>
            </w:r>
          </w:p>
        </w:tc>
        <w:tc>
          <w:tcPr>
            <w:tcW w:w="656" w:type="pct"/>
            <w:tcBorders>
              <w:top w:val="single" w:color="000000" w:sz="8" w:space="0"/>
              <w:left w:val="single" w:color="000000" w:sz="8" w:space="0"/>
              <w:bottom w:val="single" w:color="000000" w:sz="8" w:space="0"/>
              <w:right w:val="single" w:color="000000" w:sz="8" w:space="0"/>
            </w:tcBorders>
            <w:vAlign w:val="center"/>
          </w:tcPr>
          <w:p w14:paraId="53830662">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2"/>
                <w:sz w:val="21"/>
                <w:szCs w:val="21"/>
              </w:rPr>
              <w:t>113.693652</w:t>
            </w:r>
          </w:p>
        </w:tc>
        <w:tc>
          <w:tcPr>
            <w:tcW w:w="711" w:type="pct"/>
            <w:tcBorders>
              <w:top w:val="single" w:color="000000" w:sz="8" w:space="0"/>
              <w:left w:val="single" w:color="000000" w:sz="8" w:space="0"/>
              <w:bottom w:val="single" w:color="000000" w:sz="8" w:space="0"/>
            </w:tcBorders>
            <w:vAlign w:val="center"/>
          </w:tcPr>
          <w:p w14:paraId="4B846D39">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2"/>
                <w:sz w:val="21"/>
                <w:szCs w:val="21"/>
              </w:rPr>
              <w:t>27.282356</w:t>
            </w:r>
          </w:p>
        </w:tc>
      </w:tr>
      <w:tr w14:paraId="21FF3E1C">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23" w:hRule="atLeast"/>
        </w:trPr>
        <w:tc>
          <w:tcPr>
            <w:tcW w:w="341" w:type="pct"/>
            <w:tcBorders>
              <w:top w:val="single" w:color="000000" w:sz="8" w:space="0"/>
              <w:bottom w:val="single" w:color="000000" w:sz="8" w:space="0"/>
              <w:right w:val="single" w:color="000000" w:sz="8" w:space="0"/>
            </w:tcBorders>
            <w:vAlign w:val="center"/>
          </w:tcPr>
          <w:p w14:paraId="149C1E6F">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5"/>
                <w:sz w:val="21"/>
                <w:szCs w:val="21"/>
              </w:rPr>
              <w:t>304</w:t>
            </w:r>
          </w:p>
        </w:tc>
        <w:tc>
          <w:tcPr>
            <w:tcW w:w="587" w:type="pct"/>
            <w:tcBorders>
              <w:top w:val="single" w:color="000000" w:sz="8" w:space="0"/>
              <w:left w:val="single" w:color="000000" w:sz="8" w:space="0"/>
              <w:bottom w:val="single" w:color="000000" w:sz="8" w:space="0"/>
              <w:right w:val="single" w:color="000000" w:sz="8" w:space="0"/>
            </w:tcBorders>
            <w:vAlign w:val="center"/>
          </w:tcPr>
          <w:p w14:paraId="1D3DFD94">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4"/>
                <w:sz w:val="21"/>
                <w:szCs w:val="21"/>
              </w:rPr>
              <w:t>株洲市</w:t>
            </w:r>
          </w:p>
        </w:tc>
        <w:tc>
          <w:tcPr>
            <w:tcW w:w="584" w:type="pct"/>
            <w:tcBorders>
              <w:top w:val="single" w:color="000000" w:sz="8" w:space="0"/>
              <w:left w:val="single" w:color="000000" w:sz="8" w:space="0"/>
              <w:bottom w:val="single" w:color="000000" w:sz="8" w:space="0"/>
              <w:right w:val="single" w:color="000000" w:sz="8" w:space="0"/>
            </w:tcBorders>
            <w:vAlign w:val="center"/>
          </w:tcPr>
          <w:p w14:paraId="22B533C7">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5"/>
                <w:sz w:val="21"/>
                <w:szCs w:val="21"/>
              </w:rPr>
              <w:t>攸县</w:t>
            </w:r>
          </w:p>
        </w:tc>
        <w:tc>
          <w:tcPr>
            <w:tcW w:w="320" w:type="pct"/>
            <w:tcBorders>
              <w:top w:val="single" w:color="000000" w:sz="8" w:space="0"/>
              <w:left w:val="single" w:color="000000" w:sz="8" w:space="0"/>
              <w:bottom w:val="single" w:color="000000" w:sz="8" w:space="0"/>
              <w:right w:val="single" w:color="000000" w:sz="8" w:space="0"/>
            </w:tcBorders>
            <w:vAlign w:val="center"/>
          </w:tcPr>
          <w:p w14:paraId="6D2E959F">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4"/>
                <w:sz w:val="21"/>
                <w:szCs w:val="21"/>
              </w:rPr>
              <w:t>S535</w:t>
            </w:r>
          </w:p>
        </w:tc>
        <w:tc>
          <w:tcPr>
            <w:tcW w:w="295" w:type="pct"/>
            <w:tcBorders>
              <w:top w:val="single" w:color="000000" w:sz="8" w:space="0"/>
              <w:left w:val="single" w:color="000000" w:sz="8" w:space="0"/>
              <w:bottom w:val="single" w:color="000000" w:sz="8" w:space="0"/>
              <w:right w:val="single" w:color="000000" w:sz="8" w:space="0"/>
            </w:tcBorders>
            <w:vAlign w:val="center"/>
          </w:tcPr>
          <w:p w14:paraId="238EA2AC">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10"/>
                <w:sz w:val="21"/>
                <w:szCs w:val="21"/>
              </w:rPr>
              <w:t>2</w:t>
            </w:r>
          </w:p>
        </w:tc>
        <w:tc>
          <w:tcPr>
            <w:tcW w:w="412" w:type="pct"/>
            <w:tcBorders>
              <w:top w:val="single" w:color="000000" w:sz="8" w:space="0"/>
              <w:left w:val="single" w:color="000000" w:sz="8" w:space="0"/>
              <w:bottom w:val="single" w:color="000000" w:sz="8" w:space="0"/>
              <w:right w:val="single" w:color="000000" w:sz="8" w:space="0"/>
            </w:tcBorders>
            <w:vAlign w:val="center"/>
          </w:tcPr>
          <w:p w14:paraId="59318BAC">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pacing w:val="-10"/>
                <w:sz w:val="21"/>
                <w:szCs w:val="21"/>
              </w:rPr>
              <w:t>级</w:t>
            </w:r>
          </w:p>
        </w:tc>
        <w:tc>
          <w:tcPr>
            <w:tcW w:w="496" w:type="pct"/>
            <w:tcBorders>
              <w:top w:val="single" w:color="000000" w:sz="8" w:space="0"/>
              <w:left w:val="single" w:color="000000" w:sz="8" w:space="0"/>
              <w:bottom w:val="single" w:color="000000" w:sz="8" w:space="0"/>
              <w:right w:val="single" w:color="000000" w:sz="8" w:space="0"/>
            </w:tcBorders>
            <w:vAlign w:val="center"/>
          </w:tcPr>
          <w:p w14:paraId="55466D11">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2"/>
                <w:sz w:val="21"/>
                <w:szCs w:val="21"/>
              </w:rPr>
              <w:t>10.907</w:t>
            </w:r>
          </w:p>
        </w:tc>
        <w:tc>
          <w:tcPr>
            <w:tcW w:w="593" w:type="pct"/>
            <w:tcBorders>
              <w:top w:val="single" w:color="000000" w:sz="8" w:space="0"/>
              <w:left w:val="single" w:color="000000" w:sz="8" w:space="0"/>
              <w:bottom w:val="single" w:color="000000" w:sz="8" w:space="0"/>
              <w:right w:val="single" w:color="000000" w:sz="8" w:space="0"/>
            </w:tcBorders>
            <w:vAlign w:val="center"/>
          </w:tcPr>
          <w:p w14:paraId="40DD691A">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z w:val="21"/>
                <w:szCs w:val="21"/>
              </w:rPr>
              <w:t>新建II</w:t>
            </w:r>
            <w:r>
              <w:rPr>
                <w:rFonts w:hint="eastAsia" w:ascii="宋体" w:hAnsi="宋体" w:eastAsia="宋体" w:cs="宋体"/>
                <w:spacing w:val="-3"/>
                <w:sz w:val="21"/>
                <w:szCs w:val="21"/>
              </w:rPr>
              <w:t>类站路段</w:t>
            </w:r>
          </w:p>
        </w:tc>
        <w:tc>
          <w:tcPr>
            <w:tcW w:w="656" w:type="pct"/>
            <w:tcBorders>
              <w:top w:val="single" w:color="000000" w:sz="8" w:space="0"/>
              <w:left w:val="single" w:color="000000" w:sz="8" w:space="0"/>
              <w:bottom w:val="single" w:color="000000" w:sz="8" w:space="0"/>
              <w:right w:val="single" w:color="000000" w:sz="8" w:space="0"/>
            </w:tcBorders>
            <w:vAlign w:val="center"/>
          </w:tcPr>
          <w:p w14:paraId="4EB6704E">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2"/>
                <w:sz w:val="21"/>
                <w:szCs w:val="21"/>
              </w:rPr>
              <w:t>113.627205</w:t>
            </w:r>
          </w:p>
        </w:tc>
        <w:tc>
          <w:tcPr>
            <w:tcW w:w="711" w:type="pct"/>
            <w:tcBorders>
              <w:top w:val="single" w:color="000000" w:sz="8" w:space="0"/>
              <w:left w:val="single" w:color="000000" w:sz="8" w:space="0"/>
              <w:bottom w:val="single" w:color="000000" w:sz="8" w:space="0"/>
            </w:tcBorders>
            <w:vAlign w:val="center"/>
          </w:tcPr>
          <w:p w14:paraId="3B7BB715">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2"/>
                <w:sz w:val="21"/>
                <w:szCs w:val="21"/>
              </w:rPr>
              <w:t>27.194675</w:t>
            </w:r>
          </w:p>
        </w:tc>
      </w:tr>
      <w:tr w14:paraId="5F61B798">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23" w:hRule="atLeast"/>
        </w:trPr>
        <w:tc>
          <w:tcPr>
            <w:tcW w:w="341" w:type="pct"/>
            <w:tcBorders>
              <w:top w:val="single" w:color="000000" w:sz="8" w:space="0"/>
              <w:right w:val="single" w:color="000000" w:sz="8" w:space="0"/>
            </w:tcBorders>
            <w:vAlign w:val="center"/>
          </w:tcPr>
          <w:p w14:paraId="27FCF480">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5"/>
                <w:sz w:val="21"/>
                <w:szCs w:val="21"/>
              </w:rPr>
              <w:t>305</w:t>
            </w:r>
          </w:p>
        </w:tc>
        <w:tc>
          <w:tcPr>
            <w:tcW w:w="587" w:type="pct"/>
            <w:tcBorders>
              <w:top w:val="single" w:color="000000" w:sz="8" w:space="0"/>
              <w:left w:val="single" w:color="000000" w:sz="8" w:space="0"/>
              <w:right w:val="single" w:color="000000" w:sz="8" w:space="0"/>
            </w:tcBorders>
            <w:vAlign w:val="center"/>
          </w:tcPr>
          <w:p w14:paraId="42FFC5FE">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4"/>
                <w:sz w:val="21"/>
                <w:szCs w:val="21"/>
              </w:rPr>
              <w:t>株洲市</w:t>
            </w:r>
          </w:p>
        </w:tc>
        <w:tc>
          <w:tcPr>
            <w:tcW w:w="584" w:type="pct"/>
            <w:tcBorders>
              <w:top w:val="single" w:color="000000" w:sz="8" w:space="0"/>
              <w:left w:val="single" w:color="000000" w:sz="8" w:space="0"/>
              <w:right w:val="single" w:color="000000" w:sz="8" w:space="0"/>
            </w:tcBorders>
            <w:vAlign w:val="center"/>
          </w:tcPr>
          <w:p w14:paraId="13509B14">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5"/>
                <w:sz w:val="21"/>
                <w:szCs w:val="21"/>
              </w:rPr>
              <w:t>攸县</w:t>
            </w:r>
          </w:p>
        </w:tc>
        <w:tc>
          <w:tcPr>
            <w:tcW w:w="320" w:type="pct"/>
            <w:tcBorders>
              <w:top w:val="single" w:color="000000" w:sz="8" w:space="0"/>
              <w:left w:val="single" w:color="000000" w:sz="8" w:space="0"/>
              <w:right w:val="single" w:color="000000" w:sz="8" w:space="0"/>
            </w:tcBorders>
            <w:vAlign w:val="center"/>
          </w:tcPr>
          <w:p w14:paraId="36DD7787">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4"/>
                <w:sz w:val="21"/>
                <w:szCs w:val="21"/>
              </w:rPr>
              <w:t>S535</w:t>
            </w:r>
          </w:p>
        </w:tc>
        <w:tc>
          <w:tcPr>
            <w:tcW w:w="295" w:type="pct"/>
            <w:tcBorders>
              <w:top w:val="single" w:color="000000" w:sz="8" w:space="0"/>
              <w:left w:val="single" w:color="000000" w:sz="8" w:space="0"/>
              <w:right w:val="single" w:color="000000" w:sz="8" w:space="0"/>
            </w:tcBorders>
            <w:vAlign w:val="center"/>
          </w:tcPr>
          <w:p w14:paraId="2CFA54A1">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10"/>
                <w:sz w:val="21"/>
                <w:szCs w:val="21"/>
              </w:rPr>
              <w:t>2</w:t>
            </w:r>
          </w:p>
        </w:tc>
        <w:tc>
          <w:tcPr>
            <w:tcW w:w="412" w:type="pct"/>
            <w:tcBorders>
              <w:top w:val="single" w:color="000000" w:sz="8" w:space="0"/>
              <w:left w:val="single" w:color="000000" w:sz="8" w:space="0"/>
              <w:right w:val="single" w:color="000000" w:sz="8" w:space="0"/>
            </w:tcBorders>
            <w:vAlign w:val="center"/>
          </w:tcPr>
          <w:p w14:paraId="2E1AA0B5">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pacing w:val="-10"/>
                <w:sz w:val="21"/>
                <w:szCs w:val="21"/>
              </w:rPr>
              <w:t>级</w:t>
            </w:r>
          </w:p>
        </w:tc>
        <w:tc>
          <w:tcPr>
            <w:tcW w:w="496" w:type="pct"/>
            <w:tcBorders>
              <w:top w:val="single" w:color="000000" w:sz="8" w:space="0"/>
              <w:left w:val="single" w:color="000000" w:sz="8" w:space="0"/>
              <w:right w:val="single" w:color="000000" w:sz="8" w:space="0"/>
            </w:tcBorders>
            <w:vAlign w:val="center"/>
          </w:tcPr>
          <w:p w14:paraId="1F75B25A">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2"/>
                <w:sz w:val="21"/>
                <w:szCs w:val="21"/>
              </w:rPr>
              <w:t>23.656</w:t>
            </w:r>
          </w:p>
        </w:tc>
        <w:tc>
          <w:tcPr>
            <w:tcW w:w="593" w:type="pct"/>
            <w:tcBorders>
              <w:top w:val="single" w:color="000000" w:sz="8" w:space="0"/>
              <w:left w:val="single" w:color="000000" w:sz="8" w:space="0"/>
              <w:right w:val="single" w:color="000000" w:sz="8" w:space="0"/>
            </w:tcBorders>
            <w:vAlign w:val="center"/>
          </w:tcPr>
          <w:p w14:paraId="4DA3BCEC">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z w:val="21"/>
                <w:szCs w:val="21"/>
              </w:rPr>
              <w:t>新建I</w:t>
            </w:r>
            <w:r>
              <w:rPr>
                <w:rFonts w:hint="eastAsia" w:ascii="宋体" w:hAnsi="宋体" w:eastAsia="宋体" w:cs="宋体"/>
                <w:spacing w:val="-3"/>
                <w:sz w:val="21"/>
                <w:szCs w:val="21"/>
              </w:rPr>
              <w:t>类站路段</w:t>
            </w:r>
          </w:p>
        </w:tc>
        <w:tc>
          <w:tcPr>
            <w:tcW w:w="656" w:type="pct"/>
            <w:tcBorders>
              <w:top w:val="single" w:color="000000" w:sz="8" w:space="0"/>
              <w:left w:val="single" w:color="000000" w:sz="8" w:space="0"/>
              <w:right w:val="single" w:color="000000" w:sz="8" w:space="0"/>
            </w:tcBorders>
            <w:vAlign w:val="center"/>
          </w:tcPr>
          <w:p w14:paraId="68E5AD7B">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2"/>
                <w:sz w:val="21"/>
                <w:szCs w:val="21"/>
              </w:rPr>
              <w:t>113.735459</w:t>
            </w:r>
          </w:p>
        </w:tc>
        <w:tc>
          <w:tcPr>
            <w:tcW w:w="711" w:type="pct"/>
            <w:tcBorders>
              <w:top w:val="single" w:color="000000" w:sz="8" w:space="0"/>
              <w:left w:val="single" w:color="000000" w:sz="8" w:space="0"/>
            </w:tcBorders>
            <w:vAlign w:val="center"/>
          </w:tcPr>
          <w:p w14:paraId="7E9CB469">
            <w:pPr>
              <w:pStyle w:val="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outlineLvl w:val="9"/>
              <w:rPr>
                <w:rFonts w:hint="eastAsia" w:ascii="宋体" w:hAnsi="宋体" w:eastAsia="宋体" w:cs="宋体"/>
                <w:sz w:val="21"/>
                <w:szCs w:val="21"/>
              </w:rPr>
            </w:pPr>
            <w:r>
              <w:rPr>
                <w:rFonts w:hint="eastAsia" w:ascii="宋体" w:hAnsi="宋体" w:eastAsia="宋体" w:cs="宋体"/>
                <w:spacing w:val="-2"/>
                <w:sz w:val="21"/>
                <w:szCs w:val="21"/>
              </w:rPr>
              <w:t>27.149497</w:t>
            </w:r>
          </w:p>
        </w:tc>
      </w:tr>
    </w:tbl>
    <w:p w14:paraId="247DF854"/>
    <w:p w14:paraId="73F0C3C6">
      <w:pPr>
        <w:rPr>
          <w:rFonts w:hint="eastAsia" w:ascii="黑体" w:hAnsi="黑体" w:eastAsia="黑体" w:cs="Times New Roman"/>
          <w:color w:val="auto"/>
          <w:sz w:val="28"/>
          <w:szCs w:val="28"/>
          <w:highlight w:val="none"/>
        </w:rPr>
      </w:pPr>
    </w:p>
    <w:p w14:paraId="4A036FDD">
      <w:bookmarkStart w:id="3" w:name="_GoBack"/>
      <w:bookmarkEnd w:id="3"/>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A159A38"/>
    <w:multiLevelType w:val="singleLevel"/>
    <w:tmpl w:val="DA159A38"/>
    <w:lvl w:ilvl="0" w:tentative="0">
      <w:start w:val="1"/>
      <w:numFmt w:val="bullet"/>
      <w:lvlText w:val=""/>
      <w:lvlJc w:val="left"/>
      <w:pPr>
        <w:ind w:left="42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E5502EF"/>
    <w:rsid w:val="6E5502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jc w:val="center"/>
      <w:outlineLvl w:val="0"/>
    </w:pPr>
    <w:rPr>
      <w:b/>
      <w:bCs/>
      <w:sz w:val="24"/>
      <w:szCs w:val="20"/>
    </w:rPr>
  </w:style>
  <w:style w:type="paragraph" w:styleId="3">
    <w:name w:val="heading 2"/>
    <w:basedOn w:val="1"/>
    <w:next w:val="1"/>
    <w:qFormat/>
    <w:uiPriority w:val="0"/>
    <w:pPr>
      <w:keepNext/>
      <w:keepLines/>
      <w:spacing w:line="360" w:lineRule="auto"/>
      <w:outlineLvl w:val="1"/>
    </w:pPr>
    <w:rPr>
      <w:rFonts w:ascii="Arial" w:hAnsi="Arial"/>
      <w:b/>
      <w:bCs/>
      <w:sz w:val="24"/>
      <w:szCs w:val="32"/>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Body Text"/>
    <w:basedOn w:val="1"/>
    <w:semiHidden/>
    <w:qFormat/>
    <w:uiPriority w:val="0"/>
    <w:rPr>
      <w:rFonts w:ascii="宋体" w:hAnsi="宋体" w:eastAsia="宋体" w:cs="宋体"/>
      <w:sz w:val="31"/>
      <w:szCs w:val="31"/>
      <w:lang w:val="en-US" w:eastAsia="en-US" w:bidi="ar-SA"/>
    </w:rPr>
  </w:style>
  <w:style w:type="paragraph" w:styleId="7">
    <w:name w:val="List Paragraph"/>
    <w:basedOn w:val="1"/>
    <w:qFormat/>
    <w:uiPriority w:val="34"/>
    <w:pPr>
      <w:ind w:firstLine="420" w:firstLineChars="200"/>
    </w:pPr>
  </w:style>
  <w:style w:type="paragraph" w:customStyle="1" w:styleId="8">
    <w:name w:val="Table Paragraph"/>
    <w:basedOn w:val="1"/>
    <w:qFormat/>
    <w:uiPriority w:val="1"/>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30</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2026-10-09T01:33:00Z</dcterms:created>
  <dc:creator>Administrator</dc:creator>
  <cp:lastModifiedBy>Administrator</cp:lastModifiedBy>
  <dcterms:modified xsi:type="dcterms:W3CDTF">2026-10-09T01:33:40Z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0870C42D517F40E3981E0F6E03E4D32F_11</vt:lpwstr>
  </property>
  <property fmtid="{D5CDD505-2E9C-101B-9397-08002B2CF9AE}" pid="4" name="KSOTemplateDocerSaveRecord">
    <vt:lpwstr>eyJoZGlkIjoiMWYxNDRhN2VmZTgyZDM0YTcxMGZiYmM1YjU2YzhmMjYifQ==</vt:lpwstr>
  </property>
</Properties>
</file>