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BA513">
      <w:pPr>
        <w:adjustRightInd w:val="0"/>
        <w:snapToGrid w:val="0"/>
        <w:spacing w:line="400" w:lineRule="exact"/>
        <w:ind w:left="105" w:leftChars="50"/>
        <w:jc w:val="center"/>
        <w:rPr>
          <w:rFonts w:ascii="宋体" w:hAnsi="宋体"/>
          <w:b/>
          <w:color w:val="auto"/>
          <w:sz w:val="28"/>
          <w:szCs w:val="28"/>
        </w:rPr>
      </w:pPr>
      <w:bookmarkStart w:id="4" w:name="_GoBack"/>
      <w:bookmarkEnd w:id="4"/>
      <w:r>
        <w:rPr>
          <w:rFonts w:hint="eastAsia" w:ascii="宋体" w:hAnsi="宋体"/>
          <w:b/>
          <w:color w:val="auto"/>
          <w:sz w:val="28"/>
          <w:szCs w:val="28"/>
        </w:rPr>
        <w:t>采购需求</w:t>
      </w:r>
    </w:p>
    <w:p w14:paraId="0085E04F">
      <w:pPr>
        <w:keepNext/>
        <w:keepLines/>
        <w:adjustRightInd w:val="0"/>
        <w:snapToGrid w:val="0"/>
        <w:spacing w:before="156" w:beforeLines="50" w:line="360" w:lineRule="auto"/>
        <w:jc w:val="center"/>
        <w:outlineLvl w:val="1"/>
        <w:rPr>
          <w:rFonts w:ascii="黑体" w:hAnsi="黑体" w:eastAsia="黑体"/>
          <w:b/>
          <w:bCs/>
          <w:color w:val="auto"/>
          <w:sz w:val="28"/>
          <w:szCs w:val="28"/>
        </w:rPr>
      </w:pPr>
      <w:bookmarkStart w:id="0" w:name="_Toc3342"/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第一节 采购清单一览表</w:t>
      </w:r>
      <w:bookmarkEnd w:id="0"/>
    </w:p>
    <w:tbl>
      <w:tblPr>
        <w:tblStyle w:val="6"/>
        <w:tblW w:w="927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267"/>
        <w:gridCol w:w="1458"/>
        <w:gridCol w:w="1522"/>
        <w:gridCol w:w="795"/>
        <w:gridCol w:w="1125"/>
        <w:gridCol w:w="1141"/>
        <w:gridCol w:w="674"/>
        <w:gridCol w:w="742"/>
      </w:tblGrid>
      <w:tr w14:paraId="47BBC5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</w:trPr>
        <w:tc>
          <w:tcPr>
            <w:tcW w:w="553" w:type="dxa"/>
            <w:noWrap/>
            <w:vAlign w:val="center"/>
          </w:tcPr>
          <w:p w14:paraId="46D05069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包号 </w:t>
            </w:r>
          </w:p>
        </w:tc>
        <w:tc>
          <w:tcPr>
            <w:tcW w:w="1267" w:type="dxa"/>
            <w:noWrap/>
            <w:vAlign w:val="center"/>
          </w:tcPr>
          <w:p w14:paraId="493C4721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包名称</w:t>
            </w:r>
          </w:p>
        </w:tc>
        <w:tc>
          <w:tcPr>
            <w:tcW w:w="1458" w:type="dxa"/>
            <w:noWrap/>
            <w:vAlign w:val="center"/>
          </w:tcPr>
          <w:p w14:paraId="4E36109F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标的名称</w:t>
            </w:r>
          </w:p>
        </w:tc>
        <w:tc>
          <w:tcPr>
            <w:tcW w:w="1522" w:type="dxa"/>
            <w:tcBorders>
              <w:left w:val="single" w:color="auto" w:sz="4" w:space="0"/>
            </w:tcBorders>
            <w:noWrap/>
            <w:vAlign w:val="center"/>
          </w:tcPr>
          <w:p w14:paraId="1C15395B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简要技术要求</w:t>
            </w:r>
          </w:p>
        </w:tc>
        <w:tc>
          <w:tcPr>
            <w:tcW w:w="795" w:type="dxa"/>
            <w:tcBorders>
              <w:left w:val="single" w:color="auto" w:sz="4" w:space="0"/>
            </w:tcBorders>
            <w:noWrap/>
            <w:vAlign w:val="center"/>
          </w:tcPr>
          <w:p w14:paraId="22210060">
            <w:pPr>
              <w:adjustRightInd w:val="0"/>
              <w:snapToGrid w:val="0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数量</w:t>
            </w:r>
          </w:p>
        </w:tc>
        <w:tc>
          <w:tcPr>
            <w:tcW w:w="1125" w:type="dxa"/>
            <w:noWrap/>
            <w:vAlign w:val="center"/>
          </w:tcPr>
          <w:p w14:paraId="42DB96E4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标的预算</w:t>
            </w:r>
          </w:p>
        </w:tc>
        <w:tc>
          <w:tcPr>
            <w:tcW w:w="1141" w:type="dxa"/>
            <w:noWrap/>
            <w:vAlign w:val="center"/>
          </w:tcPr>
          <w:p w14:paraId="03126C0B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最高限价</w:t>
            </w:r>
          </w:p>
        </w:tc>
        <w:tc>
          <w:tcPr>
            <w:tcW w:w="674" w:type="dxa"/>
            <w:noWrap/>
            <w:vAlign w:val="center"/>
          </w:tcPr>
          <w:p w14:paraId="7445E07C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节能产品</w:t>
            </w:r>
          </w:p>
        </w:tc>
        <w:tc>
          <w:tcPr>
            <w:tcW w:w="742" w:type="dxa"/>
            <w:noWrap/>
            <w:vAlign w:val="center"/>
          </w:tcPr>
          <w:p w14:paraId="40DF8C30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进口产品</w:t>
            </w:r>
          </w:p>
        </w:tc>
      </w:tr>
      <w:tr w14:paraId="6612EC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</w:trPr>
        <w:tc>
          <w:tcPr>
            <w:tcW w:w="553" w:type="dxa"/>
            <w:noWrap/>
            <w:vAlign w:val="center"/>
          </w:tcPr>
          <w:p w14:paraId="61177CEE">
            <w:pPr>
              <w:adjustRightInd w:val="0"/>
              <w:snapToGrid w:val="0"/>
              <w:spacing w:before="156" w:beforeLines="50" w:line="240" w:lineRule="auto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整包</w:t>
            </w:r>
          </w:p>
        </w:tc>
        <w:tc>
          <w:tcPr>
            <w:tcW w:w="1267" w:type="dxa"/>
            <w:noWrap/>
            <w:vAlign w:val="center"/>
          </w:tcPr>
          <w:p w14:paraId="77AE76ED">
            <w:pPr>
              <w:adjustRightInd w:val="0"/>
              <w:snapToGrid w:val="0"/>
              <w:spacing w:before="156" w:beforeLines="50" w:line="240" w:lineRule="auto"/>
              <w:jc w:val="left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华容县人民医院4K超高清内窥镜系统采购项目</w:t>
            </w:r>
          </w:p>
        </w:tc>
        <w:tc>
          <w:tcPr>
            <w:tcW w:w="1458" w:type="dxa"/>
            <w:noWrap/>
            <w:vAlign w:val="center"/>
          </w:tcPr>
          <w:p w14:paraId="4AF62E37">
            <w:pPr>
              <w:adjustRightInd w:val="0"/>
              <w:snapToGrid w:val="0"/>
              <w:spacing w:before="156" w:beforeLines="50" w:line="240" w:lineRule="auto"/>
              <w:jc w:val="left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华容县人民医院4K超高清内窥镜系统采购项目</w:t>
            </w:r>
          </w:p>
        </w:tc>
        <w:tc>
          <w:tcPr>
            <w:tcW w:w="1522" w:type="dxa"/>
            <w:tcBorders>
              <w:left w:val="single" w:color="auto" w:sz="4" w:space="0"/>
            </w:tcBorders>
            <w:noWrap/>
            <w:vAlign w:val="center"/>
          </w:tcPr>
          <w:p w14:paraId="53D51648">
            <w:pPr>
              <w:adjustRightInd w:val="0"/>
              <w:snapToGrid w:val="0"/>
              <w:spacing w:before="156" w:beforeLines="50" w:line="240" w:lineRule="auto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具体货物要求详见本章第二节技术要求</w:t>
            </w:r>
          </w:p>
        </w:tc>
        <w:tc>
          <w:tcPr>
            <w:tcW w:w="795" w:type="dxa"/>
            <w:tcBorders>
              <w:left w:val="single" w:color="auto" w:sz="4" w:space="0"/>
            </w:tcBorders>
            <w:noWrap/>
            <w:vAlign w:val="center"/>
          </w:tcPr>
          <w:p w14:paraId="76E4260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</w:rPr>
              <w:t>1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1125" w:type="dxa"/>
            <w:noWrap/>
            <w:vAlign w:val="center"/>
          </w:tcPr>
          <w:p w14:paraId="779B53D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1183000元</w:t>
            </w:r>
          </w:p>
        </w:tc>
        <w:tc>
          <w:tcPr>
            <w:tcW w:w="1141" w:type="dxa"/>
            <w:noWrap/>
            <w:vAlign w:val="center"/>
          </w:tcPr>
          <w:p w14:paraId="679ED92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1183000元</w:t>
            </w:r>
          </w:p>
        </w:tc>
        <w:tc>
          <w:tcPr>
            <w:tcW w:w="674" w:type="dxa"/>
            <w:noWrap/>
            <w:vAlign w:val="center"/>
          </w:tcPr>
          <w:p w14:paraId="7F547F21">
            <w:pPr>
              <w:pStyle w:val="5"/>
              <w:spacing w:line="240" w:lineRule="auto"/>
              <w:ind w:left="0" w:leftChars="0" w:firstLine="0" w:firstLineChars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/</w:t>
            </w:r>
          </w:p>
        </w:tc>
        <w:tc>
          <w:tcPr>
            <w:tcW w:w="742" w:type="dxa"/>
            <w:noWrap/>
            <w:vAlign w:val="center"/>
          </w:tcPr>
          <w:p w14:paraId="119F1BA9">
            <w:pPr>
              <w:adjustRightInd w:val="0"/>
              <w:snapToGrid w:val="0"/>
              <w:spacing w:before="156" w:beforeLines="50" w:line="240" w:lineRule="auto"/>
              <w:jc w:val="center"/>
              <w:rPr>
                <w:color w:val="auto"/>
                <w:szCs w:val="21"/>
              </w:rPr>
            </w:pPr>
            <w:r>
              <w:rPr>
                <w:rFonts w:hint="default" w:ascii="Arial" w:hAnsi="Arial" w:cs="Arial"/>
                <w:color w:val="auto"/>
                <w:szCs w:val="21"/>
              </w:rPr>
              <w:t>√</w:t>
            </w:r>
          </w:p>
        </w:tc>
      </w:tr>
    </w:tbl>
    <w:p w14:paraId="3D1645A5">
      <w:pPr>
        <w:adjustRightInd w:val="0"/>
        <w:snapToGrid w:val="0"/>
        <w:spacing w:before="156" w:beforeLines="50" w:line="360" w:lineRule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注：1.“包”为最小合同单位（最小投标单位）。每“包”内容应细化到具体标的。</w:t>
      </w:r>
    </w:p>
    <w:p w14:paraId="2A9C995C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2.投标人必须对一个完整、独立的包进行投标，不得仅对一个包中的部分标的投标，否则</w:t>
      </w:r>
      <w:r>
        <w:rPr>
          <w:rFonts w:hint="eastAsia" w:ascii="宋体" w:hAnsi="宋体"/>
          <w:b/>
          <w:color w:val="auto"/>
          <w:szCs w:val="21"/>
        </w:rPr>
        <w:t>投标无效。</w:t>
      </w:r>
    </w:p>
    <w:p w14:paraId="48C947C0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/>
          <w:color w:val="auto"/>
          <w:szCs w:val="21"/>
        </w:rPr>
        <w:t>3.货物的主要技术要求或内容：</w:t>
      </w:r>
      <w:r>
        <w:rPr>
          <w:rFonts w:ascii="宋体" w:hAnsi="宋体" w:cs="宋体"/>
          <w:color w:val="auto"/>
          <w:kern w:val="0"/>
          <w:szCs w:val="21"/>
        </w:rPr>
        <w:t>详见“技术要求”中的具体</w:t>
      </w:r>
      <w:r>
        <w:rPr>
          <w:rFonts w:hint="eastAsia" w:ascii="宋体" w:hAnsi="宋体" w:cs="宋体"/>
          <w:color w:val="auto"/>
          <w:kern w:val="0"/>
          <w:szCs w:val="21"/>
        </w:rPr>
        <w:t>服务</w:t>
      </w:r>
      <w:r>
        <w:rPr>
          <w:rFonts w:ascii="宋体" w:hAnsi="宋体" w:cs="宋体"/>
          <w:color w:val="auto"/>
          <w:kern w:val="0"/>
          <w:szCs w:val="21"/>
        </w:rPr>
        <w:t>要求</w:t>
      </w:r>
      <w:r>
        <w:rPr>
          <w:rFonts w:hint="eastAsia" w:ascii="宋体" w:hAnsi="宋体" w:cs="宋体"/>
          <w:color w:val="auto"/>
          <w:kern w:val="0"/>
          <w:szCs w:val="21"/>
        </w:rPr>
        <w:t>。</w:t>
      </w:r>
    </w:p>
    <w:p w14:paraId="3A3FBFE3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 w:cs="宋体"/>
          <w:bCs/>
          <w:color w:val="auto"/>
          <w:kern w:val="0"/>
          <w:szCs w:val="21"/>
        </w:rPr>
        <w:t>4.投标人应</w:t>
      </w:r>
      <w:r>
        <w:rPr>
          <w:rFonts w:hint="eastAsia" w:ascii="宋体" w:hAnsi="宋体" w:cs="宋体"/>
          <w:color w:val="auto"/>
          <w:kern w:val="0"/>
          <w:szCs w:val="21"/>
        </w:rPr>
        <w:t>在投标文件《分项报价明细表》中按</w:t>
      </w:r>
      <w:r>
        <w:rPr>
          <w:rFonts w:hint="eastAsia" w:ascii="宋体" w:hAnsi="宋体"/>
          <w:color w:val="auto"/>
          <w:szCs w:val="21"/>
        </w:rPr>
        <w:t>标的名称</w:t>
      </w:r>
      <w:r>
        <w:rPr>
          <w:rFonts w:hint="eastAsia" w:ascii="宋体" w:hAnsi="宋体" w:cs="宋体"/>
          <w:color w:val="auto"/>
          <w:kern w:val="0"/>
          <w:szCs w:val="21"/>
        </w:rPr>
        <w:t>顺序逐项填写，且每个标的中的条目均需按招标文件规定报价。如有缺项、漏项，其</w:t>
      </w:r>
      <w:r>
        <w:rPr>
          <w:rFonts w:hint="eastAsia" w:ascii="宋体" w:hAnsi="宋体" w:cs="宋体"/>
          <w:b/>
          <w:color w:val="auto"/>
          <w:kern w:val="0"/>
          <w:szCs w:val="21"/>
        </w:rPr>
        <w:t>投标无效</w:t>
      </w:r>
      <w:r>
        <w:rPr>
          <w:rFonts w:hint="eastAsia" w:ascii="宋体" w:hAnsi="宋体" w:cs="宋体"/>
          <w:color w:val="auto"/>
          <w:kern w:val="0"/>
          <w:szCs w:val="21"/>
        </w:rPr>
        <w:t>。</w:t>
      </w:r>
    </w:p>
    <w:p w14:paraId="3EF84868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</w:rPr>
        <w:sectPr>
          <w:pgSz w:w="11906" w:h="16838"/>
          <w:pgMar w:top="1474" w:right="1474" w:bottom="1474" w:left="1588" w:header="851" w:footer="992" w:gutter="0"/>
          <w:cols w:space="720" w:num="1"/>
          <w:docGrid w:type="lines" w:linePitch="312" w:charSpace="0"/>
        </w:sectPr>
      </w:pPr>
    </w:p>
    <w:p w14:paraId="1C4532A2">
      <w:pPr>
        <w:keepNext/>
        <w:keepLines/>
        <w:adjustRightInd w:val="0"/>
        <w:snapToGrid w:val="0"/>
        <w:spacing w:before="156" w:beforeLines="50" w:line="360" w:lineRule="auto"/>
        <w:jc w:val="center"/>
        <w:outlineLvl w:val="1"/>
        <w:rPr>
          <w:rFonts w:ascii="宋体" w:hAnsi="宋体" w:cs="宋体"/>
          <w:color w:val="auto"/>
          <w:kern w:val="0"/>
          <w:sz w:val="22"/>
          <w:szCs w:val="22"/>
          <w:lang w:bidi="ar"/>
        </w:rPr>
      </w:pPr>
      <w:bookmarkStart w:id="1" w:name="_Toc26398"/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 xml:space="preserve">第二节 </w:t>
      </w:r>
      <w:r>
        <w:rPr>
          <w:rFonts w:ascii="黑体" w:hAnsi="黑体" w:eastAsia="黑体"/>
          <w:b/>
          <w:bCs/>
          <w:color w:val="auto"/>
          <w:sz w:val="28"/>
          <w:szCs w:val="28"/>
        </w:rPr>
        <w:t>技术要求</w:t>
      </w:r>
      <w:bookmarkEnd w:id="1"/>
    </w:p>
    <w:p w14:paraId="3151B4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50" w:afterLines="50" w:line="400" w:lineRule="exact"/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一、</w:t>
      </w:r>
      <w:r>
        <w:rPr>
          <w:rFonts w:hint="eastAsia" w:ascii="宋体" w:hAnsi="宋体" w:cs="宋体"/>
          <w:b/>
          <w:color w:val="auto"/>
          <w:sz w:val="21"/>
          <w:szCs w:val="21"/>
          <w:lang w:val="en-US" w:eastAsia="zh-CN"/>
        </w:rPr>
        <w:t>采购项目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>:</w:t>
      </w:r>
    </w:p>
    <w:p w14:paraId="781AA769">
      <w:pPr>
        <w:widowControl/>
        <w:spacing w:line="360" w:lineRule="auto"/>
        <w:jc w:val="left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1、项目名称：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华容县人民医院4K超高清内窥镜系统采购项目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 w14:paraId="39C53DD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2、采购项目预算：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1183000元</w:t>
      </w:r>
    </w:p>
    <w:p w14:paraId="04DB7065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采购项目最高限价：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1183000元</w:t>
      </w:r>
    </w:p>
    <w:p w14:paraId="75F20A6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50" w:afterLines="50" w:line="400" w:lineRule="exact"/>
        <w:rPr>
          <w:rFonts w:hint="eastAsia" w:ascii="宋体" w:hAnsi="宋体" w:eastAsia="宋体" w:cs="宋体"/>
          <w:b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</w:rPr>
        <w:t>二、采购清单：</w:t>
      </w:r>
    </w:p>
    <w:p w14:paraId="779F46B3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1. 设备名称及数量</w:t>
      </w:r>
    </w:p>
    <w:p w14:paraId="228ADA8F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(1)4K超高清内窥镜系统1套。</w:t>
      </w:r>
    </w:p>
    <w:p w14:paraId="63E44E4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.4K超高清内窥镜系统技术参数</w:t>
      </w:r>
    </w:p>
    <w:p w14:paraId="75AC768E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总体要求:</w:t>
      </w:r>
    </w:p>
    <w:p w14:paraId="4453F837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用于腹腔和胸腔的诊断和外科手术中观察成像。</w:t>
      </w:r>
    </w:p>
    <w:p w14:paraId="146A64BB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所投产品应具备NMPA认证证书（提供证明材料）；FDA或CE认证可作为加分项。产品制造商应通过ISO 13485医疗器械质量管理体系认证。</w:t>
      </w:r>
    </w:p>
    <w:p w14:paraId="79977B03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摄像主机、摄像头、冷光源、气腹机应为同一生产厂家，以保障系统兼容性与稳定性。配套手术器械与主机系统为同一品牌。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在中国地区有原厂维修中心，维修中心须有常配配件。</w:t>
      </w:r>
    </w:p>
    <w:p w14:paraId="59B4A32C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（—）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4K荧光影像系统（一套）：</w:t>
      </w:r>
    </w:p>
    <w:p w14:paraId="476D206A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★输出分辨率不小于3840x2160，逐行扫描</w:t>
      </w:r>
    </w:p>
    <w:p w14:paraId="0B891F4A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集成图文工作站功能，可在术中记录1920x1080 pixels全高清录像及3840x2160 pixels超高清图片</w:t>
      </w:r>
    </w:p>
    <w:p w14:paraId="30B373C6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可同时处理可见光波段及近红外波段</w:t>
      </w:r>
    </w:p>
    <w:p w14:paraId="7B0B3312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▲主机模块化设计，可同时连接≥3种功能的模块，可搭载硬镜模块、软镜模块，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应具备兼容同品牌或主流品牌电子软镜的能力</w:t>
      </w: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（提供证明材料）</w:t>
      </w:r>
    </w:p>
    <w:p w14:paraId="3082330C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▲主机可兼容同品牌电子镜及光学摄像头，实现4K荧光、4K白光及3D荧光功能</w:t>
      </w: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（提供证明材料）</w:t>
      </w:r>
    </w:p>
    <w:p w14:paraId="63F8945E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主机可同时处理两路图像信号</w:t>
      </w:r>
    </w:p>
    <w:p w14:paraId="14B2DD4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▲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应支持通过摄像头控制实现单平台双镜联合，两幅不同内镜图像在同一显示器分屏显示</w:t>
      </w: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（提供证明材料）</w:t>
      </w:r>
    </w:p>
    <w:p w14:paraId="273C72B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应具备良好的平台扩展性，可通过后期增加模块升级至3D成像等前沿技术</w:t>
      </w:r>
    </w:p>
    <w:p w14:paraId="1167FE13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≥5种影像增强功能，可根据手术需要，动态调节画面亮度，暗处增亮并降低反光，可实现图像色彩增益</w:t>
      </w:r>
    </w:p>
    <w:p w14:paraId="5DFAD2FE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≥2种腔镜光谱分析处理模式，可提高对血管及组织的辨识度</w:t>
      </w:r>
    </w:p>
    <w:p w14:paraId="2345A7B1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≥5种标准画面与增强画面的同屏对比显示方式</w:t>
      </w:r>
    </w:p>
    <w:p w14:paraId="243E72F2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12.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可通过画中画功能实现≥4种同屏显示模式</w:t>
      </w:r>
    </w:p>
    <w:p w14:paraId="6B39A58C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13.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术野画面≥5级亮度可调</w:t>
      </w:r>
    </w:p>
    <w:p w14:paraId="614C15B1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14.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≥2种纤维镜图像优化功能</w:t>
      </w:r>
    </w:p>
    <w:p w14:paraId="66C52994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15.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术野画面可实现上下、左右及180°翻转功能</w:t>
      </w:r>
    </w:p>
    <w:p w14:paraId="6426F9EF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16.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通过摄像头可操控手术设备，如气腹机、电子调光冷光源，并可实现与一体化手术室无缝连接</w:t>
      </w:r>
    </w:p>
    <w:p w14:paraId="1B7184B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17.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不少于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4个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USB接口</w:t>
      </w:r>
    </w:p>
    <w:p w14:paraId="512CD24A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18.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▲输出端口：应具备DP、12G-SDI、DVI-D等主流数字输出接口，总输出端口≥4个</w:t>
      </w: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（提供证明材料）</w:t>
      </w:r>
    </w:p>
    <w:p w14:paraId="6A8ED04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19.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▲电气安全：医用设备电气安全CF级别I类防护，可应用于心脏设备</w:t>
      </w: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（提供证明材料）</w:t>
      </w:r>
    </w:p>
    <w:p w14:paraId="6F69E497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二</w:t>
      </w: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）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摄像头（一个）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：</w:t>
      </w:r>
    </w:p>
    <w:p w14:paraId="45240432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采集像素：摄像头像素不小于3840 x 2160，逐行扫描</w:t>
      </w:r>
    </w:p>
    <w:p w14:paraId="35EDE75B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图像格式16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: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9</w:t>
      </w:r>
    </w:p>
    <w:p w14:paraId="1A5206B3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重量≤260g，握持轻便</w:t>
      </w:r>
    </w:p>
    <w:p w14:paraId="72E3E18E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可同时采集可见光波段及近红外波段</w:t>
      </w:r>
    </w:p>
    <w:p w14:paraId="7E11DAD2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▲应具备不少于5种显影模式，包括重叠荧光模式、黑白荧光模式、强度导航模式等，以满足不同手术场景需求</w:t>
      </w: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（提供证明材料）</w:t>
      </w:r>
    </w:p>
    <w:p w14:paraId="4CE2D03A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可实现ICG荧光与电子染色联合，实现双重染色</w:t>
      </w:r>
    </w:p>
    <w:p w14:paraId="6E23A379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可实现通过摄像头按键控制气腹机，冷光源</w:t>
      </w:r>
    </w:p>
    <w:p w14:paraId="2556A897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摄像头3个按键可设置≥4种快捷键，可预设功能至少包括术野录像、拍照、打印、调节白平衡、FI模式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切换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等</w:t>
      </w:r>
    </w:p>
    <w:p w14:paraId="1A1E59D0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术野画面放大功能，≥7级可调，具备自适应缩放功能</w:t>
      </w:r>
    </w:p>
    <w:p w14:paraId="7A3BFDA8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▲电气安全：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医用设备电气安全CF级别I类防护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，可应用于心脏设备</w:t>
      </w:r>
      <w:r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  <w:t>（提供证明材料）</w:t>
      </w:r>
    </w:p>
    <w:p w14:paraId="2EFE30CB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三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）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4K荧光内窥镜（二根）：</w:t>
      </w:r>
    </w:p>
    <w:p w14:paraId="08B775CA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10mm荧光光学镜分辨率≥9.36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lp/mm</w:t>
      </w:r>
    </w:p>
    <w:p w14:paraId="2DE586AE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镜体长度≤31c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m</w:t>
      </w:r>
    </w:p>
    <w:p w14:paraId="252163A0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视向角0°和30°可选，集成光纤传输</w:t>
      </w:r>
    </w:p>
    <w:p w14:paraId="2A27B1C7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可高温高压消毒</w:t>
      </w:r>
    </w:p>
    <w:p w14:paraId="165CA707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四</w:t>
      </w: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导光束（二根）：</w:t>
      </w:r>
    </w:p>
    <w:p w14:paraId="2CED1C2C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直径 3.5mm,长300cm，2根。直型接头，连接光源接口的手持部位为圆柱形</w:t>
      </w:r>
    </w:p>
    <w:p w14:paraId="12D2FB7F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五</w:t>
      </w: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医用冷光源（一台）：</w:t>
      </w:r>
    </w:p>
    <w:p w14:paraId="02ED9A6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光源应采用LED或同等安全技术实现白光和荧光照明，确保医务人员使用安全。</w:t>
      </w:r>
    </w:p>
    <w:p w14:paraId="7F627C4E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色温5700K</w:t>
      </w:r>
    </w:p>
    <w:p w14:paraId="3FD5CC3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灯泡寿命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≥30000小时</w:t>
      </w:r>
    </w:p>
    <w:p w14:paraId="7E483678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触摸屏，图形直观，用户界面简单明了</w:t>
      </w:r>
    </w:p>
    <w:p w14:paraId="4E2F4E4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 xml:space="preserve">具有Auto模式，可自动调节光源亮度 </w:t>
      </w:r>
    </w:p>
    <w:p w14:paraId="05254F31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6.可通过脚踏或摄像头切换荧光和白光模式</w:t>
      </w:r>
    </w:p>
    <w:p w14:paraId="12C80A6B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7.安全等级：医用设备电气安全CF级别I类防护，可直接用于心脏手术</w:t>
      </w:r>
    </w:p>
    <w:p w14:paraId="5A92A2D3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8.配备单踏板脚踏，具备安全功能。</w:t>
      </w:r>
    </w:p>
    <w:p w14:paraId="245CB9D0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六</w:t>
      </w: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气腹机（一台）：</w:t>
      </w:r>
    </w:p>
    <w:p w14:paraId="54EF29E7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1.最大灌流速度应不低于40 L/min</w:t>
      </w:r>
    </w:p>
    <w:p w14:paraId="46CA4F3B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具有高速/高精两种灌流模式</w:t>
      </w:r>
    </w:p>
    <w:p w14:paraId="4E011FA3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 xml:space="preserve">高速灌流模式：适用于成人，压力调节范围：1-30 mmHg；流速调节范围：1-40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L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/min</w:t>
      </w:r>
    </w:p>
    <w:p w14:paraId="1840757A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高精灌流模式：适用于儿童，压力调节范围：1-15mmHg；流速调节范围：0.1-15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L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 xml:space="preserve">/min。当流速调节范围为：0.1-2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L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 xml:space="preserve">/min 范围，调节精度为 0.1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L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 xml:space="preserve">/min；当流速调节范围为2-10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L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 xml:space="preserve">/min 范围，调节精度为 0.5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L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/min</w:t>
      </w:r>
    </w:p>
    <w:p w14:paraId="530BB8F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高集成性，可应用于一体化手术室系统，具备 SCB 功能。</w:t>
      </w:r>
    </w:p>
    <w:p w14:paraId="55FC237C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自动压力调节装置，防止由于供气中断导致的气腹系统崩溃问题</w:t>
      </w:r>
    </w:p>
    <w:p w14:paraId="2B5D8F18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集成安全系统，可快速检测压力过高情况</w:t>
      </w:r>
    </w:p>
    <w:p w14:paraId="1D41819A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若在一定时间内（可自行设定 5-99 秒）无外部干预， 系统自动报警，并显示故障代码。</w:t>
      </w:r>
    </w:p>
    <w:p w14:paraId="11E651E0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七</w:t>
      </w:r>
      <w:r>
        <w:rPr>
          <w:rFonts w:hint="eastAsia" w:ascii="宋体" w:hAnsi="宋体" w:cs="宋体"/>
          <w:color w:val="auto"/>
          <w:sz w:val="21"/>
          <w:szCs w:val="21"/>
          <w:lang w:val="de-DE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de-DE" w:eastAsia="zh-CN"/>
        </w:rPr>
        <w:t>监视器（一台）：</w:t>
      </w:r>
    </w:p>
    <w:p w14:paraId="37332EC7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1.尺寸≥32英寸</w:t>
      </w:r>
    </w:p>
    <w:p w14:paraId="29F5277A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2.显示分辨率：≥3840x2160</w:t>
      </w:r>
    </w:p>
    <w:p w14:paraId="7E7DDC87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3.亮度≥400cd/m²</w:t>
      </w:r>
    </w:p>
    <w:p w14:paraId="32A15FC2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4.视角：≥178度</w:t>
      </w:r>
    </w:p>
    <w:p w14:paraId="082BF51D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5.信号输入：DP、12G-SDI、DVI-D</w:t>
      </w:r>
    </w:p>
    <w:p w14:paraId="71CC3495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6.视频输出：12G-SDI、DVI-D</w:t>
      </w:r>
    </w:p>
    <w:p w14:paraId="5EA7E9A6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7.监视器应支持画中画、画外画、分屏等多种显示模式</w:t>
      </w:r>
    </w:p>
    <w:p w14:paraId="05BE59B2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8.画面显示格式：16:9</w:t>
      </w:r>
    </w:p>
    <w:p w14:paraId="52AE01C3">
      <w:pPr>
        <w:numPr>
          <w:ilvl w:val="0"/>
          <w:numId w:val="0"/>
        </w:numPr>
        <w:snapToGri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八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定制台车（一台）。</w:t>
      </w:r>
    </w:p>
    <w:p w14:paraId="15B1A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三、质量保证及售后服务要求</w:t>
      </w:r>
    </w:p>
    <w:p w14:paraId="50ED7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技术服务及质量保证</w:t>
      </w:r>
    </w:p>
    <w:p w14:paraId="6D3DF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1.1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ascii="Segoe UI" w:hAnsi="Segoe UI" w:eastAsia="Segoe UI" w:cs="Segoe UI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设备免费保修期不少于三年</w:t>
      </w:r>
      <w:r>
        <w:rPr>
          <w:rFonts w:ascii="宋体" w:hAnsi="宋体" w:eastAsia="宋体" w:cs="宋体"/>
          <w:b w:val="0"/>
          <w:bCs/>
          <w:color w:val="auto"/>
          <w:sz w:val="21"/>
          <w:szCs w:val="21"/>
        </w:rPr>
        <w:t>。</w:t>
      </w:r>
    </w:p>
    <w:p w14:paraId="5A08E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1.2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故障维修响应时间小于24小时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。</w:t>
      </w:r>
    </w:p>
    <w:p w14:paraId="7CE58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优惠折扣声明：投标人应在投标文件中一次性列出所有优惠条件，并作为合同的组成部分之一，提供中标设备的基本配置清单。</w:t>
      </w:r>
    </w:p>
    <w:p w14:paraId="16B0A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3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投标人投标文件中各种参数必须真实可靠。</w:t>
      </w:r>
    </w:p>
    <w:p w14:paraId="32511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4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投标人（制造商或销售商）需在中国大陆地区设有专业的售后服务机构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设施，并配备受过专业培训的售后服务人员，应对所提供的设备提供相应的售后服务承诺（需提供生产厂家相关证明及售后服务承诺书）。</w:t>
      </w:r>
    </w:p>
    <w:p w14:paraId="5718C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5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为保证设备正常运行，设备生产厂家应在中国境内方便的地方设置备件库，存入所有必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的备件，并保证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年以上的供应期。</w:t>
      </w:r>
    </w:p>
    <w:p w14:paraId="15D66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6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终身免费提供软件升级服务。</w:t>
      </w:r>
    </w:p>
    <w:p w14:paraId="14584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7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标注“▲”的条款为评标时重要评分指标，不作为符合性审查条款。</w:t>
      </w:r>
    </w:p>
    <w:p w14:paraId="0175A1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lef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8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保修期内因设备质量问题导致停机超过7天的，保修期在故障处理完毕后相应顺延；因此给采购人造成损失的，采购人有权要求供应商承担相应赔偿责任。</w:t>
      </w:r>
    </w:p>
    <w:p w14:paraId="64EF90BB">
      <w:pPr>
        <w:spacing w:line="480" w:lineRule="auto"/>
        <w:jc w:val="center"/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</w:pPr>
    </w:p>
    <w:p w14:paraId="7B9CA39B">
      <w:pPr>
        <w:widowControl/>
        <w:spacing w:line="360" w:lineRule="auto"/>
        <w:jc w:val="left"/>
        <w:rPr>
          <w:rFonts w:ascii="宋体" w:hAnsi="宋体" w:cs="宋体"/>
          <w:color w:val="auto"/>
          <w:kern w:val="0"/>
          <w:sz w:val="22"/>
          <w:szCs w:val="22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注：在磋商过程中，磋商文件可能发生实质性变动的技术、服务要求以及合同草案条款，请在可能变动的条款旁予以文字注明，并将磋商文件可能变动的内容在磋商须知前附表中明确。</w:t>
      </w:r>
    </w:p>
    <w:p w14:paraId="5ACED18B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2037C38F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61262106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75712020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1B6E69CA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31CC13F4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3030F675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596695A1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4380441E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704CE7AB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1D94C086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278DD1A3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45D224F3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6B17E972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6EDD8ECD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2AA821BE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4E6DC987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31EE89CB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71FC388C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34D73FC7">
      <w:pPr>
        <w:spacing w:line="370" w:lineRule="exact"/>
        <w:rPr>
          <w:rFonts w:ascii="宋体" w:hAnsi="宋体" w:cs="宋体"/>
          <w:color w:val="auto"/>
          <w:szCs w:val="21"/>
        </w:rPr>
      </w:pPr>
    </w:p>
    <w:p w14:paraId="3C24D5EE">
      <w:pPr>
        <w:keepNext/>
        <w:keepLines/>
        <w:numPr>
          <w:ilvl w:val="0"/>
          <w:numId w:val="0"/>
        </w:numPr>
        <w:spacing w:line="360" w:lineRule="auto"/>
        <w:ind w:firstLine="1687" w:firstLineChars="600"/>
        <w:jc w:val="center"/>
        <w:outlineLvl w:val="1"/>
        <w:rPr>
          <w:rFonts w:hint="eastAsia" w:ascii="黑体" w:hAnsi="黑体" w:eastAsia="黑体" w:cs="Times New Roman"/>
          <w:b/>
          <w:bCs/>
          <w:color w:val="auto"/>
          <w:sz w:val="28"/>
          <w:szCs w:val="28"/>
          <w:lang w:val="en-US" w:eastAsia="zh-CN"/>
        </w:rPr>
      </w:pPr>
      <w:bookmarkStart w:id="2" w:name="_Toc107998022"/>
      <w:bookmarkStart w:id="3" w:name="_Toc7461"/>
    </w:p>
    <w:p w14:paraId="556B1EF7">
      <w:pPr>
        <w:keepNext/>
        <w:keepLines/>
        <w:numPr>
          <w:ilvl w:val="0"/>
          <w:numId w:val="0"/>
        </w:numPr>
        <w:spacing w:line="360" w:lineRule="auto"/>
        <w:jc w:val="center"/>
        <w:outlineLvl w:val="1"/>
        <w:rPr>
          <w:rFonts w:hint="eastAsia" w:ascii="黑体" w:hAnsi="黑体" w:eastAsia="黑体" w:cs="Times New Roman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 w:cs="Times New Roman"/>
          <w:b/>
          <w:bCs/>
          <w:color w:val="auto"/>
          <w:sz w:val="28"/>
          <w:szCs w:val="28"/>
          <w:lang w:val="en-US" w:eastAsia="zh-CN"/>
        </w:rPr>
        <w:t xml:space="preserve">第三节 </w:t>
      </w:r>
      <w:r>
        <w:rPr>
          <w:rFonts w:hint="eastAsia" w:ascii="黑体" w:hAnsi="黑体" w:eastAsia="黑体" w:cs="Times New Roman"/>
          <w:b/>
          <w:bCs/>
          <w:color w:val="auto"/>
          <w:sz w:val="28"/>
          <w:szCs w:val="28"/>
        </w:rPr>
        <w:t>商务要求</w:t>
      </w:r>
      <w:bookmarkEnd w:id="2"/>
      <w:bookmarkEnd w:id="3"/>
    </w:p>
    <w:p w14:paraId="73CD113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50" w:afterLines="50" w:line="400" w:lineRule="exact"/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/>
        </w:rPr>
        <w:t>一、主要商务要求</w:t>
      </w:r>
    </w:p>
    <w:p w14:paraId="607F1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1、项目名称：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华容县人民医院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4K超高清内窥镜系统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采购项目。</w:t>
      </w:r>
    </w:p>
    <w:p w14:paraId="5C11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2、采购预算：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1183000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元。</w:t>
      </w:r>
    </w:p>
    <w:p w14:paraId="2AB35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3、交货时间及要求：合同签订后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个月完成供货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安装调试并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通过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验收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。</w:t>
      </w:r>
    </w:p>
    <w:p w14:paraId="036F3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4、项目现场：采购人指定地点</w:t>
      </w:r>
    </w:p>
    <w:p w14:paraId="6C4B3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5、交货方式：货到指定地点完成安装调试且验收合格，并按合同约定移交有关资料。</w:t>
      </w:r>
    </w:p>
    <w:p w14:paraId="27C9E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6、质量保证期：项目整体提供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年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原厂全保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，质保期从验收合格之日开始计算。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注：①保修期内因故障引起一周以上的停机，在故障处理完后保修期向后推移，必要时赔偿损失；②终身提供软件升级服务。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）</w:t>
      </w:r>
    </w:p>
    <w:p w14:paraId="2DC72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7、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投标人应在投标文件中提供按出厂标准供应的主要备品备件/消耗品/维修零配件/常用耗材/选购件价格清单及其制造商名称、地址、使用寿命。如采购人质保期后购买备品备件/消耗品/维修零配件/常用耗材/选购件，其价格不能超过此清单价格及折扣。</w:t>
      </w:r>
    </w:p>
    <w:p w14:paraId="01875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8、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投标人所投核心产品制造商在国内至少有一家零部件仓库（投标时提供相应证明文件），保证10年以上的供应期。在设备正常有效期寿命内提供各种零备件维修、供应、更换服务，并且保证每周7天向采购人开放。所需零配件根据采购人要求以最快方式迅速发送。</w:t>
      </w:r>
    </w:p>
    <w:p w14:paraId="1F8B4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9、投标人（制造商或销售商）需设有专业的售后服务机构和设施，并配备受过专业培训的售后服务人员，应对所提供的设备提供相应的售后服务承诺（售后服务承诺书）。</w:t>
      </w:r>
    </w:p>
    <w:p w14:paraId="5FAF0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、售后响应时间：7*24小时</w:t>
      </w:r>
    </w:p>
    <w:p w14:paraId="5DA54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default" w:ascii="宋体" w:hAnsi="宋体" w:eastAsia="宋体" w:cs="宋体"/>
          <w:b w:val="0"/>
          <w:bCs/>
          <w:color w:val="auto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11、付款方式：设备安装、调试、培训完毕并交付临床正常使用一个月,再由设备科组织验收，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验收合格后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支付合同总金额的90%（</w:t>
      </w:r>
      <w:r>
        <w:rPr>
          <w:rFonts w:hint="default" w:ascii="宋体" w:hAnsi="宋体" w:eastAsia="宋体" w:cs="宋体"/>
          <w:b w:val="0"/>
          <w:bCs/>
          <w:color w:val="auto"/>
          <w:sz w:val="21"/>
          <w:szCs w:val="21"/>
        </w:rPr>
        <w:t>供应商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需提供合同总金额</w:t>
      </w:r>
      <w:r>
        <w:rPr>
          <w:rFonts w:hint="default" w:ascii="宋体" w:hAnsi="宋体" w:eastAsia="宋体" w:cs="宋体"/>
          <w:b w:val="0"/>
          <w:bCs/>
          <w:color w:val="auto"/>
          <w:sz w:val="21"/>
          <w:szCs w:val="21"/>
        </w:rPr>
        <w:t>的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全额发票），余款10%待设备正常使用满一年后若无质量问题，</w:t>
      </w:r>
      <w:r>
        <w:rPr>
          <w:rFonts w:hint="default" w:ascii="宋体" w:hAnsi="宋体" w:eastAsia="宋体" w:cs="宋体"/>
          <w:b w:val="0"/>
          <w:bCs/>
          <w:color w:val="auto"/>
          <w:sz w:val="21"/>
          <w:szCs w:val="21"/>
        </w:rPr>
        <w:t>一次性无息付清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。</w:t>
      </w:r>
    </w:p>
    <w:p w14:paraId="4F057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、报价要求：本项目采用费用包干方式 (即交钥匙工程)，投标报价是投标人为完成本项目要求所需的一切费用，包括所投货物价款及其备品、备件费用、运至最终目的地的运输装卸费、通过相关质检部门检测费用及有关保险费、售后服务、利润及其他各项应有费用，采购人不再单独支付其他任何费用。</w:t>
      </w:r>
    </w:p>
    <w:p w14:paraId="5FC5F76A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 xml:space="preserve">产品运输、保管及保险 </w:t>
      </w:r>
    </w:p>
    <w:p w14:paraId="53BCEA80"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 xml:space="preserve">1、中标人负责产品到交货地点的全部运输，包括装卸及现场搬运等。由于搬运、装卸、吊装及运输不当造成的各种事故责任和损失由中标人承担。 </w:t>
      </w:r>
    </w:p>
    <w:p w14:paraId="2266995C"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2、中标人应对提供的货物在运输、存放及交货过程中的毁损或灭失进行保险投保，负责其派出的安装、服务等人员的人身意外保险</w:t>
      </w:r>
    </w:p>
    <w:p w14:paraId="52AABC91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售后服务</w:t>
      </w:r>
    </w:p>
    <w:p w14:paraId="0F9151AE"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所有设备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和产品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质保期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不少于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，所有设备和产品质保期外提供终身成本价维修服务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。</w:t>
      </w:r>
    </w:p>
    <w:p w14:paraId="5F78E18A">
      <w:pPr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提供7*24小时技术咨询及上门服务，对于用户提出的技术问题或故障通知，专业技术人员应在2小时内响应，24小时内到达现场。对于用户提出的紧急问题，专业技术人员在接到用户通知后立即予以响应并解决。</w:t>
      </w:r>
    </w:p>
    <w:p w14:paraId="378ED65D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供应商应指派专业技术人员在项目安装调试完成后，按采购人指定的时间、地点对采购人指定的相关管理、维护、操作人员等进行培训，培训内容包括产品基本原理、安装、调试、操作使用和维护保养等，并提供相关技术资料，达到用户相关人员熟练掌握操作技能、排除一般故障等的程度。供应商派出的培训人员的食宿及交通等费用自理。</w:t>
      </w:r>
    </w:p>
    <w:p w14:paraId="6A49FB99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投标单位所递交的投标报价均应包含本项目所有货物的购置、运输、安装、调试、验收等过程中的一切费用，包括人工费、机械费、材料（主材、辅材等）费、管理费、利润、税费、保险费等一切费用。采购人不再另行支付其它费用，全部由投标人负责。</w:t>
      </w:r>
    </w:p>
    <w:p w14:paraId="4AD6E3FC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bidi="ar"/>
        </w:rPr>
        <w:t xml:space="preserve">其他要求及说明 </w:t>
      </w:r>
    </w:p>
    <w:p w14:paraId="72E6A95E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bidi="ar"/>
        </w:rPr>
        <w:t xml:space="preserve">1、本项目所列的国家或行业相关标准要求，如与最新出台的国家或行业标准相冲突的，按最新的标准执行。 </w:t>
      </w:r>
    </w:p>
    <w:p w14:paraId="7841A234">
      <w:pPr>
        <w:pStyle w:val="10"/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2、采购人不组织现场踏勘，投标人在投标前，如需踏勘现场，有关费用自理，踏勘期间发生的意外自负。</w:t>
      </w:r>
    </w:p>
    <w:p w14:paraId="27CB7CE6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  <w:t>3、其他未尽事宜由采购人和中标人在采购合同中详细约定。</w:t>
      </w:r>
    </w:p>
    <w:p w14:paraId="1B7569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A1A33"/>
    <w:rsid w:val="75A36CB4"/>
    <w:rsid w:val="7B816098"/>
    <w:rsid w:val="7DFA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2"/>
    <w:qFormat/>
    <w:uiPriority w:val="0"/>
    <w:pPr>
      <w:spacing w:before="100" w:beforeAutospacing="1"/>
      <w:ind w:firstLine="420" w:firstLineChars="200"/>
    </w:pPr>
    <w:rPr>
      <w:szCs w:val="20"/>
    </w:rPr>
  </w:style>
  <w:style w:type="paragraph" w:customStyle="1" w:styleId="8">
    <w:name w:val="列出段落1"/>
    <w:basedOn w:val="9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9">
    <w:name w:val="正文_11_0"/>
    <w:next w:val="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10">
    <w:name w:val="正文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2846</Words>
  <Characters>3156</Characters>
  <Lines>0</Lines>
  <Paragraphs>0</Paragraphs>
  <TotalTime>0</TotalTime>
  <ScaleCrop>false</ScaleCrop>
  <LinksUpToDate>false</LinksUpToDate>
  <CharactersWithSpaces>3203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2026-08-28T03:29:00Z</dcterms:created>
  <dc:creator>Administrator</dc:creator>
  <cp:lastModifiedBy>Administrator</cp:lastModifiedBy>
  <dcterms:modified xsi:type="dcterms:W3CDTF">2026-09-03T07:49:12Z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B0484BF121FC4955B9A4178E4752A848_11</vt:lpwstr>
  </property>
  <property fmtid="{D5CDD505-2E9C-101B-9397-08002B2CF9AE}" pid="4" name="KSOTemplateDocerSaveRecord">
    <vt:lpwstr>eyJoZGlkIjoiOWRmZjc4ODEwN2IwMGU1MTM1MTE1OWZiM2VlY2Q4NjUiLCJ1c2VySWQiOiI1MzQyMDAxNDAifQ==</vt:lpwstr>
  </property>
</Properties>
</file>