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EDBFD">
      <w:pPr>
        <w:numPr>
          <w:ilvl w:val="0"/>
          <w:numId w:val="0"/>
        </w:numPr>
        <w:tabs>
          <w:tab w:val="left" w:pos="0"/>
        </w:tabs>
        <w:spacing w:line="360" w:lineRule="auto"/>
        <w:ind w:left="-420" w:leftChars="0"/>
        <w:jc w:val="center"/>
        <w:rPr>
          <w:rStyle w:val="5"/>
          <w:rFonts w:ascii="仿宋" w:hAnsi="仿宋" w:eastAsia="仿宋" w:cs="Times New Roman"/>
          <w:b/>
          <w:sz w:val="28"/>
          <w:szCs w:val="28"/>
          <w:highlight w:val="none"/>
        </w:rPr>
      </w:pPr>
      <w:bookmarkStart w:id="0" w:name="_Toc1552_WPSOffice_Level1"/>
      <w:r>
        <w:rPr>
          <w:rFonts w:hint="eastAsia" w:ascii="黑体" w:hAnsi="宋体" w:eastAsia="黑体" w:cs="Times New Roman"/>
          <w:b/>
          <w:bCs/>
          <w:sz w:val="32"/>
          <w:szCs w:val="32"/>
          <w:highlight w:val="none"/>
        </w:rPr>
        <w:t xml:space="preserve"> </w:t>
      </w:r>
      <w:r>
        <w:rPr>
          <w:rFonts w:hint="eastAsia" w:ascii="黑体" w:hAnsi="Times New Roman" w:eastAsia="黑体" w:cs="Times New Roman"/>
          <w:b/>
          <w:sz w:val="32"/>
          <w:szCs w:val="32"/>
          <w:highlight w:val="none"/>
        </w:rPr>
        <w:t>采购需求</w:t>
      </w:r>
      <w:bookmarkEnd w:id="0"/>
    </w:p>
    <w:p w14:paraId="2AB96B92">
      <w:pPr>
        <w:spacing w:line="189" w:lineRule="exact"/>
        <w:rPr>
          <w:rFonts w:ascii="Times New Roman" w:hAnsi="Times New Roman" w:eastAsia="宋体" w:cs="Times New Roman"/>
        </w:rPr>
      </w:pPr>
    </w:p>
    <w:p w14:paraId="6F0B7E7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32"/>
          <w:lang w:val="en-US" w:eastAsia="zh-CN" w:bidi="ar-SA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项目概况</w:t>
      </w:r>
    </w:p>
    <w:p w14:paraId="41953F01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1.1本项目总规模28000亩，其中中幼林综合抚育16140亩，低效</w:t>
      </w:r>
      <w:bookmarkStart w:id="4" w:name="_GoBack"/>
      <w:bookmarkEnd w:id="4"/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林更新改造5100亩，低效林补植改造6760亩。本次作业设计服务分为“外业调查”和“内业设计”两个包；</w:t>
      </w:r>
    </w:p>
    <w:p w14:paraId="302AE72E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1.2项目</w:t>
      </w:r>
      <w:r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服务工期：30日历日</w:t>
      </w:r>
    </w:p>
    <w:p w14:paraId="7E79F52D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32"/>
          <w:lang w:val="en-US" w:eastAsia="zh-CN" w:bidi="ar-SA"/>
        </w:rPr>
        <w:t>2.服务明细</w:t>
      </w:r>
    </w:p>
    <w:p w14:paraId="0E07F83F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2.1外业调查（实地调查与勘测）</w:t>
      </w:r>
    </w:p>
    <w:p w14:paraId="0FB2784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外业工作是内业设计的基础，主要目的是全面摸清作业区的自然、经济及林分现状，具体包括：</w:t>
      </w:r>
    </w:p>
    <w:p w14:paraId="5C3B0596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32"/>
          <w:lang w:val="en-US" w:eastAsia="zh-CN" w:bidi="ar-SA"/>
        </w:rPr>
        <w:t>（1）</w:t>
      </w: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前期踏查与区划</w:t>
      </w:r>
    </w:p>
    <w:p w14:paraId="7F33FB7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现场踏查：核实作业区边界、地类、权属及原有植被状况，核对总体设计内容是否合理。小班区划与定位：实地确定作业区准确边界，按地形、道路等界线划分林班和小班，并使用GPS/RTK等设备进行精准定位。</w:t>
      </w:r>
    </w:p>
    <w:p w14:paraId="374434D3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(2)立地条件与环境调查</w:t>
      </w:r>
    </w:p>
    <w:p w14:paraId="4B1C5FA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地形地貌：调查坡度、坡向、坡形，以及风蚀、水蚀、泥石流等潜在自然灾害风险。土壤与水文：挖掘土壤剖面，调查土层厚度、质地、pH值等，并了解水源状况和地下水埋深。植被情况：调查植被类型、盖度、高度及主要植物种类，评估其对造林或修复的影响。</w:t>
      </w:r>
    </w:p>
    <w:p w14:paraId="3601EB3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(3)林分因子与林木调查</w:t>
      </w:r>
    </w:p>
    <w:p w14:paraId="4BEE859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样地布设与实测：根据林分类型设置临时或固定样地（如乔木林通常为0.1-1公顷），进行精准复位与边界测量。每木检尺：对样地内达到一定标准的树木（如胸径大于等于5cm）逐株测量胸径、树高、冠幅，记录树种组成、郁闭度、健康状况及病虫害情况。其他调查：针对特定项目，可能还需进行枯落物称重、土壤分层采样（用于碳汇项目）或古树名木信息摸排等。</w:t>
      </w:r>
    </w:p>
    <w:p w14:paraId="30E0DF1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bookmarkStart w:id="1" w:name="OLE_LINK8"/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(4)社会经济与辅助调查</w:t>
      </w:r>
    </w:p>
    <w:bookmarkEnd w:id="1"/>
    <w:p w14:paraId="1719FB6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调查作业区的交通条件、劳动力状况、经营习惯及需要保护的珍稀动植物或历史遗存。采集现状影像资料，绘制林木位置示意图或伐区草图，确保数据与实地精准对应。</w:t>
      </w:r>
    </w:p>
    <w:p w14:paraId="1BA1E722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FF"/>
          <w:sz w:val="24"/>
          <w:szCs w:val="32"/>
          <w:lang w:val="en-US" w:eastAsia="zh-CN"/>
        </w:rPr>
      </w:pPr>
    </w:p>
    <w:p w14:paraId="69FAB3D4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2.</w:t>
      </w:r>
      <w:bookmarkStart w:id="2" w:name="OLE_LINK30"/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lang w:val="en-US" w:eastAsia="zh-CN"/>
        </w:rPr>
        <w:t>2内业设计（数据处理与设计编制）</w:t>
      </w:r>
    </w:p>
    <w:p w14:paraId="1D6164B7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32"/>
          <w:lang w:val="en-US" w:eastAsia="zh-CN"/>
        </w:rPr>
        <w:t>内业工作是将外业获取的原始数据转化为科学设计方案的过程，具体包括：</w:t>
      </w:r>
    </w:p>
    <w:bookmarkEnd w:id="2"/>
    <w:p w14:paraId="0D92774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(1)数据整理与质量审核</w:t>
      </w:r>
    </w:p>
    <w:p w14:paraId="5B97562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数据录入与校验：将外业记录表、样地数据录入计算机，进行逻辑校验，发现异常数据及时查明原因或补测。三级审核机制：严格执行"小队自查、大队抽检、专人终审"的质量管控体系，确保图、表、数据高度统一。</w:t>
      </w:r>
    </w:p>
    <w:p w14:paraId="7888497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(2)数据统计与分析</w:t>
      </w:r>
    </w:p>
    <w:p w14:paraId="167FFA0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面积与蓄积量测算：按照"层层控制，分级量算，按比例平差"的原则计算面积；采用累加法逐级汇总林分蓄积量。资源结构分析：统计森林面积、蓄积量、覆盖率等核心指标，分析林分质量与经营现状。</w:t>
      </w:r>
    </w:p>
    <w:p w14:paraId="6B8620A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(3)作业设计方案编制</w:t>
      </w:r>
    </w:p>
    <w:p w14:paraId="03BF2C8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技术与树种规划：根据立地条件科学配置林种和树种（优先选用乡土耐旱树种），制定造林密度、抚育间伐、采伐强度或补植补造等具体技术措施。配套设施与管护设计：合理布局作业便道、水利水保设施，制定有害生物防控、森林防火及后期管护机制。投资概算：测算需苗量、用工量及各项施工成本，编制投资预算与补助发放方案。</w:t>
      </w:r>
    </w:p>
    <w:p w14:paraId="1DAB7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bookmarkStart w:id="3" w:name="OLE_LINK9"/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(4)成果制图与文档编制</w:t>
      </w:r>
      <w:bookmarkEnd w:id="3"/>
    </w:p>
    <w:p w14:paraId="668C731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图件绘制：利用GIS（地理信息系统）等软件绘制小班现状图、规划设计图、林相图等，建立矢量小班数据库，做到"图、表、地、数"一致。文本编制：编写完整的作业设计说明书（文本），涵盖项目概况、现状分析、建设布局、技术措施及效益分析等内容。成果提交与配合：打印装订纸质成果并刻录电子光盘，配合主管部门完成专家评审、修改完善、系统落图及配合后续的验收服务。</w:t>
      </w:r>
    </w:p>
    <w:p w14:paraId="52598001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4C5F710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color w:val="0000FF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531" w:bottom="1440" w:left="1531" w:header="851" w:footer="992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  <w:t>3.森林质量提升小班工程量表：</w:t>
      </w:r>
    </w:p>
    <w:p w14:paraId="0487D166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48825" cy="6064250"/>
            <wp:effectExtent l="0" t="0" r="952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48825" cy="606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763F1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48825" cy="6591300"/>
            <wp:effectExtent l="0" t="0" r="9525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488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AE9A8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77400" cy="6581775"/>
            <wp:effectExtent l="0" t="0" r="0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7740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38A4C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86925" cy="6591300"/>
            <wp:effectExtent l="0" t="0" r="9525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869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2256F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705975" cy="6572250"/>
            <wp:effectExtent l="0" t="0" r="9525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0597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3574F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67875" cy="6610350"/>
            <wp:effectExtent l="0" t="0" r="9525" b="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67875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59EEA">
      <w:pPr>
        <w:numPr>
          <w:ilvl w:val="0"/>
          <w:numId w:val="0"/>
        </w:numPr>
        <w:spacing w:line="360" w:lineRule="auto"/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639300" cy="6572250"/>
            <wp:effectExtent l="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7D312"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  <w:sectPr>
          <w:pgSz w:w="16838" w:h="11906" w:orient="landscape"/>
          <w:pgMar w:top="720" w:right="720" w:bottom="720" w:left="720" w:header="283" w:footer="567" w:gutter="0"/>
          <w:pgNumType w:fmt="decimal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9715500" cy="4895850"/>
            <wp:effectExtent l="0" t="0" r="0" b="0"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70608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  <w:t>4.验收要求</w:t>
      </w:r>
    </w:p>
    <w:p w14:paraId="41BC0569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4.1文本成果：提交《湖南省岳阳市2027年中央财政国土绿化项目（岳阳县区域）作业设计》，包括说明书及附表（小班现状表、设计表、工程量表、投资概算表、资金筹措表等）、小班设计说明及图纸。</w:t>
      </w:r>
    </w:p>
    <w:p w14:paraId="425FEEE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4.2矢量数据：提交shp或gdb格式矢量数据，统一采用CGCS2000坐标系，分年度、分措施建立图层，字段完整，与文本面积一致。</w:t>
      </w:r>
    </w:p>
    <w:p w14:paraId="79A994F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4.3成果份数：纸质版成果文件拾份，电子版成果文件（PDF）壹套，矢量数据电子版壹套。</w:t>
      </w:r>
    </w:p>
    <w:p w14:paraId="601ADC6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4.4过程资料：小班照片、样地调查表、每木检尺资料、负面清单筛查资料、评审意见及修改回复等应一并归档提交。</w:t>
      </w:r>
    </w:p>
    <w:p w14:paraId="10BB72C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  <w:t>5.验收</w:t>
      </w:r>
      <w:r>
        <w:rPr>
          <w:rFonts w:hint="default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  <w:t>合格标准</w:t>
      </w:r>
    </w:p>
    <w:p w14:paraId="2CA222B2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32"/>
          <w:highlight w:val="none"/>
          <w:lang w:val="en-US" w:eastAsia="zh-CN"/>
        </w:rPr>
        <w:t>符合国家、行业及地方标准，成果通过林业主管部门评审、批复，满足项目施工及中央财政资金核查要求。作业设计文本、矢量数据和批复面积必须一致。</w:t>
      </w:r>
    </w:p>
    <w:p w14:paraId="55E09AF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32"/>
          <w:highlight w:val="none"/>
          <w:lang w:val="en-US" w:eastAsia="zh-CN" w:bidi="ar-SA"/>
        </w:rPr>
        <w:t>6.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32"/>
          <w:highlight w:val="none"/>
          <w:lang w:val="en-US" w:eastAsia="zh-CN"/>
        </w:rPr>
        <w:t>付款方式：</w:t>
      </w:r>
    </w:p>
    <w:p w14:paraId="75002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ascii="Calibri" w:hAnsi="Calibri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en-US" w:eastAsia="zh-CN" w:bidi="zh-TW"/>
        </w:rPr>
        <w:t>6.1</w:t>
      </w:r>
      <w:r>
        <w:rPr>
          <w:rFonts w:hint="eastAsia" w:ascii="Calibri" w:hAnsi="Calibri" w:eastAsia="宋体" w:cs="Times New Roman"/>
          <w:color w:val="auto"/>
          <w:sz w:val="24"/>
          <w:szCs w:val="24"/>
          <w:highlight w:val="none"/>
          <w:lang w:val="en-US" w:eastAsia="zh-CN"/>
        </w:rPr>
        <w:t>付款人：岳阳县林业局。</w:t>
      </w:r>
    </w:p>
    <w:p w14:paraId="7EA2C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hint="eastAsia" w:ascii="Times New Roman" w:hAnsi="Times New Roman" w:eastAsia="宋体" w:cs="Times New Roman"/>
          <w:b w:val="0"/>
          <w:bCs/>
          <w:color w:val="0000FF"/>
          <w:sz w:val="24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en-US" w:eastAsia="zh-CN" w:bidi="zh-TW"/>
        </w:rPr>
        <w:t>6.2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zh-TW" w:bidi="zh-TW"/>
        </w:rPr>
        <w:t>付款方式：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en-US" w:eastAsia="zh-CN" w:bidi="zh-TW"/>
        </w:rPr>
        <w:t>签订合同完成后15天内付50%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zh-TW" w:bidi="zh-TW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en-US" w:eastAsia="zh-CN" w:bidi="zh-TW"/>
        </w:rPr>
        <w:t>作业设计批复完成后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zh-TW" w:bidi="zh-TW"/>
        </w:rPr>
        <w:t>付清剩余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en-US" w:eastAsia="zh-CN" w:bidi="zh-TW"/>
        </w:rPr>
        <w:t>款项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highlight w:val="none"/>
          <w:lang w:val="zh-TW" w:eastAsia="zh-CN" w:bidi="zh-TW"/>
        </w:rPr>
        <w:t>。</w:t>
      </w:r>
      <w:r>
        <w:rPr>
          <w:rFonts w:hint="eastAsia" w:ascii="Times New Roman" w:hAnsi="Times New Roman" w:eastAsia="宋体" w:cs="Times New Roman"/>
          <w:b w:val="0"/>
          <w:bCs/>
          <w:color w:val="0000FF"/>
          <w:sz w:val="24"/>
          <w:szCs w:val="32"/>
          <w:highlight w:val="none"/>
          <w:lang w:val="en-US" w:eastAsia="zh-CN"/>
        </w:rPr>
        <w:t xml:space="preserve"> </w:t>
      </w:r>
    </w:p>
    <w:p w14:paraId="2759F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/>
          <w:color w:val="auto"/>
          <w:kern w:val="0"/>
          <w:sz w:val="24"/>
          <w:szCs w:val="24"/>
          <w:lang w:bidi="zh-TW"/>
        </w:r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 w:bidi="zh-TW"/>
        </w:rPr>
        <w:t>6.3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eastAsia="zh-CN" w:bidi="zh-TW"/>
        </w:rPr>
        <w:t>中标单位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bidi="zh-TW"/>
        </w:rPr>
        <w:t>应在采购人每次付款前向采购人提供同等金额的合法、有效的完税发票，否则采购人有权拒绝付款且不承认逾期付款的违约责任。</w:t>
      </w:r>
    </w:p>
    <w:p w14:paraId="5EAC536C">
      <w:pPr>
        <w:adjustRightInd w:val="0"/>
        <w:snapToGrid w:val="0"/>
        <w:spacing w:before="156" w:beforeLines="50" w:line="360" w:lineRule="auto"/>
        <w:rPr>
          <w:rFonts w:ascii="宋体" w:hAnsi="宋体" w:eastAsia="宋体" w:cs="Times New Roman"/>
          <w:color w:val="auto"/>
          <w:szCs w:val="21"/>
        </w:rPr>
      </w:pPr>
    </w:p>
    <w:p w14:paraId="39C939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2B2D5">
    <w:pPr>
      <w:spacing w:line="218" w:lineRule="auto"/>
      <w:ind w:right="27"/>
      <w:jc w:val="right"/>
      <w:rPr>
        <w:rFonts w:ascii="宋体" w:hAnsi="宋体" w:eastAsia="宋体" w:cs="宋体"/>
        <w:sz w:val="18"/>
        <w:szCs w:val="18"/>
      </w:rPr>
    </w:pPr>
    <w:r>
      <w:rPr>
        <w:rFonts w:ascii="Times New Roman" w:hAnsi="Times New Roman" w:eastAsia="宋体" w:cs="Times New Roman"/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2CB548">
                          <w:pPr>
                            <w:pStyle w:val="2"/>
                            <w:rPr>
                              <w:rFonts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>36</w:t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2CB548">
                    <w:pPr>
                      <w:pStyle w:val="2"/>
                      <w:rPr>
                        <w:rFonts w:ascii="Times New Roman" w:hAnsi="Times New Roman" w:eastAsia="宋体" w:cs="Times New Roman"/>
                      </w:rPr>
                    </w:pPr>
                    <w:r>
                      <w:rPr>
                        <w:rFonts w:ascii="Times New Roman" w:hAnsi="Times New Roman" w:eastAsia="宋体" w:cs="Times New Roman"/>
                      </w:rPr>
                      <w:t xml:space="preserve">第 </w: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</w:rPr>
                      <w:t>36</w:t>
                    </w:r>
                    <w:r>
                      <w:rPr>
                        <w:rFonts w:ascii="Times New Roman" w:hAnsi="Times New Roman" w:eastAsia="宋体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25400</wp:posOffset>
              </wp:positionH>
              <wp:positionV relativeFrom="paragraph">
                <wp:posOffset>-12065</wp:posOffset>
              </wp:positionV>
              <wp:extent cx="1449705" cy="1625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970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CBA37">
                          <w:pPr>
                            <w:spacing w:before="19" w:line="221" w:lineRule="auto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pt;margin-top:-0.95pt;height:12.8pt;width:114.15pt;z-index:251659264;mso-width-relative:page;mso-height-relative:page;" filled="f" stroked="f" coordsize="21600,21600" o:gfxdata="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PJ8m3XAAAABwEAAA8AAAAAAAAAAQAgAAAAIgAAAGRycy9kb3ducmV2LnhtbFBLAQIU&#10;ABQAAAAIAIdO4kDEk99fuwEAAHIDAAAOAAAAAAAAAAEAIAAAACYBAABkcnMvZTJvRG9jLnhtbFBL&#10;BQYAAAAABgAGAFkBAABTBQAAAAA=&#10;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49CBA37">
                    <w:pPr>
                      <w:spacing w:before="19" w:line="221" w:lineRule="auto"/>
                      <w:rPr>
                        <w:rFonts w:ascii="宋体" w:hAnsi="宋体" w:eastAsia="宋体" w:cs="宋体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NjBjOTJjY2UwZjAwMzJkMTMwZDE2N2QzZjE0NWMifQ=="/>
  </w:docVars>
  <w:rsids>
    <w:rsidRoot w:val="00000000"/>
    <w:rsid w:val="71D4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customStyle="1" w:styleId="5">
    <w:name w:val="NormalCharacter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2026-09-29T03:55:41Z</dcterms:created>
  <dc:creator>Administrator</dc:creator>
  <cp:lastModifiedBy>Administrator</cp:lastModifiedBy>
  <dcterms:modified xsi:type="dcterms:W3CDTF">2026-09-29T03:56:16Z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4D0E78558A2D410AA44A078F60E3BFD4_12</vt:lpwstr>
  </property>
</Properties>
</file>