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F098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黑体" w:hAnsi="Times New Roman" w:eastAsia="黑体" w:cs="Times New Roman"/>
          <w:b/>
          <w:sz w:val="32"/>
          <w:szCs w:val="32"/>
        </w:rPr>
      </w:pPr>
      <w:r>
        <w:rPr>
          <w:rFonts w:hint="eastAsia" w:ascii="黑体" w:hAnsi="Times New Roman" w:eastAsia="黑体" w:cs="Times New Roman"/>
          <w:b/>
          <w:kern w:val="2"/>
          <w:sz w:val="32"/>
          <w:szCs w:val="32"/>
          <w:lang w:val="en-US" w:eastAsia="zh-CN" w:bidi="ar-SA"/>
        </w:rPr>
        <w:t xml:space="preserve">第四章  </w:t>
      </w:r>
      <w:r>
        <w:rPr>
          <w:rFonts w:hint="eastAsia" w:ascii="黑体" w:hAnsi="Times New Roman" w:eastAsia="黑体" w:cs="Times New Roman"/>
          <w:b/>
          <w:sz w:val="32"/>
          <w:szCs w:val="32"/>
        </w:rPr>
        <w:t>采购需求</w:t>
      </w:r>
    </w:p>
    <w:p w14:paraId="52DD7691">
      <w:pPr>
        <w:widowControl w:val="0"/>
        <w:numPr>
          <w:ilvl w:val="0"/>
          <w:numId w:val="0"/>
        </w:numPr>
        <w:jc w:val="both"/>
        <w:rPr>
          <w:rFonts w:ascii="宋体" w:hAnsi="Courier New" w:eastAsia="宋体" w:cs="Courier New"/>
          <w:kern w:val="2"/>
          <w:sz w:val="21"/>
          <w:szCs w:val="21"/>
          <w:lang w:val="en-US" w:eastAsia="zh-CN" w:bidi="ar-SA"/>
        </w:rPr>
      </w:pPr>
    </w:p>
    <w:p w14:paraId="5E4C0943">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b/>
          <w:bCs/>
          <w:sz w:val="22"/>
          <w:szCs w:val="28"/>
        </w:rPr>
      </w:pPr>
      <w:r>
        <w:rPr>
          <w:rFonts w:hint="eastAsia" w:ascii="宋体" w:hAnsi="宋体" w:eastAsia="宋体" w:cs="宋体"/>
          <w:b/>
          <w:bCs/>
          <w:sz w:val="22"/>
          <w:szCs w:val="28"/>
        </w:rPr>
        <w:t>一</w:t>
      </w:r>
      <w:bookmarkStart w:id="0" w:name="_Toc31431"/>
      <w:bookmarkStart w:id="1" w:name="_Toc92230837"/>
      <w:bookmarkStart w:id="2" w:name="_Toc300678508"/>
      <w:r>
        <w:rPr>
          <w:rFonts w:hint="eastAsia" w:ascii="宋体" w:hAnsi="宋体" w:eastAsia="宋体" w:cs="宋体"/>
          <w:b/>
          <w:bCs/>
          <w:sz w:val="22"/>
          <w:szCs w:val="28"/>
        </w:rPr>
        <w:t>、</w:t>
      </w:r>
      <w:r>
        <w:rPr>
          <w:rFonts w:hint="eastAsia" w:ascii="宋体" w:hAnsi="宋体" w:eastAsia="宋体" w:cs="宋体"/>
          <w:b/>
          <w:bCs/>
          <w:sz w:val="22"/>
          <w:szCs w:val="28"/>
          <w:lang w:val="en-US" w:eastAsia="zh-CN"/>
        </w:rPr>
        <w:t>项目</w:t>
      </w:r>
      <w:r>
        <w:rPr>
          <w:rFonts w:hint="eastAsia" w:ascii="宋体" w:hAnsi="宋体" w:eastAsia="宋体" w:cs="宋体"/>
          <w:b/>
          <w:bCs/>
          <w:sz w:val="22"/>
          <w:szCs w:val="28"/>
        </w:rPr>
        <w:t>概况</w:t>
      </w:r>
      <w:bookmarkEnd w:id="0"/>
      <w:bookmarkEnd w:id="1"/>
    </w:p>
    <w:p w14:paraId="790643DB">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8"/>
          <w:highlight w:val="none"/>
          <w:lang w:val="en-US" w:eastAsia="zh-CN"/>
        </w:rPr>
        <w:t>1、</w:t>
      </w:r>
      <w:r>
        <w:rPr>
          <w:rFonts w:hint="eastAsia" w:ascii="宋体" w:hAnsi="宋体" w:eastAsia="宋体" w:cs="宋体"/>
          <w:color w:val="auto"/>
          <w:sz w:val="22"/>
          <w:szCs w:val="28"/>
          <w:highlight w:val="none"/>
        </w:rPr>
        <w:t>本</w:t>
      </w:r>
      <w:r>
        <w:rPr>
          <w:rFonts w:hint="eastAsia" w:ascii="宋体" w:hAnsi="宋体" w:eastAsia="宋体" w:cs="宋体"/>
          <w:color w:val="auto"/>
          <w:sz w:val="22"/>
          <w:szCs w:val="28"/>
          <w:highlight w:val="none"/>
          <w:lang w:val="en-US" w:eastAsia="zh-CN"/>
        </w:rPr>
        <w:t>工程项目名称</w:t>
      </w:r>
      <w:r>
        <w:rPr>
          <w:rFonts w:hint="eastAsia" w:ascii="宋体" w:hAnsi="宋体" w:eastAsia="宋体" w:cs="宋体"/>
          <w:color w:val="auto"/>
          <w:sz w:val="22"/>
          <w:szCs w:val="28"/>
          <w:highlight w:val="none"/>
        </w:rPr>
        <w:t>为</w:t>
      </w:r>
      <w:r>
        <w:rPr>
          <w:rFonts w:hint="eastAsia" w:ascii="宋体" w:hAnsi="宋体" w:eastAsia="宋体" w:cs="宋体"/>
          <w:color w:val="auto"/>
          <w:sz w:val="22"/>
          <w:szCs w:val="28"/>
          <w:highlight w:val="none"/>
          <w:lang w:eastAsia="zh-CN"/>
        </w:rPr>
        <w:t>：</w:t>
      </w:r>
      <w:bookmarkEnd w:id="2"/>
      <w:r>
        <w:rPr>
          <w:rFonts w:hint="eastAsia" w:ascii="宋体" w:hAnsi="宋体" w:eastAsia="宋体" w:cs="宋体"/>
          <w:color w:val="auto"/>
          <w:spacing w:val="0"/>
          <w:position w:val="0"/>
          <w:sz w:val="22"/>
          <w:szCs w:val="28"/>
          <w:highlight w:val="none"/>
          <w:lang w:eastAsia="zh-CN"/>
        </w:rPr>
        <w:t>永定区易地扶贫搬迁集中安置区综合提质升级项目</w:t>
      </w:r>
      <w:r>
        <w:rPr>
          <w:rFonts w:hint="eastAsia" w:ascii="宋体" w:hAnsi="宋体" w:eastAsia="宋体" w:cs="宋体"/>
          <w:color w:val="auto"/>
          <w:sz w:val="22"/>
          <w:szCs w:val="22"/>
          <w:highlight w:val="none"/>
          <w:lang w:eastAsia="zh-CN"/>
        </w:rPr>
        <w:t>。</w:t>
      </w:r>
    </w:p>
    <w:p w14:paraId="4A3A48B5">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2、项目建设地点为：项目建设地点涵盖王家坪镇、竹园塔、神堂坪、三家馆村四个易地搬迁集中安置区。</w:t>
      </w:r>
    </w:p>
    <w:p w14:paraId="725A88C5">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pacing w:val="0"/>
          <w:position w:val="0"/>
          <w:sz w:val="22"/>
          <w:szCs w:val="22"/>
          <w:highlight w:val="none"/>
          <w:lang w:val="en-US" w:eastAsia="zh-CN"/>
        </w:rPr>
      </w:pPr>
      <w:r>
        <w:rPr>
          <w:rFonts w:hint="eastAsia" w:ascii="宋体" w:hAnsi="宋体" w:eastAsia="宋体" w:cs="宋体"/>
          <w:color w:val="auto"/>
          <w:sz w:val="22"/>
          <w:szCs w:val="22"/>
          <w:highlight w:val="none"/>
          <w:lang w:val="en-US" w:eastAsia="zh-CN"/>
        </w:rPr>
        <w:t>3、主要建设内容及规模为</w:t>
      </w:r>
      <w:r>
        <w:rPr>
          <w:rFonts w:hint="eastAsia" w:ascii="宋体" w:hAnsi="宋体" w:eastAsia="宋体" w:cs="宋体"/>
          <w:color w:val="auto"/>
          <w:spacing w:val="0"/>
          <w:position w:val="0"/>
          <w:sz w:val="22"/>
          <w:szCs w:val="22"/>
          <w:highlight w:val="none"/>
          <w:lang w:val="en-US" w:eastAsia="zh-CN"/>
        </w:rPr>
        <w:t>：</w:t>
      </w:r>
    </w:p>
    <w:p w14:paraId="58D2566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主要建设内容包括污水管网更换、检查井维修、化粪池新建、加压水泵及供水管网新增、消防设施改造、电动车及新能源充电桩新增、堡坎护坡新建等。</w:t>
      </w:r>
    </w:p>
    <w:p w14:paraId="13AD6BC6">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说明：</w:t>
      </w:r>
    </w:p>
    <w:p w14:paraId="348BD5D9">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供应商施工应服从采购人的现场管理。为减少改造工程对当地居民生产生活的影响，施工过程中可能需要间断施工或按采购人管理需要临时调整施工时间；施工作业环境的种种不利因素，如夜间施工、垃圾装袋外运等，均需由供应商考虑，并将所需费用包含在磋商报价中。</w:t>
      </w:r>
    </w:p>
    <w:p w14:paraId="00CA9156">
      <w:pPr>
        <w:keepNext w:val="0"/>
        <w:keepLines w:val="0"/>
        <w:pageBreakBefore w:val="0"/>
        <w:kinsoku/>
        <w:wordWrap/>
        <w:overflowPunct/>
        <w:topLinePunct w:val="0"/>
        <w:autoSpaceDE/>
        <w:autoSpaceDN/>
        <w:bidi w:val="0"/>
        <w:adjustRightInd w:val="0"/>
        <w:snapToGrid w:val="0"/>
        <w:spacing w:line="360" w:lineRule="auto"/>
        <w:textAlignment w:val="auto"/>
        <w:outlineLvl w:val="2"/>
        <w:rPr>
          <w:rFonts w:hint="eastAsia" w:ascii="宋体" w:hAnsi="宋体" w:eastAsia="宋体" w:cs="宋体"/>
          <w:b/>
          <w:bCs/>
          <w:sz w:val="22"/>
          <w:szCs w:val="28"/>
          <w:highlight w:val="none"/>
        </w:rPr>
      </w:pPr>
      <w:bookmarkStart w:id="3" w:name="_Toc22112"/>
      <w:bookmarkStart w:id="4" w:name="_Toc92230838"/>
      <w:bookmarkStart w:id="5" w:name="_Toc225336549"/>
      <w:r>
        <w:rPr>
          <w:rFonts w:hint="eastAsia" w:ascii="宋体" w:hAnsi="宋体" w:eastAsia="宋体" w:cs="宋体"/>
          <w:b/>
          <w:bCs/>
          <w:sz w:val="22"/>
          <w:szCs w:val="28"/>
          <w:highlight w:val="none"/>
        </w:rPr>
        <w:t>二、项目清单及说明（含工程量清单表、说明、图纸、标准等）</w:t>
      </w:r>
      <w:bookmarkEnd w:id="3"/>
      <w:bookmarkEnd w:id="4"/>
    </w:p>
    <w:p w14:paraId="32442191">
      <w:pPr>
        <w:adjustRightInd w:val="0"/>
        <w:snapToGrid w:val="0"/>
        <w:spacing w:line="360" w:lineRule="auto"/>
        <w:ind w:firstLine="440" w:firstLineChars="200"/>
        <w:rPr>
          <w:rFonts w:hint="eastAsia" w:ascii="宋体" w:hAnsi="宋体" w:eastAsia="宋体" w:cs="宋体"/>
          <w:color w:val="000000"/>
          <w:sz w:val="22"/>
          <w:szCs w:val="28"/>
          <w:highlight w:val="none"/>
        </w:rPr>
      </w:pPr>
      <w:r>
        <w:rPr>
          <w:rFonts w:hint="eastAsia" w:ascii="宋体" w:hAnsi="宋体" w:eastAsia="宋体" w:cs="宋体"/>
          <w:color w:val="000000"/>
          <w:sz w:val="22"/>
          <w:szCs w:val="28"/>
          <w:highlight w:val="none"/>
        </w:rPr>
        <w:t>1.工程量清单表及说明：</w:t>
      </w:r>
      <w:r>
        <w:rPr>
          <w:rFonts w:hint="eastAsia" w:ascii="宋体" w:hAnsi="宋体" w:eastAsia="宋体" w:cs="宋体"/>
          <w:b/>
          <w:bCs/>
          <w:color w:val="000000"/>
          <w:sz w:val="22"/>
          <w:szCs w:val="28"/>
          <w:highlight w:val="none"/>
        </w:rPr>
        <w:t>另册。</w:t>
      </w:r>
    </w:p>
    <w:p w14:paraId="391EE077">
      <w:pPr>
        <w:adjustRightInd w:val="0"/>
        <w:snapToGrid w:val="0"/>
        <w:spacing w:line="360" w:lineRule="auto"/>
        <w:ind w:firstLine="440" w:firstLineChars="200"/>
        <w:rPr>
          <w:rFonts w:hint="eastAsia" w:ascii="宋体" w:hAnsi="宋体" w:eastAsia="宋体" w:cs="宋体"/>
          <w:color w:val="000000"/>
          <w:sz w:val="22"/>
          <w:szCs w:val="28"/>
          <w:highlight w:val="none"/>
        </w:rPr>
      </w:pPr>
      <w:r>
        <w:rPr>
          <w:rFonts w:hint="eastAsia" w:ascii="宋体" w:hAnsi="宋体" w:eastAsia="宋体" w:cs="宋体"/>
          <w:color w:val="000000"/>
          <w:sz w:val="22"/>
          <w:szCs w:val="28"/>
          <w:highlight w:val="none"/>
        </w:rPr>
        <w:t>2.图纸：</w:t>
      </w:r>
      <w:r>
        <w:rPr>
          <w:rFonts w:hint="eastAsia" w:ascii="宋体" w:hAnsi="宋体" w:eastAsia="宋体" w:cs="宋体"/>
          <w:b/>
          <w:bCs/>
          <w:color w:val="000000"/>
          <w:sz w:val="22"/>
          <w:szCs w:val="28"/>
          <w:highlight w:val="none"/>
        </w:rPr>
        <w:t>另册。</w:t>
      </w:r>
    </w:p>
    <w:p w14:paraId="386DA68E">
      <w:pPr>
        <w:adjustRightInd w:val="0"/>
        <w:snapToGrid w:val="0"/>
        <w:spacing w:line="360" w:lineRule="auto"/>
        <w:ind w:firstLine="440" w:firstLineChars="200"/>
        <w:rPr>
          <w:rFonts w:hint="eastAsia" w:ascii="宋体" w:hAnsi="宋体" w:eastAsia="宋体" w:cs="宋体"/>
          <w:color w:val="000000"/>
          <w:sz w:val="22"/>
          <w:szCs w:val="28"/>
          <w:highlight w:val="none"/>
          <w:lang w:val="en-US" w:eastAsia="zh-CN"/>
        </w:rPr>
      </w:pPr>
      <w:r>
        <w:rPr>
          <w:rFonts w:hint="eastAsia" w:ascii="宋体" w:hAnsi="宋体" w:eastAsia="宋体" w:cs="宋体"/>
          <w:color w:val="000000"/>
          <w:sz w:val="22"/>
          <w:szCs w:val="28"/>
          <w:highlight w:val="none"/>
          <w:lang w:val="en-US" w:eastAsia="zh-CN"/>
        </w:rPr>
        <w:t>3.</w:t>
      </w:r>
      <w:r>
        <w:rPr>
          <w:rFonts w:hint="eastAsia" w:ascii="宋体" w:hAnsi="宋体" w:eastAsia="宋体" w:cs="宋体"/>
          <w:color w:val="000000"/>
          <w:sz w:val="22"/>
          <w:szCs w:val="28"/>
          <w:highlight w:val="none"/>
          <w:lang w:val="en-US" w:eastAsia="en-US"/>
        </w:rPr>
        <w:t>主要技术规范及标准</w:t>
      </w:r>
      <w:r>
        <w:rPr>
          <w:rFonts w:hint="eastAsia" w:ascii="宋体" w:hAnsi="宋体" w:eastAsia="宋体" w:cs="宋体"/>
          <w:color w:val="000000"/>
          <w:sz w:val="22"/>
          <w:szCs w:val="28"/>
          <w:highlight w:val="none"/>
          <w:lang w:val="en-US" w:eastAsia="zh-CN"/>
        </w:rPr>
        <w:t>：详见设计图纸。</w:t>
      </w:r>
    </w:p>
    <w:p w14:paraId="76240BA3">
      <w:pPr>
        <w:widowControl w:val="0"/>
        <w:spacing w:after="120"/>
        <w:ind w:left="420" w:leftChars="200"/>
        <w:jc w:val="both"/>
        <w:rPr>
          <w:rFonts w:hint="default" w:ascii="Times New Roman" w:hAnsi="Times New Roman" w:eastAsia="宋体" w:cs="Times New Roman"/>
          <w:b/>
          <w:bCs w:val="0"/>
          <w:kern w:val="2"/>
          <w:sz w:val="21"/>
          <w:szCs w:val="24"/>
          <w:lang w:val="en-US" w:eastAsia="zh-CN" w:bidi="ar-SA"/>
        </w:rPr>
      </w:pPr>
      <w:r>
        <w:rPr>
          <w:rFonts w:hint="eastAsia" w:ascii="宋体" w:hAnsi="宋体" w:eastAsia="宋体" w:cs="宋体"/>
          <w:color w:val="000000"/>
          <w:kern w:val="2"/>
          <w:sz w:val="22"/>
          <w:szCs w:val="28"/>
          <w:highlight w:val="none"/>
          <w:lang w:val="en-US" w:eastAsia="zh-CN" w:bidi="ar-SA"/>
        </w:rPr>
        <w:t>4.</w:t>
      </w:r>
      <w:r>
        <w:rPr>
          <w:rFonts w:hint="eastAsia" w:ascii="Times New Roman" w:hAnsi="Times New Roman" w:eastAsia="宋体" w:cs="Times New Roman"/>
          <w:b w:val="0"/>
          <w:bCs/>
          <w:kern w:val="2"/>
          <w:sz w:val="21"/>
          <w:szCs w:val="21"/>
          <w:lang w:val="en-US" w:eastAsia="zh-CN" w:bidi="ar-SA"/>
        </w:rPr>
        <w:t>充电桩技术参数：</w:t>
      </w:r>
      <w:r>
        <w:rPr>
          <w:rFonts w:hint="eastAsia" w:ascii="宋体" w:hAnsi="宋体" w:eastAsia="宋体" w:cs="Times New Roman"/>
          <w:b/>
          <w:bCs w:val="0"/>
          <w:kern w:val="2"/>
          <w:sz w:val="21"/>
          <w:szCs w:val="21"/>
          <w:lang w:val="en-US" w:eastAsia="zh-CN" w:bidi="ar-SA"/>
        </w:rPr>
        <w:t>充电桩满足设计要求，符合国家有关规定。</w:t>
      </w:r>
    </w:p>
    <w:p w14:paraId="4147BD9E">
      <w:pPr>
        <w:adjustRightInd w:val="0"/>
        <w:snapToGrid w:val="0"/>
        <w:spacing w:line="360" w:lineRule="auto"/>
        <w:ind w:firstLine="442" w:firstLineChars="200"/>
        <w:rPr>
          <w:rFonts w:hint="eastAsia" w:ascii="宋体" w:hAnsi="宋体" w:eastAsia="宋体" w:cs="宋体"/>
          <w:color w:val="auto"/>
          <w:sz w:val="22"/>
          <w:szCs w:val="28"/>
          <w:highlight w:val="none"/>
          <w:lang w:val="en-US" w:eastAsia="en-US"/>
        </w:rPr>
      </w:pPr>
      <w:r>
        <w:rPr>
          <w:rFonts w:hint="eastAsia" w:ascii="宋体" w:hAnsi="宋体" w:eastAsia="宋体" w:cs="宋体"/>
          <w:b/>
          <w:bCs/>
          <w:color w:val="auto"/>
          <w:sz w:val="22"/>
          <w:szCs w:val="28"/>
          <w:highlight w:val="none"/>
          <w:lang w:val="en-US" w:eastAsia="en-US"/>
        </w:rPr>
        <w:t>注：</w:t>
      </w:r>
      <w:r>
        <w:rPr>
          <w:rFonts w:hint="eastAsia" w:ascii="宋体" w:hAnsi="宋体" w:eastAsia="宋体" w:cs="宋体"/>
          <w:color w:val="auto"/>
          <w:sz w:val="22"/>
          <w:szCs w:val="28"/>
          <w:highlight w:val="none"/>
          <w:lang w:val="en-US" w:eastAsia="en-US"/>
        </w:rPr>
        <w:t>以上所列规范和标准，在合同执行过程中如有新的版本颁布时，则按最新版本执行。</w:t>
      </w:r>
    </w:p>
    <w:p w14:paraId="290D1163">
      <w:pPr>
        <w:adjustRightInd w:val="0"/>
        <w:snapToGrid w:val="0"/>
        <w:spacing w:line="360" w:lineRule="auto"/>
        <w:ind w:firstLine="440" w:firstLineChars="200"/>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以上所列的规范和标准获得由供应商自行解决，在合同履行期间，若上述规范和标准有修改或重新颁布，承包人应遵照执行，若规范和标准要求有出入则以较严格者为准。</w:t>
      </w:r>
    </w:p>
    <w:p w14:paraId="40DBB8D9">
      <w:pPr>
        <w:adjustRightInd w:val="0"/>
        <w:snapToGrid w:val="0"/>
        <w:spacing w:line="360" w:lineRule="auto"/>
        <w:ind w:firstLine="440" w:firstLineChars="200"/>
        <w:rPr>
          <w:rFonts w:hint="eastAsia" w:ascii="宋体" w:hAnsi="宋体" w:eastAsia="宋体" w:cs="宋体"/>
          <w:color w:val="auto"/>
          <w:sz w:val="22"/>
          <w:szCs w:val="28"/>
          <w:highlight w:val="none"/>
          <w:lang w:val="en-US" w:eastAsia="en-US"/>
        </w:rPr>
      </w:pPr>
      <w:r>
        <w:rPr>
          <w:rFonts w:hint="eastAsia" w:ascii="宋体" w:hAnsi="宋体" w:eastAsia="宋体" w:cs="宋体"/>
          <w:color w:val="auto"/>
          <w:sz w:val="22"/>
          <w:szCs w:val="28"/>
          <w:highlight w:val="none"/>
          <w:lang w:val="en-US" w:eastAsia="zh-CN"/>
        </w:rPr>
        <w:t>本技术要求所列的规范、标准不意味着全部的或最新的，供应商必须执行国家、地方、有关机构所有相关的技术规范与标准，且确保所采用的技术规范、标准必须是国家或有关机构发布的最新版本，无论此版本在此有无提及。本标书或设计图纸写明的具体参数如低于最新国家标准，各供应商应该主动提升标准。</w:t>
      </w:r>
      <w:r>
        <w:rPr>
          <w:rFonts w:hint="eastAsia" w:ascii="宋体" w:hAnsi="宋体" w:eastAsia="宋体" w:cs="宋体"/>
          <w:color w:val="auto"/>
          <w:sz w:val="22"/>
          <w:szCs w:val="28"/>
          <w:highlight w:val="none"/>
          <w:lang w:val="en-US" w:eastAsia="en-US"/>
        </w:rPr>
        <w:t>本项目应严格按照现行最新的施工验收规范进行施工。</w:t>
      </w:r>
    </w:p>
    <w:p w14:paraId="704F26F5">
      <w:pPr>
        <w:adjustRightInd w:val="0"/>
        <w:snapToGrid w:val="0"/>
        <w:spacing w:line="360" w:lineRule="auto"/>
        <w:outlineLvl w:val="2"/>
        <w:rPr>
          <w:rFonts w:hint="eastAsia" w:ascii="宋体" w:hAnsi="宋体" w:eastAsia="宋体" w:cs="宋体"/>
          <w:b/>
          <w:bCs/>
          <w:color w:val="auto"/>
          <w:sz w:val="22"/>
          <w:szCs w:val="28"/>
          <w:highlight w:val="none"/>
        </w:rPr>
      </w:pPr>
      <w:bookmarkStart w:id="6" w:name="_Toc11380"/>
      <w:bookmarkStart w:id="7" w:name="_Toc92230839"/>
      <w:r>
        <w:rPr>
          <w:rFonts w:hint="eastAsia" w:ascii="宋体" w:hAnsi="宋体" w:eastAsia="宋体" w:cs="宋体"/>
          <w:b/>
          <w:bCs/>
          <w:color w:val="auto"/>
          <w:sz w:val="22"/>
          <w:szCs w:val="28"/>
          <w:highlight w:val="none"/>
        </w:rPr>
        <w:t>三、工期及质量要求</w:t>
      </w:r>
      <w:bookmarkEnd w:id="5"/>
      <w:bookmarkEnd w:id="6"/>
      <w:bookmarkEnd w:id="7"/>
    </w:p>
    <w:p w14:paraId="1DB33417">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1.工期要求：</w:t>
      </w:r>
      <w:r>
        <w:rPr>
          <w:rFonts w:hint="eastAsia" w:ascii="宋体" w:hAnsi="宋体" w:eastAsia="宋体" w:cs="宋体"/>
          <w:b/>
          <w:bCs/>
          <w:color w:val="auto"/>
          <w:sz w:val="22"/>
          <w:szCs w:val="28"/>
          <w:highlight w:val="none"/>
          <w:u w:val="single"/>
        </w:rPr>
        <w:t xml:space="preserve"> </w:t>
      </w:r>
      <w:r>
        <w:rPr>
          <w:rFonts w:hint="eastAsia" w:ascii="宋体" w:hAnsi="宋体" w:eastAsia="宋体" w:cs="宋体"/>
          <w:b/>
          <w:bCs/>
          <w:color w:val="auto"/>
          <w:sz w:val="22"/>
          <w:szCs w:val="28"/>
          <w:highlight w:val="none"/>
          <w:u w:val="single"/>
          <w:lang w:val="en-US" w:eastAsia="zh-CN"/>
        </w:rPr>
        <w:t>240日历天</w:t>
      </w:r>
      <w:r>
        <w:rPr>
          <w:rFonts w:hint="eastAsia" w:ascii="宋体" w:hAnsi="宋体" w:eastAsia="宋体" w:cs="宋体"/>
          <w:b/>
          <w:bCs/>
          <w:color w:val="auto"/>
          <w:sz w:val="22"/>
          <w:szCs w:val="28"/>
          <w:highlight w:val="none"/>
          <w:u w:val="single"/>
        </w:rPr>
        <w:t xml:space="preserve"> </w:t>
      </w:r>
      <w:r>
        <w:rPr>
          <w:rFonts w:hint="eastAsia" w:ascii="宋体" w:hAnsi="宋体" w:eastAsia="宋体" w:cs="宋体"/>
          <w:b/>
          <w:bCs/>
          <w:color w:val="auto"/>
          <w:sz w:val="22"/>
          <w:szCs w:val="28"/>
          <w:highlight w:val="none"/>
        </w:rPr>
        <w:t>。</w:t>
      </w:r>
    </w:p>
    <w:p w14:paraId="1CDDA891">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2.质量标准：</w:t>
      </w:r>
      <w:bookmarkStart w:id="8" w:name="_Toc225336550"/>
      <w:r>
        <w:rPr>
          <w:rFonts w:hint="eastAsia" w:ascii="宋体" w:hAnsi="宋体" w:eastAsia="宋体" w:cs="宋体"/>
          <w:b/>
          <w:bCs/>
          <w:color w:val="auto"/>
          <w:sz w:val="22"/>
          <w:szCs w:val="28"/>
          <w:highlight w:val="none"/>
        </w:rPr>
        <w:t>符合国家及行业施工规范要求。验收后达到《建筑工程施工质量验收统一标准》要求，工程质量标准为合格。</w:t>
      </w:r>
    </w:p>
    <w:p w14:paraId="4BB12FA9">
      <w:pPr>
        <w:keepNext w:val="0"/>
        <w:keepLines w:val="0"/>
        <w:pageBreakBefore w:val="0"/>
        <w:widowControl w:val="0"/>
        <w:kinsoku/>
        <w:wordWrap/>
        <w:overflowPunct/>
        <w:topLinePunct w:val="0"/>
        <w:autoSpaceDE/>
        <w:autoSpaceDN/>
        <w:bidi w:val="0"/>
        <w:adjustRightInd w:val="0"/>
        <w:snapToGrid w:val="0"/>
        <w:spacing w:line="360" w:lineRule="auto"/>
        <w:ind w:left="0" w:leftChars="0"/>
        <w:jc w:val="both"/>
        <w:textAlignment w:val="auto"/>
        <w:outlineLvl w:val="2"/>
        <w:rPr>
          <w:rFonts w:hint="eastAsia" w:ascii="宋体" w:hAnsi="宋体" w:eastAsia="宋体" w:cs="宋体"/>
          <w:b/>
          <w:bCs/>
          <w:color w:val="auto"/>
          <w:sz w:val="22"/>
          <w:szCs w:val="28"/>
          <w:highlight w:val="none"/>
        </w:rPr>
      </w:pPr>
      <w:bookmarkStart w:id="9" w:name="_Toc92230840"/>
      <w:bookmarkStart w:id="10" w:name="_Toc1803"/>
      <w:r>
        <w:rPr>
          <w:rFonts w:hint="eastAsia" w:ascii="宋体" w:hAnsi="宋体" w:eastAsia="宋体" w:cs="宋体"/>
          <w:b/>
          <w:bCs/>
          <w:color w:val="auto"/>
          <w:sz w:val="22"/>
          <w:szCs w:val="28"/>
          <w:highlight w:val="none"/>
        </w:rPr>
        <w:t>四、项目实施要求</w:t>
      </w:r>
      <w:bookmarkEnd w:id="8"/>
      <w:bookmarkEnd w:id="9"/>
      <w:bookmarkEnd w:id="10"/>
    </w:p>
    <w:p w14:paraId="0C91E2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2" w:firstLineChars="200"/>
        <w:jc w:val="both"/>
        <w:textAlignment w:val="auto"/>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rPr>
        <w:t>1.建筑材料运输、保管及保险</w:t>
      </w:r>
    </w:p>
    <w:p w14:paraId="4C8BACF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1.1成交供应商负责建筑材料到施工地点的全部运输，包括装卸及现场搬运等。</w:t>
      </w:r>
    </w:p>
    <w:p w14:paraId="259AF6B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1.2成交供应商负责建筑材料在施工地点的保管，直至项目验收合格。</w:t>
      </w:r>
    </w:p>
    <w:p w14:paraId="02644E2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1.3成交供应商负责其派出的施工人员的人身意外保险。</w:t>
      </w:r>
    </w:p>
    <w:p w14:paraId="0FCE6F7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1.4成交人负责采购材料、工程设备的，应按照设计和有关标准要求采购，并提供产品合格证明、环保证明及出厂证明，对材料、工程设备质量负责。</w:t>
      </w:r>
    </w:p>
    <w:p w14:paraId="61D4788B">
      <w:pPr>
        <w:numPr>
          <w:ilvl w:val="0"/>
          <w:numId w:val="0"/>
        </w:num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kern w:val="2"/>
          <w:sz w:val="22"/>
          <w:szCs w:val="28"/>
          <w:highlight w:val="none"/>
          <w:lang w:val="en-US" w:eastAsia="zh-CN" w:bidi="ar-SA"/>
        </w:rPr>
        <w:t>2.</w:t>
      </w:r>
      <w:r>
        <w:rPr>
          <w:rFonts w:hint="eastAsia" w:ascii="宋体" w:hAnsi="宋体" w:eastAsia="宋体" w:cs="宋体"/>
          <w:b/>
          <w:bCs/>
          <w:color w:val="auto"/>
          <w:sz w:val="22"/>
          <w:szCs w:val="28"/>
          <w:highlight w:val="none"/>
        </w:rPr>
        <w:t>施工要求</w:t>
      </w:r>
    </w:p>
    <w:p w14:paraId="0A8634FE">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2.1成交供应商须负责办理</w:t>
      </w:r>
      <w:r>
        <w:rPr>
          <w:rFonts w:hint="eastAsia" w:ascii="宋体" w:hAnsi="宋体" w:eastAsia="宋体" w:cs="宋体"/>
          <w:color w:val="auto"/>
          <w:spacing w:val="0"/>
          <w:position w:val="0"/>
          <w:sz w:val="22"/>
          <w:szCs w:val="28"/>
          <w:highlight w:val="none"/>
          <w:u w:val="single"/>
          <w:lang w:eastAsia="zh-CN"/>
        </w:rPr>
        <w:t>永定区易地扶贫搬迁集中安置区综合提质升级项目</w:t>
      </w:r>
      <w:r>
        <w:rPr>
          <w:rFonts w:hint="eastAsia" w:ascii="宋体" w:hAnsi="宋体" w:eastAsia="宋体" w:cs="宋体"/>
          <w:color w:val="auto"/>
          <w:sz w:val="22"/>
          <w:szCs w:val="28"/>
          <w:highlight w:val="none"/>
        </w:rPr>
        <w:t>施工的行政审批手续，确保项目顺利实施。</w:t>
      </w:r>
    </w:p>
    <w:p w14:paraId="6011F791">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2.2成交供应商须加强施工的组织管理，所有施工人员须遵守文明安全施工的有关规章制度，持证上岗。</w:t>
      </w:r>
    </w:p>
    <w:p w14:paraId="06B28AB6">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2.3</w:t>
      </w:r>
      <w:r>
        <w:rPr>
          <w:rFonts w:hint="eastAsia" w:ascii="宋体" w:hAnsi="宋体" w:eastAsia="宋体" w:cs="宋体"/>
          <w:color w:val="auto"/>
          <w:sz w:val="22"/>
          <w:szCs w:val="28"/>
          <w:highlight w:val="none"/>
        </w:rPr>
        <w:t>成交供应商在响应文件中承诺的管理人员未经采购人同意，承包人不得调换和撤离，并按工程进度及时到位。采购人有权要求承包人撤换工作不负责任、管理不力、贻误工期和造成严重的安全事故和工程质量事故、违法乱纪的专业技术、管理人员，直至采购人满意为止。如相应资质的专业技术人员未按要求到位，视作违约，采购人有权单方面终止合同。</w:t>
      </w:r>
    </w:p>
    <w:p w14:paraId="592A57DB">
      <w:pPr>
        <w:numPr>
          <w:ilvl w:val="0"/>
          <w:numId w:val="0"/>
        </w:num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kern w:val="2"/>
          <w:sz w:val="22"/>
          <w:szCs w:val="28"/>
          <w:highlight w:val="none"/>
          <w:lang w:val="en-US" w:eastAsia="zh-CN" w:bidi="ar-SA"/>
        </w:rPr>
        <w:t>3.</w:t>
      </w:r>
      <w:r>
        <w:rPr>
          <w:rFonts w:hint="eastAsia" w:ascii="宋体" w:hAnsi="宋体" w:eastAsia="宋体" w:cs="宋体"/>
          <w:b/>
          <w:bCs/>
          <w:color w:val="auto"/>
          <w:sz w:val="22"/>
          <w:szCs w:val="28"/>
          <w:highlight w:val="none"/>
        </w:rPr>
        <w:t>验收要求</w:t>
      </w:r>
    </w:p>
    <w:p w14:paraId="6255CB58">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3.1由采购人组织验收活动，成交供应商负责在当地建设行政主管部门办理工程竣工验收备案（如需要）。</w:t>
      </w:r>
    </w:p>
    <w:p w14:paraId="70AFF033">
      <w:pPr>
        <w:adjustRightInd w:val="0"/>
        <w:snapToGrid w:val="0"/>
        <w:spacing w:line="360" w:lineRule="auto"/>
        <w:ind w:firstLine="442" w:firstLineChars="200"/>
        <w:rPr>
          <w:rFonts w:hint="eastAsia" w:ascii="宋体" w:hAnsi="宋体" w:eastAsia="宋体" w:cs="宋体"/>
          <w:b/>
          <w:bCs/>
          <w:color w:val="auto"/>
          <w:sz w:val="22"/>
          <w:szCs w:val="28"/>
          <w:highlight w:val="none"/>
        </w:rPr>
      </w:pPr>
      <w:bookmarkStart w:id="11" w:name="_Toc225336551"/>
      <w:r>
        <w:rPr>
          <w:rFonts w:hint="eastAsia" w:ascii="宋体" w:hAnsi="宋体" w:eastAsia="宋体" w:cs="宋体"/>
          <w:b/>
          <w:bCs/>
          <w:color w:val="auto"/>
          <w:sz w:val="22"/>
          <w:szCs w:val="28"/>
          <w:highlight w:val="none"/>
          <w:lang w:val="en-US" w:eastAsia="zh-CN"/>
        </w:rPr>
        <w:t>4</w:t>
      </w:r>
      <w:r>
        <w:rPr>
          <w:rFonts w:hint="eastAsia" w:ascii="宋体" w:hAnsi="宋体" w:eastAsia="宋体" w:cs="宋体"/>
          <w:b/>
          <w:bCs/>
          <w:color w:val="auto"/>
          <w:sz w:val="22"/>
          <w:szCs w:val="28"/>
          <w:highlight w:val="none"/>
        </w:rPr>
        <w:t xml:space="preserve">.安全文明施工 </w:t>
      </w:r>
    </w:p>
    <w:p w14:paraId="64ACD309">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4</w:t>
      </w:r>
      <w:r>
        <w:rPr>
          <w:rFonts w:hint="eastAsia" w:ascii="宋体" w:hAnsi="宋体" w:eastAsia="宋体" w:cs="宋体"/>
          <w:color w:val="auto"/>
          <w:sz w:val="22"/>
          <w:szCs w:val="28"/>
          <w:highlight w:val="none"/>
        </w:rPr>
        <w:t>.</w:t>
      </w:r>
      <w:r>
        <w:rPr>
          <w:rFonts w:hint="eastAsia" w:ascii="宋体" w:hAnsi="宋体" w:eastAsia="宋体" w:cs="宋体"/>
          <w:color w:val="auto"/>
          <w:sz w:val="22"/>
          <w:szCs w:val="28"/>
          <w:highlight w:val="none"/>
          <w:lang w:val="en-US" w:eastAsia="zh-CN"/>
        </w:rPr>
        <w:t>1</w:t>
      </w:r>
      <w:r>
        <w:rPr>
          <w:rFonts w:hint="eastAsia" w:ascii="宋体" w:hAnsi="宋体" w:eastAsia="宋体" w:cs="宋体"/>
          <w:color w:val="auto"/>
          <w:sz w:val="22"/>
          <w:szCs w:val="28"/>
          <w:highlight w:val="none"/>
        </w:rPr>
        <w:t>承包方须严格施工管理，做到安全施工、文明施工。合同履行期间，凡承包方发生的矛盾、纠纷、事故及所造成的一切责任和损失均由承包方负责。施工中承包方不得影响发包方的正常工作和生活。同时加强对发包方（施工范围内）设备设施、物品和场地的保护，如造成损坏，承包方须及时恢复或照价赔偿。</w:t>
      </w:r>
    </w:p>
    <w:p w14:paraId="595F4917">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5</w:t>
      </w:r>
      <w:r>
        <w:rPr>
          <w:rFonts w:hint="eastAsia" w:ascii="宋体" w:hAnsi="宋体" w:eastAsia="宋体" w:cs="宋体"/>
          <w:b/>
          <w:bCs/>
          <w:color w:val="auto"/>
          <w:sz w:val="22"/>
          <w:szCs w:val="28"/>
          <w:highlight w:val="none"/>
        </w:rPr>
        <w:t>.投标人一旦中标，除不可抗力因素外，未经采购人同意，不得变更拟任的项目人员。</w:t>
      </w:r>
    </w:p>
    <w:p w14:paraId="0E17B148">
      <w:pPr>
        <w:adjustRightInd w:val="0"/>
        <w:snapToGrid w:val="0"/>
        <w:spacing w:line="360" w:lineRule="auto"/>
        <w:outlineLvl w:val="2"/>
        <w:rPr>
          <w:rFonts w:hint="eastAsia" w:ascii="宋体" w:hAnsi="宋体" w:eastAsia="宋体" w:cs="宋体"/>
          <w:b/>
          <w:bCs/>
          <w:color w:val="auto"/>
          <w:sz w:val="22"/>
          <w:szCs w:val="28"/>
          <w:highlight w:val="none"/>
        </w:rPr>
      </w:pPr>
      <w:bookmarkStart w:id="12" w:name="_Toc92230841"/>
      <w:bookmarkStart w:id="13" w:name="_Toc23166"/>
      <w:r>
        <w:rPr>
          <w:rFonts w:hint="eastAsia" w:ascii="宋体" w:hAnsi="宋体" w:eastAsia="宋体" w:cs="宋体"/>
          <w:b/>
          <w:bCs/>
          <w:color w:val="auto"/>
          <w:sz w:val="22"/>
          <w:szCs w:val="28"/>
          <w:highlight w:val="none"/>
        </w:rPr>
        <w:t>五、项目特别说明</w:t>
      </w:r>
      <w:bookmarkEnd w:id="11"/>
      <w:bookmarkEnd w:id="12"/>
      <w:bookmarkEnd w:id="13"/>
    </w:p>
    <w:p w14:paraId="6C7A981E">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1</w:t>
      </w:r>
      <w:r>
        <w:rPr>
          <w:rFonts w:hint="eastAsia" w:ascii="宋体" w:hAnsi="宋体" w:eastAsia="宋体" w:cs="宋体"/>
          <w:b/>
          <w:bCs/>
          <w:color w:val="auto"/>
          <w:sz w:val="22"/>
          <w:szCs w:val="28"/>
          <w:highlight w:val="none"/>
        </w:rPr>
        <w:t>.结算方法</w:t>
      </w:r>
    </w:p>
    <w:p w14:paraId="0862A9F1">
      <w:pPr>
        <w:adjustRightInd w:val="0"/>
        <w:snapToGrid w:val="0"/>
        <w:spacing w:line="360" w:lineRule="auto"/>
        <w:ind w:firstLine="440" w:firstLineChars="200"/>
        <w:rPr>
          <w:rFonts w:hint="eastAsia" w:ascii="宋体" w:hAnsi="宋体" w:eastAsia="宋体" w:cs="宋体"/>
          <w:color w:val="0000FA"/>
          <w:sz w:val="22"/>
          <w:szCs w:val="28"/>
          <w:highlight w:val="none"/>
        </w:rPr>
      </w:pPr>
      <w:r>
        <w:rPr>
          <w:rFonts w:hint="eastAsia" w:ascii="宋体" w:hAnsi="宋体" w:eastAsia="宋体" w:cs="宋体"/>
          <w:color w:val="0000FA"/>
          <w:sz w:val="22"/>
          <w:szCs w:val="28"/>
          <w:highlight w:val="none"/>
          <w:lang w:val="en-US" w:eastAsia="zh-CN"/>
        </w:rPr>
        <w:t>1</w:t>
      </w:r>
      <w:r>
        <w:rPr>
          <w:rFonts w:hint="eastAsia" w:ascii="宋体" w:hAnsi="宋体" w:eastAsia="宋体" w:cs="宋体"/>
          <w:color w:val="0000FA"/>
          <w:sz w:val="22"/>
          <w:szCs w:val="28"/>
          <w:highlight w:val="none"/>
        </w:rPr>
        <w:t>.1 付款人：</w:t>
      </w:r>
      <w:r>
        <w:rPr>
          <w:rFonts w:hint="eastAsia" w:ascii="宋体" w:hAnsi="宋体" w:eastAsia="宋体" w:cs="宋体"/>
          <w:color w:val="0000FA"/>
          <w:spacing w:val="0"/>
          <w:position w:val="0"/>
          <w:sz w:val="22"/>
          <w:szCs w:val="28"/>
          <w:highlight w:val="none"/>
          <w:lang w:eastAsia="zh-CN"/>
        </w:rPr>
        <w:t>张家界市永定区发展和改革局</w:t>
      </w:r>
      <w:r>
        <w:rPr>
          <w:rFonts w:hint="eastAsia" w:ascii="宋体" w:hAnsi="宋体" w:eastAsia="宋体" w:cs="宋体"/>
          <w:color w:val="0000FA"/>
          <w:sz w:val="22"/>
          <w:szCs w:val="28"/>
          <w:highlight w:val="none"/>
        </w:rPr>
        <w:t>。</w:t>
      </w:r>
    </w:p>
    <w:p w14:paraId="04072AD0">
      <w:pPr>
        <w:adjustRightInd w:val="0"/>
        <w:snapToGrid w:val="0"/>
        <w:spacing w:line="360" w:lineRule="auto"/>
        <w:ind w:firstLine="440" w:firstLineChars="200"/>
        <w:rPr>
          <w:rFonts w:hint="eastAsia" w:ascii="宋体" w:hAnsi="宋体" w:eastAsia="宋体" w:cs="宋体"/>
          <w:color w:val="0000FF"/>
          <w:sz w:val="22"/>
          <w:szCs w:val="28"/>
          <w:highlight w:val="none"/>
        </w:rPr>
      </w:pPr>
      <w:r>
        <w:rPr>
          <w:rFonts w:hint="eastAsia" w:ascii="宋体" w:hAnsi="宋体" w:eastAsia="宋体" w:cs="宋体"/>
          <w:color w:val="0000FF"/>
          <w:sz w:val="22"/>
          <w:szCs w:val="28"/>
          <w:highlight w:val="none"/>
          <w:lang w:val="en-US" w:eastAsia="zh-CN"/>
        </w:rPr>
        <w:t>1</w:t>
      </w:r>
      <w:r>
        <w:rPr>
          <w:rFonts w:hint="eastAsia" w:ascii="宋体" w:hAnsi="宋体" w:eastAsia="宋体" w:cs="宋体"/>
          <w:color w:val="0000FF"/>
          <w:sz w:val="22"/>
          <w:szCs w:val="28"/>
          <w:highlight w:val="none"/>
        </w:rPr>
        <w:t>.2 付款方式：</w:t>
      </w:r>
      <w:r>
        <w:rPr>
          <w:rFonts w:hint="eastAsia" w:ascii="宋体" w:hAnsi="宋体" w:eastAsia="宋体" w:cs="宋体"/>
          <w:color w:val="0000FF"/>
          <w:sz w:val="22"/>
          <w:szCs w:val="28"/>
          <w:highlight w:val="none"/>
          <w:lang w:val="en-US" w:eastAsia="zh-CN"/>
        </w:rPr>
        <w:t>预付款40%，</w:t>
      </w:r>
      <w:r>
        <w:rPr>
          <w:rFonts w:hint="eastAsia" w:ascii="宋体" w:hAnsi="宋体" w:eastAsia="宋体" w:cs="宋体"/>
          <w:color w:val="0000FF"/>
          <w:sz w:val="22"/>
          <w:szCs w:val="28"/>
          <w:highlight w:val="none"/>
        </w:rPr>
        <w:t>在确认工程量完成60%后，发包人向承包人支付50%合同款；2.工程完工后，发包人向承包人支付至合同款的8</w:t>
      </w:r>
      <w:r>
        <w:rPr>
          <w:rFonts w:hint="eastAsia" w:ascii="宋体" w:hAnsi="宋体" w:eastAsia="宋体" w:cs="宋体"/>
          <w:color w:val="0000FF"/>
          <w:sz w:val="22"/>
          <w:szCs w:val="28"/>
          <w:highlight w:val="none"/>
          <w:lang w:val="en-US" w:eastAsia="zh-CN"/>
        </w:rPr>
        <w:t>0</w:t>
      </w:r>
      <w:r>
        <w:rPr>
          <w:rFonts w:hint="eastAsia" w:ascii="宋体" w:hAnsi="宋体" w:eastAsia="宋体" w:cs="宋体"/>
          <w:color w:val="0000FF"/>
          <w:sz w:val="22"/>
          <w:szCs w:val="28"/>
          <w:highlight w:val="none"/>
        </w:rPr>
        <w:t>%；3.工程竣工验收合格，</w:t>
      </w:r>
      <w:r>
        <w:rPr>
          <w:rFonts w:hint="eastAsia" w:ascii="宋体" w:hAnsi="宋体" w:eastAsia="宋体" w:cs="宋体"/>
          <w:color w:val="0000FF"/>
          <w:sz w:val="22"/>
          <w:szCs w:val="28"/>
          <w:highlight w:val="none"/>
          <w:lang w:val="en-US" w:eastAsia="zh-CN"/>
        </w:rPr>
        <w:t>经第三方审核后</w:t>
      </w:r>
      <w:r>
        <w:rPr>
          <w:rFonts w:hint="eastAsia" w:ascii="宋体" w:hAnsi="宋体" w:eastAsia="宋体" w:cs="宋体"/>
          <w:color w:val="0000FF"/>
          <w:sz w:val="22"/>
          <w:szCs w:val="28"/>
          <w:highlight w:val="none"/>
        </w:rPr>
        <w:t>，发包人向承包人支付至结算金额的97%</w:t>
      </w:r>
      <w:r>
        <w:rPr>
          <w:rFonts w:hint="eastAsia" w:ascii="宋体" w:hAnsi="宋体" w:eastAsia="宋体" w:cs="宋体"/>
          <w:color w:val="0000FF"/>
          <w:sz w:val="22"/>
          <w:szCs w:val="28"/>
          <w:highlight w:val="none"/>
          <w:lang w:eastAsia="zh-CN"/>
        </w:rPr>
        <w:t>，</w:t>
      </w:r>
      <w:r>
        <w:rPr>
          <w:rFonts w:hint="eastAsia" w:ascii="宋体" w:hAnsi="宋体" w:eastAsia="宋体" w:cs="宋体"/>
          <w:color w:val="0000FF"/>
          <w:sz w:val="22"/>
          <w:szCs w:val="28"/>
          <w:highlight w:val="none"/>
        </w:rPr>
        <w:t>剩3%质保金</w:t>
      </w:r>
      <w:r>
        <w:rPr>
          <w:rFonts w:hint="eastAsia" w:ascii="宋体" w:hAnsi="宋体" w:eastAsia="宋体" w:cs="宋体"/>
          <w:color w:val="0000FF"/>
          <w:sz w:val="22"/>
          <w:szCs w:val="28"/>
          <w:highlight w:val="none"/>
          <w:lang w:eastAsia="zh-CN"/>
        </w:rPr>
        <w:t>（</w:t>
      </w:r>
      <w:r>
        <w:rPr>
          <w:rFonts w:hint="eastAsia" w:ascii="宋体" w:hAnsi="宋体" w:eastAsia="宋体" w:cs="宋体"/>
          <w:color w:val="0000FF"/>
          <w:sz w:val="22"/>
          <w:szCs w:val="28"/>
          <w:highlight w:val="none"/>
          <w:lang w:val="en-US" w:eastAsia="zh-CN"/>
        </w:rPr>
        <w:t>剩余价款</w:t>
      </w:r>
      <w:r>
        <w:rPr>
          <w:rFonts w:hint="eastAsia" w:ascii="宋体" w:hAnsi="宋体" w:eastAsia="宋体" w:cs="宋体"/>
          <w:color w:val="0000FF"/>
          <w:sz w:val="22"/>
          <w:szCs w:val="28"/>
          <w:highlight w:val="none"/>
        </w:rPr>
        <w:t>的3%</w:t>
      </w:r>
      <w:r>
        <w:rPr>
          <w:rFonts w:hint="eastAsia" w:ascii="宋体" w:hAnsi="宋体" w:eastAsia="宋体" w:cs="宋体"/>
          <w:color w:val="0000FF"/>
          <w:sz w:val="22"/>
          <w:szCs w:val="28"/>
          <w:highlight w:val="none"/>
          <w:lang w:val="en-US" w:eastAsia="zh-CN"/>
        </w:rPr>
        <w:t>作为</w:t>
      </w:r>
      <w:r>
        <w:rPr>
          <w:rFonts w:hint="eastAsia" w:ascii="宋体" w:hAnsi="宋体" w:eastAsia="宋体" w:cs="宋体"/>
          <w:color w:val="0000FF"/>
          <w:sz w:val="22"/>
          <w:szCs w:val="28"/>
          <w:highlight w:val="none"/>
          <w:lang w:eastAsia="zh-CN"/>
        </w:rPr>
        <w:t>质量保证</w:t>
      </w:r>
      <w:r>
        <w:rPr>
          <w:rFonts w:hint="eastAsia" w:ascii="宋体" w:hAnsi="宋体" w:eastAsia="宋体" w:cs="宋体"/>
          <w:color w:val="0000FF"/>
          <w:sz w:val="22"/>
          <w:szCs w:val="28"/>
          <w:highlight w:val="none"/>
        </w:rPr>
        <w:t>金，工程质保期满后无息支付</w:t>
      </w:r>
      <w:r>
        <w:rPr>
          <w:rFonts w:hint="eastAsia" w:ascii="宋体" w:hAnsi="宋体" w:eastAsia="宋体" w:cs="宋体"/>
          <w:color w:val="0000FF"/>
          <w:sz w:val="22"/>
          <w:szCs w:val="28"/>
          <w:highlight w:val="none"/>
          <w:lang w:eastAsia="zh-CN"/>
        </w:rPr>
        <w:t>）</w:t>
      </w:r>
      <w:r>
        <w:rPr>
          <w:rFonts w:hint="eastAsia" w:ascii="宋体" w:hAnsi="宋体" w:eastAsia="宋体" w:cs="宋体"/>
          <w:color w:val="0000FF"/>
          <w:sz w:val="22"/>
          <w:szCs w:val="28"/>
          <w:highlight w:val="none"/>
        </w:rPr>
        <w:t>。承包人开具等额发票后，发包人再付款。</w:t>
      </w:r>
    </w:p>
    <w:p w14:paraId="7C6D8361">
      <w:pPr>
        <w:adjustRightInd w:val="0"/>
        <w:snapToGrid w:val="0"/>
        <w:spacing w:line="360" w:lineRule="auto"/>
        <w:ind w:firstLine="440" w:firstLineChars="200"/>
        <w:rPr>
          <w:rFonts w:hint="eastAsia" w:ascii="宋体" w:hAnsi="宋体" w:eastAsia="宋体" w:cs="宋体"/>
          <w:color w:val="0000FA"/>
          <w:sz w:val="22"/>
          <w:szCs w:val="28"/>
          <w:highlight w:val="none"/>
        </w:rPr>
      </w:pPr>
      <w:r>
        <w:rPr>
          <w:rFonts w:hint="eastAsia" w:ascii="宋体" w:hAnsi="宋体" w:eastAsia="宋体" w:cs="宋体"/>
          <w:color w:val="0000FA"/>
          <w:sz w:val="22"/>
          <w:szCs w:val="28"/>
          <w:highlight w:val="none"/>
          <w:lang w:val="en-US" w:eastAsia="zh-CN"/>
        </w:rPr>
        <w:t>1</w:t>
      </w:r>
      <w:r>
        <w:rPr>
          <w:rFonts w:hint="eastAsia" w:ascii="宋体" w:hAnsi="宋体" w:eastAsia="宋体" w:cs="宋体"/>
          <w:color w:val="0000FA"/>
          <w:sz w:val="22"/>
          <w:szCs w:val="28"/>
          <w:highlight w:val="none"/>
        </w:rPr>
        <w:t>.3 本项目中标金额不能作为总价包干依据，</w:t>
      </w:r>
      <w:r>
        <w:rPr>
          <w:rFonts w:hint="eastAsia" w:ascii="宋体" w:hAnsi="宋体" w:eastAsia="宋体" w:cs="宋体"/>
          <w:b/>
          <w:bCs/>
          <w:color w:val="0000FA"/>
          <w:sz w:val="22"/>
          <w:szCs w:val="28"/>
          <w:highlight w:val="none"/>
        </w:rPr>
        <w:t>最终结算价以</w:t>
      </w:r>
      <w:r>
        <w:rPr>
          <w:rFonts w:hint="eastAsia" w:ascii="宋体" w:hAnsi="宋体" w:eastAsia="宋体" w:cs="宋体"/>
          <w:b/>
          <w:bCs/>
          <w:color w:val="0000FA"/>
          <w:sz w:val="22"/>
          <w:szCs w:val="28"/>
          <w:highlight w:val="none"/>
          <w:lang w:val="en-US" w:eastAsia="zh-CN"/>
        </w:rPr>
        <w:t>采购人</w:t>
      </w:r>
      <w:r>
        <w:rPr>
          <w:rFonts w:hint="eastAsia" w:ascii="宋体" w:hAnsi="宋体" w:eastAsia="宋体" w:cs="宋体"/>
          <w:b/>
          <w:bCs/>
          <w:color w:val="0000FA"/>
          <w:sz w:val="22"/>
          <w:szCs w:val="28"/>
          <w:highlight w:val="none"/>
        </w:rPr>
        <w:t>审核的审核结论为准。</w:t>
      </w:r>
      <w:r>
        <w:rPr>
          <w:rFonts w:hint="eastAsia" w:ascii="宋体" w:hAnsi="宋体" w:eastAsia="宋体" w:cs="宋体"/>
          <w:b w:val="0"/>
          <w:bCs w:val="0"/>
          <w:color w:val="0000FA"/>
          <w:sz w:val="22"/>
          <w:szCs w:val="28"/>
          <w:highlight w:val="none"/>
          <w:lang w:val="en-US" w:eastAsia="zh-CN"/>
        </w:rPr>
        <w:t>成交</w:t>
      </w:r>
      <w:r>
        <w:rPr>
          <w:rFonts w:hint="eastAsia" w:ascii="宋体" w:hAnsi="宋体" w:eastAsia="宋体" w:cs="宋体"/>
          <w:color w:val="0000FA"/>
          <w:sz w:val="22"/>
          <w:szCs w:val="28"/>
          <w:highlight w:val="none"/>
        </w:rPr>
        <w:t>供应商应根据项目要求和现场情况，详细列明项目所需的设备、材料以及所有人工、管理、财务等所有费用，如</w:t>
      </w:r>
      <w:r>
        <w:rPr>
          <w:rFonts w:hint="eastAsia" w:ascii="宋体" w:hAnsi="宋体" w:eastAsia="宋体" w:cs="宋体"/>
          <w:color w:val="0000FA"/>
          <w:sz w:val="22"/>
          <w:szCs w:val="28"/>
          <w:highlight w:val="none"/>
          <w:lang w:val="en-US" w:eastAsia="zh-CN"/>
        </w:rPr>
        <w:t>成交</w:t>
      </w:r>
      <w:r>
        <w:rPr>
          <w:rFonts w:hint="eastAsia" w:ascii="宋体" w:hAnsi="宋体" w:eastAsia="宋体" w:cs="宋体"/>
          <w:color w:val="0000FA"/>
          <w:sz w:val="22"/>
          <w:szCs w:val="28"/>
          <w:highlight w:val="none"/>
        </w:rPr>
        <w:t>供应商遗漏</w:t>
      </w:r>
      <w:r>
        <w:rPr>
          <w:rFonts w:hint="eastAsia" w:ascii="宋体" w:hAnsi="宋体" w:eastAsia="宋体" w:cs="宋体"/>
          <w:color w:val="0000FA"/>
          <w:spacing w:val="0"/>
          <w:position w:val="0"/>
          <w:sz w:val="22"/>
          <w:szCs w:val="28"/>
          <w:highlight w:val="none"/>
          <w:lang w:eastAsia="zh-CN"/>
        </w:rPr>
        <w:t>磋商文件</w:t>
      </w:r>
      <w:r>
        <w:rPr>
          <w:rFonts w:hint="eastAsia" w:ascii="宋体" w:hAnsi="宋体" w:eastAsia="宋体" w:cs="宋体"/>
          <w:color w:val="0000FA"/>
          <w:sz w:val="22"/>
          <w:szCs w:val="28"/>
          <w:highlight w:val="none"/>
        </w:rPr>
        <w:t>所列工程量清单内容，均由成交</w:t>
      </w:r>
      <w:r>
        <w:rPr>
          <w:rFonts w:hint="eastAsia" w:ascii="宋体" w:hAnsi="宋体" w:eastAsia="宋体" w:cs="宋体"/>
          <w:color w:val="0000FA"/>
          <w:sz w:val="22"/>
          <w:szCs w:val="28"/>
          <w:highlight w:val="none"/>
          <w:lang w:val="en-US" w:eastAsia="zh-CN"/>
        </w:rPr>
        <w:t>供应商</w:t>
      </w:r>
      <w:r>
        <w:rPr>
          <w:rFonts w:hint="eastAsia" w:ascii="宋体" w:hAnsi="宋体" w:eastAsia="宋体" w:cs="宋体"/>
          <w:color w:val="0000FA"/>
          <w:sz w:val="22"/>
          <w:szCs w:val="28"/>
          <w:highlight w:val="none"/>
        </w:rPr>
        <w:t>自负，采购人不再支付任何费用。</w:t>
      </w:r>
    </w:p>
    <w:p w14:paraId="484402AB">
      <w:pPr>
        <w:adjustRightInd w:val="0"/>
        <w:snapToGrid w:val="0"/>
        <w:spacing w:line="360" w:lineRule="auto"/>
        <w:ind w:firstLine="440" w:firstLineChars="200"/>
        <w:rPr>
          <w:rFonts w:hint="eastAsia" w:ascii="宋体" w:hAnsi="宋体" w:eastAsia="宋体" w:cs="宋体"/>
          <w:b/>
          <w:bCs/>
          <w:color w:val="auto"/>
          <w:sz w:val="22"/>
          <w:szCs w:val="28"/>
          <w:highlight w:val="none"/>
        </w:rPr>
      </w:pPr>
      <w:r>
        <w:rPr>
          <w:rFonts w:hint="eastAsia" w:ascii="宋体" w:hAnsi="宋体" w:eastAsia="宋体" w:cs="宋体"/>
          <w:color w:val="auto"/>
          <w:sz w:val="22"/>
          <w:szCs w:val="28"/>
          <w:highlight w:val="none"/>
          <w:lang w:val="en-US" w:eastAsia="zh-CN"/>
        </w:rPr>
        <w:t>1</w:t>
      </w:r>
      <w:r>
        <w:rPr>
          <w:rFonts w:hint="eastAsia" w:ascii="宋体" w:hAnsi="宋体" w:eastAsia="宋体" w:cs="宋体"/>
          <w:color w:val="auto"/>
          <w:sz w:val="22"/>
          <w:szCs w:val="28"/>
          <w:highlight w:val="none"/>
        </w:rPr>
        <w:t>.4 工程变更</w:t>
      </w:r>
    </w:p>
    <w:p w14:paraId="2E4DAB14">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1</w:t>
      </w:r>
      <w:r>
        <w:rPr>
          <w:rFonts w:hint="eastAsia" w:ascii="宋体" w:hAnsi="宋体" w:eastAsia="宋体" w:cs="宋体"/>
          <w:color w:val="auto"/>
          <w:sz w:val="22"/>
          <w:szCs w:val="28"/>
          <w:highlight w:val="none"/>
        </w:rPr>
        <w:t>.4.1采用暂估价形式的由采购人按相关程序核实审定，工程量清单中暂估价、不可预见费用报价时均不能变更。</w:t>
      </w:r>
    </w:p>
    <w:p w14:paraId="2AA94849">
      <w:pPr>
        <w:adjustRightInd w:val="0"/>
        <w:snapToGrid w:val="0"/>
        <w:spacing w:line="360" w:lineRule="auto"/>
        <w:ind w:firstLine="440" w:firstLineChars="200"/>
        <w:rPr>
          <w:rFonts w:hint="eastAsia" w:ascii="宋体" w:hAnsi="宋体" w:eastAsia="宋体" w:cs="宋体"/>
          <w:color w:val="auto"/>
          <w:spacing w:val="-4"/>
          <w:sz w:val="22"/>
          <w:szCs w:val="28"/>
          <w:highlight w:val="none"/>
        </w:rPr>
      </w:pPr>
      <w:r>
        <w:rPr>
          <w:rFonts w:hint="eastAsia" w:ascii="宋体" w:hAnsi="宋体" w:eastAsia="宋体" w:cs="宋体"/>
          <w:color w:val="auto"/>
          <w:sz w:val="22"/>
          <w:szCs w:val="28"/>
          <w:highlight w:val="none"/>
          <w:lang w:val="en-US" w:eastAsia="zh-CN"/>
        </w:rPr>
        <w:t>1</w:t>
      </w:r>
      <w:r>
        <w:rPr>
          <w:rFonts w:hint="eastAsia" w:ascii="宋体" w:hAnsi="宋体" w:eastAsia="宋体" w:cs="宋体"/>
          <w:color w:val="auto"/>
          <w:sz w:val="22"/>
          <w:szCs w:val="28"/>
          <w:highlight w:val="none"/>
        </w:rPr>
        <w:t xml:space="preserve">.4.2 </w:t>
      </w:r>
      <w:r>
        <w:rPr>
          <w:rFonts w:hint="eastAsia" w:ascii="宋体" w:hAnsi="宋体" w:eastAsia="宋体" w:cs="宋体"/>
          <w:color w:val="auto"/>
          <w:spacing w:val="-4"/>
          <w:sz w:val="22"/>
          <w:szCs w:val="28"/>
          <w:highlight w:val="none"/>
        </w:rPr>
        <w:t>当发生工程变</w:t>
      </w:r>
      <w:r>
        <w:rPr>
          <w:rFonts w:hint="eastAsia" w:ascii="宋体" w:hAnsi="宋体" w:eastAsia="宋体" w:cs="宋体"/>
          <w:color w:val="auto"/>
          <w:sz w:val="22"/>
          <w:szCs w:val="28"/>
          <w:highlight w:val="none"/>
        </w:rPr>
        <w:t>更、工程量增减时，由采购人、监理公司进行初审，报有关部门审定备案。</w:t>
      </w:r>
    </w:p>
    <w:p w14:paraId="0CFC1603">
      <w:p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2</w:t>
      </w:r>
      <w:r>
        <w:rPr>
          <w:rFonts w:hint="eastAsia" w:ascii="宋体" w:hAnsi="宋体" w:eastAsia="宋体" w:cs="宋体"/>
          <w:b/>
          <w:bCs/>
          <w:color w:val="auto"/>
          <w:sz w:val="22"/>
          <w:szCs w:val="28"/>
          <w:highlight w:val="none"/>
        </w:rPr>
        <w:t>.工程竣工结算</w:t>
      </w:r>
    </w:p>
    <w:p w14:paraId="785AD0F5">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工程竣工后双方应及时办理工程结算，承包人应积极配合，发包人审核认可，未办理完结算不支付工程尾款，并不计算利息。工程竣工验收后，承包方应在30天内提交完整齐备的工程竣工资料和验收资料装整成册交采购人</w:t>
      </w:r>
      <w:r>
        <w:rPr>
          <w:rFonts w:hint="eastAsia" w:ascii="宋体" w:hAnsi="宋体" w:eastAsia="宋体" w:cs="宋体"/>
          <w:b/>
          <w:bCs/>
          <w:color w:val="0000FA"/>
          <w:sz w:val="22"/>
          <w:szCs w:val="28"/>
          <w:highlight w:val="none"/>
        </w:rPr>
        <w:t>四套</w:t>
      </w:r>
      <w:r>
        <w:rPr>
          <w:rFonts w:hint="eastAsia" w:ascii="宋体" w:hAnsi="宋体" w:eastAsia="宋体" w:cs="宋体"/>
          <w:color w:val="auto"/>
          <w:sz w:val="22"/>
          <w:szCs w:val="28"/>
          <w:highlight w:val="none"/>
        </w:rPr>
        <w:t>存档，并必须保证所有归档资料的真实性。</w:t>
      </w:r>
    </w:p>
    <w:p w14:paraId="2B54A951">
      <w:pPr>
        <w:numPr>
          <w:ilvl w:val="0"/>
          <w:numId w:val="0"/>
        </w:num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kern w:val="2"/>
          <w:sz w:val="22"/>
          <w:szCs w:val="28"/>
          <w:highlight w:val="none"/>
          <w:lang w:val="en-US" w:eastAsia="zh-CN" w:bidi="ar-SA"/>
        </w:rPr>
        <w:t>3.</w:t>
      </w:r>
      <w:r>
        <w:rPr>
          <w:rFonts w:hint="eastAsia" w:ascii="宋体" w:hAnsi="宋体" w:eastAsia="宋体" w:cs="宋体"/>
          <w:b/>
          <w:bCs/>
          <w:color w:val="auto"/>
          <w:sz w:val="22"/>
          <w:szCs w:val="28"/>
          <w:highlight w:val="none"/>
        </w:rPr>
        <w:t>争议的解决</w:t>
      </w:r>
    </w:p>
    <w:p w14:paraId="44B8D5B7">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本合同在履行过程中发生争议，双方应及时协商解决，协商不成时，双方同意由向项目所在地法院诉讼解决。</w:t>
      </w:r>
    </w:p>
    <w:p w14:paraId="726F946D">
      <w:pPr>
        <w:numPr>
          <w:ilvl w:val="0"/>
          <w:numId w:val="0"/>
        </w:numPr>
        <w:adjustRightInd w:val="0"/>
        <w:snapToGrid w:val="0"/>
        <w:spacing w:line="360" w:lineRule="auto"/>
        <w:ind w:firstLine="442" w:firstLineChars="200"/>
        <w:rPr>
          <w:rFonts w:hint="eastAsia" w:ascii="宋体" w:hAnsi="宋体" w:eastAsia="宋体" w:cs="宋体"/>
          <w:b/>
          <w:bCs/>
          <w:color w:val="auto"/>
          <w:sz w:val="22"/>
          <w:szCs w:val="28"/>
          <w:highlight w:val="none"/>
        </w:rPr>
      </w:pPr>
      <w:r>
        <w:rPr>
          <w:rFonts w:hint="eastAsia" w:ascii="宋体" w:hAnsi="宋体" w:eastAsia="宋体" w:cs="宋体"/>
          <w:b/>
          <w:bCs/>
          <w:color w:val="auto"/>
          <w:kern w:val="2"/>
          <w:sz w:val="22"/>
          <w:szCs w:val="28"/>
          <w:highlight w:val="none"/>
          <w:lang w:val="en-US" w:eastAsia="zh-CN" w:bidi="ar-SA"/>
        </w:rPr>
        <w:t>4.</w:t>
      </w:r>
      <w:r>
        <w:rPr>
          <w:rFonts w:hint="eastAsia" w:ascii="宋体" w:hAnsi="宋体" w:eastAsia="宋体" w:cs="宋体"/>
          <w:b/>
          <w:bCs/>
          <w:color w:val="auto"/>
          <w:sz w:val="22"/>
          <w:szCs w:val="28"/>
          <w:highlight w:val="none"/>
        </w:rPr>
        <w:t>对于上述项目要求，供应商应在响应文件中进行回应，作出承诺及说明。</w:t>
      </w:r>
    </w:p>
    <w:p w14:paraId="2321E870">
      <w:pPr>
        <w:adjustRightInd w:val="0"/>
        <w:snapToGrid w:val="0"/>
        <w:spacing w:line="360" w:lineRule="auto"/>
        <w:ind w:firstLine="442" w:firstLineChars="200"/>
        <w:rPr>
          <w:rFonts w:hint="eastAsia" w:ascii="宋体" w:hAnsi="宋体" w:eastAsia="宋体" w:cs="宋体"/>
          <w:b/>
          <w:bCs/>
          <w:color w:val="auto"/>
          <w:kern w:val="0"/>
          <w:sz w:val="22"/>
          <w:szCs w:val="28"/>
          <w:highlight w:val="none"/>
        </w:rPr>
      </w:pPr>
      <w:r>
        <w:rPr>
          <w:rFonts w:hint="eastAsia" w:ascii="宋体" w:hAnsi="宋体" w:eastAsia="宋体" w:cs="宋体"/>
          <w:b/>
          <w:bCs/>
          <w:color w:val="auto"/>
          <w:kern w:val="0"/>
          <w:sz w:val="22"/>
          <w:szCs w:val="28"/>
          <w:highlight w:val="none"/>
        </w:rPr>
        <w:t>注：本项目以上技术、服务、合同条款等，在</w:t>
      </w:r>
      <w:r>
        <w:rPr>
          <w:rFonts w:hint="eastAsia" w:ascii="宋体" w:hAnsi="宋体" w:eastAsia="宋体" w:cs="宋体"/>
          <w:b/>
          <w:bCs/>
          <w:color w:val="auto"/>
          <w:kern w:val="0"/>
          <w:sz w:val="22"/>
          <w:szCs w:val="28"/>
          <w:highlight w:val="none"/>
          <w:lang w:val="en-US" w:eastAsia="zh-CN"/>
        </w:rPr>
        <w:t>磋商</w:t>
      </w:r>
      <w:r>
        <w:rPr>
          <w:rFonts w:hint="eastAsia" w:ascii="宋体" w:hAnsi="宋体" w:eastAsia="宋体" w:cs="宋体"/>
          <w:b/>
          <w:bCs/>
          <w:color w:val="auto"/>
          <w:kern w:val="0"/>
          <w:sz w:val="22"/>
          <w:szCs w:val="28"/>
          <w:highlight w:val="none"/>
        </w:rPr>
        <w:t>过程中均可能产生实质性变动。</w:t>
      </w:r>
    </w:p>
    <w:p w14:paraId="6B709B82">
      <w:pPr>
        <w:numPr>
          <w:ilvl w:val="0"/>
          <w:numId w:val="0"/>
        </w:numPr>
        <w:adjustRightInd w:val="0"/>
        <w:snapToGrid w:val="0"/>
        <w:spacing w:line="360" w:lineRule="auto"/>
        <w:ind w:firstLine="442" w:firstLineChars="200"/>
        <w:rPr>
          <w:rFonts w:hint="eastAsia" w:ascii="宋体" w:hAnsi="宋体" w:eastAsia="宋体" w:cs="宋体"/>
          <w:b/>
          <w:bCs/>
          <w:color w:val="auto"/>
          <w:kern w:val="2"/>
          <w:sz w:val="22"/>
          <w:szCs w:val="28"/>
          <w:highlight w:val="none"/>
          <w:lang w:bidi="ar-SA"/>
        </w:rPr>
      </w:pPr>
      <w:r>
        <w:rPr>
          <w:rFonts w:hint="eastAsia" w:ascii="宋体" w:hAnsi="宋体" w:eastAsia="宋体" w:cs="宋体"/>
          <w:b/>
          <w:bCs/>
          <w:color w:val="auto"/>
          <w:kern w:val="2"/>
          <w:sz w:val="22"/>
          <w:szCs w:val="28"/>
          <w:highlight w:val="none"/>
          <w:lang w:val="en-US" w:eastAsia="zh-CN" w:bidi="ar-SA"/>
        </w:rPr>
        <w:t>六</w:t>
      </w:r>
      <w:r>
        <w:rPr>
          <w:rFonts w:hint="eastAsia" w:ascii="宋体" w:hAnsi="宋体" w:eastAsia="宋体" w:cs="宋体"/>
          <w:b/>
          <w:bCs/>
          <w:color w:val="auto"/>
          <w:kern w:val="2"/>
          <w:sz w:val="22"/>
          <w:szCs w:val="28"/>
          <w:highlight w:val="none"/>
          <w:lang w:bidi="ar-SA"/>
        </w:rPr>
        <w:t>、其他要求 </w:t>
      </w:r>
    </w:p>
    <w:p w14:paraId="0AE5C5E0">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1.本项目不组织集中现场踏勘，供应商可自行前往项目现场进行踏勘，以了解施工现场实际情况，以便制作出合理的施工组织方案，并能准确核算相关成本；否则由此带来的风险（包括成本核算错误）由供应商自行承担。勘察现场所发生的费用由供应商承担。</w:t>
      </w:r>
    </w:p>
    <w:p w14:paraId="1AC91EA0">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2.采购人向供应商提供的有关施工现场的资料和数据是采购人现有的能使供应商利用的资料。采购人对供应商由此而做出的推论、理解和结论概不负责。</w:t>
      </w:r>
    </w:p>
    <w:p w14:paraId="34C2C874">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3.未考察现场或考察工作不详细的供应商在成交后，不得以不完全了解现场情况为理由向采购人提出任何索赔或其他要求，对此采购人不承担任何责任并不作任何答复。</w:t>
      </w:r>
    </w:p>
    <w:p w14:paraId="11EEF51A">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4.成交供应商所提供的施工材料必须符合国家质量检测、环境、安全等有关标准，否则即使成交，采购人有权取消合同，拒绝接受所供工程服务，拒绝支付款项，并有权要求成交供应商承担给采购人造成的相应损失。</w:t>
      </w:r>
    </w:p>
    <w:p w14:paraId="63D762F6">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5</w:t>
      </w:r>
      <w:r>
        <w:rPr>
          <w:rFonts w:hint="eastAsia" w:ascii="宋体" w:hAnsi="宋体" w:eastAsia="宋体" w:cs="宋体"/>
          <w:color w:val="auto"/>
          <w:sz w:val="22"/>
          <w:szCs w:val="28"/>
          <w:highlight w:val="none"/>
        </w:rPr>
        <w:t>.提供项目安全专职管理员仅任职本项目承诺书，承诺书</w:t>
      </w:r>
      <w:r>
        <w:rPr>
          <w:rFonts w:hint="eastAsia" w:ascii="宋体" w:hAnsi="宋体" w:eastAsia="宋体" w:cs="宋体"/>
          <w:color w:val="auto"/>
          <w:sz w:val="22"/>
          <w:szCs w:val="28"/>
          <w:highlight w:val="none"/>
          <w:lang w:val="en-US" w:eastAsia="zh-CN"/>
        </w:rPr>
        <w:t>须</w:t>
      </w:r>
      <w:r>
        <w:rPr>
          <w:rFonts w:hint="eastAsia" w:ascii="宋体" w:hAnsi="宋体" w:eastAsia="宋体" w:cs="宋体"/>
          <w:color w:val="auto"/>
          <w:sz w:val="22"/>
          <w:szCs w:val="28"/>
          <w:highlight w:val="none"/>
        </w:rPr>
        <w:t>签字盖章，格式自拟。缺失无效的按不响应处理。</w:t>
      </w:r>
    </w:p>
    <w:p w14:paraId="37D19DB0">
      <w:pPr>
        <w:adjustRightInd w:val="0"/>
        <w:snapToGrid w:val="0"/>
        <w:spacing w:line="360" w:lineRule="auto"/>
        <w:ind w:firstLine="440" w:firstLineChars="20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6.</w:t>
      </w:r>
      <w:r>
        <w:rPr>
          <w:rFonts w:hint="eastAsia" w:ascii="宋体" w:hAnsi="宋体" w:eastAsia="宋体" w:cs="宋体"/>
          <w:color w:val="auto"/>
          <w:sz w:val="22"/>
          <w:szCs w:val="28"/>
          <w:highlight w:val="none"/>
        </w:rPr>
        <w:t>因投标人施工造成居民投诉、相关主管部门罚款由投标人承担。</w:t>
      </w:r>
    </w:p>
    <w:p w14:paraId="127E8F9E">
      <w:r>
        <w:rPr>
          <w:rFonts w:hint="eastAsia" w:ascii="宋体" w:hAnsi="宋体" w:eastAsia="宋体" w:cs="宋体"/>
          <w:color w:val="auto"/>
          <w:sz w:val="22"/>
          <w:szCs w:val="28"/>
          <w:highlight w:val="none"/>
          <w:lang w:val="en-US" w:eastAsia="zh-CN"/>
        </w:rPr>
        <w:t>7.</w:t>
      </w:r>
      <w:r>
        <w:rPr>
          <w:rFonts w:hint="eastAsia" w:ascii="宋体" w:hAnsi="宋体" w:eastAsia="宋体" w:cs="宋体"/>
          <w:color w:val="auto"/>
          <w:sz w:val="22"/>
          <w:szCs w:val="28"/>
          <w:highlight w:val="none"/>
        </w:rPr>
        <w:t>承包人在施工过程中必须收集隐蔽项目关键部位的影像视频资料以供后期审计使用，在送审结算资料时必须一并提交。所有签证资料必须附有详细影像彩色照片，所摄照片必须有可参照性。如影像资料未能反映签证、清单或招标文件列明的工作内容，则结算时该项内容不予认可。</w:t>
      </w:r>
      <w:bookmarkStart w:id="14" w:name="_GoBack"/>
      <w:bookmarkEnd w:id="14"/>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07789F"/>
    <w:rsid w:val="2F077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2026-10-08T08:17:00Z</dcterms:created>
  <dc:creator>Asus</dc:creator>
  <cp:lastModifiedBy>Asus</cp:lastModifiedBy>
  <dcterms:modified xsi:type="dcterms:W3CDTF">2026-10-08T08:17:59Z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9398B4ACA33E44439F8CF57FBEC537B7_11</vt:lpwstr>
  </property>
  <property fmtid="{D5CDD505-2E9C-101B-9397-08002B2CF9AE}" pid="4" name="KSOTemplateDocerSaveRecord">
    <vt:lpwstr>eyJoZGlkIjoiYmU0Y2ZiNTIyZDg3ZGFiODIzMDI3NmI2Y2I0MTVlN2YiLCJ1c2VySWQiOiIzMjIxMDcwOTkifQ==</vt:lpwstr>
  </property>
</Properties>
</file>